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AD11D">
      <w:pPr>
        <w:pStyle w:val="306"/>
        <w:ind w:firstLine="0"/>
        <w:rPr>
          <w:rFonts w:hint="eastAsia" w:ascii="Times New Roman" w:hAnsi="Times New Roman" w:eastAsia="黑体"/>
          <w:b/>
          <w:bCs/>
          <w:sz w:val="84"/>
        </w:rPr>
      </w:pPr>
    </w:p>
    <w:p w14:paraId="26A73D49">
      <w:pPr>
        <w:pStyle w:val="306"/>
        <w:ind w:firstLine="0"/>
        <w:jc w:val="center"/>
        <w:rPr>
          <w:rFonts w:hint="eastAsia" w:ascii="Times New Roman" w:hAnsi="Times New Roman" w:eastAsia="黑体"/>
          <w:b/>
          <w:bCs/>
          <w:sz w:val="84"/>
        </w:rPr>
      </w:pPr>
      <w:r>
        <w:rPr>
          <w:rFonts w:hint="eastAsia" w:ascii="Times New Roman" w:hAnsi="Times New Roman" w:eastAsia="黑体"/>
          <w:b/>
          <w:bCs/>
          <w:sz w:val="84"/>
        </w:rPr>
        <w:t>招　标　文　件</w:t>
      </w:r>
    </w:p>
    <w:p w14:paraId="49C2316E">
      <w:pPr>
        <w:pStyle w:val="306"/>
        <w:ind w:firstLine="0"/>
        <w:jc w:val="center"/>
        <w:rPr>
          <w:rFonts w:hint="eastAsia" w:ascii="Times New Roman" w:hAnsi="Times New Roman" w:eastAsia="黑体"/>
          <w:b/>
          <w:bCs/>
          <w:sz w:val="84"/>
        </w:rPr>
      </w:pPr>
    </w:p>
    <w:p w14:paraId="1A130044">
      <w:pPr>
        <w:pStyle w:val="306"/>
        <w:ind w:firstLine="0"/>
        <w:jc w:val="center"/>
        <w:rPr>
          <w:rFonts w:hint="eastAsia" w:ascii="Times New Roman" w:hAnsi="Times New Roman" w:eastAsia="黑体"/>
          <w:b/>
          <w:bCs/>
          <w:sz w:val="84"/>
        </w:rPr>
      </w:pPr>
    </w:p>
    <w:p w14:paraId="7EAAD2DD">
      <w:pPr>
        <w:keepNext w:val="0"/>
        <w:keepLines w:val="0"/>
        <w:pageBreakBefore w:val="0"/>
        <w:widowControl w:val="0"/>
        <w:kinsoku/>
        <w:wordWrap/>
        <w:overflowPunct/>
        <w:topLinePunct w:val="0"/>
        <w:autoSpaceDE/>
        <w:autoSpaceDN/>
        <w:bidi w:val="0"/>
        <w:adjustRightInd/>
        <w:snapToGrid/>
        <w:spacing w:line="240" w:lineRule="auto"/>
        <w:ind w:firstLine="1285"/>
        <w:textAlignment w:val="auto"/>
        <w:rPr>
          <w:rFonts w:hint="default"/>
          <w:b/>
          <w:bCs/>
          <w:sz w:val="32"/>
          <w:lang w:val="en-US" w:eastAsia="zh-CN"/>
        </w:rPr>
      </w:pPr>
      <w:r>
        <w:rPr>
          <w:rFonts w:hint="eastAsia" w:ascii="Times New Roman" w:hAnsi="Times New Roman"/>
          <w:b/>
          <w:bCs/>
          <w:sz w:val="32"/>
        </w:rPr>
        <w:t>项目名称：</w:t>
      </w:r>
      <w:r>
        <w:rPr>
          <w:rFonts w:hint="eastAsia"/>
          <w:b/>
          <w:bCs/>
          <w:sz w:val="32"/>
          <w:lang w:eastAsia="zh-CN"/>
        </w:rPr>
        <w:t>沭阳县耿圩镇污水处理厂提质提标项目（</w:t>
      </w:r>
      <w:r>
        <w:rPr>
          <w:rFonts w:hint="eastAsia"/>
          <w:b/>
          <w:bCs/>
          <w:sz w:val="32"/>
          <w:lang w:val="en-US" w:eastAsia="zh-CN"/>
        </w:rPr>
        <w:t>二次）</w:t>
      </w:r>
    </w:p>
    <w:p w14:paraId="4139D8ED">
      <w:pPr>
        <w:keepNext w:val="0"/>
        <w:keepLines w:val="0"/>
        <w:pageBreakBefore w:val="0"/>
        <w:widowControl w:val="0"/>
        <w:kinsoku/>
        <w:wordWrap/>
        <w:overflowPunct/>
        <w:topLinePunct w:val="0"/>
        <w:autoSpaceDE/>
        <w:autoSpaceDN/>
        <w:bidi w:val="0"/>
        <w:adjustRightInd/>
        <w:snapToGrid/>
        <w:spacing w:line="240" w:lineRule="auto"/>
        <w:ind w:firstLine="1285"/>
        <w:textAlignment w:val="auto"/>
        <w:rPr>
          <w:b/>
          <w:sz w:val="30"/>
          <w:szCs w:val="30"/>
        </w:rPr>
      </w:pPr>
      <w:r>
        <w:rPr>
          <w:rFonts w:hint="eastAsia"/>
          <w:b/>
          <w:bCs/>
          <w:sz w:val="32"/>
        </w:rPr>
        <w:t>项目编号：</w:t>
      </w:r>
      <w:r>
        <w:rPr>
          <w:rFonts w:hint="eastAsia"/>
          <w:b/>
          <w:bCs/>
          <w:sz w:val="32"/>
          <w:lang w:eastAsia="zh-CN"/>
        </w:rPr>
        <w:t xml:space="preserve">JSZC-321322-ZZHS-G2024-0003 </w:t>
      </w:r>
      <w:r>
        <w:rPr>
          <w:rFonts w:hint="eastAsia"/>
        </w:rPr>
        <w:t xml:space="preserve">       </w:t>
      </w:r>
      <w:r>
        <w:rPr>
          <w:rFonts w:hint="eastAsia"/>
          <w:b/>
          <w:sz w:val="30"/>
          <w:szCs w:val="30"/>
        </w:rPr>
        <w:t xml:space="preserve">   </w:t>
      </w:r>
      <w:r>
        <w:t xml:space="preserve">  </w:t>
      </w:r>
      <w:r>
        <w:rPr>
          <w:b/>
          <w:sz w:val="30"/>
          <w:szCs w:val="30"/>
        </w:rPr>
        <w:t xml:space="preserve"> </w:t>
      </w:r>
    </w:p>
    <w:p w14:paraId="0F99BD2B">
      <w:pPr>
        <w:keepNext w:val="0"/>
        <w:keepLines w:val="0"/>
        <w:pageBreakBefore w:val="0"/>
        <w:widowControl w:val="0"/>
        <w:kinsoku/>
        <w:wordWrap/>
        <w:overflowPunct/>
        <w:topLinePunct w:val="0"/>
        <w:autoSpaceDE/>
        <w:autoSpaceDN/>
        <w:bidi w:val="0"/>
        <w:adjustRightInd/>
        <w:snapToGrid/>
        <w:spacing w:line="240" w:lineRule="auto"/>
        <w:ind w:firstLine="2108"/>
        <w:textAlignment w:val="auto"/>
        <w:rPr>
          <w:rFonts w:hint="eastAsia"/>
          <w:b/>
          <w:sz w:val="30"/>
          <w:szCs w:val="30"/>
        </w:rPr>
      </w:pPr>
    </w:p>
    <w:p w14:paraId="12A787B4">
      <w:pPr>
        <w:keepNext w:val="0"/>
        <w:keepLines w:val="0"/>
        <w:pageBreakBefore w:val="0"/>
        <w:widowControl w:val="0"/>
        <w:kinsoku/>
        <w:wordWrap/>
        <w:overflowPunct/>
        <w:topLinePunct w:val="0"/>
        <w:autoSpaceDE/>
        <w:autoSpaceDN/>
        <w:bidi w:val="0"/>
        <w:adjustRightInd/>
        <w:snapToGrid/>
        <w:spacing w:line="240" w:lineRule="auto"/>
        <w:ind w:firstLine="2108"/>
        <w:textAlignment w:val="auto"/>
        <w:rPr>
          <w:rFonts w:hint="eastAsia"/>
          <w:b/>
          <w:sz w:val="30"/>
          <w:szCs w:val="30"/>
        </w:rPr>
      </w:pPr>
      <w:r>
        <w:rPr>
          <w:rFonts w:hint="eastAsia"/>
          <w:b/>
          <w:sz w:val="30"/>
          <w:szCs w:val="30"/>
        </w:rPr>
        <w:t>（服务类项目</w:t>
      </w:r>
      <w:r>
        <w:rPr>
          <w:b/>
          <w:sz w:val="30"/>
          <w:szCs w:val="30"/>
        </w:rPr>
        <w:t>，</w:t>
      </w:r>
      <w:r>
        <w:rPr>
          <w:rFonts w:hint="eastAsia"/>
          <w:b/>
          <w:sz w:val="30"/>
          <w:szCs w:val="30"/>
          <w:u w:val="single"/>
        </w:rPr>
        <w:t>不专门</w:t>
      </w:r>
      <w:r>
        <w:rPr>
          <w:rFonts w:hint="eastAsia"/>
          <w:b/>
          <w:sz w:val="30"/>
          <w:szCs w:val="30"/>
        </w:rPr>
        <w:t>面向中小企业）</w:t>
      </w:r>
    </w:p>
    <w:p w14:paraId="2E63E7AE">
      <w:pPr>
        <w:pStyle w:val="306"/>
        <w:keepNext w:val="0"/>
        <w:keepLines w:val="0"/>
        <w:pageBreakBefore w:val="0"/>
        <w:widowControl w:val="0"/>
        <w:kinsoku/>
        <w:wordWrap/>
        <w:overflowPunct/>
        <w:topLinePunct w:val="0"/>
        <w:autoSpaceDE/>
        <w:autoSpaceDN/>
        <w:bidi w:val="0"/>
        <w:adjustRightInd/>
        <w:snapToGrid/>
        <w:spacing w:before="0" w:after="0" w:line="240" w:lineRule="auto"/>
        <w:ind w:firstLine="0"/>
        <w:textAlignment w:val="auto"/>
        <w:rPr>
          <w:rFonts w:hint="eastAsia" w:ascii="Times New Roman" w:hAnsi="Times New Roman"/>
        </w:rPr>
      </w:pPr>
    </w:p>
    <w:p w14:paraId="0CF5CD8D">
      <w:pPr>
        <w:pStyle w:val="306"/>
        <w:spacing w:before="0" w:after="0"/>
        <w:ind w:firstLine="0"/>
        <w:rPr>
          <w:rFonts w:hint="eastAsia" w:ascii="Times New Roman" w:hAnsi="Times New Roman"/>
        </w:rPr>
      </w:pPr>
    </w:p>
    <w:p w14:paraId="1B599FBE">
      <w:pPr>
        <w:pStyle w:val="306"/>
        <w:spacing w:before="0" w:after="0"/>
        <w:ind w:firstLine="0"/>
        <w:rPr>
          <w:rFonts w:hint="eastAsia" w:ascii="Times New Roman" w:hAnsi="Times New Roman"/>
        </w:rPr>
      </w:pPr>
    </w:p>
    <w:p w14:paraId="39AF4C2E">
      <w:pPr>
        <w:pStyle w:val="306"/>
        <w:spacing w:before="0" w:after="0"/>
        <w:ind w:firstLine="0"/>
        <w:rPr>
          <w:rFonts w:hint="eastAsia" w:ascii="Times New Roman" w:hAnsi="Times New Roman"/>
        </w:rPr>
      </w:pPr>
    </w:p>
    <w:p w14:paraId="0B9153AC">
      <w:pPr>
        <w:pStyle w:val="306"/>
        <w:spacing w:before="0" w:after="0"/>
        <w:ind w:firstLine="0"/>
        <w:rPr>
          <w:rFonts w:hint="eastAsia" w:ascii="Times New Roman" w:hAnsi="Times New Roman"/>
        </w:rPr>
      </w:pPr>
    </w:p>
    <w:p w14:paraId="793FA133">
      <w:pPr>
        <w:pStyle w:val="306"/>
        <w:spacing w:before="0" w:after="0"/>
        <w:ind w:firstLine="0"/>
        <w:rPr>
          <w:rFonts w:hint="eastAsia" w:ascii="Times New Roman" w:hAnsi="Times New Roman"/>
        </w:rPr>
      </w:pPr>
    </w:p>
    <w:p w14:paraId="4CFC7D2A">
      <w:pPr>
        <w:pStyle w:val="306"/>
        <w:ind w:firstLine="1372"/>
        <w:jc w:val="both"/>
        <w:rPr>
          <w:rFonts w:ascii="Times New Roman" w:hAnsi="Times New Roman"/>
          <w:b/>
          <w:bCs/>
          <w:sz w:val="32"/>
          <w:u w:val="single"/>
        </w:rPr>
      </w:pPr>
      <w:r>
        <w:rPr>
          <w:rFonts w:hint="eastAsia" w:ascii="Times New Roman" w:hAnsi="Times New Roman"/>
          <w:b/>
          <w:bCs/>
          <w:sz w:val="32"/>
        </w:rPr>
        <w:t>采</w:t>
      </w:r>
      <w:r>
        <w:rPr>
          <w:rFonts w:hint="eastAsia" w:ascii="Times New Roman" w:hAnsi="Times New Roman"/>
          <w:b/>
          <w:bCs/>
          <w:sz w:val="32"/>
          <w:lang w:val="en-US" w:eastAsia="zh-CN"/>
        </w:rPr>
        <w:t xml:space="preserve">   </w:t>
      </w:r>
      <w:r>
        <w:rPr>
          <w:rFonts w:hint="eastAsia" w:ascii="Times New Roman" w:hAnsi="Times New Roman"/>
          <w:b/>
          <w:bCs/>
          <w:sz w:val="32"/>
        </w:rPr>
        <w:t>购</w:t>
      </w:r>
      <w:r>
        <w:rPr>
          <w:rFonts w:hint="eastAsia" w:ascii="Times New Roman" w:hAnsi="Times New Roman"/>
          <w:b/>
          <w:bCs/>
          <w:sz w:val="32"/>
          <w:lang w:val="en-US" w:eastAsia="zh-CN"/>
        </w:rPr>
        <w:t xml:space="preserve">   </w:t>
      </w:r>
      <w:r>
        <w:rPr>
          <w:rFonts w:hint="eastAsia" w:ascii="Times New Roman" w:hAnsi="Times New Roman"/>
          <w:b/>
          <w:bCs/>
          <w:sz w:val="32"/>
        </w:rPr>
        <w:t>人：</w:t>
      </w:r>
      <w:r>
        <w:rPr>
          <w:rFonts w:hint="eastAsia" w:ascii="Times New Roman" w:hAnsi="Times New Roman"/>
          <w:b/>
          <w:bCs/>
          <w:sz w:val="32"/>
          <w:u w:val="single"/>
        </w:rPr>
        <w:t xml:space="preserve"> 沭阳县住房和城乡建设局 </w:t>
      </w:r>
    </w:p>
    <w:p w14:paraId="67E82655">
      <w:pPr>
        <w:pStyle w:val="306"/>
        <w:ind w:firstLine="1372"/>
        <w:jc w:val="both"/>
        <w:rPr>
          <w:rFonts w:hint="eastAsia" w:ascii="Times New Roman" w:hAnsi="Times New Roman" w:eastAsia="宋体"/>
          <w:b/>
          <w:bCs/>
          <w:sz w:val="32"/>
          <w:u w:val="single"/>
          <w:lang w:val="en-US" w:eastAsia="zh-CN"/>
        </w:rPr>
      </w:pPr>
      <w:r>
        <w:rPr>
          <w:rFonts w:hint="eastAsia" w:ascii="Times New Roman" w:hAnsi="Times New Roman"/>
          <w:b/>
          <w:bCs/>
          <w:sz w:val="32"/>
        </w:rPr>
        <w:t>采购代理机构：</w:t>
      </w:r>
      <w:r>
        <w:rPr>
          <w:rFonts w:hint="eastAsia" w:ascii="Times New Roman" w:hAnsi="Times New Roman"/>
          <w:b/>
          <w:bCs/>
          <w:sz w:val="32"/>
          <w:u w:val="single"/>
        </w:rPr>
        <w:t xml:space="preserve"> 江苏中置宏胜项目管理有限公司</w:t>
      </w:r>
      <w:r>
        <w:rPr>
          <w:rFonts w:hint="eastAsia" w:ascii="Times New Roman" w:hAnsi="Times New Roman"/>
          <w:b/>
          <w:bCs/>
          <w:sz w:val="32"/>
          <w:u w:val="single"/>
          <w:lang w:val="en-US" w:eastAsia="zh-CN"/>
        </w:rPr>
        <w:t xml:space="preserve"> </w:t>
      </w:r>
      <w:bookmarkStart w:id="496" w:name="_GoBack"/>
      <w:bookmarkEnd w:id="496"/>
    </w:p>
    <w:p w14:paraId="5AC838CC">
      <w:pPr>
        <w:pStyle w:val="306"/>
        <w:ind w:firstLine="3534"/>
        <w:jc w:val="both"/>
        <w:rPr>
          <w:rFonts w:hint="eastAsia" w:ascii="Times New Roman" w:hAnsi="Times New Roman"/>
          <w:b/>
          <w:bCs/>
          <w:sz w:val="32"/>
        </w:rPr>
      </w:pPr>
      <w:r>
        <w:rPr>
          <w:rFonts w:hint="eastAsia" w:ascii="Times New Roman" w:hAnsi="Times New Roman"/>
          <w:b/>
          <w:bCs/>
          <w:sz w:val="32"/>
          <w:lang w:val="en-US" w:eastAsia="zh-CN"/>
        </w:rPr>
        <w:t>2024</w:t>
      </w:r>
      <w:r>
        <w:rPr>
          <w:rFonts w:hint="eastAsia" w:ascii="Times New Roman" w:hAnsi="Times New Roman"/>
          <w:b/>
          <w:bCs/>
          <w:sz w:val="32"/>
        </w:rPr>
        <w:t>年</w:t>
      </w:r>
      <w:r>
        <w:rPr>
          <w:rFonts w:hint="eastAsia" w:ascii="Times New Roman" w:hAnsi="Times New Roman"/>
          <w:b/>
          <w:bCs/>
          <w:sz w:val="32"/>
          <w:lang w:val="en-US" w:eastAsia="zh-CN"/>
        </w:rPr>
        <w:t>10</w:t>
      </w:r>
      <w:r>
        <w:rPr>
          <w:rFonts w:hint="eastAsia" w:ascii="Times New Roman" w:hAnsi="Times New Roman"/>
          <w:b/>
          <w:bCs/>
          <w:sz w:val="32"/>
        </w:rPr>
        <w:t>月</w:t>
      </w:r>
      <w:r>
        <w:rPr>
          <w:rFonts w:hint="eastAsia" w:ascii="Times New Roman" w:hAnsi="Times New Roman"/>
          <w:b/>
          <w:bCs/>
          <w:sz w:val="32"/>
          <w:lang w:val="en-US" w:eastAsia="zh-CN"/>
        </w:rPr>
        <w:t>22</w:t>
      </w:r>
      <w:r>
        <w:rPr>
          <w:rFonts w:hint="eastAsia" w:ascii="Times New Roman" w:hAnsi="Times New Roman"/>
          <w:b/>
          <w:bCs/>
          <w:sz w:val="32"/>
        </w:rPr>
        <w:t>日</w:t>
      </w:r>
    </w:p>
    <w:p w14:paraId="6C9DE407">
      <w:pPr>
        <w:pStyle w:val="306"/>
        <w:ind w:firstLine="0"/>
        <w:rPr>
          <w:rFonts w:hint="eastAsia" w:ascii="Times New Roman" w:hAnsi="Times New Roman"/>
          <w:u w:val="single"/>
        </w:rPr>
      </w:pPr>
      <w:r>
        <w:rPr>
          <w:rFonts w:hint="eastAsia" w:ascii="Times New Roman" w:hAnsi="Times New Roman"/>
        </w:rPr>
        <w:t xml:space="preserve">                        </w:t>
      </w:r>
    </w:p>
    <w:p w14:paraId="22023B99">
      <w:pPr>
        <w:pStyle w:val="306"/>
        <w:ind w:firstLine="0"/>
        <w:jc w:val="center"/>
        <w:rPr>
          <w:rFonts w:hint="eastAsia" w:ascii="Times New Roman" w:hAnsi="Times New Roman"/>
        </w:rPr>
      </w:pPr>
    </w:p>
    <w:p w14:paraId="219E9272">
      <w:pPr>
        <w:spacing w:line="480" w:lineRule="auto"/>
        <w:jc w:val="both"/>
        <w:outlineLvl w:val="0"/>
        <w:rPr>
          <w:rFonts w:hint="eastAsia"/>
        </w:rPr>
      </w:pPr>
      <w:bookmarkStart w:id="0" w:name="_Toc120614210"/>
      <w:bookmarkStart w:id="1" w:name="_Toc523127445"/>
      <w:bookmarkStart w:id="2" w:name="_Toc20823272"/>
      <w:bookmarkStart w:id="3" w:name="_Toc16938516"/>
      <w:bookmarkStart w:id="4" w:name="_Toc513029200"/>
      <w:bookmarkStart w:id="5" w:name="_Toc479757206"/>
    </w:p>
    <w:p w14:paraId="4AF93349">
      <w:pPr>
        <w:rPr>
          <w:rFonts w:hint="eastAsia"/>
        </w:rPr>
      </w:pPr>
    </w:p>
    <w:p w14:paraId="3C342E2F">
      <w:pPr>
        <w:spacing w:line="480" w:lineRule="auto"/>
        <w:jc w:val="center"/>
        <w:outlineLvl w:val="0"/>
        <w:rPr>
          <w:rFonts w:hint="eastAsia"/>
        </w:rPr>
      </w:pPr>
    </w:p>
    <w:p w14:paraId="6F4A3499">
      <w:pPr>
        <w:spacing w:line="480" w:lineRule="auto"/>
        <w:jc w:val="center"/>
        <w:outlineLvl w:val="0"/>
        <w:rPr>
          <w:rFonts w:hint="eastAsia" w:eastAsia="黑体"/>
          <w:b/>
          <w:sz w:val="44"/>
        </w:rPr>
      </w:pPr>
      <w:r>
        <w:rPr>
          <w:rFonts w:hint="eastAsia"/>
        </w:rPr>
        <w:t xml:space="preserve"> </w:t>
      </w:r>
      <w:r>
        <w:rPr>
          <w:rFonts w:hint="eastAsia" w:eastAsia="黑体"/>
          <w:b/>
          <w:sz w:val="44"/>
        </w:rPr>
        <w:t>总  目  录</w:t>
      </w:r>
    </w:p>
    <w:p w14:paraId="504824B7">
      <w:pPr>
        <w:spacing w:line="480" w:lineRule="auto"/>
        <w:rPr>
          <w:rFonts w:hint="eastAsia" w:eastAsia="仿宋_GB2312"/>
          <w:b/>
          <w:sz w:val="28"/>
        </w:rPr>
      </w:pPr>
    </w:p>
    <w:p w14:paraId="6042485E">
      <w:pPr>
        <w:keepNext w:val="0"/>
        <w:keepLines w:val="0"/>
        <w:pageBreakBefore w:val="0"/>
        <w:widowControl w:val="0"/>
        <w:numPr>
          <w:ilvl w:val="0"/>
          <w:numId w:val="6"/>
        </w:numPr>
        <w:kinsoku/>
        <w:wordWrap/>
        <w:overflowPunct/>
        <w:topLinePunct w:val="0"/>
        <w:autoSpaceDE/>
        <w:autoSpaceDN/>
        <w:bidi w:val="0"/>
        <w:adjustRightInd/>
        <w:snapToGrid/>
        <w:spacing w:line="480" w:lineRule="auto"/>
        <w:ind w:left="0" w:firstLine="720" w:firstLineChars="200"/>
        <w:jc w:val="left"/>
        <w:textAlignment w:val="auto"/>
        <w:outlineLvl w:val="0"/>
        <w:rPr>
          <w:rFonts w:hint="eastAsia" w:eastAsia="黑体"/>
          <w:sz w:val="32"/>
        </w:rPr>
      </w:pPr>
      <w:r>
        <w:rPr>
          <w:rFonts w:hint="eastAsia" w:eastAsia="黑体"/>
          <w:sz w:val="36"/>
        </w:rPr>
        <w:t xml:space="preserve">投标邀请…………………………………… </w:t>
      </w:r>
    </w:p>
    <w:p w14:paraId="7DC64175">
      <w:pPr>
        <w:keepNext w:val="0"/>
        <w:keepLines w:val="0"/>
        <w:pageBreakBefore w:val="0"/>
        <w:widowControl w:val="0"/>
        <w:numPr>
          <w:ilvl w:val="0"/>
          <w:numId w:val="6"/>
        </w:numPr>
        <w:kinsoku/>
        <w:wordWrap/>
        <w:overflowPunct/>
        <w:topLinePunct w:val="0"/>
        <w:autoSpaceDE/>
        <w:autoSpaceDN/>
        <w:bidi w:val="0"/>
        <w:adjustRightInd/>
        <w:snapToGrid/>
        <w:spacing w:line="480" w:lineRule="auto"/>
        <w:ind w:left="0" w:firstLine="720" w:firstLineChars="200"/>
        <w:jc w:val="left"/>
        <w:textAlignment w:val="auto"/>
        <w:outlineLvl w:val="0"/>
        <w:rPr>
          <w:rFonts w:hint="eastAsia" w:eastAsia="黑体"/>
          <w:sz w:val="36"/>
        </w:rPr>
      </w:pPr>
      <w:r>
        <w:rPr>
          <w:rFonts w:hint="eastAsia" w:eastAsia="黑体"/>
          <w:bCs/>
          <w:sz w:val="36"/>
          <w:szCs w:val="36"/>
        </w:rPr>
        <w:t>投标人须知</w:t>
      </w:r>
      <w:r>
        <w:rPr>
          <w:rFonts w:hint="eastAsia" w:eastAsia="黑体"/>
          <w:sz w:val="36"/>
          <w:szCs w:val="36"/>
        </w:rPr>
        <w:t>…</w:t>
      </w:r>
      <w:r>
        <w:rPr>
          <w:rFonts w:hint="eastAsia" w:eastAsia="黑体"/>
          <w:sz w:val="36"/>
        </w:rPr>
        <w:t xml:space="preserve">………………………………  </w:t>
      </w:r>
    </w:p>
    <w:p w14:paraId="07959F09">
      <w:pPr>
        <w:keepNext w:val="0"/>
        <w:keepLines w:val="0"/>
        <w:pageBreakBefore w:val="0"/>
        <w:widowControl w:val="0"/>
        <w:numPr>
          <w:ilvl w:val="0"/>
          <w:numId w:val="6"/>
        </w:numPr>
        <w:kinsoku/>
        <w:wordWrap/>
        <w:overflowPunct/>
        <w:topLinePunct w:val="0"/>
        <w:autoSpaceDE/>
        <w:autoSpaceDN/>
        <w:bidi w:val="0"/>
        <w:adjustRightInd/>
        <w:snapToGrid/>
        <w:spacing w:line="480" w:lineRule="auto"/>
        <w:ind w:left="0" w:firstLine="720" w:firstLineChars="200"/>
        <w:jc w:val="left"/>
        <w:textAlignment w:val="auto"/>
        <w:outlineLvl w:val="0"/>
        <w:rPr>
          <w:rFonts w:hint="eastAsia" w:eastAsia="黑体"/>
          <w:sz w:val="36"/>
        </w:rPr>
      </w:pPr>
      <w:r>
        <w:rPr>
          <w:rFonts w:hint="eastAsia" w:eastAsia="黑体"/>
          <w:sz w:val="36"/>
        </w:rPr>
        <w:t>合同文本……………………………………</w:t>
      </w:r>
    </w:p>
    <w:p w14:paraId="7302145A">
      <w:pPr>
        <w:keepNext w:val="0"/>
        <w:keepLines w:val="0"/>
        <w:pageBreakBefore w:val="0"/>
        <w:widowControl w:val="0"/>
        <w:numPr>
          <w:ilvl w:val="0"/>
          <w:numId w:val="6"/>
        </w:numPr>
        <w:kinsoku/>
        <w:wordWrap/>
        <w:overflowPunct/>
        <w:topLinePunct w:val="0"/>
        <w:autoSpaceDE/>
        <w:autoSpaceDN/>
        <w:bidi w:val="0"/>
        <w:adjustRightInd/>
        <w:snapToGrid/>
        <w:spacing w:line="480" w:lineRule="auto"/>
        <w:ind w:left="0" w:firstLine="720" w:firstLineChars="200"/>
        <w:jc w:val="left"/>
        <w:textAlignment w:val="auto"/>
        <w:outlineLvl w:val="0"/>
        <w:rPr>
          <w:rFonts w:hint="eastAsia" w:eastAsia="黑体"/>
          <w:sz w:val="36"/>
        </w:rPr>
      </w:pPr>
      <w:r>
        <w:rPr>
          <w:rFonts w:hint="eastAsia" w:eastAsia="黑体"/>
          <w:sz w:val="36"/>
        </w:rPr>
        <w:t>采购需求……………………………………</w:t>
      </w:r>
    </w:p>
    <w:p w14:paraId="30A80443">
      <w:pPr>
        <w:keepNext w:val="0"/>
        <w:keepLines w:val="0"/>
        <w:pageBreakBefore w:val="0"/>
        <w:widowControl w:val="0"/>
        <w:numPr>
          <w:ilvl w:val="0"/>
          <w:numId w:val="6"/>
        </w:numPr>
        <w:kinsoku/>
        <w:wordWrap/>
        <w:overflowPunct/>
        <w:topLinePunct w:val="0"/>
        <w:autoSpaceDE/>
        <w:autoSpaceDN/>
        <w:bidi w:val="0"/>
        <w:adjustRightInd/>
        <w:snapToGrid/>
        <w:spacing w:line="480" w:lineRule="auto"/>
        <w:ind w:left="0" w:firstLine="720" w:firstLineChars="200"/>
        <w:jc w:val="left"/>
        <w:textAlignment w:val="auto"/>
        <w:outlineLvl w:val="0"/>
        <w:rPr>
          <w:rFonts w:hint="eastAsia" w:eastAsia="黑体"/>
          <w:sz w:val="36"/>
        </w:rPr>
      </w:pPr>
      <w:r>
        <w:rPr>
          <w:rFonts w:hint="eastAsia" w:eastAsia="黑体"/>
          <w:bCs/>
          <w:sz w:val="36"/>
          <w:szCs w:val="36"/>
        </w:rPr>
        <w:t>评标方法与评标标准</w:t>
      </w:r>
      <w:r>
        <w:rPr>
          <w:rFonts w:hint="eastAsia" w:eastAsia="黑体"/>
          <w:sz w:val="36"/>
        </w:rPr>
        <w:t>………………………</w:t>
      </w:r>
    </w:p>
    <w:p w14:paraId="1D7163FA">
      <w:pPr>
        <w:keepNext w:val="0"/>
        <w:keepLines w:val="0"/>
        <w:pageBreakBefore w:val="0"/>
        <w:widowControl w:val="0"/>
        <w:numPr>
          <w:ilvl w:val="0"/>
          <w:numId w:val="6"/>
        </w:numPr>
        <w:kinsoku/>
        <w:wordWrap/>
        <w:overflowPunct/>
        <w:topLinePunct w:val="0"/>
        <w:autoSpaceDE/>
        <w:autoSpaceDN/>
        <w:bidi w:val="0"/>
        <w:adjustRightInd/>
        <w:snapToGrid/>
        <w:spacing w:line="480" w:lineRule="auto"/>
        <w:ind w:left="0" w:firstLine="720" w:firstLineChars="200"/>
        <w:jc w:val="left"/>
        <w:textAlignment w:val="auto"/>
        <w:outlineLvl w:val="0"/>
        <w:rPr>
          <w:rFonts w:hint="eastAsia" w:eastAsia="黑体"/>
          <w:sz w:val="36"/>
        </w:rPr>
      </w:pPr>
      <w:r>
        <w:rPr>
          <w:rFonts w:hint="eastAsia" w:eastAsia="黑体"/>
          <w:sz w:val="36"/>
        </w:rPr>
        <w:t>投标文件格式………………………………</w:t>
      </w:r>
    </w:p>
    <w:p w14:paraId="79BB2A8D">
      <w:pPr>
        <w:rPr>
          <w:rFonts w:hint="eastAsia"/>
        </w:rPr>
      </w:pPr>
    </w:p>
    <w:p w14:paraId="358841D1">
      <w:pPr>
        <w:rPr>
          <w:rFonts w:hint="eastAsia"/>
        </w:rPr>
      </w:pPr>
    </w:p>
    <w:p w14:paraId="5817BEF7">
      <w:pPr>
        <w:rPr>
          <w:rFonts w:hint="eastAsia"/>
        </w:rPr>
      </w:pPr>
    </w:p>
    <w:p w14:paraId="31711F9B">
      <w:pPr>
        <w:rPr>
          <w:rFonts w:hint="eastAsia"/>
        </w:rPr>
      </w:pPr>
    </w:p>
    <w:p w14:paraId="54B1B597">
      <w:pPr>
        <w:rPr>
          <w:rFonts w:hint="eastAsia"/>
        </w:rPr>
      </w:pPr>
    </w:p>
    <w:p w14:paraId="47D85BFE">
      <w:pPr>
        <w:rPr>
          <w:rFonts w:hint="eastAsia"/>
        </w:rPr>
      </w:pPr>
    </w:p>
    <w:p w14:paraId="42B8C893">
      <w:pPr>
        <w:rPr>
          <w:rFonts w:hint="eastAsia"/>
        </w:rPr>
      </w:pPr>
    </w:p>
    <w:p w14:paraId="470C5DD2">
      <w:pPr>
        <w:rPr>
          <w:rFonts w:hint="eastAsia"/>
        </w:rPr>
      </w:pPr>
    </w:p>
    <w:p w14:paraId="0CBEBDA4">
      <w:pPr>
        <w:rPr>
          <w:rFonts w:hint="eastAsia"/>
        </w:rPr>
      </w:pPr>
    </w:p>
    <w:p w14:paraId="6E00754B">
      <w:pPr>
        <w:rPr>
          <w:rFonts w:hint="eastAsia"/>
        </w:rPr>
      </w:pPr>
    </w:p>
    <w:p w14:paraId="58B881DA">
      <w:pPr>
        <w:rPr>
          <w:rFonts w:hint="eastAsia"/>
        </w:rPr>
      </w:pPr>
    </w:p>
    <w:p w14:paraId="5AFB06F4">
      <w:pPr>
        <w:rPr>
          <w:rFonts w:hint="eastAsia"/>
        </w:rPr>
      </w:pPr>
    </w:p>
    <w:p w14:paraId="48D35244">
      <w:pPr>
        <w:rPr>
          <w:rFonts w:hint="eastAsia"/>
        </w:rPr>
      </w:pPr>
    </w:p>
    <w:p w14:paraId="1CC5047F">
      <w:pPr>
        <w:rPr>
          <w:rFonts w:hint="eastAsia"/>
        </w:rPr>
      </w:pPr>
    </w:p>
    <w:p w14:paraId="69818084">
      <w:pPr>
        <w:rPr>
          <w:rFonts w:hint="eastAsia"/>
        </w:rPr>
      </w:pPr>
    </w:p>
    <w:p w14:paraId="0CEBC37E">
      <w:pPr>
        <w:rPr>
          <w:rFonts w:hint="eastAsia"/>
        </w:rPr>
      </w:pPr>
    </w:p>
    <w:p w14:paraId="05855561">
      <w:pPr>
        <w:rPr>
          <w:rFonts w:hint="eastAsia"/>
        </w:rPr>
      </w:pPr>
    </w:p>
    <w:p w14:paraId="3FE9237C">
      <w:pPr>
        <w:rPr>
          <w:rFonts w:hint="eastAsia"/>
        </w:rPr>
      </w:pPr>
    </w:p>
    <w:p w14:paraId="6F9F395B">
      <w:pPr>
        <w:rPr>
          <w:rFonts w:hint="eastAsia"/>
        </w:rPr>
      </w:pPr>
    </w:p>
    <w:p w14:paraId="2BBF7641">
      <w:pPr>
        <w:rPr>
          <w:rFonts w:hint="eastAsia"/>
        </w:rPr>
      </w:pPr>
    </w:p>
    <w:p w14:paraId="58159713">
      <w:pPr>
        <w:rPr>
          <w:rFonts w:hint="eastAsia"/>
        </w:rPr>
      </w:pPr>
    </w:p>
    <w:p w14:paraId="7F4E7BFF">
      <w:pPr>
        <w:rPr>
          <w:rFonts w:hint="eastAsia"/>
        </w:rPr>
      </w:pPr>
    </w:p>
    <w:p w14:paraId="38C97CBC">
      <w:pPr>
        <w:rPr>
          <w:rFonts w:hint="eastAsia"/>
        </w:rPr>
      </w:pPr>
    </w:p>
    <w:p w14:paraId="6BA0B7BB">
      <w:pPr>
        <w:rPr>
          <w:rFonts w:hint="eastAsia" w:ascii="Times New Roman" w:eastAsia="黑体"/>
          <w:sz w:val="44"/>
          <w:szCs w:val="44"/>
        </w:rPr>
      </w:pPr>
      <w:r>
        <w:rPr>
          <w:rFonts w:hint="eastAsia" w:ascii="Times New Roman" w:eastAsia="黑体"/>
          <w:sz w:val="44"/>
          <w:szCs w:val="44"/>
        </w:rPr>
        <w:br w:type="page"/>
      </w:r>
    </w:p>
    <w:p w14:paraId="0E58EFDB">
      <w:pPr>
        <w:pStyle w:val="198"/>
        <w:rPr>
          <w:rFonts w:hint="eastAsia" w:ascii="Times New Roman" w:eastAsia="黑体"/>
          <w:sz w:val="44"/>
          <w:szCs w:val="44"/>
        </w:rPr>
      </w:pPr>
    </w:p>
    <w:p w14:paraId="53729DE6">
      <w:pPr>
        <w:pStyle w:val="198"/>
        <w:rPr>
          <w:rFonts w:hint="eastAsia" w:ascii="Times New Roman" w:eastAsia="黑体"/>
          <w:bCs/>
          <w:sz w:val="44"/>
          <w:szCs w:val="44"/>
        </w:rPr>
      </w:pPr>
      <w:r>
        <w:rPr>
          <w:rFonts w:hint="eastAsia" w:ascii="Times New Roman" w:eastAsia="黑体"/>
          <w:sz w:val="44"/>
          <w:szCs w:val="44"/>
        </w:rPr>
        <w:t xml:space="preserve">第一章  </w:t>
      </w:r>
      <w:bookmarkEnd w:id="0"/>
      <w:r>
        <w:rPr>
          <w:rFonts w:hint="eastAsia" w:ascii="Times New Roman" w:eastAsia="黑体"/>
          <w:sz w:val="44"/>
          <w:szCs w:val="44"/>
        </w:rPr>
        <w:t>投标邀请</w:t>
      </w:r>
    </w:p>
    <w:p w14:paraId="5D321C9D">
      <w:pPr>
        <w:spacing w:line="400" w:lineRule="exact"/>
        <w:ind w:firstLine="480"/>
        <w:rPr>
          <w:rFonts w:hint="eastAsia" w:ascii="宋体" w:hAnsi="宋体" w:eastAsia="宋体" w:cs="宋体"/>
          <w:sz w:val="24"/>
          <w:szCs w:val="24"/>
        </w:rPr>
      </w:pPr>
      <w:r>
        <w:rPr>
          <w:rFonts w:hint="eastAsia" w:ascii="宋体" w:hAnsi="宋体" w:eastAsia="宋体" w:cs="宋体"/>
          <w:sz w:val="24"/>
          <w:szCs w:val="24"/>
        </w:rPr>
        <w:t>受</w:t>
      </w:r>
      <w:r>
        <w:rPr>
          <w:rFonts w:hint="eastAsia" w:ascii="宋体" w:hAnsi="宋体" w:eastAsia="宋体" w:cs="宋体"/>
          <w:sz w:val="24"/>
          <w:szCs w:val="24"/>
          <w:u w:val="single"/>
        </w:rPr>
        <w:t>沭阳县住房和城乡建设局</w:t>
      </w:r>
      <w:r>
        <w:rPr>
          <w:rFonts w:hint="eastAsia" w:ascii="宋体" w:hAnsi="宋体" w:eastAsia="宋体" w:cs="宋体"/>
          <w:sz w:val="24"/>
          <w:szCs w:val="24"/>
        </w:rPr>
        <w:t>的委托，</w:t>
      </w:r>
      <w:r>
        <w:rPr>
          <w:rFonts w:hint="eastAsia" w:ascii="宋体" w:hAnsi="宋体" w:eastAsia="宋体" w:cs="宋体"/>
          <w:sz w:val="24"/>
          <w:szCs w:val="24"/>
          <w:u w:val="single"/>
        </w:rPr>
        <w:t>江苏中置宏胜项目管理有限公司</w:t>
      </w:r>
      <w:r>
        <w:rPr>
          <w:rFonts w:hint="eastAsia" w:ascii="宋体" w:hAnsi="宋体" w:eastAsia="宋体" w:cs="宋体"/>
          <w:sz w:val="24"/>
          <w:szCs w:val="24"/>
        </w:rPr>
        <w:t>就</w:t>
      </w:r>
      <w:r>
        <w:rPr>
          <w:rFonts w:hint="eastAsia" w:ascii="宋体" w:hAnsi="宋体" w:cs="宋体"/>
          <w:sz w:val="24"/>
          <w:szCs w:val="24"/>
          <w:u w:val="single"/>
          <w:lang w:eastAsia="zh-CN"/>
        </w:rPr>
        <w:t>沭阳县耿圩镇污水处理厂提质提标项目</w:t>
      </w:r>
      <w:r>
        <w:rPr>
          <w:rFonts w:hint="eastAsia" w:ascii="宋体" w:hAnsi="宋体" w:eastAsia="宋体" w:cs="宋体"/>
          <w:sz w:val="24"/>
          <w:szCs w:val="24"/>
          <w:u w:val="single"/>
          <w:lang w:eastAsia="zh-CN"/>
        </w:rPr>
        <w:t>（</w:t>
      </w:r>
      <w:r>
        <w:rPr>
          <w:rFonts w:hint="eastAsia" w:ascii="宋体" w:hAnsi="宋体" w:cs="宋体"/>
          <w:sz w:val="24"/>
          <w:szCs w:val="24"/>
          <w:u w:val="single"/>
          <w:lang w:eastAsia="zh-CN"/>
        </w:rPr>
        <w:t>JSZC-321322-ZZHS-G2024-0003</w:t>
      </w:r>
      <w:r>
        <w:rPr>
          <w:rFonts w:hint="eastAsia" w:ascii="宋体" w:hAnsi="宋体" w:eastAsia="宋体" w:cs="宋体"/>
          <w:sz w:val="24"/>
          <w:szCs w:val="24"/>
          <w:u w:val="single"/>
          <w:lang w:eastAsia="zh-CN"/>
        </w:rPr>
        <w:t>）</w:t>
      </w:r>
      <w:r>
        <w:rPr>
          <w:rFonts w:hint="eastAsia" w:ascii="宋体" w:hAnsi="宋体" w:eastAsia="宋体" w:cs="宋体"/>
          <w:sz w:val="24"/>
          <w:szCs w:val="24"/>
        </w:rPr>
        <w:t>项目进行公开招标采购，欢迎符合条件的投标人投标。</w:t>
      </w:r>
    </w:p>
    <w:p w14:paraId="13B8F495">
      <w:pPr>
        <w:pBdr>
          <w:top w:val="single" w:color="000000" w:sz="4" w:space="1"/>
          <w:left w:val="single" w:color="000000" w:sz="4" w:space="4"/>
          <w:bottom w:val="single" w:color="000000" w:sz="4" w:space="1"/>
          <w:right w:val="single" w:color="000000" w:sz="4" w:space="4"/>
        </w:pBdr>
        <w:spacing w:line="400" w:lineRule="exact"/>
        <w:ind w:firstLine="480"/>
        <w:rPr>
          <w:rFonts w:hint="eastAsia" w:ascii="宋体" w:hAnsi="宋体" w:eastAsia="宋体" w:cs="宋体"/>
          <w:sz w:val="24"/>
          <w:szCs w:val="24"/>
        </w:rPr>
      </w:pPr>
      <w:r>
        <w:rPr>
          <w:rFonts w:hint="eastAsia" w:ascii="宋体" w:hAnsi="宋体" w:eastAsia="宋体" w:cs="宋体"/>
          <w:sz w:val="24"/>
          <w:szCs w:val="24"/>
        </w:rPr>
        <w:t>项目概况</w:t>
      </w:r>
    </w:p>
    <w:p w14:paraId="0E93BC2D">
      <w:pPr>
        <w:pBdr>
          <w:top w:val="single" w:color="000000" w:sz="4" w:space="1"/>
          <w:left w:val="single" w:color="000000" w:sz="4" w:space="4"/>
          <w:bottom w:val="single" w:color="000000" w:sz="4" w:space="1"/>
          <w:right w:val="single" w:color="000000" w:sz="4" w:space="4"/>
        </w:pBdr>
        <w:spacing w:line="400" w:lineRule="exact"/>
        <w:ind w:firstLine="480"/>
        <w:rPr>
          <w:rFonts w:hint="eastAsia" w:ascii="宋体" w:hAnsi="宋体" w:eastAsia="宋体" w:cs="宋体"/>
          <w:sz w:val="24"/>
          <w:szCs w:val="24"/>
        </w:rPr>
      </w:pPr>
      <w:r>
        <w:rPr>
          <w:rFonts w:hint="eastAsia" w:ascii="宋体" w:hAnsi="宋体" w:cs="宋体"/>
          <w:sz w:val="24"/>
          <w:szCs w:val="24"/>
          <w:u w:val="single"/>
          <w:lang w:eastAsia="zh-CN"/>
        </w:rPr>
        <w:t>沭阳县耿圩镇污水处理厂提质提标项目</w:t>
      </w:r>
      <w:r>
        <w:rPr>
          <w:rFonts w:hint="eastAsia" w:ascii="宋体" w:hAnsi="宋体" w:eastAsia="宋体" w:cs="宋体"/>
          <w:sz w:val="24"/>
          <w:szCs w:val="24"/>
        </w:rPr>
        <w:t>招标项目的潜在投标人可在</w:t>
      </w:r>
      <w:r>
        <w:rPr>
          <w:rFonts w:hint="eastAsia" w:ascii="宋体" w:hAnsi="宋体" w:eastAsia="宋体" w:cs="宋体"/>
          <w:sz w:val="24"/>
          <w:szCs w:val="24"/>
          <w:u w:val="single"/>
        </w:rPr>
        <w:t>“宿迁市政府采购网”自行免费下载</w:t>
      </w:r>
      <w:r>
        <w:rPr>
          <w:rFonts w:hint="eastAsia" w:ascii="宋体" w:hAnsi="宋体" w:eastAsia="宋体" w:cs="宋体"/>
          <w:sz w:val="24"/>
          <w:szCs w:val="24"/>
        </w:rPr>
        <w:t>招标文件，并于</w:t>
      </w:r>
      <w:r>
        <w:rPr>
          <w:rFonts w:hint="eastAsia" w:ascii="宋体" w:hAnsi="宋体" w:eastAsia="宋体" w:cs="宋体"/>
          <w:sz w:val="24"/>
          <w:szCs w:val="24"/>
          <w:u w:val="single"/>
          <w:lang w:val="en-US" w:eastAsia="zh-CN"/>
        </w:rPr>
        <w:t>2024</w:t>
      </w:r>
      <w:r>
        <w:rPr>
          <w:rFonts w:hint="eastAsia" w:ascii="宋体" w:hAnsi="宋体" w:eastAsia="宋体" w:cs="宋体"/>
          <w:bCs/>
          <w:sz w:val="24"/>
          <w:szCs w:val="24"/>
          <w:u w:val="single"/>
        </w:rPr>
        <w:t>年</w:t>
      </w:r>
      <w:r>
        <w:rPr>
          <w:rFonts w:hint="eastAsia" w:ascii="宋体" w:hAnsi="宋体" w:cs="宋体"/>
          <w:bCs/>
          <w:sz w:val="24"/>
          <w:szCs w:val="24"/>
          <w:u w:val="single"/>
          <w:lang w:val="en-US" w:eastAsia="zh-CN"/>
        </w:rPr>
        <w:t>11</w:t>
      </w:r>
      <w:r>
        <w:rPr>
          <w:rFonts w:hint="eastAsia" w:ascii="宋体" w:hAnsi="宋体" w:eastAsia="宋体" w:cs="宋体"/>
          <w:bCs/>
          <w:sz w:val="24"/>
          <w:szCs w:val="24"/>
          <w:u w:val="single"/>
        </w:rPr>
        <w:t>月</w:t>
      </w:r>
      <w:r>
        <w:rPr>
          <w:rFonts w:hint="eastAsia" w:ascii="宋体" w:hAnsi="宋体" w:cs="宋体"/>
          <w:bCs/>
          <w:sz w:val="24"/>
          <w:szCs w:val="24"/>
          <w:u w:val="single"/>
          <w:lang w:val="en-US" w:eastAsia="zh-CN"/>
        </w:rPr>
        <w:t>12</w:t>
      </w:r>
      <w:r>
        <w:rPr>
          <w:rFonts w:hint="eastAsia" w:ascii="宋体" w:hAnsi="宋体" w:eastAsia="宋体" w:cs="宋体"/>
          <w:bCs/>
          <w:sz w:val="24"/>
          <w:szCs w:val="24"/>
          <w:u w:val="single"/>
        </w:rPr>
        <w:t>日</w:t>
      </w:r>
      <w:r>
        <w:rPr>
          <w:rFonts w:hint="eastAsia" w:ascii="宋体" w:hAnsi="宋体" w:eastAsia="宋体" w:cs="宋体"/>
          <w:bCs/>
          <w:sz w:val="24"/>
          <w:szCs w:val="24"/>
          <w:u w:val="single"/>
          <w:lang w:val="en-US" w:eastAsia="zh-CN"/>
        </w:rPr>
        <w:t>09</w:t>
      </w:r>
      <w:r>
        <w:rPr>
          <w:rFonts w:hint="eastAsia" w:ascii="宋体" w:hAnsi="宋体" w:eastAsia="宋体" w:cs="宋体"/>
          <w:bCs/>
          <w:sz w:val="24"/>
          <w:szCs w:val="24"/>
          <w:u w:val="single"/>
        </w:rPr>
        <w:t>点</w:t>
      </w:r>
      <w:r>
        <w:rPr>
          <w:rFonts w:hint="eastAsia" w:ascii="宋体" w:hAnsi="宋体" w:eastAsia="宋体" w:cs="宋体"/>
          <w:bCs/>
          <w:sz w:val="24"/>
          <w:szCs w:val="24"/>
          <w:u w:val="single"/>
          <w:lang w:val="en-US" w:eastAsia="zh-CN"/>
        </w:rPr>
        <w:t>30</w:t>
      </w:r>
      <w:r>
        <w:rPr>
          <w:rFonts w:hint="eastAsia" w:ascii="宋体" w:hAnsi="宋体" w:eastAsia="宋体" w:cs="宋体"/>
          <w:bCs/>
          <w:sz w:val="24"/>
          <w:szCs w:val="24"/>
          <w:u w:val="single"/>
        </w:rPr>
        <w:t>分（</w:t>
      </w:r>
      <w:r>
        <w:rPr>
          <w:rFonts w:hint="eastAsia" w:ascii="宋体" w:hAnsi="宋体" w:eastAsia="宋体" w:cs="宋体"/>
          <w:bCs/>
          <w:sz w:val="24"/>
          <w:szCs w:val="24"/>
        </w:rPr>
        <w:t>北京时间）前递交投标文件</w:t>
      </w:r>
      <w:r>
        <w:rPr>
          <w:rFonts w:hint="eastAsia" w:ascii="宋体" w:hAnsi="宋体" w:eastAsia="宋体" w:cs="宋体"/>
          <w:sz w:val="24"/>
          <w:szCs w:val="24"/>
        </w:rPr>
        <w:t>。</w:t>
      </w:r>
    </w:p>
    <w:p w14:paraId="24CFEC29">
      <w:pPr>
        <w:pStyle w:val="200"/>
        <w:pageBreakBefore w:val="0"/>
        <w:spacing w:before="0" w:after="0" w:line="420" w:lineRule="exact"/>
        <w:ind w:firstLine="482"/>
        <w:jc w:val="left"/>
        <w:rPr>
          <w:rFonts w:hint="eastAsia" w:ascii="宋体" w:hAnsi="宋体" w:eastAsia="宋体" w:cs="宋体"/>
          <w:color w:val="auto"/>
          <w:sz w:val="24"/>
          <w:szCs w:val="24"/>
        </w:rPr>
      </w:pPr>
      <w:bookmarkStart w:id="6" w:name="_Toc38985263"/>
      <w:bookmarkStart w:id="7" w:name="_Toc28359002"/>
      <w:bookmarkStart w:id="8" w:name="_Toc35393790"/>
      <w:bookmarkStart w:id="9" w:name="_Toc35393621"/>
      <w:bookmarkStart w:id="10" w:name="_Toc28359079"/>
      <w:bookmarkStart w:id="11" w:name="_Hlk24379207"/>
      <w:r>
        <w:rPr>
          <w:rFonts w:hint="eastAsia" w:ascii="宋体" w:hAnsi="宋体" w:eastAsia="宋体" w:cs="宋体"/>
          <w:color w:val="auto"/>
          <w:sz w:val="24"/>
          <w:szCs w:val="24"/>
        </w:rPr>
        <w:t>一、项目基本情况</w:t>
      </w:r>
      <w:bookmarkEnd w:id="6"/>
      <w:bookmarkEnd w:id="7"/>
      <w:bookmarkEnd w:id="8"/>
      <w:bookmarkEnd w:id="9"/>
      <w:bookmarkEnd w:id="10"/>
    </w:p>
    <w:p w14:paraId="27D2D1C3">
      <w:pPr>
        <w:pageBreakBefore w:val="0"/>
        <w:spacing w:line="420" w:lineRule="exact"/>
        <w:ind w:firstLine="48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1.项目编号：</w:t>
      </w:r>
      <w:r>
        <w:rPr>
          <w:rFonts w:hint="eastAsia" w:ascii="宋体" w:hAnsi="宋体" w:cs="宋体"/>
          <w:color w:val="auto"/>
          <w:sz w:val="24"/>
          <w:szCs w:val="24"/>
          <w:lang w:eastAsia="zh-CN"/>
        </w:rPr>
        <w:t>JSZC-321322-ZZHS-G2024-0003</w:t>
      </w:r>
      <w:r>
        <w:rPr>
          <w:rFonts w:hint="eastAsia" w:ascii="宋体" w:hAnsi="宋体" w:cs="宋体"/>
          <w:color w:val="auto"/>
          <w:sz w:val="24"/>
          <w:szCs w:val="24"/>
          <w:lang w:val="en-US" w:eastAsia="zh-CN"/>
        </w:rPr>
        <w:t xml:space="preserve"> </w:t>
      </w:r>
    </w:p>
    <w:p w14:paraId="19DC2298">
      <w:pPr>
        <w:pageBreakBefore w:val="0"/>
        <w:spacing w:line="420" w:lineRule="exact"/>
        <w:ind w:firstLine="480"/>
        <w:jc w:val="left"/>
        <w:rPr>
          <w:rFonts w:hint="default" w:ascii="宋体" w:hAnsi="宋体" w:cs="宋体"/>
          <w:color w:val="auto"/>
          <w:sz w:val="24"/>
          <w:szCs w:val="24"/>
          <w:lang w:val="en-US" w:eastAsia="zh-CN"/>
        </w:rPr>
      </w:pPr>
      <w:r>
        <w:rPr>
          <w:rFonts w:hint="eastAsia" w:ascii="宋体" w:hAnsi="宋体" w:eastAsia="宋体" w:cs="宋体"/>
          <w:color w:val="auto"/>
          <w:sz w:val="24"/>
          <w:szCs w:val="24"/>
        </w:rPr>
        <w:t>2.项目名称：</w:t>
      </w:r>
      <w:bookmarkEnd w:id="11"/>
      <w:r>
        <w:rPr>
          <w:rFonts w:hint="eastAsia" w:ascii="宋体" w:hAnsi="宋体" w:cs="宋体"/>
          <w:color w:val="auto"/>
          <w:sz w:val="24"/>
          <w:szCs w:val="24"/>
          <w:lang w:eastAsia="zh-CN"/>
        </w:rPr>
        <w:t>沭阳县耿圩镇污水处理厂提质提标项目</w:t>
      </w:r>
    </w:p>
    <w:p w14:paraId="221FDD6B">
      <w:pPr>
        <w:pageBreakBefore w:val="0"/>
        <w:spacing w:line="420" w:lineRule="exac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3.预算金额：</w:t>
      </w:r>
      <w:r>
        <w:rPr>
          <w:rFonts w:hint="eastAsia" w:ascii="宋体" w:hAnsi="宋体" w:cs="宋体"/>
          <w:color w:val="auto"/>
          <w:sz w:val="24"/>
          <w:szCs w:val="24"/>
          <w:lang w:val="en-US" w:eastAsia="zh-CN"/>
        </w:rPr>
        <w:t>617</w:t>
      </w:r>
      <w:r>
        <w:rPr>
          <w:rFonts w:hint="eastAsia" w:ascii="宋体" w:hAnsi="宋体" w:eastAsia="宋体" w:cs="宋体"/>
          <w:color w:val="auto"/>
          <w:sz w:val="24"/>
          <w:szCs w:val="24"/>
        </w:rPr>
        <w:t>万元</w:t>
      </w:r>
    </w:p>
    <w:p w14:paraId="676F0B50">
      <w:pPr>
        <w:pageBreakBefore w:val="0"/>
        <w:spacing w:line="420" w:lineRule="exac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4.本项目</w:t>
      </w:r>
      <w:r>
        <w:rPr>
          <w:rFonts w:hint="eastAsia" w:ascii="宋体" w:hAnsi="宋体" w:eastAsia="宋体" w:cs="宋体"/>
          <w:color w:val="auto"/>
          <w:sz w:val="24"/>
          <w:szCs w:val="24"/>
          <w:u w:val="none"/>
        </w:rPr>
        <w:t>设定最</w:t>
      </w:r>
      <w:r>
        <w:rPr>
          <w:rFonts w:hint="eastAsia" w:ascii="宋体" w:hAnsi="宋体" w:eastAsia="宋体" w:cs="宋体"/>
          <w:color w:val="auto"/>
          <w:sz w:val="24"/>
          <w:szCs w:val="24"/>
        </w:rPr>
        <w:t>高限价，最高限价为</w:t>
      </w:r>
      <w:r>
        <w:rPr>
          <w:rFonts w:hint="eastAsia" w:ascii="宋体" w:hAnsi="宋体" w:cs="宋体"/>
          <w:color w:val="auto"/>
          <w:sz w:val="24"/>
          <w:szCs w:val="24"/>
          <w:u w:val="none"/>
          <w:lang w:val="en-US" w:eastAsia="zh-CN"/>
        </w:rPr>
        <w:t>602</w:t>
      </w:r>
      <w:r>
        <w:rPr>
          <w:rFonts w:hint="eastAsia" w:ascii="宋体" w:hAnsi="宋体" w:eastAsia="宋体" w:cs="宋体"/>
          <w:color w:val="auto"/>
          <w:sz w:val="24"/>
          <w:szCs w:val="24"/>
        </w:rPr>
        <w:t>万元。</w:t>
      </w:r>
    </w:p>
    <w:p w14:paraId="2E190805">
      <w:pPr>
        <w:pageBreakBefore w:val="0"/>
        <w:spacing w:line="420" w:lineRule="exact"/>
        <w:ind w:firstLine="48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5.采购需求：耿圩镇污水处理厂扩建项目，由原来的1000吨/天，提高至2500吨/天。主体采用一体化处理设备，运营期一年。</w:t>
      </w:r>
      <w:r>
        <w:rPr>
          <w:rFonts w:hint="eastAsia" w:ascii="宋体" w:hAnsi="宋体" w:eastAsia="宋体" w:cs="宋体"/>
          <w:color w:val="auto"/>
          <w:sz w:val="24"/>
          <w:szCs w:val="24"/>
          <w:lang w:val="en-US" w:eastAsia="zh-CN"/>
        </w:rPr>
        <w:t>详见第四章采购需求。</w:t>
      </w:r>
      <w:r>
        <w:rPr>
          <w:rFonts w:hint="eastAsia" w:ascii="宋体" w:hAnsi="宋体" w:eastAsia="宋体" w:cs="宋体"/>
          <w:color w:val="auto"/>
          <w:sz w:val="24"/>
          <w:szCs w:val="24"/>
        </w:rPr>
        <w:t xml:space="preserve"> </w:t>
      </w:r>
    </w:p>
    <w:p w14:paraId="4F0B4B67">
      <w:pPr>
        <w:pStyle w:val="361"/>
        <w:pageBreakBefore w:val="0"/>
        <w:spacing w:line="420" w:lineRule="exac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6.合同履行期限：施工工期总日历天数：</w:t>
      </w:r>
      <w:r>
        <w:rPr>
          <w:rFonts w:hint="eastAsia" w:ascii="宋体" w:hAnsi="宋体" w:cs="宋体"/>
          <w:color w:val="auto"/>
          <w:sz w:val="24"/>
          <w:szCs w:val="24"/>
          <w:u w:val="single"/>
          <w:lang w:val="en-US" w:eastAsia="zh-CN"/>
        </w:rPr>
        <w:t>120</w:t>
      </w:r>
      <w:r>
        <w:rPr>
          <w:rFonts w:hint="eastAsia" w:ascii="宋体" w:hAnsi="宋体" w:eastAsia="宋体" w:cs="宋体"/>
          <w:color w:val="auto"/>
          <w:sz w:val="24"/>
          <w:szCs w:val="24"/>
        </w:rPr>
        <w:t>天，运营工期总日历天数：</w:t>
      </w:r>
      <w:r>
        <w:rPr>
          <w:rFonts w:hint="eastAsia" w:ascii="宋体" w:hAnsi="宋体" w:eastAsia="宋体" w:cs="宋体"/>
          <w:color w:val="auto"/>
          <w:sz w:val="24"/>
          <w:szCs w:val="24"/>
          <w:u w:val="single"/>
        </w:rPr>
        <w:t xml:space="preserve">365 </w:t>
      </w:r>
      <w:r>
        <w:rPr>
          <w:rFonts w:hint="eastAsia" w:ascii="宋体" w:hAnsi="宋体" w:eastAsia="宋体" w:cs="宋体"/>
          <w:color w:val="auto"/>
          <w:sz w:val="24"/>
          <w:szCs w:val="24"/>
        </w:rPr>
        <w:t>天。</w:t>
      </w:r>
    </w:p>
    <w:p w14:paraId="26CF8330">
      <w:pPr>
        <w:pageBreakBefore w:val="0"/>
        <w:spacing w:line="420" w:lineRule="exact"/>
        <w:ind w:firstLine="480"/>
        <w:jc w:val="left"/>
        <w:rPr>
          <w:rFonts w:hint="eastAsia" w:ascii="宋体" w:hAnsi="宋体" w:eastAsia="宋体" w:cs="宋体"/>
          <w:color w:val="auto"/>
          <w:sz w:val="24"/>
          <w:szCs w:val="24"/>
          <w:highlight w:val="yellow"/>
        </w:rPr>
      </w:pPr>
      <w:r>
        <w:rPr>
          <w:rFonts w:hint="eastAsia" w:ascii="宋体" w:hAnsi="宋体" w:eastAsia="宋体" w:cs="宋体"/>
          <w:color w:val="auto"/>
          <w:sz w:val="24"/>
          <w:szCs w:val="24"/>
        </w:rPr>
        <w:t>7.本项目</w:t>
      </w:r>
      <w:r>
        <w:rPr>
          <w:rFonts w:hint="eastAsia" w:ascii="宋体" w:hAnsi="宋体" w:eastAsia="宋体" w:cs="宋体"/>
          <w:color w:val="auto"/>
          <w:sz w:val="24"/>
          <w:szCs w:val="24"/>
          <w:u w:val="single"/>
        </w:rPr>
        <w:t>不接受</w:t>
      </w:r>
      <w:r>
        <w:rPr>
          <w:rFonts w:hint="eastAsia" w:ascii="宋体" w:hAnsi="宋体" w:eastAsia="宋体" w:cs="宋体"/>
          <w:color w:val="auto"/>
          <w:sz w:val="24"/>
          <w:szCs w:val="24"/>
        </w:rPr>
        <w:t>联合体投标。</w:t>
      </w:r>
    </w:p>
    <w:p w14:paraId="51AB08B0">
      <w:pPr>
        <w:pStyle w:val="200"/>
        <w:pageBreakBefore w:val="0"/>
        <w:spacing w:before="0" w:after="0" w:line="420" w:lineRule="exact"/>
        <w:ind w:firstLine="482"/>
        <w:jc w:val="left"/>
        <w:rPr>
          <w:rFonts w:hint="eastAsia" w:ascii="宋体" w:hAnsi="宋体" w:eastAsia="宋体" w:cs="宋体"/>
          <w:color w:val="auto"/>
          <w:sz w:val="24"/>
          <w:szCs w:val="24"/>
        </w:rPr>
      </w:pPr>
      <w:bookmarkStart w:id="12" w:name="_Toc28359003"/>
      <w:bookmarkStart w:id="13" w:name="_Toc35393791"/>
      <w:bookmarkStart w:id="14" w:name="_Toc28359080"/>
      <w:bookmarkStart w:id="15" w:name="_Toc35393622"/>
      <w:bookmarkStart w:id="16" w:name="_Toc38985264"/>
      <w:r>
        <w:rPr>
          <w:rFonts w:hint="eastAsia" w:ascii="宋体" w:hAnsi="宋体" w:eastAsia="宋体" w:cs="宋体"/>
          <w:color w:val="auto"/>
          <w:sz w:val="24"/>
          <w:szCs w:val="24"/>
        </w:rPr>
        <w:t>二、申请人的资格要求：</w:t>
      </w:r>
      <w:bookmarkEnd w:id="12"/>
      <w:bookmarkEnd w:id="13"/>
      <w:bookmarkEnd w:id="14"/>
      <w:bookmarkEnd w:id="15"/>
      <w:bookmarkEnd w:id="16"/>
    </w:p>
    <w:p w14:paraId="635DFDF5">
      <w:pPr>
        <w:pageBreakBefore w:val="0"/>
        <w:spacing w:line="420" w:lineRule="exact"/>
        <w:ind w:firstLine="480"/>
        <w:jc w:val="left"/>
        <w:rPr>
          <w:rFonts w:hint="eastAsia" w:ascii="宋体" w:hAnsi="宋体" w:eastAsia="宋体" w:cs="宋体"/>
          <w:color w:val="auto"/>
          <w:sz w:val="24"/>
          <w:szCs w:val="24"/>
        </w:rPr>
      </w:pPr>
      <w:bookmarkStart w:id="17" w:name="_Toc28359081"/>
      <w:bookmarkStart w:id="18" w:name="_Toc38985265"/>
      <w:bookmarkStart w:id="19" w:name="_Toc35393623"/>
      <w:bookmarkStart w:id="20" w:name="_Toc35393792"/>
      <w:bookmarkStart w:id="21" w:name="_Toc28359004"/>
      <w:r>
        <w:rPr>
          <w:rFonts w:hint="eastAsia" w:ascii="宋体" w:hAnsi="宋体" w:eastAsia="宋体" w:cs="宋体"/>
          <w:color w:val="auto"/>
          <w:sz w:val="24"/>
          <w:szCs w:val="24"/>
        </w:rPr>
        <w:t>（一）通用资格要求</w:t>
      </w:r>
    </w:p>
    <w:p w14:paraId="627F3879">
      <w:pPr>
        <w:keepNext w:val="0"/>
        <w:keepLines w:val="0"/>
        <w:pageBreakBefore w:val="0"/>
        <w:widowControl w:val="0"/>
        <w:kinsoku/>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1.具备《中华人民共和国政府采购法》第二十二条第一款规定的6项条件（按要求提供投标声明及承诺函）。</w:t>
      </w:r>
    </w:p>
    <w:p w14:paraId="691222C1">
      <w:pPr>
        <w:keepNext w:val="0"/>
        <w:keepLines w:val="0"/>
        <w:pageBreakBefore w:val="0"/>
        <w:widowControl w:val="0"/>
        <w:kinsoku/>
        <w:wordWrap w:val="0"/>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信用信息。信用信息查询渠道：“信用中国”网（www.creditchina.gov.cn）、“中国政府采购”网（www.ccgp.gov.cn）、江苏政府采购网（www.ccgp-jiangsu.gov.cn）。信用信息的使用规则：供应商被列入失信被执行人、重大税收违法失信主体、政府采购严重违法失信行为记录名单及其他不符合《中华人民共和国政府采购法》第二十二条规定条件的供应商，将拒绝其参与政府采购活动。（投标文件中无需提供证明材料）。</w:t>
      </w:r>
    </w:p>
    <w:p w14:paraId="0B9AB36B">
      <w:pPr>
        <w:keepNext w:val="0"/>
        <w:keepLines w:val="0"/>
        <w:pageBreakBefore w:val="0"/>
        <w:widowControl w:val="0"/>
        <w:kinsoku/>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3.落实政府采购政策需满足的资格要求：无</w:t>
      </w:r>
      <w:r>
        <w:rPr>
          <w:rFonts w:hint="eastAsia" w:ascii="宋体" w:hAnsi="宋体" w:eastAsia="宋体" w:cs="宋体"/>
          <w:color w:val="auto"/>
          <w:sz w:val="24"/>
          <w:szCs w:val="24"/>
          <w:lang w:eastAsia="zh-CN"/>
        </w:rPr>
        <w:t>。</w:t>
      </w:r>
    </w:p>
    <w:p w14:paraId="0D37BDBB">
      <w:pPr>
        <w:pageBreakBefore w:val="0"/>
        <w:spacing w:line="420" w:lineRule="exac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（二）本项目的特定资格要求：</w:t>
      </w:r>
    </w:p>
    <w:p w14:paraId="197BAFEB">
      <w:pPr>
        <w:pageBreakBefore w:val="0"/>
        <w:spacing w:line="420" w:lineRule="exac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 具有独立订立合同的能力；</w:t>
      </w:r>
    </w:p>
    <w:p w14:paraId="128BB22D">
      <w:pPr>
        <w:pageBreakBefore w:val="0"/>
        <w:spacing w:line="420" w:lineRule="exac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 申请人资质类别和等级为具备下列条件之一：</w:t>
      </w:r>
    </w:p>
    <w:p w14:paraId="62EF9B28">
      <w:pPr>
        <w:pageBreakBefore w:val="0"/>
        <w:spacing w:line="420" w:lineRule="exac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（1）具备工程设计综合甲级资质和市政公用工程施工总承包三级及以上资质；</w:t>
      </w:r>
    </w:p>
    <w:p w14:paraId="7118E554">
      <w:pPr>
        <w:pageBreakBefore w:val="0"/>
        <w:spacing w:line="420" w:lineRule="exac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（2）具备工程设计市政行业乙级及以上资质和市政公用工程施工总承包三级及以上资质；</w:t>
      </w:r>
    </w:p>
    <w:p w14:paraId="17FE1FBF">
      <w:pPr>
        <w:pageBreakBefore w:val="0"/>
        <w:spacing w:line="420" w:lineRule="exac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（3）具备工程设计市政行业（燃气工程、轨道交通工程除外）乙级及以上资质和市政公用工程施工总承包三级及以上资质；</w:t>
      </w:r>
    </w:p>
    <w:p w14:paraId="087F22BB">
      <w:pPr>
        <w:pageBreakBefore w:val="0"/>
        <w:spacing w:line="420" w:lineRule="exac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（4）具备工程设计市政行业（排水工程）乙级及以上资质和市政公用工程施工总承包三级及以上资质。</w:t>
      </w:r>
    </w:p>
    <w:p w14:paraId="1F202EC0">
      <w:pPr>
        <w:pageBreakBefore w:val="0"/>
        <w:spacing w:line="420" w:lineRule="exac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注：提供市政公用工程施工总承包三级及以上资质的，企业需具备安全生产条件，并取得安全生产许可证。且在投标文件递交截止时间当日，登录“省建筑市场监管与诚信信息一体化平台”查询，该资质动态监管结果不处于不合格状态。</w:t>
      </w:r>
    </w:p>
    <w:p w14:paraId="0F76F4A9">
      <w:pPr>
        <w:pStyle w:val="200"/>
        <w:pageBreakBefore w:val="0"/>
        <w:spacing w:before="0" w:after="0" w:line="420" w:lineRule="exact"/>
        <w:ind w:firstLine="482"/>
        <w:jc w:val="left"/>
        <w:rPr>
          <w:rFonts w:hint="eastAsia" w:ascii="宋体" w:hAnsi="宋体" w:eastAsia="宋体" w:cs="宋体"/>
          <w:color w:val="auto"/>
          <w:sz w:val="24"/>
          <w:szCs w:val="24"/>
        </w:rPr>
      </w:pPr>
      <w:r>
        <w:rPr>
          <w:rFonts w:hint="eastAsia" w:ascii="宋体" w:hAnsi="宋体" w:eastAsia="宋体" w:cs="宋体"/>
          <w:color w:val="auto"/>
          <w:sz w:val="24"/>
          <w:szCs w:val="24"/>
        </w:rPr>
        <w:t>三、获取招标文件</w:t>
      </w:r>
      <w:bookmarkEnd w:id="17"/>
      <w:bookmarkEnd w:id="18"/>
      <w:bookmarkEnd w:id="19"/>
      <w:bookmarkEnd w:id="20"/>
      <w:bookmarkEnd w:id="21"/>
    </w:p>
    <w:p w14:paraId="23EC3D60">
      <w:pPr>
        <w:pageBreakBefore w:val="0"/>
        <w:spacing w:line="420" w:lineRule="exact"/>
        <w:ind w:firstLine="480"/>
        <w:jc w:val="left"/>
        <w:rPr>
          <w:rFonts w:hint="eastAsia" w:ascii="宋体" w:hAnsi="宋体" w:eastAsia="宋体" w:cs="宋体"/>
          <w:color w:val="auto"/>
          <w:sz w:val="24"/>
          <w:szCs w:val="24"/>
        </w:rPr>
      </w:pPr>
      <w:bookmarkStart w:id="22" w:name="_Toc28359005"/>
      <w:bookmarkStart w:id="23" w:name="_Toc28359082"/>
      <w:bookmarkStart w:id="24" w:name="_Toc38985266"/>
      <w:bookmarkStart w:id="25" w:name="_Toc35393624"/>
      <w:bookmarkStart w:id="26" w:name="_Toc35393793"/>
      <w:r>
        <w:rPr>
          <w:rFonts w:hint="eastAsia" w:ascii="宋体" w:hAnsi="宋体" w:eastAsia="宋体" w:cs="宋体"/>
          <w:color w:val="auto"/>
          <w:sz w:val="24"/>
          <w:szCs w:val="24"/>
        </w:rPr>
        <w:t>1.时间：</w:t>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23</w:t>
      </w:r>
      <w:r>
        <w:rPr>
          <w:rFonts w:hint="eastAsia" w:ascii="宋体" w:hAnsi="宋体" w:eastAsia="宋体" w:cs="宋体"/>
          <w:color w:val="auto"/>
          <w:sz w:val="24"/>
          <w:szCs w:val="24"/>
        </w:rPr>
        <w:t>日</w:t>
      </w:r>
      <w:r>
        <w:rPr>
          <w:rFonts w:hint="eastAsia" w:ascii="宋体" w:hAnsi="宋体" w:cs="宋体"/>
          <w:color w:val="auto"/>
          <w:sz w:val="24"/>
          <w:szCs w:val="24"/>
          <w:lang w:val="en-US" w:eastAsia="zh-CN"/>
        </w:rPr>
        <w:t>09:00</w:t>
      </w:r>
      <w:r>
        <w:rPr>
          <w:rFonts w:hint="eastAsia" w:ascii="宋体" w:hAnsi="宋体" w:eastAsia="宋体" w:cs="宋体"/>
          <w:color w:val="auto"/>
          <w:sz w:val="24"/>
          <w:szCs w:val="24"/>
        </w:rPr>
        <w:t>至</w:t>
      </w:r>
      <w:bookmarkStart w:id="27" w:name="EB4a82fe30d91a48338ebb02b9012d939c"/>
      <w:r>
        <w:rPr>
          <w:rFonts w:hint="eastAsia" w:ascii="宋体" w:hAnsi="宋体" w:eastAsia="宋体" w:cs="宋体"/>
          <w:color w:val="auto"/>
          <w:sz w:val="24"/>
          <w:szCs w:val="24"/>
          <w:lang w:val="en-US" w:eastAsia="zh-CN"/>
        </w:rPr>
        <w:t>2024</w:t>
      </w:r>
      <w:bookmarkEnd w:id="27"/>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29</w:t>
      </w:r>
      <w:r>
        <w:rPr>
          <w:rFonts w:hint="eastAsia" w:ascii="宋体" w:hAnsi="宋体" w:eastAsia="宋体" w:cs="宋体"/>
          <w:color w:val="auto"/>
          <w:sz w:val="24"/>
          <w:szCs w:val="24"/>
        </w:rPr>
        <w:t>日1</w:t>
      </w:r>
      <w:r>
        <w:rPr>
          <w:rFonts w:hint="eastAsia" w:ascii="宋体" w:hAnsi="宋体" w:cs="宋体"/>
          <w:color w:val="auto"/>
          <w:sz w:val="24"/>
          <w:szCs w:val="24"/>
          <w:lang w:val="en-US" w:eastAsia="zh-CN"/>
        </w:rPr>
        <w:t>8:00</w:t>
      </w:r>
      <w:r>
        <w:rPr>
          <w:rFonts w:hint="eastAsia" w:ascii="宋体" w:hAnsi="宋体" w:eastAsia="宋体" w:cs="宋体"/>
          <w:color w:val="auto"/>
          <w:sz w:val="24"/>
          <w:szCs w:val="24"/>
        </w:rPr>
        <w:t>。（北京时间，法定节假日除外）</w:t>
      </w:r>
    </w:p>
    <w:p w14:paraId="49BC0569">
      <w:pPr>
        <w:keepNext w:val="0"/>
        <w:keepLines w:val="0"/>
        <w:pageBreakBefore w:val="0"/>
        <w:widowControl w:val="0"/>
        <w:kinsoku/>
        <w:wordWrap w:val="0"/>
        <w:overflowPunct/>
        <w:topLinePunct w:val="0"/>
        <w:autoSpaceDE/>
        <w:autoSpaceDN/>
        <w:bidi w:val="0"/>
        <w:adjustRightInd/>
        <w:snapToGrid/>
        <w:spacing w:line="420" w:lineRule="exact"/>
        <w:ind w:firstLine="48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2.方式：投标人应在招标文件提供的时间内，通过“苏采云”系统（网址： http://jszfcg.jsczt.cn/）或宿迁市政府采购网点击“政府采购管理交易系统（苏采云）”，使用CA锁进入系统从“项目参与”--“采购项目”菜单中，找到本项目获取采购文件（后缀名为“.kedt”）。</w:t>
      </w:r>
    </w:p>
    <w:p w14:paraId="5564025F">
      <w:pPr>
        <w:pageBreakBefore w:val="0"/>
        <w:spacing w:line="420" w:lineRule="exact"/>
        <w:ind w:firstLine="480"/>
        <w:jc w:val="left"/>
        <w:rPr>
          <w:rFonts w:hint="eastAsia" w:ascii="宋体" w:hAnsi="宋体" w:eastAsia="宋体" w:cs="宋体"/>
          <w:color w:val="auto"/>
          <w:sz w:val="24"/>
          <w:szCs w:val="24"/>
        </w:rPr>
      </w:pPr>
      <w:bookmarkStart w:id="28" w:name="EB0c44ff4da61f4af989d119fe214be450"/>
      <w:r>
        <w:rPr>
          <w:rFonts w:hint="eastAsia" w:ascii="宋体" w:hAnsi="宋体" w:eastAsia="宋体" w:cs="宋体"/>
          <w:color w:val="auto"/>
          <w:sz w:val="24"/>
          <w:szCs w:val="24"/>
        </w:rPr>
        <w:t>3.本项目共</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个包。投标人未按要求获取招标文件导致无法投标的，后果自负（其投标文件不予接受）。</w:t>
      </w:r>
      <w:bookmarkEnd w:id="28"/>
    </w:p>
    <w:p w14:paraId="19E6AACF">
      <w:pPr>
        <w:pStyle w:val="200"/>
        <w:pageBreakBefore w:val="0"/>
        <w:spacing w:before="0" w:after="0" w:line="420" w:lineRule="exact"/>
        <w:ind w:firstLine="482"/>
        <w:jc w:val="left"/>
        <w:rPr>
          <w:rFonts w:hint="eastAsia" w:ascii="宋体" w:hAnsi="宋体" w:eastAsia="宋体" w:cs="宋体"/>
          <w:color w:val="auto"/>
          <w:sz w:val="24"/>
          <w:szCs w:val="24"/>
        </w:rPr>
      </w:pPr>
      <w:r>
        <w:rPr>
          <w:rFonts w:hint="eastAsia" w:ascii="宋体" w:hAnsi="宋体" w:eastAsia="宋体" w:cs="宋体"/>
          <w:color w:val="auto"/>
          <w:sz w:val="24"/>
          <w:szCs w:val="24"/>
        </w:rPr>
        <w:t>四、提交投标文件</w:t>
      </w:r>
      <w:bookmarkEnd w:id="22"/>
      <w:bookmarkEnd w:id="23"/>
      <w:r>
        <w:rPr>
          <w:rFonts w:hint="eastAsia" w:ascii="宋体" w:hAnsi="宋体" w:eastAsia="宋体" w:cs="宋体"/>
          <w:color w:val="auto"/>
          <w:sz w:val="24"/>
          <w:szCs w:val="24"/>
        </w:rPr>
        <w:t>截止时间、开标时间和地点</w:t>
      </w:r>
      <w:bookmarkEnd w:id="24"/>
      <w:bookmarkEnd w:id="25"/>
      <w:bookmarkEnd w:id="26"/>
    </w:p>
    <w:p w14:paraId="3DA22E5C">
      <w:pPr>
        <w:pageBreakBefore w:val="0"/>
        <w:spacing w:line="420" w:lineRule="exact"/>
        <w:ind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color w:val="auto"/>
          <w:sz w:val="24"/>
          <w:szCs w:val="24"/>
        </w:rPr>
        <w:t>提交投标文件截止时间、开标时间：</w:t>
      </w:r>
      <w:r>
        <w:rPr>
          <w:rFonts w:hint="eastAsia" w:ascii="宋体" w:hAnsi="宋体" w:eastAsia="宋体" w:cs="宋体"/>
          <w:bCs/>
          <w:color w:val="auto"/>
          <w:sz w:val="24"/>
          <w:szCs w:val="24"/>
          <w:u w:val="none"/>
          <w:lang w:val="en-US" w:eastAsia="zh-CN"/>
        </w:rPr>
        <w:t>2024</w:t>
      </w:r>
      <w:r>
        <w:rPr>
          <w:rFonts w:hint="eastAsia" w:ascii="宋体" w:hAnsi="宋体" w:eastAsia="宋体" w:cs="宋体"/>
          <w:bCs/>
          <w:color w:val="auto"/>
          <w:sz w:val="24"/>
          <w:szCs w:val="24"/>
          <w:u w:val="none"/>
        </w:rPr>
        <w:t>年</w:t>
      </w:r>
      <w:r>
        <w:rPr>
          <w:rFonts w:hint="eastAsia" w:ascii="宋体" w:hAnsi="宋体" w:cs="宋体"/>
          <w:bCs/>
          <w:color w:val="auto"/>
          <w:sz w:val="24"/>
          <w:szCs w:val="24"/>
          <w:u w:val="none"/>
          <w:lang w:val="en-US" w:eastAsia="zh-CN"/>
        </w:rPr>
        <w:t>11</w:t>
      </w:r>
      <w:r>
        <w:rPr>
          <w:rFonts w:hint="eastAsia" w:ascii="宋体" w:hAnsi="宋体" w:eastAsia="宋体" w:cs="宋体"/>
          <w:bCs/>
          <w:color w:val="auto"/>
          <w:sz w:val="24"/>
          <w:szCs w:val="24"/>
          <w:u w:val="none"/>
        </w:rPr>
        <w:t>月</w:t>
      </w:r>
      <w:r>
        <w:rPr>
          <w:rFonts w:hint="eastAsia" w:ascii="宋体" w:hAnsi="宋体" w:cs="宋体"/>
          <w:bCs/>
          <w:color w:val="auto"/>
          <w:sz w:val="24"/>
          <w:szCs w:val="24"/>
          <w:u w:val="none"/>
          <w:lang w:val="en-US" w:eastAsia="zh-CN"/>
        </w:rPr>
        <w:t>12</w:t>
      </w:r>
      <w:r>
        <w:rPr>
          <w:rFonts w:hint="eastAsia" w:ascii="宋体" w:hAnsi="宋体" w:eastAsia="宋体" w:cs="宋体"/>
          <w:bCs/>
          <w:color w:val="auto"/>
          <w:sz w:val="24"/>
          <w:szCs w:val="24"/>
          <w:u w:val="none"/>
        </w:rPr>
        <w:t>日</w:t>
      </w:r>
      <w:r>
        <w:rPr>
          <w:rFonts w:hint="eastAsia" w:ascii="宋体" w:hAnsi="宋体" w:eastAsia="宋体" w:cs="宋体"/>
          <w:bCs/>
          <w:color w:val="auto"/>
          <w:sz w:val="24"/>
          <w:szCs w:val="24"/>
          <w:u w:val="none"/>
          <w:lang w:val="en-US" w:eastAsia="zh-CN"/>
        </w:rPr>
        <w:t>09</w:t>
      </w:r>
      <w:r>
        <w:rPr>
          <w:rFonts w:hint="eastAsia" w:ascii="宋体" w:hAnsi="宋体" w:eastAsia="宋体" w:cs="宋体"/>
          <w:bCs/>
          <w:color w:val="auto"/>
          <w:sz w:val="24"/>
          <w:szCs w:val="24"/>
          <w:u w:val="none"/>
        </w:rPr>
        <w:t>点</w:t>
      </w:r>
      <w:r>
        <w:rPr>
          <w:rFonts w:hint="eastAsia" w:ascii="宋体" w:hAnsi="宋体" w:eastAsia="宋体" w:cs="宋体"/>
          <w:bCs/>
          <w:color w:val="auto"/>
          <w:sz w:val="24"/>
          <w:szCs w:val="24"/>
          <w:u w:val="none"/>
          <w:lang w:val="en-US" w:eastAsia="zh-CN"/>
        </w:rPr>
        <w:t>30</w:t>
      </w:r>
      <w:r>
        <w:rPr>
          <w:rFonts w:hint="eastAsia" w:ascii="宋体" w:hAnsi="宋体" w:eastAsia="宋体" w:cs="宋体"/>
          <w:bCs/>
          <w:color w:val="auto"/>
          <w:sz w:val="24"/>
          <w:szCs w:val="24"/>
          <w:u w:val="none"/>
        </w:rPr>
        <w:t>分（</w:t>
      </w:r>
      <w:r>
        <w:rPr>
          <w:rFonts w:hint="eastAsia" w:ascii="宋体" w:hAnsi="宋体" w:eastAsia="宋体" w:cs="宋体"/>
          <w:bCs/>
          <w:color w:val="auto"/>
          <w:sz w:val="24"/>
          <w:szCs w:val="24"/>
        </w:rPr>
        <w:t>北京时间）</w:t>
      </w:r>
    </w:p>
    <w:p w14:paraId="0EA5603C">
      <w:pPr>
        <w:pageBreakBefore w:val="0"/>
        <w:spacing w:line="420" w:lineRule="exac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2.地点：“苏采云”政府采购交易系统网上开标大厅。</w:t>
      </w:r>
    </w:p>
    <w:p w14:paraId="6DF0699F">
      <w:pPr>
        <w:pStyle w:val="200"/>
        <w:pageBreakBefore w:val="0"/>
        <w:spacing w:before="0" w:after="0" w:line="420" w:lineRule="exact"/>
        <w:ind w:firstLine="482"/>
        <w:jc w:val="left"/>
        <w:rPr>
          <w:rFonts w:hint="eastAsia" w:ascii="宋体" w:hAnsi="宋体" w:eastAsia="宋体" w:cs="宋体"/>
          <w:color w:val="auto"/>
          <w:sz w:val="24"/>
          <w:szCs w:val="24"/>
        </w:rPr>
      </w:pPr>
      <w:bookmarkStart w:id="29" w:name="_Toc28359007"/>
      <w:bookmarkStart w:id="30" w:name="_Toc38985267"/>
      <w:bookmarkStart w:id="31" w:name="_Toc28359084"/>
      <w:bookmarkStart w:id="32" w:name="_Toc35393625"/>
      <w:bookmarkStart w:id="33" w:name="_Toc35393794"/>
      <w:r>
        <w:rPr>
          <w:rFonts w:hint="eastAsia" w:ascii="宋体" w:hAnsi="宋体" w:eastAsia="宋体" w:cs="宋体"/>
          <w:color w:val="auto"/>
          <w:sz w:val="24"/>
          <w:szCs w:val="24"/>
        </w:rPr>
        <w:t>五、公告期限</w:t>
      </w:r>
      <w:bookmarkEnd w:id="29"/>
      <w:bookmarkEnd w:id="30"/>
      <w:bookmarkEnd w:id="31"/>
      <w:bookmarkEnd w:id="32"/>
      <w:bookmarkEnd w:id="33"/>
    </w:p>
    <w:p w14:paraId="76720CB2">
      <w:pPr>
        <w:pageBreakBefore w:val="0"/>
        <w:spacing w:line="420" w:lineRule="exact"/>
        <w:ind w:firstLine="480"/>
        <w:jc w:val="left"/>
        <w:rPr>
          <w:rFonts w:hint="eastAsia" w:ascii="宋体" w:hAnsi="宋体" w:eastAsia="宋体" w:cs="宋体"/>
          <w:color w:val="auto"/>
          <w:sz w:val="24"/>
          <w:szCs w:val="24"/>
          <w:highlight w:val="white"/>
        </w:rPr>
      </w:pPr>
      <w:bookmarkStart w:id="34" w:name="_Toc35393795"/>
      <w:bookmarkStart w:id="35" w:name="_Toc38985268"/>
      <w:bookmarkStart w:id="36" w:name="_Toc35393626"/>
      <w:r>
        <w:rPr>
          <w:rFonts w:hint="eastAsia" w:ascii="宋体" w:hAnsi="宋体" w:eastAsia="宋体" w:cs="宋体"/>
          <w:color w:val="auto"/>
          <w:sz w:val="24"/>
          <w:szCs w:val="24"/>
        </w:rPr>
        <w:t>招标公告及招标文件公告期限为自本公告发布之日起5个工作日。</w:t>
      </w:r>
      <w:r>
        <w:rPr>
          <w:rFonts w:hint="eastAsia" w:ascii="宋体" w:hAnsi="宋体" w:eastAsia="宋体" w:cs="宋体"/>
          <w:color w:val="auto"/>
          <w:sz w:val="24"/>
          <w:szCs w:val="24"/>
          <w:highlight w:val="white"/>
        </w:rPr>
        <w:t>招标公告发布媒体：宿迁市政府采购网、宿迁市公共资源交易平台、江苏省财政部门指定的媒体。</w:t>
      </w:r>
    </w:p>
    <w:p w14:paraId="7E226032">
      <w:pPr>
        <w:pStyle w:val="200"/>
        <w:pageBreakBefore w:val="0"/>
        <w:spacing w:before="0" w:after="0" w:line="420" w:lineRule="exact"/>
        <w:ind w:firstLine="482"/>
        <w:jc w:val="left"/>
        <w:rPr>
          <w:rFonts w:hint="eastAsia" w:ascii="宋体" w:hAnsi="宋体" w:eastAsia="宋体" w:cs="宋体"/>
          <w:color w:val="auto"/>
          <w:sz w:val="24"/>
          <w:szCs w:val="24"/>
        </w:rPr>
      </w:pPr>
      <w:r>
        <w:rPr>
          <w:rFonts w:hint="eastAsia" w:ascii="宋体" w:hAnsi="宋体" w:eastAsia="宋体" w:cs="宋体"/>
          <w:color w:val="auto"/>
          <w:sz w:val="24"/>
          <w:szCs w:val="24"/>
        </w:rPr>
        <w:t>六、其他补充事宜</w:t>
      </w:r>
      <w:bookmarkEnd w:id="34"/>
      <w:bookmarkEnd w:id="35"/>
      <w:bookmarkEnd w:id="36"/>
    </w:p>
    <w:p w14:paraId="7FEF305A">
      <w:pPr>
        <w:pageBreakBefore w:val="0"/>
        <w:spacing w:line="420" w:lineRule="exact"/>
        <w:ind w:firstLine="480"/>
        <w:jc w:val="left"/>
        <w:rPr>
          <w:rFonts w:hint="eastAsia" w:ascii="宋体" w:hAnsi="宋体" w:eastAsia="宋体" w:cs="宋体"/>
          <w:color w:val="auto"/>
          <w:sz w:val="24"/>
          <w:szCs w:val="24"/>
          <w:highlight w:val="white"/>
          <w:lang w:eastAsia="zh-CN"/>
        </w:rPr>
      </w:pPr>
      <w:bookmarkStart w:id="37" w:name="EB64e1f522fd8c43fcb4d3ba471386b3e7"/>
      <w:bookmarkStart w:id="38" w:name="_Toc35393627"/>
      <w:bookmarkStart w:id="39" w:name="_Toc38985269"/>
      <w:bookmarkStart w:id="40" w:name="_Toc35393796"/>
      <w:bookmarkStart w:id="41" w:name="_Toc28359085"/>
      <w:bookmarkStart w:id="42" w:name="_Toc28359008"/>
      <w:r>
        <w:rPr>
          <w:rFonts w:hint="eastAsia" w:ascii="宋体" w:hAnsi="宋体" w:eastAsia="宋体" w:cs="宋体"/>
          <w:color w:val="auto"/>
          <w:sz w:val="24"/>
          <w:szCs w:val="24"/>
          <w:highlight w:val="white"/>
          <w:lang w:eastAsia="zh-CN"/>
        </w:rPr>
        <w:t>1、项目设计：达到提供本工程设计参数要求，提供所需的全部图纸，包括总平面图、工艺设计图纸、电气设计图纸、结构图纸及设备安装和基础大样图等所有图纸（即中标后可立即按照提供的图纸进行施工）。设计合理，设计依据符合相关规范及标准要求。设计深度需达到施工图标准，保证提供图纸的完整性。（本项目不支付设计费用，请各投标单位自行考虑。中标后，设计成果归招标人所有。）</w:t>
      </w:r>
    </w:p>
    <w:p w14:paraId="69A87694">
      <w:pPr>
        <w:pageBreakBefore w:val="0"/>
        <w:spacing w:line="420" w:lineRule="exact"/>
        <w:ind w:firstLine="480"/>
        <w:jc w:val="left"/>
        <w:rPr>
          <w:rFonts w:hint="eastAsia" w:ascii="宋体" w:hAnsi="宋体" w:eastAsia="宋体" w:cs="宋体"/>
          <w:color w:val="auto"/>
          <w:sz w:val="24"/>
          <w:szCs w:val="24"/>
          <w:highlight w:val="white"/>
          <w:lang w:eastAsia="zh-CN"/>
        </w:rPr>
      </w:pPr>
      <w:r>
        <w:rPr>
          <w:rFonts w:hint="eastAsia" w:ascii="宋体" w:hAnsi="宋体" w:eastAsia="宋体" w:cs="宋体"/>
          <w:color w:val="auto"/>
          <w:sz w:val="24"/>
          <w:szCs w:val="24"/>
          <w:highlight w:val="white"/>
          <w:lang w:eastAsia="zh-CN"/>
        </w:rPr>
        <w:t>2、设备采购及安装：按照图纸设计进行采购按照。</w:t>
      </w:r>
    </w:p>
    <w:p w14:paraId="3603DEFA">
      <w:pPr>
        <w:pageBreakBefore w:val="0"/>
        <w:spacing w:line="420" w:lineRule="exact"/>
        <w:ind w:firstLine="480"/>
        <w:jc w:val="left"/>
        <w:rPr>
          <w:rFonts w:hint="eastAsia" w:ascii="宋体" w:hAnsi="宋体" w:eastAsia="宋体" w:cs="宋体"/>
          <w:color w:val="auto"/>
          <w:sz w:val="24"/>
          <w:szCs w:val="24"/>
          <w:highlight w:val="white"/>
          <w:lang w:eastAsia="zh-CN"/>
        </w:rPr>
      </w:pPr>
      <w:r>
        <w:rPr>
          <w:rFonts w:hint="eastAsia" w:ascii="宋体" w:hAnsi="宋体" w:eastAsia="宋体" w:cs="宋体"/>
          <w:color w:val="auto"/>
          <w:sz w:val="24"/>
          <w:szCs w:val="24"/>
          <w:highlight w:val="white"/>
          <w:lang w:eastAsia="zh-CN"/>
        </w:rPr>
        <w:t>3、项目运营：运营期365日历天，达标排放。</w:t>
      </w:r>
    </w:p>
    <w:p w14:paraId="3B3C80BB">
      <w:pPr>
        <w:pageBreakBefore w:val="0"/>
        <w:spacing w:line="420" w:lineRule="exact"/>
        <w:ind w:firstLine="480"/>
        <w:jc w:val="left"/>
        <w:rPr>
          <w:rFonts w:hint="eastAsia" w:ascii="宋体" w:hAnsi="宋体" w:eastAsia="宋体" w:cs="宋体"/>
          <w:color w:val="auto"/>
          <w:sz w:val="24"/>
          <w:szCs w:val="24"/>
          <w:highlight w:val="white"/>
          <w:lang w:eastAsia="zh-CN"/>
        </w:rPr>
      </w:pPr>
      <w:r>
        <w:rPr>
          <w:rFonts w:hint="eastAsia" w:ascii="宋体" w:hAnsi="宋体" w:eastAsia="宋体" w:cs="宋体"/>
          <w:color w:val="auto"/>
          <w:sz w:val="24"/>
          <w:szCs w:val="24"/>
          <w:highlight w:val="white"/>
          <w:lang w:eastAsia="zh-CN"/>
        </w:rPr>
        <w:t>4、其他内容：投标报价包含但不限于施工图设计费、可研、初设、立项、排污许可证、环评报告及验收、设备采购、施工、安装、运营费用、安评（如需要）等完成本项目所涉及到的一切相关费用。</w:t>
      </w:r>
    </w:p>
    <w:p w14:paraId="5E61F040">
      <w:pPr>
        <w:pageBreakBefore w:val="0"/>
        <w:spacing w:line="420" w:lineRule="exact"/>
        <w:ind w:firstLine="480"/>
        <w:jc w:val="left"/>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rPr>
        <w:t>5、财政部门监督电话：0527-83559270。</w:t>
      </w:r>
    </w:p>
    <w:p w14:paraId="19A0358C">
      <w:pPr>
        <w:pageBreakBefore w:val="0"/>
        <w:spacing w:line="420" w:lineRule="exact"/>
        <w:ind w:firstLine="480"/>
        <w:jc w:val="left"/>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rPr>
        <w:t>6、“CA”数字证书办理：“苏采云”系统目前仅支持“苏采云”系统下的意源CA。省内各地区办理的“苏采云”系统下的意源CA全省通用。宿迁地区CA数字证书办理联系方式：18762803891。</w:t>
      </w:r>
    </w:p>
    <w:p w14:paraId="411461D2">
      <w:pPr>
        <w:pStyle w:val="293"/>
        <w:pageBreakBefore w:val="0"/>
        <w:spacing w:line="420" w:lineRule="exact"/>
        <w:ind w:firstLine="480"/>
        <w:rPr>
          <w:rFonts w:hint="eastAsia" w:ascii="宋体" w:hAnsi="宋体" w:eastAsia="宋体" w:cs="宋体"/>
          <w:color w:val="auto"/>
          <w:sz w:val="24"/>
          <w:szCs w:val="24"/>
          <w:highlight w:val="white"/>
          <w:lang w:val="en-US"/>
        </w:rPr>
      </w:pPr>
      <w:r>
        <w:rPr>
          <w:rFonts w:hint="eastAsia" w:ascii="宋体" w:hAnsi="宋体" w:eastAsia="宋体" w:cs="宋体"/>
          <w:color w:val="auto"/>
          <w:sz w:val="24"/>
          <w:szCs w:val="24"/>
          <w:highlight w:val="white"/>
          <w:lang w:val="en-US"/>
        </w:rPr>
        <w:t>7、宿迁地区“苏采云”技术支持客服电话：0527-84225125、0519-86722806。</w:t>
      </w:r>
    </w:p>
    <w:p w14:paraId="211D21A2">
      <w:pPr>
        <w:pStyle w:val="293"/>
        <w:keepNext w:val="0"/>
        <w:keepLines w:val="0"/>
        <w:pageBreakBefore w:val="0"/>
        <w:widowControl w:val="0"/>
        <w:kinsoku/>
        <w:wordWrap w:val="0"/>
        <w:overflowPunct/>
        <w:topLinePunct w:val="0"/>
        <w:autoSpaceDE/>
        <w:autoSpaceDN/>
        <w:bidi w:val="0"/>
        <w:adjustRightInd/>
        <w:snapToGrid/>
        <w:spacing w:line="420" w:lineRule="exact"/>
        <w:ind w:firstLine="482"/>
        <w:textAlignment w:val="auto"/>
        <w:rPr>
          <w:rFonts w:hint="eastAsia" w:ascii="宋体" w:hAnsi="宋体" w:eastAsia="宋体" w:cs="宋体"/>
          <w:color w:val="auto"/>
          <w:sz w:val="24"/>
          <w:szCs w:val="24"/>
          <w:highlight w:val="white"/>
          <w:lang w:val="en-US"/>
        </w:rPr>
      </w:pPr>
      <w:r>
        <w:rPr>
          <w:rFonts w:hint="eastAsia" w:ascii="宋体" w:hAnsi="宋体" w:eastAsia="宋体" w:cs="宋体"/>
          <w:color w:val="auto"/>
          <w:sz w:val="24"/>
          <w:szCs w:val="24"/>
          <w:highlight w:val="white"/>
          <w:lang w:val="en-US"/>
        </w:rPr>
        <w:t>8、如果投标人通过苏采云系统参与政府采购项目，相关操作手册详见链接：</w:t>
      </w:r>
      <w:r>
        <w:rPr>
          <w:rFonts w:hint="eastAsia" w:ascii="宋体" w:hAnsi="宋体" w:eastAsia="宋体" w:cs="宋体"/>
          <w:color w:val="auto"/>
          <w:spacing w:val="-6"/>
          <w:sz w:val="24"/>
          <w:szCs w:val="24"/>
          <w:highlight w:val="white"/>
          <w:lang w:val="en-US"/>
        </w:rPr>
        <w:t>http://www.ccgp-jiangsu.gov.cn/jiangsu/zlxz/ee/ee3a4bc5a3454aa2b0d9312230633ce9.html。</w:t>
      </w:r>
      <w:bookmarkEnd w:id="37"/>
    </w:p>
    <w:p w14:paraId="2D58897D">
      <w:pPr>
        <w:pageBreakBefore w:val="0"/>
        <w:spacing w:line="420" w:lineRule="exact"/>
        <w:ind w:firstLine="480"/>
        <w:jc w:val="left"/>
        <w:rPr>
          <w:rFonts w:hint="eastAsia" w:ascii="宋体" w:hAnsi="宋体" w:eastAsia="宋体" w:cs="宋体"/>
          <w:b/>
          <w:bCs/>
          <w:iCs/>
          <w:color w:val="auto"/>
          <w:sz w:val="24"/>
          <w:szCs w:val="24"/>
          <w:highlight w:val="white"/>
        </w:rPr>
      </w:pPr>
      <w:r>
        <w:rPr>
          <w:rFonts w:hint="eastAsia" w:ascii="宋体" w:hAnsi="宋体" w:eastAsia="宋体" w:cs="宋体"/>
          <w:color w:val="auto"/>
          <w:sz w:val="24"/>
          <w:szCs w:val="24"/>
          <w:highlight w:val="white"/>
        </w:rPr>
        <w:t xml:space="preserve">9、现场勘察及答疑：本项目不组织集中勘察及答疑，投标人如对采购需求有疑问，请咨询采购单位联系人。 </w:t>
      </w:r>
    </w:p>
    <w:p w14:paraId="0BAC9CB8">
      <w:pPr>
        <w:pStyle w:val="200"/>
        <w:pageBreakBefore w:val="0"/>
        <w:spacing w:before="0" w:after="0" w:line="420" w:lineRule="exact"/>
        <w:ind w:firstLine="482"/>
        <w:jc w:val="left"/>
        <w:rPr>
          <w:rFonts w:hint="eastAsia" w:ascii="宋体" w:hAnsi="宋体" w:eastAsia="宋体" w:cs="宋体"/>
          <w:color w:val="auto"/>
          <w:sz w:val="24"/>
          <w:szCs w:val="24"/>
        </w:rPr>
      </w:pPr>
      <w:r>
        <w:rPr>
          <w:rFonts w:hint="eastAsia" w:ascii="宋体" w:hAnsi="宋体" w:eastAsia="宋体" w:cs="宋体"/>
          <w:color w:val="auto"/>
          <w:sz w:val="24"/>
          <w:szCs w:val="24"/>
        </w:rPr>
        <w:t>七、本次招标联系方式</w:t>
      </w:r>
      <w:bookmarkEnd w:id="38"/>
      <w:bookmarkEnd w:id="39"/>
      <w:bookmarkEnd w:id="40"/>
      <w:bookmarkEnd w:id="41"/>
      <w:bookmarkEnd w:id="42"/>
    </w:p>
    <w:p w14:paraId="5E2217A7">
      <w:pPr>
        <w:pageBreakBefore w:val="0"/>
        <w:widowControl/>
        <w:spacing w:line="420" w:lineRule="exac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1.采购人信息</w:t>
      </w:r>
    </w:p>
    <w:p w14:paraId="6B4A1EB9">
      <w:pPr>
        <w:pageBreakBefore w:val="0"/>
        <w:spacing w:line="420" w:lineRule="exac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招标人名称：沭阳县住房和城乡建设局</w:t>
      </w:r>
    </w:p>
    <w:p w14:paraId="1B082B8A">
      <w:pPr>
        <w:pageBreakBefore w:val="0"/>
        <w:spacing w:line="420" w:lineRule="exac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地  址：沭阳县康平路2号建设大厦</w:t>
      </w:r>
    </w:p>
    <w:p w14:paraId="06308E83">
      <w:pPr>
        <w:pageBreakBefore w:val="0"/>
        <w:spacing w:line="420" w:lineRule="exac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cs="宋体"/>
          <w:color w:val="auto"/>
          <w:sz w:val="24"/>
          <w:szCs w:val="24"/>
          <w:lang w:val="en-US" w:eastAsia="zh-CN"/>
        </w:rPr>
        <w:t xml:space="preserve">周嵇   </w:t>
      </w:r>
      <w:r>
        <w:rPr>
          <w:rFonts w:hint="eastAsia" w:ascii="宋体" w:hAnsi="宋体" w:eastAsia="宋体" w:cs="宋体"/>
          <w:color w:val="auto"/>
          <w:sz w:val="24"/>
          <w:szCs w:val="24"/>
        </w:rPr>
        <w:t>联系电话：</w:t>
      </w:r>
      <w:r>
        <w:rPr>
          <w:rFonts w:hint="eastAsia" w:ascii="宋体" w:hAnsi="宋体" w:cs="宋体"/>
          <w:color w:val="auto"/>
          <w:sz w:val="24"/>
          <w:szCs w:val="24"/>
          <w:lang w:val="en-US" w:eastAsia="zh-CN"/>
        </w:rPr>
        <w:t xml:space="preserve">18800617357 </w:t>
      </w:r>
      <w:r>
        <w:rPr>
          <w:rFonts w:hint="eastAsia" w:ascii="宋体" w:hAnsi="宋体" w:eastAsia="宋体" w:cs="宋体"/>
          <w:color w:val="auto"/>
          <w:sz w:val="24"/>
          <w:szCs w:val="24"/>
        </w:rPr>
        <w:t xml:space="preserve"> </w:t>
      </w:r>
    </w:p>
    <w:p w14:paraId="45B5DCC2">
      <w:pPr>
        <w:pageBreakBefore w:val="0"/>
        <w:spacing w:line="420" w:lineRule="exac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2.采购代理机构信息</w:t>
      </w:r>
    </w:p>
    <w:p w14:paraId="3D49E5F2">
      <w:pPr>
        <w:pageBreakBefore w:val="0"/>
        <w:spacing w:line="420" w:lineRule="exac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代理机构名称：江苏中置宏胜项目管理有限公司</w:t>
      </w:r>
    </w:p>
    <w:p w14:paraId="593418AC">
      <w:pPr>
        <w:pageBreakBefore w:val="0"/>
        <w:spacing w:line="420" w:lineRule="exac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地址： 沭阳县中宝大厦6楼</w:t>
      </w:r>
    </w:p>
    <w:p w14:paraId="5CED2FEF">
      <w:pPr>
        <w:pageBreakBefore w:val="0"/>
        <w:spacing w:line="420" w:lineRule="exact"/>
        <w:ind w:firstLine="48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eastAsia="zh-CN"/>
        </w:rPr>
        <w:t>黄钰</w:t>
      </w:r>
      <w:r>
        <w:rPr>
          <w:rFonts w:hint="eastAsia" w:ascii="宋体" w:hAnsi="宋体" w:eastAsia="宋体" w:cs="宋体"/>
          <w:color w:val="auto"/>
          <w:sz w:val="24"/>
          <w:szCs w:val="24"/>
        </w:rPr>
        <w:t xml:space="preserve">  联系电话：</w:t>
      </w:r>
      <w:r>
        <w:rPr>
          <w:rFonts w:hint="eastAsia" w:ascii="宋体" w:hAnsi="宋体" w:eastAsia="宋体" w:cs="宋体"/>
          <w:color w:val="auto"/>
          <w:sz w:val="24"/>
          <w:szCs w:val="24"/>
          <w:lang w:eastAsia="zh-CN"/>
        </w:rPr>
        <w:t>13951593471</w:t>
      </w:r>
    </w:p>
    <w:p w14:paraId="602341C0">
      <w:pPr>
        <w:pStyle w:val="200"/>
        <w:pageBreakBefore w:val="0"/>
        <w:spacing w:before="0" w:after="0" w:line="420" w:lineRule="exact"/>
        <w:ind w:firstLine="482"/>
        <w:jc w:val="left"/>
        <w:rPr>
          <w:rFonts w:hint="eastAsia" w:ascii="宋体" w:hAnsi="宋体" w:eastAsia="宋体" w:cs="宋体"/>
          <w:color w:val="auto"/>
          <w:sz w:val="24"/>
          <w:szCs w:val="24"/>
        </w:rPr>
      </w:pPr>
      <w:r>
        <w:rPr>
          <w:rFonts w:hint="eastAsia" w:ascii="宋体" w:hAnsi="宋体" w:eastAsia="宋体" w:cs="宋体"/>
          <w:color w:val="auto"/>
          <w:sz w:val="24"/>
          <w:szCs w:val="24"/>
        </w:rPr>
        <w:t>八、其他</w:t>
      </w:r>
    </w:p>
    <w:p w14:paraId="37BD2B9A">
      <w:pPr>
        <w:pageBreakBefore w:val="0"/>
        <w:spacing w:line="420" w:lineRule="exact"/>
        <w:ind w:firstLine="480"/>
        <w:jc w:val="left"/>
        <w:rPr>
          <w:rFonts w:hint="eastAsia" w:ascii="宋体" w:hAnsi="宋体" w:eastAsia="宋体" w:cs="宋体"/>
          <w:iCs/>
          <w:color w:val="auto"/>
          <w:sz w:val="24"/>
          <w:szCs w:val="24"/>
          <w:highlight w:val="white"/>
        </w:rPr>
      </w:pPr>
      <w:r>
        <w:rPr>
          <w:rFonts w:hint="eastAsia" w:ascii="宋体" w:hAnsi="宋体" w:eastAsia="宋体" w:cs="宋体"/>
          <w:iCs/>
          <w:color w:val="auto"/>
          <w:sz w:val="24"/>
          <w:szCs w:val="24"/>
          <w:highlight w:val="white"/>
        </w:rPr>
        <w:t>1、有关本次招标的事项若存在变动或修改，敬请及时关注“宿迁市政府采购网”更正公告。</w:t>
      </w:r>
    </w:p>
    <w:p w14:paraId="531F3A3D">
      <w:pPr>
        <w:pageBreakBefore w:val="0"/>
        <w:tabs>
          <w:tab w:val="left" w:pos="900"/>
        </w:tabs>
        <w:spacing w:line="420" w:lineRule="exact"/>
        <w:ind w:firstLine="482"/>
        <w:jc w:val="left"/>
        <w:rPr>
          <w:rFonts w:hint="eastAsia" w:ascii="宋体" w:hAnsi="宋体" w:eastAsia="宋体" w:cs="宋体"/>
          <w:bCs/>
          <w:color w:val="auto"/>
          <w:sz w:val="24"/>
          <w:szCs w:val="24"/>
        </w:rPr>
      </w:pPr>
      <w:r>
        <w:rPr>
          <w:rFonts w:hint="eastAsia" w:ascii="宋体" w:hAnsi="宋体" w:eastAsia="宋体" w:cs="宋体"/>
          <w:b/>
          <w:bCs/>
          <w:iCs/>
          <w:color w:val="auto"/>
          <w:sz w:val="24"/>
          <w:szCs w:val="24"/>
          <w:highlight w:val="white"/>
        </w:rPr>
        <w:t>2、</w:t>
      </w:r>
      <w:r>
        <w:rPr>
          <w:rFonts w:hint="eastAsia" w:ascii="宋体" w:hAnsi="宋体" w:eastAsia="宋体" w:cs="宋体"/>
          <w:bCs/>
          <w:color w:val="auto"/>
          <w:sz w:val="24"/>
          <w:szCs w:val="24"/>
        </w:rPr>
        <w:t>本次招标不收取投标保证金。</w:t>
      </w:r>
    </w:p>
    <w:p w14:paraId="7DE1F17B">
      <w:pPr>
        <w:pStyle w:val="199"/>
        <w:keepNext/>
        <w:keepLines/>
        <w:pageBreakBefore w:val="0"/>
        <w:widowControl w:val="0"/>
        <w:kinsoku/>
        <w:wordWrap w:val="0"/>
        <w:overflowPunct/>
        <w:topLinePunct w:val="0"/>
        <w:autoSpaceDE/>
        <w:autoSpaceDN/>
        <w:bidi w:val="0"/>
        <w:adjustRightInd/>
        <w:snapToGrid/>
        <w:spacing w:before="0" w:after="0" w:line="240" w:lineRule="auto"/>
        <w:ind w:firstLine="2426"/>
        <w:jc w:val="both"/>
        <w:textAlignment w:val="auto"/>
        <w:rPr>
          <w:rFonts w:hint="eastAsia" w:ascii="Times New Roman" w:hAnsi="Times New Roman" w:eastAsia="黑体"/>
          <w:b w:val="0"/>
          <w:bCs w:val="0"/>
          <w:color w:val="auto"/>
        </w:rPr>
      </w:pPr>
      <w:bookmarkStart w:id="43" w:name="_Toc120614211"/>
      <w:r>
        <w:rPr>
          <w:rFonts w:hint="eastAsia" w:ascii="Times New Roman" w:hAnsi="Times New Roman" w:eastAsia="黑体"/>
          <w:color w:val="auto"/>
        </w:rPr>
        <w:br w:type="page" w:clear="all"/>
      </w:r>
      <w:r>
        <w:rPr>
          <w:rFonts w:hint="eastAsia" w:ascii="Times New Roman" w:hAnsi="Times New Roman" w:eastAsia="黑体"/>
          <w:color w:val="auto"/>
        </w:rPr>
        <w:t xml:space="preserve">第二章  </w:t>
      </w:r>
      <w:bookmarkEnd w:id="1"/>
      <w:bookmarkEnd w:id="2"/>
      <w:bookmarkEnd w:id="3"/>
      <w:bookmarkEnd w:id="4"/>
      <w:bookmarkEnd w:id="5"/>
      <w:bookmarkEnd w:id="43"/>
      <w:bookmarkStart w:id="44" w:name="_Toc20823274"/>
      <w:bookmarkStart w:id="45" w:name="_Toc120614213"/>
      <w:bookmarkStart w:id="46" w:name="_Toc16938518"/>
      <w:bookmarkStart w:id="47" w:name="_Toc513029202"/>
      <w:r>
        <w:rPr>
          <w:rFonts w:hint="eastAsia" w:ascii="Times New Roman" w:hAnsi="Times New Roman" w:eastAsia="黑体"/>
          <w:color w:val="auto"/>
        </w:rPr>
        <w:t>投标人须知</w:t>
      </w:r>
      <w:bookmarkEnd w:id="44"/>
      <w:bookmarkEnd w:id="45"/>
      <w:bookmarkEnd w:id="46"/>
      <w:bookmarkEnd w:id="47"/>
    </w:p>
    <w:p w14:paraId="09DCBC41">
      <w:pPr>
        <w:pStyle w:val="200"/>
        <w:pageBreakBefore w:val="0"/>
        <w:widowControl w:val="0"/>
        <w:spacing w:before="0" w:after="0" w:line="400" w:lineRule="exact"/>
        <w:ind w:left="0" w:firstLine="482"/>
        <w:jc w:val="left"/>
        <w:rPr>
          <w:rFonts w:hint="eastAsia" w:ascii="宋体" w:hAnsi="宋体" w:eastAsia="宋体" w:cs="宋体"/>
          <w:color w:val="auto"/>
          <w:sz w:val="24"/>
          <w:szCs w:val="24"/>
        </w:rPr>
      </w:pPr>
      <w:bookmarkStart w:id="48" w:name="_Toc120614214"/>
      <w:bookmarkStart w:id="49" w:name="_Toc20823275"/>
      <w:bookmarkStart w:id="50" w:name="_Toc513029203"/>
      <w:bookmarkStart w:id="51" w:name="_Toc16938519"/>
      <w:r>
        <w:rPr>
          <w:rFonts w:hint="eastAsia" w:ascii="宋体" w:hAnsi="宋体" w:eastAsia="宋体" w:cs="宋体"/>
          <w:color w:val="auto"/>
          <w:sz w:val="24"/>
          <w:szCs w:val="24"/>
        </w:rPr>
        <w:t>一、总则</w:t>
      </w:r>
      <w:bookmarkEnd w:id="48"/>
      <w:bookmarkEnd w:id="49"/>
      <w:bookmarkEnd w:id="50"/>
      <w:bookmarkEnd w:id="51"/>
    </w:p>
    <w:p w14:paraId="191CF80D">
      <w:pPr>
        <w:pStyle w:val="202"/>
        <w:pageBreakBefore w:val="0"/>
        <w:widowControl w:val="0"/>
        <w:spacing w:before="0" w:after="0" w:line="400" w:lineRule="exact"/>
        <w:ind w:left="0" w:firstLine="480"/>
        <w:jc w:val="left"/>
        <w:rPr>
          <w:rFonts w:hint="eastAsia" w:ascii="宋体" w:hAnsi="宋体" w:eastAsia="宋体" w:cs="宋体"/>
          <w:b w:val="0"/>
          <w:bCs w:val="0"/>
          <w:color w:val="auto"/>
          <w:sz w:val="24"/>
          <w:szCs w:val="24"/>
        </w:rPr>
      </w:pPr>
      <w:bookmarkStart w:id="52" w:name="_Hlt16619475"/>
      <w:bookmarkEnd w:id="52"/>
      <w:bookmarkStart w:id="53" w:name="_Toc458694821"/>
      <w:bookmarkStart w:id="54" w:name="_Toc20823276"/>
      <w:bookmarkStart w:id="55" w:name="_Toc513029204"/>
      <w:bookmarkStart w:id="56" w:name="_Toc16938520"/>
      <w:r>
        <w:rPr>
          <w:rFonts w:hint="eastAsia" w:ascii="宋体" w:hAnsi="宋体" w:eastAsia="宋体" w:cs="宋体"/>
          <w:b w:val="0"/>
          <w:bCs w:val="0"/>
          <w:color w:val="auto"/>
          <w:sz w:val="24"/>
          <w:szCs w:val="24"/>
        </w:rPr>
        <w:t>1</w:t>
      </w:r>
      <w:bookmarkEnd w:id="53"/>
      <w:r>
        <w:rPr>
          <w:rFonts w:hint="eastAsia" w:ascii="宋体" w:hAnsi="宋体" w:eastAsia="宋体" w:cs="宋体"/>
          <w:b w:val="0"/>
          <w:bCs w:val="0"/>
          <w:color w:val="auto"/>
          <w:sz w:val="24"/>
          <w:szCs w:val="24"/>
        </w:rPr>
        <w:t>、招标方式</w:t>
      </w:r>
      <w:bookmarkEnd w:id="54"/>
      <w:bookmarkEnd w:id="55"/>
      <w:bookmarkEnd w:id="56"/>
    </w:p>
    <w:p w14:paraId="03EF752E">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1.1 本次招标采取公开招标方式，本招标文件仅适用于招标公告中所述项目。</w:t>
      </w:r>
    </w:p>
    <w:p w14:paraId="0213C558">
      <w:pPr>
        <w:pStyle w:val="202"/>
        <w:pageBreakBefore w:val="0"/>
        <w:widowControl w:val="0"/>
        <w:spacing w:before="0" w:after="0" w:line="400" w:lineRule="exact"/>
        <w:ind w:left="0" w:firstLine="480"/>
        <w:jc w:val="left"/>
        <w:rPr>
          <w:rFonts w:hint="eastAsia" w:ascii="宋体" w:hAnsi="宋体" w:eastAsia="宋体" w:cs="宋体"/>
          <w:b w:val="0"/>
          <w:bCs w:val="0"/>
          <w:color w:val="auto"/>
          <w:sz w:val="24"/>
          <w:szCs w:val="24"/>
        </w:rPr>
      </w:pPr>
      <w:bookmarkStart w:id="57" w:name="_Toc20823277"/>
      <w:bookmarkStart w:id="58" w:name="_Toc513029205"/>
      <w:bookmarkStart w:id="59" w:name="_Toc16938521"/>
      <w:r>
        <w:rPr>
          <w:rFonts w:hint="eastAsia" w:ascii="宋体" w:hAnsi="宋体" w:eastAsia="宋体" w:cs="宋体"/>
          <w:b w:val="0"/>
          <w:bCs w:val="0"/>
          <w:color w:val="auto"/>
          <w:sz w:val="24"/>
          <w:szCs w:val="24"/>
        </w:rPr>
        <w:t>2、合格的投标人</w:t>
      </w:r>
      <w:bookmarkEnd w:id="57"/>
      <w:bookmarkEnd w:id="58"/>
      <w:bookmarkEnd w:id="59"/>
    </w:p>
    <w:p w14:paraId="61F255FF">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2.1满足招标公告中投标人的资格要求的规定。</w:t>
      </w:r>
    </w:p>
    <w:p w14:paraId="5B7ED8E9">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2.2 满足本文件实质性要求和条件的规定。</w:t>
      </w:r>
    </w:p>
    <w:p w14:paraId="7ABE5E32">
      <w:pPr>
        <w:pStyle w:val="202"/>
        <w:pageBreakBefore w:val="0"/>
        <w:widowControl w:val="0"/>
        <w:spacing w:before="0" w:after="0" w:line="400" w:lineRule="exact"/>
        <w:ind w:left="0" w:firstLine="480"/>
        <w:jc w:val="left"/>
        <w:rPr>
          <w:rFonts w:hint="eastAsia" w:ascii="宋体" w:hAnsi="宋体" w:eastAsia="宋体" w:cs="宋体"/>
          <w:b w:val="0"/>
          <w:bCs w:val="0"/>
          <w:color w:val="auto"/>
          <w:sz w:val="24"/>
          <w:szCs w:val="24"/>
        </w:rPr>
      </w:pPr>
      <w:bookmarkStart w:id="60" w:name="_Toc16938522"/>
      <w:bookmarkStart w:id="61" w:name="_Toc20823278"/>
      <w:bookmarkStart w:id="62" w:name="_Toc513029206"/>
      <w:r>
        <w:rPr>
          <w:rFonts w:hint="eastAsia" w:ascii="宋体" w:hAnsi="宋体" w:eastAsia="宋体" w:cs="宋体"/>
          <w:b w:val="0"/>
          <w:bCs w:val="0"/>
          <w:color w:val="auto"/>
          <w:sz w:val="24"/>
          <w:szCs w:val="24"/>
        </w:rPr>
        <w:t>3、适用法律</w:t>
      </w:r>
      <w:bookmarkEnd w:id="60"/>
      <w:bookmarkEnd w:id="61"/>
      <w:bookmarkEnd w:id="62"/>
    </w:p>
    <w:p w14:paraId="7E279D78">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3.1 本次招标及由此产生的合同受中华人民共和国有关的法律法规制约和保护。</w:t>
      </w:r>
    </w:p>
    <w:p w14:paraId="64593B0C">
      <w:pPr>
        <w:pStyle w:val="202"/>
        <w:pageBreakBefore w:val="0"/>
        <w:widowControl w:val="0"/>
        <w:spacing w:before="0" w:after="0" w:line="400" w:lineRule="exact"/>
        <w:ind w:left="0" w:firstLine="480"/>
        <w:jc w:val="left"/>
        <w:rPr>
          <w:rFonts w:hint="eastAsia" w:ascii="宋体" w:hAnsi="宋体" w:eastAsia="宋体" w:cs="宋体"/>
          <w:b w:val="0"/>
          <w:bCs w:val="0"/>
          <w:color w:val="auto"/>
          <w:sz w:val="24"/>
          <w:szCs w:val="24"/>
        </w:rPr>
      </w:pPr>
      <w:bookmarkStart w:id="63" w:name="_Toc513029207"/>
      <w:bookmarkStart w:id="64" w:name="_Toc462564067"/>
      <w:bookmarkStart w:id="65" w:name="_Toc20823279"/>
      <w:bookmarkStart w:id="66" w:name="_Toc16938523"/>
      <w:r>
        <w:rPr>
          <w:rFonts w:hint="eastAsia" w:ascii="宋体" w:hAnsi="宋体" w:eastAsia="宋体" w:cs="宋体"/>
          <w:b w:val="0"/>
          <w:bCs w:val="0"/>
          <w:color w:val="auto"/>
          <w:sz w:val="24"/>
          <w:szCs w:val="24"/>
        </w:rPr>
        <w:t>4、投标费用</w:t>
      </w:r>
      <w:bookmarkEnd w:id="63"/>
      <w:bookmarkEnd w:id="64"/>
      <w:bookmarkEnd w:id="65"/>
      <w:bookmarkEnd w:id="66"/>
    </w:p>
    <w:p w14:paraId="14326626">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4.1 投标人应自行承担所有与参加投标有关的费用，无论投标过程中的做法和结果如何，</w:t>
      </w:r>
      <w:r>
        <w:rPr>
          <w:rFonts w:hint="eastAsia" w:ascii="宋体" w:hAnsi="宋体" w:eastAsia="宋体" w:cs="宋体"/>
          <w:color w:val="auto"/>
          <w:sz w:val="24"/>
          <w:szCs w:val="24"/>
          <w:u w:val="single"/>
        </w:rPr>
        <w:t>江苏中置宏胜项目管理有限公司</w:t>
      </w:r>
      <w:r>
        <w:rPr>
          <w:rFonts w:hint="eastAsia" w:ascii="宋体" w:hAnsi="宋体" w:eastAsia="宋体" w:cs="宋体"/>
          <w:color w:val="auto"/>
          <w:sz w:val="24"/>
          <w:szCs w:val="24"/>
        </w:rPr>
        <w:t>（以下简称采购代理机构）在任何情况下均无义务和责任承担这些费用。</w:t>
      </w:r>
    </w:p>
    <w:p w14:paraId="100BB870">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4.2代理费用收取方式及标准：按以下第</w:t>
      </w:r>
      <w:r>
        <w:rPr>
          <w:rFonts w:hint="eastAsia" w:ascii="宋体" w:hAnsi="宋体" w:eastAsia="宋体" w:cs="宋体"/>
          <w:color w:val="auto"/>
          <w:sz w:val="24"/>
          <w:szCs w:val="24"/>
          <w:highlight w:val="none"/>
          <w:u w:val="single"/>
        </w:rPr>
        <w:t xml:space="preserve"> 4.2.2 </w:t>
      </w:r>
      <w:r>
        <w:rPr>
          <w:rFonts w:hint="eastAsia" w:ascii="宋体" w:hAnsi="宋体" w:eastAsia="宋体" w:cs="宋体"/>
          <w:color w:val="auto"/>
          <w:sz w:val="24"/>
          <w:szCs w:val="24"/>
        </w:rPr>
        <w:t xml:space="preserve"> 种方式执行</w:t>
      </w:r>
    </w:p>
    <w:p w14:paraId="197A1779">
      <w:pPr>
        <w:pageBreakBefore w:val="0"/>
        <w:widowControl w:val="0"/>
        <w:spacing w:line="400" w:lineRule="exact"/>
        <w:ind w:left="0" w:firstLine="48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4.2.1无需支付；</w:t>
      </w:r>
    </w:p>
    <w:p w14:paraId="3D62962A">
      <w:pPr>
        <w:pStyle w:val="293"/>
        <w:pageBreakBefore w:val="0"/>
        <w:widowControl w:val="0"/>
        <w:spacing w:line="400" w:lineRule="exact"/>
        <w:ind w:left="0" w:firstLine="480"/>
        <w:jc w:val="left"/>
        <w:rPr>
          <w:rFonts w:hint="eastAsia" w:ascii="宋体" w:hAnsi="宋体" w:eastAsia="宋体" w:cs="宋体"/>
          <w:color w:val="auto"/>
          <w:sz w:val="24"/>
          <w:szCs w:val="24"/>
          <w:lang w:val="en-US"/>
        </w:rPr>
      </w:pPr>
      <w:r>
        <w:rPr>
          <w:rFonts w:hint="eastAsia" w:ascii="宋体" w:hAnsi="宋体" w:eastAsia="宋体" w:cs="宋体"/>
          <w:color w:val="auto"/>
          <w:sz w:val="24"/>
          <w:szCs w:val="24"/>
          <w:lang w:val="zh-CN"/>
        </w:rPr>
        <w:t>4.2.2具体方式及标准为：按照“苏招协[2022]002 号文件”规定支付招标代理服务费。（支持数字人民币形式支付）</w:t>
      </w:r>
      <w:r>
        <w:rPr>
          <w:rFonts w:hint="eastAsia" w:ascii="宋体" w:hAnsi="宋体" w:eastAsia="宋体" w:cs="宋体"/>
          <w:color w:val="auto"/>
          <w:sz w:val="24"/>
          <w:szCs w:val="24"/>
          <w:lang w:val="en-US"/>
        </w:rPr>
        <w:t xml:space="preserve"> </w:t>
      </w:r>
    </w:p>
    <w:p w14:paraId="7B142DCC">
      <w:pPr>
        <w:pStyle w:val="202"/>
        <w:pageBreakBefore w:val="0"/>
        <w:widowControl w:val="0"/>
        <w:spacing w:before="0" w:after="0" w:line="400" w:lineRule="exact"/>
        <w:ind w:left="0" w:firstLine="482"/>
        <w:jc w:val="left"/>
        <w:rPr>
          <w:rFonts w:hint="eastAsia" w:ascii="宋体" w:hAnsi="宋体" w:eastAsia="宋体" w:cs="宋体"/>
          <w:b w:val="0"/>
          <w:bCs w:val="0"/>
          <w:color w:val="auto"/>
          <w:sz w:val="24"/>
          <w:szCs w:val="24"/>
        </w:rPr>
      </w:pPr>
      <w:r>
        <w:rPr>
          <w:rFonts w:hint="eastAsia" w:ascii="宋体" w:hAnsi="宋体" w:eastAsia="宋体" w:cs="宋体"/>
          <w:color w:val="auto"/>
          <w:sz w:val="24"/>
          <w:szCs w:val="24"/>
        </w:rPr>
        <w:t>5、</w:t>
      </w:r>
      <w:r>
        <w:rPr>
          <w:rFonts w:hint="eastAsia" w:ascii="宋体" w:hAnsi="宋体" w:eastAsia="宋体" w:cs="宋体"/>
          <w:b w:val="0"/>
          <w:bCs w:val="0"/>
          <w:color w:val="auto"/>
          <w:sz w:val="24"/>
          <w:szCs w:val="24"/>
        </w:rPr>
        <w:t>招标文件的约束力</w:t>
      </w:r>
    </w:p>
    <w:p w14:paraId="36091709">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bCs/>
          <w:color w:val="auto"/>
          <w:sz w:val="24"/>
          <w:szCs w:val="24"/>
        </w:rPr>
        <w:t>5.1</w:t>
      </w:r>
      <w:r>
        <w:rPr>
          <w:rFonts w:hint="eastAsia" w:ascii="宋体" w:hAnsi="宋体" w:eastAsia="宋体" w:cs="宋体"/>
          <w:color w:val="auto"/>
          <w:sz w:val="24"/>
          <w:szCs w:val="24"/>
        </w:rPr>
        <w:t xml:space="preserve"> 投标人一旦参加本项目采购活动，即被认为接受了本招标文件的规定和约束。</w:t>
      </w:r>
    </w:p>
    <w:p w14:paraId="0CD781D8">
      <w:pPr>
        <w:pStyle w:val="200"/>
        <w:pageBreakBefore w:val="0"/>
        <w:widowControl w:val="0"/>
        <w:spacing w:before="0" w:after="0" w:line="400" w:lineRule="exact"/>
        <w:ind w:left="0" w:firstLine="482"/>
        <w:jc w:val="left"/>
        <w:rPr>
          <w:rFonts w:hint="eastAsia" w:ascii="宋体" w:hAnsi="宋体" w:eastAsia="宋体" w:cs="宋体"/>
          <w:color w:val="auto"/>
          <w:sz w:val="24"/>
          <w:szCs w:val="24"/>
        </w:rPr>
      </w:pPr>
      <w:bookmarkStart w:id="67" w:name="_Toc513029209"/>
      <w:bookmarkStart w:id="68" w:name="_Toc20823281"/>
      <w:bookmarkStart w:id="69" w:name="_Toc120614215"/>
      <w:bookmarkStart w:id="70" w:name="_Toc16938525"/>
      <w:r>
        <w:rPr>
          <w:rFonts w:hint="eastAsia" w:ascii="宋体" w:hAnsi="宋体" w:eastAsia="宋体" w:cs="宋体"/>
          <w:color w:val="auto"/>
          <w:sz w:val="24"/>
          <w:szCs w:val="24"/>
        </w:rPr>
        <w:t>二、招标文件</w:t>
      </w:r>
      <w:bookmarkEnd w:id="67"/>
      <w:bookmarkEnd w:id="68"/>
      <w:bookmarkEnd w:id="69"/>
      <w:bookmarkEnd w:id="70"/>
    </w:p>
    <w:p w14:paraId="6343F5D8">
      <w:pPr>
        <w:pStyle w:val="202"/>
        <w:pageBreakBefore w:val="0"/>
        <w:widowControl w:val="0"/>
        <w:spacing w:before="0" w:after="0" w:line="400" w:lineRule="exact"/>
        <w:ind w:left="0" w:firstLine="480"/>
        <w:jc w:val="left"/>
        <w:rPr>
          <w:rFonts w:hint="eastAsia" w:ascii="宋体" w:hAnsi="宋体" w:eastAsia="宋体" w:cs="宋体"/>
          <w:b w:val="0"/>
          <w:bCs w:val="0"/>
          <w:color w:val="auto"/>
          <w:sz w:val="24"/>
          <w:szCs w:val="24"/>
        </w:rPr>
      </w:pPr>
      <w:bookmarkStart w:id="71" w:name="_Toc16938526"/>
      <w:bookmarkStart w:id="72" w:name="_Toc20823282"/>
      <w:bookmarkStart w:id="73" w:name="_Toc513029210"/>
      <w:r>
        <w:rPr>
          <w:rFonts w:hint="eastAsia" w:ascii="宋体" w:hAnsi="宋体" w:eastAsia="宋体" w:cs="宋体"/>
          <w:b w:val="0"/>
          <w:bCs w:val="0"/>
          <w:color w:val="auto"/>
          <w:sz w:val="24"/>
          <w:szCs w:val="24"/>
        </w:rPr>
        <w:t>6、招标文件构成</w:t>
      </w:r>
      <w:bookmarkEnd w:id="71"/>
      <w:bookmarkEnd w:id="72"/>
      <w:bookmarkEnd w:id="73"/>
    </w:p>
    <w:p w14:paraId="443AF789">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bCs/>
          <w:color w:val="auto"/>
          <w:sz w:val="24"/>
          <w:szCs w:val="24"/>
        </w:rPr>
        <w:t>6.1</w:t>
      </w:r>
      <w:r>
        <w:rPr>
          <w:rFonts w:hint="eastAsia" w:ascii="宋体" w:hAnsi="宋体" w:eastAsia="宋体" w:cs="宋体"/>
          <w:color w:val="auto"/>
          <w:sz w:val="24"/>
          <w:szCs w:val="24"/>
        </w:rPr>
        <w:t xml:space="preserve"> 招标文件由以下部分组成：</w:t>
      </w:r>
    </w:p>
    <w:p w14:paraId="3002CCCA">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（1）投标邀请</w:t>
      </w:r>
    </w:p>
    <w:p w14:paraId="623C69A5">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（2）投标人须知</w:t>
      </w:r>
    </w:p>
    <w:p w14:paraId="22C03886">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（3）合同文本</w:t>
      </w:r>
    </w:p>
    <w:p w14:paraId="2579F7F4">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（4）采购需求</w:t>
      </w:r>
    </w:p>
    <w:p w14:paraId="271BF9EB">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（5）评标方法与评标标准</w:t>
      </w:r>
    </w:p>
    <w:p w14:paraId="778DC061">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（6）投标文件格式</w:t>
      </w:r>
    </w:p>
    <w:p w14:paraId="15D26E58">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请仔细检查招标文件是否齐全，如有缺漏请立即与采购代理机构联系解决。</w:t>
      </w:r>
    </w:p>
    <w:p w14:paraId="1C6F994D">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bCs/>
          <w:color w:val="auto"/>
          <w:sz w:val="24"/>
          <w:szCs w:val="24"/>
        </w:rPr>
        <w:t>6.2</w:t>
      </w:r>
      <w:r>
        <w:rPr>
          <w:rFonts w:hint="eastAsia" w:ascii="宋体" w:hAnsi="宋体" w:eastAsia="宋体" w:cs="宋体"/>
          <w:color w:val="auto"/>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38EA6820">
      <w:pPr>
        <w:pStyle w:val="202"/>
        <w:pageBreakBefore w:val="0"/>
        <w:widowControl w:val="0"/>
        <w:spacing w:before="0" w:after="0" w:line="400" w:lineRule="exact"/>
        <w:ind w:left="0" w:firstLine="480"/>
        <w:jc w:val="left"/>
        <w:rPr>
          <w:rFonts w:hint="eastAsia" w:ascii="宋体" w:hAnsi="宋体" w:eastAsia="宋体" w:cs="宋体"/>
          <w:b w:val="0"/>
          <w:bCs w:val="0"/>
          <w:color w:val="auto"/>
          <w:sz w:val="24"/>
          <w:szCs w:val="24"/>
        </w:rPr>
      </w:pPr>
      <w:bookmarkStart w:id="74" w:name="_Toc16938527"/>
      <w:bookmarkStart w:id="75" w:name="_Toc513029211"/>
      <w:bookmarkStart w:id="76" w:name="_Toc20823283"/>
      <w:bookmarkStart w:id="77" w:name="_Toc462564070"/>
      <w:r>
        <w:rPr>
          <w:rFonts w:hint="eastAsia" w:ascii="宋体" w:hAnsi="宋体" w:eastAsia="宋体" w:cs="宋体"/>
          <w:b w:val="0"/>
          <w:bCs w:val="0"/>
          <w:color w:val="auto"/>
          <w:sz w:val="24"/>
          <w:szCs w:val="24"/>
        </w:rPr>
        <w:t>7、招标文件的澄清</w:t>
      </w:r>
      <w:bookmarkEnd w:id="74"/>
      <w:bookmarkEnd w:id="75"/>
      <w:bookmarkEnd w:id="76"/>
      <w:bookmarkEnd w:id="77"/>
    </w:p>
    <w:p w14:paraId="1A86E02F">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bCs/>
          <w:color w:val="auto"/>
          <w:sz w:val="24"/>
          <w:szCs w:val="24"/>
        </w:rPr>
        <w:t>7.1</w:t>
      </w:r>
      <w:r>
        <w:rPr>
          <w:rFonts w:hint="eastAsia" w:ascii="宋体" w:hAnsi="宋体" w:eastAsia="宋体" w:cs="宋体"/>
          <w:color w:val="auto"/>
          <w:sz w:val="24"/>
          <w:szCs w:val="24"/>
        </w:rPr>
        <w:t xml:space="preserve"> 任何要求对招标文件进行澄清的投标人，应在投标截止期</w:t>
      </w:r>
      <w:r>
        <w:rPr>
          <w:rFonts w:hint="eastAsia" w:ascii="宋体" w:hAnsi="宋体" w:eastAsia="宋体" w:cs="宋体"/>
          <w:b/>
          <w:color w:val="auto"/>
          <w:sz w:val="24"/>
          <w:szCs w:val="24"/>
        </w:rPr>
        <w:t>十日</w:t>
      </w:r>
      <w:r>
        <w:rPr>
          <w:rFonts w:hint="eastAsia" w:ascii="宋体" w:hAnsi="宋体" w:eastAsia="宋体" w:cs="宋体"/>
          <w:color w:val="auto"/>
          <w:sz w:val="24"/>
          <w:szCs w:val="24"/>
        </w:rPr>
        <w:t>前按招标公告中的通讯地址，以书面形式通知采购代理机构。</w:t>
      </w:r>
    </w:p>
    <w:p w14:paraId="037297E1">
      <w:pPr>
        <w:pStyle w:val="202"/>
        <w:pageBreakBefore w:val="0"/>
        <w:widowControl w:val="0"/>
        <w:spacing w:before="0" w:after="0" w:line="400" w:lineRule="exact"/>
        <w:ind w:left="0" w:firstLine="480"/>
        <w:jc w:val="left"/>
        <w:rPr>
          <w:rFonts w:hint="eastAsia" w:ascii="宋体" w:hAnsi="宋体" w:eastAsia="宋体" w:cs="宋体"/>
          <w:b w:val="0"/>
          <w:bCs w:val="0"/>
          <w:color w:val="auto"/>
          <w:sz w:val="24"/>
          <w:szCs w:val="24"/>
        </w:rPr>
      </w:pPr>
      <w:bookmarkStart w:id="78" w:name="_Toc16938528"/>
      <w:bookmarkStart w:id="79" w:name="_Toc462564071"/>
      <w:bookmarkStart w:id="80" w:name="_Toc513029212"/>
      <w:bookmarkStart w:id="81" w:name="_Toc20823284"/>
      <w:r>
        <w:rPr>
          <w:rFonts w:hint="eastAsia" w:ascii="宋体" w:hAnsi="宋体" w:eastAsia="宋体" w:cs="宋体"/>
          <w:b w:val="0"/>
          <w:bCs w:val="0"/>
          <w:color w:val="auto"/>
          <w:sz w:val="24"/>
          <w:szCs w:val="24"/>
        </w:rPr>
        <w:t>8、招标文件的修改</w:t>
      </w:r>
      <w:bookmarkEnd w:id="78"/>
      <w:bookmarkEnd w:id="79"/>
      <w:bookmarkEnd w:id="80"/>
      <w:bookmarkEnd w:id="81"/>
    </w:p>
    <w:p w14:paraId="1539D002">
      <w:pPr>
        <w:pageBreakBefore w:val="0"/>
        <w:widowControl w:val="0"/>
        <w:spacing w:line="400" w:lineRule="exact"/>
        <w:ind w:left="0"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8.1采购代理机构可以以更正公告的形式，对已发出的招标文件进行必要的澄清或者修改。澄清或者修改的内容可能影响投标文件编制的，更正公告应在投标截止时间至少15日前发出；不足15日的，采购代理机构应当顺延提交投标文件的截止时间。</w:t>
      </w:r>
    </w:p>
    <w:p w14:paraId="6543D288">
      <w:pPr>
        <w:pageBreakBefore w:val="0"/>
        <w:widowControl w:val="0"/>
        <w:spacing w:line="400" w:lineRule="exact"/>
        <w:ind w:left="0"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8.2 在投标截止时间前，采购代理机构可以对招标文件进行修改。</w:t>
      </w:r>
    </w:p>
    <w:p w14:paraId="1CA11935">
      <w:pPr>
        <w:pageBreakBefore w:val="0"/>
        <w:widowControl w:val="0"/>
        <w:spacing w:line="400" w:lineRule="exact"/>
        <w:ind w:left="0"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8.3 采购代理机构有权按照法定的要求推迟投标截止日期和开标日期。</w:t>
      </w:r>
    </w:p>
    <w:p w14:paraId="5BED7E5A">
      <w:pPr>
        <w:pageBreakBefore w:val="0"/>
        <w:widowControl w:val="0"/>
        <w:spacing w:line="400" w:lineRule="exact"/>
        <w:ind w:left="0"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8.4招标文件的修改将在原公告媒体上发布更正公告，补充文件将作为招标文件的组成部分，并对投标人具有约束力。</w:t>
      </w:r>
    </w:p>
    <w:p w14:paraId="45D944F3">
      <w:pPr>
        <w:pageBreakBefore w:val="0"/>
        <w:widowControl w:val="0"/>
        <w:spacing w:line="400" w:lineRule="exact"/>
        <w:ind w:left="0"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8.5投标人应及时登录“苏采云”系统获取澄清答疑文件（修改后招标文件），如因投标人原因未能及时下载澄清和修改后的招标文件，由此造成的相关责任，由投标人承担。 </w:t>
      </w:r>
    </w:p>
    <w:p w14:paraId="18ADCED8">
      <w:pPr>
        <w:pStyle w:val="200"/>
        <w:pageBreakBefore w:val="0"/>
        <w:widowControl w:val="0"/>
        <w:spacing w:before="0" w:after="0" w:line="400" w:lineRule="exact"/>
        <w:ind w:left="0" w:firstLine="482"/>
        <w:jc w:val="left"/>
        <w:rPr>
          <w:rFonts w:hint="eastAsia" w:ascii="宋体" w:hAnsi="宋体" w:eastAsia="宋体" w:cs="宋体"/>
          <w:color w:val="auto"/>
          <w:sz w:val="24"/>
          <w:szCs w:val="24"/>
        </w:rPr>
      </w:pPr>
      <w:bookmarkStart w:id="82" w:name="_Toc462564072"/>
      <w:bookmarkStart w:id="83" w:name="_Toc513029213"/>
      <w:bookmarkStart w:id="84" w:name="_Toc20823285"/>
      <w:bookmarkStart w:id="85" w:name="_Toc16938529"/>
      <w:bookmarkStart w:id="86" w:name="_Toc120614216"/>
      <w:r>
        <w:rPr>
          <w:rFonts w:hint="eastAsia" w:ascii="宋体" w:hAnsi="宋体" w:eastAsia="宋体" w:cs="宋体"/>
          <w:color w:val="auto"/>
          <w:sz w:val="24"/>
          <w:szCs w:val="24"/>
        </w:rPr>
        <w:t>三、投标文件的编制</w:t>
      </w:r>
      <w:bookmarkEnd w:id="82"/>
      <w:bookmarkEnd w:id="83"/>
      <w:bookmarkEnd w:id="84"/>
      <w:bookmarkEnd w:id="85"/>
      <w:bookmarkEnd w:id="86"/>
    </w:p>
    <w:p w14:paraId="3D49B145">
      <w:pPr>
        <w:pStyle w:val="202"/>
        <w:pageBreakBefore w:val="0"/>
        <w:widowControl w:val="0"/>
        <w:spacing w:before="0" w:after="0" w:line="400" w:lineRule="exact"/>
        <w:ind w:left="0" w:firstLine="480"/>
        <w:jc w:val="left"/>
        <w:rPr>
          <w:rFonts w:hint="eastAsia" w:ascii="宋体" w:hAnsi="宋体" w:eastAsia="宋体" w:cs="宋体"/>
          <w:bCs w:val="0"/>
          <w:color w:val="auto"/>
          <w:sz w:val="24"/>
          <w:szCs w:val="24"/>
        </w:rPr>
      </w:pPr>
      <w:bookmarkStart w:id="87" w:name="_Toc16938530"/>
      <w:bookmarkStart w:id="88" w:name="_Toc513029214"/>
      <w:bookmarkStart w:id="89" w:name="_Toc462564073"/>
      <w:bookmarkStart w:id="90" w:name="_Toc20823286"/>
      <w:r>
        <w:rPr>
          <w:rFonts w:hint="eastAsia" w:ascii="宋体" w:hAnsi="宋体" w:eastAsia="宋体" w:cs="宋体"/>
          <w:b w:val="0"/>
          <w:bCs w:val="0"/>
          <w:color w:val="auto"/>
          <w:sz w:val="24"/>
          <w:szCs w:val="24"/>
        </w:rPr>
        <w:t>9、投标文件的语言及度量衡单位</w:t>
      </w:r>
      <w:bookmarkEnd w:id="87"/>
      <w:bookmarkEnd w:id="88"/>
      <w:bookmarkEnd w:id="89"/>
      <w:bookmarkEnd w:id="90"/>
    </w:p>
    <w:p w14:paraId="5CBF08C8">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bCs/>
          <w:color w:val="auto"/>
          <w:sz w:val="24"/>
          <w:szCs w:val="24"/>
        </w:rPr>
        <w:t>9.1</w:t>
      </w:r>
      <w:r>
        <w:rPr>
          <w:rFonts w:hint="eastAsia" w:ascii="宋体" w:hAnsi="宋体" w:eastAsia="宋体" w:cs="宋体"/>
          <w:color w:val="auto"/>
          <w:sz w:val="24"/>
          <w:szCs w:val="24"/>
        </w:rPr>
        <w:t xml:space="preserve"> 投标人提交的投标文件以及投标人与采购代理机构就有关投标的所有来往通知、函件和文件均应使用</w:t>
      </w:r>
      <w:r>
        <w:rPr>
          <w:rFonts w:hint="eastAsia" w:ascii="宋体" w:hAnsi="宋体" w:eastAsia="宋体" w:cs="宋体"/>
          <w:b/>
          <w:bCs/>
          <w:color w:val="auto"/>
          <w:sz w:val="24"/>
          <w:szCs w:val="24"/>
        </w:rPr>
        <w:t>简体中文</w:t>
      </w:r>
      <w:r>
        <w:rPr>
          <w:rFonts w:hint="eastAsia" w:ascii="宋体" w:hAnsi="宋体" w:eastAsia="宋体" w:cs="宋体"/>
          <w:color w:val="auto"/>
          <w:sz w:val="24"/>
          <w:szCs w:val="24"/>
        </w:rPr>
        <w:t>。</w:t>
      </w:r>
    </w:p>
    <w:p w14:paraId="46B7ACA2">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bCs/>
          <w:color w:val="auto"/>
          <w:sz w:val="24"/>
          <w:szCs w:val="24"/>
        </w:rPr>
        <w:t>9.2</w:t>
      </w:r>
      <w:r>
        <w:rPr>
          <w:rFonts w:hint="eastAsia" w:ascii="宋体" w:hAnsi="宋体" w:eastAsia="宋体" w:cs="宋体"/>
          <w:color w:val="auto"/>
          <w:sz w:val="24"/>
          <w:szCs w:val="24"/>
        </w:rPr>
        <w:t xml:space="preserve"> 除技术性能另有规定外，投标文件所使用的度量衡单位，均须采用国家法定计量单位。</w:t>
      </w:r>
    </w:p>
    <w:p w14:paraId="4FAB0D1F">
      <w:pPr>
        <w:pStyle w:val="202"/>
        <w:pageBreakBefore w:val="0"/>
        <w:widowControl w:val="0"/>
        <w:spacing w:before="0" w:after="0" w:line="400" w:lineRule="exact"/>
        <w:ind w:left="0" w:firstLine="480"/>
        <w:jc w:val="left"/>
        <w:rPr>
          <w:rFonts w:hint="eastAsia" w:ascii="宋体" w:hAnsi="宋体" w:eastAsia="宋体" w:cs="宋体"/>
          <w:b w:val="0"/>
          <w:bCs w:val="0"/>
          <w:color w:val="auto"/>
          <w:sz w:val="24"/>
          <w:szCs w:val="24"/>
        </w:rPr>
      </w:pPr>
      <w:bookmarkStart w:id="91" w:name="_Toc462564074"/>
      <w:bookmarkStart w:id="92" w:name="_Toc16938531"/>
      <w:bookmarkStart w:id="93" w:name="_Toc513029215"/>
      <w:bookmarkStart w:id="94" w:name="_Toc20823287"/>
      <w:r>
        <w:rPr>
          <w:rFonts w:hint="eastAsia" w:ascii="宋体" w:hAnsi="宋体" w:eastAsia="宋体" w:cs="宋体"/>
          <w:b w:val="0"/>
          <w:bCs w:val="0"/>
          <w:color w:val="auto"/>
          <w:sz w:val="24"/>
          <w:szCs w:val="24"/>
        </w:rPr>
        <w:t>10、投标文件构成</w:t>
      </w:r>
      <w:bookmarkEnd w:id="91"/>
      <w:bookmarkEnd w:id="92"/>
      <w:bookmarkEnd w:id="93"/>
      <w:bookmarkEnd w:id="94"/>
    </w:p>
    <w:p w14:paraId="3D300E62">
      <w:pPr>
        <w:pageBreakBefore w:val="0"/>
        <w:widowControl w:val="0"/>
        <w:spacing w:line="400" w:lineRule="exact"/>
        <w:ind w:left="0"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10.1投标人应仔细阅读“招标文件”的所有内容，按“招标文件”第六章“投标文件格式”编制“电子投标文件”，如有必要，可以增加附页，作为投标文件的组成部分。本次招标不接受纸质投标文件。投标人须保证所提供的全部资料的真实性、完整性及有效性，以使其投标对“招标文件”作出实质性响应。否则，可能被拒绝。</w:t>
      </w:r>
    </w:p>
    <w:p w14:paraId="2315D2AD">
      <w:pPr>
        <w:pageBreakBefore w:val="0"/>
        <w:widowControl w:val="0"/>
        <w:spacing w:line="400" w:lineRule="exact"/>
        <w:ind w:left="0"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lang w:val="zh-CN"/>
        </w:rPr>
        <w:t>各投标人在编制投标文件时请按照招标文件第六</w:t>
      </w:r>
      <w:r>
        <w:rPr>
          <w:rFonts w:hint="eastAsia" w:ascii="宋体" w:hAnsi="宋体" w:eastAsia="宋体" w:cs="宋体"/>
          <w:bCs/>
          <w:color w:val="auto"/>
          <w:sz w:val="24"/>
          <w:szCs w:val="24"/>
        </w:rPr>
        <w:t>章</w:t>
      </w:r>
      <w:r>
        <w:rPr>
          <w:rFonts w:hint="eastAsia" w:ascii="宋体" w:hAnsi="宋体" w:eastAsia="宋体" w:cs="宋体"/>
          <w:bCs/>
          <w:color w:val="auto"/>
          <w:sz w:val="24"/>
          <w:szCs w:val="24"/>
          <w:lang w:val="zh-CN"/>
        </w:rPr>
        <w:t>规定的格式进行，混乱的编排导致投标文件被误读或评委会查找不到有效文件是投标人的风险。</w:t>
      </w:r>
    </w:p>
    <w:p w14:paraId="61FA5510">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10.2 投标人编写的投标文件应包括资格证明文件、符合性证明文件、投标分项报价表、响应及偏离表、其他证明文件、投标函、开标一览表等部分。</w:t>
      </w:r>
    </w:p>
    <w:p w14:paraId="1230BDB5">
      <w:pPr>
        <w:pageBreakBefore w:val="0"/>
        <w:widowControl w:val="0"/>
        <w:spacing w:line="400" w:lineRule="exact"/>
        <w:ind w:left="0"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10.3投标文件须加盖电子签章之处，应按要求加盖投标人数字证书的电子签章。其他需要盖章但未明确要求电子签章的，投标人可按要求加盖公章后上传材料电子件或直接加盖电子签章。 </w:t>
      </w:r>
    </w:p>
    <w:p w14:paraId="532E7445">
      <w:pPr>
        <w:pageBreakBefore w:val="0"/>
        <w:widowControl w:val="0"/>
        <w:spacing w:line="400" w:lineRule="exact"/>
        <w:ind w:left="0"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10.4本项目通过“苏采云”系统进行电子招标投标，即投标人应当通过“苏采云”系统提交数据电文形式的响应文件（即电子投标）。响应文件使用政府采购客户端工具制作并通过“苏采云”系统提交，未进行响应文件提交并解密的投标人，按照无效响应处理(因“苏采云”系统导致解密失败的除外)。</w:t>
      </w:r>
    </w:p>
    <w:p w14:paraId="048A15AA">
      <w:pPr>
        <w:pageBreakBefore w:val="0"/>
        <w:widowControl w:val="0"/>
        <w:spacing w:line="400" w:lineRule="exact"/>
        <w:ind w:left="0"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10.2 如标书制作工具中格式和内容与“宿迁市政府采购网”发布的招标文件不一致，请以“宿迁市政府采购网”发布的招标文件为准。</w:t>
      </w:r>
    </w:p>
    <w:p w14:paraId="53F0CE9D">
      <w:pPr>
        <w:pageBreakBefore w:val="0"/>
        <w:widowControl w:val="0"/>
        <w:spacing w:line="400" w:lineRule="exact"/>
        <w:ind w:left="0"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10.6中标后按相关要求提供与电子投标文件一致的纸质打印投标文件2份。 </w:t>
      </w:r>
    </w:p>
    <w:p w14:paraId="19C24B19">
      <w:pPr>
        <w:pageBreakBefore w:val="0"/>
        <w:widowControl w:val="0"/>
        <w:spacing w:line="400" w:lineRule="exact"/>
        <w:ind w:left="0" w:firstLine="480"/>
        <w:jc w:val="left"/>
        <w:rPr>
          <w:rFonts w:hint="eastAsia" w:ascii="宋体" w:hAnsi="宋体" w:eastAsia="宋体" w:cs="宋体"/>
          <w:bCs/>
          <w:color w:val="auto"/>
          <w:sz w:val="24"/>
          <w:szCs w:val="24"/>
        </w:rPr>
      </w:pPr>
      <w:bookmarkStart w:id="95" w:name="EBc50e2bb832bb43068403b10c1cce6141"/>
      <w:r>
        <w:rPr>
          <w:rFonts w:hint="eastAsia" w:ascii="宋体" w:hAnsi="宋体" w:eastAsia="宋体" w:cs="宋体"/>
          <w:bCs/>
          <w:color w:val="auto"/>
          <w:sz w:val="24"/>
          <w:szCs w:val="24"/>
        </w:rPr>
        <w:t>注：（1）投标文件构成资料为非中文时应提供中文译版；（2）招标文件要求提供证书证件等原件电子件的，投标人提供的电子件应是对证书证件等原件通过扫描、拍照等方式进行数字化的可被“苏采云”系统识别的数字文件，否则评委会可以视其未提供。（3）无论何种原因，即使投标人开标时携带了证书证明资料的原件，但电子投标文件中未包含相关资料电子件的，评委会可以视同其未提供。</w:t>
      </w:r>
      <w:bookmarkEnd w:id="95"/>
    </w:p>
    <w:p w14:paraId="58B83B00">
      <w:pPr>
        <w:pStyle w:val="202"/>
        <w:pageBreakBefore w:val="0"/>
        <w:widowControl w:val="0"/>
        <w:spacing w:before="0" w:after="0" w:line="400" w:lineRule="exact"/>
        <w:ind w:left="0" w:firstLine="480"/>
        <w:jc w:val="left"/>
        <w:rPr>
          <w:rFonts w:hint="eastAsia" w:ascii="宋体" w:hAnsi="宋体" w:eastAsia="宋体" w:cs="宋体"/>
          <w:b w:val="0"/>
          <w:bCs w:val="0"/>
          <w:color w:val="auto"/>
          <w:sz w:val="24"/>
          <w:szCs w:val="24"/>
        </w:rPr>
      </w:pPr>
      <w:bookmarkStart w:id="96" w:name="_Hlt26670360"/>
      <w:bookmarkEnd w:id="96"/>
      <w:bookmarkStart w:id="97" w:name="_Hlt26668975"/>
      <w:bookmarkEnd w:id="97"/>
      <w:bookmarkStart w:id="98" w:name="_Hlt26954838"/>
      <w:bookmarkEnd w:id="98"/>
      <w:bookmarkStart w:id="99" w:name="_Toc513029219"/>
      <w:bookmarkStart w:id="100" w:name="_Toc49090509"/>
      <w:bookmarkStart w:id="101" w:name="_Toc14577354"/>
      <w:bookmarkStart w:id="102" w:name="_Toc14577357"/>
      <w:bookmarkStart w:id="103" w:name="_Toc513029216"/>
      <w:bookmarkStart w:id="104" w:name="_Toc49090507"/>
      <w:r>
        <w:rPr>
          <w:rFonts w:hint="eastAsia" w:ascii="宋体" w:hAnsi="宋体" w:eastAsia="宋体" w:cs="宋体"/>
          <w:b w:val="0"/>
          <w:bCs w:val="0"/>
          <w:color w:val="auto"/>
          <w:sz w:val="24"/>
          <w:szCs w:val="24"/>
        </w:rPr>
        <w:t>11、证明投标人及投标标的符合招标文件规定的文件</w:t>
      </w:r>
      <w:bookmarkEnd w:id="99"/>
      <w:bookmarkEnd w:id="100"/>
      <w:bookmarkEnd w:id="101"/>
      <w:bookmarkEnd w:id="102"/>
      <w:bookmarkEnd w:id="103"/>
      <w:bookmarkEnd w:id="104"/>
    </w:p>
    <w:p w14:paraId="1D84FD5F">
      <w:pPr>
        <w:pageBreakBefore w:val="0"/>
        <w:widowControl w:val="0"/>
        <w:spacing w:line="400" w:lineRule="exact"/>
        <w:ind w:left="0" w:firstLine="480"/>
        <w:jc w:val="left"/>
        <w:rPr>
          <w:rFonts w:hint="eastAsia" w:ascii="宋体" w:hAnsi="宋体" w:eastAsia="宋体" w:cs="宋体"/>
          <w:color w:val="auto"/>
          <w:sz w:val="24"/>
          <w:szCs w:val="24"/>
        </w:rPr>
      </w:pPr>
      <w:bookmarkStart w:id="105" w:name="_Toc14577355"/>
      <w:bookmarkStart w:id="106" w:name="_Toc49090508"/>
      <w:r>
        <w:rPr>
          <w:rFonts w:hint="eastAsia" w:ascii="宋体" w:hAnsi="宋体" w:eastAsia="宋体" w:cs="宋体"/>
          <w:color w:val="auto"/>
          <w:sz w:val="24"/>
          <w:szCs w:val="24"/>
        </w:rPr>
        <w:t>11.1 投标人应按照法律、法规、规章和规范性文件以及招标文件要求提交证明文件，证明其及投标标的符合招标文件规定。</w:t>
      </w:r>
    </w:p>
    <w:p w14:paraId="4734633F">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11.2招标文件对证明文件无明确形式要求的，证明文件可以以文字资料、图纸和数据等形式提交。</w:t>
      </w:r>
    </w:p>
    <w:p w14:paraId="5BCABF6A">
      <w:pPr>
        <w:pStyle w:val="202"/>
        <w:pageBreakBefore w:val="0"/>
        <w:widowControl w:val="0"/>
        <w:spacing w:before="0" w:after="0" w:line="400" w:lineRule="exact"/>
        <w:ind w:left="0" w:firstLine="48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12、投标分项报价</w:t>
      </w:r>
      <w:bookmarkEnd w:id="105"/>
      <w:bookmarkStart w:id="107" w:name="_Hlt26670373"/>
      <w:bookmarkEnd w:id="107"/>
      <w:r>
        <w:rPr>
          <w:rFonts w:hint="eastAsia" w:ascii="宋体" w:hAnsi="宋体" w:eastAsia="宋体" w:cs="宋体"/>
          <w:b w:val="0"/>
          <w:bCs w:val="0"/>
          <w:color w:val="auto"/>
          <w:sz w:val="24"/>
          <w:szCs w:val="24"/>
        </w:rPr>
        <w:t>表</w:t>
      </w:r>
      <w:bookmarkEnd w:id="106"/>
    </w:p>
    <w:p w14:paraId="6EC9A68C">
      <w:pPr>
        <w:pageBreakBefore w:val="0"/>
        <w:widowControl w:val="0"/>
        <w:spacing w:line="400" w:lineRule="exact"/>
        <w:ind w:left="0"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12.1</w:t>
      </w:r>
      <w:r>
        <w:rPr>
          <w:rFonts w:hint="eastAsia" w:ascii="宋体" w:hAnsi="宋体" w:eastAsia="宋体" w:cs="宋体"/>
          <w:color w:val="auto"/>
          <w:sz w:val="24"/>
          <w:szCs w:val="24"/>
        </w:rPr>
        <w:t xml:space="preserve"> 投</w:t>
      </w:r>
      <w:bookmarkStart w:id="108" w:name="_Hlt26954840"/>
      <w:bookmarkEnd w:id="108"/>
      <w:r>
        <w:rPr>
          <w:rFonts w:hint="eastAsia" w:ascii="宋体" w:hAnsi="宋体" w:eastAsia="宋体" w:cs="宋体"/>
          <w:color w:val="auto"/>
          <w:sz w:val="24"/>
          <w:szCs w:val="24"/>
        </w:rPr>
        <w:t>标人应按照招标文件规定格式填报投标分项报价表</w:t>
      </w:r>
      <w:bookmarkStart w:id="109" w:name="_Hlt26670399"/>
      <w:bookmarkEnd w:id="109"/>
      <w:r>
        <w:rPr>
          <w:rFonts w:hint="eastAsia" w:ascii="宋体" w:hAnsi="宋体" w:eastAsia="宋体" w:cs="宋体"/>
          <w:color w:val="auto"/>
          <w:sz w:val="24"/>
          <w:szCs w:val="24"/>
        </w:rPr>
        <w:t>。</w:t>
      </w:r>
    </w:p>
    <w:p w14:paraId="6D8D99AE">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12.2</w:t>
      </w:r>
      <w:r>
        <w:rPr>
          <w:rFonts w:hint="eastAsia" w:ascii="宋体" w:hAnsi="宋体" w:eastAsia="宋体" w:cs="宋体"/>
          <w:bCs/>
          <w:color w:val="auto"/>
          <w:sz w:val="24"/>
          <w:szCs w:val="24"/>
        </w:rPr>
        <w:t>投标货币。投标文件中的单价和总价无特殊规定的采用人民币报价，以元为单位标注。</w:t>
      </w:r>
      <w:r>
        <w:rPr>
          <w:rFonts w:hint="eastAsia" w:ascii="宋体" w:hAnsi="宋体" w:eastAsia="宋体" w:cs="宋体"/>
          <w:color w:val="auto"/>
          <w:sz w:val="24"/>
          <w:szCs w:val="24"/>
        </w:rPr>
        <w:t>招标文件中另有规定的按规定执行。</w:t>
      </w:r>
    </w:p>
    <w:p w14:paraId="25DD9DFC">
      <w:pPr>
        <w:pageBreakBefore w:val="0"/>
        <w:widowControl w:val="0"/>
        <w:spacing w:line="400" w:lineRule="exact"/>
        <w:ind w:left="0" w:firstLine="480"/>
        <w:jc w:val="left"/>
        <w:rPr>
          <w:rFonts w:hint="eastAsia" w:ascii="宋体" w:hAnsi="宋体" w:eastAsia="宋体" w:cs="宋体"/>
          <w:bCs/>
          <w:color w:val="auto"/>
          <w:sz w:val="24"/>
          <w:szCs w:val="24"/>
          <w:highlight w:val="yellow"/>
        </w:rPr>
      </w:pPr>
      <w:r>
        <w:rPr>
          <w:rFonts w:hint="eastAsia" w:ascii="宋体" w:hAnsi="宋体" w:eastAsia="宋体" w:cs="宋体"/>
          <w:bCs/>
          <w:color w:val="auto"/>
          <w:sz w:val="24"/>
          <w:szCs w:val="24"/>
        </w:rPr>
        <w:t>12.3本项目不接受备选的投标方案或有选择的报价，只允许有一个报价。投标报价内容包括</w:t>
      </w:r>
      <w:r>
        <w:rPr>
          <w:rFonts w:hint="eastAsia" w:ascii="宋体" w:hAnsi="宋体" w:eastAsia="宋体" w:cs="宋体"/>
          <w:color w:val="auto"/>
          <w:sz w:val="24"/>
          <w:szCs w:val="24"/>
          <w:lang w:val="zh-CN"/>
        </w:rPr>
        <w:t>：包含但不限于施工图设计费、可研、初设、立项、排污许可证、环评报告及验收、设备采购、施工、安装、运营费用、安评（如需要）等完成本项目所涉及到的一切相关费用。</w:t>
      </w:r>
    </w:p>
    <w:p w14:paraId="265839F4">
      <w:pPr>
        <w:pStyle w:val="202"/>
        <w:pageBreakBefore w:val="0"/>
        <w:widowControl w:val="0"/>
        <w:spacing w:before="0" w:after="0" w:line="400" w:lineRule="exact"/>
        <w:ind w:left="0" w:firstLine="480"/>
        <w:jc w:val="left"/>
        <w:rPr>
          <w:rFonts w:hint="eastAsia" w:ascii="宋体" w:hAnsi="宋体" w:eastAsia="宋体" w:cs="宋体"/>
          <w:b w:val="0"/>
          <w:bCs w:val="0"/>
          <w:color w:val="auto"/>
          <w:sz w:val="24"/>
          <w:szCs w:val="24"/>
        </w:rPr>
      </w:pPr>
      <w:bookmarkStart w:id="110" w:name="_Hlt26668983"/>
      <w:bookmarkEnd w:id="110"/>
      <w:bookmarkStart w:id="111" w:name="_Hlt26670482"/>
      <w:bookmarkEnd w:id="111"/>
      <w:bookmarkStart w:id="112" w:name="_Hlt26954842"/>
      <w:bookmarkEnd w:id="112"/>
      <w:bookmarkStart w:id="113" w:name="_Hlt26954844"/>
      <w:bookmarkEnd w:id="113"/>
      <w:bookmarkStart w:id="114" w:name="_Hlt26670486"/>
      <w:bookmarkEnd w:id="114"/>
      <w:bookmarkStart w:id="115" w:name="_Hlt26954848"/>
      <w:bookmarkEnd w:id="115"/>
      <w:bookmarkStart w:id="116" w:name="_Hlt26670425"/>
      <w:bookmarkEnd w:id="116"/>
      <w:bookmarkStart w:id="117" w:name="_Hlt26954731"/>
      <w:bookmarkEnd w:id="117"/>
      <w:bookmarkStart w:id="118" w:name="_Hlt26670403"/>
      <w:bookmarkEnd w:id="118"/>
      <w:bookmarkStart w:id="119" w:name="_Hlt26954846"/>
      <w:bookmarkEnd w:id="119"/>
      <w:r>
        <w:rPr>
          <w:rFonts w:hint="eastAsia" w:ascii="宋体" w:hAnsi="宋体" w:eastAsia="宋体" w:cs="宋体"/>
          <w:b w:val="0"/>
          <w:bCs w:val="0"/>
          <w:color w:val="auto"/>
          <w:sz w:val="24"/>
          <w:szCs w:val="24"/>
        </w:rPr>
        <w:t>13、技术要求响应及偏离表、商务要求响应及偏离表</w:t>
      </w:r>
    </w:p>
    <w:p w14:paraId="5E05E63B">
      <w:pPr>
        <w:pageBreakBefore w:val="0"/>
        <w:widowControl w:val="0"/>
        <w:spacing w:line="400" w:lineRule="exact"/>
        <w:ind w:left="0" w:firstLine="480"/>
        <w:jc w:val="left"/>
        <w:rPr>
          <w:rFonts w:hint="eastAsia" w:ascii="宋体" w:hAnsi="宋体" w:eastAsia="宋体" w:cs="宋体"/>
          <w:color w:val="auto"/>
          <w:sz w:val="24"/>
          <w:szCs w:val="24"/>
          <w:lang w:val="zh-CN"/>
        </w:rPr>
      </w:pPr>
      <w:bookmarkStart w:id="120" w:name="_Toc14577359"/>
      <w:bookmarkStart w:id="121" w:name="_Toc49090510"/>
      <w:r>
        <w:rPr>
          <w:rFonts w:hint="eastAsia" w:ascii="宋体" w:hAnsi="宋体" w:eastAsia="宋体" w:cs="宋体"/>
          <w:bCs/>
          <w:color w:val="auto"/>
          <w:sz w:val="24"/>
          <w:szCs w:val="24"/>
          <w:lang w:val="zh-CN"/>
        </w:rPr>
        <w:t>13.1</w:t>
      </w:r>
      <w:r>
        <w:rPr>
          <w:rFonts w:hint="eastAsia" w:ascii="宋体" w:hAnsi="宋体" w:eastAsia="宋体" w:cs="宋体"/>
          <w:color w:val="auto"/>
          <w:sz w:val="24"/>
          <w:szCs w:val="24"/>
          <w:lang w:val="zh-CN"/>
        </w:rPr>
        <w:t xml:space="preserve"> 投标人需对招标文件中的技术要求与商务要求逐项作出响应或偏离，并说明原因。</w:t>
      </w:r>
    </w:p>
    <w:p w14:paraId="644A828B">
      <w:pPr>
        <w:pageBreakBefore w:val="0"/>
        <w:widowControl w:val="0"/>
        <w:tabs>
          <w:tab w:val="left" w:pos="1035"/>
        </w:tabs>
        <w:spacing w:line="400" w:lineRule="exact"/>
        <w:ind w:left="0" w:firstLine="48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13.2 投标人可在投标文件中提供认为需要的其他技术文件或说明。</w:t>
      </w:r>
    </w:p>
    <w:p w14:paraId="119665C1">
      <w:pPr>
        <w:pStyle w:val="202"/>
        <w:pageBreakBefore w:val="0"/>
        <w:widowControl w:val="0"/>
        <w:spacing w:before="0" w:after="0" w:line="400" w:lineRule="exact"/>
        <w:ind w:left="0" w:firstLine="48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14、投标声明及承诺函和开标一览表</w:t>
      </w:r>
    </w:p>
    <w:p w14:paraId="611251F7">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bCs/>
          <w:color w:val="auto"/>
          <w:sz w:val="24"/>
          <w:szCs w:val="24"/>
        </w:rPr>
        <w:t>14.1</w:t>
      </w:r>
      <w:r>
        <w:rPr>
          <w:rFonts w:hint="eastAsia" w:ascii="宋体" w:hAnsi="宋体" w:eastAsia="宋体" w:cs="宋体"/>
          <w:color w:val="auto"/>
          <w:sz w:val="24"/>
          <w:szCs w:val="24"/>
        </w:rPr>
        <w:t xml:space="preserve"> 投标人应按照招标文件中提供的格式完整、正确填写投标声明及承诺函、开标一览表。</w:t>
      </w:r>
    </w:p>
    <w:p w14:paraId="041AC00B">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bCs/>
          <w:color w:val="auto"/>
          <w:sz w:val="24"/>
          <w:szCs w:val="24"/>
        </w:rPr>
        <w:t>14.2</w:t>
      </w:r>
      <w:r>
        <w:rPr>
          <w:rFonts w:hint="eastAsia" w:ascii="宋体" w:hAnsi="宋体" w:eastAsia="宋体" w:cs="宋体"/>
          <w:color w:val="auto"/>
          <w:sz w:val="24"/>
          <w:szCs w:val="24"/>
        </w:rPr>
        <w:t xml:space="preserve"> 对于采用货币报价的项目，</w:t>
      </w:r>
      <w:r>
        <w:rPr>
          <w:rFonts w:hint="eastAsia" w:ascii="宋体" w:hAnsi="宋体" w:eastAsia="宋体" w:cs="宋体"/>
          <w:bCs/>
          <w:color w:val="auto"/>
          <w:sz w:val="24"/>
          <w:szCs w:val="24"/>
        </w:rPr>
        <w:t>开标一览表中的投标总报价应与投标分项报价表中的投标总报价一致，如不一致，</w:t>
      </w:r>
      <w:r>
        <w:rPr>
          <w:rFonts w:hint="eastAsia" w:ascii="宋体" w:hAnsi="宋体" w:eastAsia="宋体" w:cs="宋体"/>
          <w:color w:val="auto"/>
          <w:sz w:val="24"/>
          <w:szCs w:val="24"/>
        </w:rPr>
        <w:t>不作为无效投标处理</w:t>
      </w:r>
      <w:r>
        <w:rPr>
          <w:rFonts w:hint="eastAsia" w:ascii="宋体" w:hAnsi="宋体" w:eastAsia="宋体" w:cs="宋体"/>
          <w:bCs/>
          <w:color w:val="auto"/>
          <w:sz w:val="24"/>
          <w:szCs w:val="24"/>
        </w:rPr>
        <w:t>，但评标时按开标一览表中价格为准</w:t>
      </w:r>
      <w:r>
        <w:rPr>
          <w:rFonts w:hint="eastAsia" w:ascii="宋体" w:hAnsi="宋体" w:eastAsia="宋体" w:cs="宋体"/>
          <w:b/>
          <w:bCs/>
          <w:color w:val="auto"/>
          <w:sz w:val="24"/>
          <w:szCs w:val="24"/>
        </w:rPr>
        <w:t>。</w:t>
      </w:r>
      <w:bookmarkEnd w:id="120"/>
      <w:bookmarkEnd w:id="121"/>
    </w:p>
    <w:p w14:paraId="5784A7E5">
      <w:pPr>
        <w:pStyle w:val="202"/>
        <w:pageBreakBefore w:val="0"/>
        <w:widowControl w:val="0"/>
        <w:spacing w:before="0" w:after="0" w:line="400" w:lineRule="exact"/>
        <w:ind w:left="0" w:firstLine="480"/>
        <w:jc w:val="left"/>
        <w:rPr>
          <w:rFonts w:hint="eastAsia" w:ascii="宋体" w:hAnsi="宋体" w:eastAsia="宋体" w:cs="宋体"/>
          <w:b w:val="0"/>
          <w:bCs w:val="0"/>
          <w:color w:val="auto"/>
          <w:sz w:val="24"/>
          <w:szCs w:val="24"/>
        </w:rPr>
      </w:pPr>
      <w:bookmarkStart w:id="122" w:name="_Hlt26954850"/>
      <w:bookmarkEnd w:id="122"/>
      <w:bookmarkStart w:id="123" w:name="_Hlt26670489"/>
      <w:bookmarkEnd w:id="123"/>
      <w:bookmarkStart w:id="124" w:name="_Hlt26954734"/>
      <w:bookmarkEnd w:id="124"/>
      <w:bookmarkStart w:id="125" w:name="_Toc49090511"/>
      <w:bookmarkStart w:id="126" w:name="_Toc14577360"/>
      <w:r>
        <w:rPr>
          <w:rFonts w:hint="eastAsia" w:ascii="宋体" w:hAnsi="宋体" w:eastAsia="宋体" w:cs="宋体"/>
          <w:b w:val="0"/>
          <w:bCs w:val="0"/>
          <w:color w:val="auto"/>
          <w:sz w:val="24"/>
          <w:szCs w:val="24"/>
        </w:rPr>
        <w:t>15、投标有效期</w:t>
      </w:r>
      <w:bookmarkEnd w:id="125"/>
      <w:bookmarkEnd w:id="126"/>
    </w:p>
    <w:p w14:paraId="6E67E6B8">
      <w:pPr>
        <w:pageBreakBefore w:val="0"/>
        <w:widowControl w:val="0"/>
        <w:spacing w:line="400" w:lineRule="exact"/>
        <w:ind w:left="0" w:firstLine="480"/>
        <w:jc w:val="left"/>
        <w:rPr>
          <w:rFonts w:hint="eastAsia" w:ascii="宋体" w:hAnsi="宋体" w:eastAsia="宋体" w:cs="宋体"/>
          <w:bCs/>
          <w:color w:val="auto"/>
          <w:sz w:val="24"/>
          <w:szCs w:val="24"/>
        </w:rPr>
      </w:pPr>
      <w:r>
        <w:rPr>
          <w:rFonts w:hint="eastAsia" w:ascii="宋体" w:hAnsi="宋体" w:eastAsia="宋体" w:cs="宋体"/>
          <w:color w:val="auto"/>
          <w:sz w:val="24"/>
          <w:szCs w:val="24"/>
        </w:rPr>
        <w:t>15.1</w:t>
      </w:r>
      <w:r>
        <w:rPr>
          <w:rFonts w:hint="eastAsia" w:ascii="宋体" w:hAnsi="宋体" w:eastAsia="宋体" w:cs="宋体"/>
          <w:bCs/>
          <w:color w:val="auto"/>
          <w:sz w:val="24"/>
          <w:szCs w:val="24"/>
        </w:rPr>
        <w:t xml:space="preserve"> 投标有效期为开标之日后</w:t>
      </w:r>
      <w:r>
        <w:rPr>
          <w:rFonts w:hint="eastAsia" w:ascii="宋体" w:hAnsi="宋体" w:eastAsia="宋体" w:cs="宋体"/>
          <w:b/>
          <w:color w:val="auto"/>
          <w:sz w:val="24"/>
          <w:szCs w:val="24"/>
          <w:u w:val="single"/>
        </w:rPr>
        <w:t>六十（60）天</w:t>
      </w:r>
      <w:r>
        <w:rPr>
          <w:rFonts w:hint="eastAsia" w:ascii="宋体" w:hAnsi="宋体" w:eastAsia="宋体" w:cs="宋体"/>
          <w:bCs/>
          <w:color w:val="auto"/>
          <w:sz w:val="24"/>
          <w:szCs w:val="24"/>
        </w:rPr>
        <w:t>。投标有效期比规定短的将被视为未实质性响应招标文件而予以拒绝。</w:t>
      </w:r>
    </w:p>
    <w:p w14:paraId="4217F1B7">
      <w:pPr>
        <w:pStyle w:val="202"/>
        <w:pageBreakBefore w:val="0"/>
        <w:widowControl w:val="0"/>
        <w:spacing w:before="0" w:after="0" w:line="400" w:lineRule="exact"/>
        <w:ind w:left="0" w:firstLine="48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16、投标有效期的延长</w:t>
      </w:r>
    </w:p>
    <w:p w14:paraId="790DC7FE">
      <w:pPr>
        <w:pageBreakBefore w:val="0"/>
        <w:widowControl w:val="0"/>
        <w:spacing w:line="400" w:lineRule="exact"/>
        <w:ind w:left="0" w:firstLine="480"/>
        <w:jc w:val="left"/>
        <w:rPr>
          <w:rFonts w:hint="eastAsia" w:ascii="宋体" w:hAnsi="宋体" w:eastAsia="宋体" w:cs="宋体"/>
          <w:bCs/>
          <w:color w:val="auto"/>
          <w:sz w:val="24"/>
          <w:szCs w:val="24"/>
        </w:rPr>
      </w:pPr>
      <w:r>
        <w:rPr>
          <w:rFonts w:hint="eastAsia" w:ascii="宋体" w:hAnsi="宋体" w:eastAsia="宋体" w:cs="宋体"/>
          <w:color w:val="auto"/>
          <w:sz w:val="24"/>
          <w:szCs w:val="24"/>
        </w:rPr>
        <w:t>16.1</w:t>
      </w:r>
      <w:r>
        <w:rPr>
          <w:rFonts w:hint="eastAsia" w:ascii="宋体" w:hAnsi="宋体" w:eastAsia="宋体" w:cs="宋体"/>
          <w:bCs/>
          <w:color w:val="auto"/>
          <w:sz w:val="24"/>
          <w:szCs w:val="24"/>
        </w:rPr>
        <w:t xml:space="preserve"> 在特殊情况下，采购代理机构于原投标有效期满之前，可向投标人提出延长投标有效期的要求。这种要求与答复均应采用书面形式。投标人可以拒绝采购代理机构的这一要求而放弃投标</w:t>
      </w:r>
      <w:r>
        <w:rPr>
          <w:rFonts w:hint="eastAsia" w:ascii="宋体" w:hAnsi="宋体" w:eastAsia="宋体" w:cs="宋体"/>
          <w:color w:val="auto"/>
          <w:sz w:val="24"/>
          <w:szCs w:val="24"/>
        </w:rPr>
        <w:t>。</w:t>
      </w:r>
      <w:r>
        <w:rPr>
          <w:rFonts w:hint="eastAsia" w:ascii="宋体" w:hAnsi="宋体" w:eastAsia="宋体" w:cs="宋体"/>
          <w:bCs/>
          <w:color w:val="auto"/>
          <w:sz w:val="24"/>
          <w:szCs w:val="24"/>
        </w:rPr>
        <w:t>同意延长投标有效期的投标人既不能要求也不允许修改其投标文件</w:t>
      </w:r>
      <w:r>
        <w:rPr>
          <w:rFonts w:hint="eastAsia" w:ascii="宋体" w:hAnsi="宋体" w:eastAsia="宋体" w:cs="宋体"/>
          <w:color w:val="auto"/>
          <w:sz w:val="24"/>
          <w:szCs w:val="24"/>
        </w:rPr>
        <w:t>，同时受投标有效期约束的所有权利与义务均延长至新的有效期</w:t>
      </w:r>
      <w:r>
        <w:rPr>
          <w:rFonts w:hint="eastAsia" w:ascii="宋体" w:hAnsi="宋体" w:eastAsia="宋体" w:cs="宋体"/>
          <w:bCs/>
          <w:color w:val="auto"/>
          <w:sz w:val="24"/>
          <w:szCs w:val="24"/>
        </w:rPr>
        <w:t>。</w:t>
      </w:r>
    </w:p>
    <w:p w14:paraId="3B411CF9">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16.2中标人的投标文件作为项目服务合同的附件，其有效期至中标人全部合同义务履行完毕为止。 </w:t>
      </w:r>
    </w:p>
    <w:p w14:paraId="44C35ADD">
      <w:pPr>
        <w:pStyle w:val="200"/>
        <w:pageBreakBefore w:val="0"/>
        <w:widowControl w:val="0"/>
        <w:spacing w:before="0" w:after="0" w:line="400" w:lineRule="exact"/>
        <w:ind w:left="0" w:firstLine="482"/>
        <w:jc w:val="left"/>
        <w:rPr>
          <w:rFonts w:hint="eastAsia" w:ascii="宋体" w:hAnsi="宋体" w:eastAsia="宋体" w:cs="宋体"/>
          <w:color w:val="auto"/>
          <w:sz w:val="24"/>
          <w:szCs w:val="24"/>
        </w:rPr>
      </w:pPr>
      <w:bookmarkStart w:id="127" w:name="_Hlt26954739"/>
      <w:bookmarkEnd w:id="127"/>
      <w:bookmarkStart w:id="128" w:name="_Hlt26954852"/>
      <w:bookmarkEnd w:id="128"/>
      <w:bookmarkStart w:id="129" w:name="_Toc16938540"/>
      <w:bookmarkStart w:id="130" w:name="_Toc513029224"/>
      <w:bookmarkStart w:id="131" w:name="_Toc20823296"/>
      <w:bookmarkStart w:id="132" w:name="_Toc120614217"/>
      <w:r>
        <w:rPr>
          <w:rFonts w:hint="eastAsia" w:ascii="宋体" w:hAnsi="宋体" w:eastAsia="宋体" w:cs="宋体"/>
          <w:color w:val="auto"/>
          <w:sz w:val="24"/>
          <w:szCs w:val="24"/>
        </w:rPr>
        <w:t>四、投标文件的递交</w:t>
      </w:r>
      <w:bookmarkEnd w:id="129"/>
      <w:bookmarkEnd w:id="130"/>
      <w:bookmarkEnd w:id="131"/>
      <w:bookmarkEnd w:id="132"/>
    </w:p>
    <w:p w14:paraId="430C1716">
      <w:pPr>
        <w:pStyle w:val="202"/>
        <w:pageBreakBefore w:val="0"/>
        <w:widowControl w:val="0"/>
        <w:spacing w:before="0" w:after="0" w:line="400" w:lineRule="exact"/>
        <w:ind w:left="0" w:firstLine="480"/>
        <w:jc w:val="left"/>
        <w:rPr>
          <w:rFonts w:hint="eastAsia" w:ascii="宋体" w:hAnsi="宋体" w:eastAsia="宋体" w:cs="宋体"/>
          <w:b w:val="0"/>
          <w:bCs w:val="0"/>
          <w:color w:val="auto"/>
          <w:sz w:val="24"/>
          <w:szCs w:val="24"/>
        </w:rPr>
      </w:pPr>
      <w:bookmarkStart w:id="133" w:name="_Toc462564084"/>
      <w:bookmarkStart w:id="134" w:name="_Toc513029225"/>
      <w:bookmarkStart w:id="135" w:name="_Toc20823297"/>
      <w:bookmarkStart w:id="136" w:name="_Toc16938541"/>
      <w:r>
        <w:rPr>
          <w:rFonts w:hint="eastAsia" w:ascii="宋体" w:hAnsi="宋体" w:eastAsia="宋体" w:cs="宋体"/>
          <w:b w:val="0"/>
          <w:bCs w:val="0"/>
          <w:color w:val="auto"/>
          <w:sz w:val="24"/>
          <w:szCs w:val="24"/>
        </w:rPr>
        <w:t>17、投标文件</w:t>
      </w:r>
      <w:bookmarkEnd w:id="133"/>
      <w:bookmarkEnd w:id="134"/>
      <w:bookmarkEnd w:id="135"/>
      <w:bookmarkEnd w:id="136"/>
      <w:r>
        <w:rPr>
          <w:rFonts w:hint="eastAsia" w:ascii="宋体" w:hAnsi="宋体" w:eastAsia="宋体" w:cs="宋体"/>
          <w:b w:val="0"/>
          <w:bCs w:val="0"/>
          <w:color w:val="auto"/>
          <w:sz w:val="24"/>
          <w:szCs w:val="24"/>
        </w:rPr>
        <w:t>的递交</w:t>
      </w:r>
    </w:p>
    <w:p w14:paraId="56329CEF">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17.1投标人应当按照《操作手册》规定，在投标截止时间前制作并上传电子投标文件。</w:t>
      </w:r>
      <w:bookmarkStart w:id="137" w:name="_Toc513029226"/>
      <w:bookmarkStart w:id="138" w:name="_Toc20823298"/>
      <w:bookmarkStart w:id="139" w:name="_Toc16938542"/>
    </w:p>
    <w:p w14:paraId="07E89CC4">
      <w:pPr>
        <w:keepNext w:val="0"/>
        <w:keepLines w:val="0"/>
        <w:pageBreakBefore w:val="0"/>
        <w:widowControl w:val="0"/>
        <w:kinsoku/>
        <w:wordWrap w:val="0"/>
        <w:overflowPunct/>
        <w:topLinePunct w:val="0"/>
        <w:autoSpaceDE/>
        <w:autoSpaceDN/>
        <w:bidi w:val="0"/>
        <w:adjustRightInd/>
        <w:snapToGrid/>
        <w:spacing w:line="400" w:lineRule="exact"/>
        <w:ind w:left="0" w:firstLine="48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17.2投标人通过“苏采云”系统不见面开标大厅在线参与开标活动。（具体操作详见《“苏采云”系统投标人操作手册》，网址链接http://www.ccgp-jiangsu.gov.cn//webfile/jiangsu/202311/1699268553318052447.pdf）</w:t>
      </w:r>
    </w:p>
    <w:p w14:paraId="3CEF37C0">
      <w:pPr>
        <w:pStyle w:val="202"/>
        <w:pageBreakBefore w:val="0"/>
        <w:widowControl w:val="0"/>
        <w:spacing w:before="0" w:after="0" w:line="400" w:lineRule="exact"/>
        <w:ind w:left="0" w:firstLine="48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18、投标截止</w:t>
      </w:r>
      <w:bookmarkEnd w:id="137"/>
      <w:bookmarkEnd w:id="138"/>
      <w:bookmarkEnd w:id="139"/>
      <w:r>
        <w:rPr>
          <w:rFonts w:hint="eastAsia" w:ascii="宋体" w:hAnsi="宋体" w:eastAsia="宋体" w:cs="宋体"/>
          <w:b w:val="0"/>
          <w:bCs w:val="0"/>
          <w:color w:val="auto"/>
          <w:sz w:val="24"/>
          <w:szCs w:val="24"/>
        </w:rPr>
        <w:t>时间</w:t>
      </w:r>
    </w:p>
    <w:p w14:paraId="476F0059">
      <w:pPr>
        <w:pageBreakBefore w:val="0"/>
        <w:widowControl w:val="0"/>
        <w:spacing w:line="400" w:lineRule="exact"/>
        <w:ind w:left="0" w:firstLine="480"/>
        <w:jc w:val="left"/>
        <w:rPr>
          <w:rFonts w:hint="eastAsia" w:ascii="宋体" w:hAnsi="宋体" w:eastAsia="宋体" w:cs="宋体"/>
          <w:bCs/>
          <w:iCs/>
          <w:color w:val="auto"/>
          <w:sz w:val="24"/>
          <w:szCs w:val="24"/>
        </w:rPr>
      </w:pPr>
      <w:r>
        <w:rPr>
          <w:rFonts w:hint="eastAsia" w:ascii="宋体" w:hAnsi="宋体" w:eastAsia="宋体" w:cs="宋体"/>
          <w:iCs/>
          <w:color w:val="auto"/>
          <w:sz w:val="24"/>
          <w:szCs w:val="24"/>
        </w:rPr>
        <w:t>18.1</w:t>
      </w:r>
      <w:r>
        <w:rPr>
          <w:rFonts w:hint="eastAsia" w:ascii="宋体" w:hAnsi="宋体" w:eastAsia="宋体" w:cs="宋体"/>
          <w:bCs/>
          <w:iCs/>
          <w:color w:val="auto"/>
          <w:sz w:val="24"/>
          <w:szCs w:val="24"/>
        </w:rPr>
        <w:t xml:space="preserve"> 投标人上传电子投标文件的时间不得迟于招标公告中规定的投标截止时间。</w:t>
      </w:r>
    </w:p>
    <w:p w14:paraId="65882005">
      <w:pPr>
        <w:pageBreakBefore w:val="0"/>
        <w:widowControl w:val="0"/>
        <w:spacing w:line="400" w:lineRule="exact"/>
        <w:ind w:left="0" w:firstLine="480"/>
        <w:jc w:val="left"/>
        <w:rPr>
          <w:rFonts w:hint="eastAsia" w:ascii="宋体" w:hAnsi="宋体" w:eastAsia="宋体" w:cs="宋体"/>
          <w:bCs/>
          <w:iCs/>
          <w:color w:val="auto"/>
          <w:sz w:val="24"/>
          <w:szCs w:val="24"/>
        </w:rPr>
      </w:pPr>
      <w:r>
        <w:rPr>
          <w:rFonts w:hint="eastAsia" w:ascii="宋体" w:hAnsi="宋体" w:eastAsia="宋体" w:cs="宋体"/>
          <w:bCs/>
          <w:color w:val="auto"/>
          <w:sz w:val="24"/>
          <w:szCs w:val="24"/>
        </w:rPr>
        <w:t>投标人应充分考虑到网络环境、网络带宽等风险因素，如因投标人自身原因造成的电子投标文件上传不成功的按照本招标文件第二章第26.1.2条 规定做无效投标处理。</w:t>
      </w:r>
    </w:p>
    <w:p w14:paraId="34C85718">
      <w:pPr>
        <w:pageBreakBefore w:val="0"/>
        <w:widowControl w:val="0"/>
        <w:spacing w:line="400" w:lineRule="exact"/>
        <w:ind w:left="0" w:firstLine="480"/>
        <w:jc w:val="left"/>
        <w:rPr>
          <w:rFonts w:hint="eastAsia" w:ascii="宋体" w:hAnsi="宋体" w:eastAsia="宋体" w:cs="宋体"/>
          <w:bCs/>
          <w:color w:val="auto"/>
          <w:sz w:val="24"/>
          <w:szCs w:val="24"/>
        </w:rPr>
      </w:pPr>
      <w:r>
        <w:rPr>
          <w:rFonts w:hint="eastAsia" w:ascii="宋体" w:hAnsi="宋体" w:eastAsia="宋体" w:cs="宋体"/>
          <w:color w:val="auto"/>
          <w:sz w:val="24"/>
          <w:szCs w:val="24"/>
        </w:rPr>
        <w:t>18.2</w:t>
      </w:r>
      <w:r>
        <w:rPr>
          <w:rFonts w:hint="eastAsia" w:ascii="宋体" w:hAnsi="宋体" w:eastAsia="宋体" w:cs="宋体"/>
          <w:bCs/>
          <w:color w:val="auto"/>
          <w:sz w:val="24"/>
          <w:szCs w:val="24"/>
        </w:rPr>
        <w:t xml:space="preserve"> 采购代理机构可以按照规定，通过修改招标文件酌情延长投标截止时间，在此情况下，投标人的所有权利和义务以及投标人受制的截止时间均应以延长后新的截止时间为准。</w:t>
      </w:r>
    </w:p>
    <w:p w14:paraId="5FE9D321">
      <w:pPr>
        <w:pStyle w:val="202"/>
        <w:pageBreakBefore w:val="0"/>
        <w:widowControl w:val="0"/>
        <w:spacing w:before="0" w:after="0" w:line="400" w:lineRule="exact"/>
        <w:ind w:left="0" w:firstLine="480"/>
        <w:jc w:val="left"/>
        <w:rPr>
          <w:rFonts w:hint="eastAsia" w:ascii="宋体" w:hAnsi="宋体" w:eastAsia="宋体" w:cs="宋体"/>
          <w:b w:val="0"/>
          <w:bCs w:val="0"/>
          <w:color w:val="auto"/>
          <w:sz w:val="24"/>
          <w:szCs w:val="24"/>
        </w:rPr>
      </w:pPr>
      <w:bookmarkStart w:id="140" w:name="_Toc513029227"/>
      <w:bookmarkStart w:id="141" w:name="_Toc20823299"/>
      <w:bookmarkStart w:id="142" w:name="_Toc16938543"/>
      <w:r>
        <w:rPr>
          <w:rFonts w:hint="eastAsia" w:ascii="宋体" w:hAnsi="宋体" w:eastAsia="宋体" w:cs="宋体"/>
          <w:b w:val="0"/>
          <w:bCs w:val="0"/>
          <w:color w:val="auto"/>
          <w:sz w:val="24"/>
          <w:szCs w:val="24"/>
        </w:rPr>
        <w:t>19、投标文件</w:t>
      </w:r>
      <w:bookmarkEnd w:id="140"/>
      <w:bookmarkEnd w:id="141"/>
      <w:bookmarkEnd w:id="142"/>
      <w:r>
        <w:rPr>
          <w:rFonts w:hint="eastAsia" w:ascii="宋体" w:hAnsi="宋体" w:eastAsia="宋体" w:cs="宋体"/>
          <w:b w:val="0"/>
          <w:bCs w:val="0"/>
          <w:color w:val="auto"/>
          <w:sz w:val="24"/>
          <w:szCs w:val="24"/>
        </w:rPr>
        <w:t>的拒收</w:t>
      </w:r>
    </w:p>
    <w:p w14:paraId="54855AAD">
      <w:pPr>
        <w:pageBreakBefore w:val="0"/>
        <w:widowControl w:val="0"/>
        <w:spacing w:line="400" w:lineRule="exact"/>
        <w:ind w:left="0" w:firstLine="480"/>
        <w:jc w:val="left"/>
        <w:rPr>
          <w:rFonts w:hint="eastAsia" w:ascii="宋体" w:hAnsi="宋体" w:eastAsia="宋体" w:cs="宋体"/>
          <w:bCs/>
          <w:color w:val="auto"/>
          <w:sz w:val="24"/>
          <w:szCs w:val="24"/>
        </w:rPr>
      </w:pPr>
      <w:r>
        <w:rPr>
          <w:rFonts w:hint="eastAsia" w:ascii="宋体" w:hAnsi="宋体" w:eastAsia="宋体" w:cs="宋体"/>
          <w:color w:val="auto"/>
          <w:sz w:val="24"/>
          <w:szCs w:val="24"/>
        </w:rPr>
        <w:t>19.1</w:t>
      </w:r>
      <w:r>
        <w:rPr>
          <w:rFonts w:hint="eastAsia" w:ascii="宋体" w:hAnsi="宋体" w:eastAsia="宋体" w:cs="宋体"/>
          <w:bCs/>
          <w:color w:val="auto"/>
          <w:sz w:val="24"/>
          <w:szCs w:val="24"/>
        </w:rPr>
        <w:t>采购代理机构拒绝接收在其规定的投标截止时间后上传的任何投标文件。</w:t>
      </w:r>
    </w:p>
    <w:p w14:paraId="612F9374">
      <w:pPr>
        <w:pStyle w:val="202"/>
        <w:pageBreakBefore w:val="0"/>
        <w:widowControl w:val="0"/>
        <w:spacing w:before="0" w:after="0" w:line="400" w:lineRule="exact"/>
        <w:ind w:left="0" w:firstLine="480"/>
        <w:jc w:val="left"/>
        <w:rPr>
          <w:rFonts w:hint="eastAsia" w:ascii="宋体" w:hAnsi="宋体" w:eastAsia="宋体" w:cs="宋体"/>
          <w:b w:val="0"/>
          <w:bCs w:val="0"/>
          <w:color w:val="auto"/>
          <w:sz w:val="24"/>
          <w:szCs w:val="24"/>
        </w:rPr>
      </w:pPr>
      <w:bookmarkStart w:id="143" w:name="_Toc20823300"/>
      <w:bookmarkStart w:id="144" w:name="_Toc16938544"/>
      <w:bookmarkStart w:id="145" w:name="_Toc513029228"/>
      <w:r>
        <w:rPr>
          <w:rFonts w:hint="eastAsia" w:ascii="宋体" w:hAnsi="宋体" w:eastAsia="宋体" w:cs="宋体"/>
          <w:b w:val="0"/>
          <w:bCs w:val="0"/>
          <w:color w:val="auto"/>
          <w:sz w:val="24"/>
          <w:szCs w:val="24"/>
        </w:rPr>
        <w:t>20、投标文件的撤回和修改</w:t>
      </w:r>
      <w:bookmarkEnd w:id="143"/>
      <w:bookmarkEnd w:id="144"/>
      <w:bookmarkEnd w:id="145"/>
    </w:p>
    <w:p w14:paraId="5ADB61D6">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20.1 投标文件的撤回</w:t>
      </w:r>
    </w:p>
    <w:p w14:paraId="31F221D1">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20.1.1 电子投标文件的撤回</w:t>
      </w:r>
    </w:p>
    <w:p w14:paraId="3E1574CC">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投标人可在投标截止时间前，撤回其电子投标文件，具体操作方法见《操作手册》。</w:t>
      </w:r>
    </w:p>
    <w:p w14:paraId="282C3123">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20.1.2 投标人撤回电子投标文件，则认为其不再参与本项目投标活动。</w:t>
      </w:r>
    </w:p>
    <w:p w14:paraId="672227FD">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20.2 投标文件的修改</w:t>
      </w:r>
    </w:p>
    <w:p w14:paraId="4B3CC196">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20.2.1投标人可在投标截止时间前，对其电子投标文件进行修改，具体操作方法见《操作手册》。</w:t>
      </w:r>
    </w:p>
    <w:p w14:paraId="603B5CF8">
      <w:pPr>
        <w:pageBreakBefore w:val="0"/>
        <w:widowControl w:val="0"/>
        <w:spacing w:line="400" w:lineRule="exact"/>
        <w:ind w:left="0" w:firstLine="480"/>
        <w:jc w:val="left"/>
        <w:rPr>
          <w:rFonts w:hint="eastAsia" w:ascii="宋体" w:hAnsi="宋体" w:eastAsia="宋体" w:cs="宋体"/>
          <w:bCs/>
          <w:color w:val="auto"/>
          <w:sz w:val="24"/>
          <w:szCs w:val="24"/>
        </w:rPr>
      </w:pPr>
      <w:r>
        <w:rPr>
          <w:rFonts w:hint="eastAsia" w:ascii="宋体" w:hAnsi="宋体" w:eastAsia="宋体" w:cs="宋体"/>
          <w:color w:val="auto"/>
          <w:sz w:val="24"/>
          <w:szCs w:val="24"/>
        </w:rPr>
        <w:t>20.2.2</w:t>
      </w:r>
      <w:r>
        <w:rPr>
          <w:rFonts w:hint="eastAsia" w:ascii="宋体" w:hAnsi="宋体" w:eastAsia="宋体" w:cs="宋体"/>
          <w:bCs/>
          <w:color w:val="auto"/>
          <w:sz w:val="24"/>
          <w:szCs w:val="24"/>
        </w:rPr>
        <w:t xml:space="preserve"> 在投标截止时间之后，投标人不得对其电子投标文件作任何修改。</w:t>
      </w:r>
    </w:p>
    <w:p w14:paraId="3819E0E6">
      <w:pPr>
        <w:pageBreakBefore w:val="0"/>
        <w:widowControl w:val="0"/>
        <w:spacing w:line="400" w:lineRule="exact"/>
        <w:ind w:left="0" w:firstLine="480"/>
        <w:jc w:val="left"/>
        <w:rPr>
          <w:rFonts w:hint="eastAsia" w:ascii="宋体" w:hAnsi="宋体" w:eastAsia="宋体" w:cs="宋体"/>
          <w:bCs/>
          <w:color w:val="auto"/>
          <w:sz w:val="24"/>
          <w:szCs w:val="24"/>
        </w:rPr>
      </w:pPr>
      <w:r>
        <w:rPr>
          <w:rFonts w:hint="eastAsia" w:ascii="宋体" w:hAnsi="宋体" w:eastAsia="宋体" w:cs="宋体"/>
          <w:color w:val="auto"/>
          <w:sz w:val="24"/>
          <w:szCs w:val="24"/>
        </w:rPr>
        <w:t>20.3</w:t>
      </w:r>
      <w:r>
        <w:rPr>
          <w:rFonts w:hint="eastAsia" w:ascii="宋体" w:hAnsi="宋体" w:eastAsia="宋体" w:cs="宋体"/>
          <w:bCs/>
          <w:color w:val="auto"/>
          <w:sz w:val="24"/>
          <w:szCs w:val="24"/>
        </w:rPr>
        <w:t xml:space="preserve"> 在投标截止时间至招标文件中规定的投标有效期满之间的这段时间内，投标人不得撤回其投标。</w:t>
      </w:r>
    </w:p>
    <w:p w14:paraId="396A92C2">
      <w:pPr>
        <w:pStyle w:val="200"/>
        <w:pageBreakBefore w:val="0"/>
        <w:widowControl w:val="0"/>
        <w:spacing w:before="0" w:after="0" w:line="400" w:lineRule="exact"/>
        <w:ind w:left="0" w:firstLine="482"/>
        <w:jc w:val="left"/>
        <w:rPr>
          <w:rFonts w:hint="eastAsia" w:ascii="宋体" w:hAnsi="宋体" w:eastAsia="宋体" w:cs="宋体"/>
          <w:color w:val="auto"/>
          <w:sz w:val="24"/>
          <w:szCs w:val="24"/>
        </w:rPr>
      </w:pPr>
      <w:bookmarkStart w:id="146" w:name="_Toc16938545"/>
      <w:bookmarkStart w:id="147" w:name="_Toc20823301"/>
      <w:bookmarkStart w:id="148" w:name="_Toc513029229"/>
      <w:bookmarkStart w:id="149" w:name="_Toc120614218"/>
      <w:r>
        <w:rPr>
          <w:rFonts w:hint="eastAsia" w:ascii="宋体" w:hAnsi="宋体" w:eastAsia="宋体" w:cs="宋体"/>
          <w:color w:val="auto"/>
          <w:sz w:val="24"/>
          <w:szCs w:val="24"/>
        </w:rPr>
        <w:t>五、开标与评标</w:t>
      </w:r>
      <w:bookmarkEnd w:id="146"/>
      <w:bookmarkEnd w:id="147"/>
      <w:bookmarkEnd w:id="148"/>
      <w:bookmarkEnd w:id="149"/>
    </w:p>
    <w:p w14:paraId="48A0BCA8">
      <w:pPr>
        <w:pStyle w:val="202"/>
        <w:pageBreakBefore w:val="0"/>
        <w:widowControl w:val="0"/>
        <w:spacing w:before="0" w:after="0" w:line="400" w:lineRule="exact"/>
        <w:ind w:left="0" w:firstLine="480"/>
        <w:jc w:val="left"/>
        <w:rPr>
          <w:rFonts w:hint="eastAsia" w:ascii="宋体" w:hAnsi="宋体" w:eastAsia="宋体" w:cs="宋体"/>
          <w:b w:val="0"/>
          <w:bCs w:val="0"/>
          <w:color w:val="auto"/>
          <w:sz w:val="24"/>
          <w:szCs w:val="24"/>
        </w:rPr>
      </w:pPr>
      <w:bookmarkStart w:id="150" w:name="_Toc513029230"/>
      <w:bookmarkStart w:id="151" w:name="_Toc20823302"/>
      <w:bookmarkStart w:id="152" w:name="_Toc16938546"/>
      <w:r>
        <w:rPr>
          <w:rFonts w:hint="eastAsia" w:ascii="宋体" w:hAnsi="宋体" w:eastAsia="宋体" w:cs="宋体"/>
          <w:b w:val="0"/>
          <w:bCs w:val="0"/>
          <w:color w:val="auto"/>
          <w:sz w:val="24"/>
          <w:szCs w:val="24"/>
        </w:rPr>
        <w:t>21、开标</w:t>
      </w:r>
      <w:bookmarkEnd w:id="150"/>
      <w:bookmarkEnd w:id="151"/>
      <w:bookmarkEnd w:id="152"/>
    </w:p>
    <w:p w14:paraId="6977CF6C">
      <w:pPr>
        <w:pStyle w:val="340"/>
        <w:pageBreakBefore w:val="0"/>
        <w:widowControl w:val="0"/>
        <w:spacing w:line="400" w:lineRule="exact"/>
        <w:ind w:left="0" w:firstLine="480"/>
        <w:jc w:val="left"/>
        <w:rPr>
          <w:rFonts w:hint="eastAsia" w:ascii="宋体" w:hAnsi="宋体" w:eastAsia="宋体" w:cs="宋体"/>
          <w:color w:val="auto"/>
          <w:sz w:val="24"/>
          <w:szCs w:val="24"/>
          <w:lang w:val="en-US"/>
        </w:rPr>
      </w:pPr>
      <w:r>
        <w:rPr>
          <w:rFonts w:hint="eastAsia" w:ascii="宋体" w:hAnsi="宋体" w:eastAsia="宋体" w:cs="宋体"/>
          <w:color w:val="auto"/>
          <w:sz w:val="24"/>
          <w:szCs w:val="24"/>
        </w:rPr>
        <w:t>21.1</w:t>
      </w:r>
      <w:r>
        <w:rPr>
          <w:rFonts w:hint="eastAsia" w:ascii="宋体" w:hAnsi="宋体" w:eastAsia="宋体" w:cs="宋体"/>
          <w:bCs/>
          <w:color w:val="auto"/>
          <w:sz w:val="24"/>
          <w:szCs w:val="24"/>
        </w:rPr>
        <w:t xml:space="preserve"> 采购代理机构将在招标公告中规定的时间和地点组织公开开标</w:t>
      </w:r>
      <w:r>
        <w:rPr>
          <w:rFonts w:hint="eastAsia" w:ascii="宋体" w:hAnsi="宋体" w:eastAsia="宋体" w:cs="宋体"/>
          <w:color w:val="auto"/>
          <w:sz w:val="24"/>
          <w:szCs w:val="24"/>
          <w:lang w:val="en-US"/>
        </w:rPr>
        <w:t>。投标人应当按照《“苏采云”系统供应商操作手册》规定，参加开标活动和在“苏采云”系统规定的时间内对投标文件进行解密。</w:t>
      </w:r>
    </w:p>
    <w:p w14:paraId="2D937DAF">
      <w:pPr>
        <w:pStyle w:val="340"/>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rPr>
        <w:t>21.2开标时，由采购代理机构通过“苏采云”系统在线宣布投标人名称、投标价格和招标文件规定的需要宣布的其他内容。投标人在不见面开标系统中确认投标价格，如投标人未在线参加开标或未在规定时间内确认价格的，视同认可开标结果。</w:t>
      </w:r>
    </w:p>
    <w:p w14:paraId="79195212">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bCs/>
          <w:color w:val="auto"/>
          <w:sz w:val="24"/>
          <w:szCs w:val="24"/>
        </w:rPr>
        <w:t>21.3投标人在开标过程中涉及到的投标文件解密、开标结果确认等工作，应按照《操作手册》规定执行。</w:t>
      </w:r>
    </w:p>
    <w:p w14:paraId="4958CF8A">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21.4投标人如果对开标过程和开标记录有疑义，应当根据《操作手册》规定提出，如 “苏采云”系统中《开标记录表》宣布后5分钟内未提出的，视同认可开标结果。</w:t>
      </w:r>
    </w:p>
    <w:p w14:paraId="7CA74E26">
      <w:pPr>
        <w:pStyle w:val="202"/>
        <w:pageBreakBefore w:val="0"/>
        <w:widowControl w:val="0"/>
        <w:spacing w:before="0" w:after="0" w:line="400" w:lineRule="exact"/>
        <w:ind w:left="0" w:firstLine="480"/>
        <w:jc w:val="left"/>
        <w:rPr>
          <w:rFonts w:hint="eastAsia" w:ascii="宋体" w:hAnsi="宋体" w:eastAsia="宋体" w:cs="宋体"/>
          <w:b w:val="0"/>
          <w:bCs w:val="0"/>
          <w:color w:val="auto"/>
          <w:sz w:val="24"/>
          <w:szCs w:val="24"/>
        </w:rPr>
      </w:pPr>
      <w:bookmarkStart w:id="153" w:name="_Toc513029231"/>
      <w:bookmarkStart w:id="154" w:name="_Toc16938547"/>
      <w:bookmarkStart w:id="155" w:name="_Toc20823303"/>
      <w:r>
        <w:rPr>
          <w:rFonts w:hint="eastAsia" w:ascii="宋体" w:hAnsi="宋体" w:eastAsia="宋体" w:cs="宋体"/>
          <w:b w:val="0"/>
          <w:bCs w:val="0"/>
          <w:color w:val="auto"/>
          <w:sz w:val="24"/>
          <w:szCs w:val="24"/>
        </w:rPr>
        <w:t>22、评委会</w:t>
      </w:r>
    </w:p>
    <w:p w14:paraId="1C8DF308">
      <w:pPr>
        <w:pageBreakBefore w:val="0"/>
        <w:widowControl w:val="0"/>
        <w:spacing w:line="400" w:lineRule="exact"/>
        <w:ind w:left="0" w:firstLine="482"/>
        <w:jc w:val="left"/>
        <w:rPr>
          <w:rFonts w:hint="eastAsia" w:ascii="宋体" w:hAnsi="宋体" w:eastAsia="宋体" w:cs="宋体"/>
          <w:b/>
          <w:color w:val="auto"/>
          <w:sz w:val="24"/>
          <w:szCs w:val="24"/>
        </w:rPr>
      </w:pPr>
      <w:r>
        <w:rPr>
          <w:rFonts w:hint="eastAsia" w:ascii="宋体" w:hAnsi="宋体" w:eastAsia="宋体" w:cs="宋体"/>
          <w:color w:val="auto"/>
          <w:sz w:val="24"/>
          <w:szCs w:val="24"/>
        </w:rPr>
        <w:t>22.1</w:t>
      </w:r>
      <w:r>
        <w:rPr>
          <w:rFonts w:hint="eastAsia" w:ascii="宋体" w:hAnsi="宋体" w:eastAsia="宋体" w:cs="宋体"/>
          <w:b/>
          <w:color w:val="auto"/>
          <w:sz w:val="24"/>
          <w:szCs w:val="24"/>
        </w:rPr>
        <w:t xml:space="preserve"> </w:t>
      </w:r>
      <w:r>
        <w:rPr>
          <w:rFonts w:hint="eastAsia" w:ascii="宋体" w:hAnsi="宋体" w:eastAsia="宋体" w:cs="宋体"/>
          <w:color w:val="auto"/>
          <w:sz w:val="24"/>
          <w:szCs w:val="24"/>
        </w:rPr>
        <w:t>开标后，采购代理机构将立即组织评委会（以下简称评委会）进行评标。</w:t>
      </w:r>
    </w:p>
    <w:p w14:paraId="4B1133C5">
      <w:pPr>
        <w:pageBreakBefore w:val="0"/>
        <w:widowControl w:val="0"/>
        <w:spacing w:line="400" w:lineRule="exact"/>
        <w:ind w:left="0" w:firstLine="482"/>
        <w:jc w:val="left"/>
        <w:rPr>
          <w:rFonts w:hint="eastAsia" w:ascii="宋体" w:hAnsi="宋体" w:eastAsia="宋体" w:cs="宋体"/>
          <w:color w:val="auto"/>
          <w:sz w:val="24"/>
          <w:szCs w:val="24"/>
        </w:rPr>
      </w:pPr>
      <w:r>
        <w:rPr>
          <w:rFonts w:hint="eastAsia" w:ascii="宋体" w:hAnsi="宋体" w:eastAsia="宋体" w:cs="宋体"/>
          <w:color w:val="auto"/>
          <w:sz w:val="24"/>
          <w:szCs w:val="24"/>
        </w:rPr>
        <w:t>22.2 评委会由采购人代表和有关技术、经济等方面的专家组成，且人员构成符合政府采购有关规定。</w:t>
      </w:r>
    </w:p>
    <w:p w14:paraId="38D645BF">
      <w:pPr>
        <w:pageBreakBefore w:val="0"/>
        <w:widowControl w:val="0"/>
        <w:spacing w:line="400" w:lineRule="exact"/>
        <w:ind w:left="0" w:firstLine="482"/>
        <w:jc w:val="left"/>
        <w:rPr>
          <w:rFonts w:hint="eastAsia" w:ascii="宋体" w:hAnsi="宋体" w:eastAsia="宋体" w:cs="宋体"/>
          <w:color w:val="auto"/>
          <w:sz w:val="24"/>
          <w:szCs w:val="24"/>
        </w:rPr>
      </w:pPr>
      <w:r>
        <w:rPr>
          <w:rFonts w:hint="eastAsia" w:ascii="宋体" w:hAnsi="宋体" w:eastAsia="宋体" w:cs="宋体"/>
          <w:color w:val="auto"/>
          <w:sz w:val="24"/>
          <w:szCs w:val="24"/>
        </w:rPr>
        <w:t>22.3评委会独立工作，负责评审所有投标文件并确定中标侯选人。</w:t>
      </w:r>
    </w:p>
    <w:p w14:paraId="4259D0AC">
      <w:pPr>
        <w:pStyle w:val="202"/>
        <w:pageBreakBefore w:val="0"/>
        <w:widowControl w:val="0"/>
        <w:spacing w:before="0" w:after="0" w:line="400" w:lineRule="exact"/>
        <w:ind w:left="0" w:firstLine="48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23、评标过程的保密与公正</w:t>
      </w:r>
      <w:bookmarkEnd w:id="153"/>
      <w:bookmarkEnd w:id="154"/>
      <w:bookmarkEnd w:id="155"/>
    </w:p>
    <w:p w14:paraId="6334473F">
      <w:pPr>
        <w:pageBreakBefore w:val="0"/>
        <w:widowControl w:val="0"/>
        <w:spacing w:line="400" w:lineRule="exact"/>
        <w:ind w:left="0" w:firstLine="480"/>
        <w:jc w:val="left"/>
        <w:rPr>
          <w:rFonts w:hint="eastAsia" w:ascii="宋体" w:hAnsi="宋体" w:eastAsia="宋体" w:cs="宋体"/>
          <w:bCs/>
          <w:color w:val="auto"/>
          <w:sz w:val="24"/>
          <w:szCs w:val="24"/>
        </w:rPr>
      </w:pPr>
      <w:r>
        <w:rPr>
          <w:rFonts w:hint="eastAsia" w:ascii="宋体" w:hAnsi="宋体" w:eastAsia="宋体" w:cs="宋体"/>
          <w:color w:val="auto"/>
          <w:sz w:val="24"/>
          <w:szCs w:val="24"/>
        </w:rPr>
        <w:t>23.1</w:t>
      </w:r>
      <w:r>
        <w:rPr>
          <w:rFonts w:hint="eastAsia" w:ascii="宋体" w:hAnsi="宋体" w:eastAsia="宋体" w:cs="宋体"/>
          <w:bCs/>
          <w:color w:val="auto"/>
          <w:sz w:val="24"/>
          <w:szCs w:val="24"/>
        </w:rPr>
        <w:t>凡是与审查、澄清、评价和比较投标的有关资料以及授标建议等，采购人、评委、采购代理机构均不得向投标人或与评标无关的其他人员透露。</w:t>
      </w:r>
    </w:p>
    <w:p w14:paraId="6E49CB45">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23.2在评标过程中，投标人不得以任何行为影响评标过程，否则其投标文件将被作为无效投标文件。</w:t>
      </w:r>
    </w:p>
    <w:p w14:paraId="3D044E63">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23.3 采购代理机构和评委会不向未中标的投标人解释未中标原因，也不公布评标过程中的相关细节。</w:t>
      </w:r>
    </w:p>
    <w:p w14:paraId="488E1A2A">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23.4 采用综合评分法的项目，未中标的投标人可于中标结果公告期限届满之日起通过“苏采云”系统查看自己的评审得分及排序情况。</w:t>
      </w:r>
    </w:p>
    <w:p w14:paraId="726A774B">
      <w:pPr>
        <w:pStyle w:val="202"/>
        <w:pageBreakBefore w:val="0"/>
        <w:widowControl w:val="0"/>
        <w:spacing w:before="0" w:after="0" w:line="400" w:lineRule="exact"/>
        <w:ind w:left="0" w:firstLine="480"/>
        <w:jc w:val="left"/>
        <w:rPr>
          <w:rFonts w:hint="eastAsia" w:ascii="宋体" w:hAnsi="宋体" w:eastAsia="宋体" w:cs="宋体"/>
          <w:b w:val="0"/>
          <w:bCs w:val="0"/>
          <w:color w:val="auto"/>
          <w:sz w:val="24"/>
          <w:szCs w:val="24"/>
        </w:rPr>
      </w:pPr>
      <w:bookmarkStart w:id="156" w:name="_Toc16938548"/>
      <w:bookmarkStart w:id="157" w:name="_Toc513029232"/>
      <w:bookmarkStart w:id="158" w:name="_Toc20823304"/>
      <w:r>
        <w:rPr>
          <w:rFonts w:hint="eastAsia" w:ascii="宋体" w:hAnsi="宋体" w:eastAsia="宋体" w:cs="宋体"/>
          <w:b w:val="0"/>
          <w:bCs w:val="0"/>
          <w:color w:val="auto"/>
          <w:sz w:val="24"/>
          <w:szCs w:val="24"/>
        </w:rPr>
        <w:t>24、投标文件的澄清</w:t>
      </w:r>
      <w:bookmarkEnd w:id="156"/>
      <w:bookmarkEnd w:id="157"/>
      <w:bookmarkEnd w:id="158"/>
    </w:p>
    <w:p w14:paraId="6B93BA72">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24.1评标期间，评委会对投标文件中含义不明确、同类问题表述不一致或者有明显文字和计算错误的内容 ，有权要求投标人作出必要的澄清、说明或者补正。</w:t>
      </w:r>
    </w:p>
    <w:p w14:paraId="53D9C040">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投标人的澄清、说明或者补正不得超出投标文件的范围或者改变投标文件的实质性内容。</w:t>
      </w:r>
    </w:p>
    <w:p w14:paraId="5DF1BC65">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评委会并非对每个投标人都做澄清要求。</w:t>
      </w:r>
    </w:p>
    <w:p w14:paraId="051BA924">
      <w:pPr>
        <w:pStyle w:val="340"/>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24.2需要投标人进行澄清、说明和补正的，</w:t>
      </w:r>
      <w:r>
        <w:rPr>
          <w:rFonts w:hint="eastAsia" w:ascii="宋体" w:hAnsi="宋体" w:eastAsia="宋体" w:cs="宋体"/>
          <w:color w:val="auto"/>
          <w:sz w:val="24"/>
          <w:szCs w:val="24"/>
          <w:lang w:val="en-US"/>
        </w:rPr>
        <w:t>本项目投标人的澄清、说明或者补正采用线上澄清，</w:t>
      </w:r>
      <w:r>
        <w:rPr>
          <w:rFonts w:hint="eastAsia" w:ascii="宋体" w:hAnsi="宋体" w:eastAsia="宋体" w:cs="宋体"/>
          <w:color w:val="auto"/>
          <w:sz w:val="24"/>
          <w:szCs w:val="24"/>
        </w:rPr>
        <w:t>评委会将通过</w:t>
      </w:r>
      <w:r>
        <w:rPr>
          <w:rFonts w:hint="eastAsia" w:ascii="宋体" w:hAnsi="宋体" w:eastAsia="宋体" w:cs="宋体"/>
          <w:color w:val="auto"/>
          <w:sz w:val="24"/>
          <w:szCs w:val="24"/>
          <w:lang w:val="en-US"/>
        </w:rPr>
        <w:t>“苏采云”系统</w:t>
      </w:r>
      <w:r>
        <w:rPr>
          <w:rFonts w:hint="eastAsia" w:ascii="宋体" w:hAnsi="宋体" w:eastAsia="宋体" w:cs="宋体"/>
          <w:color w:val="auto"/>
          <w:sz w:val="24"/>
          <w:szCs w:val="24"/>
        </w:rPr>
        <w:t>向投标人发出“澄清要求函”，接到“澄清要求函”的投标人应当按照要求</w:t>
      </w:r>
      <w:r>
        <w:rPr>
          <w:rFonts w:hint="eastAsia" w:ascii="宋体" w:hAnsi="宋体" w:eastAsia="宋体" w:cs="宋体"/>
          <w:color w:val="auto"/>
          <w:sz w:val="24"/>
          <w:szCs w:val="24"/>
          <w:lang w:val="en-US"/>
        </w:rPr>
        <w:t>在规定时间内通过“苏采云”系统</w:t>
      </w:r>
      <w:r>
        <w:rPr>
          <w:rFonts w:hint="eastAsia" w:ascii="宋体" w:hAnsi="宋体" w:eastAsia="宋体" w:cs="宋体"/>
          <w:color w:val="auto"/>
          <w:sz w:val="24"/>
          <w:szCs w:val="24"/>
        </w:rPr>
        <w:t>中提交“澄清响应函”并加盖CA电子公章。澄清、说明和补正的内容作为投标文件的补充部分，具体操作方式见《操作手册》。</w:t>
      </w:r>
    </w:p>
    <w:p w14:paraId="3D24E3E6">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24.3 接到评委会澄清、说明和补正要求的投标人如未按规定做出澄清、说明和补正，其风险由投标人自行承担。</w:t>
      </w:r>
    </w:p>
    <w:p w14:paraId="13544B91">
      <w:pPr>
        <w:pStyle w:val="202"/>
        <w:pageBreakBefore w:val="0"/>
        <w:widowControl w:val="0"/>
        <w:spacing w:before="0" w:after="0" w:line="400" w:lineRule="exact"/>
        <w:ind w:left="0" w:firstLine="480"/>
        <w:jc w:val="left"/>
        <w:rPr>
          <w:rFonts w:hint="eastAsia" w:ascii="宋体" w:hAnsi="宋体" w:eastAsia="宋体" w:cs="宋体"/>
          <w:b w:val="0"/>
          <w:bCs w:val="0"/>
          <w:color w:val="auto"/>
          <w:sz w:val="24"/>
          <w:szCs w:val="24"/>
        </w:rPr>
      </w:pPr>
      <w:bookmarkStart w:id="159" w:name="_Toc20823305"/>
      <w:bookmarkStart w:id="160" w:name="_Toc513029233"/>
      <w:bookmarkStart w:id="161" w:name="_Toc16938549"/>
      <w:r>
        <w:rPr>
          <w:rFonts w:hint="eastAsia" w:ascii="宋体" w:hAnsi="宋体" w:eastAsia="宋体" w:cs="宋体"/>
          <w:b w:val="0"/>
          <w:bCs w:val="0"/>
          <w:color w:val="auto"/>
          <w:sz w:val="24"/>
          <w:szCs w:val="24"/>
        </w:rPr>
        <w:t>25、对投标文件的初审</w:t>
      </w:r>
      <w:bookmarkEnd w:id="159"/>
      <w:bookmarkEnd w:id="160"/>
      <w:bookmarkEnd w:id="161"/>
    </w:p>
    <w:p w14:paraId="716DBB7C">
      <w:pPr>
        <w:pageBreakBefore w:val="0"/>
        <w:widowControl w:val="0"/>
        <w:spacing w:line="400" w:lineRule="exact"/>
        <w:ind w:left="0" w:firstLine="480"/>
        <w:jc w:val="left"/>
        <w:rPr>
          <w:rFonts w:hint="eastAsia" w:ascii="宋体" w:hAnsi="宋体" w:eastAsia="宋体" w:cs="宋体"/>
          <w:bCs/>
          <w:color w:val="auto"/>
          <w:sz w:val="24"/>
          <w:szCs w:val="24"/>
        </w:rPr>
      </w:pPr>
      <w:r>
        <w:rPr>
          <w:rFonts w:hint="eastAsia" w:ascii="宋体" w:hAnsi="宋体" w:eastAsia="宋体" w:cs="宋体"/>
          <w:color w:val="auto"/>
          <w:sz w:val="24"/>
          <w:szCs w:val="24"/>
        </w:rPr>
        <w:t>25.1</w:t>
      </w:r>
      <w:r>
        <w:rPr>
          <w:rFonts w:hint="eastAsia" w:ascii="宋体" w:hAnsi="宋体" w:eastAsia="宋体" w:cs="宋体"/>
          <w:bCs/>
          <w:color w:val="auto"/>
          <w:sz w:val="24"/>
          <w:szCs w:val="24"/>
        </w:rPr>
        <w:t>投标文件初审分为资格审查和符合性审查。</w:t>
      </w:r>
    </w:p>
    <w:p w14:paraId="10D20DAE">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bCs/>
          <w:color w:val="auto"/>
          <w:sz w:val="24"/>
          <w:szCs w:val="24"/>
        </w:rPr>
        <w:t>25.1.1 资格审查：依据法律法规和招标文件的规定，</w:t>
      </w:r>
      <w:r>
        <w:rPr>
          <w:rFonts w:hint="eastAsia" w:ascii="宋体" w:hAnsi="宋体" w:eastAsia="宋体" w:cs="宋体"/>
          <w:color w:val="auto"/>
          <w:sz w:val="24"/>
          <w:szCs w:val="24"/>
        </w:rPr>
        <w:t>由采购人对投标文件中的资格证明文件进行审查，以确定投标人是否具备投标资格。</w:t>
      </w:r>
    </w:p>
    <w:p w14:paraId="3E078985">
      <w:pPr>
        <w:pageBreakBefore w:val="0"/>
        <w:widowControl w:val="0"/>
        <w:spacing w:line="400" w:lineRule="exact"/>
        <w:ind w:left="0"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采购人在进行资格性审查的同时，将在“信用中国”网站（www.creditchina.gov.cn）查询投标人的信用记录，以确定投标人是否具备投标资格,查询结果留存并归档。</w:t>
      </w:r>
    </w:p>
    <w:p w14:paraId="409347CF">
      <w:pPr>
        <w:pageBreakBefore w:val="0"/>
        <w:widowControl w:val="0"/>
        <w:spacing w:line="400" w:lineRule="exact"/>
        <w:ind w:left="0"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接受联合体的项目，两个以上的自然人、法人或者其他组织组成一个联合体，以一个投标人的身份共同参加政府采购活动的,联合体成员存在不良信用记录的，视同联合体存在不良应用记录。</w:t>
      </w:r>
    </w:p>
    <w:p w14:paraId="46FD1A7B">
      <w:pPr>
        <w:pageBreakBefore w:val="0"/>
        <w:widowControl w:val="0"/>
        <w:spacing w:line="400" w:lineRule="exact"/>
        <w:ind w:left="0"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25.1.2 符合性审查：依据招标文件的规定，由评委会从投标文件的有效性、完整性和对招标文件的响应程度进行审查，以确定是否对招标文件的实质性要求作出响应。</w:t>
      </w:r>
    </w:p>
    <w:p w14:paraId="4EB9F896">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25.1.3对各投标人符合性审查过程中，对初步被认定为无效投标者，由评委会组长或采购人代表将集体意见通过</w:t>
      </w:r>
      <w:r>
        <w:rPr>
          <w:rFonts w:hint="eastAsia" w:ascii="宋体" w:hAnsi="宋体" w:eastAsia="宋体" w:cs="宋体"/>
          <w:color w:val="auto"/>
          <w:sz w:val="24"/>
          <w:szCs w:val="24"/>
          <w:lang w:val="zh-CN"/>
        </w:rPr>
        <w:t>“苏采云”系统中告知未通过符合性审查的原因，评标结束后，将不再告知未通过符合性审查的原因</w:t>
      </w:r>
      <w:r>
        <w:rPr>
          <w:rFonts w:hint="eastAsia" w:ascii="宋体" w:hAnsi="宋体" w:eastAsia="宋体" w:cs="宋体"/>
          <w:color w:val="auto"/>
          <w:sz w:val="24"/>
          <w:szCs w:val="24"/>
        </w:rPr>
        <w:t>。</w:t>
      </w:r>
    </w:p>
    <w:p w14:paraId="23F3715C">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25.2在详细评标之前，评委会将首先审查每份投标文件是否实质性响应了招标文件的要求。实质性响应的投标应该是与招标文件要求的全部条款、条件和规格相符，没有重大偏离或保留的投标。</w:t>
      </w:r>
    </w:p>
    <w:p w14:paraId="0CB8C9F9">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6637CCE5">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25.3如果投标文件实质上没有响应招标文件的要求，评委会将予以拒绝，投标人不得通过修改或撤销不合要求的偏离或保留而使其投标成为实质性响应的投标。</w:t>
      </w:r>
    </w:p>
    <w:p w14:paraId="4594CA36">
      <w:pPr>
        <w:pageBreakBefore w:val="0"/>
        <w:widowControl w:val="0"/>
        <w:spacing w:line="400" w:lineRule="exact"/>
        <w:ind w:left="0" w:firstLine="480"/>
        <w:jc w:val="left"/>
        <w:rPr>
          <w:rFonts w:hint="eastAsia" w:ascii="宋体" w:hAnsi="宋体" w:eastAsia="宋体" w:cs="宋体"/>
          <w:bCs/>
          <w:color w:val="auto"/>
          <w:sz w:val="24"/>
          <w:szCs w:val="24"/>
        </w:rPr>
      </w:pPr>
      <w:r>
        <w:rPr>
          <w:rFonts w:hint="eastAsia" w:ascii="宋体" w:hAnsi="宋体" w:eastAsia="宋体" w:cs="宋体"/>
          <w:color w:val="auto"/>
          <w:sz w:val="24"/>
          <w:szCs w:val="24"/>
        </w:rPr>
        <w:t>25.4</w:t>
      </w:r>
      <w:r>
        <w:rPr>
          <w:rFonts w:hint="eastAsia" w:ascii="宋体" w:hAnsi="宋体" w:eastAsia="宋体" w:cs="宋体"/>
          <w:bCs/>
          <w:color w:val="auto"/>
          <w:sz w:val="24"/>
          <w:szCs w:val="24"/>
        </w:rPr>
        <w:t>评委会将对确定为实质性响应的投标进行进一步审核，确定其是否有计算上或累加上的算术错误，修正错误的原则如下：</w:t>
      </w:r>
    </w:p>
    <w:p w14:paraId="2669A809">
      <w:pPr>
        <w:pageBreakBefore w:val="0"/>
        <w:widowControl w:val="0"/>
        <w:spacing w:line="400" w:lineRule="exact"/>
        <w:ind w:left="0"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（1）投标文件中开标一览表内容与投标文件中相应内容不一致的，以开标一览表为准。</w:t>
      </w:r>
    </w:p>
    <w:p w14:paraId="2BB27B0E">
      <w:pPr>
        <w:pageBreakBefore w:val="0"/>
        <w:widowControl w:val="0"/>
        <w:spacing w:line="400" w:lineRule="exact"/>
        <w:ind w:left="0"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（2）大写金额和小写金额不一致的，以大写金额为准。</w:t>
      </w:r>
    </w:p>
    <w:p w14:paraId="4B62818F">
      <w:pPr>
        <w:pageBreakBefore w:val="0"/>
        <w:widowControl w:val="0"/>
        <w:spacing w:line="400" w:lineRule="exact"/>
        <w:ind w:left="0"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（3）单价金额小数点或者百分比有明显错位的，以开标一览表的总价为准，并修改单价。</w:t>
      </w:r>
    </w:p>
    <w:p w14:paraId="52AE9E87">
      <w:pPr>
        <w:pageBreakBefore w:val="0"/>
        <w:widowControl w:val="0"/>
        <w:spacing w:line="400" w:lineRule="exact"/>
        <w:ind w:left="0"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（4）总价金额与按单价汇总金额不一致的，以单价金额计算结果为准。</w:t>
      </w:r>
    </w:p>
    <w:p w14:paraId="7E17E918">
      <w:pPr>
        <w:pageBreakBefore w:val="0"/>
        <w:widowControl w:val="0"/>
        <w:spacing w:line="400" w:lineRule="exact"/>
        <w:ind w:left="0"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同时出现两种以上错误的，按照前款规定的顺序修正。</w:t>
      </w:r>
    </w:p>
    <w:p w14:paraId="0AEB78BE">
      <w:pPr>
        <w:pageBreakBefore w:val="0"/>
        <w:widowControl w:val="0"/>
        <w:spacing w:line="400" w:lineRule="exact"/>
        <w:ind w:left="0" w:firstLine="480"/>
        <w:jc w:val="left"/>
        <w:rPr>
          <w:rFonts w:hint="eastAsia" w:ascii="宋体" w:hAnsi="宋体" w:eastAsia="宋体" w:cs="宋体"/>
          <w:bCs/>
          <w:color w:val="auto"/>
          <w:sz w:val="24"/>
          <w:szCs w:val="24"/>
        </w:rPr>
      </w:pPr>
      <w:r>
        <w:rPr>
          <w:rFonts w:hint="eastAsia" w:ascii="宋体" w:hAnsi="宋体" w:eastAsia="宋体" w:cs="宋体"/>
          <w:color w:val="auto"/>
          <w:sz w:val="24"/>
          <w:szCs w:val="24"/>
        </w:rPr>
        <w:t xml:space="preserve">25.5 </w:t>
      </w:r>
      <w:r>
        <w:rPr>
          <w:rFonts w:hint="eastAsia" w:ascii="宋体" w:hAnsi="宋体" w:eastAsia="宋体" w:cs="宋体"/>
          <w:bCs/>
          <w:color w:val="auto"/>
          <w:sz w:val="24"/>
          <w:szCs w:val="24"/>
        </w:rPr>
        <w:t>评委会将按上述修正错误的方法调整投标文件中的投标报价，并通过</w:t>
      </w:r>
      <w:r>
        <w:rPr>
          <w:rFonts w:hint="eastAsia" w:ascii="宋体" w:hAnsi="宋体" w:eastAsia="宋体" w:cs="宋体"/>
          <w:color w:val="auto"/>
          <w:sz w:val="24"/>
          <w:szCs w:val="24"/>
        </w:rPr>
        <w:t>“苏采云”系统</w:t>
      </w:r>
      <w:r>
        <w:rPr>
          <w:rFonts w:hint="eastAsia" w:ascii="宋体" w:hAnsi="宋体" w:eastAsia="宋体" w:cs="宋体"/>
          <w:bCs/>
          <w:color w:val="auto"/>
          <w:sz w:val="24"/>
          <w:szCs w:val="24"/>
        </w:rPr>
        <w:t>告知投标人，调整后的价格应对投标人具有约束力。如果投标人不接受修正后的价格，则其投标将被拒绝。</w:t>
      </w:r>
    </w:p>
    <w:p w14:paraId="618A3AA3">
      <w:pPr>
        <w:pageBreakBefore w:val="0"/>
        <w:widowControl w:val="0"/>
        <w:spacing w:line="400" w:lineRule="exact"/>
        <w:ind w:left="0" w:firstLine="480"/>
        <w:jc w:val="left"/>
        <w:rPr>
          <w:rFonts w:hint="eastAsia" w:ascii="宋体" w:hAnsi="宋体" w:eastAsia="宋体" w:cs="宋体"/>
          <w:color w:val="auto"/>
          <w:sz w:val="24"/>
          <w:szCs w:val="24"/>
        </w:rPr>
      </w:pPr>
      <w:bookmarkStart w:id="162" w:name="_Toc16938550"/>
      <w:bookmarkStart w:id="163" w:name="_Toc20823306"/>
      <w:bookmarkStart w:id="164" w:name="_Toc513029234"/>
      <w:r>
        <w:rPr>
          <w:rFonts w:hint="eastAsia" w:ascii="宋体" w:hAnsi="宋体" w:eastAsia="宋体" w:cs="宋体"/>
          <w:color w:val="auto"/>
          <w:sz w:val="24"/>
          <w:szCs w:val="24"/>
        </w:rPr>
        <w:t>25.6投标人在开、评标全过程中应应随时保持系统在线，及时在“苏采云”系统查阅、答复相关信息。</w:t>
      </w:r>
    </w:p>
    <w:p w14:paraId="189AAEDF">
      <w:pPr>
        <w:pStyle w:val="202"/>
        <w:pageBreakBefore w:val="0"/>
        <w:widowControl w:val="0"/>
        <w:spacing w:before="0" w:after="0" w:line="400" w:lineRule="exact"/>
        <w:ind w:left="0" w:firstLine="48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26、</w:t>
      </w:r>
      <w:bookmarkEnd w:id="162"/>
      <w:bookmarkEnd w:id="163"/>
      <w:bookmarkEnd w:id="164"/>
      <w:r>
        <w:rPr>
          <w:rFonts w:hint="eastAsia" w:ascii="宋体" w:hAnsi="宋体" w:eastAsia="宋体" w:cs="宋体"/>
          <w:b w:val="0"/>
          <w:bCs w:val="0"/>
          <w:color w:val="auto"/>
          <w:sz w:val="24"/>
          <w:szCs w:val="24"/>
        </w:rPr>
        <w:t>无效投标条款和废标条款</w:t>
      </w:r>
    </w:p>
    <w:p w14:paraId="565F424C">
      <w:pPr>
        <w:pageBreakBefore w:val="0"/>
        <w:widowControl w:val="0"/>
        <w:spacing w:line="400" w:lineRule="exact"/>
        <w:ind w:left="0" w:firstLine="480"/>
        <w:jc w:val="left"/>
        <w:rPr>
          <w:rFonts w:hint="eastAsia" w:ascii="宋体" w:hAnsi="宋体" w:eastAsia="宋体" w:cs="宋体"/>
          <w:bCs/>
          <w:color w:val="auto"/>
          <w:sz w:val="24"/>
          <w:szCs w:val="24"/>
        </w:rPr>
      </w:pPr>
      <w:bookmarkStart w:id="165" w:name="_Toc16938551"/>
      <w:bookmarkStart w:id="166" w:name="_Toc20823307"/>
      <w:bookmarkStart w:id="167" w:name="_Toc513029235"/>
      <w:r>
        <w:rPr>
          <w:rFonts w:hint="eastAsia" w:ascii="宋体" w:hAnsi="宋体" w:eastAsia="宋体" w:cs="宋体"/>
          <w:bCs/>
          <w:color w:val="auto"/>
          <w:sz w:val="24"/>
          <w:szCs w:val="24"/>
        </w:rPr>
        <w:t>26.1无效投标条款</w:t>
      </w:r>
    </w:p>
    <w:p w14:paraId="12F03B06">
      <w:pPr>
        <w:pageBreakBefore w:val="0"/>
        <w:widowControl w:val="0"/>
        <w:spacing w:line="400" w:lineRule="exact"/>
        <w:ind w:left="0"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26.1.1 投标人在</w:t>
      </w:r>
      <w:r>
        <w:rPr>
          <w:rFonts w:hint="eastAsia" w:ascii="宋体" w:hAnsi="宋体" w:eastAsia="宋体" w:cs="宋体"/>
          <w:color w:val="auto"/>
          <w:sz w:val="24"/>
          <w:szCs w:val="24"/>
        </w:rPr>
        <w:t>“苏采云”系统</w:t>
      </w:r>
      <w:r>
        <w:rPr>
          <w:rFonts w:hint="eastAsia" w:ascii="宋体" w:hAnsi="宋体" w:eastAsia="宋体" w:cs="宋体"/>
          <w:bCs/>
          <w:color w:val="auto"/>
          <w:sz w:val="24"/>
          <w:szCs w:val="24"/>
        </w:rPr>
        <w:t>规定的时间内未成功解密电子投标文件的。</w:t>
      </w:r>
    </w:p>
    <w:p w14:paraId="0C21C19D">
      <w:pPr>
        <w:pageBreakBefore w:val="0"/>
        <w:widowControl w:val="0"/>
        <w:spacing w:line="400" w:lineRule="exact"/>
        <w:ind w:left="0"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26.1.2 投标人未按照招标文件要求上传电子投标文件的。</w:t>
      </w:r>
    </w:p>
    <w:p w14:paraId="5DEEAD33">
      <w:pPr>
        <w:pageBreakBefore w:val="0"/>
        <w:widowControl w:val="0"/>
        <w:spacing w:line="400" w:lineRule="exact"/>
        <w:ind w:left="0"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26.1.3同一投标人提交两个（含两个）以上不同的投标报价的。</w:t>
      </w:r>
    </w:p>
    <w:p w14:paraId="03B4B677">
      <w:pPr>
        <w:pageBreakBefore w:val="0"/>
        <w:widowControl w:val="0"/>
        <w:spacing w:line="400" w:lineRule="exact"/>
        <w:ind w:left="0"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26.1.4投标人不具备招标文件中规定资格要求的。</w:t>
      </w:r>
    </w:p>
    <w:p w14:paraId="54C5B1C7">
      <w:pPr>
        <w:pageBreakBefore w:val="0"/>
        <w:widowControl w:val="0"/>
        <w:spacing w:line="400" w:lineRule="exact"/>
        <w:ind w:left="0"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26.1.5投标人的报价超过了采购预算或最高限价的。</w:t>
      </w:r>
    </w:p>
    <w:p w14:paraId="48074DC8">
      <w:pPr>
        <w:pageBreakBefore w:val="0"/>
        <w:widowControl w:val="0"/>
        <w:spacing w:line="400" w:lineRule="exact"/>
        <w:ind w:left="0" w:firstLine="480"/>
        <w:jc w:val="left"/>
        <w:rPr>
          <w:rFonts w:hint="eastAsia" w:ascii="宋体" w:hAnsi="宋体" w:eastAsia="宋体" w:cs="宋体"/>
          <w:bCs/>
          <w:i/>
          <w:color w:val="auto"/>
          <w:sz w:val="24"/>
          <w:szCs w:val="24"/>
          <w:u w:val="single"/>
        </w:rPr>
      </w:pPr>
      <w:r>
        <w:rPr>
          <w:rFonts w:hint="eastAsia" w:ascii="宋体" w:hAnsi="宋体" w:eastAsia="宋体" w:cs="宋体"/>
          <w:bCs/>
          <w:color w:val="auto"/>
          <w:sz w:val="24"/>
          <w:szCs w:val="24"/>
        </w:rPr>
        <w:t>26.1.6未通过符合性审查的。</w:t>
      </w:r>
    </w:p>
    <w:p w14:paraId="7DC55AD1">
      <w:pPr>
        <w:pageBreakBefore w:val="0"/>
        <w:widowControl w:val="0"/>
        <w:spacing w:line="400" w:lineRule="exact"/>
        <w:ind w:left="0" w:firstLine="48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rPr>
        <w:t xml:space="preserve"> 26.1.7不符合招标文件中规定的实质性要求和条件的</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u w:val="single"/>
        </w:rPr>
        <w:t>本招标文件中加</w:t>
      </w:r>
      <w:r>
        <w:rPr>
          <w:rFonts w:hint="eastAsia" w:ascii="宋体" w:hAnsi="宋体" w:eastAsia="宋体" w:cs="宋体"/>
          <w:b/>
          <w:bCs/>
          <w:color w:val="auto"/>
          <w:sz w:val="24"/>
          <w:szCs w:val="24"/>
          <w:highlight w:val="none"/>
        </w:rPr>
        <w:t>★</w:t>
      </w:r>
      <w:r>
        <w:rPr>
          <w:rFonts w:hint="eastAsia" w:ascii="宋体" w:hAnsi="宋体" w:eastAsia="宋体" w:cs="宋体"/>
          <w:bCs/>
          <w:color w:val="auto"/>
          <w:sz w:val="24"/>
          <w:szCs w:val="24"/>
          <w:highlight w:val="none"/>
          <w:u w:val="single"/>
        </w:rPr>
        <w:t>项为实质性要求和条件）。</w:t>
      </w:r>
    </w:p>
    <w:p w14:paraId="234714F4">
      <w:pPr>
        <w:pageBreakBefore w:val="0"/>
        <w:widowControl w:val="0"/>
        <w:spacing w:line="400" w:lineRule="exact"/>
        <w:ind w:left="0"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26.1.8 投标人被 “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39FEF8D3">
      <w:pPr>
        <w:pageBreakBefore w:val="0"/>
        <w:widowControl w:val="0"/>
        <w:spacing w:line="400" w:lineRule="exact"/>
        <w:ind w:left="0"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26.1.9 投标文件含有采购人不能接受的附加条件的。</w:t>
      </w:r>
    </w:p>
    <w:p w14:paraId="4BB0992C">
      <w:pPr>
        <w:pageBreakBefore w:val="0"/>
        <w:widowControl w:val="0"/>
        <w:spacing w:line="400" w:lineRule="exact"/>
        <w:ind w:left="0" w:firstLine="480"/>
        <w:jc w:val="left"/>
        <w:rPr>
          <w:rFonts w:hint="eastAsia" w:ascii="宋体" w:hAnsi="宋体" w:eastAsia="宋体" w:cs="宋体"/>
          <w:bCs/>
          <w:color w:val="auto"/>
          <w:sz w:val="24"/>
          <w:szCs w:val="24"/>
          <w:highlight w:val="yellow"/>
        </w:rPr>
      </w:pPr>
      <w:r>
        <w:rPr>
          <w:rFonts w:hint="eastAsia" w:ascii="宋体" w:hAnsi="宋体" w:eastAsia="宋体" w:cs="宋体"/>
          <w:bCs/>
          <w:color w:val="auto"/>
          <w:sz w:val="24"/>
          <w:szCs w:val="24"/>
        </w:rPr>
        <w:t>26.1.10评委会认为投标人的报价明显低于其他通过符合性审查投标人的报价，有可能影响产品质量或者不能诚信履约的，将通过</w:t>
      </w:r>
      <w:r>
        <w:rPr>
          <w:rFonts w:hint="eastAsia" w:ascii="宋体" w:hAnsi="宋体" w:eastAsia="宋体" w:cs="宋体"/>
          <w:color w:val="auto"/>
          <w:sz w:val="24"/>
          <w:szCs w:val="24"/>
        </w:rPr>
        <w:t>“苏采云”系统</w:t>
      </w:r>
      <w:r>
        <w:rPr>
          <w:rFonts w:hint="eastAsia" w:ascii="宋体" w:hAnsi="宋体" w:eastAsia="宋体" w:cs="宋体"/>
          <w:bCs/>
          <w:color w:val="auto"/>
          <w:sz w:val="24"/>
          <w:szCs w:val="24"/>
        </w:rPr>
        <w:t>要求其在合理的时间内提供说明，必要时提交相关证明材料；投标人不能证明其报价合理性的，评委会应当将其作为无效投标处理。</w:t>
      </w:r>
    </w:p>
    <w:p w14:paraId="23F1D311">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lang w:val="zh-CN"/>
        </w:rPr>
        <w:t>26.1.11本项目采购产品被财政部、国家发改委、生态环境部等列入“节能产品品目清单”、“环境标志产品品目清单”强制采购范围，而</w:t>
      </w:r>
      <w:r>
        <w:rPr>
          <w:rFonts w:hint="eastAsia" w:ascii="宋体" w:hAnsi="宋体" w:eastAsia="宋体" w:cs="宋体"/>
          <w:color w:val="auto"/>
          <w:sz w:val="24"/>
          <w:szCs w:val="24"/>
        </w:rPr>
        <w:t>投标</w:t>
      </w:r>
      <w:r>
        <w:rPr>
          <w:rFonts w:hint="eastAsia" w:ascii="宋体" w:hAnsi="宋体" w:eastAsia="宋体" w:cs="宋体"/>
          <w:color w:val="auto"/>
          <w:sz w:val="24"/>
          <w:szCs w:val="24"/>
          <w:lang w:val="zh-CN"/>
        </w:rPr>
        <w:t>人所</w:t>
      </w:r>
      <w:r>
        <w:rPr>
          <w:rFonts w:hint="eastAsia" w:ascii="宋体" w:hAnsi="宋体" w:eastAsia="宋体" w:cs="宋体"/>
          <w:color w:val="auto"/>
          <w:sz w:val="24"/>
          <w:szCs w:val="24"/>
        </w:rPr>
        <w:t>投</w:t>
      </w:r>
      <w:r>
        <w:rPr>
          <w:rFonts w:hint="eastAsia" w:ascii="宋体" w:hAnsi="宋体" w:eastAsia="宋体" w:cs="宋体"/>
          <w:color w:val="auto"/>
          <w:sz w:val="24"/>
          <w:szCs w:val="24"/>
          <w:lang w:val="zh-CN"/>
        </w:rPr>
        <w:t>产品不在强制采购范围内的。（所</w:t>
      </w:r>
      <w:r>
        <w:rPr>
          <w:rFonts w:hint="eastAsia" w:ascii="宋体" w:hAnsi="宋体" w:eastAsia="宋体" w:cs="宋体"/>
          <w:color w:val="auto"/>
          <w:sz w:val="24"/>
          <w:szCs w:val="24"/>
        </w:rPr>
        <w:t>投</w:t>
      </w:r>
      <w:r>
        <w:rPr>
          <w:rFonts w:hint="eastAsia" w:ascii="宋体" w:hAnsi="宋体" w:eastAsia="宋体" w:cs="宋体"/>
          <w:color w:val="auto"/>
          <w:sz w:val="24"/>
          <w:szCs w:val="24"/>
          <w:lang w:val="zh-CN"/>
        </w:rPr>
        <w:t>产品如属于政府强制采购节能产品品目清单范围内，</w:t>
      </w:r>
      <w:r>
        <w:rPr>
          <w:rFonts w:hint="eastAsia" w:ascii="宋体" w:hAnsi="宋体" w:eastAsia="宋体" w:cs="宋体"/>
          <w:color w:val="auto"/>
          <w:sz w:val="24"/>
          <w:szCs w:val="24"/>
        </w:rPr>
        <w:t>投标</w:t>
      </w:r>
      <w:r>
        <w:rPr>
          <w:rFonts w:hint="eastAsia" w:ascii="宋体" w:hAnsi="宋体" w:eastAsia="宋体" w:cs="宋体"/>
          <w:color w:val="auto"/>
          <w:sz w:val="24"/>
          <w:szCs w:val="24"/>
          <w:lang w:val="zh-CN"/>
        </w:rPr>
        <w:t>文件中必须提供国家确定的认证机构出具的、处于有效期之内的该节能产品认证证书图片）。</w:t>
      </w:r>
    </w:p>
    <w:p w14:paraId="3B3A276D">
      <w:pPr>
        <w:pageBreakBefore w:val="0"/>
        <w:widowControl w:val="0"/>
        <w:spacing w:line="400" w:lineRule="exact"/>
        <w:ind w:left="0"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26.1.12 投标文件未按照招标文件要求加盖CA电子公章的。</w:t>
      </w:r>
    </w:p>
    <w:p w14:paraId="1B5D8F01">
      <w:pPr>
        <w:pageBreakBefore w:val="0"/>
        <w:widowControl w:val="0"/>
        <w:spacing w:line="400" w:lineRule="exact"/>
        <w:ind w:left="0"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26.1.13其他法律、法规及本招标文件规定的属无效投标的情形。</w:t>
      </w:r>
    </w:p>
    <w:p w14:paraId="799437EF">
      <w:pPr>
        <w:pageBreakBefore w:val="0"/>
        <w:widowControl w:val="0"/>
        <w:spacing w:line="400" w:lineRule="exact"/>
        <w:ind w:left="0"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26.2废标条款</w:t>
      </w:r>
    </w:p>
    <w:p w14:paraId="53A3E642">
      <w:pPr>
        <w:pageBreakBefore w:val="0"/>
        <w:widowControl w:val="0"/>
        <w:spacing w:line="400" w:lineRule="exact"/>
        <w:ind w:left="0"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26.2.1符合专业条件的投标人或者对招标文件作实质响应的投标人不足三家的。26.2.2出现影响采购公正的违法、违规行为的。</w:t>
      </w:r>
    </w:p>
    <w:p w14:paraId="2BCC125D">
      <w:pPr>
        <w:pageBreakBefore w:val="0"/>
        <w:widowControl w:val="0"/>
        <w:spacing w:line="400" w:lineRule="exact"/>
        <w:ind w:left="0"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26.2.3因重大变故，采购任务取消的。</w:t>
      </w:r>
    </w:p>
    <w:p w14:paraId="53DB8444">
      <w:pPr>
        <w:pageBreakBefore w:val="0"/>
        <w:widowControl w:val="0"/>
        <w:spacing w:line="400" w:lineRule="exact"/>
        <w:ind w:left="0"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26.2.4评委会认定招标文件存在歧义、重大缺陷导致评审工作无法进行。</w:t>
      </w:r>
    </w:p>
    <w:p w14:paraId="7012E2B0">
      <w:pPr>
        <w:pageBreakBefore w:val="0"/>
        <w:widowControl w:val="0"/>
        <w:spacing w:line="400" w:lineRule="exact"/>
        <w:ind w:left="0"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26.2.5 因</w:t>
      </w:r>
      <w:r>
        <w:rPr>
          <w:rFonts w:hint="eastAsia" w:ascii="宋体" w:hAnsi="宋体" w:eastAsia="宋体" w:cs="宋体"/>
          <w:color w:val="auto"/>
          <w:sz w:val="24"/>
          <w:szCs w:val="24"/>
        </w:rPr>
        <w:t>“苏采云”系统</w:t>
      </w:r>
      <w:r>
        <w:rPr>
          <w:rFonts w:hint="eastAsia" w:ascii="宋体" w:hAnsi="宋体" w:eastAsia="宋体" w:cs="宋体"/>
          <w:bCs/>
          <w:color w:val="auto"/>
          <w:sz w:val="24"/>
          <w:szCs w:val="24"/>
        </w:rPr>
        <w:t>系统故障原因造成开标不成功的。</w:t>
      </w:r>
    </w:p>
    <w:p w14:paraId="2A649EFC">
      <w:pPr>
        <w:pageBreakBefore w:val="0"/>
        <w:widowControl w:val="0"/>
        <w:spacing w:line="400" w:lineRule="exact"/>
        <w:ind w:left="0"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26.3 投标截止时间结束后参加投标的投标人不足三家的处理：</w:t>
      </w:r>
    </w:p>
    <w:p w14:paraId="49984616">
      <w:pPr>
        <w:pageBreakBefore w:val="0"/>
        <w:widowControl w:val="0"/>
        <w:spacing w:line="400" w:lineRule="exact"/>
        <w:ind w:left="0"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26.3.1如出现投标截止时间结束后参加投标的投标人或者在评标期间对招标文件做出实质响应的投标人不足三家情况，按政府采购相关规定执行。</w:t>
      </w:r>
    </w:p>
    <w:p w14:paraId="1CDBEE45">
      <w:pPr>
        <w:pStyle w:val="200"/>
        <w:pageBreakBefore w:val="0"/>
        <w:widowControl w:val="0"/>
        <w:spacing w:before="0" w:after="0" w:line="400" w:lineRule="exact"/>
        <w:ind w:left="0" w:firstLine="482"/>
        <w:jc w:val="left"/>
        <w:rPr>
          <w:rFonts w:hint="eastAsia" w:ascii="宋体" w:hAnsi="宋体" w:eastAsia="宋体" w:cs="宋体"/>
          <w:color w:val="auto"/>
          <w:sz w:val="24"/>
          <w:szCs w:val="24"/>
        </w:rPr>
      </w:pPr>
      <w:bookmarkStart w:id="168" w:name="_Toc120614219"/>
      <w:r>
        <w:rPr>
          <w:rFonts w:hint="eastAsia" w:ascii="宋体" w:hAnsi="宋体" w:eastAsia="宋体" w:cs="宋体"/>
          <w:color w:val="auto"/>
          <w:sz w:val="24"/>
          <w:szCs w:val="24"/>
        </w:rPr>
        <w:t>六、</w:t>
      </w:r>
      <w:bookmarkEnd w:id="165"/>
      <w:bookmarkEnd w:id="166"/>
      <w:bookmarkEnd w:id="167"/>
      <w:r>
        <w:rPr>
          <w:rFonts w:hint="eastAsia" w:ascii="宋体" w:hAnsi="宋体" w:eastAsia="宋体" w:cs="宋体"/>
          <w:color w:val="auto"/>
          <w:sz w:val="24"/>
          <w:szCs w:val="24"/>
        </w:rPr>
        <w:t>定标</w:t>
      </w:r>
      <w:bookmarkEnd w:id="168"/>
    </w:p>
    <w:p w14:paraId="38C95BB1">
      <w:pPr>
        <w:pStyle w:val="202"/>
        <w:pageBreakBefore w:val="0"/>
        <w:widowControl w:val="0"/>
        <w:spacing w:before="0" w:after="0" w:line="400" w:lineRule="exact"/>
        <w:ind w:left="0" w:firstLine="480"/>
        <w:jc w:val="left"/>
        <w:rPr>
          <w:rFonts w:hint="eastAsia" w:ascii="宋体" w:hAnsi="宋体" w:eastAsia="宋体" w:cs="宋体"/>
          <w:b w:val="0"/>
          <w:color w:val="auto"/>
          <w:sz w:val="24"/>
          <w:szCs w:val="24"/>
        </w:rPr>
      </w:pPr>
      <w:bookmarkStart w:id="169" w:name="_Toc513029238"/>
      <w:bookmarkStart w:id="170" w:name="_Toc20823310"/>
      <w:bookmarkStart w:id="171" w:name="_Toc16938554"/>
      <w:r>
        <w:rPr>
          <w:rFonts w:hint="eastAsia" w:ascii="宋体" w:hAnsi="宋体" w:eastAsia="宋体" w:cs="宋体"/>
          <w:b w:val="0"/>
          <w:color w:val="auto"/>
          <w:sz w:val="24"/>
          <w:szCs w:val="24"/>
        </w:rPr>
        <w:t>27、</w:t>
      </w:r>
      <w:bookmarkEnd w:id="169"/>
      <w:r>
        <w:rPr>
          <w:rFonts w:hint="eastAsia" w:ascii="宋体" w:hAnsi="宋体" w:eastAsia="宋体" w:cs="宋体"/>
          <w:b w:val="0"/>
          <w:color w:val="auto"/>
          <w:sz w:val="24"/>
          <w:szCs w:val="24"/>
        </w:rPr>
        <w:t>确定</w:t>
      </w:r>
      <w:bookmarkEnd w:id="170"/>
      <w:bookmarkEnd w:id="171"/>
      <w:r>
        <w:rPr>
          <w:rFonts w:hint="eastAsia" w:ascii="宋体" w:hAnsi="宋体" w:eastAsia="宋体" w:cs="宋体"/>
          <w:b w:val="0"/>
          <w:color w:val="auto"/>
          <w:sz w:val="24"/>
          <w:szCs w:val="24"/>
        </w:rPr>
        <w:t>中标单位</w:t>
      </w:r>
    </w:p>
    <w:p w14:paraId="5B885373">
      <w:pPr>
        <w:pageBreakBefore w:val="0"/>
        <w:widowControl w:val="0"/>
        <w:spacing w:line="400" w:lineRule="exact"/>
        <w:ind w:left="0"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27.1中标候选人的选取原则和数量见招标文件第五章规定。 </w:t>
      </w:r>
    </w:p>
    <w:p w14:paraId="5C3C55DF">
      <w:pPr>
        <w:pageBreakBefore w:val="0"/>
        <w:widowControl w:val="0"/>
        <w:spacing w:line="400" w:lineRule="exact"/>
        <w:ind w:left="0" w:firstLine="48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27.2 按以下</w:t>
      </w:r>
      <w:r>
        <w:rPr>
          <w:rFonts w:hint="eastAsia" w:ascii="宋体" w:hAnsi="宋体" w:eastAsia="宋体" w:cs="宋体"/>
          <w:bCs/>
          <w:color w:val="auto"/>
          <w:sz w:val="24"/>
          <w:szCs w:val="24"/>
          <w:highlight w:val="none"/>
          <w:lang w:val="zh-CN"/>
        </w:rPr>
        <w:t>第</w:t>
      </w:r>
      <w:r>
        <w:rPr>
          <w:rFonts w:hint="eastAsia" w:ascii="宋体" w:hAnsi="宋体" w:eastAsia="宋体" w:cs="宋体"/>
          <w:bCs/>
          <w:color w:val="auto"/>
          <w:sz w:val="24"/>
          <w:szCs w:val="24"/>
          <w:highlight w:val="none"/>
          <w:u w:val="single"/>
          <w:lang w:val="zh-CN"/>
        </w:rPr>
        <w:t>（</w:t>
      </w:r>
      <w:r>
        <w:rPr>
          <w:rFonts w:hint="eastAsia" w:ascii="宋体" w:hAnsi="宋体" w:eastAsia="宋体" w:cs="宋体"/>
          <w:bCs/>
          <w:color w:val="auto"/>
          <w:sz w:val="24"/>
          <w:szCs w:val="24"/>
          <w:highlight w:val="none"/>
          <w:u w:val="single"/>
        </w:rPr>
        <w:t>1</w:t>
      </w:r>
      <w:r>
        <w:rPr>
          <w:rFonts w:hint="eastAsia" w:ascii="宋体" w:hAnsi="宋体" w:eastAsia="宋体" w:cs="宋体"/>
          <w:bCs/>
          <w:color w:val="auto"/>
          <w:sz w:val="24"/>
          <w:szCs w:val="24"/>
          <w:highlight w:val="none"/>
          <w:u w:val="single"/>
          <w:lang w:val="zh-CN"/>
        </w:rPr>
        <w:t>）</w:t>
      </w:r>
      <w:r>
        <w:rPr>
          <w:rFonts w:hint="eastAsia" w:ascii="宋体" w:hAnsi="宋体" w:eastAsia="宋体" w:cs="宋体"/>
          <w:bCs/>
          <w:color w:val="auto"/>
          <w:sz w:val="24"/>
          <w:szCs w:val="24"/>
          <w:lang w:val="zh-CN"/>
        </w:rPr>
        <w:t>种方式确定中标人</w:t>
      </w:r>
    </w:p>
    <w:p w14:paraId="1CE69B5E">
      <w:pPr>
        <w:pageBreakBefore w:val="0"/>
        <w:widowControl w:val="0"/>
        <w:spacing w:line="400" w:lineRule="exact"/>
        <w:ind w:left="0" w:firstLine="48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（1）评委会直接确定排名第一的中标候选人为中标人；</w:t>
      </w:r>
    </w:p>
    <w:p w14:paraId="22EECB5E">
      <w:pPr>
        <w:pageBreakBefore w:val="0"/>
        <w:widowControl w:val="0"/>
        <w:spacing w:line="400" w:lineRule="exact"/>
        <w:ind w:left="0" w:firstLine="48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（2）采购人在评委会推荐的中标候选人中按顺序确定中标人。</w:t>
      </w:r>
    </w:p>
    <w:p w14:paraId="4A55363E">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bCs/>
          <w:color w:val="auto"/>
          <w:sz w:val="24"/>
          <w:szCs w:val="24"/>
          <w:lang w:val="zh-CN"/>
        </w:rPr>
        <w:t>按第</w:t>
      </w:r>
      <w:r>
        <w:rPr>
          <w:rFonts w:hint="eastAsia" w:ascii="宋体" w:hAnsi="宋体" w:eastAsia="宋体" w:cs="宋体"/>
          <w:bCs/>
          <w:color w:val="auto"/>
          <w:sz w:val="24"/>
          <w:szCs w:val="24"/>
        </w:rPr>
        <w:t>2</w:t>
      </w:r>
      <w:r>
        <w:rPr>
          <w:rFonts w:hint="eastAsia" w:ascii="宋体" w:hAnsi="宋体" w:eastAsia="宋体" w:cs="宋体"/>
          <w:bCs/>
          <w:color w:val="auto"/>
          <w:sz w:val="24"/>
          <w:szCs w:val="24"/>
          <w:lang w:val="zh-CN"/>
        </w:rPr>
        <w:t>种方式确定中标人的，</w:t>
      </w:r>
      <w:r>
        <w:rPr>
          <w:rFonts w:hint="eastAsia" w:ascii="宋体" w:hAnsi="宋体" w:eastAsia="宋体" w:cs="宋体"/>
          <w:bCs/>
          <w:color w:val="auto"/>
          <w:sz w:val="24"/>
          <w:szCs w:val="24"/>
        </w:rPr>
        <w:t>采购代理机构</w:t>
      </w:r>
      <w:r>
        <w:rPr>
          <w:rFonts w:hint="eastAsia" w:ascii="宋体" w:hAnsi="宋体" w:eastAsia="宋体" w:cs="宋体"/>
          <w:bCs/>
          <w:color w:val="auto"/>
          <w:sz w:val="24"/>
          <w:szCs w:val="24"/>
          <w:lang w:val="zh-CN"/>
        </w:rPr>
        <w:t>自评审结束之日起两个工作日内将评审报告送交采购人，采购人自收到评审报告之日起五个工作日内在评审报告推荐的中标候选人中按顺序确定中标人。</w:t>
      </w:r>
    </w:p>
    <w:p w14:paraId="2AF4CC96">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bCs/>
          <w:color w:val="auto"/>
          <w:sz w:val="24"/>
          <w:szCs w:val="24"/>
        </w:rPr>
        <w:t xml:space="preserve">27.3 </w:t>
      </w:r>
      <w:r>
        <w:rPr>
          <w:rFonts w:hint="eastAsia" w:ascii="宋体" w:hAnsi="宋体" w:eastAsia="宋体" w:cs="宋体"/>
          <w:color w:val="auto"/>
          <w:sz w:val="24"/>
          <w:szCs w:val="24"/>
        </w:rPr>
        <w:t>采购代理机构将在“宿迁市政府采购网”发布中标公告，公告期限为1个工作日。</w:t>
      </w:r>
    </w:p>
    <w:p w14:paraId="6B2D4855">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27.4  若有充分证据证明，中标人出现下列情况之一的，一经查实，将被取消中标资格：</w:t>
      </w:r>
    </w:p>
    <w:p w14:paraId="39C22224">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27.4.1提供虚假材料谋取中标的。</w:t>
      </w:r>
    </w:p>
    <w:p w14:paraId="0BF0D506">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27.4.2向采购人、采购代理机构行贿或者提供其他不正当利益的。</w:t>
      </w:r>
    </w:p>
    <w:p w14:paraId="4C1D427E">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27.4.3属于本文件规定的无效条件，但在评标过程中又未被评委会发现的。</w:t>
      </w:r>
    </w:p>
    <w:p w14:paraId="4629B338">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27.4.4与采购人或者其他投标人恶意串通的。</w:t>
      </w:r>
    </w:p>
    <w:p w14:paraId="09DA249D">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27.4.5采取不正当手段诋毁、排挤其他投标人的。</w:t>
      </w:r>
    </w:p>
    <w:p w14:paraId="2FBD41DA">
      <w:pPr>
        <w:pageBreakBefore w:val="0"/>
        <w:widowControl w:val="0"/>
        <w:spacing w:line="400" w:lineRule="exact"/>
        <w:ind w:left="0" w:firstLine="480"/>
        <w:jc w:val="left"/>
        <w:rPr>
          <w:rFonts w:hint="eastAsia" w:ascii="宋体" w:hAnsi="宋体" w:eastAsia="宋体" w:cs="宋体"/>
          <w:color w:val="auto"/>
          <w:sz w:val="24"/>
          <w:szCs w:val="24"/>
        </w:rPr>
      </w:pPr>
      <w:bookmarkStart w:id="172" w:name="_Toc200451960"/>
      <w:r>
        <w:rPr>
          <w:rFonts w:hint="eastAsia" w:ascii="宋体" w:hAnsi="宋体" w:eastAsia="宋体" w:cs="宋体"/>
          <w:color w:val="auto"/>
          <w:sz w:val="24"/>
          <w:szCs w:val="24"/>
        </w:rPr>
        <w:t>27.5 有下列情形之一的，视为投标人串通投标，投标无效：</w:t>
      </w:r>
    </w:p>
    <w:p w14:paraId="38EF6C50">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27.5.1不同投标人的投标文件由同一单位或者个人编制。</w:t>
      </w:r>
    </w:p>
    <w:p w14:paraId="3BCEDB78">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27.5.2不同投标人委托同一单位或者个人办理投标事宜。</w:t>
      </w:r>
    </w:p>
    <w:p w14:paraId="3BF62701">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27.5.3 不同投标人的投标文件载明的项目管理成员或者联系人员为同一人。</w:t>
      </w:r>
    </w:p>
    <w:p w14:paraId="4172F46D">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27.5.4不同投标人的投标文件异常一致或者投标报价呈规律性差异。</w:t>
      </w:r>
    </w:p>
    <w:p w14:paraId="327B94FF">
      <w:pPr>
        <w:pStyle w:val="202"/>
        <w:pageBreakBefore w:val="0"/>
        <w:widowControl w:val="0"/>
        <w:spacing w:before="0" w:after="0" w:line="400" w:lineRule="exact"/>
        <w:ind w:left="0" w:firstLine="480"/>
        <w:jc w:val="left"/>
        <w:rPr>
          <w:rFonts w:hint="eastAsia" w:ascii="宋体" w:hAnsi="宋体" w:eastAsia="宋体" w:cs="宋体"/>
          <w:b w:val="0"/>
          <w:color w:val="auto"/>
          <w:sz w:val="24"/>
          <w:szCs w:val="24"/>
        </w:rPr>
      </w:pPr>
      <w:r>
        <w:rPr>
          <w:rFonts w:hint="eastAsia" w:ascii="宋体" w:hAnsi="宋体" w:eastAsia="宋体" w:cs="宋体"/>
          <w:b w:val="0"/>
          <w:color w:val="auto"/>
          <w:sz w:val="24"/>
          <w:szCs w:val="24"/>
        </w:rPr>
        <w:t>28、质疑处理</w:t>
      </w:r>
      <w:bookmarkEnd w:id="172"/>
    </w:p>
    <w:p w14:paraId="3CA6C084">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28.1 提出质疑的投标人应当是参与所质疑项目采购活动的投标人。潜在投标人依法获取其可质疑的采购文件的，可以对采购文件提出质疑。</w:t>
      </w:r>
    </w:p>
    <w:p w14:paraId="729BFE57">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28.2投标人认为采购文件、采购过程和采购结果使自己的权益受到损害的，可以在知道或应知其权益受到损害之日起七个工作日内，以书面形式根据下述28.4条款的规定向采购代理机构或采购人提出质疑。上述应知其权益受到损害之日，是指：</w:t>
      </w:r>
    </w:p>
    <w:p w14:paraId="650F41CF">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28.2.1对可以质疑的采购文件提出质疑的，为收到采购文件之日或者采购文件公告期限届满之日；</w:t>
      </w:r>
    </w:p>
    <w:p w14:paraId="6641C189">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28.2.2对采购过程提出质疑的，为各采购程序环节结束之日；</w:t>
      </w:r>
    </w:p>
    <w:p w14:paraId="5DC6AD09">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28.2.3对中标或者成交结果提出质疑的，为中标或者成交结果公告期限届满之日。</w:t>
      </w:r>
    </w:p>
    <w:p w14:paraId="3889071A">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投标人应当在法定质疑期内一次性提出针对同一采购程序环节的质疑。投标人如在法定期限内对同一采购程序环节提出多次质疑的，采购代理机构、采购人将只对投标人第一次质疑作出答复。</w:t>
      </w:r>
    </w:p>
    <w:p w14:paraId="676565A2">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28.3质疑函必须按照本招标文件中《质疑函范本》要求的格式和内容进行填写。投标人如组成联合体参加投标，则《质疑函范本》中要求签字、盖章、加盖公章之处，联合体各方均须按要求签字、盖章、加盖公章。</w:t>
      </w:r>
    </w:p>
    <w:p w14:paraId="692B71F6">
      <w:pPr>
        <w:pageBreakBefore w:val="0"/>
        <w:widowControl w:val="0"/>
        <w:spacing w:line="400" w:lineRule="exact"/>
        <w:ind w:left="0" w:firstLine="480"/>
        <w:jc w:val="left"/>
        <w:rPr>
          <w:rFonts w:hint="eastAsia" w:ascii="宋体" w:hAnsi="宋体" w:eastAsia="宋体" w:cs="宋体"/>
          <w:b/>
          <w:color w:val="auto"/>
          <w:sz w:val="24"/>
          <w:szCs w:val="24"/>
        </w:rPr>
      </w:pPr>
      <w:r>
        <w:rPr>
          <w:rFonts w:hint="eastAsia" w:ascii="宋体" w:hAnsi="宋体" w:eastAsia="宋体" w:cs="宋体"/>
          <w:color w:val="auto"/>
          <w:sz w:val="24"/>
          <w:szCs w:val="24"/>
        </w:rPr>
        <w:t>28.4 供应商（含潜在供应商）对采购方式、采购需求、供应商资格条件、评审方法与评审标准、合同文本的询问、质疑请向采购人提出，由采购人负责答复。供应商对其他事项的询问、质疑请向采购代理机构提出，由采购代理机构负责答复。</w:t>
      </w:r>
    </w:p>
    <w:p w14:paraId="53BC8012">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接收质疑函的方式：现场接收或邮寄接收。</w:t>
      </w:r>
    </w:p>
    <w:p w14:paraId="3F823314">
      <w:pPr>
        <w:pageBreakBefore w:val="0"/>
        <w:widowControl w:val="0"/>
        <w:spacing w:line="400" w:lineRule="exact"/>
        <w:ind w:left="0" w:firstLine="48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联系部门：</w:t>
      </w:r>
      <w:r>
        <w:rPr>
          <w:rFonts w:hint="eastAsia" w:ascii="宋体" w:hAnsi="宋体" w:eastAsia="宋体" w:cs="宋体"/>
          <w:color w:val="auto"/>
          <w:sz w:val="24"/>
          <w:szCs w:val="24"/>
          <w:u w:val="single"/>
        </w:rPr>
        <w:t>沭阳县住房和城乡建设局、江苏中置宏胜项目管理有限公司</w:t>
      </w:r>
    </w:p>
    <w:p w14:paraId="164B45BB">
      <w:pPr>
        <w:pageBreakBefore w:val="0"/>
        <w:widowControl w:val="0"/>
        <w:spacing w:line="400" w:lineRule="exact"/>
        <w:ind w:left="0" w:firstLine="480"/>
        <w:jc w:val="left"/>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rPr>
        <w:t>联系电话：</w:t>
      </w:r>
      <w:r>
        <w:rPr>
          <w:rFonts w:hint="eastAsia" w:ascii="宋体" w:hAnsi="宋体" w:cs="宋体"/>
          <w:color w:val="auto"/>
          <w:sz w:val="24"/>
          <w:szCs w:val="24"/>
          <w:lang w:val="en-US" w:eastAsia="zh-CN"/>
        </w:rPr>
        <w:t xml:space="preserve">18800617357 </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13951593471</w:t>
      </w:r>
    </w:p>
    <w:p w14:paraId="37453013">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通讯地址：沭阳县康平路2号建设大厦、沭阳县中宝大厦6楼</w:t>
      </w:r>
    </w:p>
    <w:p w14:paraId="4AA60F94">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采购人质疑接收人及联系方式见招标文件第一章。</w:t>
      </w:r>
    </w:p>
    <w:p w14:paraId="10D40560">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28.5 以下情形的质疑不予受理</w:t>
      </w:r>
    </w:p>
    <w:p w14:paraId="65DB4C21">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28.5.1 内容不符合《政府采购质疑和投诉办法》第十二条规定的质疑。</w:t>
      </w:r>
    </w:p>
    <w:p w14:paraId="3DB5A08D">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28.5.2 超出政府采购法定期限的质疑。</w:t>
      </w:r>
    </w:p>
    <w:p w14:paraId="5067251B">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28.5.3 以传真、电子邮件等方式递交的非原件形式的质疑。</w:t>
      </w:r>
    </w:p>
    <w:p w14:paraId="0D8B7CDB">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28.5.4 未参加投标活动的投标人或在投标活动中自身权益未受到损害的投标人所提出的质疑。</w:t>
      </w:r>
    </w:p>
    <w:p w14:paraId="6E81EC2A">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28.5.5投标人组成联合体参加投标，联合体中任何一方或多方未按要求签字、盖章、加盖公章的质疑。</w:t>
      </w:r>
    </w:p>
    <w:p w14:paraId="19673AAF">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28.6  投标人提出书面质疑必须有理、有据，不得捏造事实、提供虚假材料进行恶意质疑。否则，一经查实，采购代理机构有权依据政府采购的有关规定，报请政府采购监管部门对该投标人进行相应的行政处罚和记录该投标人的失信信息。</w:t>
      </w:r>
    </w:p>
    <w:p w14:paraId="4E3DB54F">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28.7质疑供应商对采购人、采购代理机构的答复不满意，或者采购人、采购代理机构未在规定时间内作出答复的，可以在答复期满后15个工作日内向同级财政部门提起投诉。</w:t>
      </w:r>
    </w:p>
    <w:p w14:paraId="0E5FDED6">
      <w:pPr>
        <w:pStyle w:val="202"/>
        <w:pageBreakBefore w:val="0"/>
        <w:widowControl w:val="0"/>
        <w:spacing w:before="0" w:after="0" w:line="400" w:lineRule="exact"/>
        <w:ind w:left="0" w:firstLine="480"/>
        <w:jc w:val="left"/>
        <w:rPr>
          <w:rFonts w:hint="eastAsia" w:ascii="宋体" w:hAnsi="宋体" w:eastAsia="宋体" w:cs="宋体"/>
          <w:b w:val="0"/>
          <w:color w:val="auto"/>
          <w:sz w:val="24"/>
          <w:szCs w:val="24"/>
        </w:rPr>
      </w:pPr>
      <w:r>
        <w:rPr>
          <w:rFonts w:hint="eastAsia" w:ascii="宋体" w:hAnsi="宋体" w:eastAsia="宋体" w:cs="宋体"/>
          <w:b w:val="0"/>
          <w:color w:val="auto"/>
          <w:sz w:val="24"/>
          <w:szCs w:val="24"/>
        </w:rPr>
        <w:t>29、中标通知书</w:t>
      </w:r>
    </w:p>
    <w:p w14:paraId="76762FB8">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29.l</w:t>
      </w:r>
      <w:r>
        <w:rPr>
          <w:rFonts w:hint="eastAsia" w:ascii="宋体" w:hAnsi="宋体" w:eastAsia="宋体" w:cs="宋体"/>
          <w:b/>
          <w:color w:val="auto"/>
          <w:sz w:val="24"/>
          <w:szCs w:val="24"/>
        </w:rPr>
        <w:t xml:space="preserve"> </w:t>
      </w:r>
      <w:r>
        <w:rPr>
          <w:rFonts w:hint="eastAsia" w:ascii="宋体" w:hAnsi="宋体" w:eastAsia="宋体" w:cs="宋体"/>
          <w:color w:val="auto"/>
          <w:sz w:val="24"/>
          <w:szCs w:val="24"/>
        </w:rPr>
        <w:t>中标结果确定后，代理机构将向中标人发出中标通知书。请中标人使用CA数字证书登录“苏采云系统”及时下载中标通知书。中标供应商可自行下载打印《中标通知书》，《中标通知书》将作为授予合同资格的唯一合法依据。</w:t>
      </w:r>
    </w:p>
    <w:p w14:paraId="623D3612">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29.2中标通知书将是合同的一个组成部分。对采购人和中标人均具有法律效力。中标通知书发出后，采购人改变中标结果的，或者中标人放弃中标项目的，应当依法承担法律责任。</w:t>
      </w:r>
    </w:p>
    <w:p w14:paraId="313C521D">
      <w:pPr>
        <w:pStyle w:val="200"/>
        <w:pageBreakBefore w:val="0"/>
        <w:widowControl w:val="0"/>
        <w:spacing w:before="0" w:after="0" w:line="400" w:lineRule="exact"/>
        <w:ind w:left="0" w:firstLine="482"/>
        <w:jc w:val="left"/>
        <w:rPr>
          <w:rFonts w:hint="eastAsia" w:ascii="宋体" w:hAnsi="宋体" w:eastAsia="宋体" w:cs="宋体"/>
          <w:color w:val="auto"/>
          <w:sz w:val="24"/>
          <w:szCs w:val="24"/>
        </w:rPr>
      </w:pPr>
      <w:bookmarkStart w:id="173" w:name="_Toc513029236"/>
      <w:bookmarkStart w:id="174" w:name="_Toc20823308"/>
      <w:bookmarkStart w:id="175" w:name="_Toc16938552"/>
      <w:bookmarkStart w:id="176" w:name="_Toc120614220"/>
      <w:r>
        <w:rPr>
          <w:rFonts w:hint="eastAsia" w:ascii="宋体" w:hAnsi="宋体" w:eastAsia="宋体" w:cs="宋体"/>
          <w:color w:val="auto"/>
          <w:sz w:val="24"/>
          <w:szCs w:val="24"/>
        </w:rPr>
        <w:t>七、授予合同</w:t>
      </w:r>
      <w:bookmarkEnd w:id="173"/>
      <w:bookmarkEnd w:id="174"/>
      <w:bookmarkEnd w:id="175"/>
      <w:bookmarkEnd w:id="176"/>
    </w:p>
    <w:p w14:paraId="64413EF9">
      <w:pPr>
        <w:pStyle w:val="202"/>
        <w:pageBreakBefore w:val="0"/>
        <w:widowControl w:val="0"/>
        <w:spacing w:before="0" w:after="0" w:line="400" w:lineRule="exact"/>
        <w:ind w:left="0" w:firstLine="480"/>
        <w:jc w:val="left"/>
        <w:rPr>
          <w:rFonts w:hint="eastAsia" w:ascii="宋体" w:hAnsi="宋体" w:eastAsia="宋体" w:cs="宋体"/>
          <w:b w:val="0"/>
          <w:color w:val="auto"/>
          <w:sz w:val="24"/>
          <w:szCs w:val="24"/>
        </w:rPr>
      </w:pPr>
      <w:bookmarkStart w:id="177" w:name="_Toc16938553"/>
      <w:bookmarkStart w:id="178" w:name="_Toc513029237"/>
      <w:bookmarkStart w:id="179" w:name="_Toc20823309"/>
      <w:r>
        <w:rPr>
          <w:rFonts w:hint="eastAsia" w:ascii="宋体" w:hAnsi="宋体" w:eastAsia="宋体" w:cs="宋体"/>
          <w:b w:val="0"/>
          <w:color w:val="auto"/>
          <w:sz w:val="24"/>
          <w:szCs w:val="24"/>
        </w:rPr>
        <w:t>30. 签订合同</w:t>
      </w:r>
    </w:p>
    <w:p w14:paraId="7A3BCC0F">
      <w:pPr>
        <w:pageBreakBefore w:val="0"/>
        <w:widowControl w:val="0"/>
        <w:spacing w:line="400" w:lineRule="exact"/>
        <w:ind w:left="0" w:firstLine="48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rPr>
        <w:t>30</w:t>
      </w:r>
      <w:r>
        <w:rPr>
          <w:rFonts w:hint="eastAsia" w:ascii="宋体" w:hAnsi="宋体" w:eastAsia="宋体" w:cs="宋体"/>
          <w:color w:val="auto"/>
          <w:sz w:val="24"/>
          <w:szCs w:val="24"/>
        </w:rPr>
        <w:t>.l中标人应当在中标通知书发出之日起15日内，按照招标文件确定的事项与采购人签订政府采购合同。</w:t>
      </w:r>
      <w:r>
        <w:rPr>
          <w:rFonts w:hint="eastAsia" w:ascii="宋体" w:hAnsi="宋体" w:eastAsia="宋体" w:cs="宋体"/>
          <w:bCs/>
          <w:color w:val="auto"/>
          <w:sz w:val="24"/>
          <w:szCs w:val="24"/>
          <w:lang w:val="zh-CN"/>
        </w:rPr>
        <w:t>并在签订之日起2个工作日内将政府采购合同在指定的媒体上公告，但政府采购合同中涉及国家秘密、商业秘密的内容除外。</w:t>
      </w:r>
    </w:p>
    <w:p w14:paraId="56391059">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30.2</w:t>
      </w:r>
      <w:r>
        <w:rPr>
          <w:rFonts w:hint="eastAsia" w:ascii="宋体" w:hAnsi="宋体" w:eastAsia="宋体" w:cs="宋体"/>
          <w:b/>
          <w:color w:val="auto"/>
          <w:sz w:val="24"/>
          <w:szCs w:val="24"/>
        </w:rPr>
        <w:t xml:space="preserve"> </w:t>
      </w:r>
      <w:r>
        <w:rPr>
          <w:rFonts w:hint="eastAsia" w:ascii="宋体" w:hAnsi="宋体" w:eastAsia="宋体" w:cs="宋体"/>
          <w:color w:val="auto"/>
          <w:sz w:val="24"/>
          <w:szCs w:val="24"/>
        </w:rPr>
        <w:t>招标文件、中标人的投标文件及招标过程中有关澄清、承诺文件均应作为合同附件。</w:t>
      </w:r>
    </w:p>
    <w:p w14:paraId="07CB6A7F">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30.3 签订合同后，中标人不得将合同标的进行转包。未经采购人同意，中标人也不得采用分包的形式履行合同，否则采购人有权终止合同。转包或分包造成采购人损失的，中标人应承担相应赔偿责任。</w:t>
      </w:r>
    </w:p>
    <w:p w14:paraId="35D0C2FA">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30.4本项目的非主体、非关键性工作是否允许分包按以下</w:t>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种</w:t>
      </w:r>
      <w:r>
        <w:rPr>
          <w:rFonts w:hint="eastAsia" w:ascii="宋体" w:hAnsi="宋体" w:eastAsia="宋体" w:cs="宋体"/>
          <w:color w:val="auto"/>
          <w:sz w:val="24"/>
          <w:szCs w:val="24"/>
        </w:rPr>
        <w:t>方式确定：</w:t>
      </w:r>
    </w:p>
    <w:p w14:paraId="0A1CC42B">
      <w:pPr>
        <w:pageBreakBefore w:val="0"/>
        <w:widowControl w:val="0"/>
        <w:spacing w:line="400" w:lineRule="exact"/>
        <w:ind w:left="0" w:firstLine="48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1.允许分包，允许大中型企业向一家或者多家小微企业分包，分包具体内容、金额或比例</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rPr>
        <w:t>；</w:t>
      </w:r>
    </w:p>
    <w:p w14:paraId="5739BC37">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2.不允许分包。未经采购人同意，成交供应商也不得采用分包形式履行合同,否则采购人有权终止合同。转包或分包造成采购人损失的，成交供应商应承担相应赔偿责任。</w:t>
      </w:r>
    </w:p>
    <w:p w14:paraId="65E97533">
      <w:pPr>
        <w:pageBreakBefore w:val="0"/>
        <w:widowControl w:val="0"/>
        <w:spacing w:line="400" w:lineRule="exact"/>
        <w:ind w:left="0"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30.4履约保证金</w:t>
      </w:r>
    </w:p>
    <w:p w14:paraId="033E7C50">
      <w:pPr>
        <w:pageBreakBefore w:val="0"/>
        <w:widowControl w:val="0"/>
        <w:spacing w:line="400" w:lineRule="exact"/>
        <w:ind w:left="0" w:firstLine="48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按照以下</w:t>
      </w:r>
      <w:r>
        <w:rPr>
          <w:rFonts w:hint="eastAsia" w:ascii="宋体" w:hAnsi="宋体" w:eastAsia="宋体" w:cs="宋体"/>
          <w:bCs/>
          <w:color w:val="auto"/>
          <w:sz w:val="24"/>
          <w:szCs w:val="24"/>
          <w:highlight w:val="none"/>
          <w:lang w:val="zh-CN"/>
        </w:rPr>
        <w:t>第</w:t>
      </w:r>
      <w:r>
        <w:rPr>
          <w:rFonts w:hint="eastAsia" w:ascii="宋体" w:hAnsi="宋体" w:eastAsia="宋体" w:cs="宋体"/>
          <w:bCs/>
          <w:color w:val="auto"/>
          <w:sz w:val="24"/>
          <w:szCs w:val="24"/>
          <w:highlight w:val="none"/>
          <w:u w:val="single"/>
        </w:rPr>
        <w:t xml:space="preserve">  （2）  </w:t>
      </w:r>
      <w:r>
        <w:rPr>
          <w:rFonts w:hint="eastAsia" w:ascii="宋体" w:hAnsi="宋体" w:eastAsia="宋体" w:cs="宋体"/>
          <w:bCs/>
          <w:color w:val="auto"/>
          <w:sz w:val="24"/>
          <w:szCs w:val="24"/>
          <w:highlight w:val="none"/>
          <w:lang w:val="zh-CN"/>
        </w:rPr>
        <w:t>方</w:t>
      </w:r>
      <w:r>
        <w:rPr>
          <w:rFonts w:hint="eastAsia" w:ascii="宋体" w:hAnsi="宋体" w:eastAsia="宋体" w:cs="宋体"/>
          <w:bCs/>
          <w:color w:val="auto"/>
          <w:sz w:val="24"/>
          <w:szCs w:val="24"/>
          <w:lang w:val="zh-CN"/>
        </w:rPr>
        <w:t>式确定履约保证收取方式。</w:t>
      </w:r>
    </w:p>
    <w:p w14:paraId="2AECD1C4">
      <w:pPr>
        <w:pageBreakBefore w:val="0"/>
        <w:widowControl w:val="0"/>
        <w:spacing w:line="400" w:lineRule="exact"/>
        <w:ind w:left="0" w:firstLine="48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(1)不收取履约保证金。</w:t>
      </w:r>
    </w:p>
    <w:p w14:paraId="433786CD">
      <w:pPr>
        <w:pageBreakBefore w:val="0"/>
        <w:widowControl w:val="0"/>
        <w:spacing w:line="400" w:lineRule="exact"/>
        <w:ind w:left="0" w:firstLine="48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(2)履约保证金应在采购合同签订前提交，履约保证金的金额按采购合同总价的</w:t>
      </w:r>
      <w:r>
        <w:rPr>
          <w:rFonts w:hint="eastAsia" w:ascii="宋体" w:hAnsi="宋体" w:eastAsia="宋体" w:cs="宋体"/>
          <w:bCs/>
          <w:color w:val="auto"/>
          <w:sz w:val="24"/>
          <w:szCs w:val="24"/>
          <w:u w:val="single"/>
        </w:rPr>
        <w:t>5</w:t>
      </w:r>
      <w:r>
        <w:rPr>
          <w:rFonts w:hint="eastAsia" w:ascii="宋体" w:hAnsi="宋体" w:eastAsia="宋体" w:cs="宋体"/>
          <w:bCs/>
          <w:color w:val="auto"/>
          <w:sz w:val="24"/>
          <w:szCs w:val="24"/>
          <w:lang w:val="zh-CN"/>
        </w:rPr>
        <w:t>%计取。除银行电汇、网上银行、数字人民币外，投标人还可选用银行保函、担保公司的保证担保或保险公司的保证保险、等多种形式向采购人缴纳；</w:t>
      </w:r>
    </w:p>
    <w:p w14:paraId="547B8A77">
      <w:pPr>
        <w:pageBreakBefore w:val="0"/>
        <w:widowControl w:val="0"/>
        <w:spacing w:line="400" w:lineRule="exact"/>
        <w:ind w:left="0" w:firstLine="48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履约保证金退还的方式：以银行电汇、网上银行、数字人民币形式缴纳履约保证金的，退回至投标人存款账户或投标人数字人民币账户；以保函、担保、保险等形式缴纳履约保证金的，在保函、担保、保险约定的保证期限届满之日起自行失效；</w:t>
      </w:r>
    </w:p>
    <w:p w14:paraId="032B4AAA">
      <w:pPr>
        <w:pageBreakBefore w:val="0"/>
        <w:widowControl w:val="0"/>
        <w:spacing w:line="400" w:lineRule="exact"/>
        <w:ind w:left="0" w:firstLine="48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履约保证金退还的条件：按以下方式实行：</w:t>
      </w:r>
    </w:p>
    <w:p w14:paraId="77F54409">
      <w:pPr>
        <w:pageBreakBefore w:val="0"/>
        <w:widowControl w:val="0"/>
        <w:spacing w:line="400" w:lineRule="exact"/>
        <w:ind w:left="0" w:firstLine="48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服务类项目，项目履约期满评价合格，出具</w:t>
      </w:r>
      <w:r>
        <w:rPr>
          <w:rFonts w:hint="eastAsia" w:ascii="宋体" w:hAnsi="宋体" w:eastAsia="宋体" w:cs="宋体"/>
          <w:bCs/>
          <w:color w:val="auto"/>
          <w:sz w:val="24"/>
          <w:szCs w:val="24"/>
        </w:rPr>
        <w:t>验收报告（</w:t>
      </w:r>
      <w:r>
        <w:rPr>
          <w:rFonts w:hint="eastAsia" w:ascii="宋体" w:hAnsi="宋体" w:eastAsia="宋体" w:cs="宋体"/>
          <w:bCs/>
          <w:color w:val="auto"/>
          <w:sz w:val="24"/>
          <w:szCs w:val="24"/>
          <w:lang w:val="zh-CN"/>
        </w:rPr>
        <w:t>履约评价报告</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val="zh-CN"/>
        </w:rPr>
        <w:t>及履约保证金收据申请退付；</w:t>
      </w:r>
    </w:p>
    <w:p w14:paraId="7B072E3B">
      <w:pPr>
        <w:pageBreakBefore w:val="0"/>
        <w:widowControl w:val="0"/>
        <w:spacing w:line="400" w:lineRule="exact"/>
        <w:ind w:left="0" w:firstLine="48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履约保证金退还时间：采购单位收到投标人退付申请后5个工作日内退还；</w:t>
      </w:r>
    </w:p>
    <w:p w14:paraId="1D248183">
      <w:pPr>
        <w:pageBreakBefore w:val="0"/>
        <w:widowControl w:val="0"/>
        <w:spacing w:line="400" w:lineRule="exact"/>
        <w:ind w:left="0" w:firstLine="48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履约保证金不予退还情形：除不可抗力外，投标人不履行与采购人订立的采购合同的，履约保证金不予退还，给采购人造成的损失超过履约保证金数额的，还应当对超过部分予以赔偿；</w:t>
      </w:r>
    </w:p>
    <w:p w14:paraId="7A7DA66B">
      <w:pPr>
        <w:pageBreakBefore w:val="0"/>
        <w:widowControl w:val="0"/>
        <w:spacing w:line="400" w:lineRule="exact"/>
        <w:ind w:left="0" w:firstLine="48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逾期退还履约保证金的违约责任：除应当退还履约保证金外，还应当按中国人民银行同期贷款基准利率支付超期资金占用费，但因投标人自身原因导致无法及时退还的除外。</w:t>
      </w:r>
    </w:p>
    <w:p w14:paraId="0EA27CF7">
      <w:pPr>
        <w:pageBreakBefore w:val="0"/>
        <w:widowControl w:val="0"/>
        <w:spacing w:line="400" w:lineRule="exact"/>
        <w:ind w:left="0"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本项目支持和鼓励供应商使用江苏政府采购电子履约保函（保险）代替缴纳履约保证金。关于办理流程、偿付等内容详见江苏省政府采购网《关于在全省政府采购领域推行电子履约保函(保险) 的通知》 (苏财购﹝2023﹞150号)。</w:t>
      </w:r>
    </w:p>
    <w:p w14:paraId="7B6D3747">
      <w:pPr>
        <w:pStyle w:val="202"/>
        <w:pageBreakBefore w:val="0"/>
        <w:widowControl w:val="0"/>
        <w:spacing w:before="0" w:after="0" w:line="400" w:lineRule="exact"/>
        <w:ind w:left="0" w:firstLine="480"/>
        <w:jc w:val="left"/>
        <w:rPr>
          <w:rFonts w:hint="eastAsia" w:ascii="宋体" w:hAnsi="宋体" w:eastAsia="宋体" w:cs="宋体"/>
          <w:b w:val="0"/>
          <w:color w:val="auto"/>
          <w:sz w:val="24"/>
          <w:szCs w:val="24"/>
        </w:rPr>
      </w:pPr>
      <w:r>
        <w:rPr>
          <w:rFonts w:hint="eastAsia" w:ascii="宋体" w:hAnsi="宋体" w:eastAsia="宋体" w:cs="宋体"/>
          <w:b w:val="0"/>
          <w:color w:val="auto"/>
          <w:sz w:val="24"/>
          <w:szCs w:val="24"/>
        </w:rPr>
        <w:t>31、服务（包含与服务相关的货物）的追加</w:t>
      </w:r>
    </w:p>
    <w:p w14:paraId="524DC962">
      <w:pPr>
        <w:pageBreakBefore w:val="0"/>
        <w:widowControl w:val="0"/>
        <w:spacing w:line="400" w:lineRule="exact"/>
        <w:ind w:left="0"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31.1政府采购合同履行中，采购人需追加与合同标的相同的服务（包含与服务相关的货物），在不改变合同其他条款的前提下，可以与中标人协商签订补充合同，但所有补充合同的采购金额不超过原合同金额10%。</w:t>
      </w:r>
      <w:bookmarkEnd w:id="177"/>
      <w:bookmarkEnd w:id="178"/>
      <w:bookmarkEnd w:id="179"/>
    </w:p>
    <w:p w14:paraId="0C0442CD">
      <w:pPr>
        <w:pStyle w:val="202"/>
        <w:pageBreakBefore w:val="0"/>
        <w:widowControl w:val="0"/>
        <w:spacing w:before="0" w:after="0" w:line="400" w:lineRule="exact"/>
        <w:ind w:left="0" w:firstLine="480"/>
        <w:jc w:val="left"/>
        <w:rPr>
          <w:rFonts w:hint="eastAsia" w:ascii="宋体" w:hAnsi="宋体" w:eastAsia="宋体" w:cs="宋体"/>
          <w:b w:val="0"/>
          <w:color w:val="auto"/>
          <w:sz w:val="24"/>
          <w:szCs w:val="24"/>
        </w:rPr>
      </w:pPr>
      <w:bookmarkStart w:id="180" w:name="_Toc16938558"/>
      <w:bookmarkStart w:id="181" w:name="_Toc20823314"/>
      <w:bookmarkStart w:id="182" w:name="_Toc120614221"/>
      <w:bookmarkStart w:id="183" w:name="_Toc479757207"/>
      <w:bookmarkStart w:id="184" w:name="_Toc513029242"/>
      <w:r>
        <w:rPr>
          <w:rFonts w:hint="eastAsia" w:ascii="宋体" w:hAnsi="宋体" w:eastAsia="宋体" w:cs="宋体"/>
          <w:b w:val="0"/>
          <w:color w:val="auto"/>
          <w:sz w:val="24"/>
          <w:szCs w:val="24"/>
        </w:rPr>
        <w:t>32、政府采购履约资金扶持政策</w:t>
      </w:r>
    </w:p>
    <w:p w14:paraId="5C14380D">
      <w:pPr>
        <w:pageBreakBefore w:val="0"/>
        <w:widowControl w:val="0"/>
        <w:spacing w:line="400" w:lineRule="exact"/>
        <w:ind w:left="0" w:firstLine="48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rPr>
        <w:t>32.1依</w:t>
      </w:r>
      <w:r>
        <w:rPr>
          <w:rFonts w:hint="eastAsia" w:ascii="宋体" w:hAnsi="宋体" w:eastAsia="宋体" w:cs="宋体"/>
          <w:bCs/>
          <w:color w:val="auto"/>
          <w:sz w:val="24"/>
          <w:szCs w:val="24"/>
          <w:lang w:val="zh-CN"/>
        </w:rPr>
        <w:t>据《关于转发江苏省财政厅、中国人民银行南京分行&lt;关于深入推进政府采购线上合同信用融资工作的通知&gt;的通知》（通财购〔2021〕41号），对政府采购中标投标人提出“政采贷”融资申请的，采购人应当依法按时在“苏采云”系统中录入并公开政府采购合同信息，勾选“融资贷款”选项，并在合同签订、验收付款、账号维护等环节提供必要便利，持续降低参与政府采购的中小企业融资成本。中标投标人如需获得合同信用融资支持，可凭政府采购合同办理“政采贷”融资贷款。</w:t>
      </w:r>
    </w:p>
    <w:p w14:paraId="073E43F0">
      <w:pPr>
        <w:pStyle w:val="202"/>
        <w:pageBreakBefore w:val="0"/>
        <w:widowControl w:val="0"/>
        <w:spacing w:before="0" w:after="0" w:line="400" w:lineRule="exact"/>
        <w:ind w:left="0" w:firstLine="482"/>
        <w:jc w:val="left"/>
        <w:rPr>
          <w:rFonts w:hint="eastAsia" w:ascii="宋体" w:hAnsi="宋体" w:eastAsia="宋体" w:cs="宋体"/>
          <w:color w:val="auto"/>
          <w:sz w:val="24"/>
          <w:szCs w:val="24"/>
        </w:rPr>
      </w:pPr>
      <w:r>
        <w:rPr>
          <w:rFonts w:hint="eastAsia" w:ascii="宋体" w:hAnsi="宋体" w:eastAsia="宋体" w:cs="宋体"/>
          <w:color w:val="auto"/>
          <w:sz w:val="24"/>
          <w:szCs w:val="24"/>
        </w:rPr>
        <w:t>33、验收及付款</w:t>
      </w:r>
    </w:p>
    <w:p w14:paraId="2F5D85F4">
      <w:pPr>
        <w:keepNext w:val="0"/>
        <w:keepLines w:val="0"/>
        <w:pageBreakBefore w:val="0"/>
        <w:widowControl w:val="0"/>
        <w:kinsoku/>
        <w:wordWrap/>
        <w:overflowPunct/>
        <w:topLinePunct w:val="0"/>
        <w:autoSpaceDE/>
        <w:autoSpaceDN/>
        <w:bidi w:val="0"/>
        <w:adjustRightInd/>
        <w:snapToGrid/>
        <w:spacing w:line="360" w:lineRule="exact"/>
        <w:ind w:left="0" w:firstLine="480"/>
        <w:jc w:val="left"/>
        <w:textAlignment w:val="auto"/>
        <w:rPr>
          <w:rFonts w:hint="eastAsia" w:ascii="宋体" w:hAnsi="宋体" w:eastAsia="宋体" w:cs="宋体"/>
          <w:bCs/>
          <w:color w:val="auto"/>
          <w:sz w:val="24"/>
          <w:szCs w:val="24"/>
          <w:highlight w:val="white"/>
        </w:rPr>
      </w:pPr>
      <w:r>
        <w:rPr>
          <w:rFonts w:hint="eastAsia" w:ascii="宋体" w:hAnsi="宋体" w:eastAsia="宋体" w:cs="宋体"/>
          <w:bCs/>
          <w:color w:val="auto"/>
          <w:sz w:val="24"/>
          <w:szCs w:val="24"/>
          <w:highlight w:val="white"/>
        </w:rPr>
        <w:t>33.1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8E48BCB">
      <w:pPr>
        <w:keepNext w:val="0"/>
        <w:keepLines w:val="0"/>
        <w:pageBreakBefore w:val="0"/>
        <w:widowControl w:val="0"/>
        <w:kinsoku/>
        <w:wordWrap/>
        <w:overflowPunct/>
        <w:topLinePunct w:val="0"/>
        <w:autoSpaceDE/>
        <w:autoSpaceDN/>
        <w:bidi w:val="0"/>
        <w:adjustRightInd/>
        <w:snapToGrid/>
        <w:spacing w:line="360" w:lineRule="exact"/>
        <w:ind w:left="0" w:firstLine="480"/>
        <w:jc w:val="left"/>
        <w:textAlignment w:val="auto"/>
        <w:rPr>
          <w:rFonts w:hint="eastAsia" w:ascii="宋体" w:hAnsi="宋体" w:eastAsia="宋体" w:cs="宋体"/>
          <w:bCs/>
          <w:color w:val="auto"/>
          <w:sz w:val="24"/>
          <w:szCs w:val="24"/>
          <w:highlight w:val="white"/>
        </w:rPr>
      </w:pPr>
      <w:r>
        <w:rPr>
          <w:rFonts w:hint="eastAsia" w:ascii="宋体" w:hAnsi="宋体" w:eastAsia="宋体" w:cs="宋体"/>
          <w:bCs/>
          <w:color w:val="auto"/>
          <w:sz w:val="24"/>
          <w:szCs w:val="24"/>
          <w:highlight w:val="white"/>
        </w:rPr>
        <w:t>33.2采购人可以邀请参加本项目的其他投标人或者第三方机构参与验收。参与验收的投标人或者第三方机构的意见作为验收书的参考资料一并存档。</w:t>
      </w:r>
    </w:p>
    <w:p w14:paraId="77BEF83D">
      <w:pPr>
        <w:keepNext w:val="0"/>
        <w:keepLines w:val="0"/>
        <w:pageBreakBefore w:val="0"/>
        <w:widowControl w:val="0"/>
        <w:kinsoku/>
        <w:wordWrap/>
        <w:overflowPunct/>
        <w:topLinePunct w:val="0"/>
        <w:autoSpaceDE/>
        <w:autoSpaceDN/>
        <w:bidi w:val="0"/>
        <w:adjustRightInd/>
        <w:snapToGrid/>
        <w:spacing w:line="360" w:lineRule="exact"/>
        <w:ind w:left="0" w:firstLine="480"/>
        <w:jc w:val="left"/>
        <w:textAlignment w:val="auto"/>
        <w:rPr>
          <w:rFonts w:hint="eastAsia" w:ascii="宋体" w:hAnsi="宋体" w:eastAsia="宋体" w:cs="宋体"/>
          <w:bCs/>
          <w:color w:val="auto"/>
          <w:sz w:val="24"/>
          <w:szCs w:val="24"/>
          <w:highlight w:val="white"/>
        </w:rPr>
      </w:pPr>
      <w:r>
        <w:rPr>
          <w:rFonts w:hint="eastAsia" w:ascii="宋体" w:hAnsi="宋体" w:eastAsia="宋体" w:cs="宋体"/>
          <w:bCs/>
          <w:color w:val="auto"/>
          <w:sz w:val="24"/>
          <w:szCs w:val="24"/>
          <w:highlight w:val="white"/>
        </w:rPr>
        <w:t>33.3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B783ACA">
      <w:pPr>
        <w:keepNext w:val="0"/>
        <w:keepLines w:val="0"/>
        <w:pageBreakBefore w:val="0"/>
        <w:widowControl w:val="0"/>
        <w:kinsoku/>
        <w:wordWrap/>
        <w:overflowPunct/>
        <w:topLinePunct w:val="0"/>
        <w:autoSpaceDE/>
        <w:autoSpaceDN/>
        <w:bidi w:val="0"/>
        <w:adjustRightInd/>
        <w:snapToGrid/>
        <w:spacing w:line="360" w:lineRule="exact"/>
        <w:ind w:left="0" w:firstLine="480"/>
        <w:jc w:val="lef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highlight w:val="white"/>
        </w:rPr>
        <w:t>33.4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08ACB8D">
      <w:pPr>
        <w:keepNext w:val="0"/>
        <w:keepLines w:val="0"/>
        <w:pageBreakBefore w:val="0"/>
        <w:widowControl w:val="0"/>
        <w:kinsoku/>
        <w:wordWrap/>
        <w:overflowPunct/>
        <w:topLinePunct w:val="0"/>
        <w:autoSpaceDE/>
        <w:autoSpaceDN/>
        <w:bidi w:val="0"/>
        <w:adjustRightInd/>
        <w:snapToGrid/>
        <w:spacing w:line="360" w:lineRule="exact"/>
        <w:ind w:left="0" w:firstLine="482"/>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highlight w:val="white"/>
        </w:rPr>
        <w:t>34、付款</w:t>
      </w:r>
    </w:p>
    <w:p w14:paraId="0F951600">
      <w:pPr>
        <w:keepNext w:val="0"/>
        <w:keepLines w:val="0"/>
        <w:pageBreakBefore w:val="0"/>
        <w:widowControl w:val="0"/>
        <w:kinsoku/>
        <w:wordWrap/>
        <w:overflowPunct/>
        <w:topLinePunct w:val="0"/>
        <w:autoSpaceDE/>
        <w:autoSpaceDN/>
        <w:bidi w:val="0"/>
        <w:adjustRightInd/>
        <w:snapToGrid/>
        <w:spacing w:line="360" w:lineRule="exact"/>
        <w:ind w:left="0" w:firstLine="480"/>
        <w:jc w:val="left"/>
        <w:textAlignment w:val="auto"/>
        <w:rPr>
          <w:rFonts w:hint="eastAsia" w:ascii="宋体" w:hAnsi="宋体" w:eastAsia="宋体" w:cs="宋体"/>
          <w:bCs/>
          <w:color w:val="auto"/>
          <w:sz w:val="24"/>
          <w:szCs w:val="24"/>
          <w:highlight w:val="white"/>
        </w:rPr>
      </w:pPr>
      <w:r>
        <w:rPr>
          <w:rFonts w:hint="eastAsia" w:ascii="宋体" w:hAnsi="宋体" w:eastAsia="宋体" w:cs="宋体"/>
          <w:bCs/>
          <w:color w:val="auto"/>
          <w:sz w:val="24"/>
          <w:szCs w:val="24"/>
          <w:highlight w:val="white"/>
        </w:rPr>
        <w:t xml:space="preserve"> </w:t>
      </w:r>
      <w:bookmarkStart w:id="185" w:name="EBec7f529f50594afd871ea9378869e456"/>
      <w:r>
        <w:rPr>
          <w:rFonts w:hint="eastAsia" w:ascii="宋体" w:hAnsi="宋体" w:eastAsia="宋体" w:cs="宋体"/>
          <w:bCs/>
          <w:color w:val="auto"/>
          <w:sz w:val="24"/>
          <w:szCs w:val="24"/>
          <w:highlight w:val="white"/>
        </w:rPr>
        <w:t>按照以下确定的付款方式，采购人及时办理付款手续。对于满足合同约定支付条件的，自收到发票后10个工作日内将资金支付到合同约定的供应商账户或供应商数字人民币账户。</w:t>
      </w:r>
      <w:bookmarkEnd w:id="185"/>
    </w:p>
    <w:p w14:paraId="62438415">
      <w:pPr>
        <w:keepNext w:val="0"/>
        <w:keepLines w:val="0"/>
        <w:pageBreakBefore w:val="0"/>
        <w:widowControl w:val="0"/>
        <w:kinsoku/>
        <w:wordWrap/>
        <w:overflowPunct/>
        <w:topLinePunct w:val="0"/>
        <w:autoSpaceDE/>
        <w:autoSpaceDN/>
        <w:bidi w:val="0"/>
        <w:adjustRightInd/>
        <w:snapToGrid/>
        <w:spacing w:line="360" w:lineRule="exact"/>
        <w:ind w:left="0" w:firstLine="480"/>
        <w:jc w:val="left"/>
        <w:textAlignment w:val="auto"/>
        <w:rPr>
          <w:rFonts w:hint="eastAsia" w:ascii="宋体" w:hAnsi="宋体" w:eastAsia="宋体" w:cs="宋体"/>
          <w:bCs/>
          <w:color w:val="auto"/>
          <w:sz w:val="24"/>
          <w:szCs w:val="24"/>
          <w:highlight w:val="white"/>
        </w:rPr>
      </w:pPr>
      <w:r>
        <w:rPr>
          <w:rFonts w:hint="eastAsia" w:ascii="宋体" w:hAnsi="宋体" w:eastAsia="宋体" w:cs="宋体"/>
          <w:bCs/>
          <w:color w:val="auto"/>
          <w:sz w:val="24"/>
          <w:szCs w:val="24"/>
          <w:highlight w:val="white"/>
        </w:rPr>
        <w:t>预付款：合同金额的</w:t>
      </w:r>
      <w:bookmarkStart w:id="186" w:name="EBe373fd05aa034cc3a1a41aadf8509e01"/>
      <w:r>
        <w:rPr>
          <w:rFonts w:hint="eastAsia" w:ascii="宋体" w:hAnsi="宋体" w:eastAsia="宋体" w:cs="宋体"/>
          <w:bCs/>
          <w:color w:val="auto"/>
          <w:sz w:val="24"/>
          <w:szCs w:val="24"/>
          <w:highlight w:val="none"/>
          <w:u w:val="single"/>
        </w:rPr>
        <w:t xml:space="preserve">  10  </w:t>
      </w:r>
      <w:r>
        <w:rPr>
          <w:rFonts w:hint="eastAsia" w:ascii="宋体" w:hAnsi="宋体" w:eastAsia="宋体" w:cs="宋体"/>
          <w:bCs/>
          <w:color w:val="auto"/>
          <w:sz w:val="24"/>
          <w:szCs w:val="24"/>
          <w:highlight w:val="white"/>
        </w:rPr>
        <w:t>%</w:t>
      </w:r>
      <w:bookmarkEnd w:id="186"/>
      <w:r>
        <w:rPr>
          <w:rFonts w:hint="eastAsia" w:ascii="宋体" w:hAnsi="宋体" w:eastAsia="宋体" w:cs="宋体"/>
          <w:bCs/>
          <w:color w:val="auto"/>
          <w:sz w:val="24"/>
          <w:szCs w:val="24"/>
          <w:highlight w:val="white"/>
        </w:rPr>
        <w:t>，合同签订后按规定支付；</w:t>
      </w:r>
      <w:r>
        <w:rPr>
          <w:rFonts w:hint="eastAsia" w:ascii="宋体" w:hAnsi="宋体" w:eastAsia="宋体" w:cs="宋体"/>
          <w:color w:val="auto"/>
          <w:sz w:val="24"/>
          <w:szCs w:val="24"/>
          <w:highlight w:val="white"/>
        </w:rPr>
        <w:t xml:space="preserve"> </w:t>
      </w:r>
      <w:r>
        <w:rPr>
          <w:rFonts w:hint="eastAsia" w:ascii="宋体" w:hAnsi="宋体" w:eastAsia="宋体" w:cs="宋体"/>
          <w:bCs/>
          <w:color w:val="auto"/>
          <w:sz w:val="24"/>
          <w:szCs w:val="24"/>
          <w:highlight w:val="white"/>
        </w:rPr>
        <w:t>（支付预付款同时承包人须向发包人提供同比例银行保函）。</w:t>
      </w:r>
    </w:p>
    <w:p w14:paraId="0877201F">
      <w:pPr>
        <w:keepNext w:val="0"/>
        <w:keepLines w:val="0"/>
        <w:pageBreakBefore w:val="0"/>
        <w:widowControl w:val="0"/>
        <w:kinsoku/>
        <w:wordWrap/>
        <w:overflowPunct/>
        <w:topLinePunct w:val="0"/>
        <w:autoSpaceDE/>
        <w:autoSpaceDN/>
        <w:bidi w:val="0"/>
        <w:adjustRightInd/>
        <w:snapToGrid/>
        <w:spacing w:line="360" w:lineRule="exact"/>
        <w:ind w:left="0" w:firstLine="482"/>
        <w:jc w:val="left"/>
        <w:textAlignment w:val="auto"/>
        <w:rPr>
          <w:rFonts w:hint="eastAsia" w:ascii="宋体" w:hAnsi="宋体" w:eastAsia="宋体" w:cs="宋体"/>
          <w:bCs/>
          <w:color w:val="auto"/>
          <w:sz w:val="24"/>
          <w:szCs w:val="24"/>
          <w:highlight w:val="white"/>
        </w:rPr>
      </w:pPr>
      <w:r>
        <w:rPr>
          <w:rFonts w:hint="eastAsia" w:ascii="宋体" w:hAnsi="宋体" w:eastAsia="宋体" w:cs="宋体"/>
          <w:b/>
          <w:bCs w:val="0"/>
          <w:color w:val="auto"/>
          <w:sz w:val="24"/>
          <w:szCs w:val="24"/>
          <w:highlight w:val="white"/>
        </w:rPr>
        <w:t>进度款：</w:t>
      </w:r>
      <w:bookmarkStart w:id="187" w:name="EB5e42c1c1be704ecfa15d9f8f317e8f12"/>
      <w:bookmarkEnd w:id="187"/>
      <w:bookmarkStart w:id="188" w:name="EB11398ec6946f4019bc4c35221e27b04f"/>
      <w:r>
        <w:rPr>
          <w:rFonts w:hint="eastAsia" w:ascii="宋体" w:hAnsi="宋体" w:eastAsia="宋体" w:cs="宋体"/>
          <w:b/>
          <w:bCs w:val="0"/>
          <w:color w:val="auto"/>
          <w:sz w:val="24"/>
          <w:szCs w:val="24"/>
          <w:highlight w:val="white"/>
        </w:rPr>
        <w:t>施工单位进场，完成工程量的100%，经验收合格后，付至工程合同价款总额的80%；工程完工验收合格后安排结算审计，审计结算后，</w:t>
      </w:r>
      <w:r>
        <w:rPr>
          <w:rFonts w:hint="eastAsia" w:ascii="宋体" w:hAnsi="宋体" w:cs="宋体"/>
          <w:b/>
          <w:bCs w:val="0"/>
          <w:color w:val="auto"/>
          <w:sz w:val="24"/>
          <w:szCs w:val="24"/>
          <w:highlight w:val="white"/>
          <w:lang w:val="en-US" w:eastAsia="zh-CN"/>
        </w:rPr>
        <w:t>按审计结算价</w:t>
      </w:r>
      <w:r>
        <w:rPr>
          <w:rFonts w:hint="eastAsia" w:ascii="宋体" w:hAnsi="宋体" w:eastAsia="宋体" w:cs="宋体"/>
          <w:b/>
          <w:bCs w:val="0"/>
          <w:color w:val="auto"/>
          <w:sz w:val="24"/>
          <w:szCs w:val="24"/>
          <w:highlight w:val="white"/>
        </w:rPr>
        <w:t>付至</w:t>
      </w:r>
      <w:r>
        <w:rPr>
          <w:rFonts w:hint="eastAsia" w:ascii="宋体" w:hAnsi="宋体" w:cs="宋体"/>
          <w:b/>
          <w:bCs w:val="0"/>
          <w:color w:val="auto"/>
          <w:sz w:val="24"/>
          <w:szCs w:val="24"/>
          <w:highlight w:val="white"/>
          <w:lang w:val="en-US" w:eastAsia="zh-CN"/>
        </w:rPr>
        <w:t>97%</w:t>
      </w:r>
      <w:r>
        <w:rPr>
          <w:rFonts w:hint="eastAsia" w:ascii="宋体" w:hAnsi="宋体" w:cs="宋体"/>
          <w:b/>
          <w:bCs w:val="0"/>
          <w:color w:val="auto"/>
          <w:sz w:val="24"/>
          <w:szCs w:val="24"/>
          <w:highlight w:val="white"/>
          <w:lang w:eastAsia="zh-CN"/>
        </w:rPr>
        <w:t>，</w:t>
      </w:r>
      <w:r>
        <w:rPr>
          <w:rFonts w:hint="eastAsia" w:ascii="宋体" w:hAnsi="宋体" w:cs="宋体"/>
          <w:b/>
          <w:bCs w:val="0"/>
          <w:color w:val="auto"/>
          <w:sz w:val="24"/>
          <w:szCs w:val="24"/>
          <w:highlight w:val="white"/>
          <w:lang w:val="en-US" w:eastAsia="zh-CN"/>
        </w:rPr>
        <w:t>满两年</w:t>
      </w:r>
      <w:r>
        <w:rPr>
          <w:rFonts w:hint="eastAsia" w:ascii="宋体" w:hAnsi="宋体" w:eastAsia="宋体" w:cs="宋体"/>
          <w:b/>
          <w:bCs w:val="0"/>
          <w:color w:val="auto"/>
          <w:sz w:val="24"/>
          <w:szCs w:val="24"/>
          <w:highlight w:val="white"/>
        </w:rPr>
        <w:t>后按审计结算价付清余款</w:t>
      </w:r>
      <w:r>
        <w:rPr>
          <w:rFonts w:hint="eastAsia" w:ascii="宋体" w:hAnsi="宋体" w:cs="宋体"/>
          <w:b/>
          <w:bCs w:val="0"/>
          <w:color w:val="auto"/>
          <w:sz w:val="24"/>
          <w:szCs w:val="24"/>
          <w:highlight w:val="white"/>
          <w:lang w:eastAsia="zh-CN"/>
        </w:rPr>
        <w:t>。</w:t>
      </w:r>
      <w:r>
        <w:rPr>
          <w:rFonts w:hint="eastAsia" w:ascii="宋体" w:hAnsi="宋体" w:eastAsia="宋体" w:cs="宋体"/>
          <w:b/>
          <w:bCs w:val="0"/>
          <w:color w:val="auto"/>
          <w:sz w:val="24"/>
          <w:szCs w:val="24"/>
          <w:highlight w:val="white"/>
        </w:rPr>
        <w:t>注：①在签订合同时，中标人明确表示无需预付款或者主动要求降低预付款比例的金额，采购人可不适用预付款规定。</w:t>
      </w:r>
      <w:bookmarkEnd w:id="188"/>
      <w:r>
        <w:rPr>
          <w:rFonts w:hint="eastAsia" w:ascii="宋体" w:hAnsi="宋体" w:eastAsia="宋体" w:cs="宋体"/>
          <w:b/>
          <w:bCs w:val="0"/>
          <w:color w:val="auto"/>
          <w:sz w:val="24"/>
          <w:szCs w:val="24"/>
          <w:highlight w:val="white"/>
        </w:rPr>
        <w:t>②上述费用合同价为合同总价扣除运营期的污水处理费。</w:t>
      </w:r>
    </w:p>
    <w:p w14:paraId="6CC0B9EA">
      <w:pPr>
        <w:spacing w:line="560" w:lineRule="exact"/>
        <w:ind w:firstLine="482"/>
        <w:rPr>
          <w:rFonts w:hint="eastAsia"/>
          <w:bCs/>
          <w:color w:val="auto"/>
          <w:sz w:val="24"/>
          <w:highlight w:val="white"/>
        </w:rPr>
      </w:pPr>
    </w:p>
    <w:p w14:paraId="0865E1E1">
      <w:pPr>
        <w:pStyle w:val="198"/>
        <w:rPr>
          <w:rFonts w:hint="eastAsia" w:ascii="Times New Roman" w:eastAsia="黑体"/>
          <w:bCs/>
          <w:sz w:val="44"/>
        </w:rPr>
      </w:pPr>
      <w:r>
        <w:rPr>
          <w:rFonts w:hint="eastAsia" w:ascii="Times New Roman" w:eastAsia="黑体"/>
          <w:bCs/>
          <w:color w:val="auto"/>
          <w:sz w:val="44"/>
        </w:rPr>
        <w:br w:type="page" w:clear="all"/>
      </w:r>
      <w:r>
        <w:rPr>
          <w:rFonts w:hint="eastAsia" w:ascii="Times New Roman" w:eastAsia="黑体"/>
          <w:bCs/>
          <w:sz w:val="44"/>
        </w:rPr>
        <w:t>第三章  合同</w:t>
      </w:r>
      <w:bookmarkEnd w:id="180"/>
      <w:bookmarkEnd w:id="181"/>
      <w:bookmarkEnd w:id="182"/>
      <w:bookmarkEnd w:id="183"/>
      <w:bookmarkEnd w:id="184"/>
      <w:r>
        <w:rPr>
          <w:rFonts w:hint="eastAsia" w:ascii="Times New Roman" w:eastAsia="黑体"/>
          <w:bCs/>
          <w:sz w:val="44"/>
        </w:rPr>
        <w:t>文本</w:t>
      </w:r>
    </w:p>
    <w:p w14:paraId="096C5B0E">
      <w:pPr>
        <w:spacing w:line="500" w:lineRule="exact"/>
        <w:ind w:firstLine="480"/>
        <w:rPr>
          <w:rFonts w:hint="eastAsia"/>
          <w:bCs/>
          <w:sz w:val="24"/>
        </w:rPr>
      </w:pPr>
      <w:bookmarkStart w:id="189" w:name="_Toc20823315"/>
      <w:bookmarkStart w:id="190" w:name="_Toc16938559"/>
      <w:bookmarkStart w:id="191" w:name="_Toc513029243"/>
      <w:r>
        <w:rPr>
          <w:rFonts w:hint="eastAsia"/>
          <w:bCs/>
          <w:sz w:val="24"/>
        </w:rPr>
        <w:t>以下为中标后签定本项目合同的通用条款，中标人不得提出实质性的修改。</w:t>
      </w:r>
      <w:bookmarkEnd w:id="189"/>
      <w:bookmarkEnd w:id="190"/>
      <w:bookmarkEnd w:id="191"/>
    </w:p>
    <w:p w14:paraId="4D219A50">
      <w:pPr>
        <w:spacing w:before="120" w:after="120" w:line="360" w:lineRule="exact"/>
        <w:jc w:val="center"/>
        <w:rPr>
          <w:rFonts w:eastAsia="黑体"/>
          <w:sz w:val="28"/>
          <w:szCs w:val="28"/>
        </w:rPr>
      </w:pPr>
      <w:bookmarkStart w:id="192" w:name="EB8042860f1a324a1a921dcf3799078356"/>
      <w:bookmarkStart w:id="193" w:name="_Hlt16619350"/>
      <w:bookmarkStart w:id="194" w:name="_Toc16938590"/>
      <w:bookmarkStart w:id="195" w:name="_Toc120614244"/>
      <w:bookmarkStart w:id="196" w:name="_Toc20823346"/>
      <w:bookmarkStart w:id="197" w:name="_Toc462564139"/>
      <w:bookmarkStart w:id="198" w:name="_Toc479757211"/>
    </w:p>
    <w:p w14:paraId="73B85DE7">
      <w:pPr>
        <w:spacing w:before="120" w:after="120" w:line="360" w:lineRule="exact"/>
        <w:jc w:val="center"/>
        <w:rPr>
          <w:rFonts w:eastAsia="黑体"/>
          <w:sz w:val="28"/>
          <w:szCs w:val="28"/>
          <w:highlight w:val="red"/>
        </w:rPr>
      </w:pPr>
    </w:p>
    <w:p w14:paraId="266D49CA">
      <w:pPr>
        <w:pStyle w:val="361"/>
        <w:jc w:val="center"/>
        <w:rPr>
          <w:rFonts w:eastAsia="华文中宋"/>
          <w:b/>
          <w:color w:val="000000"/>
          <w:sz w:val="52"/>
          <w:szCs w:val="52"/>
        </w:rPr>
      </w:pPr>
    </w:p>
    <w:p w14:paraId="1EB459CB">
      <w:pPr>
        <w:pStyle w:val="361"/>
        <w:jc w:val="center"/>
        <w:rPr>
          <w:rFonts w:eastAsia="华文中宋"/>
          <w:b/>
          <w:color w:val="000000"/>
          <w:sz w:val="52"/>
          <w:szCs w:val="52"/>
        </w:rPr>
      </w:pPr>
    </w:p>
    <w:p w14:paraId="5F7A58F6">
      <w:pPr>
        <w:pStyle w:val="361"/>
        <w:jc w:val="center"/>
        <w:rPr>
          <w:rFonts w:eastAsia="华文中宋"/>
          <w:b/>
          <w:color w:val="000000"/>
          <w:sz w:val="52"/>
          <w:szCs w:val="52"/>
        </w:rPr>
      </w:pPr>
      <w:r>
        <w:rPr>
          <w:rFonts w:hint="eastAsia" w:eastAsia="华文中宋"/>
          <w:b/>
          <w:color w:val="000000"/>
          <w:sz w:val="52"/>
          <w:szCs w:val="52"/>
          <w:lang w:eastAsia="zh-CN"/>
        </w:rPr>
        <w:t>沭阳县耿圩镇污水处理厂提质提标项目</w:t>
      </w:r>
      <w:r>
        <w:rPr>
          <w:rFonts w:hint="eastAsia" w:eastAsia="华文中宋"/>
          <w:b/>
          <w:color w:val="000000"/>
          <w:sz w:val="52"/>
          <w:szCs w:val="52"/>
        </w:rPr>
        <w:t xml:space="preserve"> </w:t>
      </w:r>
    </w:p>
    <w:p w14:paraId="3A160EDC">
      <w:pPr>
        <w:pStyle w:val="361"/>
        <w:jc w:val="center"/>
        <w:rPr>
          <w:rFonts w:hint="eastAsia" w:ascii="新宋体" w:hAnsi="新宋体" w:eastAsia="新宋体"/>
          <w:b/>
          <w:color w:val="000000"/>
          <w:sz w:val="44"/>
          <w:szCs w:val="44"/>
          <w:lang w:eastAsia="zh-CN"/>
        </w:rPr>
      </w:pPr>
      <w:r>
        <w:rPr>
          <w:rFonts w:hint="eastAsia" w:ascii="新宋体" w:hAnsi="新宋体" w:eastAsia="新宋体"/>
          <w:b/>
          <w:color w:val="000000"/>
          <w:sz w:val="44"/>
          <w:szCs w:val="44"/>
        </w:rPr>
        <w:t>（施工、设备采购、运营一体化）项目合同</w:t>
      </w:r>
    </w:p>
    <w:p w14:paraId="78E1E28A">
      <w:pPr>
        <w:pStyle w:val="361"/>
        <w:jc w:val="center"/>
        <w:rPr>
          <w:rFonts w:hint="eastAsia" w:ascii="新宋体" w:hAnsi="新宋体" w:eastAsia="新宋体"/>
          <w:b/>
          <w:color w:val="000000"/>
          <w:sz w:val="44"/>
          <w:szCs w:val="44"/>
          <w:lang w:eastAsia="zh-CN"/>
        </w:rPr>
      </w:pPr>
    </w:p>
    <w:p w14:paraId="2D5577CF">
      <w:pPr>
        <w:pStyle w:val="361"/>
        <w:jc w:val="center"/>
        <w:rPr>
          <w:rFonts w:hint="eastAsia" w:eastAsia="华文中宋"/>
          <w:b/>
          <w:color w:val="000000"/>
          <w:sz w:val="52"/>
          <w:szCs w:val="52"/>
        </w:rPr>
      </w:pPr>
    </w:p>
    <w:p w14:paraId="74BD1F71">
      <w:pPr>
        <w:pStyle w:val="361"/>
        <w:jc w:val="center"/>
        <w:rPr>
          <w:rFonts w:eastAsia="黑体"/>
          <w:b/>
          <w:color w:val="000000"/>
          <w:sz w:val="72"/>
          <w:szCs w:val="72"/>
        </w:rPr>
      </w:pPr>
    </w:p>
    <w:p w14:paraId="6CD3563C">
      <w:pPr>
        <w:pStyle w:val="361"/>
        <w:jc w:val="center"/>
        <w:rPr>
          <w:rFonts w:eastAsia="楷体_GB2312"/>
          <w:b/>
          <w:color w:val="000000"/>
          <w:sz w:val="72"/>
          <w:szCs w:val="72"/>
        </w:rPr>
      </w:pPr>
    </w:p>
    <w:p w14:paraId="7C2B16C3">
      <w:pPr>
        <w:pStyle w:val="361"/>
        <w:jc w:val="center"/>
        <w:rPr>
          <w:rFonts w:eastAsia="楷体_GB2312"/>
          <w:b/>
          <w:color w:val="000000"/>
          <w:sz w:val="72"/>
          <w:szCs w:val="72"/>
        </w:rPr>
      </w:pPr>
    </w:p>
    <w:p w14:paraId="338D6BF0">
      <w:pPr>
        <w:pStyle w:val="361"/>
        <w:jc w:val="center"/>
        <w:rPr>
          <w:rFonts w:eastAsia="楷体_GB2312"/>
          <w:b/>
          <w:color w:val="000000"/>
          <w:sz w:val="72"/>
          <w:szCs w:val="72"/>
        </w:rPr>
      </w:pPr>
    </w:p>
    <w:p w14:paraId="240D1C49">
      <w:pPr>
        <w:pStyle w:val="361"/>
        <w:jc w:val="center"/>
        <w:rPr>
          <w:rFonts w:eastAsia="楷体_GB2312"/>
          <w:b/>
          <w:color w:val="000000"/>
          <w:sz w:val="72"/>
          <w:szCs w:val="72"/>
        </w:rPr>
      </w:pPr>
    </w:p>
    <w:p w14:paraId="51339875">
      <w:pPr>
        <w:pStyle w:val="361"/>
        <w:rPr>
          <w:b/>
          <w:color w:val="000000"/>
          <w:sz w:val="28"/>
          <w:szCs w:val="28"/>
        </w:rPr>
      </w:pPr>
    </w:p>
    <w:p w14:paraId="2D615E07">
      <w:pPr>
        <w:pStyle w:val="361"/>
        <w:spacing w:line="600" w:lineRule="exact"/>
        <w:ind w:firstLine="1124"/>
        <w:rPr>
          <w:rFonts w:hint="eastAsia"/>
          <w:b/>
          <w:color w:val="000000"/>
          <w:sz w:val="32"/>
          <w:szCs w:val="32"/>
        </w:rPr>
      </w:pPr>
      <w:r>
        <w:rPr>
          <w:rFonts w:hint="eastAsia"/>
          <w:b/>
          <w:color w:val="000000"/>
          <w:sz w:val="32"/>
          <w:szCs w:val="32"/>
        </w:rPr>
        <w:t xml:space="preserve">发包人（全称）：沭阳县住房和城乡建设局            </w:t>
      </w:r>
    </w:p>
    <w:p w14:paraId="65E24525">
      <w:pPr>
        <w:pStyle w:val="361"/>
        <w:spacing w:line="600" w:lineRule="exact"/>
        <w:ind w:firstLine="1124"/>
        <w:rPr>
          <w:rFonts w:hint="eastAsia"/>
          <w:b/>
          <w:color w:val="000000"/>
          <w:sz w:val="21"/>
          <w:szCs w:val="28"/>
        </w:rPr>
      </w:pPr>
      <w:r>
        <w:rPr>
          <w:rFonts w:hint="eastAsia"/>
          <w:b/>
          <w:color w:val="000000"/>
          <w:sz w:val="32"/>
          <w:szCs w:val="32"/>
        </w:rPr>
        <w:t xml:space="preserve">承包人（全称）：                                  </w:t>
      </w:r>
    </w:p>
    <w:p w14:paraId="2D65B808">
      <w:pPr>
        <w:keepNext w:val="0"/>
        <w:keepLines w:val="0"/>
        <w:pageBreakBefore w:val="0"/>
        <w:widowControl w:val="0"/>
        <w:kinsoku/>
        <w:wordWrap/>
        <w:overflowPunct/>
        <w:topLinePunct w:val="0"/>
        <w:autoSpaceDE/>
        <w:autoSpaceDN/>
        <w:bidi w:val="0"/>
        <w:adjustRightInd/>
        <w:snapToGrid/>
        <w:spacing w:before="361" w:beforeLines="100"/>
        <w:jc w:val="center"/>
        <w:textAlignment w:val="auto"/>
        <w:rPr>
          <w:sz w:val="21"/>
          <w:szCs w:val="21"/>
        </w:rPr>
      </w:pPr>
      <w:r>
        <w:rPr>
          <w:b/>
          <w:color w:val="000000"/>
          <w:sz w:val="36"/>
          <w:szCs w:val="36"/>
          <w:u w:val="single"/>
        </w:rPr>
        <w:t>20</w:t>
      </w:r>
      <w:r>
        <w:rPr>
          <w:rFonts w:hint="eastAsia"/>
          <w:b/>
          <w:color w:val="000000"/>
          <w:sz w:val="36"/>
          <w:szCs w:val="36"/>
          <w:u w:val="single"/>
        </w:rPr>
        <w:t>24</w:t>
      </w:r>
      <w:r>
        <w:rPr>
          <w:rFonts w:hint="eastAsia"/>
          <w:b/>
          <w:color w:val="000000"/>
          <w:sz w:val="36"/>
          <w:szCs w:val="36"/>
        </w:rPr>
        <w:t>年</w:t>
      </w:r>
      <w:r>
        <w:rPr>
          <w:b/>
          <w:color w:val="000000"/>
          <w:sz w:val="36"/>
          <w:szCs w:val="36"/>
          <w:u w:val="single"/>
        </w:rPr>
        <w:t xml:space="preserve"> </w:t>
      </w:r>
      <w:r>
        <w:rPr>
          <w:rFonts w:hint="eastAsia"/>
          <w:b/>
          <w:color w:val="000000"/>
          <w:sz w:val="36"/>
          <w:szCs w:val="36"/>
          <w:u w:val="single"/>
        </w:rPr>
        <w:t xml:space="preserve"> </w:t>
      </w:r>
      <w:r>
        <w:rPr>
          <w:b/>
          <w:color w:val="000000"/>
          <w:sz w:val="36"/>
          <w:szCs w:val="36"/>
          <w:u w:val="single"/>
        </w:rPr>
        <w:t xml:space="preserve"> </w:t>
      </w:r>
      <w:r>
        <w:rPr>
          <w:rFonts w:hint="eastAsia"/>
          <w:b/>
          <w:color w:val="000000"/>
          <w:sz w:val="36"/>
          <w:szCs w:val="36"/>
        </w:rPr>
        <w:t>月</w:t>
      </w:r>
      <w:r>
        <w:rPr>
          <w:b/>
          <w:color w:val="000000"/>
          <w:sz w:val="36"/>
          <w:szCs w:val="36"/>
          <w:u w:val="single"/>
        </w:rPr>
        <w:t xml:space="preserve">    </w:t>
      </w:r>
      <w:r>
        <w:rPr>
          <w:rFonts w:hint="eastAsia"/>
          <w:b/>
          <w:color w:val="000000"/>
          <w:sz w:val="36"/>
          <w:szCs w:val="36"/>
        </w:rPr>
        <w:t>日</w:t>
      </w:r>
    </w:p>
    <w:p w14:paraId="777AB686">
      <w:pPr>
        <w:pStyle w:val="478"/>
        <w:spacing w:line="600" w:lineRule="exact"/>
        <w:ind w:right="-210"/>
        <w:jc w:val="center"/>
        <w:rPr>
          <w:rFonts w:hint="eastAsia" w:ascii="宋体" w:hAnsi="宋体"/>
          <w:sz w:val="30"/>
          <w:szCs w:val="30"/>
        </w:rPr>
      </w:pPr>
    </w:p>
    <w:p w14:paraId="66C2807F">
      <w:pPr>
        <w:pStyle w:val="478"/>
        <w:spacing w:line="600" w:lineRule="exact"/>
        <w:ind w:right="-210"/>
        <w:jc w:val="center"/>
        <w:rPr>
          <w:rFonts w:hint="eastAsia" w:ascii="宋体" w:hAnsi="宋体"/>
          <w:sz w:val="30"/>
          <w:szCs w:val="30"/>
        </w:rPr>
      </w:pPr>
    </w:p>
    <w:p w14:paraId="020A82D4">
      <w:pPr>
        <w:pStyle w:val="478"/>
        <w:spacing w:line="600" w:lineRule="exact"/>
        <w:ind w:right="-210"/>
        <w:jc w:val="center"/>
        <w:rPr>
          <w:rFonts w:hint="eastAsia" w:ascii="宋体" w:hAnsi="宋体"/>
          <w:sz w:val="30"/>
          <w:szCs w:val="30"/>
        </w:rPr>
      </w:pPr>
    </w:p>
    <w:p w14:paraId="40404E12">
      <w:pPr>
        <w:pStyle w:val="478"/>
        <w:spacing w:line="600" w:lineRule="exact"/>
        <w:ind w:right="-210"/>
        <w:jc w:val="center"/>
        <w:rPr>
          <w:rFonts w:hint="eastAsia" w:ascii="宋体" w:hAnsi="宋体"/>
          <w:sz w:val="30"/>
          <w:szCs w:val="30"/>
        </w:rPr>
      </w:pPr>
      <w:r>
        <w:rPr>
          <w:rFonts w:hint="eastAsia" w:ascii="宋体" w:hAnsi="宋体"/>
          <w:sz w:val="30"/>
          <w:szCs w:val="30"/>
        </w:rPr>
        <w:t>第一部分 合同协议书</w:t>
      </w:r>
    </w:p>
    <w:p w14:paraId="44832D80">
      <w:pPr>
        <w:pStyle w:val="478"/>
        <w:spacing w:line="440" w:lineRule="exact"/>
        <w:ind w:firstLine="480"/>
        <w:jc w:val="left"/>
        <w:rPr>
          <w:rFonts w:hint="eastAsia" w:ascii="宋体" w:hAnsi="宋体" w:cs="宋体"/>
          <w:sz w:val="24"/>
          <w:szCs w:val="24"/>
        </w:rPr>
      </w:pPr>
      <w:r>
        <w:rPr>
          <w:rFonts w:hint="eastAsia" w:ascii="宋体" w:hAnsi="宋体" w:cs="宋体"/>
          <w:sz w:val="24"/>
          <w:szCs w:val="24"/>
        </w:rPr>
        <w:t>发包人（全称）：</w:t>
      </w:r>
      <w:r>
        <w:rPr>
          <w:rFonts w:hint="eastAsia" w:ascii="宋体" w:hAnsi="宋体" w:cs="宋体"/>
          <w:sz w:val="24"/>
          <w:szCs w:val="24"/>
          <w:u w:val="single"/>
        </w:rPr>
        <w:t xml:space="preserve">沭阳县住房和城乡建设局            </w:t>
      </w:r>
    </w:p>
    <w:p w14:paraId="75C57617">
      <w:pPr>
        <w:pStyle w:val="478"/>
        <w:spacing w:line="440" w:lineRule="exact"/>
        <w:ind w:firstLine="480"/>
        <w:jc w:val="left"/>
        <w:rPr>
          <w:rFonts w:hint="eastAsia" w:ascii="宋体" w:hAnsi="宋体" w:cs="宋体"/>
          <w:color w:val="FF0000"/>
          <w:sz w:val="24"/>
          <w:szCs w:val="24"/>
          <w:u w:val="single"/>
        </w:rPr>
      </w:pPr>
      <w:r>
        <w:rPr>
          <w:rFonts w:hint="eastAsia" w:ascii="宋体" w:hAnsi="宋体" w:cs="宋体"/>
          <w:sz w:val="24"/>
          <w:szCs w:val="24"/>
        </w:rPr>
        <w:t>承包人（全称）：</w:t>
      </w:r>
      <w:r>
        <w:rPr>
          <w:rFonts w:hint="eastAsia" w:ascii="宋体" w:hAnsi="宋体" w:cs="宋体"/>
          <w:color w:val="000000"/>
          <w:sz w:val="24"/>
          <w:szCs w:val="24"/>
          <w:u w:val="single"/>
        </w:rPr>
        <w:t xml:space="preserve">                                  </w:t>
      </w:r>
    </w:p>
    <w:p w14:paraId="0F6962E1">
      <w:pPr>
        <w:pStyle w:val="478"/>
        <w:spacing w:line="440" w:lineRule="exact"/>
        <w:ind w:firstLine="480"/>
        <w:jc w:val="left"/>
        <w:rPr>
          <w:rFonts w:hint="eastAsia" w:ascii="宋体" w:hAnsi="宋体" w:cs="宋体"/>
          <w:sz w:val="24"/>
          <w:szCs w:val="24"/>
        </w:rPr>
      </w:pPr>
      <w:r>
        <w:rPr>
          <w:rFonts w:hint="eastAsia" w:ascii="宋体" w:hAnsi="宋体" w:cs="宋体"/>
          <w:sz w:val="24"/>
          <w:szCs w:val="24"/>
        </w:rPr>
        <w:t>根据《中华人民共和国民法典》、《中华人民共和国建筑法》及有关法律规定，遵循平等、自愿、公平和诚实信用的原则，双方就</w:t>
      </w:r>
      <w:r>
        <w:rPr>
          <w:rFonts w:hint="eastAsia" w:ascii="宋体" w:hAnsi="宋体" w:cs="宋体"/>
          <w:sz w:val="24"/>
          <w:szCs w:val="24"/>
          <w:u w:val="single"/>
        </w:rPr>
        <w:t xml:space="preserve"> </w:t>
      </w:r>
      <w:r>
        <w:rPr>
          <w:rFonts w:hint="eastAsia" w:ascii="宋体" w:hAnsi="宋体" w:cs="宋体"/>
          <w:color w:val="333333"/>
          <w:sz w:val="24"/>
          <w:szCs w:val="24"/>
          <w:u w:val="single"/>
          <w:shd w:val="clear" w:color="auto" w:fill="FFFFFF"/>
          <w:lang w:eastAsia="zh-CN"/>
        </w:rPr>
        <w:t>沭阳县耿圩镇污水处理厂提质提标项目</w:t>
      </w:r>
      <w:r>
        <w:rPr>
          <w:rFonts w:hint="eastAsia" w:ascii="宋体" w:hAnsi="宋体" w:cs="宋体"/>
          <w:color w:val="333333"/>
          <w:sz w:val="24"/>
          <w:szCs w:val="24"/>
          <w:shd w:val="clear" w:color="auto" w:fill="FFFFFF"/>
        </w:rPr>
        <w:t xml:space="preserve"> </w:t>
      </w:r>
      <w:r>
        <w:rPr>
          <w:rFonts w:hint="eastAsia" w:ascii="宋体" w:hAnsi="宋体" w:cs="宋体"/>
          <w:sz w:val="24"/>
          <w:szCs w:val="24"/>
        </w:rPr>
        <w:t>施工及有关事项协商一致，共同达成如下协议：</w:t>
      </w:r>
    </w:p>
    <w:p w14:paraId="7B4A0A68">
      <w:pPr>
        <w:pStyle w:val="478"/>
        <w:spacing w:line="440" w:lineRule="exact"/>
        <w:ind w:firstLine="480"/>
        <w:jc w:val="left"/>
        <w:rPr>
          <w:rFonts w:hint="eastAsia" w:ascii="宋体" w:hAnsi="宋体" w:cs="宋体"/>
          <w:sz w:val="24"/>
          <w:szCs w:val="24"/>
        </w:rPr>
      </w:pPr>
      <w:bookmarkStart w:id="199" w:name="_Toc6040"/>
      <w:r>
        <w:rPr>
          <w:rFonts w:hint="eastAsia" w:ascii="宋体" w:hAnsi="宋体" w:cs="宋体"/>
          <w:sz w:val="24"/>
          <w:szCs w:val="24"/>
        </w:rPr>
        <w:t>一、工程概况</w:t>
      </w:r>
      <w:bookmarkEnd w:id="199"/>
    </w:p>
    <w:p w14:paraId="42C73191">
      <w:pPr>
        <w:pStyle w:val="478"/>
        <w:spacing w:line="440" w:lineRule="exact"/>
        <w:ind w:firstLine="480"/>
        <w:jc w:val="left"/>
        <w:rPr>
          <w:rFonts w:hint="eastAsia" w:ascii="宋体" w:hAnsi="宋体" w:cs="宋体"/>
          <w:sz w:val="24"/>
          <w:szCs w:val="24"/>
          <w:u w:val="single"/>
        </w:rPr>
      </w:pPr>
      <w:r>
        <w:rPr>
          <w:rFonts w:hint="eastAsia" w:ascii="宋体" w:hAnsi="宋体" w:cs="宋体"/>
          <w:bCs/>
          <w:sz w:val="24"/>
          <w:szCs w:val="24"/>
        </w:rPr>
        <w:t>1.工程名称</w:t>
      </w:r>
      <w:r>
        <w:rPr>
          <w:rFonts w:hint="eastAsia" w:ascii="宋体" w:hAnsi="宋体" w:cs="宋体"/>
          <w:sz w:val="24"/>
          <w:szCs w:val="24"/>
        </w:rPr>
        <w:t>：</w:t>
      </w:r>
      <w:r>
        <w:rPr>
          <w:rFonts w:hint="eastAsia" w:ascii="宋体" w:hAnsi="宋体" w:cs="宋体"/>
          <w:color w:val="333333"/>
          <w:sz w:val="24"/>
          <w:szCs w:val="24"/>
          <w:u w:val="single"/>
          <w:shd w:val="clear" w:color="auto" w:fill="FFFFFF"/>
          <w:lang w:eastAsia="zh-CN"/>
        </w:rPr>
        <w:t>沭阳县耿圩镇污水处理厂提质提标项目</w:t>
      </w:r>
      <w:r>
        <w:rPr>
          <w:rFonts w:hint="eastAsia" w:ascii="宋体" w:hAnsi="宋体" w:cs="宋体"/>
          <w:color w:val="333333"/>
          <w:sz w:val="24"/>
          <w:szCs w:val="24"/>
          <w:u w:val="single"/>
          <w:shd w:val="clear" w:color="auto" w:fill="FFFFFF"/>
        </w:rPr>
        <w:t xml:space="preserve">  </w:t>
      </w:r>
    </w:p>
    <w:p w14:paraId="6097FE73">
      <w:pPr>
        <w:pStyle w:val="478"/>
        <w:spacing w:line="440" w:lineRule="exact"/>
        <w:ind w:firstLine="480"/>
        <w:jc w:val="left"/>
        <w:rPr>
          <w:rFonts w:hint="eastAsia" w:ascii="宋体" w:hAnsi="宋体" w:eastAsia="宋体" w:cs="宋体"/>
          <w:sz w:val="24"/>
          <w:szCs w:val="24"/>
          <w:u w:val="single"/>
          <w:lang w:eastAsia="zh-CN"/>
        </w:rPr>
      </w:pPr>
      <w:r>
        <w:rPr>
          <w:rFonts w:hint="eastAsia" w:ascii="宋体" w:hAnsi="宋体" w:cs="宋体"/>
          <w:sz w:val="24"/>
          <w:szCs w:val="24"/>
        </w:rPr>
        <w:t>2.工程地点：</w:t>
      </w:r>
      <w:r>
        <w:rPr>
          <w:rFonts w:hint="eastAsia" w:ascii="宋体" w:hAnsi="宋体" w:cs="宋体"/>
          <w:sz w:val="24"/>
          <w:szCs w:val="24"/>
          <w:u w:val="single"/>
        </w:rPr>
        <w:t>沭阳县</w:t>
      </w:r>
      <w:r>
        <w:rPr>
          <w:rFonts w:hint="eastAsia" w:ascii="宋体" w:hAnsi="宋体" w:cs="宋体"/>
          <w:sz w:val="24"/>
          <w:szCs w:val="24"/>
          <w:u w:val="single"/>
          <w:lang w:eastAsia="zh-CN"/>
        </w:rPr>
        <w:t>耿圩镇</w:t>
      </w:r>
    </w:p>
    <w:p w14:paraId="17DE04E8">
      <w:pPr>
        <w:pStyle w:val="478"/>
        <w:spacing w:line="440" w:lineRule="exact"/>
        <w:ind w:firstLine="480"/>
        <w:jc w:val="left"/>
        <w:rPr>
          <w:rFonts w:hint="eastAsia" w:ascii="宋体" w:hAnsi="宋体" w:cs="宋体"/>
          <w:sz w:val="24"/>
          <w:szCs w:val="24"/>
          <w:u w:val="single"/>
        </w:rPr>
      </w:pPr>
      <w:r>
        <w:rPr>
          <w:rFonts w:hint="eastAsia" w:ascii="宋体" w:hAnsi="宋体" w:cs="宋体"/>
          <w:sz w:val="24"/>
          <w:szCs w:val="24"/>
        </w:rPr>
        <w:t>3.工程立项批准文号：</w:t>
      </w:r>
      <w:r>
        <w:rPr>
          <w:rFonts w:hint="eastAsia" w:ascii="宋体" w:hAnsi="宋体" w:cs="宋体"/>
          <w:sz w:val="24"/>
          <w:szCs w:val="24"/>
          <w:u w:val="single"/>
        </w:rPr>
        <w:t>/</w:t>
      </w:r>
    </w:p>
    <w:p w14:paraId="16D18189">
      <w:pPr>
        <w:pStyle w:val="478"/>
        <w:spacing w:line="440" w:lineRule="exact"/>
        <w:ind w:firstLine="480"/>
        <w:jc w:val="left"/>
        <w:rPr>
          <w:rFonts w:hint="eastAsia" w:ascii="宋体" w:hAnsi="宋体" w:cs="宋体"/>
          <w:sz w:val="24"/>
          <w:szCs w:val="24"/>
        </w:rPr>
      </w:pPr>
      <w:r>
        <w:rPr>
          <w:rFonts w:hint="eastAsia" w:ascii="宋体" w:hAnsi="宋体" w:cs="宋体"/>
          <w:sz w:val="24"/>
          <w:szCs w:val="24"/>
        </w:rPr>
        <w:t>4.资金来源：</w:t>
      </w:r>
      <w:r>
        <w:rPr>
          <w:rFonts w:hint="eastAsia" w:ascii="宋体" w:hAnsi="宋体" w:cs="宋体"/>
          <w:sz w:val="24"/>
          <w:szCs w:val="24"/>
          <w:u w:val="single"/>
        </w:rPr>
        <w:t>县财政</w:t>
      </w:r>
    </w:p>
    <w:p w14:paraId="795AFBA5">
      <w:pPr>
        <w:pStyle w:val="478"/>
        <w:spacing w:line="440" w:lineRule="exact"/>
        <w:ind w:firstLine="480"/>
        <w:jc w:val="left"/>
        <w:rPr>
          <w:rFonts w:hint="eastAsia" w:ascii="宋体" w:hAnsi="宋体" w:cs="宋体"/>
          <w:color w:val="000000"/>
          <w:sz w:val="24"/>
          <w:szCs w:val="24"/>
          <w:u w:val="single"/>
        </w:rPr>
      </w:pPr>
      <w:r>
        <w:rPr>
          <w:rFonts w:hint="eastAsia" w:ascii="宋体" w:hAnsi="宋体" w:cs="宋体"/>
          <w:sz w:val="24"/>
          <w:szCs w:val="24"/>
        </w:rPr>
        <w:t>5.工程内容:</w:t>
      </w:r>
      <w:r>
        <w:rPr>
          <w:rFonts w:hint="eastAsia" w:ascii="宋体" w:hAnsi="宋体" w:cs="宋体"/>
          <w:sz w:val="24"/>
          <w:szCs w:val="24"/>
          <w:u w:val="single"/>
        </w:rPr>
        <w:t>耿圩镇污水处理厂扩建项目，由原来的1000吨/天，提高至2500吨/天。主体采用一体化处理设备。</w:t>
      </w:r>
    </w:p>
    <w:p w14:paraId="7CCC02C1">
      <w:pPr>
        <w:pStyle w:val="478"/>
        <w:spacing w:line="440" w:lineRule="exact"/>
        <w:ind w:firstLine="480"/>
        <w:jc w:val="left"/>
        <w:rPr>
          <w:rFonts w:hint="eastAsia" w:ascii="宋体" w:hAnsi="宋体" w:cs="宋体"/>
          <w:color w:val="000000"/>
          <w:sz w:val="24"/>
          <w:szCs w:val="24"/>
          <w:u w:val="single"/>
        </w:rPr>
      </w:pPr>
      <w:r>
        <w:rPr>
          <w:rFonts w:hint="eastAsia" w:ascii="宋体" w:hAnsi="宋体" w:cs="宋体"/>
          <w:color w:val="000000"/>
          <w:sz w:val="24"/>
          <w:szCs w:val="24"/>
        </w:rPr>
        <w:t>6.工程承包范围：</w:t>
      </w:r>
      <w:bookmarkStart w:id="200" w:name="_Toc9048"/>
      <w:r>
        <w:rPr>
          <w:rFonts w:hint="eastAsia" w:ascii="宋体" w:hAnsi="宋体" w:cs="宋体"/>
          <w:color w:val="000000"/>
          <w:sz w:val="24"/>
          <w:szCs w:val="24"/>
          <w:u w:val="single"/>
        </w:rPr>
        <w:t>土建工程、设备安装工程、排水工程等内容</w:t>
      </w:r>
      <w:r>
        <w:rPr>
          <w:rFonts w:hint="eastAsia" w:ascii="宋体" w:hAnsi="宋体" w:cs="宋体"/>
          <w:color w:val="000000"/>
          <w:sz w:val="24"/>
          <w:szCs w:val="24"/>
        </w:rPr>
        <w:t>。</w:t>
      </w:r>
    </w:p>
    <w:p w14:paraId="36A9D932">
      <w:pPr>
        <w:pStyle w:val="478"/>
        <w:spacing w:line="440" w:lineRule="exact"/>
        <w:ind w:firstLine="480"/>
        <w:jc w:val="left"/>
        <w:rPr>
          <w:rFonts w:hint="eastAsia" w:ascii="宋体" w:hAnsi="宋体" w:cs="宋体"/>
          <w:color w:val="000000"/>
          <w:sz w:val="24"/>
          <w:szCs w:val="24"/>
        </w:rPr>
      </w:pPr>
      <w:r>
        <w:rPr>
          <w:rFonts w:hint="eastAsia" w:ascii="宋体" w:hAnsi="宋体" w:cs="宋体"/>
          <w:color w:val="000000"/>
          <w:sz w:val="24"/>
          <w:szCs w:val="24"/>
        </w:rPr>
        <w:t>二、合同工期</w:t>
      </w:r>
      <w:bookmarkEnd w:id="200"/>
    </w:p>
    <w:p w14:paraId="44F154F7">
      <w:pPr>
        <w:pStyle w:val="361"/>
        <w:spacing w:line="440" w:lineRule="exact"/>
        <w:ind w:firstLine="480"/>
        <w:jc w:val="left"/>
        <w:rPr>
          <w:rFonts w:hint="eastAsia" w:ascii="宋体" w:hAnsi="宋体" w:cs="宋体"/>
          <w:color w:val="000000"/>
          <w:sz w:val="24"/>
        </w:rPr>
      </w:pPr>
      <w:r>
        <w:rPr>
          <w:rFonts w:hint="eastAsia" w:ascii="宋体" w:hAnsi="宋体" w:cs="宋体"/>
          <w:color w:val="000000"/>
          <w:sz w:val="24"/>
        </w:rPr>
        <w:t>计划施工开工日期：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14:paraId="340CB6BA">
      <w:pPr>
        <w:pStyle w:val="361"/>
        <w:spacing w:line="440" w:lineRule="exact"/>
        <w:ind w:firstLine="480"/>
        <w:jc w:val="left"/>
        <w:rPr>
          <w:rFonts w:hint="eastAsia" w:ascii="宋体" w:hAnsi="宋体" w:cs="宋体"/>
          <w:color w:val="000000"/>
          <w:sz w:val="24"/>
        </w:rPr>
      </w:pPr>
      <w:r>
        <w:rPr>
          <w:rFonts w:hint="eastAsia" w:ascii="宋体" w:hAnsi="宋体" w:cs="宋体"/>
          <w:color w:val="000000"/>
          <w:sz w:val="24"/>
        </w:rPr>
        <w:t>计划施工竣工日期：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14:paraId="54BD56F8">
      <w:pPr>
        <w:pStyle w:val="361"/>
        <w:spacing w:line="440" w:lineRule="exact"/>
        <w:ind w:firstLine="480"/>
        <w:jc w:val="left"/>
        <w:rPr>
          <w:rFonts w:hint="eastAsia" w:ascii="宋体" w:hAnsi="宋体" w:cs="宋体"/>
          <w:color w:val="000000"/>
          <w:sz w:val="24"/>
        </w:rPr>
      </w:pPr>
      <w:r>
        <w:rPr>
          <w:rFonts w:hint="eastAsia" w:ascii="宋体" w:hAnsi="宋体" w:cs="宋体"/>
          <w:color w:val="000000"/>
          <w:sz w:val="24"/>
        </w:rPr>
        <w:t>计划运营开始日期：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14:paraId="0F14E5A0">
      <w:pPr>
        <w:pStyle w:val="361"/>
        <w:spacing w:line="440" w:lineRule="exact"/>
        <w:ind w:firstLine="480"/>
        <w:jc w:val="left"/>
        <w:rPr>
          <w:rFonts w:hint="eastAsia" w:ascii="宋体" w:hAnsi="宋体" w:cs="宋体"/>
          <w:color w:val="000000"/>
          <w:sz w:val="24"/>
        </w:rPr>
      </w:pPr>
      <w:r>
        <w:rPr>
          <w:rFonts w:hint="eastAsia" w:ascii="宋体" w:hAnsi="宋体" w:cs="宋体"/>
          <w:color w:val="000000"/>
          <w:sz w:val="24"/>
        </w:rPr>
        <w:t>计划运营截止日期：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14:paraId="1F88CA5F">
      <w:pPr>
        <w:pStyle w:val="361"/>
        <w:spacing w:line="440" w:lineRule="exact"/>
        <w:ind w:firstLine="480"/>
        <w:jc w:val="left"/>
        <w:rPr>
          <w:rFonts w:hint="eastAsia" w:ascii="宋体" w:hAnsi="宋体" w:cs="宋体"/>
          <w:color w:val="000000"/>
          <w:sz w:val="24"/>
        </w:rPr>
      </w:pPr>
      <w:r>
        <w:rPr>
          <w:rFonts w:hint="eastAsia" w:ascii="宋体" w:hAnsi="宋体" w:cs="宋体"/>
          <w:color w:val="000000"/>
          <w:sz w:val="24"/>
        </w:rPr>
        <w:t>施工工期总日历天数：</w:t>
      </w:r>
      <w:r>
        <w:rPr>
          <w:rFonts w:hint="eastAsia" w:ascii="宋体" w:hAnsi="宋体" w:cs="宋体"/>
          <w:color w:val="000000"/>
          <w:sz w:val="24"/>
          <w:u w:val="single"/>
          <w:lang w:val="en-US" w:eastAsia="zh-CN"/>
        </w:rPr>
        <w:t>120</w:t>
      </w:r>
      <w:r>
        <w:rPr>
          <w:rFonts w:hint="eastAsia" w:ascii="宋体" w:hAnsi="宋体" w:cs="宋体"/>
          <w:color w:val="000000"/>
          <w:sz w:val="24"/>
          <w:u w:val="single"/>
        </w:rPr>
        <w:t xml:space="preserve"> </w:t>
      </w:r>
      <w:r>
        <w:rPr>
          <w:rFonts w:hint="eastAsia" w:ascii="宋体" w:hAnsi="宋体" w:cs="宋体"/>
          <w:color w:val="000000"/>
          <w:sz w:val="24"/>
        </w:rPr>
        <w:t>天，运营工期总日历天数：</w:t>
      </w:r>
      <w:r>
        <w:rPr>
          <w:rFonts w:hint="eastAsia" w:ascii="宋体" w:hAnsi="宋体" w:cs="宋体"/>
          <w:color w:val="000000"/>
          <w:sz w:val="24"/>
          <w:u w:val="single"/>
        </w:rPr>
        <w:t xml:space="preserve"> 365 </w:t>
      </w:r>
      <w:r>
        <w:rPr>
          <w:rFonts w:hint="eastAsia" w:ascii="宋体" w:hAnsi="宋体" w:cs="宋体"/>
          <w:color w:val="000000"/>
          <w:sz w:val="24"/>
        </w:rPr>
        <w:t>天。工期总日历天数与根据前述计划开竣工日期计算的工期天数不一致的，以工期总日历天数为准。</w:t>
      </w:r>
    </w:p>
    <w:p w14:paraId="426DAD03">
      <w:pPr>
        <w:pStyle w:val="478"/>
        <w:spacing w:line="440" w:lineRule="exact"/>
        <w:ind w:firstLine="480"/>
        <w:jc w:val="left"/>
        <w:rPr>
          <w:rFonts w:hint="eastAsia" w:ascii="宋体" w:hAnsi="宋体" w:cs="宋体"/>
          <w:color w:val="000000"/>
          <w:sz w:val="24"/>
          <w:szCs w:val="24"/>
        </w:rPr>
      </w:pPr>
      <w:bookmarkStart w:id="201" w:name="_Toc4850"/>
      <w:r>
        <w:rPr>
          <w:rFonts w:hint="eastAsia" w:ascii="宋体" w:hAnsi="宋体" w:cs="宋体"/>
          <w:color w:val="000000"/>
          <w:sz w:val="24"/>
          <w:szCs w:val="24"/>
        </w:rPr>
        <w:t>三、质量标准</w:t>
      </w:r>
      <w:bookmarkEnd w:id="201"/>
    </w:p>
    <w:p w14:paraId="32A239DA">
      <w:pPr>
        <w:pStyle w:val="478"/>
        <w:spacing w:line="440" w:lineRule="exact"/>
        <w:ind w:firstLine="480"/>
        <w:jc w:val="left"/>
        <w:rPr>
          <w:rFonts w:hint="eastAsia" w:ascii="宋体" w:hAnsi="宋体" w:cs="宋体"/>
          <w:color w:val="000000"/>
          <w:sz w:val="24"/>
          <w:szCs w:val="24"/>
        </w:rPr>
      </w:pPr>
      <w:r>
        <w:rPr>
          <w:rFonts w:hint="eastAsia" w:ascii="宋体" w:hAnsi="宋体" w:cs="宋体"/>
          <w:color w:val="000000"/>
          <w:sz w:val="24"/>
          <w:szCs w:val="24"/>
        </w:rPr>
        <w:t>工程质量符合</w:t>
      </w:r>
      <w:r>
        <w:rPr>
          <w:rFonts w:hint="eastAsia" w:ascii="宋体" w:hAnsi="宋体" w:cs="宋体"/>
          <w:color w:val="000000"/>
          <w:sz w:val="24"/>
          <w:szCs w:val="24"/>
          <w:u w:val="single"/>
        </w:rPr>
        <w:t>合格</w:t>
      </w:r>
      <w:r>
        <w:rPr>
          <w:rFonts w:hint="eastAsia" w:ascii="宋体" w:hAnsi="宋体" w:cs="宋体"/>
          <w:color w:val="000000"/>
          <w:sz w:val="24"/>
          <w:szCs w:val="24"/>
        </w:rPr>
        <w:t>标准。</w:t>
      </w:r>
    </w:p>
    <w:p w14:paraId="5C119F8E">
      <w:pPr>
        <w:pStyle w:val="478"/>
        <w:spacing w:line="440" w:lineRule="exact"/>
        <w:ind w:firstLine="480"/>
        <w:jc w:val="left"/>
        <w:rPr>
          <w:rFonts w:hint="eastAsia" w:ascii="宋体" w:hAnsi="宋体" w:cs="宋体"/>
          <w:color w:val="000000"/>
          <w:sz w:val="24"/>
          <w:szCs w:val="24"/>
        </w:rPr>
      </w:pPr>
      <w:bookmarkStart w:id="202" w:name="_Toc17541"/>
      <w:r>
        <w:rPr>
          <w:rFonts w:hint="eastAsia" w:ascii="宋体" w:hAnsi="宋体" w:cs="宋体"/>
          <w:color w:val="000000"/>
          <w:sz w:val="24"/>
          <w:szCs w:val="24"/>
        </w:rPr>
        <w:t>四、签约合同价与合同价格形式</w:t>
      </w:r>
      <w:bookmarkEnd w:id="202"/>
      <w:r>
        <w:rPr>
          <w:rFonts w:hint="eastAsia" w:ascii="宋体" w:hAnsi="宋体" w:cs="宋体"/>
          <w:color w:val="000000"/>
          <w:sz w:val="24"/>
          <w:szCs w:val="24"/>
        </w:rPr>
        <w:tab/>
      </w:r>
    </w:p>
    <w:p w14:paraId="4EDD9EB8">
      <w:pPr>
        <w:pStyle w:val="478"/>
        <w:spacing w:line="440" w:lineRule="exact"/>
        <w:ind w:firstLine="480"/>
        <w:jc w:val="left"/>
        <w:rPr>
          <w:rFonts w:hint="eastAsia" w:ascii="宋体" w:hAnsi="宋体" w:cs="宋体"/>
          <w:color w:val="000000"/>
          <w:sz w:val="24"/>
          <w:szCs w:val="24"/>
        </w:rPr>
      </w:pPr>
      <w:r>
        <w:rPr>
          <w:rFonts w:hint="eastAsia" w:ascii="宋体" w:hAnsi="宋体" w:cs="宋体"/>
          <w:color w:val="000000"/>
          <w:sz w:val="24"/>
          <w:szCs w:val="24"/>
        </w:rPr>
        <w:t>1.签约合同价为：</w:t>
      </w:r>
    </w:p>
    <w:p w14:paraId="257A5E33">
      <w:pPr>
        <w:pStyle w:val="478"/>
        <w:spacing w:line="440" w:lineRule="exact"/>
        <w:ind w:firstLine="480"/>
        <w:jc w:val="left"/>
        <w:rPr>
          <w:rFonts w:hint="eastAsia" w:ascii="宋体" w:hAnsi="宋体" w:cs="宋体"/>
          <w:color w:val="000000"/>
          <w:sz w:val="24"/>
          <w:szCs w:val="24"/>
          <w:u w:val="single"/>
        </w:rPr>
      </w:pPr>
      <w:r>
        <w:rPr>
          <w:rFonts w:hint="eastAsia" w:ascii="宋体" w:hAnsi="宋体" w:cs="宋体"/>
          <w:color w:val="000000"/>
          <w:sz w:val="24"/>
          <w:szCs w:val="24"/>
        </w:rPr>
        <w:t>人民币（大写）</w:t>
      </w:r>
      <w:r>
        <w:rPr>
          <w:rFonts w:hint="eastAsia" w:ascii="宋体" w:hAnsi="宋体" w:cs="宋体"/>
          <w:color w:val="000000"/>
          <w:sz w:val="24"/>
          <w:szCs w:val="24"/>
          <w:u w:val="single"/>
        </w:rPr>
        <w:t xml:space="preserve">                        (¥             元)</w:t>
      </w:r>
    </w:p>
    <w:p w14:paraId="6328FFEA">
      <w:pPr>
        <w:pStyle w:val="478"/>
        <w:spacing w:line="440" w:lineRule="exact"/>
        <w:ind w:firstLine="480"/>
        <w:jc w:val="left"/>
        <w:rPr>
          <w:rFonts w:hint="eastAsia" w:ascii="宋体" w:hAnsi="宋体" w:cs="宋体"/>
          <w:color w:val="000000"/>
          <w:sz w:val="24"/>
          <w:szCs w:val="24"/>
        </w:rPr>
      </w:pPr>
      <w:r>
        <w:rPr>
          <w:rFonts w:hint="eastAsia" w:ascii="宋体" w:hAnsi="宋体" w:cs="宋体"/>
          <w:color w:val="000000"/>
          <w:sz w:val="24"/>
          <w:szCs w:val="24"/>
        </w:rPr>
        <w:t>其中：（1）安全文明施工费：</w:t>
      </w:r>
    </w:p>
    <w:p w14:paraId="02771253">
      <w:pPr>
        <w:pStyle w:val="478"/>
        <w:spacing w:line="440" w:lineRule="exact"/>
        <w:ind w:firstLine="480"/>
        <w:jc w:val="left"/>
        <w:rPr>
          <w:rFonts w:hint="eastAsia" w:ascii="宋体" w:hAnsi="宋体" w:cs="宋体"/>
          <w:color w:val="000000"/>
          <w:sz w:val="24"/>
          <w:szCs w:val="24"/>
        </w:rPr>
      </w:pPr>
      <w:r>
        <w:rPr>
          <w:rFonts w:hint="eastAsia" w:ascii="宋体" w:hAnsi="宋体" w:cs="宋体"/>
          <w:color w:val="000000"/>
          <w:sz w:val="24"/>
          <w:szCs w:val="24"/>
        </w:rPr>
        <w:t>人民币（大写）</w:t>
      </w:r>
      <w:r>
        <w:rPr>
          <w:rFonts w:hint="eastAsia" w:ascii="宋体" w:hAnsi="宋体" w:cs="宋体"/>
          <w:color w:val="000000"/>
          <w:sz w:val="24"/>
          <w:szCs w:val="24"/>
          <w:u w:val="single"/>
        </w:rPr>
        <w:t xml:space="preserve">                        (¥             元)</w:t>
      </w:r>
    </w:p>
    <w:p w14:paraId="1F2016D6">
      <w:pPr>
        <w:pStyle w:val="478"/>
        <w:spacing w:line="440" w:lineRule="exact"/>
        <w:ind w:firstLine="480"/>
        <w:jc w:val="left"/>
        <w:rPr>
          <w:rFonts w:hint="eastAsia" w:ascii="宋体" w:hAnsi="宋体" w:cs="宋体"/>
          <w:color w:val="000000"/>
          <w:sz w:val="24"/>
          <w:szCs w:val="24"/>
        </w:rPr>
      </w:pPr>
      <w:r>
        <w:rPr>
          <w:rFonts w:hint="eastAsia" w:ascii="宋体" w:hAnsi="宋体" w:cs="宋体"/>
          <w:color w:val="000000"/>
          <w:sz w:val="24"/>
          <w:szCs w:val="24"/>
        </w:rPr>
        <w:t>（2）材料和工程设备暂估价金额：</w:t>
      </w:r>
    </w:p>
    <w:p w14:paraId="156F4859">
      <w:pPr>
        <w:pStyle w:val="478"/>
        <w:spacing w:line="440" w:lineRule="exact"/>
        <w:ind w:firstLine="480"/>
        <w:jc w:val="left"/>
        <w:rPr>
          <w:rFonts w:hint="eastAsia" w:ascii="宋体" w:hAnsi="宋体" w:cs="宋体"/>
          <w:color w:val="000000"/>
          <w:sz w:val="24"/>
          <w:szCs w:val="24"/>
          <w:u w:val="single"/>
        </w:rPr>
      </w:pPr>
      <w:r>
        <w:rPr>
          <w:rFonts w:hint="eastAsia" w:ascii="宋体" w:hAnsi="宋体" w:cs="宋体"/>
          <w:color w:val="000000"/>
          <w:sz w:val="24"/>
          <w:szCs w:val="24"/>
        </w:rPr>
        <w:t>人民币（大写）</w:t>
      </w:r>
      <w:r>
        <w:rPr>
          <w:rFonts w:hint="eastAsia" w:ascii="宋体" w:hAnsi="宋体" w:cs="宋体"/>
          <w:color w:val="000000"/>
          <w:sz w:val="24"/>
          <w:szCs w:val="24"/>
          <w:u w:val="single"/>
        </w:rPr>
        <w:t xml:space="preserve">                        (¥             元)</w:t>
      </w:r>
    </w:p>
    <w:p w14:paraId="4B35C616">
      <w:pPr>
        <w:pStyle w:val="478"/>
        <w:spacing w:line="440" w:lineRule="exact"/>
        <w:ind w:firstLine="480"/>
        <w:jc w:val="left"/>
        <w:rPr>
          <w:rFonts w:hint="eastAsia" w:ascii="宋体" w:hAnsi="宋体" w:cs="宋体"/>
          <w:color w:val="000000"/>
          <w:sz w:val="24"/>
          <w:szCs w:val="24"/>
        </w:rPr>
      </w:pPr>
      <w:r>
        <w:rPr>
          <w:rFonts w:hint="eastAsia" w:ascii="宋体" w:hAnsi="宋体" w:cs="宋体"/>
          <w:color w:val="000000"/>
          <w:sz w:val="24"/>
          <w:szCs w:val="24"/>
        </w:rPr>
        <w:t>（3）专业工程暂估价金额：</w:t>
      </w:r>
    </w:p>
    <w:p w14:paraId="50B04DF3">
      <w:pPr>
        <w:pStyle w:val="478"/>
        <w:spacing w:line="440" w:lineRule="exact"/>
        <w:ind w:firstLine="480"/>
        <w:jc w:val="left"/>
        <w:rPr>
          <w:rFonts w:hint="eastAsia" w:ascii="宋体" w:hAnsi="宋体" w:cs="宋体"/>
          <w:color w:val="000000"/>
          <w:sz w:val="24"/>
          <w:szCs w:val="24"/>
          <w:u w:val="single"/>
        </w:rPr>
      </w:pPr>
      <w:r>
        <w:rPr>
          <w:rFonts w:hint="eastAsia" w:ascii="宋体" w:hAnsi="宋体" w:cs="宋体"/>
          <w:color w:val="000000"/>
          <w:sz w:val="24"/>
          <w:szCs w:val="24"/>
        </w:rPr>
        <w:t>人民币（大写）</w:t>
      </w:r>
      <w:r>
        <w:rPr>
          <w:rFonts w:hint="eastAsia" w:ascii="宋体" w:hAnsi="宋体" w:cs="宋体"/>
          <w:color w:val="000000"/>
          <w:sz w:val="24"/>
          <w:szCs w:val="24"/>
          <w:u w:val="single"/>
        </w:rPr>
        <w:t xml:space="preserve">                        (¥             元)</w:t>
      </w:r>
    </w:p>
    <w:p w14:paraId="700D5283">
      <w:pPr>
        <w:pStyle w:val="478"/>
        <w:spacing w:line="440" w:lineRule="exact"/>
        <w:ind w:firstLine="480"/>
        <w:jc w:val="left"/>
        <w:rPr>
          <w:rFonts w:hint="eastAsia" w:ascii="宋体" w:hAnsi="宋体" w:cs="宋体"/>
          <w:color w:val="000000"/>
          <w:sz w:val="24"/>
          <w:szCs w:val="24"/>
        </w:rPr>
      </w:pPr>
      <w:r>
        <w:rPr>
          <w:rFonts w:hint="eastAsia" w:ascii="宋体" w:hAnsi="宋体" w:cs="宋体"/>
          <w:color w:val="000000"/>
          <w:sz w:val="24"/>
          <w:szCs w:val="24"/>
        </w:rPr>
        <w:t>（4）暂列金额：</w:t>
      </w:r>
    </w:p>
    <w:p w14:paraId="5745BEF5">
      <w:pPr>
        <w:pStyle w:val="478"/>
        <w:spacing w:line="440" w:lineRule="exact"/>
        <w:ind w:firstLine="480"/>
        <w:jc w:val="left"/>
        <w:rPr>
          <w:rFonts w:hint="eastAsia" w:ascii="宋体" w:hAnsi="宋体" w:cs="宋体"/>
          <w:color w:val="000000"/>
          <w:sz w:val="24"/>
          <w:szCs w:val="24"/>
          <w:u w:val="single"/>
        </w:rPr>
      </w:pPr>
      <w:r>
        <w:rPr>
          <w:rFonts w:hint="eastAsia" w:ascii="宋体" w:hAnsi="宋体" w:cs="宋体"/>
          <w:color w:val="000000"/>
          <w:sz w:val="24"/>
          <w:szCs w:val="24"/>
        </w:rPr>
        <w:t>人民币（大写）</w:t>
      </w:r>
      <w:r>
        <w:rPr>
          <w:rFonts w:hint="eastAsia" w:ascii="宋体" w:hAnsi="宋体" w:cs="宋体"/>
          <w:color w:val="000000"/>
          <w:sz w:val="24"/>
          <w:szCs w:val="24"/>
          <w:u w:val="single"/>
        </w:rPr>
        <w:t xml:space="preserve">                        (¥             元)</w:t>
      </w:r>
    </w:p>
    <w:p w14:paraId="622D4EC9">
      <w:pPr>
        <w:pStyle w:val="478"/>
        <w:spacing w:line="440" w:lineRule="exact"/>
        <w:ind w:firstLine="480"/>
        <w:jc w:val="left"/>
        <w:rPr>
          <w:rFonts w:hint="eastAsia" w:ascii="宋体" w:hAnsi="宋体" w:cs="宋体"/>
          <w:color w:val="000000"/>
          <w:sz w:val="24"/>
          <w:szCs w:val="24"/>
        </w:rPr>
      </w:pPr>
      <w:bookmarkStart w:id="203" w:name="_Toc17361"/>
      <w:r>
        <w:rPr>
          <w:rFonts w:hint="eastAsia" w:ascii="宋体" w:hAnsi="宋体" w:cs="宋体"/>
          <w:color w:val="000000"/>
          <w:sz w:val="24"/>
          <w:szCs w:val="24"/>
        </w:rPr>
        <w:t>2. 合同价格形式：</w:t>
      </w:r>
    </w:p>
    <w:p w14:paraId="603B6A54">
      <w:pPr>
        <w:pStyle w:val="478"/>
        <w:spacing w:line="440" w:lineRule="exact"/>
        <w:ind w:firstLine="480"/>
        <w:jc w:val="left"/>
        <w:rPr>
          <w:rFonts w:hint="eastAsia" w:ascii="宋体" w:hAnsi="宋体" w:cs="宋体"/>
          <w:color w:val="000000"/>
          <w:sz w:val="24"/>
          <w:szCs w:val="24"/>
        </w:rPr>
      </w:pPr>
      <w:r>
        <w:rPr>
          <w:rFonts w:hint="eastAsia" w:ascii="宋体" w:hAnsi="宋体" w:cs="宋体"/>
          <w:color w:val="000000"/>
          <w:sz w:val="24"/>
          <w:szCs w:val="24"/>
        </w:rPr>
        <w:t>2.1本工程为固定总价合同，采用总价报价，价款结算方式为：根据施工单位提供的投标报价及现场实际完成工程量进行结算。</w:t>
      </w:r>
    </w:p>
    <w:p w14:paraId="318439CB">
      <w:pPr>
        <w:pStyle w:val="478"/>
        <w:spacing w:line="440" w:lineRule="exact"/>
        <w:ind w:firstLine="480"/>
        <w:jc w:val="left"/>
        <w:rPr>
          <w:rFonts w:hint="eastAsia" w:ascii="宋体" w:hAnsi="宋体" w:cs="宋体"/>
          <w:color w:val="000000"/>
          <w:sz w:val="24"/>
          <w:szCs w:val="24"/>
        </w:rPr>
      </w:pPr>
      <w:r>
        <w:rPr>
          <w:rFonts w:hint="eastAsia" w:ascii="宋体" w:hAnsi="宋体" w:cs="宋体"/>
          <w:color w:val="000000"/>
          <w:sz w:val="24"/>
          <w:szCs w:val="24"/>
        </w:rPr>
        <w:t>2.2投标单位在投标时，根据自身的设计图纸编制工程量清单及明细报价，工程量清单报价执行GB50500-2013标准及工程量计算规范要求。</w:t>
      </w:r>
    </w:p>
    <w:p w14:paraId="5C17BD4B">
      <w:pPr>
        <w:pStyle w:val="478"/>
        <w:spacing w:line="440" w:lineRule="exact"/>
        <w:ind w:firstLine="480"/>
        <w:jc w:val="left"/>
        <w:rPr>
          <w:rFonts w:hint="eastAsia" w:ascii="宋体" w:hAnsi="宋体" w:cs="宋体"/>
          <w:color w:val="000000"/>
          <w:sz w:val="24"/>
          <w:szCs w:val="24"/>
        </w:rPr>
      </w:pPr>
      <w:r>
        <w:rPr>
          <w:rFonts w:hint="eastAsia" w:ascii="宋体" w:hAnsi="宋体" w:cs="宋体"/>
          <w:color w:val="000000"/>
          <w:sz w:val="24"/>
          <w:szCs w:val="24"/>
        </w:rPr>
        <w:t>2.3在工程实施时，若实际完成工程量低于投标清单工程量或图纸工程量，结算时按实调整；若实际完成工程量高于投标清单工程量或图纸工程量，或者工程现场发生增项、图纸设计变更、增加项目，因设备运行需要调高参数等各项导致需增加工程时，原则上不予增加，按投标报价单价及工程量进行结算。如因特殊情况，确需增加项目的，需经招标人同意后再行增加。</w:t>
      </w:r>
    </w:p>
    <w:p w14:paraId="41263AD4">
      <w:pPr>
        <w:pStyle w:val="478"/>
        <w:spacing w:line="440" w:lineRule="exact"/>
        <w:ind w:firstLine="480"/>
        <w:jc w:val="left"/>
        <w:rPr>
          <w:rFonts w:hint="eastAsia" w:ascii="宋体" w:hAnsi="宋体" w:cs="宋体"/>
          <w:color w:val="000000"/>
          <w:sz w:val="24"/>
          <w:szCs w:val="24"/>
        </w:rPr>
      </w:pPr>
      <w:r>
        <w:rPr>
          <w:rFonts w:hint="eastAsia" w:ascii="宋体" w:hAnsi="宋体" w:cs="宋体"/>
          <w:color w:val="000000"/>
          <w:sz w:val="24"/>
          <w:szCs w:val="24"/>
        </w:rPr>
        <w:t>2.4除根据合同约定的专用条款13条［变更与调整］、第14款合同价格与支付、第21条补充条款以及合同中其它相关增减金额的约定进行调整外，合同价格不予调整。</w:t>
      </w:r>
    </w:p>
    <w:p w14:paraId="5ABB8EBE">
      <w:pPr>
        <w:pStyle w:val="478"/>
        <w:spacing w:line="440" w:lineRule="exact"/>
        <w:ind w:firstLine="480"/>
        <w:jc w:val="left"/>
        <w:rPr>
          <w:rFonts w:hint="eastAsia" w:ascii="宋体" w:hAnsi="宋体" w:cs="宋体"/>
          <w:color w:val="000000"/>
          <w:sz w:val="24"/>
          <w:szCs w:val="24"/>
        </w:rPr>
      </w:pPr>
      <w:r>
        <w:rPr>
          <w:rFonts w:hint="eastAsia" w:ascii="宋体" w:hAnsi="宋体" w:cs="宋体"/>
          <w:color w:val="000000"/>
          <w:sz w:val="24"/>
          <w:szCs w:val="24"/>
        </w:rPr>
        <w:t>五、项目经理</w:t>
      </w:r>
      <w:bookmarkEnd w:id="203"/>
    </w:p>
    <w:p w14:paraId="7E93C013">
      <w:pPr>
        <w:pStyle w:val="478"/>
        <w:spacing w:line="440" w:lineRule="exact"/>
        <w:ind w:firstLine="480"/>
        <w:jc w:val="left"/>
        <w:rPr>
          <w:rFonts w:hint="eastAsia" w:ascii="宋体" w:hAnsi="宋体" w:cs="宋体"/>
          <w:color w:val="000000"/>
          <w:sz w:val="24"/>
          <w:szCs w:val="24"/>
          <w:u w:val="single"/>
        </w:rPr>
      </w:pPr>
      <w:r>
        <w:rPr>
          <w:rFonts w:hint="eastAsia" w:ascii="宋体" w:hAnsi="宋体" w:cs="宋体"/>
          <w:color w:val="000000"/>
          <w:sz w:val="24"/>
          <w:szCs w:val="24"/>
        </w:rPr>
        <w:t>承包人项目经理：</w:t>
      </w:r>
      <w:bookmarkStart w:id="204" w:name="_Toc2638"/>
      <w:r>
        <w:rPr>
          <w:rFonts w:hint="eastAsia" w:ascii="宋体" w:hAnsi="宋体" w:cs="宋体"/>
          <w:color w:val="000000"/>
          <w:sz w:val="24"/>
          <w:szCs w:val="24"/>
          <w:u w:val="single"/>
        </w:rPr>
        <w:t xml:space="preserve">             </w:t>
      </w:r>
    </w:p>
    <w:p w14:paraId="2AE55CBE">
      <w:pPr>
        <w:pStyle w:val="478"/>
        <w:spacing w:line="440" w:lineRule="exact"/>
        <w:ind w:firstLine="480"/>
        <w:jc w:val="left"/>
        <w:rPr>
          <w:rFonts w:hint="eastAsia" w:ascii="宋体" w:hAnsi="宋体" w:cs="宋体"/>
          <w:color w:val="000000"/>
          <w:sz w:val="24"/>
          <w:szCs w:val="24"/>
        </w:rPr>
      </w:pPr>
      <w:r>
        <w:rPr>
          <w:rFonts w:hint="eastAsia" w:ascii="宋体" w:hAnsi="宋体" w:cs="宋体"/>
          <w:color w:val="000000"/>
          <w:sz w:val="24"/>
          <w:szCs w:val="24"/>
        </w:rPr>
        <w:t>六、合同文件构成</w:t>
      </w:r>
      <w:bookmarkEnd w:id="204"/>
    </w:p>
    <w:p w14:paraId="6C3C0832">
      <w:pPr>
        <w:pStyle w:val="478"/>
        <w:spacing w:line="440" w:lineRule="exact"/>
        <w:ind w:firstLine="480"/>
        <w:jc w:val="left"/>
        <w:rPr>
          <w:rFonts w:hint="eastAsia" w:ascii="宋体" w:hAnsi="宋体" w:cs="宋体"/>
          <w:color w:val="000000"/>
          <w:sz w:val="24"/>
          <w:szCs w:val="24"/>
        </w:rPr>
      </w:pPr>
      <w:r>
        <w:rPr>
          <w:rFonts w:hint="eastAsia" w:ascii="宋体" w:hAnsi="宋体" w:cs="宋体"/>
          <w:bCs/>
          <w:color w:val="000000"/>
          <w:sz w:val="24"/>
          <w:szCs w:val="24"/>
        </w:rPr>
        <w:t>本协议书与下列文件一起构成合同文件：</w:t>
      </w:r>
      <w:r>
        <w:rPr>
          <w:rFonts w:hint="eastAsia" w:ascii="宋体" w:hAnsi="宋体" w:cs="宋体"/>
          <w:color w:val="000000"/>
          <w:sz w:val="24"/>
          <w:szCs w:val="24"/>
          <w:u w:val="single"/>
        </w:rPr>
        <w:t>（1）中标通知书（如果有）；（2）招标公告、文件和投标函及其附录（如果有）；（3）专用合同条款及其附件；（4）通用合同条款；（5）技术标准和要求；（6）图纸；（7）已标价工程量清单或预算书；（8）其他合同文件</w:t>
      </w:r>
      <w:r>
        <w:rPr>
          <w:rFonts w:hint="eastAsia" w:ascii="宋体" w:hAnsi="宋体" w:cs="宋体"/>
          <w:color w:val="000000"/>
          <w:sz w:val="24"/>
          <w:szCs w:val="24"/>
        </w:rPr>
        <w:t>。</w:t>
      </w:r>
    </w:p>
    <w:p w14:paraId="2183CBCD">
      <w:pPr>
        <w:pStyle w:val="478"/>
        <w:spacing w:line="440" w:lineRule="exact"/>
        <w:ind w:firstLine="480"/>
        <w:jc w:val="left"/>
        <w:rPr>
          <w:rFonts w:hint="eastAsia" w:ascii="宋体" w:hAnsi="宋体" w:cs="宋体"/>
          <w:bCs/>
          <w:color w:val="000000"/>
          <w:sz w:val="24"/>
          <w:szCs w:val="24"/>
        </w:rPr>
      </w:pPr>
      <w:r>
        <w:rPr>
          <w:rFonts w:hint="eastAsia" w:ascii="宋体" w:hAnsi="宋体" w:cs="宋体"/>
          <w:color w:val="000000"/>
          <w:sz w:val="24"/>
          <w:szCs w:val="24"/>
        </w:rPr>
        <w:t>在合同订立及履行过程中形成的与合同有关的文件均构成合同文件组成部分；上述各项合同文件包括合同当事人就该项合同文件所作出的补充和修改，属于同一类内容的文件，应以最新签署的为准。</w:t>
      </w:r>
    </w:p>
    <w:p w14:paraId="1D9928C8">
      <w:pPr>
        <w:pStyle w:val="478"/>
        <w:spacing w:line="440" w:lineRule="exact"/>
        <w:ind w:firstLine="480"/>
        <w:jc w:val="left"/>
        <w:rPr>
          <w:rFonts w:hint="eastAsia" w:ascii="宋体" w:hAnsi="宋体" w:cs="宋体"/>
          <w:bCs/>
          <w:color w:val="000000"/>
          <w:sz w:val="24"/>
          <w:szCs w:val="24"/>
        </w:rPr>
      </w:pPr>
      <w:r>
        <w:rPr>
          <w:rFonts w:hint="eastAsia" w:ascii="宋体" w:hAnsi="宋体" w:cs="宋体"/>
          <w:bCs/>
          <w:color w:val="000000"/>
          <w:sz w:val="24"/>
          <w:szCs w:val="24"/>
        </w:rPr>
        <w:t>七、承诺</w:t>
      </w:r>
    </w:p>
    <w:p w14:paraId="413A8AC1">
      <w:pPr>
        <w:pStyle w:val="478"/>
        <w:spacing w:line="440" w:lineRule="exact"/>
        <w:ind w:firstLine="480"/>
        <w:jc w:val="left"/>
        <w:rPr>
          <w:rFonts w:hint="eastAsia" w:ascii="宋体" w:hAnsi="宋体" w:cs="宋体"/>
          <w:bCs/>
          <w:color w:val="000000"/>
          <w:sz w:val="24"/>
          <w:szCs w:val="24"/>
        </w:rPr>
      </w:pPr>
      <w:bookmarkStart w:id="205" w:name="_Toc32086"/>
      <w:r>
        <w:rPr>
          <w:rFonts w:hint="eastAsia" w:ascii="宋体" w:hAnsi="宋体" w:cs="宋体"/>
          <w:bCs/>
          <w:color w:val="000000"/>
          <w:sz w:val="24"/>
          <w:szCs w:val="24"/>
        </w:rPr>
        <w:t>1.发包人承诺筹集工程建设资金并按照合同约定的期限和方式支付合同价款。</w:t>
      </w:r>
    </w:p>
    <w:p w14:paraId="3628622D">
      <w:pPr>
        <w:pStyle w:val="478"/>
        <w:spacing w:line="440" w:lineRule="exact"/>
        <w:ind w:firstLine="480"/>
        <w:jc w:val="left"/>
        <w:rPr>
          <w:rFonts w:hint="eastAsia" w:ascii="宋体" w:hAnsi="宋体" w:cs="宋体"/>
          <w:bCs/>
          <w:color w:val="000000"/>
          <w:sz w:val="24"/>
          <w:szCs w:val="24"/>
        </w:rPr>
      </w:pPr>
      <w:r>
        <w:rPr>
          <w:rFonts w:hint="eastAsia" w:ascii="宋体" w:hAnsi="宋体" w:cs="宋体"/>
          <w:bCs/>
          <w:color w:val="000000"/>
          <w:sz w:val="24"/>
          <w:szCs w:val="24"/>
        </w:rPr>
        <w:t>2.承包人承诺按照法律规定及合同约定组织完成工程施工，确保工程质量和安全，不进行转包及违法分包，并在缺陷责任期及保修期内承担相应的工程维修责任。</w:t>
      </w:r>
    </w:p>
    <w:p w14:paraId="0DBE96C6">
      <w:pPr>
        <w:pStyle w:val="478"/>
        <w:spacing w:line="440" w:lineRule="exact"/>
        <w:ind w:firstLine="480"/>
        <w:jc w:val="left"/>
        <w:rPr>
          <w:rFonts w:hint="eastAsia" w:ascii="宋体" w:hAnsi="宋体" w:cs="宋体"/>
          <w:bCs/>
          <w:color w:val="000000"/>
          <w:sz w:val="24"/>
          <w:szCs w:val="24"/>
        </w:rPr>
      </w:pPr>
      <w:r>
        <w:rPr>
          <w:rFonts w:hint="eastAsia" w:ascii="宋体" w:hAnsi="宋体" w:cs="宋体"/>
          <w:bCs/>
          <w:color w:val="000000"/>
          <w:sz w:val="24"/>
          <w:szCs w:val="24"/>
        </w:rPr>
        <w:t>3.发包人和承包人通过招投标形式签订合同的，双方理解并承诺不再就同一工程另行签订与合同实质性内容相背离的协议。</w:t>
      </w:r>
      <w:bookmarkEnd w:id="205"/>
    </w:p>
    <w:p w14:paraId="62A529DF">
      <w:pPr>
        <w:pStyle w:val="478"/>
        <w:spacing w:line="440" w:lineRule="exact"/>
        <w:ind w:firstLine="480"/>
        <w:jc w:val="left"/>
        <w:rPr>
          <w:rFonts w:hint="eastAsia" w:ascii="宋体" w:hAnsi="宋体" w:cs="宋体"/>
          <w:color w:val="000000"/>
          <w:sz w:val="24"/>
          <w:szCs w:val="24"/>
        </w:rPr>
      </w:pPr>
      <w:r>
        <w:rPr>
          <w:rFonts w:hint="eastAsia" w:ascii="宋体" w:hAnsi="宋体" w:cs="宋体"/>
          <w:color w:val="000000"/>
          <w:sz w:val="24"/>
          <w:szCs w:val="24"/>
        </w:rPr>
        <w:t>八、词语含义</w:t>
      </w:r>
    </w:p>
    <w:p w14:paraId="2B70F2E0">
      <w:pPr>
        <w:pStyle w:val="478"/>
        <w:spacing w:line="440" w:lineRule="exact"/>
        <w:ind w:firstLine="480"/>
        <w:jc w:val="left"/>
        <w:rPr>
          <w:rFonts w:hint="eastAsia" w:ascii="宋体" w:hAnsi="宋体" w:cs="宋体"/>
          <w:bCs/>
          <w:color w:val="000000"/>
          <w:sz w:val="24"/>
          <w:szCs w:val="24"/>
        </w:rPr>
      </w:pPr>
      <w:r>
        <w:rPr>
          <w:rFonts w:hint="eastAsia" w:ascii="宋体" w:hAnsi="宋体" w:cs="宋体"/>
          <w:bCs/>
          <w:color w:val="000000"/>
          <w:sz w:val="24"/>
          <w:szCs w:val="24"/>
        </w:rPr>
        <w:t>本协议书中词语含义与第二部分通用合同条款中赋予的含义相同。</w:t>
      </w:r>
    </w:p>
    <w:p w14:paraId="7A28DBF5">
      <w:pPr>
        <w:pStyle w:val="478"/>
        <w:spacing w:line="440" w:lineRule="exact"/>
        <w:ind w:firstLine="480"/>
        <w:jc w:val="left"/>
        <w:rPr>
          <w:rFonts w:hint="eastAsia" w:ascii="宋体" w:hAnsi="宋体" w:cs="宋体"/>
          <w:color w:val="000000"/>
          <w:sz w:val="24"/>
          <w:szCs w:val="24"/>
        </w:rPr>
      </w:pPr>
      <w:r>
        <w:rPr>
          <w:rFonts w:hint="eastAsia" w:ascii="宋体" w:hAnsi="宋体" w:cs="宋体"/>
          <w:color w:val="000000"/>
          <w:sz w:val="24"/>
          <w:szCs w:val="24"/>
        </w:rPr>
        <w:t>九、签订时间</w:t>
      </w:r>
    </w:p>
    <w:p w14:paraId="35B84740">
      <w:pPr>
        <w:pStyle w:val="478"/>
        <w:spacing w:line="440" w:lineRule="exact"/>
        <w:ind w:firstLine="480"/>
        <w:jc w:val="left"/>
        <w:rPr>
          <w:rFonts w:hint="eastAsia" w:ascii="宋体" w:hAnsi="宋体" w:cs="宋体"/>
          <w:bCs/>
          <w:color w:val="000000"/>
          <w:sz w:val="24"/>
          <w:szCs w:val="24"/>
        </w:rPr>
      </w:pPr>
      <w:r>
        <w:rPr>
          <w:rFonts w:hint="eastAsia" w:ascii="宋体" w:hAnsi="宋体" w:cs="宋体"/>
          <w:bCs/>
          <w:color w:val="000000"/>
          <w:sz w:val="24"/>
          <w:szCs w:val="24"/>
        </w:rPr>
        <w:t>本合同于</w:t>
      </w:r>
      <w:r>
        <w:rPr>
          <w:rFonts w:hint="eastAsia" w:ascii="宋体" w:hAnsi="宋体" w:cs="宋体"/>
          <w:bCs/>
          <w:color w:val="000000"/>
          <w:sz w:val="24"/>
          <w:szCs w:val="24"/>
          <w:u w:val="single"/>
        </w:rPr>
        <w:t xml:space="preserve"> 2024年    月    日</w:t>
      </w:r>
      <w:r>
        <w:rPr>
          <w:rFonts w:hint="eastAsia" w:ascii="宋体" w:hAnsi="宋体" w:cs="宋体"/>
          <w:bCs/>
          <w:color w:val="000000"/>
          <w:sz w:val="24"/>
          <w:szCs w:val="24"/>
        </w:rPr>
        <w:t>签订。</w:t>
      </w:r>
    </w:p>
    <w:p w14:paraId="52754825">
      <w:pPr>
        <w:pStyle w:val="478"/>
        <w:spacing w:line="440" w:lineRule="exact"/>
        <w:ind w:firstLine="480"/>
        <w:jc w:val="left"/>
        <w:rPr>
          <w:rFonts w:hint="eastAsia" w:ascii="宋体" w:hAnsi="宋体" w:cs="宋体"/>
          <w:color w:val="000000"/>
          <w:sz w:val="24"/>
          <w:szCs w:val="24"/>
        </w:rPr>
      </w:pPr>
      <w:bookmarkStart w:id="206" w:name="_Toc9472"/>
      <w:r>
        <w:rPr>
          <w:rFonts w:hint="eastAsia" w:ascii="宋体" w:hAnsi="宋体" w:cs="宋体"/>
          <w:color w:val="000000"/>
          <w:sz w:val="24"/>
          <w:szCs w:val="24"/>
        </w:rPr>
        <w:t>十、签订地点</w:t>
      </w:r>
      <w:bookmarkEnd w:id="206"/>
    </w:p>
    <w:p w14:paraId="66712181">
      <w:pPr>
        <w:pStyle w:val="478"/>
        <w:spacing w:line="440" w:lineRule="exact"/>
        <w:ind w:firstLine="480"/>
        <w:jc w:val="left"/>
        <w:rPr>
          <w:rFonts w:hint="eastAsia" w:ascii="宋体" w:hAnsi="宋体" w:cs="宋体"/>
          <w:bCs/>
          <w:color w:val="000000"/>
          <w:sz w:val="24"/>
          <w:szCs w:val="24"/>
        </w:rPr>
      </w:pPr>
      <w:r>
        <w:rPr>
          <w:rFonts w:hint="eastAsia" w:ascii="宋体" w:hAnsi="宋体" w:cs="宋体"/>
          <w:bCs/>
          <w:color w:val="000000"/>
          <w:sz w:val="24"/>
          <w:szCs w:val="24"/>
        </w:rPr>
        <w:t>本合同在</w:t>
      </w:r>
      <w:r>
        <w:rPr>
          <w:rFonts w:hint="eastAsia" w:ascii="宋体" w:hAnsi="宋体" w:cs="宋体"/>
          <w:bCs/>
          <w:color w:val="000000"/>
          <w:sz w:val="24"/>
          <w:szCs w:val="24"/>
          <w:u w:val="single"/>
        </w:rPr>
        <w:t xml:space="preserve"> 沭阳县住房和城乡建设局</w:t>
      </w:r>
      <w:r>
        <w:rPr>
          <w:rFonts w:hint="eastAsia" w:ascii="宋体" w:hAnsi="宋体" w:cs="宋体"/>
          <w:bCs/>
          <w:color w:val="000000"/>
          <w:sz w:val="24"/>
          <w:szCs w:val="24"/>
        </w:rPr>
        <w:t>签订。</w:t>
      </w:r>
    </w:p>
    <w:p w14:paraId="51A3CFC2">
      <w:pPr>
        <w:pStyle w:val="478"/>
        <w:spacing w:line="440" w:lineRule="exact"/>
        <w:ind w:firstLine="480"/>
        <w:jc w:val="left"/>
        <w:rPr>
          <w:rFonts w:hint="eastAsia" w:ascii="宋体" w:hAnsi="宋体" w:cs="宋体"/>
          <w:color w:val="000000"/>
          <w:sz w:val="24"/>
          <w:szCs w:val="24"/>
        </w:rPr>
      </w:pPr>
      <w:bookmarkStart w:id="207" w:name="_Toc24092"/>
      <w:r>
        <w:rPr>
          <w:rFonts w:hint="eastAsia" w:ascii="宋体" w:hAnsi="宋体" w:cs="宋体"/>
          <w:color w:val="000000"/>
          <w:sz w:val="24"/>
          <w:szCs w:val="24"/>
        </w:rPr>
        <w:t>十一、补充协议</w:t>
      </w:r>
      <w:bookmarkEnd w:id="207"/>
    </w:p>
    <w:p w14:paraId="35606F26">
      <w:pPr>
        <w:pStyle w:val="478"/>
        <w:spacing w:line="440" w:lineRule="exact"/>
        <w:ind w:firstLine="480"/>
        <w:jc w:val="left"/>
        <w:rPr>
          <w:rFonts w:hint="eastAsia" w:ascii="宋体" w:hAnsi="宋体" w:cs="宋体"/>
          <w:b/>
          <w:bCs/>
          <w:color w:val="000000"/>
          <w:sz w:val="24"/>
          <w:szCs w:val="24"/>
        </w:rPr>
      </w:pPr>
      <w:r>
        <w:rPr>
          <w:rFonts w:hint="eastAsia" w:ascii="宋体" w:hAnsi="宋体" w:cs="宋体"/>
          <w:bCs/>
          <w:color w:val="000000"/>
          <w:sz w:val="24"/>
          <w:szCs w:val="24"/>
        </w:rPr>
        <w:t>合同未尽事宜，合同当事人另行签订补充协议，补充协议是合同的组成部分。</w:t>
      </w:r>
    </w:p>
    <w:p w14:paraId="0E1E03EC">
      <w:pPr>
        <w:pStyle w:val="478"/>
        <w:spacing w:line="440" w:lineRule="exact"/>
        <w:ind w:firstLine="480"/>
        <w:jc w:val="left"/>
        <w:rPr>
          <w:rFonts w:hint="eastAsia" w:ascii="宋体" w:hAnsi="宋体" w:cs="宋体"/>
          <w:color w:val="000000"/>
          <w:sz w:val="24"/>
          <w:szCs w:val="24"/>
        </w:rPr>
      </w:pPr>
      <w:bookmarkStart w:id="208" w:name="_Toc30764"/>
      <w:r>
        <w:rPr>
          <w:rFonts w:hint="eastAsia" w:ascii="宋体" w:hAnsi="宋体" w:cs="宋体"/>
          <w:color w:val="000000"/>
          <w:sz w:val="24"/>
          <w:szCs w:val="24"/>
        </w:rPr>
        <w:t>十二、合同生效</w:t>
      </w:r>
      <w:bookmarkEnd w:id="208"/>
    </w:p>
    <w:p w14:paraId="4D6B1CC5">
      <w:pPr>
        <w:pStyle w:val="478"/>
        <w:spacing w:line="440" w:lineRule="exact"/>
        <w:ind w:firstLine="480"/>
        <w:jc w:val="left"/>
        <w:rPr>
          <w:rFonts w:hint="eastAsia" w:ascii="宋体" w:hAnsi="宋体" w:cs="宋体"/>
          <w:color w:val="000000"/>
          <w:sz w:val="24"/>
          <w:szCs w:val="24"/>
        </w:rPr>
      </w:pPr>
      <w:r>
        <w:rPr>
          <w:rFonts w:hint="eastAsia" w:ascii="宋体" w:hAnsi="宋体" w:cs="宋体"/>
          <w:color w:val="000000"/>
          <w:sz w:val="24"/>
          <w:szCs w:val="24"/>
        </w:rPr>
        <w:t>本合同自</w:t>
      </w:r>
      <w:r>
        <w:rPr>
          <w:rFonts w:hint="eastAsia" w:ascii="宋体" w:hAnsi="宋体" w:cs="宋体"/>
          <w:color w:val="000000"/>
          <w:sz w:val="24"/>
          <w:szCs w:val="24"/>
          <w:u w:val="single"/>
        </w:rPr>
        <w:t>签订之日起</w:t>
      </w:r>
      <w:r>
        <w:rPr>
          <w:rFonts w:hint="eastAsia" w:ascii="宋体" w:hAnsi="宋体" w:cs="宋体"/>
          <w:color w:val="000000"/>
          <w:sz w:val="24"/>
          <w:szCs w:val="24"/>
        </w:rPr>
        <w:t>生效。</w:t>
      </w:r>
    </w:p>
    <w:p w14:paraId="5CF279BB">
      <w:pPr>
        <w:pStyle w:val="478"/>
        <w:spacing w:line="440" w:lineRule="exact"/>
        <w:ind w:firstLine="480"/>
        <w:jc w:val="left"/>
        <w:rPr>
          <w:rFonts w:hint="eastAsia" w:ascii="宋体" w:hAnsi="宋体" w:cs="宋体"/>
          <w:color w:val="000000"/>
          <w:sz w:val="24"/>
          <w:szCs w:val="24"/>
        </w:rPr>
      </w:pPr>
      <w:bookmarkStart w:id="209" w:name="_Toc6339"/>
      <w:r>
        <w:rPr>
          <w:rFonts w:hint="eastAsia" w:ascii="宋体" w:hAnsi="宋体" w:cs="宋体"/>
          <w:color w:val="000000"/>
          <w:sz w:val="24"/>
          <w:szCs w:val="24"/>
        </w:rPr>
        <w:t>十三、合同份数</w:t>
      </w:r>
      <w:bookmarkEnd w:id="209"/>
    </w:p>
    <w:p w14:paraId="24009965">
      <w:pPr>
        <w:pStyle w:val="478"/>
        <w:spacing w:line="440" w:lineRule="exact"/>
        <w:ind w:firstLine="480"/>
        <w:jc w:val="left"/>
        <w:rPr>
          <w:rFonts w:hint="eastAsia" w:ascii="宋体" w:hAnsi="宋体" w:cs="宋体"/>
          <w:color w:val="000000"/>
          <w:sz w:val="24"/>
          <w:szCs w:val="24"/>
        </w:rPr>
      </w:pPr>
      <w:r>
        <w:rPr>
          <w:rFonts w:hint="eastAsia" w:ascii="宋体" w:hAnsi="宋体" w:cs="宋体"/>
          <w:bCs/>
          <w:color w:val="000000"/>
          <w:sz w:val="24"/>
          <w:szCs w:val="24"/>
        </w:rPr>
        <w:t>本合同一式</w:t>
      </w:r>
      <w:r>
        <w:rPr>
          <w:rFonts w:hint="eastAsia" w:ascii="宋体" w:hAnsi="宋体" w:cs="宋体"/>
          <w:bCs/>
          <w:color w:val="000000"/>
          <w:sz w:val="24"/>
          <w:szCs w:val="24"/>
          <w:u w:val="single"/>
        </w:rPr>
        <w:t xml:space="preserve"> 8</w:t>
      </w:r>
      <w:r>
        <w:rPr>
          <w:rFonts w:hint="eastAsia" w:ascii="宋体" w:hAnsi="宋体" w:cs="宋体"/>
          <w:bCs/>
          <w:color w:val="000000"/>
          <w:sz w:val="24"/>
          <w:szCs w:val="24"/>
        </w:rPr>
        <w:t>份，均具有同等法律效力，发包人执</w:t>
      </w:r>
      <w:r>
        <w:rPr>
          <w:rFonts w:hint="eastAsia" w:ascii="宋体" w:hAnsi="宋体" w:cs="宋体"/>
          <w:bCs/>
          <w:color w:val="000000"/>
          <w:sz w:val="24"/>
          <w:szCs w:val="24"/>
          <w:u w:val="single"/>
        </w:rPr>
        <w:t xml:space="preserve"> 4 </w:t>
      </w:r>
      <w:r>
        <w:rPr>
          <w:rFonts w:hint="eastAsia" w:ascii="宋体" w:hAnsi="宋体" w:cs="宋体"/>
          <w:bCs/>
          <w:color w:val="000000"/>
          <w:sz w:val="24"/>
          <w:szCs w:val="24"/>
        </w:rPr>
        <w:t>份，承包人执</w:t>
      </w:r>
      <w:r>
        <w:rPr>
          <w:rFonts w:hint="eastAsia" w:ascii="宋体" w:hAnsi="宋体" w:cs="宋体"/>
          <w:bCs/>
          <w:color w:val="000000"/>
          <w:sz w:val="24"/>
          <w:szCs w:val="24"/>
          <w:u w:val="single"/>
        </w:rPr>
        <w:t xml:space="preserve"> 4 </w:t>
      </w:r>
      <w:r>
        <w:rPr>
          <w:rFonts w:hint="eastAsia" w:ascii="宋体" w:hAnsi="宋体" w:cs="宋体"/>
          <w:bCs/>
          <w:color w:val="000000"/>
          <w:sz w:val="24"/>
          <w:szCs w:val="24"/>
        </w:rPr>
        <w:t>份。</w:t>
      </w:r>
    </w:p>
    <w:p w14:paraId="28FFAD3D">
      <w:pPr>
        <w:pStyle w:val="478"/>
        <w:spacing w:line="400" w:lineRule="exact"/>
        <w:ind w:firstLine="480"/>
        <w:jc w:val="left"/>
        <w:rPr>
          <w:rFonts w:hint="eastAsia" w:ascii="宋体" w:hAnsi="宋体" w:cs="宋体"/>
          <w:color w:val="000000"/>
          <w:sz w:val="24"/>
          <w:szCs w:val="24"/>
        </w:rPr>
      </w:pPr>
    </w:p>
    <w:p w14:paraId="28A3275C">
      <w:pPr>
        <w:pStyle w:val="478"/>
        <w:spacing w:line="400" w:lineRule="exact"/>
        <w:ind w:firstLine="480"/>
        <w:jc w:val="left"/>
        <w:rPr>
          <w:rFonts w:hint="eastAsia" w:ascii="宋体" w:hAnsi="宋体" w:cs="宋体"/>
          <w:color w:val="000000"/>
          <w:sz w:val="24"/>
          <w:szCs w:val="24"/>
        </w:rPr>
      </w:pPr>
      <w:r>
        <w:rPr>
          <w:rFonts w:hint="eastAsia" w:ascii="宋体" w:hAnsi="宋体" w:cs="宋体"/>
          <w:color w:val="000000"/>
          <w:sz w:val="24"/>
          <w:szCs w:val="24"/>
        </w:rPr>
        <w:t>发包人：  (公章)                              承包人：  (公章)</w:t>
      </w:r>
    </w:p>
    <w:p w14:paraId="21341CC7">
      <w:pPr>
        <w:pStyle w:val="478"/>
        <w:spacing w:line="400" w:lineRule="exact"/>
        <w:ind w:firstLine="480"/>
        <w:jc w:val="left"/>
        <w:rPr>
          <w:rFonts w:hint="eastAsia" w:ascii="宋体" w:hAnsi="宋体" w:cs="宋体"/>
          <w:color w:val="000000"/>
          <w:sz w:val="24"/>
          <w:szCs w:val="24"/>
        </w:rPr>
      </w:pPr>
    </w:p>
    <w:p w14:paraId="3D30A1DB">
      <w:pPr>
        <w:pStyle w:val="478"/>
        <w:spacing w:line="400" w:lineRule="exact"/>
        <w:ind w:firstLine="480"/>
        <w:jc w:val="left"/>
        <w:rPr>
          <w:rFonts w:hint="eastAsia" w:ascii="宋体" w:hAnsi="宋体" w:cs="宋体"/>
          <w:color w:val="000000"/>
          <w:sz w:val="24"/>
          <w:szCs w:val="24"/>
        </w:rPr>
      </w:pPr>
      <w:r>
        <w:rPr>
          <w:rFonts w:hint="eastAsia" w:ascii="宋体" w:hAnsi="宋体" w:cs="宋体"/>
          <w:color w:val="000000"/>
          <w:sz w:val="24"/>
          <w:szCs w:val="24"/>
        </w:rPr>
        <w:t>法定代表人或其委托代理人：                   法定代表人或其委托代理人：</w:t>
      </w:r>
    </w:p>
    <w:p w14:paraId="1B2B3CD4">
      <w:pPr>
        <w:pStyle w:val="478"/>
        <w:spacing w:line="400" w:lineRule="exact"/>
        <w:ind w:firstLine="480"/>
        <w:jc w:val="left"/>
        <w:rPr>
          <w:rFonts w:hint="eastAsia" w:ascii="宋体" w:hAnsi="宋体" w:cs="宋体"/>
          <w:color w:val="000000"/>
          <w:sz w:val="24"/>
          <w:szCs w:val="24"/>
        </w:rPr>
      </w:pPr>
      <w:r>
        <w:rPr>
          <w:rFonts w:hint="eastAsia" w:ascii="宋体" w:hAnsi="宋体" w:cs="宋体"/>
          <w:color w:val="000000"/>
          <w:sz w:val="24"/>
          <w:szCs w:val="24"/>
        </w:rPr>
        <w:t>（签字）                                     （签字）</w:t>
      </w:r>
    </w:p>
    <w:p w14:paraId="7CBB543D">
      <w:pPr>
        <w:pStyle w:val="256"/>
        <w:widowControl/>
        <w:spacing w:line="400" w:lineRule="exact"/>
        <w:ind w:firstLine="480"/>
        <w:jc w:val="left"/>
        <w:rPr>
          <w:rFonts w:hint="eastAsia" w:ascii="宋体" w:hAnsi="宋体" w:cs="宋体"/>
          <w:color w:val="000000"/>
          <w:sz w:val="24"/>
          <w:szCs w:val="24"/>
        </w:rPr>
      </w:pPr>
    </w:p>
    <w:p w14:paraId="4BB270DB">
      <w:pPr>
        <w:pStyle w:val="256"/>
        <w:widowControl/>
        <w:spacing w:line="440" w:lineRule="exact"/>
        <w:ind w:firstLine="480"/>
        <w:jc w:val="left"/>
        <w:rPr>
          <w:rFonts w:hint="eastAsia" w:ascii="宋体" w:hAnsi="宋体" w:cs="宋体"/>
          <w:color w:val="000000"/>
          <w:sz w:val="24"/>
          <w:szCs w:val="24"/>
        </w:rPr>
      </w:pPr>
      <w:r>
        <w:rPr>
          <w:rFonts w:hint="eastAsia" w:ascii="宋体" w:hAnsi="宋体" w:cs="宋体"/>
          <w:color w:val="000000"/>
          <w:sz w:val="24"/>
          <w:szCs w:val="24"/>
        </w:rPr>
        <w:t>组织机构代码：</w:t>
      </w:r>
      <w:r>
        <w:rPr>
          <w:rFonts w:hint="eastAsia" w:ascii="宋体" w:hAnsi="宋体" w:cs="宋体"/>
          <w:color w:val="000000"/>
          <w:sz w:val="24"/>
          <w:szCs w:val="24"/>
          <w:u w:val="single"/>
        </w:rPr>
        <w:t xml:space="preserve">113213220143134623    </w:t>
      </w:r>
      <w:r>
        <w:rPr>
          <w:rFonts w:hint="eastAsia" w:ascii="宋体" w:hAnsi="宋体" w:cs="宋体"/>
          <w:color w:val="000000"/>
          <w:sz w:val="24"/>
          <w:szCs w:val="24"/>
        </w:rPr>
        <w:t xml:space="preserve">       组织机构代码：</w:t>
      </w:r>
      <w:r>
        <w:rPr>
          <w:rFonts w:hint="eastAsia" w:ascii="宋体" w:hAnsi="宋体" w:cs="宋体"/>
          <w:color w:val="000000"/>
          <w:sz w:val="24"/>
          <w:szCs w:val="24"/>
          <w:u w:val="single"/>
        </w:rPr>
        <w:t xml:space="preserve">                        </w:t>
      </w:r>
    </w:p>
    <w:p w14:paraId="1889E29C">
      <w:pPr>
        <w:pStyle w:val="480"/>
        <w:spacing w:line="440" w:lineRule="exact"/>
        <w:ind w:firstLine="480"/>
        <w:jc w:val="left"/>
        <w:rPr>
          <w:rFonts w:hint="eastAsia" w:ascii="宋体" w:hAnsi="宋体" w:cs="宋体"/>
          <w:color w:val="000000"/>
          <w:sz w:val="24"/>
          <w:szCs w:val="24"/>
          <w:u w:val="single"/>
        </w:rPr>
      </w:pPr>
      <w:r>
        <w:rPr>
          <w:rFonts w:hint="eastAsia" w:ascii="宋体" w:hAnsi="宋体" w:cs="宋体"/>
          <w:color w:val="000000"/>
          <w:sz w:val="24"/>
          <w:szCs w:val="24"/>
        </w:rPr>
        <w:t>地  址：</w:t>
      </w:r>
      <w:r>
        <w:rPr>
          <w:rFonts w:hint="eastAsia" w:ascii="宋体" w:hAnsi="宋体" w:cs="宋体"/>
          <w:color w:val="000000"/>
          <w:sz w:val="24"/>
          <w:szCs w:val="24"/>
          <w:u w:val="single"/>
        </w:rPr>
        <w:t xml:space="preserve">沭阳县康平路2号            </w:t>
      </w:r>
      <w:r>
        <w:rPr>
          <w:rFonts w:hint="eastAsia" w:ascii="宋体" w:hAnsi="宋体" w:cs="宋体"/>
          <w:color w:val="000000"/>
          <w:sz w:val="24"/>
          <w:szCs w:val="24"/>
        </w:rPr>
        <w:t xml:space="preserve">       地  址：</w:t>
      </w:r>
      <w:r>
        <w:rPr>
          <w:rFonts w:hint="eastAsia" w:ascii="宋体" w:hAnsi="宋体" w:cs="宋体"/>
          <w:color w:val="000000"/>
          <w:sz w:val="24"/>
          <w:szCs w:val="24"/>
          <w:u w:val="single"/>
        </w:rPr>
        <w:t xml:space="preserve">                                        </w:t>
      </w:r>
    </w:p>
    <w:p w14:paraId="58599FEF">
      <w:pPr>
        <w:pStyle w:val="480"/>
        <w:spacing w:line="440" w:lineRule="exact"/>
        <w:ind w:firstLine="480"/>
        <w:jc w:val="left"/>
        <w:rPr>
          <w:rFonts w:hint="eastAsia" w:ascii="宋体" w:hAnsi="宋体" w:cs="宋体"/>
          <w:color w:val="000000"/>
          <w:sz w:val="24"/>
          <w:szCs w:val="24"/>
          <w:u w:val="single"/>
        </w:rPr>
      </w:pPr>
      <w:r>
        <w:rPr>
          <w:rFonts w:hint="eastAsia" w:ascii="宋体" w:hAnsi="宋体" w:cs="宋体"/>
          <w:color w:val="000000"/>
          <w:sz w:val="24"/>
          <w:szCs w:val="24"/>
        </w:rPr>
        <w:t>邮政编码：</w:t>
      </w:r>
      <w:r>
        <w:rPr>
          <w:rFonts w:hint="eastAsia" w:ascii="宋体" w:hAnsi="宋体" w:cs="宋体"/>
          <w:color w:val="000000"/>
          <w:sz w:val="24"/>
          <w:szCs w:val="24"/>
          <w:u w:val="single"/>
        </w:rPr>
        <w:t xml:space="preserve"> 223600                     </w:t>
      </w:r>
      <w:r>
        <w:rPr>
          <w:rFonts w:hint="eastAsia" w:ascii="宋体" w:hAnsi="宋体" w:cs="宋体"/>
          <w:color w:val="000000"/>
          <w:sz w:val="24"/>
          <w:szCs w:val="24"/>
        </w:rPr>
        <w:t xml:space="preserve">     邮政编码：</w:t>
      </w:r>
      <w:r>
        <w:rPr>
          <w:rFonts w:hint="eastAsia" w:ascii="宋体" w:hAnsi="宋体" w:cs="宋体"/>
          <w:color w:val="000000"/>
          <w:sz w:val="24"/>
          <w:szCs w:val="24"/>
          <w:u w:val="single"/>
        </w:rPr>
        <w:t xml:space="preserve">                                </w:t>
      </w:r>
    </w:p>
    <w:p w14:paraId="7D3DA895">
      <w:pPr>
        <w:pStyle w:val="478"/>
        <w:spacing w:line="440" w:lineRule="exact"/>
        <w:ind w:firstLine="480"/>
        <w:jc w:val="left"/>
        <w:rPr>
          <w:rFonts w:hint="eastAsia" w:ascii="宋体" w:hAnsi="宋体" w:cs="宋体"/>
          <w:color w:val="000000"/>
          <w:sz w:val="24"/>
          <w:szCs w:val="24"/>
          <w:u w:val="single"/>
        </w:rPr>
      </w:pPr>
      <w:r>
        <w:rPr>
          <w:rFonts w:hint="eastAsia" w:ascii="宋体" w:hAnsi="宋体" w:cs="宋体"/>
          <w:color w:val="000000"/>
          <w:sz w:val="24"/>
          <w:szCs w:val="24"/>
        </w:rPr>
        <w:t>法定代表人：</w:t>
      </w:r>
      <w:r>
        <w:rPr>
          <w:rFonts w:hint="eastAsia" w:ascii="宋体" w:hAnsi="宋体" w:cs="宋体"/>
          <w:color w:val="000000"/>
          <w:sz w:val="24"/>
          <w:szCs w:val="24"/>
          <w:u w:val="single"/>
        </w:rPr>
        <w:t xml:space="preserve">郝建华                    </w:t>
      </w:r>
      <w:r>
        <w:rPr>
          <w:rFonts w:hint="eastAsia" w:ascii="宋体" w:hAnsi="宋体" w:cs="宋体"/>
          <w:color w:val="000000"/>
          <w:sz w:val="24"/>
          <w:szCs w:val="24"/>
        </w:rPr>
        <w:t xml:space="preserve">     法定代表人：</w:t>
      </w:r>
      <w:r>
        <w:rPr>
          <w:rFonts w:hint="eastAsia" w:ascii="宋体" w:hAnsi="宋体" w:cs="宋体"/>
          <w:color w:val="000000"/>
          <w:sz w:val="24"/>
          <w:szCs w:val="24"/>
          <w:u w:val="single"/>
        </w:rPr>
        <w:t xml:space="preserve">                            </w:t>
      </w:r>
    </w:p>
    <w:p w14:paraId="082F8473">
      <w:pPr>
        <w:pStyle w:val="478"/>
        <w:spacing w:line="440" w:lineRule="exact"/>
        <w:ind w:firstLine="480"/>
        <w:jc w:val="left"/>
        <w:rPr>
          <w:rFonts w:hint="eastAsia" w:ascii="宋体" w:hAnsi="宋体" w:cs="宋体"/>
          <w:color w:val="000000"/>
          <w:sz w:val="24"/>
          <w:szCs w:val="24"/>
          <w:u w:val="single"/>
        </w:rPr>
      </w:pPr>
      <w:r>
        <w:rPr>
          <w:rFonts w:hint="eastAsia" w:ascii="宋体" w:hAnsi="宋体" w:cs="宋体"/>
          <w:color w:val="000000"/>
          <w:sz w:val="24"/>
          <w:szCs w:val="24"/>
        </w:rPr>
        <w:t>委托代理人：</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委托代理人：</w:t>
      </w:r>
      <w:r>
        <w:rPr>
          <w:rFonts w:hint="eastAsia" w:ascii="宋体" w:hAnsi="宋体" w:cs="宋体"/>
          <w:color w:val="000000"/>
          <w:sz w:val="24"/>
          <w:szCs w:val="24"/>
          <w:u w:val="single"/>
        </w:rPr>
        <w:t xml:space="preserve">                            </w:t>
      </w:r>
    </w:p>
    <w:p w14:paraId="2ED15E20">
      <w:pPr>
        <w:pStyle w:val="478"/>
        <w:spacing w:line="440" w:lineRule="exact"/>
        <w:ind w:firstLine="480"/>
        <w:jc w:val="left"/>
        <w:rPr>
          <w:rFonts w:hint="eastAsia" w:ascii="宋体" w:hAnsi="宋体" w:cs="宋体"/>
          <w:color w:val="000000"/>
          <w:sz w:val="24"/>
          <w:szCs w:val="24"/>
        </w:rPr>
      </w:pPr>
      <w:r>
        <w:rPr>
          <w:rFonts w:hint="eastAsia" w:ascii="宋体" w:hAnsi="宋体" w:cs="宋体"/>
          <w:color w:val="000000"/>
          <w:sz w:val="24"/>
          <w:szCs w:val="24"/>
        </w:rPr>
        <w:t>电  话：</w:t>
      </w:r>
      <w:r>
        <w:rPr>
          <w:rFonts w:hint="eastAsia" w:ascii="宋体" w:hAnsi="宋体" w:cs="宋体"/>
          <w:color w:val="000000"/>
          <w:sz w:val="24"/>
          <w:szCs w:val="24"/>
          <w:u w:val="single"/>
        </w:rPr>
        <w:t xml:space="preserve"> 0527-83594201                </w:t>
      </w:r>
      <w:r>
        <w:rPr>
          <w:rFonts w:hint="eastAsia" w:ascii="宋体" w:hAnsi="宋体" w:cs="宋体"/>
          <w:color w:val="000000"/>
          <w:sz w:val="24"/>
          <w:szCs w:val="24"/>
        </w:rPr>
        <w:t xml:space="preserve">     电  话：</w:t>
      </w:r>
      <w:r>
        <w:rPr>
          <w:rFonts w:hint="eastAsia" w:ascii="宋体" w:hAnsi="宋体" w:cs="宋体"/>
          <w:color w:val="000000"/>
          <w:sz w:val="24"/>
          <w:szCs w:val="24"/>
          <w:u w:val="single"/>
        </w:rPr>
        <w:t xml:space="preserve">                                </w:t>
      </w:r>
    </w:p>
    <w:p w14:paraId="3D063705">
      <w:pPr>
        <w:pStyle w:val="478"/>
        <w:spacing w:line="440" w:lineRule="exact"/>
        <w:ind w:firstLine="480"/>
        <w:jc w:val="left"/>
        <w:rPr>
          <w:rFonts w:hint="eastAsia" w:ascii="宋体" w:hAnsi="宋体" w:cs="宋体"/>
          <w:color w:val="000000"/>
          <w:sz w:val="24"/>
          <w:szCs w:val="24"/>
          <w:u w:val="single"/>
        </w:rPr>
      </w:pPr>
      <w:r>
        <w:rPr>
          <w:rFonts w:hint="eastAsia" w:ascii="宋体" w:hAnsi="宋体" w:cs="宋体"/>
          <w:color w:val="000000"/>
          <w:sz w:val="24"/>
          <w:szCs w:val="24"/>
        </w:rPr>
        <w:t>传  真：</w:t>
      </w:r>
      <w:r>
        <w:rPr>
          <w:rFonts w:hint="eastAsia" w:ascii="宋体" w:hAnsi="宋体" w:cs="宋体"/>
          <w:color w:val="000000"/>
          <w:sz w:val="24"/>
          <w:szCs w:val="24"/>
          <w:u w:val="single"/>
        </w:rPr>
        <w:t xml:space="preserve"> 0527-83594201                </w:t>
      </w:r>
      <w:r>
        <w:rPr>
          <w:rFonts w:hint="eastAsia" w:ascii="宋体" w:hAnsi="宋体" w:cs="宋体"/>
          <w:color w:val="000000"/>
          <w:sz w:val="24"/>
          <w:szCs w:val="24"/>
        </w:rPr>
        <w:t xml:space="preserve">     传  真：</w:t>
      </w:r>
      <w:r>
        <w:rPr>
          <w:rFonts w:hint="eastAsia" w:ascii="宋体" w:hAnsi="宋体" w:cs="宋体"/>
          <w:color w:val="000000"/>
          <w:sz w:val="24"/>
          <w:szCs w:val="24"/>
          <w:u w:val="single"/>
        </w:rPr>
        <w:t xml:space="preserve">                                </w:t>
      </w:r>
    </w:p>
    <w:p w14:paraId="01F01AB6">
      <w:pPr>
        <w:pStyle w:val="478"/>
        <w:spacing w:line="440" w:lineRule="exact"/>
        <w:ind w:firstLine="480"/>
        <w:jc w:val="left"/>
        <w:rPr>
          <w:rFonts w:hint="eastAsia" w:ascii="宋体" w:hAnsi="宋体" w:cs="宋体"/>
          <w:color w:val="000000"/>
          <w:sz w:val="24"/>
          <w:szCs w:val="24"/>
        </w:rPr>
      </w:pPr>
      <w:r>
        <w:rPr>
          <w:rFonts w:hint="eastAsia" w:ascii="宋体" w:hAnsi="宋体" w:cs="宋体"/>
          <w:color w:val="000000"/>
          <w:sz w:val="24"/>
          <w:szCs w:val="24"/>
        </w:rPr>
        <w:t>电子信箱：</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电子信箱：</w:t>
      </w:r>
      <w:r>
        <w:rPr>
          <w:rFonts w:hint="eastAsia" w:ascii="宋体" w:hAnsi="宋体" w:cs="宋体"/>
          <w:color w:val="000000"/>
          <w:sz w:val="24"/>
          <w:szCs w:val="24"/>
          <w:u w:val="single"/>
        </w:rPr>
        <w:t xml:space="preserve">                              </w:t>
      </w:r>
    </w:p>
    <w:p w14:paraId="214749F4">
      <w:pPr>
        <w:pStyle w:val="478"/>
        <w:spacing w:line="440" w:lineRule="exact"/>
        <w:ind w:firstLine="480"/>
        <w:jc w:val="left"/>
        <w:rPr>
          <w:rFonts w:hint="eastAsia" w:ascii="宋体" w:hAnsi="宋体" w:cs="宋体"/>
          <w:color w:val="000000"/>
          <w:sz w:val="24"/>
          <w:szCs w:val="24"/>
          <w:u w:val="single"/>
        </w:rPr>
      </w:pPr>
      <w:r>
        <w:rPr>
          <w:rFonts w:hint="eastAsia" w:ascii="宋体" w:hAnsi="宋体" w:cs="宋体"/>
          <w:color w:val="000000"/>
          <w:sz w:val="24"/>
          <w:szCs w:val="24"/>
        </w:rPr>
        <w:t>开户银行：</w:t>
      </w:r>
      <w:r>
        <w:rPr>
          <w:rFonts w:hint="eastAsia" w:ascii="宋体" w:hAnsi="宋体" w:cs="宋体"/>
          <w:color w:val="000000"/>
          <w:sz w:val="24"/>
          <w:szCs w:val="24"/>
          <w:u w:val="single"/>
        </w:rPr>
        <w:t xml:space="preserve">沭阳县中国银行营业部        </w:t>
      </w:r>
      <w:r>
        <w:rPr>
          <w:rFonts w:hint="eastAsia" w:ascii="宋体" w:hAnsi="宋体" w:cs="宋体"/>
          <w:color w:val="000000"/>
          <w:sz w:val="24"/>
          <w:szCs w:val="24"/>
        </w:rPr>
        <w:t xml:space="preserve">    开户银行：</w:t>
      </w:r>
      <w:r>
        <w:rPr>
          <w:rFonts w:hint="eastAsia" w:ascii="宋体" w:hAnsi="宋体" w:cs="宋体"/>
          <w:color w:val="000000"/>
          <w:sz w:val="24"/>
          <w:szCs w:val="24"/>
          <w:u w:val="single"/>
        </w:rPr>
        <w:t xml:space="preserve">                               </w:t>
      </w:r>
    </w:p>
    <w:p w14:paraId="17B6EA92">
      <w:pPr>
        <w:pStyle w:val="478"/>
        <w:spacing w:line="440" w:lineRule="exact"/>
        <w:ind w:firstLine="480"/>
        <w:jc w:val="left"/>
        <w:rPr>
          <w:rFonts w:hint="eastAsia" w:ascii="宋体" w:hAnsi="宋体" w:cs="宋体"/>
          <w:color w:val="FF0000"/>
          <w:sz w:val="24"/>
          <w:szCs w:val="24"/>
          <w:u w:val="single"/>
        </w:rPr>
      </w:pPr>
      <w:r>
        <w:rPr>
          <w:rFonts w:hint="eastAsia" w:ascii="宋体" w:hAnsi="宋体" w:cs="宋体"/>
          <w:color w:val="000000"/>
          <w:sz w:val="24"/>
          <w:szCs w:val="24"/>
        </w:rPr>
        <w:t>账  号：</w:t>
      </w:r>
      <w:r>
        <w:rPr>
          <w:rFonts w:hint="eastAsia" w:ascii="宋体" w:hAnsi="宋体" w:cs="宋体"/>
          <w:color w:val="000000"/>
          <w:sz w:val="24"/>
          <w:szCs w:val="24"/>
          <w:u w:val="single"/>
        </w:rPr>
        <w:t xml:space="preserve">497558228662                  </w:t>
      </w:r>
      <w:r>
        <w:rPr>
          <w:rFonts w:hint="eastAsia" w:ascii="宋体" w:hAnsi="宋体" w:cs="宋体"/>
          <w:color w:val="000000"/>
          <w:sz w:val="24"/>
          <w:szCs w:val="24"/>
        </w:rPr>
        <w:t xml:space="preserve">     账  号：</w:t>
      </w:r>
      <w:r>
        <w:rPr>
          <w:rFonts w:hint="eastAsia" w:ascii="宋体" w:hAnsi="宋体" w:cs="宋体"/>
          <w:color w:val="000000"/>
          <w:sz w:val="24"/>
          <w:szCs w:val="24"/>
          <w:u w:val="single"/>
        </w:rPr>
        <w:t xml:space="preserve">                                </w:t>
      </w:r>
      <w:bookmarkStart w:id="210" w:name="_Toc28121"/>
      <w:bookmarkStart w:id="211" w:name="_Toc351203494"/>
      <w:bookmarkStart w:id="212" w:name="_Toc351203495"/>
      <w:bookmarkStart w:id="213" w:name="_Toc12209"/>
    </w:p>
    <w:p w14:paraId="1B62B350">
      <w:pPr>
        <w:pStyle w:val="478"/>
        <w:spacing w:line="400" w:lineRule="exact"/>
        <w:ind w:firstLine="480"/>
        <w:jc w:val="center"/>
        <w:rPr>
          <w:rFonts w:hint="eastAsia" w:ascii="宋体" w:hAnsi="宋体" w:cs="方正黑体_GBK"/>
          <w:sz w:val="30"/>
          <w:szCs w:val="30"/>
        </w:rPr>
      </w:pPr>
      <w:r>
        <w:rPr>
          <w:rFonts w:hint="eastAsia" w:ascii="宋体" w:hAnsi="宋体" w:cs="宋体"/>
          <w:color w:val="FF0000"/>
          <w:sz w:val="24"/>
          <w:szCs w:val="24"/>
          <w:u w:val="single"/>
        </w:rPr>
        <w:br w:type="page" w:clear="all"/>
      </w:r>
      <w:r>
        <w:rPr>
          <w:rFonts w:hint="eastAsia" w:ascii="宋体" w:hAnsi="宋体" w:cs="方正黑体_GBK"/>
          <w:sz w:val="30"/>
          <w:szCs w:val="30"/>
        </w:rPr>
        <w:t>第二部分 通用合同条款</w:t>
      </w:r>
      <w:bookmarkEnd w:id="210"/>
      <w:bookmarkEnd w:id="211"/>
      <w:bookmarkStart w:id="214" w:name="_Toc337558727"/>
      <w:r>
        <w:rPr>
          <w:rFonts w:hint="eastAsia" w:ascii="宋体" w:hAnsi="宋体" w:cs="方正黑体_GBK"/>
          <w:sz w:val="30"/>
          <w:szCs w:val="30"/>
        </w:rPr>
        <w:t>（工程部分）</w:t>
      </w:r>
      <w:bookmarkEnd w:id="214"/>
    </w:p>
    <w:p w14:paraId="25BD33AC">
      <w:pPr>
        <w:pStyle w:val="478"/>
        <w:spacing w:line="300" w:lineRule="exact"/>
        <w:ind w:left="-420" w:right="-420" w:firstLine="400"/>
        <w:rPr>
          <w:rFonts w:hint="eastAsia" w:ascii="宋体" w:hAnsi="宋体" w:cs="宋体"/>
          <w:szCs w:val="21"/>
        </w:rPr>
      </w:pPr>
    </w:p>
    <w:p w14:paraId="2124E029">
      <w:pPr>
        <w:pStyle w:val="478"/>
        <w:spacing w:line="300" w:lineRule="exact"/>
        <w:ind w:left="-420" w:right="-420" w:firstLine="422"/>
        <w:rPr>
          <w:rFonts w:hint="eastAsia" w:ascii="宋体" w:hAnsi="宋体" w:cs="宋体"/>
          <w:sz w:val="21"/>
          <w:szCs w:val="22"/>
        </w:rPr>
      </w:pPr>
      <w:r>
        <w:rPr>
          <w:rFonts w:hint="eastAsia" w:ascii="宋体" w:hAnsi="宋体" w:cs="宋体"/>
          <w:b/>
          <w:bCs/>
          <w:sz w:val="21"/>
          <w:szCs w:val="22"/>
        </w:rPr>
        <w:t>除专用合同条款另有约定外，均执行《建设工程施工合同（示范文本）》（GF-2017-0201）第二部分通用合同条款</w:t>
      </w:r>
      <w:r>
        <w:rPr>
          <w:rFonts w:hint="eastAsia" w:ascii="宋体" w:hAnsi="宋体" w:cs="宋体"/>
          <w:sz w:val="21"/>
          <w:szCs w:val="22"/>
        </w:rPr>
        <w:t>。</w:t>
      </w:r>
      <w:bookmarkStart w:id="215" w:name="_Toc118"/>
    </w:p>
    <w:p w14:paraId="6DC26B7B">
      <w:pPr>
        <w:pStyle w:val="478"/>
        <w:spacing w:line="300" w:lineRule="exact"/>
        <w:ind w:right="-420"/>
        <w:rPr>
          <w:rFonts w:hint="eastAsia" w:ascii="宋体" w:hAnsi="宋体"/>
          <w:szCs w:val="21"/>
        </w:rPr>
      </w:pPr>
    </w:p>
    <w:p w14:paraId="346787DB">
      <w:pPr>
        <w:pStyle w:val="478"/>
        <w:spacing w:line="360" w:lineRule="exact"/>
        <w:ind w:left="-420" w:right="-420" w:firstLine="600"/>
        <w:jc w:val="center"/>
        <w:rPr>
          <w:rFonts w:hint="eastAsia" w:ascii="宋体" w:hAnsi="宋体" w:cs="方正黑体_GBK"/>
          <w:sz w:val="30"/>
          <w:szCs w:val="30"/>
        </w:rPr>
      </w:pPr>
      <w:r>
        <w:rPr>
          <w:rFonts w:hint="eastAsia" w:ascii="宋体" w:hAnsi="宋体" w:cs="方正黑体_GBK"/>
          <w:sz w:val="30"/>
          <w:szCs w:val="30"/>
        </w:rPr>
        <w:t>第三部分 专用合同条款</w:t>
      </w:r>
      <w:bookmarkEnd w:id="215"/>
      <w:r>
        <w:rPr>
          <w:rFonts w:hint="eastAsia" w:ascii="宋体" w:hAnsi="宋体" w:cs="方正黑体_GBK"/>
          <w:sz w:val="30"/>
          <w:szCs w:val="30"/>
        </w:rPr>
        <w:t>（工程部分）</w:t>
      </w:r>
    </w:p>
    <w:p w14:paraId="71A1C6D5">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w:t>
      </w:r>
      <w:bookmarkStart w:id="216" w:name="_Toc296347155"/>
      <w:bookmarkStart w:id="217" w:name="_Toc296503156"/>
      <w:bookmarkStart w:id="218" w:name="_Toc296891196"/>
      <w:bookmarkStart w:id="219" w:name="_Toc297120456"/>
      <w:bookmarkStart w:id="220" w:name="_Toc296944495"/>
      <w:bookmarkStart w:id="221" w:name="_Toc292559361"/>
      <w:bookmarkStart w:id="222" w:name="_Toc292559866"/>
      <w:bookmarkStart w:id="223" w:name="_Toc296346657"/>
      <w:bookmarkStart w:id="224" w:name="_Toc297048342"/>
      <w:bookmarkStart w:id="225" w:name="_Toc296890984"/>
      <w:r>
        <w:rPr>
          <w:rFonts w:hint="eastAsia" w:ascii="宋体" w:hAnsi="宋体" w:cs="宋体"/>
          <w:sz w:val="22"/>
          <w:szCs w:val="22"/>
        </w:rPr>
        <w:t>. 一般约定</w:t>
      </w:r>
      <w:bookmarkEnd w:id="216"/>
      <w:bookmarkEnd w:id="217"/>
      <w:bookmarkEnd w:id="218"/>
      <w:bookmarkEnd w:id="219"/>
      <w:bookmarkEnd w:id="220"/>
      <w:bookmarkEnd w:id="221"/>
      <w:bookmarkEnd w:id="222"/>
      <w:bookmarkEnd w:id="223"/>
      <w:bookmarkEnd w:id="224"/>
      <w:bookmarkEnd w:id="225"/>
    </w:p>
    <w:p w14:paraId="14F9E12A">
      <w:pPr>
        <w:pStyle w:val="478"/>
        <w:spacing w:line="400" w:lineRule="exact"/>
        <w:ind w:left="-420" w:right="-420" w:firstLine="440"/>
        <w:rPr>
          <w:rFonts w:hint="eastAsia" w:ascii="宋体" w:hAnsi="宋体" w:cs="宋体"/>
          <w:sz w:val="22"/>
          <w:szCs w:val="22"/>
        </w:rPr>
      </w:pPr>
      <w:bookmarkStart w:id="226" w:name="_Toc22202"/>
      <w:r>
        <w:rPr>
          <w:rFonts w:hint="eastAsia" w:ascii="宋体" w:hAnsi="宋体" w:cs="宋体"/>
          <w:sz w:val="22"/>
          <w:szCs w:val="22"/>
        </w:rPr>
        <w:t>1.1 词语定义</w:t>
      </w:r>
      <w:bookmarkEnd w:id="226"/>
    </w:p>
    <w:p w14:paraId="0F434E15">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1.1.1合同</w:t>
      </w:r>
    </w:p>
    <w:p w14:paraId="752A673D">
      <w:pPr>
        <w:pStyle w:val="478"/>
        <w:spacing w:line="400" w:lineRule="exact"/>
        <w:ind w:left="-420" w:right="-420" w:firstLine="440"/>
        <w:rPr>
          <w:rFonts w:hint="eastAsia" w:ascii="宋体" w:hAnsi="宋体" w:cs="宋体"/>
          <w:sz w:val="22"/>
          <w:szCs w:val="22"/>
          <w:u w:val="single"/>
        </w:rPr>
      </w:pPr>
      <w:r>
        <w:rPr>
          <w:rFonts w:hint="eastAsia" w:ascii="宋体" w:hAnsi="宋体" w:cs="宋体"/>
          <w:sz w:val="22"/>
          <w:szCs w:val="22"/>
        </w:rPr>
        <w:t>1.1.1.10其他合同文件包括：</w:t>
      </w:r>
      <w:r>
        <w:rPr>
          <w:rFonts w:hint="eastAsia" w:ascii="宋体" w:hAnsi="宋体" w:cs="宋体"/>
          <w:sz w:val="22"/>
          <w:szCs w:val="22"/>
          <w:u w:val="single"/>
        </w:rPr>
        <w:t>履行合同过程中双方确认的对合同有影响的补充协议、会议纪要、签证及设计变更等相关资料等；所有其他合同文件应由合同当事人法人代表认可并加盖单位印章方有效。</w:t>
      </w:r>
      <w:bookmarkEnd w:id="212"/>
    </w:p>
    <w:p w14:paraId="085A1A4E">
      <w:pPr>
        <w:pStyle w:val="256"/>
        <w:spacing w:line="400" w:lineRule="exact"/>
        <w:ind w:left="-420" w:right="-420" w:firstLine="440"/>
        <w:jc w:val="left"/>
        <w:rPr>
          <w:rFonts w:hint="eastAsia" w:ascii="宋体" w:hAnsi="宋体" w:cs="宋体"/>
          <w:sz w:val="22"/>
        </w:rPr>
      </w:pPr>
      <w:r>
        <w:rPr>
          <w:rFonts w:hint="eastAsia" w:ascii="宋体" w:hAnsi="宋体" w:cs="宋体"/>
          <w:sz w:val="22"/>
        </w:rPr>
        <w:t>1.1.2 合同当事人及其他相关方</w:t>
      </w:r>
    </w:p>
    <w:p w14:paraId="3443F134">
      <w:pPr>
        <w:pStyle w:val="256"/>
        <w:spacing w:line="400" w:lineRule="exact"/>
        <w:ind w:left="-420" w:right="-420" w:firstLine="440"/>
        <w:jc w:val="left"/>
        <w:rPr>
          <w:rFonts w:hint="eastAsia" w:ascii="宋体" w:hAnsi="宋体" w:cs="宋体"/>
          <w:color w:val="000000"/>
          <w:sz w:val="22"/>
        </w:rPr>
      </w:pPr>
      <w:r>
        <w:rPr>
          <w:rFonts w:hint="eastAsia" w:ascii="宋体" w:hAnsi="宋体" w:cs="宋体"/>
          <w:color w:val="000000"/>
          <w:sz w:val="22"/>
        </w:rPr>
        <w:t>1.1.2.4监理人：</w:t>
      </w:r>
    </w:p>
    <w:p w14:paraId="0197EF7A">
      <w:pPr>
        <w:pStyle w:val="256"/>
        <w:spacing w:line="400" w:lineRule="exact"/>
        <w:ind w:left="-420" w:right="-420" w:firstLine="440"/>
        <w:jc w:val="left"/>
        <w:rPr>
          <w:rFonts w:hint="eastAsia" w:ascii="宋体" w:hAnsi="宋体" w:cs="宋体"/>
          <w:color w:val="000000"/>
          <w:sz w:val="22"/>
        </w:rPr>
      </w:pPr>
      <w:r>
        <w:rPr>
          <w:rFonts w:hint="eastAsia" w:ascii="宋体" w:hAnsi="宋体" w:cs="宋体"/>
          <w:color w:val="000000"/>
          <w:sz w:val="22"/>
        </w:rPr>
        <w:t>名    称：</w:t>
      </w:r>
      <w:r>
        <w:rPr>
          <w:rFonts w:hint="eastAsia" w:ascii="宋体" w:hAnsi="宋体" w:cs="宋体"/>
          <w:color w:val="000000"/>
          <w:sz w:val="22"/>
          <w:u w:val="single"/>
        </w:rPr>
        <w:t xml:space="preserve">                                     </w:t>
      </w:r>
      <w:r>
        <w:rPr>
          <w:rFonts w:hint="eastAsia" w:ascii="宋体" w:hAnsi="宋体" w:cs="宋体"/>
          <w:color w:val="000000"/>
          <w:sz w:val="22"/>
        </w:rPr>
        <w:t>；</w:t>
      </w:r>
    </w:p>
    <w:p w14:paraId="4BCD85F4">
      <w:pPr>
        <w:pStyle w:val="256"/>
        <w:spacing w:line="400" w:lineRule="exact"/>
        <w:ind w:left="-420" w:right="-420" w:firstLine="440"/>
        <w:jc w:val="left"/>
        <w:rPr>
          <w:rFonts w:hint="eastAsia" w:ascii="宋体" w:hAnsi="宋体" w:cs="宋体"/>
          <w:color w:val="000000"/>
          <w:sz w:val="22"/>
        </w:rPr>
      </w:pPr>
      <w:r>
        <w:rPr>
          <w:rFonts w:hint="eastAsia" w:ascii="宋体" w:hAnsi="宋体" w:cs="宋体"/>
          <w:color w:val="000000"/>
          <w:sz w:val="22"/>
        </w:rPr>
        <w:t>资质类别和等级：</w:t>
      </w:r>
      <w:r>
        <w:rPr>
          <w:rFonts w:hint="eastAsia" w:ascii="宋体" w:hAnsi="宋体" w:cs="宋体"/>
          <w:color w:val="000000"/>
          <w:sz w:val="22"/>
          <w:u w:val="single"/>
        </w:rPr>
        <w:t xml:space="preserve">                               </w:t>
      </w:r>
      <w:r>
        <w:rPr>
          <w:rFonts w:hint="eastAsia" w:ascii="宋体" w:hAnsi="宋体" w:cs="宋体"/>
          <w:color w:val="000000"/>
          <w:sz w:val="22"/>
        </w:rPr>
        <w:t>；</w:t>
      </w:r>
    </w:p>
    <w:p w14:paraId="388BF2D0">
      <w:pPr>
        <w:pStyle w:val="256"/>
        <w:spacing w:line="400" w:lineRule="exact"/>
        <w:ind w:left="-420" w:right="-420" w:firstLine="440"/>
        <w:jc w:val="left"/>
        <w:rPr>
          <w:rFonts w:hint="eastAsia" w:ascii="宋体" w:hAnsi="宋体" w:cs="宋体"/>
          <w:color w:val="000000"/>
          <w:sz w:val="22"/>
        </w:rPr>
      </w:pPr>
      <w:r>
        <w:rPr>
          <w:rFonts w:hint="eastAsia" w:ascii="宋体" w:hAnsi="宋体" w:cs="宋体"/>
          <w:color w:val="000000"/>
          <w:sz w:val="22"/>
        </w:rPr>
        <w:t>联系电话：</w:t>
      </w:r>
      <w:r>
        <w:rPr>
          <w:rFonts w:hint="eastAsia" w:ascii="宋体" w:hAnsi="宋体" w:cs="宋体"/>
          <w:color w:val="000000"/>
          <w:sz w:val="22"/>
          <w:u w:val="single"/>
        </w:rPr>
        <w:t xml:space="preserve">                                     </w:t>
      </w:r>
      <w:r>
        <w:rPr>
          <w:rFonts w:hint="eastAsia" w:ascii="宋体" w:hAnsi="宋体" w:cs="宋体"/>
          <w:color w:val="000000"/>
          <w:sz w:val="22"/>
        </w:rPr>
        <w:t>；</w:t>
      </w:r>
    </w:p>
    <w:p w14:paraId="475331C8">
      <w:pPr>
        <w:pStyle w:val="256"/>
        <w:spacing w:line="400" w:lineRule="exact"/>
        <w:ind w:left="-420" w:right="-420" w:firstLine="440"/>
        <w:jc w:val="left"/>
        <w:rPr>
          <w:rFonts w:hint="eastAsia" w:ascii="宋体" w:hAnsi="宋体" w:cs="宋体"/>
          <w:color w:val="000000"/>
          <w:sz w:val="22"/>
        </w:rPr>
      </w:pPr>
      <w:r>
        <w:rPr>
          <w:rFonts w:hint="eastAsia" w:ascii="宋体" w:hAnsi="宋体" w:cs="宋体"/>
          <w:color w:val="000000"/>
          <w:sz w:val="22"/>
        </w:rPr>
        <w:t>电子信箱：</w:t>
      </w:r>
      <w:r>
        <w:rPr>
          <w:rFonts w:hint="eastAsia" w:ascii="宋体" w:hAnsi="宋体" w:cs="宋体"/>
          <w:color w:val="000000"/>
          <w:sz w:val="22"/>
          <w:u w:val="single"/>
        </w:rPr>
        <w:t xml:space="preserve">                                     </w:t>
      </w:r>
      <w:r>
        <w:rPr>
          <w:rFonts w:hint="eastAsia" w:ascii="宋体" w:hAnsi="宋体" w:cs="宋体"/>
          <w:color w:val="000000"/>
          <w:sz w:val="22"/>
        </w:rPr>
        <w:t>；</w:t>
      </w:r>
    </w:p>
    <w:p w14:paraId="707B89BD">
      <w:pPr>
        <w:pStyle w:val="256"/>
        <w:spacing w:line="400" w:lineRule="exact"/>
        <w:ind w:left="-420" w:right="-420" w:firstLine="440"/>
        <w:jc w:val="left"/>
        <w:rPr>
          <w:rFonts w:hint="eastAsia" w:ascii="宋体" w:hAnsi="宋体" w:cs="宋体"/>
          <w:color w:val="000000"/>
          <w:sz w:val="22"/>
        </w:rPr>
      </w:pPr>
      <w:r>
        <w:rPr>
          <w:rFonts w:hint="eastAsia" w:ascii="宋体" w:hAnsi="宋体" w:cs="宋体"/>
          <w:color w:val="000000"/>
          <w:sz w:val="22"/>
        </w:rPr>
        <w:t>通信地址：</w:t>
      </w:r>
      <w:r>
        <w:rPr>
          <w:rFonts w:hint="eastAsia" w:ascii="宋体" w:hAnsi="宋体" w:cs="宋体"/>
          <w:color w:val="000000"/>
          <w:sz w:val="22"/>
          <w:u w:val="single"/>
        </w:rPr>
        <w:t xml:space="preserve">                                     </w:t>
      </w:r>
      <w:r>
        <w:rPr>
          <w:rFonts w:hint="eastAsia" w:ascii="宋体" w:hAnsi="宋体" w:cs="宋体"/>
          <w:color w:val="000000"/>
          <w:sz w:val="22"/>
        </w:rPr>
        <w:t>。</w:t>
      </w:r>
    </w:p>
    <w:p w14:paraId="1D3A44DA">
      <w:pPr>
        <w:pStyle w:val="256"/>
        <w:spacing w:line="400" w:lineRule="exact"/>
        <w:ind w:left="-420" w:right="-420" w:firstLine="440"/>
        <w:jc w:val="left"/>
        <w:rPr>
          <w:rFonts w:hint="eastAsia" w:ascii="宋体" w:hAnsi="宋体" w:cs="宋体"/>
          <w:color w:val="000000"/>
          <w:sz w:val="22"/>
        </w:rPr>
      </w:pPr>
      <w:r>
        <w:rPr>
          <w:rFonts w:hint="eastAsia" w:ascii="宋体" w:hAnsi="宋体" w:cs="宋体"/>
          <w:color w:val="000000"/>
          <w:sz w:val="22"/>
        </w:rPr>
        <w:t>1.1.2.5设计人：</w:t>
      </w:r>
    </w:p>
    <w:p w14:paraId="62C7010E">
      <w:pPr>
        <w:pStyle w:val="256"/>
        <w:spacing w:line="400" w:lineRule="exact"/>
        <w:ind w:left="-420" w:right="-420" w:firstLine="440"/>
        <w:jc w:val="left"/>
        <w:rPr>
          <w:rFonts w:hint="eastAsia" w:ascii="宋体" w:hAnsi="宋体" w:cs="宋体"/>
          <w:color w:val="000000"/>
          <w:sz w:val="22"/>
        </w:rPr>
      </w:pPr>
      <w:r>
        <w:rPr>
          <w:rFonts w:hint="eastAsia" w:ascii="宋体" w:hAnsi="宋体" w:cs="宋体"/>
          <w:color w:val="000000"/>
          <w:sz w:val="22"/>
        </w:rPr>
        <w:t>名    称：</w:t>
      </w:r>
      <w:r>
        <w:rPr>
          <w:rFonts w:hint="eastAsia" w:ascii="宋体" w:hAnsi="宋体" w:cs="宋体"/>
          <w:color w:val="000000"/>
          <w:sz w:val="22"/>
          <w:u w:val="single"/>
        </w:rPr>
        <w:t>/</w:t>
      </w:r>
      <w:r>
        <w:rPr>
          <w:rFonts w:hint="eastAsia" w:ascii="宋体" w:hAnsi="宋体" w:cs="宋体"/>
          <w:color w:val="000000"/>
          <w:sz w:val="22"/>
        </w:rPr>
        <w:t>；</w:t>
      </w:r>
    </w:p>
    <w:p w14:paraId="3B1C3C80">
      <w:pPr>
        <w:pStyle w:val="256"/>
        <w:spacing w:line="400" w:lineRule="exact"/>
        <w:ind w:left="-420" w:right="-420" w:firstLine="440"/>
        <w:jc w:val="left"/>
        <w:rPr>
          <w:rFonts w:hint="eastAsia" w:ascii="宋体" w:hAnsi="宋体" w:cs="宋体"/>
          <w:color w:val="000000"/>
          <w:sz w:val="22"/>
        </w:rPr>
      </w:pPr>
      <w:r>
        <w:rPr>
          <w:rFonts w:hint="eastAsia" w:ascii="宋体" w:hAnsi="宋体" w:cs="宋体"/>
          <w:color w:val="000000"/>
          <w:sz w:val="22"/>
        </w:rPr>
        <w:t>资质类别和等级：</w:t>
      </w:r>
      <w:r>
        <w:rPr>
          <w:rFonts w:hint="eastAsia" w:ascii="宋体" w:hAnsi="宋体" w:cs="宋体"/>
          <w:color w:val="000000"/>
          <w:sz w:val="22"/>
          <w:u w:val="single"/>
        </w:rPr>
        <w:t>/</w:t>
      </w:r>
      <w:r>
        <w:rPr>
          <w:rFonts w:hint="eastAsia" w:ascii="宋体" w:hAnsi="宋体" w:cs="宋体"/>
          <w:color w:val="000000"/>
          <w:sz w:val="22"/>
        </w:rPr>
        <w:t>；</w:t>
      </w:r>
    </w:p>
    <w:p w14:paraId="1764D3FE">
      <w:pPr>
        <w:pStyle w:val="256"/>
        <w:spacing w:line="400" w:lineRule="exact"/>
        <w:ind w:left="-420" w:right="-420" w:firstLine="440"/>
        <w:jc w:val="left"/>
        <w:rPr>
          <w:rFonts w:hint="eastAsia" w:ascii="宋体" w:hAnsi="宋体" w:cs="宋体"/>
          <w:color w:val="000000"/>
          <w:sz w:val="22"/>
        </w:rPr>
      </w:pPr>
      <w:r>
        <w:rPr>
          <w:rFonts w:hint="eastAsia" w:ascii="宋体" w:hAnsi="宋体" w:cs="宋体"/>
          <w:color w:val="000000"/>
          <w:sz w:val="22"/>
        </w:rPr>
        <w:t>联系电话：</w:t>
      </w:r>
      <w:r>
        <w:rPr>
          <w:rFonts w:hint="eastAsia" w:ascii="宋体" w:hAnsi="宋体" w:cs="宋体"/>
          <w:color w:val="000000"/>
          <w:sz w:val="22"/>
          <w:u w:val="single"/>
        </w:rPr>
        <w:t xml:space="preserve">                                     </w:t>
      </w:r>
      <w:r>
        <w:rPr>
          <w:rFonts w:hint="eastAsia" w:ascii="宋体" w:hAnsi="宋体" w:cs="宋体"/>
          <w:color w:val="000000"/>
          <w:sz w:val="22"/>
        </w:rPr>
        <w:t>；</w:t>
      </w:r>
    </w:p>
    <w:p w14:paraId="773AFF15">
      <w:pPr>
        <w:pStyle w:val="256"/>
        <w:spacing w:line="400" w:lineRule="exact"/>
        <w:ind w:left="-420" w:right="-420" w:firstLine="440"/>
        <w:jc w:val="left"/>
        <w:rPr>
          <w:rFonts w:hint="eastAsia" w:ascii="宋体" w:hAnsi="宋体" w:cs="宋体"/>
          <w:color w:val="000000"/>
          <w:sz w:val="22"/>
        </w:rPr>
      </w:pPr>
      <w:r>
        <w:rPr>
          <w:rFonts w:hint="eastAsia" w:ascii="宋体" w:hAnsi="宋体" w:cs="宋体"/>
          <w:color w:val="000000"/>
          <w:sz w:val="22"/>
        </w:rPr>
        <w:t>电子信箱：</w:t>
      </w:r>
      <w:r>
        <w:rPr>
          <w:rFonts w:hint="eastAsia" w:ascii="宋体" w:hAnsi="宋体" w:cs="宋体"/>
          <w:color w:val="000000"/>
          <w:sz w:val="22"/>
          <w:u w:val="single"/>
        </w:rPr>
        <w:t xml:space="preserve">                                     </w:t>
      </w:r>
      <w:r>
        <w:rPr>
          <w:rFonts w:hint="eastAsia" w:ascii="宋体" w:hAnsi="宋体" w:cs="宋体"/>
          <w:color w:val="000000"/>
          <w:sz w:val="22"/>
        </w:rPr>
        <w:t>；</w:t>
      </w:r>
    </w:p>
    <w:p w14:paraId="7064F9A0">
      <w:pPr>
        <w:pStyle w:val="478"/>
        <w:spacing w:line="400" w:lineRule="exact"/>
        <w:ind w:left="-420" w:right="-420" w:firstLine="440"/>
        <w:rPr>
          <w:rFonts w:hint="eastAsia" w:ascii="宋体" w:hAnsi="宋体" w:cs="宋体"/>
          <w:color w:val="FF0000"/>
          <w:sz w:val="22"/>
          <w:szCs w:val="22"/>
        </w:rPr>
      </w:pPr>
      <w:r>
        <w:rPr>
          <w:rFonts w:hint="eastAsia" w:ascii="宋体" w:hAnsi="宋体" w:cs="宋体"/>
          <w:color w:val="000000"/>
          <w:sz w:val="22"/>
          <w:szCs w:val="22"/>
        </w:rPr>
        <w:t>通信地址：</w:t>
      </w:r>
      <w:r>
        <w:rPr>
          <w:rFonts w:hint="eastAsia" w:ascii="宋体" w:hAnsi="宋体" w:cs="宋体"/>
          <w:color w:val="000000"/>
          <w:sz w:val="22"/>
          <w:szCs w:val="22"/>
          <w:u w:val="single"/>
        </w:rPr>
        <w:t xml:space="preserve">                                        </w:t>
      </w:r>
      <w:r>
        <w:rPr>
          <w:rFonts w:hint="eastAsia" w:ascii="宋体" w:hAnsi="宋体" w:cs="宋体"/>
          <w:color w:val="000000"/>
          <w:sz w:val="22"/>
          <w:szCs w:val="22"/>
        </w:rPr>
        <w:t xml:space="preserve">。  </w:t>
      </w:r>
    </w:p>
    <w:p w14:paraId="3FF40153">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1.1.3 工程和设备</w:t>
      </w:r>
    </w:p>
    <w:p w14:paraId="4D54A6F0">
      <w:pPr>
        <w:pStyle w:val="478"/>
        <w:spacing w:line="400" w:lineRule="exact"/>
        <w:ind w:left="-420" w:right="-420" w:firstLine="440"/>
        <w:rPr>
          <w:rFonts w:hint="eastAsia" w:ascii="宋体" w:hAnsi="宋体" w:cs="宋体"/>
          <w:sz w:val="22"/>
          <w:szCs w:val="22"/>
          <w:u w:val="single"/>
        </w:rPr>
      </w:pPr>
      <w:r>
        <w:rPr>
          <w:rFonts w:hint="eastAsia" w:ascii="宋体" w:hAnsi="宋体" w:cs="宋体"/>
          <w:sz w:val="22"/>
          <w:szCs w:val="22"/>
        </w:rPr>
        <w:t>1.1.3.7 作为施工现场组成部分的其他场所包括：</w:t>
      </w:r>
      <w:r>
        <w:rPr>
          <w:rFonts w:hint="eastAsia" w:ascii="宋体" w:hAnsi="宋体" w:cs="宋体"/>
          <w:sz w:val="22"/>
          <w:szCs w:val="22"/>
          <w:u w:val="single"/>
        </w:rPr>
        <w:t>是指用于工程施工的场所，以及作为施工场所组成部分的其他场所，包括永久占地和临时占地（含临时性生产和生活设施）、现场临时办公场地。</w:t>
      </w:r>
    </w:p>
    <w:p w14:paraId="4C2D4D11">
      <w:pPr>
        <w:pStyle w:val="478"/>
        <w:spacing w:line="400" w:lineRule="exact"/>
        <w:ind w:left="-420" w:right="-420" w:firstLine="440"/>
        <w:rPr>
          <w:rFonts w:hint="eastAsia" w:ascii="宋体" w:hAnsi="宋体" w:cs="宋体"/>
          <w:sz w:val="22"/>
          <w:szCs w:val="22"/>
          <w:u w:val="single"/>
        </w:rPr>
      </w:pPr>
      <w:r>
        <w:rPr>
          <w:rFonts w:hint="eastAsia" w:ascii="宋体" w:hAnsi="宋体" w:cs="宋体"/>
          <w:sz w:val="22"/>
          <w:szCs w:val="22"/>
          <w:u w:val="single"/>
        </w:rPr>
        <w:t>1.1.3.9 永久占地包括：为实施工程需永久占用的土地，按照设计图纸、建设内容确定。</w:t>
      </w:r>
    </w:p>
    <w:p w14:paraId="446674D8">
      <w:pPr>
        <w:pStyle w:val="478"/>
        <w:spacing w:line="400" w:lineRule="exact"/>
        <w:ind w:left="-17" w:right="-420" w:firstLine="440"/>
        <w:rPr>
          <w:rFonts w:hint="eastAsia" w:ascii="宋体" w:hAnsi="宋体" w:cs="宋体"/>
          <w:sz w:val="22"/>
          <w:szCs w:val="22"/>
        </w:rPr>
      </w:pPr>
      <w:r>
        <w:rPr>
          <w:rFonts w:hint="eastAsia" w:ascii="宋体" w:hAnsi="宋体" w:cs="宋体"/>
          <w:sz w:val="22"/>
          <w:szCs w:val="22"/>
          <w:u w:val="single"/>
        </w:rPr>
        <w:t>1.1.3.10 临时占地包括：为实施工程需要临时占用的土地，合同履行中发承双方根据建设需求确定。</w:t>
      </w:r>
      <w:r>
        <w:rPr>
          <w:rFonts w:hint="eastAsia" w:ascii="宋体" w:hAnsi="宋体" w:cs="宋体"/>
          <w:sz w:val="22"/>
          <w:szCs w:val="22"/>
        </w:rPr>
        <w:t>1.1.4 日期和期限</w:t>
      </w:r>
    </w:p>
    <w:p w14:paraId="0F1BD0AD">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1.1.4.1 开工日期：</w:t>
      </w:r>
      <w:r>
        <w:rPr>
          <w:rFonts w:hint="eastAsia" w:ascii="宋体" w:hAnsi="宋体" w:cs="宋体"/>
          <w:sz w:val="22"/>
          <w:szCs w:val="22"/>
          <w:u w:val="single"/>
        </w:rPr>
        <w:t>包括计划开工日期和实际开工日期。计划开工日期是指合同协议书约定的开工日期；实际开工日期是指监理人按照发包人意见发出的开工通知中载明的开工日期</w:t>
      </w:r>
      <w:r>
        <w:rPr>
          <w:rFonts w:hint="eastAsia" w:ascii="宋体" w:hAnsi="宋体" w:cs="宋体"/>
          <w:sz w:val="22"/>
          <w:szCs w:val="22"/>
        </w:rPr>
        <w:t>。</w:t>
      </w:r>
    </w:p>
    <w:p w14:paraId="572E2867">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1.1.4.2 竣工日期：</w:t>
      </w:r>
      <w:r>
        <w:rPr>
          <w:rFonts w:hint="eastAsia" w:ascii="宋体" w:hAnsi="宋体" w:cs="宋体"/>
          <w:sz w:val="22"/>
          <w:szCs w:val="22"/>
          <w:u w:val="single"/>
        </w:rPr>
        <w:t>包括计划竣工日期和实际竣工日期。计划竣工日期是指合同协议书约定的竣工日期；实际竣工日期以开工通知中载明的开工日期起算，按照工期总日历天数计算</w:t>
      </w:r>
      <w:r>
        <w:rPr>
          <w:rFonts w:hint="eastAsia" w:ascii="宋体" w:hAnsi="宋体" w:cs="宋体"/>
          <w:sz w:val="22"/>
          <w:szCs w:val="22"/>
        </w:rPr>
        <w:t xml:space="preserve">。 </w:t>
      </w:r>
    </w:p>
    <w:p w14:paraId="7AAC3773">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1.1.4.3 工期：</w:t>
      </w:r>
      <w:r>
        <w:rPr>
          <w:rFonts w:hint="eastAsia" w:ascii="宋体" w:hAnsi="宋体" w:cs="宋体"/>
          <w:sz w:val="22"/>
          <w:szCs w:val="22"/>
          <w:u w:val="single"/>
        </w:rPr>
        <w:t>是指在合同协议书约定的承包人完成工程所需的期限，包括按照合同约定所作的期限变更</w:t>
      </w:r>
      <w:r>
        <w:rPr>
          <w:rFonts w:hint="eastAsia" w:ascii="宋体" w:hAnsi="宋体" w:cs="宋体"/>
          <w:sz w:val="22"/>
          <w:szCs w:val="22"/>
        </w:rPr>
        <w:t>。</w:t>
      </w:r>
    </w:p>
    <w:p w14:paraId="699B89D2">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1.1.4.4 缺陷责任期：</w:t>
      </w:r>
      <w:r>
        <w:rPr>
          <w:rFonts w:hint="eastAsia" w:ascii="宋体" w:hAnsi="宋体" w:cs="宋体"/>
          <w:sz w:val="22"/>
          <w:szCs w:val="22"/>
          <w:u w:val="single"/>
        </w:rPr>
        <w:t>是指承包人按照合同约定承担缺陷修复义务，且发包人预留</w:t>
      </w:r>
      <w:r>
        <w:rPr>
          <w:rFonts w:hint="eastAsia" w:ascii="宋体" w:hAnsi="宋体" w:cs="宋体"/>
          <w:sz w:val="22"/>
          <w:szCs w:val="22"/>
          <w:u w:val="single"/>
          <w:lang w:val="en-US" w:eastAsia="zh-CN"/>
        </w:rPr>
        <w:t>项目余款</w:t>
      </w:r>
      <w:r>
        <w:rPr>
          <w:rFonts w:hint="eastAsia" w:ascii="宋体" w:hAnsi="宋体" w:cs="宋体"/>
          <w:sz w:val="22"/>
          <w:szCs w:val="22"/>
          <w:u w:val="single"/>
        </w:rPr>
        <w:t>，自实际竣工日期起计算日期起计算</w:t>
      </w:r>
      <w:r>
        <w:rPr>
          <w:rFonts w:hint="eastAsia" w:ascii="宋体" w:hAnsi="宋体" w:cs="宋体"/>
          <w:sz w:val="22"/>
          <w:szCs w:val="22"/>
        </w:rPr>
        <w:t>。</w:t>
      </w:r>
    </w:p>
    <w:p w14:paraId="183F3175">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1.1.4.5 保修期：</w:t>
      </w:r>
      <w:r>
        <w:rPr>
          <w:rFonts w:hint="eastAsia" w:ascii="宋体" w:hAnsi="宋体" w:cs="宋体"/>
          <w:sz w:val="22"/>
          <w:szCs w:val="22"/>
          <w:u w:val="single"/>
        </w:rPr>
        <w:t>是指承包人按照合同约定对工程承担保修责任的期限，从工程竣工验收合格之日起计算</w:t>
      </w:r>
      <w:r>
        <w:rPr>
          <w:rFonts w:hint="eastAsia" w:ascii="宋体" w:hAnsi="宋体" w:cs="宋体"/>
          <w:sz w:val="22"/>
          <w:szCs w:val="22"/>
        </w:rPr>
        <w:t>。</w:t>
      </w:r>
    </w:p>
    <w:p w14:paraId="178830E2">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1.1.4.6 基准日期：</w:t>
      </w:r>
      <w:r>
        <w:rPr>
          <w:rFonts w:hint="eastAsia" w:ascii="宋体" w:hAnsi="宋体" w:cs="宋体"/>
          <w:sz w:val="22"/>
          <w:szCs w:val="22"/>
          <w:u w:val="single"/>
        </w:rPr>
        <w:t>招标发包的工程以投标截止日前28天的日期为基准日期，直接发包的工程以合同签订日前28天的日期为基准日期</w:t>
      </w:r>
      <w:r>
        <w:rPr>
          <w:rFonts w:hint="eastAsia" w:ascii="宋体" w:hAnsi="宋体" w:cs="宋体"/>
          <w:sz w:val="22"/>
          <w:szCs w:val="22"/>
        </w:rPr>
        <w:t>。</w:t>
      </w:r>
    </w:p>
    <w:p w14:paraId="279DCB1D">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1.1.4.7 天：</w:t>
      </w:r>
      <w:r>
        <w:rPr>
          <w:rFonts w:hint="eastAsia" w:ascii="宋体" w:hAnsi="宋体" w:cs="宋体"/>
          <w:sz w:val="22"/>
          <w:szCs w:val="22"/>
          <w:u w:val="single"/>
        </w:rPr>
        <w:t>除特别指明外，均指日历天。合同中按天计算时间的，开始当天不计入，从次日开始计算，期限最后一天的截止时间为当天24:00时</w:t>
      </w:r>
      <w:r>
        <w:rPr>
          <w:rFonts w:hint="eastAsia" w:ascii="宋体" w:hAnsi="宋体" w:cs="宋体"/>
          <w:sz w:val="22"/>
          <w:szCs w:val="22"/>
        </w:rPr>
        <w:t>。</w:t>
      </w:r>
    </w:p>
    <w:p w14:paraId="7642E3BA">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 xml:space="preserve">1.3法律 </w:t>
      </w:r>
    </w:p>
    <w:p w14:paraId="0C1009E9">
      <w:pPr>
        <w:pStyle w:val="478"/>
        <w:spacing w:line="400" w:lineRule="exact"/>
        <w:ind w:left="-420" w:right="-420" w:firstLine="440"/>
        <w:rPr>
          <w:rFonts w:hint="eastAsia" w:ascii="宋体" w:hAnsi="宋体" w:cs="宋体"/>
          <w:sz w:val="22"/>
          <w:szCs w:val="22"/>
          <w:u w:val="single"/>
        </w:rPr>
      </w:pPr>
      <w:r>
        <w:rPr>
          <w:rFonts w:hint="eastAsia" w:ascii="宋体" w:hAnsi="宋体" w:cs="宋体"/>
          <w:sz w:val="22"/>
          <w:szCs w:val="22"/>
          <w:u w:val="single"/>
        </w:rPr>
        <w:t>适用于合同的其他规范性文件：指中华人民共和国法律、行政法规、部门规章，以及工程所在地的地方性法规、自治条例、单行条例和地方政府规章等；需要明示的法律、行政法规：《中华人民共和国民法典》、《中华人民共和国建筑法》、《中华人民共和国招标投标法》、《中华人民共和国安全生产法》、《建设工程质量管理条例》以及其它有关法律法规 ；工程所在地有关对工程施工、质量、验收等规定。</w:t>
      </w:r>
    </w:p>
    <w:p w14:paraId="50CDA903">
      <w:pPr>
        <w:pStyle w:val="478"/>
        <w:spacing w:line="400" w:lineRule="exact"/>
        <w:ind w:left="-420" w:right="-420" w:firstLine="440"/>
        <w:rPr>
          <w:rFonts w:hint="eastAsia" w:ascii="宋体" w:hAnsi="宋体" w:cs="宋体"/>
          <w:sz w:val="22"/>
          <w:szCs w:val="22"/>
        </w:rPr>
      </w:pPr>
      <w:bookmarkStart w:id="227" w:name="_Toc351203499"/>
      <w:r>
        <w:rPr>
          <w:rFonts w:hint="eastAsia" w:ascii="宋体" w:hAnsi="宋体" w:cs="宋体"/>
          <w:sz w:val="22"/>
          <w:szCs w:val="22"/>
        </w:rPr>
        <w:t>1.4 标准和规范</w:t>
      </w:r>
      <w:bookmarkEnd w:id="227"/>
    </w:p>
    <w:p w14:paraId="4B887B5F">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1.4.1适用于工程的标准规范包括：</w:t>
      </w:r>
      <w:r>
        <w:rPr>
          <w:rFonts w:hint="eastAsia" w:ascii="宋体" w:hAnsi="宋体" w:cs="宋体"/>
          <w:sz w:val="22"/>
          <w:szCs w:val="22"/>
          <w:u w:val="single"/>
        </w:rPr>
        <w:t>国家和地方现行的有关国家标准、行业标准、工程所在地的地方性标准；工程所在地有关对工程施工、质量、验收等的规定；上述若有未指明的标准、规范，则采用国家通用标准、规范</w:t>
      </w:r>
      <w:r>
        <w:rPr>
          <w:rFonts w:hint="eastAsia" w:ascii="宋体" w:hAnsi="宋体" w:cs="宋体"/>
          <w:sz w:val="22"/>
          <w:szCs w:val="22"/>
        </w:rPr>
        <w:t>。</w:t>
      </w:r>
    </w:p>
    <w:p w14:paraId="22B5723C">
      <w:pPr>
        <w:pStyle w:val="478"/>
        <w:spacing w:line="400" w:lineRule="exact"/>
        <w:ind w:left="-420" w:right="-420" w:firstLine="440"/>
        <w:rPr>
          <w:rFonts w:hint="eastAsia" w:ascii="宋体" w:hAnsi="宋体" w:cs="宋体"/>
          <w:sz w:val="22"/>
          <w:szCs w:val="22"/>
        </w:rPr>
      </w:pPr>
      <w:bookmarkStart w:id="228" w:name="_Toc17824"/>
      <w:r>
        <w:rPr>
          <w:rFonts w:hint="eastAsia" w:ascii="宋体" w:hAnsi="宋体" w:cs="宋体"/>
          <w:sz w:val="22"/>
          <w:szCs w:val="22"/>
        </w:rPr>
        <w:t>1.4.2 发包人提供国外标准、规范的名称：</w:t>
      </w:r>
      <w:bookmarkEnd w:id="228"/>
      <w:r>
        <w:rPr>
          <w:rFonts w:hint="eastAsia" w:ascii="宋体" w:hAnsi="宋体" w:cs="宋体"/>
          <w:sz w:val="22"/>
          <w:szCs w:val="22"/>
          <w:u w:val="single"/>
        </w:rPr>
        <w:t>不采用</w:t>
      </w:r>
      <w:r>
        <w:rPr>
          <w:rFonts w:hint="eastAsia" w:ascii="宋体" w:hAnsi="宋体" w:cs="宋体"/>
          <w:sz w:val="22"/>
          <w:szCs w:val="22"/>
        </w:rPr>
        <w:t>。</w:t>
      </w:r>
    </w:p>
    <w:p w14:paraId="09208739">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发包人提供国外标准、规范的份数：</w:t>
      </w:r>
      <w:r>
        <w:rPr>
          <w:rFonts w:hint="eastAsia" w:ascii="宋体" w:hAnsi="宋体" w:cs="宋体"/>
          <w:sz w:val="22"/>
          <w:szCs w:val="22"/>
          <w:u w:val="single"/>
        </w:rPr>
        <w:t xml:space="preserve">  /  </w:t>
      </w:r>
      <w:r>
        <w:rPr>
          <w:rFonts w:hint="eastAsia" w:ascii="宋体" w:hAnsi="宋体" w:cs="宋体"/>
          <w:sz w:val="22"/>
          <w:szCs w:val="22"/>
        </w:rPr>
        <w:t>；</w:t>
      </w:r>
    </w:p>
    <w:p w14:paraId="5D577474">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发包人提供国外标准、规范的名称：</w:t>
      </w:r>
      <w:r>
        <w:rPr>
          <w:rFonts w:hint="eastAsia" w:ascii="宋体" w:hAnsi="宋体" w:cs="宋体"/>
          <w:sz w:val="22"/>
          <w:szCs w:val="22"/>
          <w:u w:val="single"/>
        </w:rPr>
        <w:t xml:space="preserve">  /  </w:t>
      </w:r>
      <w:r>
        <w:rPr>
          <w:rFonts w:hint="eastAsia" w:ascii="宋体" w:hAnsi="宋体" w:cs="宋体"/>
          <w:sz w:val="22"/>
          <w:szCs w:val="22"/>
        </w:rPr>
        <w:t>；</w:t>
      </w:r>
    </w:p>
    <w:p w14:paraId="1A15A329">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1.4.3发包人对工程的技术标准、功能要求高于或严于现行国家、行业或地方标准的：</w:t>
      </w:r>
      <w:r>
        <w:rPr>
          <w:rFonts w:hint="eastAsia" w:ascii="宋体" w:hAnsi="宋体" w:cs="宋体"/>
          <w:sz w:val="22"/>
          <w:szCs w:val="22"/>
          <w:u w:val="single"/>
        </w:rPr>
        <w:t>合同履行中发承双方确定，但应视为承包人在签订合同前已充分预见前述技术标准和功能要求的复杂程度，签约合同价中已包含由此产生的费用</w:t>
      </w:r>
      <w:r>
        <w:rPr>
          <w:rFonts w:hint="eastAsia" w:ascii="宋体" w:hAnsi="宋体" w:cs="宋体"/>
          <w:sz w:val="22"/>
          <w:szCs w:val="22"/>
        </w:rPr>
        <w:t>。</w:t>
      </w:r>
      <w:bookmarkEnd w:id="213"/>
    </w:p>
    <w:p w14:paraId="3F1303DD">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1.5 合同文件的优先顺序</w:t>
      </w:r>
    </w:p>
    <w:p w14:paraId="6D635375">
      <w:pPr>
        <w:pStyle w:val="478"/>
        <w:spacing w:line="400" w:lineRule="exact"/>
        <w:ind w:left="-420" w:right="-420" w:firstLine="440"/>
        <w:rPr>
          <w:rFonts w:hint="eastAsia" w:ascii="宋体" w:hAnsi="宋体" w:cs="宋体"/>
          <w:sz w:val="22"/>
          <w:szCs w:val="22"/>
          <w:u w:val="single"/>
        </w:rPr>
      </w:pPr>
      <w:r>
        <w:rPr>
          <w:rFonts w:hint="eastAsia" w:ascii="宋体" w:hAnsi="宋体" w:cs="宋体"/>
          <w:sz w:val="22"/>
          <w:szCs w:val="22"/>
        </w:rPr>
        <w:t>合同文件组成及优先顺序为：</w:t>
      </w:r>
      <w:r>
        <w:rPr>
          <w:rFonts w:hint="eastAsia" w:ascii="宋体" w:hAnsi="宋体" w:cs="宋体"/>
          <w:sz w:val="22"/>
          <w:szCs w:val="22"/>
          <w:u w:val="single"/>
        </w:rPr>
        <w:t>（1）合同协议书；（2）中标通知书；（3）招标公告、文件和投标函及其附录；（4）专用合同条款及其附件；（5）通用合同条款；（6）技术标准和要求；（7）图纸；（8）已标价工程量清单或预算书；（9）其他合同文件</w:t>
      </w:r>
      <w:r>
        <w:rPr>
          <w:rFonts w:hint="eastAsia" w:ascii="宋体" w:hAnsi="宋体" w:cs="宋体"/>
          <w:sz w:val="22"/>
          <w:szCs w:val="22"/>
        </w:rPr>
        <w:t>；</w:t>
      </w:r>
    </w:p>
    <w:p w14:paraId="2446EE17">
      <w:pPr>
        <w:pStyle w:val="256"/>
        <w:spacing w:line="400" w:lineRule="exact"/>
        <w:ind w:left="-420" w:right="-420" w:firstLine="440"/>
        <w:jc w:val="left"/>
        <w:rPr>
          <w:rFonts w:hint="eastAsia" w:ascii="宋体" w:hAnsi="宋体" w:cs="宋体"/>
          <w:sz w:val="22"/>
        </w:rPr>
      </w:pPr>
      <w:r>
        <w:rPr>
          <w:rFonts w:hint="eastAsia" w:ascii="宋体" w:hAnsi="宋体" w:cs="宋体"/>
          <w:sz w:val="22"/>
          <w:u w:val="single"/>
        </w:rPr>
        <w:t>上述各项合同文件包括合同当事人就该项合同文件所作出的补充和修改，属于同一类内容的文件，应以最新签署的为准。在合同订立及履行过程中形成的与合同有关的文件均构成合同文件组成部分，并根据其性质确定优先解释顺序；上述合同协议书、通用、专用合同条款与招标文件附件合同不一致的，以招标文件附件合同为准。</w:t>
      </w:r>
    </w:p>
    <w:p w14:paraId="0E2CC5BC">
      <w:pPr>
        <w:pStyle w:val="478"/>
        <w:spacing w:line="400" w:lineRule="exact"/>
        <w:ind w:left="-420" w:right="-420" w:firstLine="440"/>
        <w:rPr>
          <w:rFonts w:hint="eastAsia" w:ascii="宋体" w:hAnsi="宋体" w:cs="宋体"/>
          <w:sz w:val="22"/>
          <w:szCs w:val="22"/>
        </w:rPr>
      </w:pPr>
      <w:bookmarkStart w:id="229" w:name="_Toc12161"/>
      <w:r>
        <w:rPr>
          <w:rFonts w:hint="eastAsia" w:ascii="宋体" w:hAnsi="宋体" w:cs="宋体"/>
          <w:sz w:val="22"/>
          <w:szCs w:val="22"/>
        </w:rPr>
        <w:t>1.6 图纸和承包人文件</w:t>
      </w:r>
      <w:bookmarkEnd w:id="229"/>
      <w:r>
        <w:rPr>
          <w:rFonts w:hint="eastAsia" w:ascii="宋体" w:hAnsi="宋体" w:cs="宋体"/>
          <w:sz w:val="22"/>
          <w:szCs w:val="22"/>
        </w:rPr>
        <w:tab/>
      </w:r>
    </w:p>
    <w:p w14:paraId="12BE5ADD">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1.6.1 图纸的提供</w:t>
      </w:r>
    </w:p>
    <w:p w14:paraId="160F3A61">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发包人向承包人提供图纸的期限：签订合同后七日内。</w:t>
      </w:r>
    </w:p>
    <w:p w14:paraId="33E693CE">
      <w:pPr>
        <w:pStyle w:val="478"/>
        <w:spacing w:line="400" w:lineRule="exact"/>
        <w:ind w:right="-420" w:firstLine="440"/>
        <w:rPr>
          <w:rFonts w:hint="eastAsia" w:ascii="宋体" w:hAnsi="宋体" w:cs="宋体"/>
          <w:sz w:val="22"/>
          <w:szCs w:val="22"/>
        </w:rPr>
      </w:pPr>
      <w:r>
        <w:rPr>
          <w:rFonts w:hint="eastAsia" w:ascii="宋体" w:hAnsi="宋体" w:cs="宋体"/>
          <w:sz w:val="22"/>
          <w:szCs w:val="22"/>
        </w:rPr>
        <w:t>发包人向承包人提供图纸的数量：</w:t>
      </w:r>
      <w:r>
        <w:rPr>
          <w:rFonts w:hint="eastAsia" w:ascii="宋体" w:hAnsi="宋体" w:cs="宋体"/>
          <w:sz w:val="22"/>
          <w:szCs w:val="22"/>
          <w:u w:val="single"/>
        </w:rPr>
        <w:t>图纸由承包人提供，具体以承包人投标时的提供的图纸为准</w:t>
      </w:r>
      <w:r>
        <w:rPr>
          <w:rFonts w:hint="eastAsia" w:ascii="宋体" w:hAnsi="宋体" w:cs="宋体"/>
          <w:sz w:val="22"/>
          <w:szCs w:val="22"/>
        </w:rPr>
        <w:t>。</w:t>
      </w:r>
    </w:p>
    <w:p w14:paraId="2DA715F3">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发包人向承包人提供图纸的内容：</w:t>
      </w:r>
      <w:r>
        <w:rPr>
          <w:rFonts w:hint="eastAsia" w:ascii="宋体" w:hAnsi="宋体" w:cs="宋体"/>
          <w:sz w:val="22"/>
          <w:szCs w:val="22"/>
          <w:u w:val="single"/>
        </w:rPr>
        <w:t>图纸由承包人提供，具体以承包人投标时的提供的图纸为准；发包人代表有权随时向承包人发出为使工程合理正确施工、竣工以及保修所需的补充文件和指示。承包人应执行这些补充文件和指示，并受其约束</w:t>
      </w:r>
      <w:r>
        <w:rPr>
          <w:rFonts w:hint="eastAsia" w:ascii="宋体" w:hAnsi="宋体" w:cs="宋体"/>
          <w:sz w:val="22"/>
          <w:szCs w:val="22"/>
        </w:rPr>
        <w:t xml:space="preserve">。   </w:t>
      </w:r>
    </w:p>
    <w:p w14:paraId="7599005F">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1.6.4 承包人文件</w:t>
      </w:r>
    </w:p>
    <w:p w14:paraId="0AB1D6E6">
      <w:pPr>
        <w:pStyle w:val="478"/>
        <w:spacing w:line="400" w:lineRule="exact"/>
        <w:ind w:left="-420" w:right="-420" w:firstLine="440"/>
        <w:rPr>
          <w:rFonts w:hint="eastAsia" w:ascii="宋体" w:hAnsi="宋体" w:cs="宋体"/>
          <w:sz w:val="22"/>
          <w:szCs w:val="22"/>
        </w:rPr>
      </w:pPr>
      <w:bookmarkStart w:id="230" w:name="_Toc30451"/>
      <w:r>
        <w:rPr>
          <w:rFonts w:hint="eastAsia" w:ascii="宋体" w:hAnsi="宋体" w:cs="宋体"/>
          <w:sz w:val="22"/>
          <w:szCs w:val="22"/>
        </w:rPr>
        <w:t>需要由承包人提供的文件，包括：</w:t>
      </w:r>
      <w:r>
        <w:rPr>
          <w:rFonts w:hint="eastAsia" w:ascii="宋体" w:hAnsi="宋体" w:cs="宋体"/>
          <w:sz w:val="22"/>
          <w:szCs w:val="22"/>
          <w:u w:val="single"/>
        </w:rPr>
        <w:t>详细施工组织设计、工程进度计划、专项施工方案、经深化后的施工图纸（如有）</w:t>
      </w:r>
      <w:r>
        <w:rPr>
          <w:rFonts w:hint="eastAsia" w:ascii="宋体" w:hAnsi="宋体" w:cs="宋体"/>
          <w:sz w:val="22"/>
          <w:szCs w:val="22"/>
        </w:rPr>
        <w:t>。</w:t>
      </w:r>
    </w:p>
    <w:p w14:paraId="75251E85">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承包人提供的文件的期限为：</w:t>
      </w:r>
      <w:r>
        <w:rPr>
          <w:rFonts w:hint="eastAsia" w:ascii="宋体" w:hAnsi="宋体" w:cs="宋体"/>
          <w:sz w:val="22"/>
          <w:szCs w:val="22"/>
          <w:u w:val="single"/>
        </w:rPr>
        <w:t>签订合同后7天内</w:t>
      </w:r>
      <w:r>
        <w:rPr>
          <w:rFonts w:hint="eastAsia" w:ascii="宋体" w:hAnsi="宋体" w:cs="宋体"/>
          <w:sz w:val="22"/>
          <w:szCs w:val="22"/>
        </w:rPr>
        <w:t>。</w:t>
      </w:r>
    </w:p>
    <w:p w14:paraId="50E03FD8">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承包人提供的文件的数量为：</w:t>
      </w:r>
      <w:r>
        <w:rPr>
          <w:rFonts w:hint="eastAsia" w:ascii="宋体" w:hAnsi="宋体" w:cs="宋体"/>
          <w:sz w:val="22"/>
          <w:szCs w:val="22"/>
          <w:u w:val="single"/>
        </w:rPr>
        <w:t>肆份</w:t>
      </w:r>
      <w:r>
        <w:rPr>
          <w:rFonts w:hint="eastAsia" w:ascii="宋体" w:hAnsi="宋体" w:cs="宋体"/>
          <w:sz w:val="22"/>
          <w:szCs w:val="22"/>
        </w:rPr>
        <w:t>。</w:t>
      </w:r>
    </w:p>
    <w:p w14:paraId="7E9E5338">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承包人提供的文件的形式为：</w:t>
      </w:r>
      <w:r>
        <w:rPr>
          <w:rFonts w:hint="eastAsia" w:ascii="宋体" w:hAnsi="宋体" w:cs="宋体"/>
          <w:sz w:val="22"/>
          <w:szCs w:val="22"/>
          <w:u w:val="single"/>
        </w:rPr>
        <w:t>书面文件及电子版 ，书面文件需由承包人及项目管理加盖公章、签字确认</w:t>
      </w:r>
      <w:r>
        <w:rPr>
          <w:rFonts w:hint="eastAsia" w:ascii="宋体" w:hAnsi="宋体" w:cs="宋体"/>
          <w:sz w:val="22"/>
          <w:szCs w:val="22"/>
        </w:rPr>
        <w:t>。</w:t>
      </w:r>
    </w:p>
    <w:p w14:paraId="3483A16D">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发包人审批承包人文件的期限：</w:t>
      </w:r>
      <w:r>
        <w:rPr>
          <w:rFonts w:hint="eastAsia" w:ascii="宋体" w:hAnsi="宋体" w:cs="宋体"/>
          <w:sz w:val="22"/>
          <w:szCs w:val="22"/>
          <w:u w:val="single"/>
        </w:rPr>
        <w:t>收到文件后7天内审查完</w:t>
      </w:r>
      <w:r>
        <w:rPr>
          <w:rFonts w:hint="eastAsia" w:ascii="宋体" w:hAnsi="宋体" w:cs="宋体"/>
          <w:sz w:val="22"/>
          <w:szCs w:val="22"/>
        </w:rPr>
        <w:t>。</w:t>
      </w:r>
    </w:p>
    <w:p w14:paraId="520B27D9">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1.6.5 现场图纸准备</w:t>
      </w:r>
    </w:p>
    <w:p w14:paraId="6F1069D9">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关于现场图纸准备的约定：</w:t>
      </w:r>
      <w:r>
        <w:rPr>
          <w:rFonts w:hint="eastAsia" w:ascii="宋体" w:hAnsi="宋体" w:cs="宋体"/>
          <w:sz w:val="22"/>
          <w:szCs w:val="22"/>
          <w:u w:val="single"/>
        </w:rPr>
        <w:t>承包人应在施工现场保留一套完整的图纸和承包文件，供发包人、监理人及有关人员进行工程检查、使用</w:t>
      </w:r>
      <w:r>
        <w:rPr>
          <w:rFonts w:hint="eastAsia" w:ascii="宋体" w:hAnsi="宋体" w:cs="宋体"/>
          <w:sz w:val="22"/>
          <w:szCs w:val="22"/>
        </w:rPr>
        <w:t>。</w:t>
      </w:r>
    </w:p>
    <w:p w14:paraId="2702AAB8">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1.7 联络</w:t>
      </w:r>
    </w:p>
    <w:p w14:paraId="13C6B095">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1.7.1发包人和承包人应当在</w:t>
      </w:r>
      <w:r>
        <w:rPr>
          <w:rFonts w:hint="eastAsia" w:ascii="宋体" w:hAnsi="宋体" w:cs="宋体"/>
          <w:sz w:val="22"/>
          <w:szCs w:val="22"/>
          <w:u w:val="single"/>
        </w:rPr>
        <w:t>3</w:t>
      </w:r>
      <w:r>
        <w:rPr>
          <w:rFonts w:hint="eastAsia" w:ascii="宋体" w:hAnsi="宋体" w:cs="宋体"/>
          <w:sz w:val="22"/>
          <w:szCs w:val="22"/>
        </w:rPr>
        <w:t>天内将与合同有关的通知、批准、证明、证书、指示、指令、要求、请求、同意、意见、确定和决定等书面函件送达对方当事人。</w:t>
      </w:r>
    </w:p>
    <w:p w14:paraId="3CA410F1">
      <w:pPr>
        <w:pStyle w:val="478"/>
        <w:spacing w:line="400" w:lineRule="exact"/>
        <w:ind w:left="-420" w:right="-420" w:firstLine="440"/>
        <w:rPr>
          <w:rFonts w:hint="eastAsia" w:ascii="宋体" w:hAnsi="宋体" w:cs="宋体"/>
          <w:color w:val="000000"/>
          <w:sz w:val="22"/>
          <w:szCs w:val="22"/>
        </w:rPr>
      </w:pPr>
      <w:r>
        <w:rPr>
          <w:rFonts w:hint="eastAsia" w:ascii="宋体" w:hAnsi="宋体" w:cs="宋体"/>
          <w:color w:val="000000"/>
          <w:sz w:val="22"/>
          <w:szCs w:val="22"/>
        </w:rPr>
        <w:t>1.7.2发包人接收文件的地点：</w:t>
      </w:r>
      <w:r>
        <w:rPr>
          <w:rFonts w:hint="eastAsia" w:ascii="宋体" w:hAnsi="宋体" w:cs="宋体"/>
          <w:color w:val="000000"/>
          <w:sz w:val="22"/>
          <w:szCs w:val="22"/>
          <w:u w:val="single"/>
        </w:rPr>
        <w:t xml:space="preserve">现场工程部        </w:t>
      </w:r>
      <w:r>
        <w:rPr>
          <w:rFonts w:hint="eastAsia" w:ascii="宋体" w:hAnsi="宋体" w:cs="宋体"/>
          <w:color w:val="000000"/>
          <w:sz w:val="22"/>
          <w:szCs w:val="22"/>
        </w:rPr>
        <w:t>；</w:t>
      </w:r>
    </w:p>
    <w:p w14:paraId="3944027E">
      <w:pPr>
        <w:pStyle w:val="478"/>
        <w:spacing w:line="400" w:lineRule="exact"/>
        <w:ind w:left="-420" w:right="-420" w:firstLine="440"/>
        <w:rPr>
          <w:rFonts w:hint="eastAsia" w:ascii="宋体" w:hAnsi="宋体" w:cs="宋体"/>
          <w:color w:val="000000"/>
          <w:sz w:val="22"/>
          <w:szCs w:val="22"/>
        </w:rPr>
      </w:pPr>
      <w:r>
        <w:rPr>
          <w:rFonts w:hint="eastAsia" w:ascii="宋体" w:hAnsi="宋体" w:cs="宋体"/>
          <w:color w:val="000000"/>
          <w:sz w:val="22"/>
          <w:szCs w:val="22"/>
        </w:rPr>
        <w:t>发包人指定的接收人为：</w:t>
      </w:r>
      <w:r>
        <w:rPr>
          <w:rFonts w:hint="eastAsia" w:ascii="宋体" w:hAnsi="宋体" w:cs="宋体"/>
          <w:color w:val="000000"/>
          <w:sz w:val="22"/>
          <w:szCs w:val="22"/>
          <w:u w:val="single"/>
        </w:rPr>
        <w:t xml:space="preserve">                        </w:t>
      </w:r>
      <w:r>
        <w:rPr>
          <w:rFonts w:hint="eastAsia" w:ascii="宋体" w:hAnsi="宋体" w:cs="宋体"/>
          <w:color w:val="000000"/>
          <w:sz w:val="22"/>
          <w:szCs w:val="22"/>
        </w:rPr>
        <w:t>。</w:t>
      </w:r>
    </w:p>
    <w:p w14:paraId="2BD24AF5">
      <w:pPr>
        <w:pStyle w:val="478"/>
        <w:spacing w:line="400" w:lineRule="exact"/>
        <w:ind w:left="-420" w:right="-420" w:firstLine="440"/>
        <w:rPr>
          <w:rFonts w:hint="eastAsia" w:ascii="宋体" w:hAnsi="宋体" w:cs="宋体"/>
          <w:color w:val="000000"/>
          <w:sz w:val="22"/>
          <w:szCs w:val="22"/>
        </w:rPr>
      </w:pPr>
      <w:r>
        <w:rPr>
          <w:rFonts w:hint="eastAsia" w:ascii="宋体" w:hAnsi="宋体" w:cs="宋体"/>
          <w:color w:val="000000"/>
          <w:sz w:val="22"/>
          <w:szCs w:val="22"/>
        </w:rPr>
        <w:t>承包人接收文件的地点：</w:t>
      </w:r>
      <w:r>
        <w:rPr>
          <w:rFonts w:hint="eastAsia" w:ascii="宋体" w:hAnsi="宋体" w:cs="宋体"/>
          <w:color w:val="000000"/>
          <w:sz w:val="22"/>
          <w:szCs w:val="22"/>
          <w:u w:val="single"/>
        </w:rPr>
        <w:t xml:space="preserve">现场项目部              </w:t>
      </w:r>
      <w:r>
        <w:rPr>
          <w:rFonts w:hint="eastAsia" w:ascii="宋体" w:hAnsi="宋体" w:cs="宋体"/>
          <w:color w:val="000000"/>
          <w:sz w:val="22"/>
          <w:szCs w:val="22"/>
        </w:rPr>
        <w:t>；</w:t>
      </w:r>
    </w:p>
    <w:p w14:paraId="6B85C855">
      <w:pPr>
        <w:pStyle w:val="478"/>
        <w:spacing w:line="400" w:lineRule="exact"/>
        <w:ind w:left="-420" w:right="-420" w:firstLine="440"/>
        <w:rPr>
          <w:rFonts w:hint="eastAsia" w:ascii="宋体" w:hAnsi="宋体" w:cs="宋体"/>
          <w:color w:val="000000"/>
          <w:sz w:val="22"/>
          <w:szCs w:val="22"/>
        </w:rPr>
      </w:pPr>
      <w:r>
        <w:rPr>
          <w:rFonts w:hint="eastAsia" w:ascii="宋体" w:hAnsi="宋体" w:cs="宋体"/>
          <w:color w:val="000000"/>
          <w:sz w:val="22"/>
          <w:szCs w:val="22"/>
        </w:rPr>
        <w:t>承包人指定的接收人为：</w:t>
      </w:r>
      <w:r>
        <w:rPr>
          <w:rFonts w:hint="eastAsia" w:ascii="宋体" w:hAnsi="宋体" w:cs="宋体"/>
          <w:color w:val="000000"/>
          <w:sz w:val="22"/>
          <w:szCs w:val="22"/>
          <w:u w:val="single"/>
        </w:rPr>
        <w:t xml:space="preserve">                        </w:t>
      </w:r>
      <w:r>
        <w:rPr>
          <w:rFonts w:hint="eastAsia" w:ascii="宋体" w:hAnsi="宋体" w:cs="宋体"/>
          <w:color w:val="000000"/>
          <w:sz w:val="22"/>
          <w:szCs w:val="22"/>
        </w:rPr>
        <w:t>。</w:t>
      </w:r>
    </w:p>
    <w:p w14:paraId="729FAD66">
      <w:pPr>
        <w:pStyle w:val="478"/>
        <w:spacing w:line="400" w:lineRule="exact"/>
        <w:ind w:left="-420" w:right="-420" w:firstLine="440"/>
        <w:rPr>
          <w:rFonts w:hint="eastAsia" w:ascii="宋体" w:hAnsi="宋体" w:cs="宋体"/>
          <w:color w:val="000000"/>
          <w:sz w:val="22"/>
          <w:szCs w:val="22"/>
        </w:rPr>
      </w:pPr>
      <w:r>
        <w:rPr>
          <w:rFonts w:hint="eastAsia" w:ascii="宋体" w:hAnsi="宋体" w:cs="宋体"/>
          <w:color w:val="000000"/>
          <w:sz w:val="22"/>
          <w:szCs w:val="22"/>
        </w:rPr>
        <w:t>监理人接收文件的地点：</w:t>
      </w:r>
      <w:r>
        <w:rPr>
          <w:rFonts w:hint="eastAsia" w:ascii="宋体" w:hAnsi="宋体" w:cs="宋体"/>
          <w:color w:val="000000"/>
          <w:sz w:val="22"/>
          <w:szCs w:val="22"/>
          <w:u w:val="single"/>
        </w:rPr>
        <w:t xml:space="preserve">现场监理部              </w:t>
      </w:r>
      <w:r>
        <w:rPr>
          <w:rFonts w:hint="eastAsia" w:ascii="宋体" w:hAnsi="宋体" w:cs="宋体"/>
          <w:color w:val="000000"/>
          <w:sz w:val="22"/>
          <w:szCs w:val="22"/>
        </w:rPr>
        <w:t>；</w:t>
      </w:r>
    </w:p>
    <w:p w14:paraId="3B12986B">
      <w:pPr>
        <w:pStyle w:val="478"/>
        <w:spacing w:line="400" w:lineRule="exact"/>
        <w:ind w:left="-420" w:right="-420" w:firstLine="440"/>
        <w:rPr>
          <w:rFonts w:hint="eastAsia" w:ascii="宋体" w:hAnsi="宋体" w:cs="宋体"/>
          <w:color w:val="000000"/>
          <w:sz w:val="22"/>
          <w:szCs w:val="22"/>
        </w:rPr>
      </w:pPr>
      <w:r>
        <w:rPr>
          <w:rFonts w:hint="eastAsia" w:ascii="宋体" w:hAnsi="宋体" w:cs="宋体"/>
          <w:color w:val="000000"/>
          <w:sz w:val="22"/>
          <w:szCs w:val="22"/>
        </w:rPr>
        <w:t>监理人指定的接收人为：</w:t>
      </w:r>
      <w:r>
        <w:rPr>
          <w:rFonts w:hint="eastAsia" w:ascii="宋体" w:hAnsi="宋体" w:cs="宋体"/>
          <w:color w:val="000000"/>
          <w:sz w:val="22"/>
          <w:szCs w:val="22"/>
          <w:u w:val="single"/>
        </w:rPr>
        <w:t xml:space="preserve">                        </w:t>
      </w:r>
      <w:r>
        <w:rPr>
          <w:rFonts w:hint="eastAsia" w:ascii="宋体" w:hAnsi="宋体" w:cs="宋体"/>
          <w:color w:val="000000"/>
          <w:sz w:val="22"/>
          <w:szCs w:val="22"/>
        </w:rPr>
        <w:t>。</w:t>
      </w:r>
    </w:p>
    <w:p w14:paraId="2259C140">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1.9 化石、文物：施工现场发掘相关要求：</w:t>
      </w:r>
      <w:r>
        <w:rPr>
          <w:rFonts w:hint="eastAsia" w:ascii="宋体" w:hAnsi="宋体" w:cs="宋体"/>
          <w:sz w:val="22"/>
          <w:szCs w:val="22"/>
          <w:u w:val="singl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发包人、监理人和承包人应按有关政府行政管理部门要求采取妥善的保护措施，由此增加的费用由承包人承担；承包人发现文物后不及时报告或隐瞒不报，致使文物丢失或损坏的，应赔偿损失，并承担相应的法律责任</w:t>
      </w:r>
      <w:r>
        <w:rPr>
          <w:rFonts w:hint="eastAsia" w:ascii="宋体" w:hAnsi="宋体" w:cs="宋体"/>
          <w:sz w:val="22"/>
          <w:szCs w:val="22"/>
        </w:rPr>
        <w:t>。</w:t>
      </w:r>
    </w:p>
    <w:p w14:paraId="514C2C3C">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1.10 交通运输</w:t>
      </w:r>
    </w:p>
    <w:p w14:paraId="0E1411F7">
      <w:pPr>
        <w:pStyle w:val="478"/>
        <w:spacing w:line="400" w:lineRule="exact"/>
        <w:ind w:left="-420" w:right="-420" w:firstLine="440"/>
        <w:rPr>
          <w:rFonts w:hint="eastAsia" w:ascii="宋体" w:hAnsi="宋体" w:cs="宋体"/>
          <w:sz w:val="22"/>
          <w:szCs w:val="22"/>
        </w:rPr>
      </w:pPr>
      <w:bookmarkStart w:id="231" w:name="_Toc17642"/>
      <w:r>
        <w:rPr>
          <w:rFonts w:hint="eastAsia" w:ascii="宋体" w:hAnsi="宋体" w:cs="宋体"/>
          <w:sz w:val="22"/>
          <w:szCs w:val="22"/>
        </w:rPr>
        <w:t>1.10.1 出入现场的权利</w:t>
      </w:r>
      <w:bookmarkEnd w:id="231"/>
    </w:p>
    <w:p w14:paraId="74765383">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关于出入现场的权利的约定：</w:t>
      </w:r>
      <w:r>
        <w:rPr>
          <w:rFonts w:hint="eastAsia" w:ascii="宋体" w:hAnsi="宋体" w:cs="宋体"/>
          <w:sz w:val="22"/>
          <w:szCs w:val="22"/>
          <w:u w:val="single"/>
        </w:rPr>
        <w:t>承包人负责取得出入施工现场所需要的批准手续和全部权利，取得因施工所需修建道路、桥梁以及其他基础设施的权利；承包人应在投标前查勘施工现场，并根据工程规模及技术参数合理预见工程施工所需的进出施工现场的方式、手段、路径等；承包人应合理预见此项费用并在投标报价中综合考虑，因承包人未合理预见所增加的费用和（或）延误的工期由承包人承担</w:t>
      </w:r>
      <w:r>
        <w:rPr>
          <w:rFonts w:hint="eastAsia" w:ascii="宋体" w:hAnsi="宋体" w:cs="宋体"/>
          <w:sz w:val="22"/>
          <w:szCs w:val="22"/>
        </w:rPr>
        <w:t>。</w:t>
      </w:r>
    </w:p>
    <w:p w14:paraId="04D2FFEE">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1.10.2 场外交通</w:t>
      </w:r>
    </w:p>
    <w:p w14:paraId="47B7AFD9">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关于场外交通的约定：</w:t>
      </w:r>
      <w:r>
        <w:rPr>
          <w:rFonts w:hint="eastAsia" w:ascii="宋体" w:hAnsi="宋体" w:cs="宋体"/>
          <w:sz w:val="22"/>
          <w:szCs w:val="22"/>
          <w:u w:val="single"/>
        </w:rPr>
        <w:t>承包人应遵守有关交通法规，严格按照道路和桥梁的限制荷载行驶，执行有关道路限速、限行、禁止超载的规定，并配合交通管理部门的监督和检查；场外交通设施无法满足工程施工需要的，承包人应合理预见此项费用并在投标报价中综合考虑</w:t>
      </w:r>
      <w:r>
        <w:rPr>
          <w:rFonts w:hint="eastAsia" w:ascii="宋体" w:hAnsi="宋体" w:cs="宋体"/>
          <w:sz w:val="22"/>
          <w:szCs w:val="22"/>
        </w:rPr>
        <w:t>。</w:t>
      </w:r>
    </w:p>
    <w:p w14:paraId="500DA709">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 xml:space="preserve">1.10.3 </w:t>
      </w:r>
      <w:bookmarkEnd w:id="230"/>
      <w:bookmarkStart w:id="232" w:name="_Toc351203504"/>
      <w:r>
        <w:rPr>
          <w:rFonts w:hint="eastAsia" w:ascii="宋体" w:hAnsi="宋体" w:cs="宋体"/>
          <w:sz w:val="22"/>
          <w:szCs w:val="22"/>
        </w:rPr>
        <w:t>场内交通</w:t>
      </w:r>
    </w:p>
    <w:p w14:paraId="2441EDA2">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关于场内交通的约定：</w:t>
      </w:r>
      <w:r>
        <w:rPr>
          <w:rFonts w:hint="eastAsia" w:ascii="宋体" w:hAnsi="宋体" w:cs="宋体"/>
          <w:sz w:val="22"/>
          <w:szCs w:val="22"/>
          <w:u w:val="single"/>
        </w:rPr>
        <w:t>场内具备满足工程施工所需的既有场内道路和交通设施，承包人可免费使用，因承包人原因造成上述道路或交通设施损坏的，承包人负责修复并承担由此增加的费用；承包人负责修建、维修、养护和管理施工所需的场内临时道路和交通设施（含临时设施、辅助设施及安全防护设施等），以满足施工及材料、设备运输的需要，相关手续和建设费用由承包人承担；发包人和监理人可以为实现合同目的使用承包人修建的场内临时道路和交通设施</w:t>
      </w:r>
      <w:r>
        <w:rPr>
          <w:rFonts w:hint="eastAsia" w:ascii="宋体" w:hAnsi="宋体" w:cs="宋体"/>
          <w:sz w:val="22"/>
          <w:szCs w:val="22"/>
        </w:rPr>
        <w:t>。</w:t>
      </w:r>
    </w:p>
    <w:p w14:paraId="2FB18DD8">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关于场外交通和场内交通的边界的约定：</w:t>
      </w:r>
      <w:r>
        <w:rPr>
          <w:rFonts w:hint="eastAsia" w:ascii="宋体" w:hAnsi="宋体" w:cs="宋体"/>
          <w:sz w:val="22"/>
          <w:szCs w:val="22"/>
          <w:u w:val="single"/>
        </w:rPr>
        <w:t>具体以现场实际施工环境为准</w:t>
      </w:r>
      <w:r>
        <w:rPr>
          <w:rFonts w:hint="eastAsia" w:ascii="宋体" w:hAnsi="宋体" w:cs="宋体"/>
          <w:sz w:val="22"/>
          <w:szCs w:val="22"/>
        </w:rPr>
        <w:t>。</w:t>
      </w:r>
    </w:p>
    <w:p w14:paraId="0D19C78D">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关于发包人向承包人免费提供满足工程施工需要的场内道路和交通设施的约定：</w:t>
      </w:r>
      <w:r>
        <w:rPr>
          <w:rFonts w:hint="eastAsia" w:ascii="宋体" w:hAnsi="宋体" w:cs="宋体"/>
          <w:sz w:val="22"/>
          <w:szCs w:val="22"/>
          <w:u w:val="single"/>
        </w:rPr>
        <w:t>按1.10.3场内交通约定执行</w:t>
      </w:r>
      <w:r>
        <w:rPr>
          <w:rFonts w:hint="eastAsia" w:ascii="宋体" w:hAnsi="宋体" w:cs="宋体"/>
          <w:sz w:val="22"/>
          <w:szCs w:val="22"/>
        </w:rPr>
        <w:t xml:space="preserve">。  </w:t>
      </w:r>
    </w:p>
    <w:p w14:paraId="1B64C319">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1.10.4 超大件和超重件的运输</w:t>
      </w:r>
    </w:p>
    <w:p w14:paraId="16B60416">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运输超大件或超重件所需的道路和桥梁临时加固改造费用和其他有关费用：</w:t>
      </w:r>
      <w:r>
        <w:rPr>
          <w:rFonts w:hint="eastAsia" w:ascii="宋体" w:hAnsi="宋体" w:cs="宋体"/>
          <w:sz w:val="22"/>
          <w:szCs w:val="22"/>
          <w:u w:val="single"/>
        </w:rPr>
        <w:t>由承包人承担</w:t>
      </w:r>
      <w:r>
        <w:rPr>
          <w:rFonts w:hint="eastAsia" w:ascii="宋体" w:hAnsi="宋体" w:cs="宋体"/>
          <w:sz w:val="22"/>
          <w:szCs w:val="22"/>
        </w:rPr>
        <w:t>。</w:t>
      </w:r>
    </w:p>
    <w:p w14:paraId="36DC1297">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1.11 知识产权</w:t>
      </w:r>
    </w:p>
    <w:p w14:paraId="3A5CD270">
      <w:pPr>
        <w:pStyle w:val="256"/>
        <w:spacing w:line="400" w:lineRule="exact"/>
        <w:ind w:left="-420" w:right="-420" w:firstLine="440"/>
        <w:jc w:val="left"/>
        <w:rPr>
          <w:rFonts w:hint="eastAsia" w:ascii="宋体" w:hAnsi="宋体" w:cs="宋体"/>
          <w:sz w:val="22"/>
        </w:rPr>
      </w:pPr>
      <w:r>
        <w:rPr>
          <w:rFonts w:hint="eastAsia" w:ascii="宋体" w:hAnsi="宋体" w:cs="宋体"/>
          <w:sz w:val="22"/>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sz w:val="22"/>
          <w:u w:val="single"/>
        </w:rPr>
        <w:t>按通用条款执行</w:t>
      </w:r>
      <w:r>
        <w:rPr>
          <w:rFonts w:hint="eastAsia" w:ascii="宋体" w:hAnsi="宋体" w:cs="宋体"/>
          <w:sz w:val="22"/>
        </w:rPr>
        <w:t>。</w:t>
      </w:r>
    </w:p>
    <w:p w14:paraId="6F46CB26">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关于发包人提供的上述文件的使用限制的要求：</w:t>
      </w:r>
      <w:r>
        <w:rPr>
          <w:rFonts w:hint="eastAsia" w:ascii="宋体" w:hAnsi="宋体" w:cs="宋体"/>
          <w:sz w:val="22"/>
          <w:szCs w:val="22"/>
          <w:u w:val="single"/>
        </w:rPr>
        <w:t>按通用条款执行</w:t>
      </w:r>
      <w:r>
        <w:rPr>
          <w:rFonts w:hint="eastAsia" w:ascii="宋体" w:hAnsi="宋体" w:cs="宋体"/>
          <w:sz w:val="22"/>
          <w:szCs w:val="22"/>
        </w:rPr>
        <w:t>。</w:t>
      </w:r>
    </w:p>
    <w:p w14:paraId="6E0F71C0">
      <w:pPr>
        <w:pStyle w:val="478"/>
        <w:spacing w:line="400" w:lineRule="exact"/>
        <w:ind w:left="-420" w:right="-420" w:firstLine="440"/>
        <w:rPr>
          <w:rFonts w:hint="eastAsia" w:ascii="宋体" w:hAnsi="宋体" w:cs="宋体"/>
          <w:sz w:val="22"/>
          <w:szCs w:val="22"/>
        </w:rPr>
      </w:pPr>
      <w:bookmarkStart w:id="233" w:name="_Toc8852"/>
      <w:r>
        <w:rPr>
          <w:rFonts w:hint="eastAsia" w:ascii="宋体" w:hAnsi="宋体" w:cs="宋体"/>
          <w:sz w:val="22"/>
          <w:szCs w:val="22"/>
        </w:rPr>
        <w:t>1.11.2 关于承包人为实施工程所编制文件的著作权的归属：</w:t>
      </w:r>
      <w:r>
        <w:rPr>
          <w:rFonts w:hint="eastAsia" w:ascii="宋体" w:hAnsi="宋体" w:cs="宋体"/>
          <w:sz w:val="22"/>
          <w:szCs w:val="22"/>
          <w:u w:val="single"/>
        </w:rPr>
        <w:t>按通用条款执行</w:t>
      </w:r>
      <w:r>
        <w:rPr>
          <w:rFonts w:hint="eastAsia" w:ascii="宋体" w:hAnsi="宋体" w:cs="宋体"/>
          <w:sz w:val="22"/>
          <w:szCs w:val="22"/>
        </w:rPr>
        <w:t>。</w:t>
      </w:r>
      <w:bookmarkEnd w:id="233"/>
    </w:p>
    <w:p w14:paraId="05DB04A5">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关于承包人提供的上述文件的使用限制的要求：</w:t>
      </w:r>
      <w:r>
        <w:rPr>
          <w:rFonts w:hint="eastAsia" w:ascii="宋体" w:hAnsi="宋体" w:cs="宋体"/>
          <w:sz w:val="22"/>
          <w:szCs w:val="22"/>
          <w:u w:val="single"/>
        </w:rPr>
        <w:t>按通用合同条款执行</w:t>
      </w:r>
      <w:r>
        <w:rPr>
          <w:rFonts w:hint="eastAsia" w:ascii="宋体" w:hAnsi="宋体" w:cs="宋体"/>
          <w:sz w:val="22"/>
          <w:szCs w:val="22"/>
        </w:rPr>
        <w:t>。</w:t>
      </w:r>
    </w:p>
    <w:p w14:paraId="3C42042F">
      <w:pPr>
        <w:pStyle w:val="478"/>
        <w:spacing w:line="400" w:lineRule="exact"/>
        <w:ind w:left="-420" w:right="-420" w:firstLine="440"/>
        <w:rPr>
          <w:rFonts w:hint="eastAsia" w:ascii="宋体" w:hAnsi="宋体" w:cs="宋体"/>
          <w:sz w:val="22"/>
          <w:szCs w:val="22"/>
        </w:rPr>
      </w:pPr>
      <w:bookmarkStart w:id="234" w:name="_Toc6984"/>
      <w:r>
        <w:rPr>
          <w:rFonts w:hint="eastAsia" w:ascii="宋体" w:hAnsi="宋体" w:cs="宋体"/>
          <w:sz w:val="22"/>
          <w:szCs w:val="22"/>
        </w:rPr>
        <w:t>1.11.4 承包人在施工过程中所采用的专利、专有技术、技术秘密的使用费的承担方式：</w:t>
      </w:r>
      <w:r>
        <w:rPr>
          <w:rFonts w:hint="eastAsia" w:ascii="宋体" w:hAnsi="宋体" w:cs="宋体"/>
          <w:sz w:val="22"/>
          <w:szCs w:val="22"/>
          <w:u w:val="single"/>
        </w:rPr>
        <w:t>承包人承担</w:t>
      </w:r>
      <w:r>
        <w:rPr>
          <w:rFonts w:hint="eastAsia" w:ascii="宋体" w:hAnsi="宋体" w:cs="宋体"/>
          <w:sz w:val="22"/>
          <w:szCs w:val="22"/>
        </w:rPr>
        <w:t>。</w:t>
      </w:r>
      <w:bookmarkEnd w:id="234"/>
    </w:p>
    <w:p w14:paraId="3B922B92">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1.13工程量清单错误的修正</w:t>
      </w:r>
    </w:p>
    <w:p w14:paraId="4C2DF8BC">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出现工程量清单错误时，是否调整合同价格：</w:t>
      </w:r>
      <w:r>
        <w:rPr>
          <w:rFonts w:hint="eastAsia" w:ascii="宋体" w:hAnsi="宋体" w:cs="宋体"/>
          <w:sz w:val="22"/>
          <w:szCs w:val="22"/>
          <w:u w:val="single"/>
        </w:rPr>
        <w:t>按工程所在地政府相关规定执行</w:t>
      </w:r>
      <w:r>
        <w:rPr>
          <w:rFonts w:hint="eastAsia" w:ascii="宋体" w:hAnsi="宋体" w:cs="宋体"/>
          <w:sz w:val="22"/>
          <w:szCs w:val="22"/>
        </w:rPr>
        <w:t>。</w:t>
      </w:r>
    </w:p>
    <w:p w14:paraId="686E7D73">
      <w:pPr>
        <w:pStyle w:val="256"/>
        <w:spacing w:line="400" w:lineRule="exact"/>
        <w:ind w:left="-420" w:right="-420" w:firstLine="440"/>
        <w:jc w:val="left"/>
        <w:rPr>
          <w:rFonts w:hint="eastAsia" w:ascii="宋体" w:hAnsi="宋体" w:cs="宋体"/>
          <w:sz w:val="22"/>
          <w:u w:val="single"/>
        </w:rPr>
      </w:pPr>
      <w:r>
        <w:rPr>
          <w:rFonts w:hint="eastAsia" w:ascii="宋体" w:hAnsi="宋体" w:cs="宋体"/>
          <w:sz w:val="22"/>
        </w:rPr>
        <w:t>允许调整合同价格的工程量偏差范围：</w:t>
      </w:r>
      <w:r>
        <w:rPr>
          <w:rFonts w:hint="eastAsia" w:ascii="宋体" w:hAnsi="宋体" w:cs="宋体"/>
          <w:sz w:val="22"/>
          <w:u w:val="single"/>
        </w:rPr>
        <w:t>参照国家现行的有关国家标准、行业标准、工程所在地的地方性标准以及相应的规范、规程，由发承双方会工程所在地审计部门商定、确定。</w:t>
      </w:r>
    </w:p>
    <w:p w14:paraId="798D521E">
      <w:pPr>
        <w:pStyle w:val="478"/>
        <w:spacing w:line="400" w:lineRule="exact"/>
        <w:ind w:left="-420" w:right="-420" w:firstLine="440"/>
        <w:rPr>
          <w:rFonts w:hint="eastAsia" w:ascii="宋体" w:hAnsi="宋体" w:cs="宋体"/>
          <w:sz w:val="22"/>
          <w:szCs w:val="22"/>
        </w:rPr>
      </w:pPr>
      <w:bookmarkStart w:id="235" w:name="_Toc19443"/>
      <w:r>
        <w:rPr>
          <w:rFonts w:hint="eastAsia" w:ascii="宋体" w:hAnsi="宋体" w:cs="宋体"/>
          <w:sz w:val="22"/>
          <w:szCs w:val="22"/>
        </w:rPr>
        <w:t>2</w:t>
      </w:r>
      <w:bookmarkStart w:id="236" w:name="_Toc296503157"/>
      <w:bookmarkStart w:id="237" w:name="_Toc297048343"/>
      <w:bookmarkStart w:id="238" w:name="_Toc292559362"/>
      <w:bookmarkStart w:id="239" w:name="_Toc292559867"/>
      <w:bookmarkStart w:id="240" w:name="_Toc296890985"/>
      <w:bookmarkStart w:id="241" w:name="_Toc296944496"/>
      <w:bookmarkStart w:id="242" w:name="_Toc296347156"/>
      <w:bookmarkStart w:id="243" w:name="_Toc296891197"/>
      <w:bookmarkStart w:id="244" w:name="_Toc297120457"/>
      <w:bookmarkStart w:id="245" w:name="_Toc296346658"/>
      <w:r>
        <w:rPr>
          <w:rFonts w:hint="eastAsia" w:ascii="宋体" w:hAnsi="宋体" w:cs="宋体"/>
          <w:sz w:val="22"/>
          <w:szCs w:val="22"/>
        </w:rPr>
        <w:t>. 发包人</w:t>
      </w:r>
      <w:bookmarkEnd w:id="235"/>
      <w:bookmarkEnd w:id="236"/>
      <w:bookmarkEnd w:id="237"/>
      <w:bookmarkEnd w:id="238"/>
      <w:bookmarkEnd w:id="239"/>
      <w:bookmarkEnd w:id="240"/>
      <w:bookmarkEnd w:id="241"/>
      <w:bookmarkEnd w:id="242"/>
      <w:bookmarkEnd w:id="243"/>
      <w:bookmarkEnd w:id="244"/>
      <w:bookmarkEnd w:id="245"/>
    </w:p>
    <w:p w14:paraId="4A779ABA">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2.1 许可和批准：</w:t>
      </w:r>
      <w:r>
        <w:rPr>
          <w:rFonts w:hint="eastAsia" w:ascii="宋体" w:hAnsi="宋体" w:cs="宋体"/>
          <w:sz w:val="22"/>
          <w:szCs w:val="22"/>
          <w:u w:val="single"/>
        </w:rPr>
        <w:t>发包人应遵守法律，并办理法律规定由其办理的许可、批准或备案，包括但不限于建设用地规划许可证、建设工程规划许可证等；承包人按照施工需求，及时办理临时用水、临时用电、中断道路交通、临时占用土地等许可和批准；发包人应协助承包人办理法律规定的有关施工证件和批件</w:t>
      </w:r>
      <w:r>
        <w:rPr>
          <w:rFonts w:hint="eastAsia" w:ascii="宋体" w:hAnsi="宋体" w:cs="宋体"/>
          <w:sz w:val="22"/>
          <w:szCs w:val="22"/>
        </w:rPr>
        <w:t>。</w:t>
      </w:r>
    </w:p>
    <w:p w14:paraId="49009620">
      <w:pPr>
        <w:pStyle w:val="478"/>
        <w:spacing w:line="400" w:lineRule="exact"/>
        <w:ind w:left="-420" w:right="-420" w:firstLine="440"/>
        <w:rPr>
          <w:rFonts w:hint="eastAsia" w:ascii="宋体" w:hAnsi="宋体" w:cs="宋体"/>
          <w:color w:val="000000"/>
          <w:sz w:val="22"/>
          <w:szCs w:val="22"/>
        </w:rPr>
      </w:pPr>
      <w:bookmarkStart w:id="246" w:name="_Toc29840"/>
      <w:r>
        <w:rPr>
          <w:rFonts w:hint="eastAsia" w:ascii="宋体" w:hAnsi="宋体" w:cs="宋体"/>
          <w:color w:val="000000"/>
          <w:sz w:val="22"/>
          <w:szCs w:val="22"/>
        </w:rPr>
        <w:t>2.2 发包人代表</w:t>
      </w:r>
      <w:bookmarkEnd w:id="246"/>
    </w:p>
    <w:p w14:paraId="3CF65572">
      <w:pPr>
        <w:pStyle w:val="478"/>
        <w:spacing w:line="400" w:lineRule="exact"/>
        <w:ind w:left="-420" w:right="-420" w:firstLine="440"/>
        <w:rPr>
          <w:rFonts w:hint="eastAsia" w:ascii="宋体" w:hAnsi="宋体" w:cs="宋体"/>
          <w:color w:val="000000"/>
          <w:sz w:val="22"/>
          <w:szCs w:val="22"/>
        </w:rPr>
      </w:pPr>
      <w:r>
        <w:rPr>
          <w:rFonts w:hint="eastAsia" w:ascii="宋体" w:hAnsi="宋体" w:cs="宋体"/>
          <w:color w:val="000000"/>
          <w:sz w:val="22"/>
          <w:szCs w:val="22"/>
        </w:rPr>
        <w:t>发包人代表：</w:t>
      </w:r>
    </w:p>
    <w:p w14:paraId="346E8BB5">
      <w:pPr>
        <w:pStyle w:val="478"/>
        <w:spacing w:line="400" w:lineRule="exact"/>
        <w:ind w:left="-420" w:right="-420" w:firstLine="440"/>
        <w:rPr>
          <w:rFonts w:hint="eastAsia" w:ascii="宋体" w:hAnsi="宋体" w:cs="宋体"/>
          <w:color w:val="000000"/>
          <w:sz w:val="22"/>
          <w:szCs w:val="22"/>
        </w:rPr>
      </w:pPr>
      <w:r>
        <w:rPr>
          <w:rFonts w:hint="eastAsia" w:ascii="宋体" w:hAnsi="宋体" w:cs="宋体"/>
          <w:color w:val="000000"/>
          <w:sz w:val="22"/>
          <w:szCs w:val="22"/>
        </w:rPr>
        <w:t>姓    名：</w:t>
      </w:r>
      <w:r>
        <w:rPr>
          <w:rFonts w:hint="eastAsia" w:ascii="宋体" w:hAnsi="宋体" w:cs="宋体"/>
          <w:color w:val="000000"/>
          <w:sz w:val="22"/>
          <w:szCs w:val="22"/>
          <w:u w:val="single"/>
        </w:rPr>
        <w:t xml:space="preserve">                        </w:t>
      </w:r>
      <w:r>
        <w:rPr>
          <w:rFonts w:hint="eastAsia" w:ascii="宋体" w:hAnsi="宋体" w:cs="宋体"/>
          <w:color w:val="000000"/>
          <w:sz w:val="22"/>
          <w:szCs w:val="22"/>
        </w:rPr>
        <w:t>；</w:t>
      </w:r>
    </w:p>
    <w:p w14:paraId="1213153E">
      <w:pPr>
        <w:pStyle w:val="478"/>
        <w:spacing w:line="400" w:lineRule="exact"/>
        <w:ind w:left="-420" w:right="-420" w:firstLine="440"/>
        <w:rPr>
          <w:rFonts w:hint="eastAsia" w:ascii="宋体" w:hAnsi="宋体" w:cs="宋体"/>
          <w:color w:val="000000"/>
          <w:sz w:val="22"/>
          <w:szCs w:val="22"/>
        </w:rPr>
      </w:pPr>
      <w:r>
        <w:rPr>
          <w:rFonts w:hint="eastAsia" w:ascii="宋体" w:hAnsi="宋体" w:cs="宋体"/>
          <w:color w:val="000000"/>
          <w:sz w:val="22"/>
          <w:szCs w:val="22"/>
        </w:rPr>
        <w:t>身份证号：</w:t>
      </w:r>
      <w:r>
        <w:rPr>
          <w:rFonts w:hint="eastAsia" w:ascii="宋体" w:hAnsi="宋体" w:cs="宋体"/>
          <w:color w:val="000000"/>
          <w:sz w:val="22"/>
          <w:szCs w:val="22"/>
          <w:u w:val="single"/>
        </w:rPr>
        <w:t xml:space="preserve">                        </w:t>
      </w:r>
      <w:r>
        <w:rPr>
          <w:rFonts w:hint="eastAsia" w:ascii="宋体" w:hAnsi="宋体" w:cs="宋体"/>
          <w:color w:val="000000"/>
          <w:sz w:val="22"/>
          <w:szCs w:val="22"/>
        </w:rPr>
        <w:t>；</w:t>
      </w:r>
    </w:p>
    <w:p w14:paraId="533F5B52">
      <w:pPr>
        <w:pStyle w:val="478"/>
        <w:spacing w:line="400" w:lineRule="exact"/>
        <w:ind w:left="-420" w:right="-420" w:firstLine="440"/>
        <w:rPr>
          <w:rFonts w:hint="eastAsia" w:ascii="宋体" w:hAnsi="宋体" w:cs="宋体"/>
          <w:color w:val="000000"/>
          <w:sz w:val="22"/>
          <w:szCs w:val="22"/>
        </w:rPr>
      </w:pPr>
      <w:r>
        <w:rPr>
          <w:rFonts w:hint="eastAsia" w:ascii="宋体" w:hAnsi="宋体" w:cs="宋体"/>
          <w:color w:val="000000"/>
          <w:sz w:val="22"/>
          <w:szCs w:val="22"/>
        </w:rPr>
        <w:t>职    务：</w:t>
      </w:r>
      <w:r>
        <w:rPr>
          <w:rFonts w:hint="eastAsia" w:ascii="宋体" w:hAnsi="宋体" w:cs="宋体"/>
          <w:color w:val="000000"/>
          <w:sz w:val="22"/>
          <w:szCs w:val="22"/>
          <w:u w:val="single"/>
        </w:rPr>
        <w:t xml:space="preserve">                        </w:t>
      </w:r>
      <w:r>
        <w:rPr>
          <w:rFonts w:hint="eastAsia" w:ascii="宋体" w:hAnsi="宋体" w:cs="宋体"/>
          <w:color w:val="000000"/>
          <w:sz w:val="22"/>
          <w:szCs w:val="22"/>
        </w:rPr>
        <w:t>；</w:t>
      </w:r>
    </w:p>
    <w:p w14:paraId="1E8B01DC">
      <w:pPr>
        <w:pStyle w:val="478"/>
        <w:spacing w:line="400" w:lineRule="exact"/>
        <w:ind w:left="-420" w:right="-420" w:firstLine="440"/>
        <w:rPr>
          <w:rFonts w:hint="eastAsia" w:ascii="宋体" w:hAnsi="宋体" w:cs="宋体"/>
          <w:color w:val="000000"/>
          <w:sz w:val="22"/>
          <w:szCs w:val="22"/>
        </w:rPr>
      </w:pPr>
      <w:r>
        <w:rPr>
          <w:rFonts w:hint="eastAsia" w:ascii="宋体" w:hAnsi="宋体" w:cs="宋体"/>
          <w:color w:val="000000"/>
          <w:sz w:val="22"/>
          <w:szCs w:val="22"/>
        </w:rPr>
        <w:t>联系电话：</w:t>
      </w:r>
      <w:r>
        <w:rPr>
          <w:rFonts w:hint="eastAsia" w:ascii="宋体" w:hAnsi="宋体" w:cs="宋体"/>
          <w:color w:val="000000"/>
          <w:sz w:val="22"/>
          <w:szCs w:val="22"/>
          <w:u w:val="single"/>
        </w:rPr>
        <w:t xml:space="preserve">                        </w:t>
      </w:r>
      <w:r>
        <w:rPr>
          <w:rFonts w:hint="eastAsia" w:ascii="宋体" w:hAnsi="宋体" w:cs="宋体"/>
          <w:color w:val="000000"/>
          <w:sz w:val="22"/>
          <w:szCs w:val="22"/>
        </w:rPr>
        <w:t>；</w:t>
      </w:r>
    </w:p>
    <w:p w14:paraId="7455ED49">
      <w:pPr>
        <w:pStyle w:val="478"/>
        <w:spacing w:line="400" w:lineRule="exact"/>
        <w:ind w:left="-420" w:right="-420" w:firstLine="440"/>
        <w:rPr>
          <w:rFonts w:hint="eastAsia" w:ascii="宋体" w:hAnsi="宋体" w:cs="宋体"/>
          <w:color w:val="000000"/>
          <w:sz w:val="22"/>
          <w:szCs w:val="22"/>
        </w:rPr>
      </w:pPr>
      <w:r>
        <w:rPr>
          <w:rFonts w:hint="eastAsia" w:ascii="宋体" w:hAnsi="宋体" w:cs="宋体"/>
          <w:color w:val="000000"/>
          <w:sz w:val="22"/>
          <w:szCs w:val="22"/>
        </w:rPr>
        <w:t>电子信箱：</w:t>
      </w:r>
      <w:r>
        <w:rPr>
          <w:rFonts w:hint="eastAsia" w:ascii="宋体" w:hAnsi="宋体" w:cs="宋体"/>
          <w:color w:val="000000"/>
          <w:sz w:val="22"/>
          <w:szCs w:val="22"/>
          <w:u w:val="single"/>
        </w:rPr>
        <w:t xml:space="preserve">                        </w:t>
      </w:r>
      <w:r>
        <w:rPr>
          <w:rFonts w:hint="eastAsia" w:ascii="宋体" w:hAnsi="宋体" w:cs="宋体"/>
          <w:color w:val="000000"/>
          <w:sz w:val="22"/>
          <w:szCs w:val="22"/>
        </w:rPr>
        <w:t>；</w:t>
      </w:r>
    </w:p>
    <w:p w14:paraId="4644B9DC">
      <w:pPr>
        <w:pStyle w:val="478"/>
        <w:spacing w:line="400" w:lineRule="exact"/>
        <w:ind w:left="-420" w:right="-420" w:firstLine="440"/>
        <w:rPr>
          <w:rFonts w:hint="eastAsia" w:ascii="宋体" w:hAnsi="宋体" w:cs="宋体"/>
          <w:color w:val="000000"/>
          <w:sz w:val="22"/>
          <w:szCs w:val="22"/>
        </w:rPr>
      </w:pPr>
      <w:r>
        <w:rPr>
          <w:rFonts w:hint="eastAsia" w:ascii="宋体" w:hAnsi="宋体" w:cs="宋体"/>
          <w:color w:val="000000"/>
          <w:sz w:val="22"/>
          <w:szCs w:val="22"/>
        </w:rPr>
        <w:t>通信地址：</w:t>
      </w:r>
      <w:r>
        <w:rPr>
          <w:rFonts w:hint="eastAsia" w:ascii="宋体" w:hAnsi="宋体" w:cs="宋体"/>
          <w:color w:val="000000"/>
          <w:sz w:val="22"/>
          <w:szCs w:val="22"/>
          <w:u w:val="single"/>
        </w:rPr>
        <w:t xml:space="preserve">                        </w:t>
      </w:r>
      <w:r>
        <w:rPr>
          <w:rFonts w:hint="eastAsia" w:ascii="宋体" w:hAnsi="宋体" w:cs="宋体"/>
          <w:color w:val="000000"/>
          <w:sz w:val="22"/>
          <w:szCs w:val="22"/>
        </w:rPr>
        <w:t>；</w:t>
      </w:r>
    </w:p>
    <w:p w14:paraId="6D1B0BC2">
      <w:pPr>
        <w:pStyle w:val="478"/>
        <w:spacing w:line="400" w:lineRule="exact"/>
        <w:ind w:left="-420" w:right="-420" w:firstLine="440"/>
        <w:rPr>
          <w:rFonts w:hint="eastAsia" w:ascii="宋体" w:hAnsi="宋体" w:cs="宋体"/>
          <w:sz w:val="22"/>
          <w:szCs w:val="22"/>
        </w:rPr>
      </w:pPr>
      <w:r>
        <w:rPr>
          <w:rFonts w:hint="eastAsia" w:ascii="宋体" w:hAnsi="宋体" w:cs="宋体"/>
          <w:color w:val="000000"/>
          <w:sz w:val="22"/>
          <w:szCs w:val="22"/>
        </w:rPr>
        <w:t>发包人对发包人代表的授权范围如下：</w:t>
      </w:r>
      <w:r>
        <w:rPr>
          <w:rFonts w:hint="eastAsia" w:ascii="宋体" w:hAnsi="宋体" w:cs="宋体"/>
          <w:color w:val="000000"/>
          <w:sz w:val="22"/>
          <w:szCs w:val="22"/>
          <w:u w:val="single"/>
        </w:rPr>
        <w:t>发包人代表在发包人的授权范围内，负责处理合同履行过程中与发包人有关的具体事宜。授权范围包含但不限于施</w:t>
      </w:r>
      <w:r>
        <w:rPr>
          <w:rFonts w:hint="eastAsia" w:ascii="宋体" w:hAnsi="宋体" w:cs="宋体"/>
          <w:sz w:val="22"/>
          <w:szCs w:val="22"/>
          <w:u w:val="single"/>
        </w:rPr>
        <w:t>工组织设计和总进度计划的审批权、工程变更的确认权、签证权、决定开停复工令权、工程款的审查权和支付权；特殊及重要施工工艺和材料发包及指定分包权、建筑材料价格的确认权等</w:t>
      </w:r>
      <w:r>
        <w:rPr>
          <w:rFonts w:hint="eastAsia" w:ascii="宋体" w:hAnsi="宋体" w:cs="宋体"/>
          <w:sz w:val="22"/>
          <w:szCs w:val="22"/>
        </w:rPr>
        <w:t>。</w:t>
      </w:r>
    </w:p>
    <w:p w14:paraId="073BAB83">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2.4 施工现场、施工条件和基础资料的提供</w:t>
      </w:r>
    </w:p>
    <w:p w14:paraId="30F60328">
      <w:pPr>
        <w:pStyle w:val="478"/>
        <w:spacing w:line="400" w:lineRule="exact"/>
        <w:ind w:left="-420" w:right="-420" w:firstLine="440"/>
        <w:jc w:val="left"/>
        <w:rPr>
          <w:rFonts w:hint="eastAsia" w:ascii="宋体" w:hAnsi="宋体" w:cs="宋体"/>
          <w:sz w:val="22"/>
          <w:szCs w:val="22"/>
        </w:rPr>
      </w:pPr>
      <w:r>
        <w:rPr>
          <w:rFonts w:hint="eastAsia" w:ascii="宋体" w:hAnsi="宋体" w:cs="宋体"/>
          <w:sz w:val="22"/>
          <w:szCs w:val="22"/>
        </w:rPr>
        <w:t>2.4.1 提供施工现场关于发包人移交施工现场的期限要求：</w:t>
      </w:r>
      <w:r>
        <w:rPr>
          <w:rFonts w:hint="eastAsia" w:ascii="宋体" w:hAnsi="宋体" w:cs="宋体"/>
          <w:sz w:val="22"/>
          <w:szCs w:val="22"/>
          <w:u w:val="single"/>
        </w:rPr>
        <w:t>应最迟于开工日期7天前向承包人移交施工现场；特殊情况下由发承双方商定、确定</w:t>
      </w:r>
      <w:r>
        <w:rPr>
          <w:rFonts w:hint="eastAsia" w:ascii="宋体" w:hAnsi="宋体" w:cs="宋体"/>
          <w:sz w:val="22"/>
          <w:szCs w:val="22"/>
        </w:rPr>
        <w:t>。</w:t>
      </w:r>
    </w:p>
    <w:p w14:paraId="5FC6AA05">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2.4.2 提供施工条件:</w:t>
      </w:r>
      <w:r>
        <w:rPr>
          <w:rFonts w:hint="eastAsia" w:ascii="宋体" w:hAnsi="宋体" w:cs="宋体"/>
          <w:sz w:val="22"/>
          <w:szCs w:val="22"/>
          <w:u w:val="single"/>
        </w:rPr>
        <w:t>按专用合同条款1.10、3.1等执行</w:t>
      </w:r>
      <w:r>
        <w:rPr>
          <w:rFonts w:hint="eastAsia" w:ascii="宋体" w:hAnsi="宋体" w:cs="宋体"/>
          <w:sz w:val="22"/>
          <w:szCs w:val="22"/>
        </w:rPr>
        <w:t>。</w:t>
      </w:r>
    </w:p>
    <w:p w14:paraId="2DDE8584">
      <w:pPr>
        <w:pStyle w:val="256"/>
        <w:spacing w:line="400" w:lineRule="exact"/>
        <w:ind w:firstLine="440"/>
        <w:jc w:val="left"/>
        <w:rPr>
          <w:rFonts w:hint="eastAsia" w:ascii="宋体" w:hAnsi="宋体" w:cs="宋体"/>
          <w:sz w:val="22"/>
        </w:rPr>
      </w:pPr>
      <w:r>
        <w:rPr>
          <w:rFonts w:hint="eastAsia" w:ascii="宋体" w:hAnsi="宋体" w:cs="宋体"/>
          <w:sz w:val="22"/>
        </w:rPr>
        <w:t>2.4.4 逾期提供的责任：</w:t>
      </w:r>
      <w:r>
        <w:rPr>
          <w:rFonts w:hint="eastAsia" w:ascii="宋体" w:hAnsi="宋体" w:cs="宋体"/>
          <w:sz w:val="22"/>
          <w:u w:val="single"/>
        </w:rPr>
        <w:t>发承双方根据工程实际情况商定、确定</w:t>
      </w:r>
      <w:r>
        <w:rPr>
          <w:rFonts w:hint="eastAsia" w:ascii="宋体" w:hAnsi="宋体" w:cs="宋体"/>
          <w:sz w:val="22"/>
        </w:rPr>
        <w:t>。</w:t>
      </w:r>
    </w:p>
    <w:p w14:paraId="1B0DCA25">
      <w:pPr>
        <w:pStyle w:val="478"/>
        <w:spacing w:line="400" w:lineRule="exact"/>
        <w:ind w:left="-420" w:right="-420" w:firstLine="440"/>
        <w:rPr>
          <w:rFonts w:hint="eastAsia" w:ascii="宋体" w:hAnsi="宋体" w:cs="宋体"/>
          <w:sz w:val="22"/>
          <w:szCs w:val="22"/>
        </w:rPr>
      </w:pPr>
      <w:bookmarkStart w:id="247" w:name="_Toc351203514"/>
      <w:r>
        <w:rPr>
          <w:rFonts w:hint="eastAsia" w:ascii="宋体" w:hAnsi="宋体" w:cs="宋体"/>
          <w:sz w:val="22"/>
          <w:szCs w:val="22"/>
        </w:rPr>
        <w:t>2</w:t>
      </w:r>
      <w:bookmarkStart w:id="248" w:name="_Toc296503042"/>
      <w:bookmarkStart w:id="249" w:name="_Toc296346543"/>
      <w:bookmarkStart w:id="250" w:name="_Toc337558745"/>
      <w:r>
        <w:rPr>
          <w:rFonts w:hint="eastAsia" w:ascii="宋体" w:hAnsi="宋体" w:cs="宋体"/>
          <w:sz w:val="22"/>
          <w:szCs w:val="22"/>
        </w:rPr>
        <w:t>.5 资</w:t>
      </w:r>
      <w:bookmarkEnd w:id="248"/>
      <w:bookmarkEnd w:id="249"/>
      <w:bookmarkEnd w:id="250"/>
      <w:r>
        <w:rPr>
          <w:rFonts w:hint="eastAsia" w:ascii="宋体" w:hAnsi="宋体" w:cs="宋体"/>
          <w:sz w:val="22"/>
          <w:szCs w:val="22"/>
        </w:rPr>
        <w:t>金来源证明及支付担保</w:t>
      </w:r>
      <w:bookmarkEnd w:id="247"/>
    </w:p>
    <w:p w14:paraId="0B11BAA2">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发包人提供资金来源证明的期限要求：无需提供。</w:t>
      </w:r>
    </w:p>
    <w:p w14:paraId="3DE06C8B">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发包人是否提供支付担保：</w:t>
      </w:r>
      <w:r>
        <w:rPr>
          <w:rFonts w:hint="eastAsia" w:ascii="宋体" w:hAnsi="宋体" w:cs="宋体"/>
          <w:sz w:val="22"/>
          <w:szCs w:val="22"/>
          <w:u w:val="single"/>
        </w:rPr>
        <w:t>无需提供</w:t>
      </w:r>
      <w:r>
        <w:rPr>
          <w:rFonts w:hint="eastAsia" w:ascii="宋体" w:hAnsi="宋体" w:cs="宋体"/>
          <w:sz w:val="22"/>
          <w:szCs w:val="22"/>
        </w:rPr>
        <w:t>。</w:t>
      </w:r>
    </w:p>
    <w:p w14:paraId="6351BB1D">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发包人提供支付担保的形式：</w:t>
      </w:r>
      <w:r>
        <w:rPr>
          <w:rFonts w:hint="eastAsia" w:ascii="宋体" w:hAnsi="宋体" w:cs="宋体"/>
          <w:sz w:val="22"/>
          <w:szCs w:val="22"/>
          <w:u w:val="single"/>
        </w:rPr>
        <w:t>无需提供</w:t>
      </w:r>
      <w:r>
        <w:rPr>
          <w:rFonts w:hint="eastAsia" w:ascii="宋体" w:hAnsi="宋体" w:cs="宋体"/>
          <w:sz w:val="22"/>
          <w:szCs w:val="22"/>
        </w:rPr>
        <w:t>。</w:t>
      </w:r>
    </w:p>
    <w:p w14:paraId="05A3FA3F">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3. 承包人</w:t>
      </w:r>
    </w:p>
    <w:p w14:paraId="4C0645BB">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3.1 承包人的一般义务</w:t>
      </w:r>
    </w:p>
    <w:p w14:paraId="7F61BBA4">
      <w:pPr>
        <w:pStyle w:val="478"/>
        <w:spacing w:line="400" w:lineRule="exact"/>
        <w:ind w:left="-420" w:right="-420" w:firstLine="440"/>
        <w:rPr>
          <w:rFonts w:hint="eastAsia" w:ascii="宋体" w:hAnsi="宋体" w:cs="宋体"/>
          <w:sz w:val="22"/>
          <w:szCs w:val="22"/>
          <w:u w:val="single"/>
        </w:rPr>
      </w:pPr>
      <w:r>
        <w:rPr>
          <w:rFonts w:hint="eastAsia" w:ascii="宋体" w:hAnsi="宋体" w:cs="宋体"/>
          <w:sz w:val="22"/>
          <w:szCs w:val="22"/>
        </w:rPr>
        <w:t>（9）承包人提交的竣工资料的内容：</w:t>
      </w:r>
      <w:r>
        <w:rPr>
          <w:rFonts w:hint="eastAsia" w:ascii="宋体" w:hAnsi="宋体" w:cs="宋体"/>
          <w:sz w:val="22"/>
          <w:szCs w:val="22"/>
          <w:u w:val="single"/>
        </w:rPr>
        <w:t>按照法律规定和合同约定编制竣工资料，完成竣工资料立卷及归档；按照发包人要求的内容编制</w:t>
      </w:r>
      <w:r>
        <w:rPr>
          <w:rFonts w:hint="eastAsia" w:ascii="宋体" w:hAnsi="宋体" w:cs="宋体"/>
          <w:sz w:val="22"/>
          <w:szCs w:val="22"/>
        </w:rPr>
        <w:t>。</w:t>
      </w:r>
    </w:p>
    <w:p w14:paraId="61FA3D7D">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承包人需要提交的竣工资料套数：</w:t>
      </w:r>
      <w:r>
        <w:rPr>
          <w:rFonts w:hint="eastAsia" w:ascii="宋体" w:hAnsi="宋体" w:cs="宋体"/>
          <w:sz w:val="22"/>
          <w:szCs w:val="22"/>
          <w:u w:val="single"/>
        </w:rPr>
        <w:t>贰套（发包人、县城建档案馆）</w:t>
      </w:r>
      <w:r>
        <w:rPr>
          <w:rFonts w:hint="eastAsia" w:ascii="宋体" w:hAnsi="宋体" w:cs="宋体"/>
          <w:sz w:val="22"/>
          <w:szCs w:val="22"/>
        </w:rPr>
        <w:t>。</w:t>
      </w:r>
    </w:p>
    <w:p w14:paraId="3C9005FD">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承包人提交的竣工资料的费用承担：</w:t>
      </w:r>
      <w:r>
        <w:rPr>
          <w:rFonts w:hint="eastAsia" w:ascii="宋体" w:hAnsi="宋体" w:cs="宋体"/>
          <w:sz w:val="22"/>
          <w:szCs w:val="22"/>
          <w:u w:val="single"/>
        </w:rPr>
        <w:t>承包人承担</w:t>
      </w:r>
      <w:r>
        <w:rPr>
          <w:rFonts w:hint="eastAsia" w:ascii="宋体" w:hAnsi="宋体" w:cs="宋体"/>
          <w:sz w:val="22"/>
          <w:szCs w:val="22"/>
        </w:rPr>
        <w:t>。</w:t>
      </w:r>
    </w:p>
    <w:p w14:paraId="6E52F063">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承包人提交的竣工资料移交时间：</w:t>
      </w:r>
      <w:r>
        <w:rPr>
          <w:rFonts w:hint="eastAsia" w:ascii="宋体" w:hAnsi="宋体" w:cs="宋体"/>
          <w:sz w:val="22"/>
          <w:szCs w:val="22"/>
          <w:u w:val="single"/>
        </w:rPr>
        <w:t>承包人应在工程竣工后30日内提供贰套完整的竣工资料</w:t>
      </w:r>
      <w:r>
        <w:rPr>
          <w:rFonts w:hint="eastAsia" w:ascii="宋体" w:hAnsi="宋体" w:cs="宋体"/>
          <w:sz w:val="22"/>
          <w:szCs w:val="22"/>
        </w:rPr>
        <w:t>。</w:t>
      </w:r>
    </w:p>
    <w:p w14:paraId="3F7429BB">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承包人提交的竣工资料形式要求：</w:t>
      </w:r>
      <w:r>
        <w:rPr>
          <w:rFonts w:hint="eastAsia" w:ascii="宋体" w:hAnsi="宋体" w:cs="宋体"/>
          <w:sz w:val="22"/>
          <w:szCs w:val="22"/>
          <w:u w:val="single"/>
        </w:rPr>
        <w:t>纸质、电子文件及影像资料；具体内容格式以县城建档案馆归档要求为准</w:t>
      </w:r>
      <w:r>
        <w:rPr>
          <w:rFonts w:hint="eastAsia" w:ascii="宋体" w:hAnsi="宋体" w:cs="宋体"/>
          <w:sz w:val="22"/>
          <w:szCs w:val="22"/>
        </w:rPr>
        <w:t>。</w:t>
      </w:r>
    </w:p>
    <w:p w14:paraId="6BDC31D3">
      <w:pPr>
        <w:pStyle w:val="478"/>
        <w:numPr>
          <w:ilvl w:val="0"/>
          <w:numId w:val="7"/>
        </w:numPr>
        <w:spacing w:line="400" w:lineRule="exact"/>
        <w:ind w:left="-400" w:right="-420" w:firstLine="440"/>
        <w:rPr>
          <w:rFonts w:hint="eastAsia" w:ascii="宋体" w:hAnsi="宋体" w:cs="宋体"/>
          <w:sz w:val="22"/>
          <w:szCs w:val="22"/>
        </w:rPr>
      </w:pPr>
      <w:r>
        <w:rPr>
          <w:rFonts w:hint="eastAsia" w:ascii="宋体" w:hAnsi="宋体" w:cs="宋体"/>
          <w:sz w:val="22"/>
          <w:szCs w:val="22"/>
        </w:rPr>
        <w:t>承包人应履行的其他义务：</w:t>
      </w:r>
      <w:r>
        <w:rPr>
          <w:rFonts w:hint="eastAsia" w:ascii="宋体" w:hAnsi="宋体" w:cs="宋体"/>
          <w:sz w:val="22"/>
          <w:szCs w:val="22"/>
          <w:u w:val="single"/>
        </w:rPr>
        <w:t>(1)施工所需水、电、通讯等管网线路，由承包人自行解决，达到施工要求的标准，满足施工需要，费用由承包人承担；如有其他需要发生的费用视同承包人已在投标报价中包含（无论是否包含，发包人将一律视为投标方已确认了所有现场条件和已预计到了可能发生的异常情况），中标后，不得以不完全了解现场情况为理由而提出额外的费用或延长竣工日期等要求；(2)办理法律规定应由承包人办理的许可和批准，并将办理结果书面报送发包人留存。施工现场按标准化工地设置且符合建设主管部门要求；(3)按合同约定的工作内容和施工进度要求，编制施工组织设计和施工措施计划，并对所有施工作业和施工方法的完备性和安全可靠性负责；按照发包人要求，及时有关工程进度计划、施工月报等资料；(4)按法律规定和合同约定采取施工安全和环境保护措施，办理工伤保险，确保工程及人员、材料、设备和设施的安全；负责在工程施工竣工及保修的整个过程中施工现场全部人员的安全；负责在需要的时间和地点，根据有关部门要求，提供和维护所有灯光、护板、栅栏、警告信号和警卫，并且对工程进行保护或为公众提供安全和方便；(5)不得侵害发包人与他人使用公用道路、水源、市政管网等公共设施的权利，避免对邻近的公共设施产生干扰；承包人占用或使用他人的施工场地，影响他人作业或生活的，应承担相应责任；施工场地交通、环卫和噪音等管理的要求及费用由承包人负责；(6)负责做好施工场地周围建筑物、构筑物和地下管线、文物及花木的保护；负责施工场地清洁，交工前现场应达到技术规范与合同的要求；(7)施工、竣工和保修均应不使下述各方遭受不必要的干扰：①公众的便利。②对公用道路、便道的使用和他人财产的占用。③承包人应保证发包人免于受到或承担应由承包人负责的上述事项所引起的或与之有关的索赔、诉讼、损害赔偿及其他开支，承包人未能定完成上述工作的，应承担全部责任及费用，工期不得顺延；（8）如发生施工爆破作业，则所需的批件由承包人自行解决，费用由承包人负担；（9）执行工程质量、进度、安全管理制度，确保工程施工的质量，加快工程施工的进度，提高施工现场安全施工等综合管理水平</w:t>
      </w:r>
      <w:r>
        <w:rPr>
          <w:rFonts w:hint="eastAsia" w:ascii="宋体" w:hAnsi="宋体" w:cs="宋体"/>
          <w:sz w:val="22"/>
          <w:szCs w:val="22"/>
        </w:rPr>
        <w:t>。</w:t>
      </w:r>
    </w:p>
    <w:p w14:paraId="51535173">
      <w:pPr>
        <w:pStyle w:val="478"/>
        <w:spacing w:line="400" w:lineRule="exact"/>
        <w:ind w:left="-420" w:right="-420" w:firstLine="440"/>
        <w:rPr>
          <w:rFonts w:hint="eastAsia" w:ascii="宋体" w:hAnsi="宋体" w:cs="宋体"/>
          <w:color w:val="000000"/>
          <w:sz w:val="22"/>
          <w:szCs w:val="22"/>
        </w:rPr>
      </w:pPr>
      <w:r>
        <w:rPr>
          <w:rFonts w:hint="eastAsia" w:ascii="宋体" w:hAnsi="宋体" w:cs="宋体"/>
          <w:color w:val="000000"/>
          <w:sz w:val="22"/>
          <w:szCs w:val="22"/>
        </w:rPr>
        <w:t>3.2 项目经理</w:t>
      </w:r>
    </w:p>
    <w:p w14:paraId="10FA2B5A">
      <w:pPr>
        <w:pStyle w:val="478"/>
        <w:spacing w:line="400" w:lineRule="exact"/>
        <w:ind w:left="-420" w:right="-420" w:firstLine="440"/>
        <w:rPr>
          <w:rFonts w:hint="eastAsia" w:ascii="宋体" w:hAnsi="宋体" w:cs="宋体"/>
          <w:color w:val="000000"/>
          <w:sz w:val="22"/>
          <w:szCs w:val="22"/>
        </w:rPr>
      </w:pPr>
      <w:r>
        <w:rPr>
          <w:rFonts w:hint="eastAsia" w:ascii="宋体" w:hAnsi="宋体" w:cs="宋体"/>
          <w:color w:val="000000"/>
          <w:sz w:val="22"/>
          <w:szCs w:val="22"/>
        </w:rPr>
        <w:t>3.2.1 项目经理：</w:t>
      </w:r>
    </w:p>
    <w:p w14:paraId="3CCC33FE">
      <w:pPr>
        <w:pStyle w:val="478"/>
        <w:spacing w:line="400" w:lineRule="exact"/>
        <w:ind w:left="-420" w:right="-420" w:firstLine="440"/>
        <w:rPr>
          <w:rFonts w:hint="eastAsia" w:ascii="宋体" w:hAnsi="宋体" w:cs="宋体"/>
          <w:color w:val="000000"/>
          <w:sz w:val="22"/>
          <w:szCs w:val="22"/>
        </w:rPr>
      </w:pPr>
      <w:r>
        <w:rPr>
          <w:rFonts w:hint="eastAsia" w:ascii="宋体" w:hAnsi="宋体" w:cs="宋体"/>
          <w:color w:val="000000"/>
          <w:sz w:val="22"/>
          <w:szCs w:val="22"/>
        </w:rPr>
        <w:t>姓    名：</w:t>
      </w:r>
      <w:r>
        <w:rPr>
          <w:rFonts w:hint="eastAsia" w:ascii="宋体" w:hAnsi="宋体" w:cs="宋体"/>
          <w:color w:val="000000"/>
          <w:sz w:val="22"/>
          <w:szCs w:val="22"/>
          <w:u w:val="single"/>
        </w:rPr>
        <w:t xml:space="preserve">                                   </w:t>
      </w:r>
      <w:r>
        <w:rPr>
          <w:rFonts w:hint="eastAsia" w:ascii="宋体" w:hAnsi="宋体" w:cs="宋体"/>
          <w:color w:val="000000"/>
          <w:sz w:val="22"/>
          <w:szCs w:val="22"/>
        </w:rPr>
        <w:t>；</w:t>
      </w:r>
    </w:p>
    <w:p w14:paraId="0287BA49">
      <w:pPr>
        <w:pStyle w:val="478"/>
        <w:spacing w:line="400" w:lineRule="exact"/>
        <w:ind w:left="-420" w:right="-420" w:firstLine="440"/>
        <w:rPr>
          <w:rFonts w:hint="eastAsia" w:ascii="宋体" w:hAnsi="宋体" w:cs="宋体"/>
          <w:color w:val="000000"/>
          <w:sz w:val="22"/>
          <w:szCs w:val="22"/>
        </w:rPr>
      </w:pPr>
      <w:r>
        <w:rPr>
          <w:rFonts w:hint="eastAsia" w:ascii="宋体" w:hAnsi="宋体" w:cs="宋体"/>
          <w:color w:val="000000"/>
          <w:sz w:val="22"/>
          <w:szCs w:val="22"/>
        </w:rPr>
        <w:t>身份证号：</w:t>
      </w:r>
      <w:r>
        <w:rPr>
          <w:rFonts w:hint="eastAsia" w:ascii="宋体" w:hAnsi="宋体" w:cs="宋体"/>
          <w:color w:val="000000"/>
          <w:sz w:val="22"/>
          <w:szCs w:val="22"/>
          <w:u w:val="single"/>
        </w:rPr>
        <w:t xml:space="preserve">                                   </w:t>
      </w:r>
      <w:r>
        <w:rPr>
          <w:rFonts w:hint="eastAsia" w:ascii="宋体" w:hAnsi="宋体" w:cs="宋体"/>
          <w:color w:val="000000"/>
          <w:sz w:val="22"/>
          <w:szCs w:val="22"/>
        </w:rPr>
        <w:t>；</w:t>
      </w:r>
    </w:p>
    <w:p w14:paraId="0978429B">
      <w:pPr>
        <w:pStyle w:val="478"/>
        <w:spacing w:line="400" w:lineRule="exact"/>
        <w:ind w:left="-420" w:right="-420" w:firstLine="440"/>
        <w:rPr>
          <w:rFonts w:hint="eastAsia" w:ascii="宋体" w:hAnsi="宋体" w:cs="宋体"/>
          <w:color w:val="000000"/>
          <w:sz w:val="22"/>
          <w:szCs w:val="22"/>
        </w:rPr>
      </w:pPr>
      <w:r>
        <w:rPr>
          <w:rFonts w:hint="eastAsia" w:ascii="宋体" w:hAnsi="宋体" w:cs="宋体"/>
          <w:color w:val="000000"/>
          <w:sz w:val="22"/>
          <w:szCs w:val="22"/>
        </w:rPr>
        <w:t>建造师执业资格等级：</w:t>
      </w:r>
      <w:r>
        <w:rPr>
          <w:rFonts w:hint="eastAsia" w:ascii="宋体" w:hAnsi="宋体" w:cs="宋体"/>
          <w:color w:val="000000"/>
          <w:sz w:val="22"/>
          <w:szCs w:val="22"/>
          <w:u w:val="single"/>
        </w:rPr>
        <w:t xml:space="preserve">                         </w:t>
      </w:r>
      <w:r>
        <w:rPr>
          <w:rFonts w:hint="eastAsia" w:ascii="宋体" w:hAnsi="宋体" w:cs="宋体"/>
          <w:color w:val="000000"/>
          <w:sz w:val="22"/>
          <w:szCs w:val="22"/>
        </w:rPr>
        <w:t>；</w:t>
      </w:r>
    </w:p>
    <w:p w14:paraId="018E6F7E">
      <w:pPr>
        <w:pStyle w:val="478"/>
        <w:spacing w:line="400" w:lineRule="exact"/>
        <w:ind w:left="-420" w:right="-420" w:firstLine="440"/>
        <w:rPr>
          <w:rFonts w:hint="eastAsia" w:ascii="宋体" w:hAnsi="宋体" w:cs="宋体"/>
          <w:color w:val="000000"/>
          <w:sz w:val="22"/>
          <w:szCs w:val="22"/>
        </w:rPr>
      </w:pPr>
      <w:r>
        <w:rPr>
          <w:rFonts w:hint="eastAsia" w:ascii="宋体" w:hAnsi="宋体" w:cs="宋体"/>
          <w:color w:val="000000"/>
          <w:sz w:val="22"/>
          <w:szCs w:val="22"/>
        </w:rPr>
        <w:t>建造师注册证书号：</w:t>
      </w:r>
      <w:r>
        <w:rPr>
          <w:rFonts w:hint="eastAsia" w:ascii="宋体" w:hAnsi="宋体" w:cs="宋体"/>
          <w:color w:val="000000"/>
          <w:sz w:val="22"/>
          <w:szCs w:val="22"/>
          <w:u w:val="single"/>
        </w:rPr>
        <w:t xml:space="preserve">                           </w:t>
      </w:r>
      <w:r>
        <w:rPr>
          <w:rFonts w:hint="eastAsia" w:ascii="宋体" w:hAnsi="宋体" w:cs="宋体"/>
          <w:color w:val="000000"/>
          <w:sz w:val="22"/>
          <w:szCs w:val="22"/>
        </w:rPr>
        <w:t>；</w:t>
      </w:r>
    </w:p>
    <w:p w14:paraId="25477776">
      <w:pPr>
        <w:pStyle w:val="478"/>
        <w:spacing w:line="400" w:lineRule="exact"/>
        <w:ind w:left="-420" w:right="-420" w:firstLine="440"/>
        <w:rPr>
          <w:rFonts w:hint="eastAsia" w:ascii="宋体" w:hAnsi="宋体" w:cs="宋体"/>
          <w:color w:val="000000"/>
          <w:sz w:val="22"/>
          <w:szCs w:val="22"/>
        </w:rPr>
      </w:pPr>
      <w:r>
        <w:rPr>
          <w:rFonts w:hint="eastAsia" w:ascii="宋体" w:hAnsi="宋体" w:cs="宋体"/>
          <w:color w:val="000000"/>
          <w:sz w:val="22"/>
          <w:szCs w:val="22"/>
        </w:rPr>
        <w:t>建造师执业印章号：</w:t>
      </w:r>
      <w:r>
        <w:rPr>
          <w:rFonts w:hint="eastAsia" w:ascii="宋体" w:hAnsi="宋体" w:cs="宋体"/>
          <w:color w:val="000000"/>
          <w:sz w:val="22"/>
          <w:szCs w:val="22"/>
          <w:u w:val="single"/>
        </w:rPr>
        <w:t xml:space="preserve">                           </w:t>
      </w:r>
      <w:r>
        <w:rPr>
          <w:rFonts w:hint="eastAsia" w:ascii="宋体" w:hAnsi="宋体" w:cs="宋体"/>
          <w:color w:val="000000"/>
          <w:sz w:val="22"/>
          <w:szCs w:val="22"/>
        </w:rPr>
        <w:t>；</w:t>
      </w:r>
    </w:p>
    <w:p w14:paraId="318C7598">
      <w:pPr>
        <w:pStyle w:val="478"/>
        <w:spacing w:line="400" w:lineRule="exact"/>
        <w:ind w:left="-420" w:right="-420" w:firstLine="440"/>
        <w:rPr>
          <w:rFonts w:hint="eastAsia" w:ascii="宋体" w:hAnsi="宋体" w:cs="宋体"/>
          <w:color w:val="000000"/>
          <w:sz w:val="22"/>
          <w:szCs w:val="22"/>
        </w:rPr>
      </w:pPr>
      <w:r>
        <w:rPr>
          <w:rFonts w:hint="eastAsia" w:ascii="宋体" w:hAnsi="宋体" w:cs="宋体"/>
          <w:color w:val="000000"/>
          <w:sz w:val="22"/>
          <w:szCs w:val="22"/>
        </w:rPr>
        <w:t>安全生产考核合格证书号：</w:t>
      </w:r>
      <w:r>
        <w:rPr>
          <w:rFonts w:hint="eastAsia" w:ascii="宋体" w:hAnsi="宋体" w:cs="宋体"/>
          <w:color w:val="000000"/>
          <w:sz w:val="22"/>
          <w:szCs w:val="22"/>
          <w:u w:val="single"/>
        </w:rPr>
        <w:t xml:space="preserve">                     </w:t>
      </w:r>
      <w:r>
        <w:rPr>
          <w:rFonts w:hint="eastAsia" w:ascii="宋体" w:hAnsi="宋体" w:cs="宋体"/>
          <w:color w:val="000000"/>
          <w:sz w:val="22"/>
          <w:szCs w:val="22"/>
        </w:rPr>
        <w:t>；</w:t>
      </w:r>
    </w:p>
    <w:p w14:paraId="6013F2C1">
      <w:pPr>
        <w:pStyle w:val="478"/>
        <w:spacing w:line="400" w:lineRule="exact"/>
        <w:ind w:left="-420" w:right="-420" w:firstLine="440"/>
        <w:rPr>
          <w:rFonts w:hint="eastAsia" w:ascii="宋体" w:hAnsi="宋体" w:cs="宋体"/>
          <w:color w:val="000000"/>
          <w:sz w:val="22"/>
          <w:szCs w:val="22"/>
        </w:rPr>
      </w:pPr>
      <w:r>
        <w:rPr>
          <w:rFonts w:hint="eastAsia" w:ascii="宋体" w:hAnsi="宋体" w:cs="宋体"/>
          <w:color w:val="000000"/>
          <w:sz w:val="22"/>
          <w:szCs w:val="22"/>
        </w:rPr>
        <w:t>联系电话：</w:t>
      </w:r>
      <w:r>
        <w:rPr>
          <w:rFonts w:hint="eastAsia" w:ascii="宋体" w:hAnsi="宋体" w:cs="宋体"/>
          <w:color w:val="000000"/>
          <w:sz w:val="22"/>
          <w:szCs w:val="22"/>
          <w:u w:val="single"/>
        </w:rPr>
        <w:t xml:space="preserve">                                   </w:t>
      </w:r>
      <w:r>
        <w:rPr>
          <w:rFonts w:hint="eastAsia" w:ascii="宋体" w:hAnsi="宋体" w:cs="宋体"/>
          <w:color w:val="000000"/>
          <w:sz w:val="22"/>
          <w:szCs w:val="22"/>
        </w:rPr>
        <w:t>；</w:t>
      </w:r>
    </w:p>
    <w:p w14:paraId="0A1D4CD5">
      <w:pPr>
        <w:pStyle w:val="478"/>
        <w:spacing w:line="400" w:lineRule="exact"/>
        <w:ind w:left="-420" w:right="-420" w:firstLine="440"/>
        <w:rPr>
          <w:rFonts w:hint="eastAsia" w:ascii="宋体" w:hAnsi="宋体" w:cs="宋体"/>
          <w:color w:val="000000"/>
          <w:sz w:val="22"/>
          <w:szCs w:val="22"/>
        </w:rPr>
      </w:pPr>
      <w:r>
        <w:rPr>
          <w:rFonts w:hint="eastAsia" w:ascii="宋体" w:hAnsi="宋体" w:cs="宋体"/>
          <w:color w:val="000000"/>
          <w:sz w:val="22"/>
          <w:szCs w:val="22"/>
        </w:rPr>
        <w:t>电子信箱：</w:t>
      </w:r>
      <w:r>
        <w:rPr>
          <w:rFonts w:hint="eastAsia" w:ascii="宋体" w:hAnsi="宋体" w:cs="宋体"/>
          <w:color w:val="000000"/>
          <w:sz w:val="22"/>
          <w:szCs w:val="22"/>
          <w:u w:val="single"/>
        </w:rPr>
        <w:t xml:space="preserve">                                    </w:t>
      </w:r>
      <w:r>
        <w:rPr>
          <w:rFonts w:hint="eastAsia" w:ascii="宋体" w:hAnsi="宋体" w:cs="宋体"/>
          <w:color w:val="000000"/>
          <w:sz w:val="22"/>
          <w:szCs w:val="22"/>
        </w:rPr>
        <w:t>；</w:t>
      </w:r>
    </w:p>
    <w:p w14:paraId="43570071">
      <w:pPr>
        <w:pStyle w:val="478"/>
        <w:spacing w:line="400" w:lineRule="exact"/>
        <w:ind w:left="-420" w:right="-420" w:firstLine="440"/>
        <w:rPr>
          <w:rFonts w:hint="eastAsia" w:ascii="宋体" w:hAnsi="宋体" w:cs="宋体"/>
          <w:color w:val="000000"/>
          <w:sz w:val="22"/>
          <w:szCs w:val="22"/>
        </w:rPr>
      </w:pPr>
      <w:r>
        <w:rPr>
          <w:rFonts w:hint="eastAsia" w:ascii="宋体" w:hAnsi="宋体" w:cs="宋体"/>
          <w:color w:val="000000"/>
          <w:sz w:val="22"/>
          <w:szCs w:val="22"/>
        </w:rPr>
        <w:t>通信地址：</w:t>
      </w:r>
      <w:r>
        <w:rPr>
          <w:rFonts w:hint="eastAsia" w:ascii="宋体" w:hAnsi="宋体" w:cs="宋体"/>
          <w:color w:val="000000"/>
          <w:sz w:val="22"/>
          <w:szCs w:val="22"/>
          <w:u w:val="single"/>
        </w:rPr>
        <w:t xml:space="preserve">                                    </w:t>
      </w:r>
      <w:r>
        <w:rPr>
          <w:rFonts w:hint="eastAsia" w:ascii="宋体" w:hAnsi="宋体" w:cs="宋体"/>
          <w:color w:val="000000"/>
          <w:sz w:val="22"/>
          <w:szCs w:val="22"/>
        </w:rPr>
        <w:t>；</w:t>
      </w:r>
    </w:p>
    <w:p w14:paraId="3ED28717">
      <w:pPr>
        <w:pStyle w:val="478"/>
        <w:spacing w:line="400" w:lineRule="exact"/>
        <w:ind w:left="-420" w:right="-420" w:firstLine="440"/>
        <w:rPr>
          <w:rFonts w:hint="eastAsia" w:ascii="宋体" w:hAnsi="宋体" w:cs="宋体"/>
          <w:color w:val="000000"/>
          <w:sz w:val="22"/>
          <w:szCs w:val="22"/>
        </w:rPr>
      </w:pPr>
      <w:r>
        <w:rPr>
          <w:rFonts w:hint="eastAsia" w:ascii="宋体" w:hAnsi="宋体" w:cs="宋体"/>
          <w:color w:val="000000"/>
          <w:sz w:val="22"/>
          <w:szCs w:val="22"/>
        </w:rPr>
        <w:t>承包人对项目经理的授权范围如下：</w:t>
      </w:r>
      <w:r>
        <w:rPr>
          <w:rFonts w:hint="eastAsia" w:ascii="宋体" w:hAnsi="宋体" w:cs="宋体"/>
          <w:color w:val="000000"/>
          <w:sz w:val="22"/>
          <w:szCs w:val="22"/>
          <w:u w:val="single"/>
        </w:rPr>
        <w:t>代表承包人行使承包方职权，负责履行合同义务并常驻施工现场，直接负责本项目施工中的各项责任</w:t>
      </w:r>
      <w:r>
        <w:rPr>
          <w:rFonts w:hint="eastAsia" w:ascii="宋体" w:hAnsi="宋体" w:cs="宋体"/>
          <w:color w:val="000000"/>
          <w:sz w:val="22"/>
          <w:szCs w:val="22"/>
        </w:rPr>
        <w:t>。</w:t>
      </w:r>
      <w:bookmarkEnd w:id="232"/>
    </w:p>
    <w:p w14:paraId="626D9A2D">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项目经理每月在施工现场的时间要求：</w:t>
      </w:r>
      <w:r>
        <w:rPr>
          <w:rFonts w:hint="eastAsia" w:ascii="宋体" w:hAnsi="宋体" w:cs="宋体"/>
          <w:sz w:val="22"/>
          <w:szCs w:val="22"/>
          <w:u w:val="single"/>
        </w:rPr>
        <w:t>项目经理月在岗率不低于80%，每天在工地工作时间不低于8个小时；否则每缺勤一天（含每天在场时间低于8小时），项目经理按10000元/天进行处罚 ；项目经理不得同时担任其他项目的相应职责</w:t>
      </w:r>
      <w:r>
        <w:rPr>
          <w:rFonts w:hint="eastAsia" w:ascii="宋体" w:hAnsi="宋体" w:cs="宋体"/>
          <w:sz w:val="22"/>
          <w:szCs w:val="22"/>
        </w:rPr>
        <w:t>。</w:t>
      </w:r>
    </w:p>
    <w:p w14:paraId="01C3BC87">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承包人未提交劳动合同，以及没有为项目经理缴纳社会保险证明的违约责任：</w:t>
      </w:r>
      <w:r>
        <w:rPr>
          <w:rFonts w:hint="eastAsia" w:ascii="宋体" w:hAnsi="宋体" w:cs="宋体"/>
          <w:sz w:val="22"/>
          <w:szCs w:val="22"/>
          <w:u w:val="single"/>
        </w:rPr>
        <w:t>扣除合同款的2%的违约金，因未足额及时签署劳动合同及缴纳社会保险导致的一切纠纷及赔偿均由承包人负责；导致发包人额外增加负担的，由承包人承担；发包人有权要求更换项目经理，由此增加的费用和（或）延误的工期由承包人承担</w:t>
      </w:r>
      <w:r>
        <w:rPr>
          <w:rFonts w:hint="eastAsia" w:ascii="宋体" w:hAnsi="宋体" w:cs="宋体"/>
          <w:sz w:val="22"/>
          <w:szCs w:val="22"/>
        </w:rPr>
        <w:t>。</w:t>
      </w:r>
    </w:p>
    <w:p w14:paraId="62396190">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项目经理未经批准，擅自离开施工现场的违约责任：</w:t>
      </w:r>
      <w:r>
        <w:rPr>
          <w:rFonts w:hint="eastAsia" w:ascii="宋体" w:hAnsi="宋体" w:cs="宋体"/>
          <w:sz w:val="22"/>
          <w:szCs w:val="22"/>
          <w:u w:val="single"/>
        </w:rPr>
        <w:t>在保证月在岗率不低于80%情况下，项目经理如有事外出（超过8小时）须提前提出书面申请，在发包人同意后方可离开施工现场；如有违反，发包人将按10000元/次进行处罚</w:t>
      </w:r>
      <w:r>
        <w:rPr>
          <w:rFonts w:hint="eastAsia" w:ascii="宋体" w:hAnsi="宋体" w:cs="宋体"/>
          <w:sz w:val="22"/>
          <w:szCs w:val="22"/>
        </w:rPr>
        <w:t>。</w:t>
      </w:r>
    </w:p>
    <w:p w14:paraId="297F3899">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3.2.3 承包人擅自更换项目经理的违约责任：</w:t>
      </w:r>
      <w:r>
        <w:rPr>
          <w:rFonts w:hint="eastAsia" w:ascii="宋体" w:hAnsi="宋体" w:cs="宋体"/>
          <w:sz w:val="22"/>
          <w:szCs w:val="22"/>
          <w:u w:val="single"/>
        </w:rPr>
        <w:t>承包人不得擅自更换项目经理，如有更换必须提前14天以书面形式向发包人提出申请，并征得发包人书面同意；申请中应当载明继任项目经理的注册执业资格、职称、业绩等资料（不低于招标要求和中标要求），继任项目经理继续履行约定的职责；未经发包人书面同意，承包人擅自更换项目经理的，发包人将按10000元/天进行处罚</w:t>
      </w:r>
      <w:r>
        <w:rPr>
          <w:rFonts w:hint="eastAsia" w:ascii="宋体" w:hAnsi="宋体" w:cs="宋体"/>
          <w:sz w:val="22"/>
          <w:szCs w:val="22"/>
        </w:rPr>
        <w:t>。</w:t>
      </w:r>
    </w:p>
    <w:p w14:paraId="7A98C621">
      <w:pPr>
        <w:pStyle w:val="478"/>
        <w:spacing w:line="400" w:lineRule="exact"/>
        <w:ind w:left="-420" w:right="-420" w:firstLine="440"/>
        <w:rPr>
          <w:rFonts w:hint="eastAsia" w:ascii="宋体" w:hAnsi="宋体" w:cs="宋体"/>
          <w:sz w:val="22"/>
          <w:szCs w:val="22"/>
        </w:rPr>
      </w:pPr>
      <w:bookmarkStart w:id="251" w:name="_Toc662"/>
      <w:r>
        <w:rPr>
          <w:rFonts w:hint="eastAsia" w:ascii="宋体" w:hAnsi="宋体" w:cs="宋体"/>
          <w:sz w:val="22"/>
          <w:szCs w:val="22"/>
        </w:rPr>
        <w:t>3.2.4 承包人无正当理由拒绝更换项目经理的违约责任：</w:t>
      </w:r>
      <w:r>
        <w:rPr>
          <w:rFonts w:hint="eastAsia" w:ascii="宋体" w:hAnsi="宋体" w:cs="宋体"/>
          <w:sz w:val="22"/>
          <w:szCs w:val="22"/>
          <w:u w:val="single"/>
        </w:rPr>
        <w:t>发包人认为项目经理无法胜任工作的，承包人必须在3天内调离并任命继任项目经理（不低于招标要求），否则发包人将按10000元/天进行处罚</w:t>
      </w:r>
      <w:r>
        <w:rPr>
          <w:rFonts w:hint="eastAsia" w:ascii="宋体" w:hAnsi="宋体" w:cs="宋体"/>
          <w:sz w:val="22"/>
          <w:szCs w:val="22"/>
        </w:rPr>
        <w:t>。</w:t>
      </w:r>
      <w:bookmarkEnd w:id="251"/>
    </w:p>
    <w:p w14:paraId="273F408B">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3.3 承包人人员</w:t>
      </w:r>
    </w:p>
    <w:p w14:paraId="152F0A60">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3.3.1 承包人提交项目管理机构及施工现场管理人员安排报告的期限：</w:t>
      </w:r>
      <w:r>
        <w:rPr>
          <w:rFonts w:hint="eastAsia" w:ascii="宋体" w:hAnsi="宋体" w:cs="宋体"/>
          <w:sz w:val="22"/>
          <w:szCs w:val="22"/>
          <w:u w:val="single"/>
        </w:rPr>
        <w:t>接到开工通知前7天内；主要施工管理人员除项目经理外，明确为技术负责人、施工员、安全员、质量员</w:t>
      </w:r>
      <w:r>
        <w:rPr>
          <w:rFonts w:hint="eastAsia" w:ascii="宋体" w:hAnsi="宋体" w:cs="宋体"/>
          <w:sz w:val="22"/>
          <w:szCs w:val="22"/>
        </w:rPr>
        <w:t>。</w:t>
      </w:r>
    </w:p>
    <w:p w14:paraId="62E4A40D">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3.3.3 承包人无正当理由拒绝撤换主要施工管理人员的违约责任：</w:t>
      </w:r>
      <w:r>
        <w:rPr>
          <w:rFonts w:hint="eastAsia" w:ascii="宋体" w:hAnsi="宋体" w:cs="宋体"/>
          <w:sz w:val="22"/>
          <w:szCs w:val="22"/>
          <w:u w:val="single"/>
        </w:rPr>
        <w:t>发包人认为承包人的主要施工管理人员无法胜任工作的，承包人必须在3天内调离并任命继任施工管理人员（不低于招标要求），否则发包人将按5000元/天进行处罚</w:t>
      </w:r>
      <w:r>
        <w:rPr>
          <w:rFonts w:hint="eastAsia" w:ascii="宋体" w:hAnsi="宋体" w:cs="宋体"/>
          <w:sz w:val="22"/>
          <w:szCs w:val="22"/>
        </w:rPr>
        <w:t>。</w:t>
      </w:r>
    </w:p>
    <w:p w14:paraId="597A03B2">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3.3.4 承包人主要施工管理人员离开施工现场的批准要求：</w:t>
      </w:r>
      <w:r>
        <w:rPr>
          <w:rFonts w:hint="eastAsia" w:ascii="宋体" w:hAnsi="宋体" w:cs="宋体"/>
          <w:sz w:val="22"/>
          <w:szCs w:val="22"/>
          <w:u w:val="single"/>
        </w:rPr>
        <w:t>主要施工管理人员月在岗率在岗率不低于80% ，每天在工地工作时间不低于8个小时，否则发包人将按5000元/天进行处罚；不得同时担任其他项目的相应职责；主要施工管理人员如有事外出（超过8小时）须提前提出书面申请，在发包人同意后方可离开施工现场。如有违反，发包人将按5000元/次进行处罚</w:t>
      </w:r>
      <w:r>
        <w:rPr>
          <w:rFonts w:hint="eastAsia" w:ascii="宋体" w:hAnsi="宋体" w:cs="宋体"/>
          <w:sz w:val="22"/>
          <w:szCs w:val="22"/>
        </w:rPr>
        <w:t>。</w:t>
      </w:r>
    </w:p>
    <w:p w14:paraId="73AADC26">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3.3.5承包人擅自更换主要施工管理人员的违约责任：</w:t>
      </w:r>
      <w:r>
        <w:rPr>
          <w:rFonts w:hint="eastAsia" w:ascii="宋体" w:hAnsi="宋体" w:cs="宋体"/>
          <w:sz w:val="22"/>
          <w:szCs w:val="22"/>
          <w:u w:val="single"/>
        </w:rPr>
        <w:t>承包人不得擅自更换主要施工管理人员，如有更换必须提前7天以书面形式向发包人提出申请，并征得发包人书面同意。申请中应当载明继任主要施工管理人员的注册执业资格、职称等资料（不低于招标要求），继任主要施工管理人员继续履行相应职责；未经发包人书面同意，承包人擅自更换主要施工管理人员的，发包人将按5000元/天进行处罚</w:t>
      </w:r>
      <w:r>
        <w:rPr>
          <w:rFonts w:hint="eastAsia" w:ascii="宋体" w:hAnsi="宋体" w:cs="宋体"/>
          <w:sz w:val="22"/>
          <w:szCs w:val="22"/>
        </w:rPr>
        <w:t>。</w:t>
      </w:r>
    </w:p>
    <w:p w14:paraId="1BB748A1">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承包人主要施工管理人员擅自离开施工现场的违约责任：</w:t>
      </w:r>
      <w:r>
        <w:rPr>
          <w:rFonts w:hint="eastAsia" w:ascii="宋体" w:hAnsi="宋体" w:cs="宋体"/>
          <w:sz w:val="22"/>
          <w:szCs w:val="22"/>
          <w:u w:val="single"/>
        </w:rPr>
        <w:t>主要施工管理人员在保证月在岗率不低于80%情况下，如有事外出（超过8小时）须提前提出书面申请，在发包人同意后方可离开施工现场；如有违反，发包人将按5000元/次进行处罚</w:t>
      </w:r>
      <w:r>
        <w:rPr>
          <w:rFonts w:hint="eastAsia" w:ascii="宋体" w:hAnsi="宋体" w:cs="宋体"/>
          <w:sz w:val="22"/>
          <w:szCs w:val="22"/>
        </w:rPr>
        <w:t>。</w:t>
      </w:r>
    </w:p>
    <w:p w14:paraId="39B9361E">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3</w:t>
      </w:r>
      <w:bookmarkStart w:id="252" w:name="_Toc296346660"/>
      <w:bookmarkStart w:id="253" w:name="_Toc297216151"/>
      <w:bookmarkStart w:id="254" w:name="_Toc304295523"/>
      <w:bookmarkStart w:id="255" w:name="_Toc297123492"/>
      <w:bookmarkStart w:id="256" w:name="_Toc292559869"/>
      <w:bookmarkStart w:id="257" w:name="_Toc303539102"/>
      <w:bookmarkStart w:id="258" w:name="_Toc297120459"/>
      <w:bookmarkStart w:id="259" w:name="_Toc296347158"/>
      <w:bookmarkStart w:id="260" w:name="_Toc296944498"/>
      <w:bookmarkStart w:id="261" w:name="_Toc312677988"/>
      <w:bookmarkStart w:id="262" w:name="_Toc296891199"/>
      <w:bookmarkStart w:id="263" w:name="_Toc297048345"/>
      <w:bookmarkStart w:id="264" w:name="_Toc300934945"/>
      <w:bookmarkStart w:id="265" w:name="_Toc296503159"/>
      <w:bookmarkStart w:id="266" w:name="_Toc296890987"/>
      <w:bookmarkStart w:id="267" w:name="_Toc292559364"/>
      <w:r>
        <w:rPr>
          <w:rFonts w:hint="eastAsia" w:ascii="宋体" w:hAnsi="宋体" w:cs="宋体"/>
          <w:sz w:val="22"/>
          <w:szCs w:val="22"/>
        </w:rPr>
        <w:t>.5 分包</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408F6094">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3.5.1 分包的一般约定</w:t>
      </w:r>
    </w:p>
    <w:p w14:paraId="6C7080FD">
      <w:pPr>
        <w:pStyle w:val="478"/>
        <w:spacing w:line="400" w:lineRule="exact"/>
        <w:ind w:left="-420" w:right="-420" w:firstLine="440"/>
        <w:rPr>
          <w:rFonts w:hint="eastAsia" w:ascii="宋体" w:hAnsi="宋体" w:cs="宋体"/>
          <w:sz w:val="22"/>
          <w:szCs w:val="22"/>
          <w:u w:val="single"/>
        </w:rPr>
      </w:pPr>
      <w:r>
        <w:rPr>
          <w:rFonts w:hint="eastAsia" w:ascii="宋体" w:hAnsi="宋体" w:cs="宋体"/>
          <w:sz w:val="22"/>
          <w:szCs w:val="22"/>
        </w:rPr>
        <w:t>禁止分包的工程包括：</w:t>
      </w:r>
      <w:r>
        <w:rPr>
          <w:rFonts w:hint="eastAsia" w:ascii="宋体" w:hAnsi="宋体" w:cs="宋体"/>
          <w:sz w:val="22"/>
          <w:szCs w:val="22"/>
          <w:u w:val="single"/>
        </w:rPr>
        <w:t>主体结构、关键性工作等法律、法规规定必须由承包人完成的工程；承包人不得以劳务分包的名义转包或违法分包工程</w:t>
      </w:r>
      <w:r>
        <w:rPr>
          <w:rFonts w:hint="eastAsia" w:ascii="宋体" w:hAnsi="宋体" w:cs="宋体"/>
          <w:sz w:val="22"/>
          <w:szCs w:val="22"/>
        </w:rPr>
        <w:t>。</w:t>
      </w:r>
    </w:p>
    <w:p w14:paraId="1B547CAF">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主体结构、关键性工作的范围：</w:t>
      </w:r>
      <w:r>
        <w:rPr>
          <w:rFonts w:hint="eastAsia" w:ascii="宋体" w:hAnsi="宋体" w:cs="宋体"/>
          <w:sz w:val="22"/>
          <w:szCs w:val="22"/>
          <w:u w:val="single"/>
        </w:rPr>
        <w:t>发包人认定的范围</w:t>
      </w:r>
      <w:r>
        <w:rPr>
          <w:rFonts w:hint="eastAsia" w:ascii="宋体" w:hAnsi="宋体" w:cs="宋体"/>
          <w:sz w:val="22"/>
          <w:szCs w:val="22"/>
        </w:rPr>
        <w:t>。</w:t>
      </w:r>
    </w:p>
    <w:p w14:paraId="2CF64BAC">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3</w:t>
      </w:r>
      <w:bookmarkStart w:id="268" w:name="_Toc312677990"/>
      <w:bookmarkStart w:id="269" w:name="_Toc318581159"/>
      <w:r>
        <w:rPr>
          <w:rFonts w:hint="eastAsia" w:ascii="宋体" w:hAnsi="宋体" w:cs="宋体"/>
          <w:sz w:val="22"/>
          <w:szCs w:val="22"/>
        </w:rPr>
        <w:t>.5.2分包的确定</w:t>
      </w:r>
    </w:p>
    <w:p w14:paraId="1BE2BBF0">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允许分包的专业工程包括：</w:t>
      </w:r>
      <w:r>
        <w:rPr>
          <w:rFonts w:hint="eastAsia" w:ascii="宋体" w:hAnsi="宋体" w:cs="宋体"/>
          <w:sz w:val="22"/>
          <w:szCs w:val="22"/>
          <w:u w:val="single"/>
        </w:rPr>
        <w:t>除主体结构、关键性工作等法律、法规规定必须由承包人完成的工程外；具体由发承双方根据建设内容确定</w:t>
      </w:r>
      <w:r>
        <w:rPr>
          <w:rFonts w:hint="eastAsia" w:ascii="宋体" w:hAnsi="宋体" w:cs="宋体"/>
          <w:sz w:val="22"/>
          <w:szCs w:val="22"/>
        </w:rPr>
        <w:t>。</w:t>
      </w:r>
    </w:p>
    <w:p w14:paraId="4CFB7906">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其他关于分包的约定：</w:t>
      </w:r>
      <w:r>
        <w:rPr>
          <w:rFonts w:hint="eastAsia" w:ascii="宋体" w:hAnsi="宋体" w:cs="宋体"/>
          <w:sz w:val="22"/>
          <w:szCs w:val="22"/>
          <w:u w:val="single"/>
        </w:rPr>
        <w:t>承包人应确保分包人具有相应的资质和能力并经发包人审查通过，工程分包不减轻或免除承包人的责任和义务，承包人和分包人就分包工程向发包人承担连带责任；分包合同价款由承包人与分包人结算</w:t>
      </w:r>
      <w:r>
        <w:rPr>
          <w:rFonts w:hint="eastAsia" w:ascii="宋体" w:hAnsi="宋体" w:cs="宋体"/>
          <w:sz w:val="22"/>
          <w:szCs w:val="22"/>
        </w:rPr>
        <w:t>。</w:t>
      </w:r>
    </w:p>
    <w:p w14:paraId="71C187DE">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3.5.4 分包合同价款</w:t>
      </w:r>
    </w:p>
    <w:p w14:paraId="26A5AA49">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关于分包合同价款支付的约定：</w:t>
      </w:r>
      <w:r>
        <w:rPr>
          <w:rFonts w:hint="eastAsia" w:ascii="宋体" w:hAnsi="宋体" w:cs="宋体"/>
          <w:sz w:val="22"/>
          <w:szCs w:val="22"/>
          <w:u w:val="single"/>
        </w:rPr>
        <w:t>分包合同价款由承包人与分包人结算</w:t>
      </w:r>
      <w:r>
        <w:rPr>
          <w:rFonts w:hint="eastAsia" w:ascii="宋体" w:hAnsi="宋体" w:cs="宋体"/>
          <w:sz w:val="22"/>
          <w:szCs w:val="22"/>
        </w:rPr>
        <w:t>。</w:t>
      </w:r>
      <w:bookmarkEnd w:id="268"/>
      <w:bookmarkEnd w:id="269"/>
    </w:p>
    <w:p w14:paraId="775A8C54">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3.6 工程照管与成品、半成品保护</w:t>
      </w:r>
    </w:p>
    <w:p w14:paraId="0EA0E14C">
      <w:pPr>
        <w:pStyle w:val="478"/>
        <w:spacing w:line="400" w:lineRule="exact"/>
        <w:ind w:left="-420" w:right="-420" w:firstLine="440"/>
        <w:rPr>
          <w:rFonts w:hint="eastAsia" w:ascii="宋体" w:hAnsi="宋体" w:cs="宋体"/>
          <w:sz w:val="22"/>
          <w:szCs w:val="22"/>
          <w:u w:val="single"/>
        </w:rPr>
      </w:pPr>
      <w:r>
        <w:rPr>
          <w:rFonts w:hint="eastAsia" w:ascii="宋体" w:hAnsi="宋体" w:cs="宋体"/>
          <w:sz w:val="22"/>
          <w:szCs w:val="22"/>
        </w:rPr>
        <w:t>承包人负责照管工程及工程相关的材料、工程设备的起始时间：</w:t>
      </w:r>
      <w:r>
        <w:rPr>
          <w:rFonts w:hint="eastAsia" w:ascii="宋体" w:hAnsi="宋体" w:cs="宋体"/>
          <w:sz w:val="22"/>
          <w:szCs w:val="22"/>
          <w:u w:val="single"/>
        </w:rPr>
        <w:t>按通用合同条款执行</w:t>
      </w:r>
      <w:r>
        <w:rPr>
          <w:rFonts w:hint="eastAsia" w:ascii="宋体" w:hAnsi="宋体" w:cs="宋体"/>
          <w:sz w:val="22"/>
          <w:szCs w:val="22"/>
        </w:rPr>
        <w:t>。</w:t>
      </w:r>
    </w:p>
    <w:p w14:paraId="021A01E1">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3.7履约担保</w:t>
      </w:r>
    </w:p>
    <w:p w14:paraId="61091C80">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承包人是否提供履约担保：</w:t>
      </w:r>
      <w:r>
        <w:rPr>
          <w:rFonts w:hint="eastAsia" w:ascii="宋体" w:hAnsi="宋体" w:cs="宋体"/>
          <w:sz w:val="22"/>
          <w:szCs w:val="22"/>
          <w:u w:val="single"/>
        </w:rPr>
        <w:t>是；提供履约保证金</w:t>
      </w:r>
      <w:r>
        <w:rPr>
          <w:rFonts w:hint="eastAsia" w:ascii="宋体" w:hAnsi="宋体" w:cs="宋体"/>
          <w:sz w:val="22"/>
          <w:szCs w:val="22"/>
        </w:rPr>
        <w:t>。</w:t>
      </w:r>
    </w:p>
    <w:p w14:paraId="709A39B8">
      <w:pPr>
        <w:pStyle w:val="478"/>
        <w:spacing w:line="400" w:lineRule="exact"/>
        <w:ind w:left="-420" w:right="-420" w:firstLine="440"/>
        <w:rPr>
          <w:rFonts w:hint="eastAsia" w:ascii="宋体" w:hAnsi="宋体" w:cs="宋体"/>
          <w:sz w:val="22"/>
          <w:szCs w:val="22"/>
          <w:u w:val="single"/>
        </w:rPr>
      </w:pPr>
      <w:r>
        <w:rPr>
          <w:rFonts w:hint="eastAsia" w:ascii="宋体" w:hAnsi="宋体" w:cs="宋体"/>
          <w:sz w:val="22"/>
          <w:szCs w:val="22"/>
        </w:rPr>
        <w:t>承包人提供履约担保的形式、金额及期限的：</w:t>
      </w:r>
      <w:r>
        <w:rPr>
          <w:rFonts w:hint="eastAsia" w:ascii="宋体" w:hAnsi="宋体" w:cs="宋体"/>
          <w:sz w:val="22"/>
          <w:szCs w:val="22"/>
          <w:u w:val="single"/>
        </w:rPr>
        <w:t>履约保证金按招标文件等有关条款执行；因承包人原因导致工期延长的，继续提供履约担保所增加的费用由承包人承担，非因承包人原因导致工期延长的，承包人无需继续提供履约担保所增加的费用；</w:t>
      </w:r>
      <w:bookmarkStart w:id="270" w:name="_Toc28199"/>
    </w:p>
    <w:p w14:paraId="77485ADE">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4</w:t>
      </w:r>
      <w:bookmarkStart w:id="271" w:name="_Toc296891202"/>
      <w:bookmarkStart w:id="272" w:name="_Toc296503162"/>
      <w:bookmarkStart w:id="273" w:name="_Toc296944501"/>
      <w:bookmarkStart w:id="274" w:name="_Toc292559366"/>
      <w:bookmarkStart w:id="275" w:name="_Toc296890990"/>
      <w:bookmarkStart w:id="276" w:name="_Toc297120462"/>
      <w:bookmarkStart w:id="277" w:name="_Toc267251413"/>
      <w:bookmarkStart w:id="278" w:name="_Toc296346663"/>
      <w:bookmarkStart w:id="279" w:name="_Toc292559871"/>
      <w:bookmarkStart w:id="280" w:name="_Toc296347161"/>
      <w:bookmarkStart w:id="281" w:name="_Toc297048348"/>
      <w:r>
        <w:rPr>
          <w:rFonts w:hint="eastAsia" w:ascii="宋体" w:hAnsi="宋体" w:cs="宋体"/>
          <w:sz w:val="22"/>
          <w:szCs w:val="22"/>
        </w:rPr>
        <w:t>. 监</w:t>
      </w:r>
      <w:bookmarkEnd w:id="271"/>
      <w:bookmarkEnd w:id="272"/>
      <w:bookmarkEnd w:id="273"/>
      <w:bookmarkEnd w:id="274"/>
      <w:bookmarkEnd w:id="275"/>
      <w:bookmarkEnd w:id="276"/>
      <w:bookmarkEnd w:id="277"/>
      <w:bookmarkEnd w:id="278"/>
      <w:bookmarkEnd w:id="279"/>
      <w:bookmarkEnd w:id="280"/>
      <w:bookmarkEnd w:id="281"/>
      <w:r>
        <w:rPr>
          <w:rFonts w:hint="eastAsia" w:ascii="宋体" w:hAnsi="宋体" w:cs="宋体"/>
          <w:sz w:val="22"/>
          <w:szCs w:val="22"/>
        </w:rPr>
        <w:t>理人</w:t>
      </w:r>
      <w:bookmarkEnd w:id="270"/>
    </w:p>
    <w:p w14:paraId="0A5678B6">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4.1监理人的一般规定</w:t>
      </w:r>
    </w:p>
    <w:p w14:paraId="6ABF4C04">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关于监理人的监理内容：</w:t>
      </w:r>
      <w:r>
        <w:rPr>
          <w:rFonts w:hint="eastAsia" w:ascii="宋体" w:hAnsi="宋体" w:cs="宋体"/>
          <w:sz w:val="22"/>
          <w:szCs w:val="22"/>
          <w:u w:val="single"/>
        </w:rPr>
        <w:t>承担全过程监理工作。包括工程进度、质量、造价控制，安全文明生产管理、合同管理，现场组织协调等</w:t>
      </w:r>
      <w:r>
        <w:rPr>
          <w:rFonts w:hint="eastAsia" w:ascii="宋体" w:hAnsi="宋体" w:cs="宋体"/>
          <w:sz w:val="22"/>
          <w:szCs w:val="22"/>
        </w:rPr>
        <w:t>。</w:t>
      </w:r>
    </w:p>
    <w:p w14:paraId="4AD0D3F0">
      <w:pPr>
        <w:pStyle w:val="256"/>
        <w:spacing w:line="400" w:lineRule="exact"/>
        <w:ind w:left="-420" w:right="-420" w:firstLine="440"/>
        <w:rPr>
          <w:rFonts w:hint="eastAsia" w:ascii="宋体" w:hAnsi="宋体" w:cs="宋体"/>
          <w:sz w:val="22"/>
        </w:rPr>
      </w:pPr>
      <w:r>
        <w:rPr>
          <w:rFonts w:hint="eastAsia" w:ascii="宋体" w:hAnsi="宋体" w:cs="宋体"/>
          <w:sz w:val="22"/>
        </w:rPr>
        <w:t>关于监理人的监理权限：</w:t>
      </w:r>
      <w:r>
        <w:rPr>
          <w:rFonts w:hint="eastAsia" w:ascii="宋体" w:hAnsi="宋体" w:cs="宋体"/>
          <w:sz w:val="22"/>
          <w:u w:val="single"/>
        </w:rPr>
        <w:t>监理人应当根据发包人授权及法律规定，代表发包人对工程施工相关事项进行检查、查验、审核、验收，并签发相关指令，但监理人无权修改合同，且无权减轻或免除合同约定的承包人的如何责任与义务；1就工程建设有关事项包括工程规模、设计标准、使用要求等，对发包人的建议权。2.对工程结构设计和其它专业设计中的技术问题，向设计单位提出建议，并向发包人提出书面报告。3.审批工程施工组织设计和技术方案，按照保质量、保工期、降低成本的原则向承包人提出建议，并书面向发包人提出书面报告。4.与工程建设有关的协作单位的组织协调的主持权，重要协调事项应事先向发包人报告。5.具有对工程使用的材料和施工质量的检验权。6.对工程施工进度的检查、监督权。7.监理过程中如发现承包人工作不力，可提出要求承包人调换有关人员的建议。8.具体权限详见《建设工程委托监理合同》</w:t>
      </w:r>
      <w:r>
        <w:rPr>
          <w:rFonts w:hint="eastAsia" w:ascii="宋体" w:hAnsi="宋体" w:cs="宋体"/>
          <w:sz w:val="22"/>
        </w:rPr>
        <w:t>。</w:t>
      </w:r>
    </w:p>
    <w:p w14:paraId="05E73C2D">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关于监理人在施工现场的办公场所、生活场所的提供和费用承担的约定：由监理人承担。</w:t>
      </w:r>
    </w:p>
    <w:p w14:paraId="6EB5BCA4">
      <w:pPr>
        <w:pStyle w:val="478"/>
        <w:spacing w:line="400" w:lineRule="exact"/>
        <w:ind w:left="-420" w:right="-420" w:firstLine="440"/>
        <w:rPr>
          <w:rFonts w:hint="eastAsia" w:ascii="宋体" w:hAnsi="宋体" w:cs="宋体"/>
          <w:color w:val="000000"/>
          <w:sz w:val="22"/>
          <w:szCs w:val="22"/>
        </w:rPr>
      </w:pPr>
      <w:r>
        <w:rPr>
          <w:rFonts w:hint="eastAsia" w:ascii="宋体" w:hAnsi="宋体" w:cs="宋体"/>
          <w:color w:val="000000"/>
          <w:sz w:val="22"/>
          <w:szCs w:val="22"/>
        </w:rPr>
        <w:t>4.2监理人员</w:t>
      </w:r>
    </w:p>
    <w:p w14:paraId="7FC005A5">
      <w:pPr>
        <w:pStyle w:val="478"/>
        <w:spacing w:line="400" w:lineRule="exact"/>
        <w:ind w:left="-420" w:right="-420" w:firstLine="440"/>
        <w:rPr>
          <w:rFonts w:hint="eastAsia" w:ascii="宋体" w:hAnsi="宋体" w:cs="宋体"/>
          <w:color w:val="000000"/>
          <w:sz w:val="22"/>
          <w:szCs w:val="22"/>
        </w:rPr>
      </w:pPr>
      <w:r>
        <w:rPr>
          <w:rFonts w:hint="eastAsia" w:ascii="宋体" w:hAnsi="宋体" w:cs="宋体"/>
          <w:color w:val="000000"/>
          <w:sz w:val="22"/>
          <w:szCs w:val="22"/>
        </w:rPr>
        <w:t>总监理工程师：</w:t>
      </w:r>
    </w:p>
    <w:p w14:paraId="53227718">
      <w:pPr>
        <w:pStyle w:val="478"/>
        <w:spacing w:line="400" w:lineRule="exact"/>
        <w:ind w:left="-420" w:right="-420" w:firstLine="440"/>
        <w:rPr>
          <w:rFonts w:hint="eastAsia" w:ascii="宋体" w:hAnsi="宋体" w:cs="宋体"/>
          <w:color w:val="000000"/>
          <w:sz w:val="22"/>
          <w:szCs w:val="22"/>
        </w:rPr>
      </w:pPr>
      <w:r>
        <w:rPr>
          <w:rFonts w:hint="eastAsia" w:ascii="宋体" w:hAnsi="宋体" w:cs="宋体"/>
          <w:color w:val="000000"/>
          <w:sz w:val="22"/>
          <w:szCs w:val="22"/>
        </w:rPr>
        <w:t>姓    名：</w:t>
      </w:r>
      <w:r>
        <w:rPr>
          <w:rFonts w:hint="eastAsia" w:ascii="宋体" w:hAnsi="宋体" w:cs="宋体"/>
          <w:color w:val="000000"/>
          <w:sz w:val="22"/>
          <w:szCs w:val="22"/>
          <w:u w:val="single"/>
        </w:rPr>
        <w:t xml:space="preserve">                               </w:t>
      </w:r>
      <w:r>
        <w:rPr>
          <w:rFonts w:hint="eastAsia" w:ascii="宋体" w:hAnsi="宋体" w:cs="宋体"/>
          <w:color w:val="000000"/>
          <w:sz w:val="22"/>
          <w:szCs w:val="22"/>
        </w:rPr>
        <w:t>；</w:t>
      </w:r>
    </w:p>
    <w:p w14:paraId="65C64D7A">
      <w:pPr>
        <w:pStyle w:val="478"/>
        <w:spacing w:line="400" w:lineRule="exact"/>
        <w:ind w:left="-420" w:right="-420" w:firstLine="440"/>
        <w:rPr>
          <w:rFonts w:hint="eastAsia" w:ascii="宋体" w:hAnsi="宋体" w:cs="宋体"/>
          <w:color w:val="000000"/>
          <w:sz w:val="22"/>
          <w:szCs w:val="22"/>
        </w:rPr>
      </w:pPr>
      <w:r>
        <w:rPr>
          <w:rFonts w:hint="eastAsia" w:ascii="宋体" w:hAnsi="宋体" w:cs="宋体"/>
          <w:color w:val="000000"/>
          <w:sz w:val="22"/>
          <w:szCs w:val="22"/>
        </w:rPr>
        <w:t>职    务：</w:t>
      </w:r>
      <w:r>
        <w:rPr>
          <w:rFonts w:hint="eastAsia" w:ascii="宋体" w:hAnsi="宋体" w:cs="宋体"/>
          <w:color w:val="000000"/>
          <w:sz w:val="22"/>
          <w:szCs w:val="22"/>
          <w:u w:val="single"/>
        </w:rPr>
        <w:t xml:space="preserve">                               </w:t>
      </w:r>
      <w:r>
        <w:rPr>
          <w:rFonts w:hint="eastAsia" w:ascii="宋体" w:hAnsi="宋体" w:cs="宋体"/>
          <w:color w:val="000000"/>
          <w:sz w:val="22"/>
          <w:szCs w:val="22"/>
        </w:rPr>
        <w:t>；</w:t>
      </w:r>
    </w:p>
    <w:p w14:paraId="1E85ED34">
      <w:pPr>
        <w:pStyle w:val="478"/>
        <w:spacing w:line="400" w:lineRule="exact"/>
        <w:ind w:left="-420" w:right="-420" w:firstLine="440"/>
        <w:rPr>
          <w:rFonts w:hint="eastAsia" w:ascii="宋体" w:hAnsi="宋体" w:cs="宋体"/>
          <w:color w:val="000000"/>
          <w:sz w:val="22"/>
          <w:szCs w:val="22"/>
        </w:rPr>
      </w:pPr>
      <w:r>
        <w:rPr>
          <w:rFonts w:hint="eastAsia" w:ascii="宋体" w:hAnsi="宋体" w:cs="宋体"/>
          <w:color w:val="000000"/>
          <w:sz w:val="22"/>
          <w:szCs w:val="22"/>
        </w:rPr>
        <w:t>监理工程师执业资格证书号</w:t>
      </w:r>
      <w:r>
        <w:rPr>
          <w:rFonts w:hint="eastAsia" w:ascii="宋体" w:hAnsi="宋体" w:cs="宋体"/>
          <w:color w:val="000000"/>
          <w:sz w:val="22"/>
          <w:szCs w:val="22"/>
          <w:u w:val="single"/>
        </w:rPr>
        <w:t xml:space="preserve">：               </w:t>
      </w:r>
      <w:r>
        <w:rPr>
          <w:rFonts w:hint="eastAsia" w:ascii="宋体" w:hAnsi="宋体" w:cs="宋体"/>
          <w:color w:val="000000"/>
          <w:sz w:val="22"/>
          <w:szCs w:val="22"/>
        </w:rPr>
        <w:t xml:space="preserve">； </w:t>
      </w:r>
    </w:p>
    <w:p w14:paraId="38AC6668">
      <w:pPr>
        <w:pStyle w:val="478"/>
        <w:spacing w:line="400" w:lineRule="exact"/>
        <w:ind w:left="-420" w:right="-420" w:firstLine="440"/>
        <w:rPr>
          <w:rFonts w:hint="eastAsia" w:ascii="宋体" w:hAnsi="宋体" w:cs="宋体"/>
          <w:color w:val="000000"/>
          <w:sz w:val="22"/>
          <w:szCs w:val="22"/>
        </w:rPr>
      </w:pPr>
      <w:r>
        <w:rPr>
          <w:rFonts w:hint="eastAsia" w:ascii="宋体" w:hAnsi="宋体" w:cs="宋体"/>
          <w:color w:val="000000"/>
          <w:sz w:val="22"/>
          <w:szCs w:val="22"/>
        </w:rPr>
        <w:t>联系电话：</w:t>
      </w:r>
      <w:r>
        <w:rPr>
          <w:rFonts w:hint="eastAsia" w:ascii="宋体" w:hAnsi="宋体" w:cs="宋体"/>
          <w:color w:val="000000"/>
          <w:sz w:val="22"/>
          <w:szCs w:val="22"/>
          <w:u w:val="single"/>
        </w:rPr>
        <w:t xml:space="preserve">                               </w:t>
      </w:r>
      <w:r>
        <w:rPr>
          <w:rFonts w:hint="eastAsia" w:ascii="宋体" w:hAnsi="宋体" w:cs="宋体"/>
          <w:color w:val="000000"/>
          <w:sz w:val="22"/>
          <w:szCs w:val="22"/>
        </w:rPr>
        <w:t>；</w:t>
      </w:r>
    </w:p>
    <w:p w14:paraId="6267912D">
      <w:pPr>
        <w:pStyle w:val="478"/>
        <w:spacing w:line="400" w:lineRule="exact"/>
        <w:ind w:left="-420" w:right="-420" w:firstLine="440"/>
        <w:rPr>
          <w:rFonts w:hint="eastAsia" w:ascii="宋体" w:hAnsi="宋体" w:cs="宋体"/>
          <w:color w:val="000000"/>
          <w:sz w:val="22"/>
          <w:szCs w:val="22"/>
        </w:rPr>
      </w:pPr>
      <w:r>
        <w:rPr>
          <w:rFonts w:hint="eastAsia" w:ascii="宋体" w:hAnsi="宋体" w:cs="宋体"/>
          <w:color w:val="000000"/>
          <w:sz w:val="22"/>
          <w:szCs w:val="22"/>
        </w:rPr>
        <w:t>电子信箱：</w:t>
      </w:r>
      <w:r>
        <w:rPr>
          <w:rFonts w:hint="eastAsia" w:ascii="宋体" w:hAnsi="宋体" w:cs="宋体"/>
          <w:color w:val="000000"/>
          <w:sz w:val="22"/>
          <w:szCs w:val="22"/>
          <w:u w:val="single"/>
        </w:rPr>
        <w:t xml:space="preserve">                               </w:t>
      </w:r>
      <w:r>
        <w:rPr>
          <w:rFonts w:hint="eastAsia" w:ascii="宋体" w:hAnsi="宋体" w:cs="宋体"/>
          <w:color w:val="000000"/>
          <w:sz w:val="22"/>
          <w:szCs w:val="22"/>
        </w:rPr>
        <w:t>；</w:t>
      </w:r>
    </w:p>
    <w:p w14:paraId="0CD3FF54">
      <w:pPr>
        <w:pStyle w:val="478"/>
        <w:spacing w:line="400" w:lineRule="exact"/>
        <w:ind w:left="-420" w:right="-420" w:firstLine="440"/>
        <w:rPr>
          <w:rFonts w:hint="eastAsia" w:ascii="宋体" w:hAnsi="宋体" w:cs="宋体"/>
          <w:color w:val="000000"/>
          <w:sz w:val="22"/>
          <w:szCs w:val="22"/>
        </w:rPr>
      </w:pPr>
      <w:r>
        <w:rPr>
          <w:rFonts w:hint="eastAsia" w:ascii="宋体" w:hAnsi="宋体" w:cs="宋体"/>
          <w:color w:val="000000"/>
          <w:sz w:val="22"/>
          <w:szCs w:val="22"/>
        </w:rPr>
        <w:t>通信地址</w:t>
      </w:r>
      <w:r>
        <w:rPr>
          <w:rFonts w:hint="eastAsia" w:ascii="宋体" w:hAnsi="宋体" w:cs="宋体"/>
          <w:color w:val="000000"/>
          <w:sz w:val="22"/>
          <w:szCs w:val="22"/>
          <w:u w:val="single"/>
        </w:rPr>
        <w:t xml:space="preserve">：                               </w:t>
      </w:r>
      <w:r>
        <w:rPr>
          <w:rFonts w:hint="eastAsia" w:ascii="宋体" w:hAnsi="宋体" w:cs="宋体"/>
          <w:color w:val="000000"/>
          <w:sz w:val="22"/>
          <w:szCs w:val="22"/>
        </w:rPr>
        <w:t>；</w:t>
      </w:r>
    </w:p>
    <w:p w14:paraId="120F4527">
      <w:pPr>
        <w:pStyle w:val="478"/>
        <w:spacing w:line="400" w:lineRule="exact"/>
        <w:ind w:left="-420" w:right="-420" w:firstLine="440"/>
        <w:rPr>
          <w:rFonts w:hint="eastAsia" w:ascii="宋体" w:hAnsi="宋体" w:cs="宋体"/>
          <w:color w:val="000000"/>
          <w:sz w:val="22"/>
          <w:szCs w:val="22"/>
        </w:rPr>
      </w:pPr>
      <w:r>
        <w:rPr>
          <w:rFonts w:hint="eastAsia" w:ascii="宋体" w:hAnsi="宋体" w:cs="宋体"/>
          <w:color w:val="000000"/>
          <w:sz w:val="22"/>
          <w:szCs w:val="22"/>
        </w:rPr>
        <w:t>关于监理人的其他约定：</w:t>
      </w:r>
      <w:r>
        <w:rPr>
          <w:rFonts w:hint="eastAsia" w:ascii="宋体" w:hAnsi="宋体" w:cs="宋体"/>
          <w:color w:val="000000"/>
          <w:sz w:val="22"/>
          <w:szCs w:val="22"/>
          <w:u w:val="single"/>
        </w:rPr>
        <w:t>根据工程建设情况，由发包人确定</w:t>
      </w:r>
      <w:r>
        <w:rPr>
          <w:rFonts w:hint="eastAsia" w:ascii="宋体" w:hAnsi="宋体" w:cs="宋体"/>
          <w:color w:val="000000"/>
          <w:sz w:val="22"/>
          <w:szCs w:val="22"/>
        </w:rPr>
        <w:t>。</w:t>
      </w:r>
    </w:p>
    <w:p w14:paraId="2418C3E3">
      <w:pPr>
        <w:pStyle w:val="478"/>
        <w:spacing w:line="400" w:lineRule="exact"/>
        <w:ind w:left="-420" w:right="-420" w:firstLine="440"/>
        <w:rPr>
          <w:rFonts w:hint="eastAsia" w:ascii="宋体" w:hAnsi="宋体" w:cs="宋体"/>
          <w:sz w:val="22"/>
          <w:szCs w:val="22"/>
        </w:rPr>
      </w:pPr>
      <w:bookmarkStart w:id="282" w:name="_Toc351203530"/>
      <w:r>
        <w:rPr>
          <w:rFonts w:hint="eastAsia" w:ascii="宋体" w:hAnsi="宋体" w:cs="宋体"/>
          <w:color w:val="000000"/>
          <w:sz w:val="22"/>
          <w:szCs w:val="22"/>
        </w:rPr>
        <w:t>4</w:t>
      </w:r>
      <w:bookmarkStart w:id="283" w:name="_Toc296346556"/>
      <w:bookmarkStart w:id="284" w:name="_Toc296503055"/>
      <w:bookmarkStart w:id="285" w:name="_Toc337558756"/>
      <w:r>
        <w:rPr>
          <w:rFonts w:hint="eastAsia" w:ascii="宋体" w:hAnsi="宋体" w:cs="宋体"/>
          <w:color w:val="000000"/>
          <w:sz w:val="22"/>
          <w:szCs w:val="22"/>
        </w:rPr>
        <w:t>.3</w:t>
      </w:r>
      <w:bookmarkEnd w:id="283"/>
      <w:bookmarkEnd w:id="284"/>
      <w:r>
        <w:rPr>
          <w:rFonts w:hint="eastAsia" w:ascii="宋体" w:hAnsi="宋体" w:cs="宋体"/>
          <w:color w:val="000000"/>
          <w:sz w:val="22"/>
          <w:szCs w:val="22"/>
        </w:rPr>
        <w:t>监理人的指</w:t>
      </w:r>
      <w:bookmarkEnd w:id="285"/>
      <w:r>
        <w:rPr>
          <w:rFonts w:hint="eastAsia" w:ascii="宋体" w:hAnsi="宋体" w:cs="宋体"/>
          <w:color w:val="000000"/>
          <w:sz w:val="22"/>
          <w:szCs w:val="22"/>
        </w:rPr>
        <w:t>示</w:t>
      </w:r>
      <w:bookmarkEnd w:id="282"/>
      <w:r>
        <w:rPr>
          <w:rFonts w:hint="eastAsia" w:ascii="宋体" w:hAnsi="宋体" w:cs="宋体"/>
          <w:color w:val="000000"/>
          <w:sz w:val="22"/>
          <w:szCs w:val="22"/>
        </w:rPr>
        <w:t>：</w:t>
      </w:r>
      <w:r>
        <w:rPr>
          <w:rFonts w:hint="eastAsia" w:ascii="宋体" w:hAnsi="宋体" w:cs="宋体"/>
          <w:color w:val="000000"/>
          <w:sz w:val="22"/>
          <w:szCs w:val="22"/>
          <w:u w:val="single"/>
        </w:rPr>
        <w:t>监理人应按照发包人的授权发出监理指示；因监理人未能按合同约定发出指示、</w:t>
      </w:r>
      <w:r>
        <w:rPr>
          <w:rFonts w:hint="eastAsia" w:ascii="宋体" w:hAnsi="宋体" w:cs="宋体"/>
          <w:sz w:val="22"/>
          <w:szCs w:val="22"/>
          <w:u w:val="single"/>
        </w:rPr>
        <w:t>指示延误或发出了错误指示而导致承包人费用增加和（或）工期延误的，由监理人承担相应责任</w:t>
      </w:r>
      <w:r>
        <w:rPr>
          <w:rFonts w:hint="eastAsia" w:ascii="宋体" w:hAnsi="宋体" w:cs="宋体"/>
          <w:sz w:val="22"/>
          <w:szCs w:val="22"/>
        </w:rPr>
        <w:t>。</w:t>
      </w:r>
    </w:p>
    <w:p w14:paraId="25970AD5">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4.4 商定或确定</w:t>
      </w:r>
    </w:p>
    <w:p w14:paraId="2A290DC8">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在发包人和承包人不能通过协商达成一致意见时，发包人授权监理人对以下事项进行确定：</w:t>
      </w:r>
    </w:p>
    <w:p w14:paraId="4FDEE68B">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w:t>
      </w:r>
      <w:r>
        <w:rPr>
          <w:rFonts w:hint="eastAsia" w:ascii="宋体" w:hAnsi="宋体" w:cs="宋体"/>
          <w:sz w:val="22"/>
          <w:szCs w:val="22"/>
          <w:u w:val="single"/>
        </w:rPr>
        <w:t>按通用条款执行</w:t>
      </w:r>
      <w:r>
        <w:rPr>
          <w:rFonts w:hint="eastAsia" w:ascii="宋体" w:hAnsi="宋体" w:cs="宋体"/>
          <w:sz w:val="22"/>
          <w:szCs w:val="22"/>
        </w:rPr>
        <w:t>；</w:t>
      </w:r>
    </w:p>
    <w:p w14:paraId="32D800D2">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5. 工程质量</w:t>
      </w:r>
    </w:p>
    <w:p w14:paraId="452FBE27">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5.1 质量要求</w:t>
      </w:r>
    </w:p>
    <w:p w14:paraId="5896EEA5">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5.1.1 特殊质量标准和要求：</w:t>
      </w:r>
      <w:r>
        <w:rPr>
          <w:rFonts w:hint="eastAsia" w:ascii="宋体" w:hAnsi="宋体" w:cs="宋体"/>
          <w:sz w:val="22"/>
          <w:szCs w:val="22"/>
          <w:u w:val="single"/>
        </w:rPr>
        <w:t xml:space="preserve">根据工程建设内容确定，当各个标准有不一致之处，以发包人选定的较高标准为准 </w:t>
      </w:r>
      <w:r>
        <w:rPr>
          <w:rFonts w:hint="eastAsia" w:ascii="宋体" w:hAnsi="宋体" w:cs="宋体"/>
          <w:sz w:val="22"/>
          <w:szCs w:val="22"/>
        </w:rPr>
        <w:t>。</w:t>
      </w:r>
    </w:p>
    <w:p w14:paraId="39C6BF8F">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关于工程奖项的约定：</w:t>
      </w:r>
      <w:r>
        <w:rPr>
          <w:rFonts w:hint="eastAsia" w:ascii="宋体" w:hAnsi="宋体" w:cs="宋体"/>
          <w:sz w:val="22"/>
          <w:szCs w:val="22"/>
          <w:u w:val="single"/>
        </w:rPr>
        <w:t xml:space="preserve">   /   </w:t>
      </w:r>
      <w:r>
        <w:rPr>
          <w:rFonts w:hint="eastAsia" w:ascii="宋体" w:hAnsi="宋体" w:cs="宋体"/>
          <w:sz w:val="22"/>
          <w:szCs w:val="22"/>
        </w:rPr>
        <w:t>。</w:t>
      </w:r>
    </w:p>
    <w:p w14:paraId="23E0AE0D">
      <w:pPr>
        <w:pStyle w:val="478"/>
        <w:spacing w:line="400" w:lineRule="exact"/>
        <w:ind w:left="-420" w:right="-420" w:firstLine="440"/>
        <w:rPr>
          <w:rFonts w:hint="eastAsia" w:ascii="宋体" w:hAnsi="宋体" w:cs="宋体"/>
          <w:sz w:val="22"/>
          <w:szCs w:val="22"/>
          <w:u w:val="single"/>
        </w:rPr>
      </w:pPr>
      <w:bookmarkStart w:id="286" w:name="_Toc351203534"/>
      <w:r>
        <w:rPr>
          <w:rFonts w:hint="eastAsia" w:ascii="宋体" w:hAnsi="宋体" w:cs="宋体"/>
          <w:sz w:val="22"/>
          <w:szCs w:val="22"/>
        </w:rPr>
        <w:t>5</w:t>
      </w:r>
      <w:bookmarkStart w:id="287" w:name="_Toc337558760"/>
      <w:r>
        <w:rPr>
          <w:rFonts w:hint="eastAsia" w:ascii="宋体" w:hAnsi="宋体" w:cs="宋体"/>
          <w:sz w:val="22"/>
          <w:szCs w:val="22"/>
        </w:rPr>
        <w:t>.2质量保证措施</w:t>
      </w:r>
      <w:bookmarkEnd w:id="286"/>
      <w:bookmarkEnd w:id="287"/>
    </w:p>
    <w:p w14:paraId="4FE86778">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 xml:space="preserve">5.2.3 </w:t>
      </w:r>
      <w:r>
        <w:rPr>
          <w:rFonts w:hint="eastAsia" w:ascii="宋体" w:hAnsi="宋体" w:cs="宋体"/>
          <w:sz w:val="22"/>
          <w:szCs w:val="22"/>
          <w:u w:val="singl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监理人承担</w:t>
      </w:r>
      <w:r>
        <w:rPr>
          <w:rFonts w:hint="eastAsia" w:ascii="宋体" w:hAnsi="宋体" w:cs="宋体"/>
          <w:sz w:val="22"/>
          <w:szCs w:val="22"/>
        </w:rPr>
        <w:t>。</w:t>
      </w:r>
    </w:p>
    <w:p w14:paraId="35AC6336">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5.3 隐蔽工程检查</w:t>
      </w:r>
    </w:p>
    <w:p w14:paraId="7CA097BD">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5.3.2承包人提前通知监理人隐蔽工程检查的期限的约定：</w:t>
      </w:r>
      <w:r>
        <w:rPr>
          <w:rFonts w:hint="eastAsia" w:ascii="宋体" w:hAnsi="宋体" w:cs="宋体"/>
          <w:sz w:val="22"/>
          <w:szCs w:val="22"/>
          <w:u w:val="single"/>
        </w:rPr>
        <w:t>按通用合同条款执行；监理人不能按时进行检查时，应提前24小时提交书面延期要求；关于延期最长不得超过48小时</w:t>
      </w:r>
      <w:r>
        <w:rPr>
          <w:rFonts w:hint="eastAsia" w:ascii="宋体" w:hAnsi="宋体" w:cs="宋体"/>
          <w:sz w:val="22"/>
          <w:szCs w:val="22"/>
        </w:rPr>
        <w:t>。</w:t>
      </w:r>
    </w:p>
    <w:p w14:paraId="6D246D76">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5.4不合格工程的处理</w:t>
      </w:r>
    </w:p>
    <w:p w14:paraId="6254926F">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 xml:space="preserve">5.4.1 </w:t>
      </w:r>
      <w:r>
        <w:rPr>
          <w:rFonts w:hint="eastAsia" w:ascii="宋体" w:hAnsi="宋体" w:cs="宋体"/>
          <w:sz w:val="22"/>
          <w:szCs w:val="22"/>
          <w:u w:val="single"/>
        </w:rPr>
        <w:t>因承包人原因造成工程不合格的，发包人有权随时要求承包人采取补救措施，直至达到合同要求的质量标准，由此增加的费用和（或）延误的工期由承包人承担；因承包人偷工减料、降低规范和标准施工等行为导致工程质量缺陷的，发包人有权对承包人进行处罚，处罚金上限不超过工程合同价的20% ；在此范围，由发包人根据具体情况对承包人进行处罚；此处罚金的支付并不能解除承包人应完成工程的责任（不免除承包人继续完成工程及修补缺陷的义务）或本合同规定的其他责任</w:t>
      </w:r>
      <w:r>
        <w:rPr>
          <w:rFonts w:hint="eastAsia" w:ascii="宋体" w:hAnsi="宋体" w:cs="宋体"/>
          <w:sz w:val="22"/>
          <w:szCs w:val="22"/>
        </w:rPr>
        <w:t>。</w:t>
      </w:r>
    </w:p>
    <w:p w14:paraId="5720B46A">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6. 安全文明施工与环境保护</w:t>
      </w:r>
    </w:p>
    <w:p w14:paraId="558EA5FB">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6.1安全文明施工</w:t>
      </w:r>
    </w:p>
    <w:p w14:paraId="0A127C29">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6.1.1 项目安全生产的达标目标及相应事项的约定：</w:t>
      </w:r>
      <w:r>
        <w:rPr>
          <w:rFonts w:hint="eastAsia" w:ascii="宋体" w:hAnsi="宋体" w:cs="宋体"/>
          <w:sz w:val="22"/>
          <w:szCs w:val="22"/>
          <w:u w:val="single"/>
        </w:rPr>
        <w:t>合同履行期间，承包人应当遵守国家和工程所在地有关安全生产的要求，并承担相应费用；承包人负责本工程范围内的施工安全措施，安全措施不到位引起的相关安全事宜由承包人全部承担；施工项目安全生产标准化达标目标及相应事项执行工程所在地相关要求和发包人相关要求</w:t>
      </w:r>
      <w:r>
        <w:rPr>
          <w:rFonts w:hint="eastAsia" w:ascii="宋体" w:hAnsi="宋体" w:cs="宋体"/>
          <w:sz w:val="22"/>
          <w:szCs w:val="22"/>
        </w:rPr>
        <w:t>。</w:t>
      </w:r>
    </w:p>
    <w:p w14:paraId="75357DA0">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6.1.4 关于治安保卫的特别约定：</w:t>
      </w:r>
      <w:r>
        <w:rPr>
          <w:rFonts w:hint="eastAsia" w:ascii="宋体" w:hAnsi="宋体" w:cs="宋体"/>
          <w:sz w:val="22"/>
          <w:szCs w:val="22"/>
          <w:u w:val="single"/>
        </w:rPr>
        <w:t>承包人负责并承担相应费用，施工现场建立治安管理机构，统一管理施工场地的治安保卫事项，履约治安保卫职责</w:t>
      </w:r>
      <w:r>
        <w:rPr>
          <w:rFonts w:hint="eastAsia" w:ascii="宋体" w:hAnsi="宋体" w:cs="宋体"/>
          <w:sz w:val="22"/>
          <w:szCs w:val="22"/>
        </w:rPr>
        <w:t>。</w:t>
      </w:r>
    </w:p>
    <w:p w14:paraId="40EF0258">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关于编制施工场地治安管理计划的约定：</w:t>
      </w:r>
      <w:r>
        <w:rPr>
          <w:rFonts w:hint="eastAsia" w:ascii="宋体" w:hAnsi="宋体" w:cs="宋体"/>
          <w:sz w:val="22"/>
          <w:szCs w:val="22"/>
          <w:u w:val="single"/>
        </w:rPr>
        <w:t>承包人负责并承担相应费用；编制施工场地治安管理计划，指定应对突发治安事件的紧急预案；施工现场的所有范围均由承包人承担保安责任，制定保安制度，责任制度，报告制度；在进场后5日内，报送发包人审核、备案；发生安全事故和其他影响正常经营及工作的事件立即向发包人报告，否则发包人将按10000元/次进行处罚，并追究承包人相关法律责任</w:t>
      </w:r>
      <w:r>
        <w:rPr>
          <w:rFonts w:hint="eastAsia" w:ascii="宋体" w:hAnsi="宋体" w:cs="宋体"/>
          <w:sz w:val="22"/>
          <w:szCs w:val="22"/>
        </w:rPr>
        <w:t>。</w:t>
      </w:r>
    </w:p>
    <w:p w14:paraId="1FBF3F51">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6.1.5 文明施工</w:t>
      </w:r>
    </w:p>
    <w:p w14:paraId="1BD8E3F7">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合同当事人对文明施工的要求：</w:t>
      </w:r>
      <w:r>
        <w:rPr>
          <w:rFonts w:hint="eastAsia" w:ascii="宋体" w:hAnsi="宋体" w:cs="宋体"/>
          <w:sz w:val="22"/>
          <w:szCs w:val="22"/>
          <w:u w:val="single"/>
        </w:rPr>
        <w:t>合同履行期间，承包人应当遵守国家和工程所在地有关文明施工的要求，并承担相应费用；不符合文明施工要求、造成行政主管部门处罚或停工的，所有损失由承包人承担</w:t>
      </w:r>
      <w:r>
        <w:rPr>
          <w:rFonts w:hint="eastAsia" w:ascii="宋体" w:hAnsi="宋体" w:cs="宋体"/>
          <w:sz w:val="22"/>
          <w:szCs w:val="22"/>
        </w:rPr>
        <w:t>。</w:t>
      </w:r>
    </w:p>
    <w:p w14:paraId="394DA8D7">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6.1.6 关于安全文明施工费支付比例和支付期限的约定：</w:t>
      </w:r>
      <w:r>
        <w:rPr>
          <w:rFonts w:hint="eastAsia" w:ascii="宋体" w:hAnsi="宋体" w:cs="宋体"/>
          <w:sz w:val="22"/>
          <w:szCs w:val="22"/>
          <w:u w:val="single"/>
        </w:rPr>
        <w:t>已含在投标报价及签约合同价中，按照合同约定付款节点进行支付</w:t>
      </w:r>
      <w:r>
        <w:rPr>
          <w:rFonts w:hint="eastAsia" w:ascii="宋体" w:hAnsi="宋体" w:cs="宋体"/>
          <w:sz w:val="22"/>
          <w:szCs w:val="22"/>
        </w:rPr>
        <w:t>。</w:t>
      </w:r>
    </w:p>
    <w:p w14:paraId="4E8CF82B">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7. 工期和进度</w:t>
      </w:r>
    </w:p>
    <w:p w14:paraId="630DEF90">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7.1 施工组织设计</w:t>
      </w:r>
    </w:p>
    <w:p w14:paraId="63A85F81">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7.1.1 合同当事人约定的施工组织设计应包括的其他内容：</w:t>
      </w:r>
      <w:r>
        <w:rPr>
          <w:rFonts w:hint="eastAsia" w:ascii="宋体" w:hAnsi="宋体" w:cs="宋体"/>
          <w:sz w:val="22"/>
          <w:szCs w:val="22"/>
          <w:u w:val="single"/>
        </w:rPr>
        <w:t>发包人根据工程建设内容确定</w:t>
      </w:r>
      <w:r>
        <w:rPr>
          <w:rFonts w:hint="eastAsia" w:ascii="宋体" w:hAnsi="宋体" w:cs="宋体"/>
          <w:sz w:val="22"/>
          <w:szCs w:val="22"/>
        </w:rPr>
        <w:t>。</w:t>
      </w:r>
    </w:p>
    <w:p w14:paraId="39EFBCCC">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7.1.2 施工组织设计的提交和修改</w:t>
      </w:r>
    </w:p>
    <w:p w14:paraId="4A922192">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承包人提交详细施工组织设计的期限的约定：</w:t>
      </w:r>
      <w:r>
        <w:rPr>
          <w:rFonts w:hint="eastAsia" w:ascii="宋体" w:hAnsi="宋体" w:cs="宋体"/>
          <w:sz w:val="22"/>
          <w:szCs w:val="22"/>
          <w:u w:val="single"/>
        </w:rPr>
        <w:t>按通用合同条款执行</w:t>
      </w:r>
      <w:r>
        <w:rPr>
          <w:rFonts w:hint="eastAsia" w:ascii="宋体" w:hAnsi="宋体" w:cs="宋体"/>
          <w:sz w:val="22"/>
          <w:szCs w:val="22"/>
        </w:rPr>
        <w:t>。</w:t>
      </w:r>
    </w:p>
    <w:p w14:paraId="499B9076">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发包人和监理人在收到详细的施工组织设计后确认或提出修改意见的期限：</w:t>
      </w:r>
      <w:r>
        <w:rPr>
          <w:rFonts w:hint="eastAsia" w:ascii="宋体" w:hAnsi="宋体" w:cs="宋体"/>
          <w:sz w:val="22"/>
          <w:szCs w:val="22"/>
          <w:u w:val="single"/>
        </w:rPr>
        <w:t>按通用合同条款执行</w:t>
      </w:r>
      <w:r>
        <w:rPr>
          <w:rFonts w:hint="eastAsia" w:ascii="宋体" w:hAnsi="宋体" w:cs="宋体"/>
          <w:sz w:val="22"/>
          <w:szCs w:val="22"/>
        </w:rPr>
        <w:t>。</w:t>
      </w:r>
    </w:p>
    <w:p w14:paraId="385A15F6">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7.2 施工进度计划</w:t>
      </w:r>
    </w:p>
    <w:p w14:paraId="3882309C">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7.2.2 施工进度计划的修订</w:t>
      </w:r>
    </w:p>
    <w:p w14:paraId="066E57EC">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发包人和监理人在收到修订的施工进度计划后确认或提出修改意见的期限：</w:t>
      </w:r>
      <w:r>
        <w:rPr>
          <w:rFonts w:hint="eastAsia" w:ascii="宋体" w:hAnsi="宋体" w:cs="宋体"/>
          <w:sz w:val="22"/>
          <w:szCs w:val="22"/>
          <w:u w:val="single"/>
        </w:rPr>
        <w:t>按通用合同条款执行</w:t>
      </w:r>
      <w:r>
        <w:rPr>
          <w:rFonts w:hint="eastAsia" w:ascii="宋体" w:hAnsi="宋体" w:cs="宋体"/>
          <w:sz w:val="22"/>
          <w:szCs w:val="22"/>
        </w:rPr>
        <w:t>。</w:t>
      </w:r>
    </w:p>
    <w:p w14:paraId="28EE8038">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7.3 开工</w:t>
      </w:r>
    </w:p>
    <w:p w14:paraId="0E85133A">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7.3.1 开工准备</w:t>
      </w:r>
    </w:p>
    <w:p w14:paraId="38F14774">
      <w:pPr>
        <w:pStyle w:val="478"/>
        <w:spacing w:line="400" w:lineRule="exact"/>
        <w:ind w:left="-420" w:right="-420" w:firstLine="440"/>
        <w:rPr>
          <w:rFonts w:hint="eastAsia" w:ascii="宋体" w:hAnsi="宋体" w:cs="宋体"/>
          <w:sz w:val="22"/>
          <w:szCs w:val="22"/>
          <w:u w:val="single"/>
        </w:rPr>
      </w:pPr>
      <w:r>
        <w:rPr>
          <w:rFonts w:hint="eastAsia" w:ascii="宋体" w:hAnsi="宋体" w:cs="宋体"/>
          <w:sz w:val="22"/>
          <w:szCs w:val="22"/>
        </w:rPr>
        <w:t>关于承包人提交工程开工报审表的期限：</w:t>
      </w:r>
      <w:r>
        <w:rPr>
          <w:rFonts w:hint="eastAsia" w:ascii="宋体" w:hAnsi="宋体" w:cs="宋体"/>
          <w:sz w:val="22"/>
          <w:szCs w:val="22"/>
          <w:u w:val="single"/>
        </w:rPr>
        <w:t>按通用合同条款执行</w:t>
      </w:r>
      <w:r>
        <w:rPr>
          <w:rFonts w:hint="eastAsia" w:ascii="宋体" w:hAnsi="宋体" w:cs="宋体"/>
          <w:sz w:val="22"/>
          <w:szCs w:val="22"/>
        </w:rPr>
        <w:t>。</w:t>
      </w:r>
    </w:p>
    <w:p w14:paraId="073451B9">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关于发包人应完成的其他开工准备工作及期限：</w:t>
      </w:r>
      <w:r>
        <w:rPr>
          <w:rFonts w:hint="eastAsia" w:ascii="宋体" w:hAnsi="宋体" w:cs="宋体"/>
          <w:sz w:val="22"/>
          <w:szCs w:val="22"/>
          <w:u w:val="single"/>
        </w:rPr>
        <w:t>按施工现场具体情况确定</w:t>
      </w:r>
      <w:r>
        <w:rPr>
          <w:rFonts w:hint="eastAsia" w:ascii="宋体" w:hAnsi="宋体" w:cs="宋体"/>
          <w:sz w:val="22"/>
          <w:szCs w:val="22"/>
        </w:rPr>
        <w:t>。</w:t>
      </w:r>
    </w:p>
    <w:p w14:paraId="61D4E747">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关于承包人应完成的其他开工准备工作及期限：发包人按施工现场具体情况确定。</w:t>
      </w:r>
    </w:p>
    <w:p w14:paraId="7DD6E7D6">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7.3.2开工通知</w:t>
      </w:r>
    </w:p>
    <w:p w14:paraId="60D4626E">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因发包人原因造成监理人未能在计划开工日期之日起</w:t>
      </w:r>
      <w:r>
        <w:rPr>
          <w:rFonts w:hint="eastAsia" w:ascii="宋体" w:hAnsi="宋体" w:cs="宋体"/>
          <w:sz w:val="22"/>
          <w:szCs w:val="22"/>
          <w:u w:val="single"/>
        </w:rPr>
        <w:t>360</w:t>
      </w:r>
      <w:r>
        <w:rPr>
          <w:rFonts w:hint="eastAsia" w:ascii="宋体" w:hAnsi="宋体" w:cs="宋体"/>
          <w:sz w:val="22"/>
          <w:szCs w:val="22"/>
        </w:rPr>
        <w:t>天内发出开工通知的，承包人有权提出价格调整要求，或者解除合同。</w:t>
      </w:r>
    </w:p>
    <w:p w14:paraId="05CA6BDF">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7.4 测量放线</w:t>
      </w:r>
    </w:p>
    <w:p w14:paraId="72CBA450">
      <w:pPr>
        <w:pStyle w:val="478"/>
        <w:spacing w:line="400" w:lineRule="exact"/>
        <w:ind w:left="-420" w:right="-420" w:firstLine="440"/>
        <w:rPr>
          <w:rFonts w:hint="eastAsia" w:ascii="宋体" w:hAnsi="宋体" w:cs="宋体"/>
          <w:sz w:val="22"/>
          <w:szCs w:val="22"/>
          <w:u w:val="single"/>
        </w:rPr>
      </w:pPr>
      <w:r>
        <w:rPr>
          <w:rFonts w:hint="eastAsia" w:ascii="宋体" w:hAnsi="宋体" w:cs="宋体"/>
          <w:sz w:val="22"/>
          <w:szCs w:val="22"/>
        </w:rPr>
        <w:t>7.4.1发包人通过监理人向承包人提供测量基准点、基准线和水准点及其书面资料的期限：</w:t>
      </w:r>
      <w:r>
        <w:rPr>
          <w:rFonts w:hint="eastAsia" w:ascii="宋体" w:hAnsi="宋体" w:cs="宋体"/>
          <w:sz w:val="22"/>
          <w:szCs w:val="22"/>
          <w:u w:val="single"/>
        </w:rPr>
        <w:t>按通用合同条款执行</w:t>
      </w:r>
      <w:r>
        <w:rPr>
          <w:rFonts w:hint="eastAsia" w:ascii="宋体" w:hAnsi="宋体" w:cs="宋体"/>
          <w:sz w:val="22"/>
          <w:szCs w:val="22"/>
        </w:rPr>
        <w:t>。</w:t>
      </w:r>
    </w:p>
    <w:p w14:paraId="059A7D01">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7.5 工期延误</w:t>
      </w:r>
    </w:p>
    <w:p w14:paraId="40B3F3B9">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7.5.1 因发包人原因导致工期延误：</w:t>
      </w:r>
      <w:r>
        <w:rPr>
          <w:rFonts w:hint="eastAsia" w:ascii="宋体" w:hAnsi="宋体" w:cs="宋体"/>
          <w:sz w:val="22"/>
          <w:szCs w:val="22"/>
          <w:u w:val="single"/>
        </w:rPr>
        <w:t>因发包人原因造成承包人不能按时开工的，开竣工日期相应顺延，发包人不承担工期费用（利润）索赔；此条款包含因发包人原因导致工期延误的所有事项</w:t>
      </w:r>
      <w:r>
        <w:rPr>
          <w:rFonts w:hint="eastAsia" w:ascii="宋体" w:hAnsi="宋体" w:cs="宋体"/>
          <w:sz w:val="22"/>
          <w:szCs w:val="22"/>
        </w:rPr>
        <w:t>。</w:t>
      </w:r>
    </w:p>
    <w:p w14:paraId="33C9EDDE">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7.5.2 因承包人原因导致工期延误</w:t>
      </w:r>
    </w:p>
    <w:p w14:paraId="433F148F">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因承包人原因造成工期延误，逾期竣工违约金的计算方法为：</w:t>
      </w:r>
      <w:r>
        <w:rPr>
          <w:rFonts w:hint="eastAsia" w:ascii="宋体" w:hAnsi="宋体" w:cs="宋体"/>
          <w:sz w:val="22"/>
          <w:szCs w:val="22"/>
          <w:u w:val="single"/>
        </w:rPr>
        <w:t>承包人未按本合同协议书部分约定的工期节点（或开工通知中载明的开工、竣工日期）完成工程建设的，承包人应向发包人支付违约金（按人民币10000元/天计算），此违约金的支付并不能解除承包人应完成工程的责任（不免除承包人继续完成工程及修补缺陷的义务）或本合同规定的其他责任，并且发包人有权将未完成项目重新发包，由此发生的费用由承包人承担</w:t>
      </w:r>
      <w:r>
        <w:rPr>
          <w:rFonts w:hint="eastAsia" w:ascii="宋体" w:hAnsi="宋体" w:cs="宋体"/>
          <w:sz w:val="22"/>
          <w:szCs w:val="22"/>
        </w:rPr>
        <w:t>。</w:t>
      </w:r>
    </w:p>
    <w:p w14:paraId="755CA96A">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因承包人原因造成工期延误，逾期竣工违约金的上限：</w:t>
      </w:r>
      <w:r>
        <w:rPr>
          <w:rFonts w:hint="eastAsia" w:ascii="宋体" w:hAnsi="宋体" w:cs="宋体"/>
          <w:sz w:val="22"/>
          <w:szCs w:val="22"/>
          <w:u w:val="single"/>
        </w:rPr>
        <w:t xml:space="preserve">逾期竣工违约金上限不超出工程中标价的20% </w:t>
      </w:r>
      <w:r>
        <w:rPr>
          <w:rFonts w:hint="eastAsia" w:ascii="宋体" w:hAnsi="宋体" w:cs="宋体"/>
          <w:sz w:val="22"/>
          <w:szCs w:val="22"/>
        </w:rPr>
        <w:t>。</w:t>
      </w:r>
    </w:p>
    <w:p w14:paraId="3B4B93A0">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7.6 不利物质条件</w:t>
      </w:r>
    </w:p>
    <w:p w14:paraId="30AE2204">
      <w:pPr>
        <w:pStyle w:val="478"/>
        <w:spacing w:line="400" w:lineRule="exact"/>
        <w:ind w:left="-420" w:right="-420" w:firstLine="440"/>
        <w:rPr>
          <w:rFonts w:hint="eastAsia" w:ascii="宋体" w:hAnsi="宋体" w:cs="宋体"/>
          <w:sz w:val="22"/>
          <w:szCs w:val="22"/>
        </w:rPr>
      </w:pPr>
      <w:bookmarkStart w:id="288" w:name="_Toc297216179"/>
      <w:bookmarkStart w:id="289" w:name="_Toc300934972"/>
      <w:bookmarkStart w:id="290" w:name="_Toc312678016"/>
      <w:bookmarkStart w:id="291" w:name="_Toc304295550"/>
      <w:bookmarkStart w:id="292" w:name="_Toc297123520"/>
      <w:bookmarkStart w:id="293" w:name="_Toc303539129"/>
      <w:bookmarkStart w:id="294" w:name="_Toc318581172"/>
      <w:r>
        <w:rPr>
          <w:rFonts w:hint="eastAsia" w:ascii="宋体" w:hAnsi="宋体" w:cs="宋体"/>
          <w:sz w:val="22"/>
          <w:szCs w:val="22"/>
        </w:rPr>
        <w:t>不利物质条件的其他情形：</w:t>
      </w:r>
      <w:r>
        <w:rPr>
          <w:rFonts w:hint="eastAsia" w:ascii="宋体" w:hAnsi="宋体" w:cs="宋体"/>
          <w:sz w:val="22"/>
          <w:szCs w:val="22"/>
          <w:u w:val="single"/>
        </w:rPr>
        <w:t>埋藏在地下的未引爆的炸弹、地勘过程中未发现的特殊岩层构造、地下管道、有毒的土壤或异常的地下水位等其他发包人、承包人、监理人三方共同认定为不利物质条件的情形</w:t>
      </w:r>
      <w:r>
        <w:rPr>
          <w:rFonts w:hint="eastAsia" w:ascii="宋体" w:hAnsi="宋体" w:cs="宋体"/>
          <w:sz w:val="22"/>
          <w:szCs w:val="22"/>
        </w:rPr>
        <w:t>。</w:t>
      </w:r>
    </w:p>
    <w:p w14:paraId="60895DBC">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承包人因采取合理措施而增加的费用和（或）延误的工期约定：</w:t>
      </w:r>
      <w:r>
        <w:rPr>
          <w:rFonts w:hint="eastAsia" w:ascii="宋体" w:hAnsi="宋体" w:cs="宋体"/>
          <w:sz w:val="22"/>
          <w:szCs w:val="22"/>
          <w:u w:val="single"/>
        </w:rPr>
        <w:t>开竣工日期相应顺延，发包人不承担相应费用</w:t>
      </w:r>
      <w:r>
        <w:rPr>
          <w:rFonts w:hint="eastAsia" w:ascii="宋体" w:hAnsi="宋体" w:cs="宋体"/>
          <w:sz w:val="22"/>
          <w:szCs w:val="22"/>
        </w:rPr>
        <w:t>。</w:t>
      </w:r>
      <w:bookmarkEnd w:id="288"/>
      <w:bookmarkEnd w:id="289"/>
      <w:bookmarkEnd w:id="290"/>
      <w:bookmarkEnd w:id="291"/>
      <w:bookmarkEnd w:id="292"/>
      <w:bookmarkEnd w:id="293"/>
      <w:bookmarkEnd w:id="294"/>
    </w:p>
    <w:p w14:paraId="00C9D319">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7.7异常恶劣的气候条件</w:t>
      </w:r>
    </w:p>
    <w:p w14:paraId="5FBA550E">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发包人和承包人同意以下情形视为异常恶劣的气候条件：</w:t>
      </w:r>
      <w:r>
        <w:rPr>
          <w:rFonts w:hint="eastAsia" w:ascii="宋体" w:hAnsi="宋体" w:cs="宋体"/>
          <w:sz w:val="22"/>
          <w:szCs w:val="22"/>
          <w:u w:val="single"/>
        </w:rPr>
        <w:t>（1）国家和工程所在地对异常恶劣气候条件有关规定执行；（2）根据沭阳县历史气象资料中的气象数据，由发包人、承包人、监理人共同认定为异常恶劣的气候</w:t>
      </w:r>
      <w:r>
        <w:rPr>
          <w:rFonts w:hint="eastAsia" w:ascii="宋体" w:hAnsi="宋体" w:cs="宋体"/>
          <w:sz w:val="22"/>
          <w:szCs w:val="22"/>
        </w:rPr>
        <w:t>。</w:t>
      </w:r>
    </w:p>
    <w:p w14:paraId="586DA192">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承包人因采取合理措施而增加的费用和（或）延误的工期约定：</w:t>
      </w:r>
      <w:r>
        <w:rPr>
          <w:rFonts w:hint="eastAsia" w:ascii="宋体" w:hAnsi="宋体" w:cs="宋体"/>
          <w:sz w:val="22"/>
          <w:szCs w:val="22"/>
          <w:u w:val="single"/>
        </w:rPr>
        <w:t>开竣工日期相应顺延，发包人不承担相应费用</w:t>
      </w:r>
      <w:r>
        <w:rPr>
          <w:rFonts w:hint="eastAsia" w:ascii="宋体" w:hAnsi="宋体" w:cs="宋体"/>
          <w:sz w:val="22"/>
          <w:szCs w:val="22"/>
        </w:rPr>
        <w:t>。</w:t>
      </w:r>
    </w:p>
    <w:p w14:paraId="7ACF1ACF">
      <w:pPr>
        <w:pStyle w:val="478"/>
        <w:spacing w:line="400" w:lineRule="exact"/>
        <w:ind w:left="-420" w:right="-420" w:firstLine="440"/>
        <w:rPr>
          <w:rFonts w:hint="eastAsia" w:ascii="宋体" w:hAnsi="宋体" w:cs="宋体"/>
          <w:sz w:val="22"/>
          <w:szCs w:val="22"/>
        </w:rPr>
      </w:pPr>
      <w:bookmarkStart w:id="295" w:name="_Toc29695"/>
      <w:r>
        <w:rPr>
          <w:rFonts w:hint="eastAsia" w:ascii="宋体" w:hAnsi="宋体" w:cs="宋体"/>
          <w:sz w:val="22"/>
          <w:szCs w:val="22"/>
        </w:rPr>
        <w:t>7</w:t>
      </w:r>
      <w:bookmarkStart w:id="296" w:name="_Toc337558775"/>
      <w:r>
        <w:rPr>
          <w:rFonts w:hint="eastAsia" w:ascii="宋体" w:hAnsi="宋体" w:cs="宋体"/>
          <w:sz w:val="22"/>
          <w:szCs w:val="22"/>
        </w:rPr>
        <w:t>.8 暂停施工</w:t>
      </w:r>
      <w:bookmarkEnd w:id="296"/>
    </w:p>
    <w:p w14:paraId="2C227896">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7.8.1发包人原因引起的暂停施工：</w:t>
      </w:r>
      <w:r>
        <w:rPr>
          <w:rFonts w:hint="eastAsia" w:ascii="宋体" w:hAnsi="宋体" w:cs="宋体"/>
          <w:sz w:val="22"/>
          <w:szCs w:val="22"/>
          <w:u w:val="single"/>
        </w:rPr>
        <w:t>监理人经发包人同意后，应及时下达暂停施工指；开竣工日期相应顺延,发包人不承担相应费用</w:t>
      </w:r>
      <w:r>
        <w:rPr>
          <w:rFonts w:hint="eastAsia" w:ascii="宋体" w:hAnsi="宋体" w:cs="宋体"/>
          <w:sz w:val="22"/>
          <w:szCs w:val="22"/>
        </w:rPr>
        <w:t>。</w:t>
      </w:r>
    </w:p>
    <w:p w14:paraId="4F98C6D6">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7.8.2 承包人原因引起的暂停施工:</w:t>
      </w:r>
      <w:r>
        <w:rPr>
          <w:rFonts w:hint="eastAsia" w:ascii="宋体" w:hAnsi="宋体" w:cs="宋体"/>
          <w:sz w:val="22"/>
          <w:szCs w:val="22"/>
          <w:u w:val="single"/>
        </w:rPr>
        <w:t>承包人承担由此增加的费用和（或）延误的工期</w:t>
      </w:r>
      <w:r>
        <w:rPr>
          <w:rFonts w:hint="eastAsia" w:ascii="宋体" w:hAnsi="宋体" w:cs="宋体"/>
          <w:sz w:val="22"/>
          <w:szCs w:val="22"/>
        </w:rPr>
        <w:t>。</w:t>
      </w:r>
    </w:p>
    <w:p w14:paraId="47D5F064">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7.8.5暂停施工后的复工：</w:t>
      </w:r>
      <w:r>
        <w:rPr>
          <w:rFonts w:hint="eastAsia" w:ascii="宋体" w:hAnsi="宋体" w:cs="宋体"/>
          <w:sz w:val="22"/>
          <w:szCs w:val="22"/>
          <w:u w:val="single"/>
        </w:rPr>
        <w:t>当工程具备复工条件时，监理人应经发包人批准后向承包人发出复工通知，承包人应按照复工通知要求复工；承包人无故拖延和拒绝复工的，承包人承担由此增加的费用和（或）延误的工期</w:t>
      </w:r>
      <w:r>
        <w:rPr>
          <w:rFonts w:hint="eastAsia" w:ascii="宋体" w:hAnsi="宋体" w:cs="宋体"/>
          <w:sz w:val="22"/>
          <w:szCs w:val="22"/>
        </w:rPr>
        <w:t>。</w:t>
      </w:r>
    </w:p>
    <w:p w14:paraId="4BBA0794">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7.8.6 暂停施工持续84天以上</w:t>
      </w:r>
    </w:p>
    <w:p w14:paraId="7036573D">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u w:val="single"/>
        </w:rPr>
        <w:t>暂停施工持续84天以上不复工的，除该项停工属于第7.8.2项〔承包人原因引起的暂停施工〕及第17条〔不可抗力〕约定的情形外，并影响到整个工程以及合同目的实现的，发承双方可就施工问题商定、确定相关方案</w:t>
      </w:r>
      <w:r>
        <w:rPr>
          <w:rFonts w:hint="eastAsia" w:ascii="宋体" w:hAnsi="宋体" w:cs="宋体"/>
          <w:sz w:val="22"/>
          <w:szCs w:val="22"/>
        </w:rPr>
        <w:t>。</w:t>
      </w:r>
    </w:p>
    <w:p w14:paraId="5F58EEC8">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7.9 提前竣工的奖励</w:t>
      </w:r>
    </w:p>
    <w:p w14:paraId="28831D9B">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7.9.2提前竣工的奖励：</w:t>
      </w:r>
      <w:r>
        <w:rPr>
          <w:rFonts w:hint="eastAsia" w:ascii="宋体" w:hAnsi="宋体" w:cs="宋体"/>
          <w:sz w:val="22"/>
          <w:szCs w:val="22"/>
          <w:u w:val="single"/>
        </w:rPr>
        <w:t>无提前竣工奖励</w:t>
      </w:r>
      <w:r>
        <w:rPr>
          <w:rFonts w:hint="eastAsia" w:ascii="宋体" w:hAnsi="宋体" w:cs="宋体"/>
          <w:sz w:val="22"/>
          <w:szCs w:val="22"/>
        </w:rPr>
        <w:t>。</w:t>
      </w:r>
      <w:bookmarkEnd w:id="295"/>
    </w:p>
    <w:p w14:paraId="436F750A">
      <w:pPr>
        <w:pStyle w:val="478"/>
        <w:spacing w:line="400" w:lineRule="exact"/>
        <w:ind w:left="-420" w:right="-420" w:firstLine="440"/>
        <w:rPr>
          <w:rFonts w:hint="eastAsia" w:ascii="宋体" w:hAnsi="宋体" w:cs="宋体"/>
          <w:sz w:val="22"/>
          <w:szCs w:val="22"/>
        </w:rPr>
      </w:pPr>
      <w:bookmarkStart w:id="297" w:name="_Toc296890991"/>
      <w:bookmarkStart w:id="298" w:name="_Toc292559367"/>
      <w:bookmarkStart w:id="299" w:name="_Toc296944502"/>
      <w:bookmarkStart w:id="300" w:name="_Toc292559872"/>
      <w:bookmarkStart w:id="301" w:name="_Toc297048349"/>
      <w:bookmarkStart w:id="302" w:name="_Toc296891203"/>
      <w:bookmarkStart w:id="303" w:name="_Toc296503163"/>
      <w:bookmarkStart w:id="304" w:name="_Toc296346664"/>
      <w:bookmarkStart w:id="305" w:name="_Toc297120463"/>
      <w:bookmarkStart w:id="306" w:name="_Toc7551"/>
      <w:bookmarkStart w:id="307" w:name="_Toc296347162"/>
      <w:r>
        <w:rPr>
          <w:rFonts w:hint="eastAsia" w:ascii="宋体" w:hAnsi="宋体" w:cs="宋体"/>
          <w:sz w:val="22"/>
          <w:szCs w:val="22"/>
        </w:rPr>
        <w:t>8. 材料与设备</w:t>
      </w:r>
      <w:bookmarkEnd w:id="297"/>
      <w:bookmarkEnd w:id="298"/>
      <w:bookmarkEnd w:id="299"/>
      <w:bookmarkEnd w:id="300"/>
      <w:bookmarkEnd w:id="301"/>
      <w:bookmarkEnd w:id="302"/>
      <w:bookmarkEnd w:id="303"/>
      <w:bookmarkEnd w:id="304"/>
      <w:bookmarkEnd w:id="305"/>
      <w:bookmarkEnd w:id="306"/>
      <w:bookmarkEnd w:id="307"/>
    </w:p>
    <w:p w14:paraId="1836325C">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8</w:t>
      </w:r>
      <w:bookmarkStart w:id="308" w:name="_Toc297120467"/>
      <w:bookmarkStart w:id="309" w:name="_Toc304295556"/>
      <w:bookmarkStart w:id="310" w:name="_Toc296347166"/>
      <w:bookmarkStart w:id="311" w:name="_Toc312677493"/>
      <w:bookmarkStart w:id="312" w:name="_Toc296890995"/>
      <w:bookmarkStart w:id="313" w:name="_Toc300934979"/>
      <w:bookmarkStart w:id="314" w:name="_Toc312678019"/>
      <w:bookmarkStart w:id="315" w:name="_Toc296891207"/>
      <w:bookmarkStart w:id="316" w:name="_Toc292559877"/>
      <w:bookmarkStart w:id="317" w:name="_Toc280868654"/>
      <w:bookmarkStart w:id="318" w:name="_Toc292559372"/>
      <w:bookmarkStart w:id="319" w:name="_Toc297216186"/>
      <w:bookmarkStart w:id="320" w:name="_Toc296503167"/>
      <w:bookmarkStart w:id="321" w:name="_Toc296944506"/>
      <w:bookmarkStart w:id="322" w:name="_Toc303539136"/>
      <w:bookmarkStart w:id="323" w:name="_Toc296346668"/>
      <w:bookmarkStart w:id="324" w:name="_Toc297123527"/>
      <w:bookmarkStart w:id="325" w:name="_Toc297048353"/>
      <w:bookmarkStart w:id="326" w:name="_Toc280868656"/>
      <w:bookmarkStart w:id="327" w:name="_Toc267251424"/>
      <w:bookmarkStart w:id="328" w:name="_Toc280868655"/>
      <w:r>
        <w:rPr>
          <w:rFonts w:hint="eastAsia" w:ascii="宋体" w:hAnsi="宋体" w:cs="宋体"/>
          <w:sz w:val="22"/>
          <w:szCs w:val="22"/>
        </w:rPr>
        <w:t>.4 材料与工程设备的保管与使用</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7861F8AF">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8</w:t>
      </w:r>
      <w:bookmarkStart w:id="329" w:name="_Toc292559878"/>
      <w:bookmarkStart w:id="330" w:name="_Toc292559373"/>
      <w:bookmarkStart w:id="331" w:name="_Toc304295557"/>
      <w:bookmarkStart w:id="332" w:name="_Toc318581173"/>
      <w:bookmarkStart w:id="333" w:name="_Toc296944507"/>
      <w:bookmarkStart w:id="334" w:name="_Toc312677494"/>
      <w:bookmarkStart w:id="335" w:name="_Toc300934980"/>
      <w:bookmarkStart w:id="336" w:name="_Toc296346669"/>
      <w:bookmarkStart w:id="337" w:name="_Toc303539137"/>
      <w:bookmarkStart w:id="338" w:name="_Toc297216187"/>
      <w:bookmarkStart w:id="339" w:name="_Toc296347167"/>
      <w:bookmarkStart w:id="340" w:name="_Toc312678020"/>
      <w:bookmarkStart w:id="341" w:name="_Toc297120468"/>
      <w:bookmarkStart w:id="342" w:name="_Toc296890996"/>
      <w:bookmarkStart w:id="343" w:name="_Toc297123528"/>
      <w:bookmarkStart w:id="344" w:name="_Toc296891208"/>
      <w:bookmarkStart w:id="345" w:name="_Toc296503168"/>
      <w:bookmarkStart w:id="346" w:name="_Toc297048354"/>
      <w:r>
        <w:rPr>
          <w:rFonts w:hint="eastAsia" w:ascii="宋体" w:hAnsi="宋体" w:cs="宋体"/>
          <w:sz w:val="22"/>
          <w:szCs w:val="22"/>
        </w:rPr>
        <w:t>.4.1发包人供应的材料设备的保管费用的承担：</w:t>
      </w:r>
      <w:r>
        <w:rPr>
          <w:rFonts w:hint="eastAsia" w:ascii="宋体" w:hAnsi="宋体" w:cs="宋体"/>
          <w:sz w:val="22"/>
          <w:szCs w:val="22"/>
          <w:u w:val="single"/>
        </w:rPr>
        <w:t>已标价的工程量清单或预算书已经列支的由承包人妥善保管并承担费用；发包人供应的材料设备由承包人承担保管并承担费用；检验、使用相关费用由承包人承担；因承包人原因发生丢失毁损的，由承包人承担赔偿</w:t>
      </w:r>
      <w:r>
        <w:rPr>
          <w:rFonts w:hint="eastAsia" w:ascii="宋体" w:hAnsi="宋体" w:cs="宋体"/>
          <w:sz w:val="22"/>
          <w:szCs w:val="22"/>
        </w:rPr>
        <w:t>。</w:t>
      </w:r>
      <w:bookmarkEnd w:id="329"/>
      <w:bookmarkEnd w:id="330"/>
    </w:p>
    <w:p w14:paraId="59F72FD9">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8.6 样品</w:t>
      </w:r>
    </w:p>
    <w:p w14:paraId="5567790E">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8.6.1 样品的报送与封存</w:t>
      </w:r>
    </w:p>
    <w:p w14:paraId="3E12C02B">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需要承包人报送样品的材料或工程设备，样品的种类、名称、规格、数量要求：</w:t>
      </w:r>
      <w:r>
        <w:rPr>
          <w:rFonts w:hint="eastAsia" w:ascii="宋体" w:hAnsi="宋体" w:cs="宋体"/>
          <w:sz w:val="22"/>
          <w:szCs w:val="22"/>
          <w:u w:val="single"/>
        </w:rPr>
        <w:t>由发包人按《主要材料（设备）明细表》和工程具体建设内容确定，报送程序按通用条款执行</w:t>
      </w:r>
      <w:r>
        <w:rPr>
          <w:rFonts w:hint="eastAsia" w:ascii="宋体" w:hAnsi="宋体" w:cs="宋体"/>
          <w:sz w:val="22"/>
          <w:szCs w:val="22"/>
        </w:rPr>
        <w:t>。</w:t>
      </w:r>
    </w:p>
    <w:p w14:paraId="0747E2F4">
      <w:pPr>
        <w:pStyle w:val="478"/>
        <w:spacing w:line="400" w:lineRule="exact"/>
        <w:ind w:left="-420" w:right="-420" w:firstLine="440"/>
        <w:rPr>
          <w:rFonts w:hint="eastAsia" w:ascii="宋体" w:hAnsi="宋体" w:cs="宋体"/>
          <w:sz w:val="22"/>
          <w:szCs w:val="22"/>
        </w:rPr>
      </w:pPr>
      <w:bookmarkStart w:id="347" w:name="_Toc2018"/>
      <w:r>
        <w:rPr>
          <w:rFonts w:hint="eastAsia" w:ascii="宋体" w:hAnsi="宋体" w:cs="宋体"/>
          <w:sz w:val="22"/>
          <w:szCs w:val="22"/>
        </w:rPr>
        <w:t>8.8 施工设备和临时设施</w:t>
      </w:r>
    </w:p>
    <w:p w14:paraId="4C6A8E27">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8.8.1 承包人提供的施工设备和临时设施</w:t>
      </w:r>
    </w:p>
    <w:p w14:paraId="5EE8C6D3">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关于修建临时设施费用承担的约定：</w:t>
      </w:r>
      <w:r>
        <w:rPr>
          <w:rFonts w:hint="eastAsia" w:ascii="宋体" w:hAnsi="宋体" w:cs="宋体"/>
          <w:sz w:val="22"/>
          <w:szCs w:val="22"/>
          <w:u w:val="single"/>
        </w:rPr>
        <w:t>由承包人自行承担修建临时设施的费用；需要临时占地的，由承包人办理申请手续并承担相应费用</w:t>
      </w:r>
      <w:r>
        <w:rPr>
          <w:rFonts w:hint="eastAsia" w:ascii="宋体" w:hAnsi="宋体" w:cs="宋体"/>
          <w:sz w:val="22"/>
          <w:szCs w:val="22"/>
        </w:rPr>
        <w:t>。</w:t>
      </w:r>
    </w:p>
    <w:p w14:paraId="2A80F6FB">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8.8.2发包人提供的施工设备和临时设施：</w:t>
      </w:r>
      <w:r>
        <w:rPr>
          <w:rFonts w:hint="eastAsia" w:ascii="宋体" w:hAnsi="宋体" w:cs="宋体"/>
          <w:sz w:val="22"/>
          <w:szCs w:val="22"/>
          <w:u w:val="single"/>
        </w:rPr>
        <w:t xml:space="preserve">   /   </w:t>
      </w:r>
      <w:r>
        <w:rPr>
          <w:rFonts w:hint="eastAsia" w:ascii="宋体" w:hAnsi="宋体" w:cs="宋体"/>
          <w:sz w:val="22"/>
          <w:szCs w:val="22"/>
        </w:rPr>
        <w:t>。</w:t>
      </w:r>
    </w:p>
    <w:p w14:paraId="54A4F405">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9. 试验与检验</w:t>
      </w:r>
    </w:p>
    <w:p w14:paraId="033D3183">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9.1试验设备与试验人员</w:t>
      </w:r>
    </w:p>
    <w:p w14:paraId="42BEDC2D">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9.1.2 试验设备</w:t>
      </w:r>
    </w:p>
    <w:p w14:paraId="79E850F5">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施工现场需要配置的试验场所：</w:t>
      </w:r>
      <w:r>
        <w:rPr>
          <w:rFonts w:hint="eastAsia" w:ascii="宋体" w:hAnsi="宋体" w:cs="宋体"/>
          <w:sz w:val="22"/>
          <w:szCs w:val="22"/>
          <w:u w:val="single"/>
        </w:rPr>
        <w:t>按施工现场情况由发承双方确定，承包人提供试验场所</w:t>
      </w:r>
      <w:r>
        <w:rPr>
          <w:rFonts w:hint="eastAsia" w:ascii="宋体" w:hAnsi="宋体" w:cs="宋体"/>
          <w:sz w:val="22"/>
          <w:szCs w:val="22"/>
        </w:rPr>
        <w:t xml:space="preserve">。 </w:t>
      </w:r>
    </w:p>
    <w:p w14:paraId="06BACBEA">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施工现场需要配备的试验设备：</w:t>
      </w:r>
      <w:r>
        <w:rPr>
          <w:rFonts w:hint="eastAsia" w:ascii="宋体" w:hAnsi="宋体" w:cs="宋体"/>
          <w:sz w:val="22"/>
          <w:szCs w:val="22"/>
          <w:u w:val="single"/>
        </w:rPr>
        <w:t>按施工现场建设内容由发承双方确定，承包人配置的试验设备要符合相应试验规范的要求并经具有资质的检测单位检测</w:t>
      </w:r>
      <w:r>
        <w:rPr>
          <w:rFonts w:hint="eastAsia" w:ascii="宋体" w:hAnsi="宋体" w:cs="宋体"/>
          <w:sz w:val="22"/>
          <w:szCs w:val="22"/>
        </w:rPr>
        <w:t>。</w:t>
      </w:r>
    </w:p>
    <w:p w14:paraId="7E7216FF">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施工现场需要具备的其他试验条件：</w:t>
      </w:r>
      <w:r>
        <w:rPr>
          <w:rFonts w:hint="eastAsia" w:ascii="宋体" w:hAnsi="宋体" w:cs="宋体"/>
          <w:sz w:val="22"/>
          <w:szCs w:val="22"/>
          <w:u w:val="single"/>
        </w:rPr>
        <w:t>按施工现场需求由发承双方确定</w:t>
      </w:r>
      <w:r>
        <w:rPr>
          <w:rFonts w:hint="eastAsia" w:ascii="宋体" w:hAnsi="宋体" w:cs="宋体"/>
          <w:sz w:val="22"/>
          <w:szCs w:val="22"/>
        </w:rPr>
        <w:t>。</w:t>
      </w:r>
    </w:p>
    <w:p w14:paraId="4530B75A">
      <w:pPr>
        <w:pStyle w:val="478"/>
        <w:spacing w:line="400" w:lineRule="exact"/>
        <w:ind w:left="-420" w:right="-420" w:firstLine="440"/>
        <w:rPr>
          <w:rFonts w:hint="eastAsia" w:ascii="宋体" w:hAnsi="宋体" w:cs="宋体"/>
          <w:sz w:val="22"/>
          <w:szCs w:val="22"/>
        </w:rPr>
      </w:pPr>
      <w:bookmarkStart w:id="348" w:name="_Toc19038"/>
      <w:r>
        <w:rPr>
          <w:rFonts w:hint="eastAsia" w:ascii="宋体" w:hAnsi="宋体" w:cs="宋体"/>
          <w:sz w:val="22"/>
          <w:szCs w:val="22"/>
        </w:rPr>
        <w:t>9.4 现场工艺试验</w:t>
      </w:r>
      <w:bookmarkEnd w:id="348"/>
    </w:p>
    <w:p w14:paraId="2B9EF561">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现场工艺试验的有关约定：</w:t>
      </w:r>
      <w:r>
        <w:rPr>
          <w:rFonts w:hint="eastAsia" w:ascii="宋体" w:hAnsi="宋体" w:cs="宋体"/>
          <w:sz w:val="22"/>
          <w:szCs w:val="22"/>
          <w:u w:val="single"/>
        </w:rPr>
        <w:t>按通用合同条款执行</w:t>
      </w:r>
      <w:r>
        <w:rPr>
          <w:rFonts w:hint="eastAsia" w:ascii="宋体" w:hAnsi="宋体" w:cs="宋体"/>
          <w:sz w:val="22"/>
          <w:szCs w:val="22"/>
        </w:rPr>
        <w:t>。</w:t>
      </w:r>
      <w:bookmarkEnd w:id="326"/>
      <w:bookmarkEnd w:id="327"/>
      <w:bookmarkEnd w:id="328"/>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73FBC9C5">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10. 变更</w:t>
      </w:r>
    </w:p>
    <w:p w14:paraId="20D771FC">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10.1变更的范围</w:t>
      </w:r>
    </w:p>
    <w:p w14:paraId="6A3DCA48">
      <w:pPr>
        <w:pStyle w:val="481"/>
        <w:spacing w:line="400" w:lineRule="exact"/>
        <w:ind w:left="-420" w:right="-420" w:firstLine="440"/>
        <w:rPr>
          <w:rFonts w:hint="eastAsia" w:ascii="宋体" w:hAnsi="宋体" w:cs="宋体"/>
          <w:sz w:val="22"/>
        </w:rPr>
      </w:pPr>
      <w:r>
        <w:rPr>
          <w:rFonts w:hint="eastAsia" w:ascii="宋体" w:hAnsi="宋体" w:cs="宋体"/>
          <w:sz w:val="22"/>
        </w:rPr>
        <w:t>关于变更的范围的约定：除通用合同条款外，还包含</w:t>
      </w:r>
      <w:r>
        <w:rPr>
          <w:rFonts w:hint="eastAsia" w:ascii="宋体" w:hAnsi="宋体" w:cs="宋体"/>
          <w:sz w:val="22"/>
          <w:u w:val="single"/>
        </w:rPr>
        <w:t>1.设计变更需有业主同意的设计变更通知单（设计人提供变更后的图纸和说明），并经发包人确认后实施 ；2.实施变更、追加工程量和清单内隐蔽工程的，严格按沭工改组﹝2020﹞1号文件执行；3.因承包人自身原因导致的工程变更，承包人无权要求追加合同价款的签证，并承担由此给发包人带来的一切损失；4.应明确原因及工程量等相关内容，必须连续编号，无编号的不予结算；需在发生过程中进行，任何事后补签的请求，发包人将不再接受</w:t>
      </w:r>
      <w:r>
        <w:rPr>
          <w:rFonts w:hint="eastAsia" w:ascii="宋体" w:hAnsi="宋体" w:cs="宋体"/>
          <w:sz w:val="22"/>
        </w:rPr>
        <w:t>。</w:t>
      </w:r>
    </w:p>
    <w:p w14:paraId="461627F4">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10.4 变更估价</w:t>
      </w:r>
    </w:p>
    <w:p w14:paraId="34D23DA0">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10.4.1 变更估价原则</w:t>
      </w:r>
    </w:p>
    <w:p w14:paraId="45BA529F">
      <w:pPr>
        <w:pStyle w:val="478"/>
        <w:spacing w:line="400" w:lineRule="exact"/>
        <w:ind w:left="-420" w:right="-420" w:firstLine="440"/>
        <w:rPr>
          <w:rFonts w:hint="eastAsia" w:ascii="宋体" w:hAnsi="宋体" w:cs="宋体"/>
          <w:color w:val="FF0000"/>
          <w:sz w:val="22"/>
          <w:szCs w:val="22"/>
          <w:u w:val="single"/>
        </w:rPr>
      </w:pPr>
      <w:r>
        <w:rPr>
          <w:rFonts w:hint="eastAsia" w:ascii="宋体" w:hAnsi="宋体" w:cs="宋体"/>
          <w:color w:val="FF0000"/>
          <w:sz w:val="22"/>
          <w:szCs w:val="22"/>
        </w:rPr>
        <w:t>关于变更估价的约定:</w:t>
      </w:r>
      <w:r>
        <w:rPr>
          <w:rFonts w:hint="eastAsia" w:ascii="宋体" w:hAnsi="宋体" w:cs="宋体"/>
          <w:color w:val="FF0000"/>
          <w:sz w:val="22"/>
          <w:szCs w:val="22"/>
          <w:u w:val="single"/>
        </w:rPr>
        <w:t>（1）已标价工程量清单或预算书有相同项目的，按照相同项目单价认定； （2）已标价工程量清单或预算书中无相同项目，但有类似项目的，参照类似项目的单价认定 ；（3）变更导致实际完成的变更工程量与已标价工程量清单或预算书中列明的该项目工程量的变化幅度超过15%的，或已标价工程量清单或预算书中无相同项目及类似项目单价的，按照《建设工程工程量清单计价规范》（GB50500-2013）执行。</w:t>
      </w:r>
    </w:p>
    <w:p w14:paraId="4470A310">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w:t>
      </w:r>
      <w:bookmarkStart w:id="349" w:name="_Toc296944536"/>
      <w:bookmarkStart w:id="350" w:name="_Toc296891237"/>
      <w:bookmarkStart w:id="351" w:name="_Toc303539150"/>
      <w:bookmarkStart w:id="352" w:name="_Toc296891025"/>
      <w:bookmarkStart w:id="353" w:name="_Toc296347196"/>
      <w:bookmarkStart w:id="354" w:name="_Toc292559907"/>
      <w:bookmarkStart w:id="355" w:name="_Toc297123544"/>
      <w:bookmarkStart w:id="356" w:name="_Toc297120497"/>
      <w:bookmarkStart w:id="357" w:name="_Toc292559402"/>
      <w:bookmarkStart w:id="358" w:name="_Toc300934993"/>
      <w:bookmarkStart w:id="359" w:name="_Toc296503197"/>
      <w:bookmarkStart w:id="360" w:name="_Toc297048383"/>
      <w:bookmarkStart w:id="361" w:name="_Toc297216203"/>
      <w:bookmarkStart w:id="362" w:name="_Toc296346698"/>
      <w:bookmarkStart w:id="363" w:name="_Toc304295570"/>
      <w:bookmarkStart w:id="364" w:name="_Toc312677503"/>
      <w:bookmarkStart w:id="365" w:name="_Toc312678029"/>
      <w:r>
        <w:rPr>
          <w:rFonts w:hint="eastAsia" w:ascii="宋体" w:hAnsi="宋体" w:cs="宋体"/>
          <w:sz w:val="22"/>
          <w:szCs w:val="22"/>
        </w:rPr>
        <w:t>0.5承</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Start w:id="366" w:name="_Toc297123545"/>
      <w:bookmarkStart w:id="367" w:name="_Toc303539151"/>
      <w:bookmarkStart w:id="368" w:name="_Toc296346704"/>
      <w:bookmarkStart w:id="369" w:name="_Toc296347202"/>
      <w:bookmarkStart w:id="370" w:name="_Toc296891031"/>
      <w:bookmarkStart w:id="371" w:name="_Toc297216204"/>
      <w:bookmarkStart w:id="372" w:name="_Toc296944542"/>
      <w:bookmarkStart w:id="373" w:name="_Toc297048389"/>
      <w:bookmarkStart w:id="374" w:name="_Toc296503203"/>
      <w:bookmarkStart w:id="375" w:name="_Toc296891243"/>
      <w:bookmarkStart w:id="376" w:name="_Toc297120503"/>
      <w:bookmarkStart w:id="377" w:name="_Toc292559408"/>
      <w:bookmarkStart w:id="378" w:name="_Toc292559913"/>
      <w:bookmarkStart w:id="379" w:name="_Toc300934994"/>
      <w:r>
        <w:rPr>
          <w:rFonts w:hint="eastAsia" w:ascii="宋体" w:hAnsi="宋体" w:cs="宋体"/>
          <w:sz w:val="22"/>
          <w:szCs w:val="22"/>
        </w:rPr>
        <w:t>包人的合理化建议</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1B1BD4ED">
      <w:pPr>
        <w:pStyle w:val="478"/>
        <w:spacing w:line="400" w:lineRule="exact"/>
        <w:ind w:left="-420" w:right="-420" w:firstLine="440"/>
        <w:rPr>
          <w:rFonts w:hint="eastAsia" w:ascii="宋体" w:hAnsi="宋体" w:cs="宋体"/>
          <w:sz w:val="22"/>
          <w:szCs w:val="22"/>
          <w:u w:val="single"/>
        </w:rPr>
      </w:pPr>
      <w:r>
        <w:rPr>
          <w:rFonts w:hint="eastAsia" w:ascii="宋体" w:hAnsi="宋体" w:cs="宋体"/>
          <w:sz w:val="22"/>
          <w:szCs w:val="22"/>
        </w:rPr>
        <w:t>监理人审查承包人合理化建议的期限：</w:t>
      </w:r>
      <w:r>
        <w:rPr>
          <w:rFonts w:hint="eastAsia" w:ascii="宋体" w:hAnsi="宋体" w:cs="宋体"/>
          <w:sz w:val="22"/>
          <w:szCs w:val="22"/>
          <w:u w:val="single"/>
        </w:rPr>
        <w:t>按通用条款执行。</w:t>
      </w:r>
    </w:p>
    <w:p w14:paraId="44F87ED1">
      <w:pPr>
        <w:pStyle w:val="478"/>
        <w:spacing w:line="400" w:lineRule="exact"/>
        <w:ind w:left="-420" w:right="-420" w:firstLine="440"/>
        <w:rPr>
          <w:rFonts w:hint="eastAsia" w:ascii="宋体" w:hAnsi="宋体" w:cs="宋体"/>
          <w:sz w:val="22"/>
          <w:szCs w:val="22"/>
          <w:u w:val="single"/>
        </w:rPr>
      </w:pPr>
      <w:r>
        <w:rPr>
          <w:rFonts w:hint="eastAsia" w:ascii="宋体" w:hAnsi="宋体" w:cs="宋体"/>
          <w:sz w:val="22"/>
          <w:szCs w:val="22"/>
        </w:rPr>
        <w:t>发包人审批承包人合理化建议的期限：</w:t>
      </w:r>
      <w:r>
        <w:rPr>
          <w:rFonts w:hint="eastAsia" w:ascii="宋体" w:hAnsi="宋体" w:cs="宋体"/>
          <w:sz w:val="22"/>
          <w:szCs w:val="22"/>
          <w:u w:val="single"/>
        </w:rPr>
        <w:t>按通用条款执行。</w:t>
      </w:r>
    </w:p>
    <w:p w14:paraId="35118D0D">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承</w:t>
      </w:r>
      <w:bookmarkStart w:id="380" w:name="_Toc300934995"/>
      <w:bookmarkStart w:id="381" w:name="_Toc292559914"/>
      <w:bookmarkStart w:id="382" w:name="_Toc318581175"/>
      <w:bookmarkStart w:id="383" w:name="_Toc296891032"/>
      <w:bookmarkStart w:id="384" w:name="_Toc296891244"/>
      <w:bookmarkStart w:id="385" w:name="_Toc304295571"/>
      <w:bookmarkStart w:id="386" w:name="_Toc296503204"/>
      <w:bookmarkStart w:id="387" w:name="_Toc297048390"/>
      <w:bookmarkStart w:id="388" w:name="_Toc292559409"/>
      <w:bookmarkStart w:id="389" w:name="_Toc296944543"/>
      <w:bookmarkStart w:id="390" w:name="_Toc297216205"/>
      <w:bookmarkStart w:id="391" w:name="_Toc296347203"/>
      <w:bookmarkStart w:id="392" w:name="_Toc312677504"/>
      <w:bookmarkStart w:id="393" w:name="_Toc303539152"/>
      <w:bookmarkStart w:id="394" w:name="_Toc296346705"/>
      <w:bookmarkStart w:id="395" w:name="_Toc312678030"/>
      <w:bookmarkStart w:id="396" w:name="_Toc297120504"/>
      <w:bookmarkStart w:id="397" w:name="_Toc297123546"/>
      <w:r>
        <w:rPr>
          <w:rFonts w:hint="eastAsia" w:ascii="宋体" w:hAnsi="宋体" w:cs="宋体"/>
          <w:sz w:val="22"/>
          <w:szCs w:val="22"/>
        </w:rPr>
        <w:t>包人提出的合理化建议降低了合同价格或者提高了工程经济效益的奖励的方法和金额为：</w:t>
      </w:r>
      <w:r>
        <w:rPr>
          <w:rFonts w:hint="eastAsia" w:ascii="宋体" w:hAnsi="宋体" w:cs="宋体"/>
          <w:sz w:val="22"/>
          <w:szCs w:val="22"/>
          <w:u w:val="single"/>
        </w:rPr>
        <w:t xml:space="preserve"> 无</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Start w:id="398" w:name="_Toc3139"/>
      <w:r>
        <w:rPr>
          <w:rFonts w:hint="eastAsia" w:ascii="宋体" w:hAnsi="宋体" w:cs="宋体"/>
          <w:sz w:val="22"/>
          <w:szCs w:val="22"/>
          <w:u w:val="single"/>
        </w:rPr>
        <w:t xml:space="preserve"> </w:t>
      </w:r>
      <w:r>
        <w:rPr>
          <w:rFonts w:hint="eastAsia" w:ascii="宋体" w:hAnsi="宋体" w:cs="宋体"/>
          <w:sz w:val="22"/>
          <w:szCs w:val="22"/>
        </w:rPr>
        <w:t>。</w:t>
      </w:r>
    </w:p>
    <w:p w14:paraId="4593F289">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w:t>
      </w:r>
      <w:bookmarkStart w:id="399" w:name="_Toc297120499"/>
      <w:bookmarkStart w:id="400" w:name="_Toc312677507"/>
      <w:bookmarkStart w:id="401" w:name="_Toc297216207"/>
      <w:bookmarkStart w:id="402" w:name="_Toc292559909"/>
      <w:bookmarkStart w:id="403" w:name="_Toc296346700"/>
      <w:bookmarkStart w:id="404" w:name="_Toc304295574"/>
      <w:bookmarkStart w:id="405" w:name="_Toc292559404"/>
      <w:bookmarkStart w:id="406" w:name="_Toc296944538"/>
      <w:bookmarkStart w:id="407" w:name="_Toc296503199"/>
      <w:bookmarkStart w:id="408" w:name="_Toc312678033"/>
      <w:bookmarkStart w:id="409" w:name="_Toc297048385"/>
      <w:bookmarkStart w:id="410" w:name="_Toc303539154"/>
      <w:bookmarkStart w:id="411" w:name="_Toc296347198"/>
      <w:bookmarkStart w:id="412" w:name="_Toc297123548"/>
      <w:bookmarkStart w:id="413" w:name="_Toc296891027"/>
      <w:bookmarkStart w:id="414" w:name="_Toc300934997"/>
      <w:bookmarkStart w:id="415" w:name="_Toc296891239"/>
      <w:r>
        <w:rPr>
          <w:rFonts w:hint="eastAsia" w:ascii="宋体" w:hAnsi="宋体" w:cs="宋体"/>
          <w:sz w:val="22"/>
          <w:szCs w:val="22"/>
        </w:rPr>
        <w:t>0.7 暂估价</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21246822">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u w:val="single"/>
        </w:rPr>
        <w:t>暂估价专业分包工程、服务、材料和工程设备的明细由合同当事人根据建设内容进行约定</w:t>
      </w:r>
      <w:r>
        <w:rPr>
          <w:rFonts w:hint="eastAsia" w:ascii="宋体" w:hAnsi="宋体" w:cs="宋体"/>
          <w:sz w:val="22"/>
          <w:szCs w:val="22"/>
        </w:rPr>
        <w:t>。</w:t>
      </w:r>
    </w:p>
    <w:p w14:paraId="6DDCBC3B">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w:t>
      </w:r>
      <w:bookmarkStart w:id="416" w:name="_Toc318581177"/>
      <w:bookmarkStart w:id="417" w:name="_Toc312677509"/>
      <w:bookmarkStart w:id="418" w:name="_Toc312678035"/>
      <w:r>
        <w:rPr>
          <w:rFonts w:hint="eastAsia" w:ascii="宋体" w:hAnsi="宋体" w:cs="宋体"/>
          <w:sz w:val="22"/>
          <w:szCs w:val="22"/>
        </w:rPr>
        <w:t>0.7.1 依法必须招标的暂估价项目</w:t>
      </w:r>
      <w:bookmarkEnd w:id="416"/>
      <w:bookmarkEnd w:id="417"/>
      <w:bookmarkEnd w:id="418"/>
    </w:p>
    <w:p w14:paraId="29929EF0">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对于依法必须招标的暂估价项目的确认和批准采取第</w:t>
      </w:r>
      <w:r>
        <w:rPr>
          <w:rFonts w:hint="eastAsia" w:ascii="宋体" w:hAnsi="宋体" w:cs="宋体"/>
          <w:sz w:val="22"/>
          <w:szCs w:val="22"/>
          <w:u w:val="single"/>
        </w:rPr>
        <w:t xml:space="preserve"> 1 </w:t>
      </w:r>
      <w:r>
        <w:rPr>
          <w:rFonts w:hint="eastAsia" w:ascii="宋体" w:hAnsi="宋体" w:cs="宋体"/>
          <w:sz w:val="22"/>
          <w:szCs w:val="22"/>
        </w:rPr>
        <w:t>种方式确定。</w:t>
      </w:r>
    </w:p>
    <w:p w14:paraId="79BCA0E3">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10.7.2 不属于依法必须招标的暂估价项目</w:t>
      </w:r>
    </w:p>
    <w:p w14:paraId="4D5A2F7C">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对于不属于依法必须招标的暂估价项目的确认和批准采取第</w:t>
      </w:r>
      <w:r>
        <w:rPr>
          <w:rFonts w:hint="eastAsia" w:ascii="宋体" w:hAnsi="宋体" w:cs="宋体"/>
          <w:sz w:val="22"/>
          <w:szCs w:val="22"/>
          <w:u w:val="single"/>
        </w:rPr>
        <w:t xml:space="preserve"> 1 </w:t>
      </w:r>
      <w:r>
        <w:rPr>
          <w:rFonts w:hint="eastAsia" w:ascii="宋体" w:hAnsi="宋体" w:cs="宋体"/>
          <w:sz w:val="22"/>
          <w:szCs w:val="22"/>
        </w:rPr>
        <w:t>种方式确定。</w:t>
      </w:r>
    </w:p>
    <w:p w14:paraId="46C59DE5">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第3种方式：承包人直接实施的暂估价项目</w:t>
      </w:r>
    </w:p>
    <w:p w14:paraId="1492539C">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承包人直接实施的暂估价项目的约定：</w:t>
      </w:r>
      <w:r>
        <w:rPr>
          <w:rFonts w:hint="eastAsia" w:ascii="宋体" w:hAnsi="宋体" w:cs="宋体"/>
          <w:sz w:val="22"/>
          <w:szCs w:val="22"/>
          <w:u w:val="single"/>
        </w:rPr>
        <w:t>发承双方在过程实施阶段约定具体事项</w:t>
      </w:r>
      <w:r>
        <w:rPr>
          <w:rFonts w:hint="eastAsia" w:ascii="宋体" w:hAnsi="宋体" w:cs="宋体"/>
          <w:sz w:val="22"/>
          <w:szCs w:val="22"/>
        </w:rPr>
        <w:t>。</w:t>
      </w:r>
    </w:p>
    <w:p w14:paraId="12E6F0CF">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10.8 暂列金额</w:t>
      </w:r>
    </w:p>
    <w:p w14:paraId="7A0FCD2A">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合同当事人关于暂列金额使用的约定：</w:t>
      </w:r>
      <w:r>
        <w:rPr>
          <w:rFonts w:hint="eastAsia" w:ascii="宋体" w:hAnsi="宋体" w:cs="宋体"/>
          <w:sz w:val="22"/>
          <w:szCs w:val="22"/>
          <w:u w:val="single"/>
        </w:rPr>
        <w:t>暂列金额应按照发包人的要求使用，发包人的要求应通过监理人发出；发承双方在工程实施阶段确定有关事项</w:t>
      </w:r>
      <w:r>
        <w:rPr>
          <w:rFonts w:hint="eastAsia" w:ascii="宋体" w:hAnsi="宋体" w:cs="宋体"/>
          <w:sz w:val="22"/>
          <w:szCs w:val="22"/>
        </w:rPr>
        <w:t>。</w:t>
      </w:r>
    </w:p>
    <w:p w14:paraId="4E771FF7">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11. 价格调整</w:t>
      </w:r>
    </w:p>
    <w:p w14:paraId="395A4688">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11.1 市场价格波动引起的调整</w:t>
      </w:r>
    </w:p>
    <w:p w14:paraId="18BD6B0D">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市场价格波动是否调整合同价格的约定：</w:t>
      </w:r>
      <w:r>
        <w:rPr>
          <w:rFonts w:hint="eastAsia" w:ascii="宋体" w:hAnsi="宋体" w:cs="宋体"/>
          <w:sz w:val="22"/>
          <w:szCs w:val="22"/>
          <w:u w:val="single"/>
        </w:rPr>
        <w:t>不调整</w:t>
      </w:r>
      <w:r>
        <w:rPr>
          <w:rFonts w:hint="eastAsia" w:ascii="宋体" w:hAnsi="宋体" w:cs="宋体"/>
          <w:sz w:val="22"/>
          <w:szCs w:val="22"/>
        </w:rPr>
        <w:t>。</w:t>
      </w:r>
    </w:p>
    <w:p w14:paraId="78D7635E">
      <w:pPr>
        <w:pStyle w:val="478"/>
        <w:numPr>
          <w:ilvl w:val="0"/>
          <w:numId w:val="8"/>
        </w:numPr>
        <w:spacing w:line="400" w:lineRule="exact"/>
        <w:ind w:left="-20" w:right="-420" w:firstLine="440"/>
        <w:rPr>
          <w:rFonts w:hint="eastAsia" w:ascii="宋体" w:hAnsi="宋体" w:cs="宋体"/>
          <w:sz w:val="22"/>
          <w:szCs w:val="22"/>
        </w:rPr>
      </w:pPr>
      <w:r>
        <w:rPr>
          <w:rFonts w:hint="eastAsia" w:ascii="宋体" w:hAnsi="宋体" w:cs="宋体"/>
          <w:sz w:val="22"/>
          <w:szCs w:val="22"/>
        </w:rPr>
        <w:t>合同价格、计量与支付</w:t>
      </w:r>
    </w:p>
    <w:p w14:paraId="5F0C5B08">
      <w:pPr>
        <w:pStyle w:val="478"/>
        <w:spacing w:line="400" w:lineRule="exact"/>
        <w:ind w:right="-420" w:firstLine="440"/>
        <w:rPr>
          <w:rFonts w:hint="eastAsia" w:ascii="宋体" w:hAnsi="宋体" w:cs="宋体"/>
          <w:sz w:val="22"/>
          <w:szCs w:val="22"/>
        </w:rPr>
      </w:pPr>
      <w:r>
        <w:rPr>
          <w:rFonts w:hint="eastAsia" w:ascii="宋体" w:hAnsi="宋体" w:cs="宋体"/>
          <w:sz w:val="22"/>
          <w:szCs w:val="22"/>
        </w:rPr>
        <w:t>12.1 合同价格形式</w:t>
      </w:r>
    </w:p>
    <w:p w14:paraId="1A59D38A">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1.单价合同。</w:t>
      </w:r>
    </w:p>
    <w:p w14:paraId="15ECB091">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综合单价包含的风险范围：</w:t>
      </w:r>
      <w:r>
        <w:rPr>
          <w:rFonts w:hint="eastAsia" w:ascii="宋体" w:hAnsi="宋体" w:cs="宋体"/>
          <w:sz w:val="22"/>
          <w:szCs w:val="22"/>
          <w:u w:val="single"/>
        </w:rPr>
        <w:t xml:space="preserve">    ；</w:t>
      </w:r>
    </w:p>
    <w:p w14:paraId="4A04523C">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 xml:space="preserve">风险费用的计算方法： </w:t>
      </w:r>
      <w:r>
        <w:rPr>
          <w:rFonts w:hint="eastAsia" w:ascii="宋体" w:hAnsi="宋体" w:cs="宋体"/>
          <w:sz w:val="22"/>
          <w:szCs w:val="22"/>
          <w:u w:val="single"/>
        </w:rPr>
        <w:t xml:space="preserve">无 </w:t>
      </w:r>
      <w:r>
        <w:rPr>
          <w:rFonts w:hint="eastAsia" w:ascii="宋体" w:hAnsi="宋体" w:cs="宋体"/>
          <w:sz w:val="22"/>
          <w:szCs w:val="22"/>
        </w:rPr>
        <w:t>。</w:t>
      </w:r>
    </w:p>
    <w:p w14:paraId="7B1E2D39">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风险范围以外合同价款调整方法：</w:t>
      </w:r>
      <w:bookmarkStart w:id="419" w:name="_Toc297123554"/>
      <w:bookmarkStart w:id="420" w:name="_Toc312678042"/>
      <w:bookmarkStart w:id="421" w:name="_Toc303539161"/>
      <w:bookmarkStart w:id="422" w:name="_Toc300935004"/>
      <w:bookmarkStart w:id="423" w:name="_Toc304295581"/>
      <w:bookmarkStart w:id="424" w:name="_Toc297216213"/>
      <w:bookmarkStart w:id="425" w:name="_Toc296891035"/>
      <w:bookmarkStart w:id="426" w:name="_Toc296944546"/>
      <w:bookmarkStart w:id="427" w:name="_Toc296346708"/>
      <w:bookmarkStart w:id="428" w:name="_Toc296891247"/>
      <w:bookmarkStart w:id="429" w:name="_Toc292559917"/>
      <w:bookmarkStart w:id="430" w:name="_Toc292559412"/>
      <w:bookmarkStart w:id="431" w:name="_Toc296503207"/>
      <w:bookmarkStart w:id="432" w:name="_Toc297048393"/>
      <w:bookmarkStart w:id="433" w:name="_Toc296347206"/>
      <w:bookmarkStart w:id="434" w:name="_Toc297120507"/>
      <w:r>
        <w:rPr>
          <w:rFonts w:hint="eastAsia" w:ascii="宋体" w:hAnsi="宋体" w:cs="宋体"/>
          <w:sz w:val="22"/>
          <w:szCs w:val="22"/>
          <w:u w:val="single"/>
        </w:rPr>
        <w:t>无</w:t>
      </w:r>
      <w:r>
        <w:rPr>
          <w:rFonts w:hint="eastAsia" w:ascii="宋体" w:hAnsi="宋体" w:cs="宋体"/>
          <w:sz w:val="22"/>
          <w:szCs w:val="22"/>
        </w:rPr>
        <w:t>。</w:t>
      </w:r>
    </w:p>
    <w:p w14:paraId="4EF37538">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2.总价合同。</w:t>
      </w:r>
    </w:p>
    <w:p w14:paraId="7E5068FF">
      <w:pPr>
        <w:pStyle w:val="478"/>
        <w:spacing w:line="400" w:lineRule="exact"/>
        <w:ind w:left="-420" w:right="-420" w:firstLine="440"/>
        <w:rPr>
          <w:rFonts w:hint="eastAsia" w:ascii="宋体" w:hAnsi="宋体" w:cs="宋体"/>
          <w:color w:val="auto"/>
          <w:sz w:val="22"/>
          <w:szCs w:val="22"/>
        </w:rPr>
      </w:pPr>
      <w:r>
        <w:rPr>
          <w:rFonts w:hint="eastAsia" w:ascii="宋体" w:hAnsi="宋体" w:cs="宋体"/>
          <w:color w:val="auto"/>
          <w:sz w:val="22"/>
          <w:szCs w:val="22"/>
        </w:rPr>
        <w:t>总价包含的风险范围：</w:t>
      </w:r>
      <w:r>
        <w:rPr>
          <w:rFonts w:hint="eastAsia" w:ascii="宋体" w:hAnsi="宋体" w:cs="宋体"/>
          <w:color w:val="auto"/>
          <w:sz w:val="22"/>
          <w:szCs w:val="22"/>
          <w:u w:val="single"/>
        </w:rPr>
        <w:t>施工期间的政策性调整和市场风险等一切风险范围，投标人应充分考虑施工期间约定范围内的市场风险和政策性调整确定风险系数进入报价，风险费用计入报价，合同结算时不作任何调整；</w:t>
      </w:r>
    </w:p>
    <w:p w14:paraId="27877D4A">
      <w:pPr>
        <w:pStyle w:val="478"/>
        <w:spacing w:line="400" w:lineRule="exact"/>
        <w:ind w:left="-420" w:right="-420" w:firstLine="440"/>
        <w:rPr>
          <w:rFonts w:hint="eastAsia" w:ascii="宋体" w:hAnsi="宋体" w:cs="宋体"/>
          <w:color w:val="auto"/>
          <w:sz w:val="22"/>
          <w:szCs w:val="22"/>
        </w:rPr>
      </w:pPr>
      <w:r>
        <w:rPr>
          <w:rFonts w:hint="eastAsia" w:ascii="宋体" w:hAnsi="宋体" w:cs="宋体"/>
          <w:color w:val="auto"/>
          <w:sz w:val="22"/>
          <w:szCs w:val="22"/>
        </w:rPr>
        <w:t>风险费用的计算方法：</w:t>
      </w:r>
      <w:r>
        <w:rPr>
          <w:rFonts w:hint="eastAsia" w:ascii="宋体" w:hAnsi="宋体" w:cs="宋体"/>
          <w:color w:val="auto"/>
          <w:sz w:val="22"/>
          <w:szCs w:val="22"/>
          <w:u w:val="single"/>
        </w:rPr>
        <w:t>无</w:t>
      </w:r>
      <w:r>
        <w:rPr>
          <w:rFonts w:hint="eastAsia" w:ascii="宋体" w:hAnsi="宋体" w:cs="宋体"/>
          <w:color w:val="auto"/>
          <w:sz w:val="22"/>
          <w:szCs w:val="22"/>
        </w:rPr>
        <w:t>。</w:t>
      </w:r>
    </w:p>
    <w:p w14:paraId="79F592FE">
      <w:pPr>
        <w:pStyle w:val="478"/>
        <w:spacing w:line="400" w:lineRule="exact"/>
        <w:ind w:left="-420" w:right="-420" w:firstLine="440"/>
        <w:rPr>
          <w:rFonts w:hint="eastAsia" w:ascii="宋体" w:hAnsi="宋体" w:cs="宋体"/>
          <w:color w:val="auto"/>
          <w:sz w:val="22"/>
          <w:szCs w:val="22"/>
          <w:u w:val="single"/>
        </w:rPr>
      </w:pPr>
      <w:r>
        <w:rPr>
          <w:rFonts w:hint="eastAsia" w:ascii="宋体" w:hAnsi="宋体" w:cs="宋体"/>
          <w:color w:val="auto"/>
          <w:sz w:val="22"/>
          <w:szCs w:val="22"/>
        </w:rPr>
        <w:t>风险范围以外合同价格的调整方法：</w:t>
      </w:r>
      <w:r>
        <w:rPr>
          <w:rFonts w:hint="eastAsia" w:ascii="宋体" w:hAnsi="宋体" w:cs="宋体"/>
          <w:color w:val="auto"/>
          <w:sz w:val="22"/>
          <w:szCs w:val="22"/>
          <w:u w:val="single"/>
        </w:rPr>
        <w:t>无</w:t>
      </w:r>
      <w:r>
        <w:rPr>
          <w:rFonts w:hint="eastAsia" w:ascii="宋体" w:hAnsi="宋体" w:cs="宋体"/>
          <w:color w:val="auto"/>
          <w:sz w:val="22"/>
          <w:szCs w:val="22"/>
        </w:rPr>
        <w:t>。</w:t>
      </w:r>
    </w:p>
    <w:p w14:paraId="35E58E71">
      <w:pPr>
        <w:pStyle w:val="478"/>
        <w:spacing w:line="400" w:lineRule="exact"/>
        <w:ind w:left="-420" w:right="-420" w:firstLine="440"/>
        <w:rPr>
          <w:rFonts w:hint="eastAsia" w:ascii="宋体" w:hAnsi="宋体" w:cs="宋体"/>
          <w:color w:val="auto"/>
          <w:sz w:val="22"/>
          <w:szCs w:val="22"/>
        </w:rPr>
      </w:pPr>
      <w:r>
        <w:rPr>
          <w:rFonts w:hint="eastAsia" w:ascii="宋体" w:hAnsi="宋体" w:cs="宋体"/>
          <w:color w:val="auto"/>
          <w:sz w:val="22"/>
          <w:szCs w:val="22"/>
        </w:rPr>
        <w:t>3.其他价格方式：</w:t>
      </w:r>
      <w:r>
        <w:rPr>
          <w:rFonts w:hint="eastAsia" w:ascii="宋体" w:hAnsi="宋体" w:cs="宋体"/>
          <w:color w:val="auto"/>
          <w:sz w:val="22"/>
          <w:szCs w:val="22"/>
          <w:u w:val="single"/>
        </w:rPr>
        <w:t>无</w:t>
      </w:r>
      <w:r>
        <w:rPr>
          <w:rFonts w:hint="eastAsia" w:ascii="宋体" w:hAnsi="宋体" w:cs="宋体"/>
          <w:color w:val="auto"/>
          <w:sz w:val="22"/>
          <w:szCs w:val="22"/>
        </w:rPr>
        <w:t>。</w:t>
      </w:r>
    </w:p>
    <w:p w14:paraId="1540D9E2">
      <w:pPr>
        <w:pStyle w:val="478"/>
        <w:spacing w:line="400" w:lineRule="exact"/>
        <w:ind w:left="-420" w:right="-420" w:firstLine="440"/>
        <w:rPr>
          <w:rFonts w:hint="eastAsia" w:ascii="宋体" w:hAnsi="宋体" w:cs="宋体"/>
          <w:color w:val="auto"/>
          <w:sz w:val="22"/>
          <w:szCs w:val="22"/>
        </w:rPr>
      </w:pPr>
      <w:r>
        <w:rPr>
          <w:rFonts w:hint="eastAsia" w:ascii="宋体" w:hAnsi="宋体" w:cs="宋体"/>
          <w:color w:val="auto"/>
          <w:sz w:val="22"/>
          <w:szCs w:val="22"/>
        </w:rPr>
        <w:t>12.2 预付款</w:t>
      </w:r>
      <w:bookmarkEnd w:id="419"/>
      <w:bookmarkEnd w:id="420"/>
      <w:bookmarkEnd w:id="421"/>
      <w:bookmarkEnd w:id="422"/>
      <w:bookmarkEnd w:id="423"/>
      <w:bookmarkEnd w:id="424"/>
    </w:p>
    <w:p w14:paraId="6FE10080">
      <w:pPr>
        <w:pStyle w:val="478"/>
        <w:spacing w:line="400" w:lineRule="exact"/>
        <w:ind w:left="-420" w:right="-420" w:firstLine="440"/>
        <w:rPr>
          <w:rFonts w:hint="eastAsia" w:ascii="宋体" w:hAnsi="宋体" w:cs="宋体"/>
          <w:color w:val="auto"/>
          <w:sz w:val="22"/>
          <w:szCs w:val="22"/>
        </w:rPr>
      </w:pPr>
      <w:r>
        <w:rPr>
          <w:rFonts w:hint="eastAsia" w:ascii="宋体" w:hAnsi="宋体" w:cs="宋体"/>
          <w:color w:val="auto"/>
          <w:sz w:val="22"/>
          <w:szCs w:val="22"/>
        </w:rPr>
        <w:t>12.2.1 预付款的支付</w:t>
      </w:r>
    </w:p>
    <w:p w14:paraId="5EC6E9BB">
      <w:pPr>
        <w:pStyle w:val="478"/>
        <w:spacing w:line="400" w:lineRule="exact"/>
        <w:ind w:left="-420" w:right="-420" w:firstLine="440"/>
        <w:rPr>
          <w:rFonts w:hint="eastAsia" w:ascii="宋体" w:hAnsi="宋体" w:cs="宋体"/>
          <w:color w:val="auto"/>
          <w:sz w:val="22"/>
          <w:szCs w:val="22"/>
        </w:rPr>
      </w:pPr>
      <w:r>
        <w:rPr>
          <w:rFonts w:hint="eastAsia" w:ascii="宋体" w:hAnsi="宋体" w:cs="宋体"/>
          <w:color w:val="auto"/>
          <w:sz w:val="22"/>
          <w:szCs w:val="22"/>
        </w:rPr>
        <w:t>预付款支付比例或金额：</w:t>
      </w:r>
      <w:r>
        <w:rPr>
          <w:rFonts w:hint="eastAsia" w:ascii="宋体" w:hAnsi="宋体" w:cs="宋体"/>
          <w:color w:val="auto"/>
          <w:sz w:val="22"/>
          <w:szCs w:val="22"/>
          <w:u w:val="single"/>
        </w:rPr>
        <w:t>10%工程款（不含运营费）</w:t>
      </w:r>
      <w:r>
        <w:rPr>
          <w:rFonts w:hint="eastAsia" w:ascii="宋体" w:hAnsi="宋体" w:cs="宋体"/>
          <w:color w:val="auto"/>
          <w:sz w:val="22"/>
          <w:szCs w:val="22"/>
        </w:rPr>
        <w:t>。</w:t>
      </w:r>
    </w:p>
    <w:p w14:paraId="56512996">
      <w:pPr>
        <w:pStyle w:val="478"/>
        <w:spacing w:line="400" w:lineRule="exact"/>
        <w:ind w:left="-420" w:right="-420" w:firstLine="440"/>
        <w:rPr>
          <w:rFonts w:hint="eastAsia" w:ascii="宋体" w:hAnsi="宋体" w:cs="宋体"/>
          <w:color w:val="auto"/>
          <w:sz w:val="22"/>
          <w:szCs w:val="22"/>
        </w:rPr>
      </w:pPr>
      <w:r>
        <w:rPr>
          <w:rFonts w:hint="eastAsia" w:ascii="宋体" w:hAnsi="宋体" w:cs="宋体"/>
          <w:color w:val="auto"/>
          <w:sz w:val="22"/>
          <w:szCs w:val="22"/>
        </w:rPr>
        <w:t>预付款支付期限：</w:t>
      </w:r>
      <w:r>
        <w:rPr>
          <w:rFonts w:hint="eastAsia" w:ascii="宋体" w:hAnsi="宋体" w:cs="宋体"/>
          <w:color w:val="auto"/>
          <w:sz w:val="22"/>
          <w:szCs w:val="22"/>
          <w:u w:val="single"/>
        </w:rPr>
        <w:t>承包人向发包人提供合同价10%的预付款保函后30日内</w:t>
      </w:r>
      <w:r>
        <w:rPr>
          <w:rFonts w:hint="eastAsia" w:ascii="宋体" w:hAnsi="宋体" w:cs="宋体"/>
          <w:color w:val="auto"/>
          <w:sz w:val="22"/>
          <w:szCs w:val="22"/>
        </w:rPr>
        <w:t>。</w:t>
      </w:r>
    </w:p>
    <w:p w14:paraId="55BE675B">
      <w:pPr>
        <w:pStyle w:val="478"/>
        <w:spacing w:line="400" w:lineRule="exact"/>
        <w:ind w:left="-420" w:right="-420" w:firstLine="440"/>
        <w:rPr>
          <w:rFonts w:hint="eastAsia" w:ascii="宋体" w:hAnsi="宋体" w:cs="宋体"/>
          <w:color w:val="auto"/>
          <w:sz w:val="22"/>
          <w:szCs w:val="22"/>
        </w:rPr>
      </w:pPr>
      <w:r>
        <w:rPr>
          <w:rFonts w:hint="eastAsia" w:ascii="宋体" w:hAnsi="宋体" w:cs="宋体"/>
          <w:color w:val="auto"/>
          <w:sz w:val="22"/>
          <w:szCs w:val="22"/>
        </w:rPr>
        <w:t>预付款扣回的方式：</w:t>
      </w:r>
      <w:r>
        <w:rPr>
          <w:rFonts w:hint="eastAsia" w:ascii="宋体" w:hAnsi="宋体" w:cs="宋体"/>
          <w:color w:val="auto"/>
          <w:sz w:val="22"/>
          <w:szCs w:val="22"/>
          <w:u w:val="single"/>
        </w:rPr>
        <w:t>无</w:t>
      </w:r>
      <w:r>
        <w:rPr>
          <w:rFonts w:hint="eastAsia" w:ascii="宋体" w:hAnsi="宋体" w:cs="宋体"/>
          <w:color w:val="auto"/>
          <w:sz w:val="22"/>
          <w:szCs w:val="22"/>
        </w:rPr>
        <w:t>。</w:t>
      </w:r>
    </w:p>
    <w:p w14:paraId="15CCA7B2">
      <w:pPr>
        <w:pStyle w:val="478"/>
        <w:spacing w:line="400" w:lineRule="exact"/>
        <w:ind w:left="-420" w:right="-420" w:firstLine="440"/>
        <w:rPr>
          <w:rFonts w:hint="eastAsia" w:ascii="宋体" w:hAnsi="宋体" w:cs="宋体"/>
          <w:color w:val="auto"/>
          <w:sz w:val="22"/>
          <w:szCs w:val="22"/>
        </w:rPr>
      </w:pPr>
      <w:r>
        <w:rPr>
          <w:rFonts w:hint="eastAsia" w:ascii="宋体" w:hAnsi="宋体" w:cs="宋体"/>
          <w:color w:val="auto"/>
          <w:sz w:val="22"/>
          <w:szCs w:val="22"/>
        </w:rPr>
        <w:t>12.2.2 预付款担保</w:t>
      </w:r>
    </w:p>
    <w:p w14:paraId="03FDB408">
      <w:pPr>
        <w:pStyle w:val="478"/>
        <w:spacing w:line="400" w:lineRule="exact"/>
        <w:ind w:left="-420" w:right="-420" w:firstLine="440"/>
        <w:rPr>
          <w:rFonts w:hint="eastAsia" w:ascii="宋体" w:hAnsi="宋体" w:cs="宋体"/>
          <w:color w:val="auto"/>
          <w:sz w:val="22"/>
          <w:szCs w:val="22"/>
        </w:rPr>
      </w:pPr>
      <w:r>
        <w:rPr>
          <w:rFonts w:hint="eastAsia" w:ascii="宋体" w:hAnsi="宋体" w:cs="宋体"/>
          <w:color w:val="auto"/>
          <w:sz w:val="22"/>
          <w:szCs w:val="22"/>
        </w:rPr>
        <w:t>承包人提交预付款担保的期限：</w:t>
      </w:r>
      <w:r>
        <w:rPr>
          <w:rFonts w:hint="eastAsia" w:ascii="宋体" w:hAnsi="宋体" w:cs="宋体"/>
          <w:color w:val="auto"/>
          <w:sz w:val="22"/>
          <w:szCs w:val="22"/>
          <w:u w:val="single"/>
        </w:rPr>
        <w:t>合同签订后7日内</w:t>
      </w:r>
      <w:r>
        <w:rPr>
          <w:rFonts w:hint="eastAsia" w:ascii="宋体" w:hAnsi="宋体" w:cs="宋体"/>
          <w:color w:val="auto"/>
          <w:sz w:val="22"/>
          <w:szCs w:val="22"/>
        </w:rPr>
        <w:t>。</w:t>
      </w:r>
    </w:p>
    <w:p w14:paraId="3FB74622">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预付款担保的形式为：</w:t>
      </w:r>
      <w:r>
        <w:rPr>
          <w:rFonts w:hint="eastAsia" w:ascii="宋体" w:hAnsi="宋体" w:cs="宋体"/>
          <w:sz w:val="22"/>
          <w:szCs w:val="22"/>
          <w:u w:val="single"/>
        </w:rPr>
        <w:t>与预付款同比例保函</w:t>
      </w:r>
      <w:r>
        <w:rPr>
          <w:rFonts w:hint="eastAsia" w:ascii="宋体" w:hAnsi="宋体" w:cs="宋体"/>
          <w:sz w:val="22"/>
          <w:szCs w:val="22"/>
        </w:rPr>
        <w:t>。</w:t>
      </w:r>
      <w:bookmarkEnd w:id="425"/>
      <w:bookmarkEnd w:id="426"/>
      <w:bookmarkEnd w:id="427"/>
      <w:bookmarkEnd w:id="428"/>
      <w:bookmarkEnd w:id="429"/>
      <w:bookmarkEnd w:id="430"/>
      <w:bookmarkEnd w:id="431"/>
      <w:bookmarkEnd w:id="432"/>
      <w:bookmarkEnd w:id="433"/>
      <w:bookmarkEnd w:id="434"/>
    </w:p>
    <w:p w14:paraId="51724D99">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12.3 计量</w:t>
      </w:r>
    </w:p>
    <w:p w14:paraId="140B8181">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12.3.1 计量原则</w:t>
      </w:r>
    </w:p>
    <w:p w14:paraId="32E26763">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工程量计算规则：</w:t>
      </w:r>
      <w:r>
        <w:rPr>
          <w:rFonts w:hint="eastAsia" w:ascii="宋体" w:hAnsi="宋体" w:cs="宋体"/>
          <w:sz w:val="22"/>
          <w:szCs w:val="22"/>
          <w:u w:val="single"/>
        </w:rPr>
        <w:t>按照合同约定的工程量计算规则、图纸及变更指示等进行计量；工程量计算规则应以相关的国家标准、行业标准等为依据，由发承双方按照有关规定确定</w:t>
      </w:r>
      <w:r>
        <w:rPr>
          <w:rFonts w:hint="eastAsia" w:ascii="宋体" w:hAnsi="宋体" w:cs="宋体"/>
          <w:sz w:val="22"/>
          <w:szCs w:val="22"/>
        </w:rPr>
        <w:t>。</w:t>
      </w:r>
    </w:p>
    <w:p w14:paraId="6301BF48">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12.3.2 计量周期</w:t>
      </w:r>
    </w:p>
    <w:p w14:paraId="19920D15">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关于计量周期的约定：</w:t>
      </w:r>
      <w:r>
        <w:rPr>
          <w:rFonts w:hint="eastAsia" w:ascii="宋体" w:hAnsi="宋体" w:cs="宋体"/>
          <w:sz w:val="22"/>
          <w:szCs w:val="22"/>
          <w:u w:val="single"/>
        </w:rPr>
        <w:t>按通用合同条款执行</w:t>
      </w:r>
      <w:r>
        <w:rPr>
          <w:rFonts w:hint="eastAsia" w:ascii="宋体" w:hAnsi="宋体" w:cs="宋体"/>
          <w:sz w:val="22"/>
          <w:szCs w:val="22"/>
        </w:rPr>
        <w:t>。</w:t>
      </w:r>
    </w:p>
    <w:p w14:paraId="388156EC">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12.3.3 单价合同的计量</w:t>
      </w:r>
    </w:p>
    <w:p w14:paraId="14FA8B32">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关于单价合同计量的约定：</w:t>
      </w:r>
      <w:r>
        <w:rPr>
          <w:rFonts w:hint="eastAsia" w:ascii="宋体" w:hAnsi="宋体" w:cs="宋体"/>
          <w:sz w:val="22"/>
          <w:szCs w:val="22"/>
          <w:u w:val="single"/>
        </w:rPr>
        <w:t>按通用合同条款执行</w:t>
      </w:r>
      <w:r>
        <w:rPr>
          <w:rFonts w:hint="eastAsia" w:ascii="宋体" w:hAnsi="宋体" w:cs="宋体"/>
          <w:sz w:val="22"/>
          <w:szCs w:val="22"/>
        </w:rPr>
        <w:t>。</w:t>
      </w:r>
    </w:p>
    <w:p w14:paraId="61466149">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12.3.4 总价合同的计量</w:t>
      </w:r>
    </w:p>
    <w:p w14:paraId="4634E2B5">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关于总价合同计量的约定：</w:t>
      </w:r>
      <w:r>
        <w:rPr>
          <w:rFonts w:hint="eastAsia" w:ascii="宋体" w:hAnsi="宋体" w:cs="宋体"/>
          <w:sz w:val="22"/>
          <w:szCs w:val="22"/>
          <w:u w:val="single"/>
        </w:rPr>
        <w:t>无</w:t>
      </w:r>
      <w:r>
        <w:rPr>
          <w:rFonts w:hint="eastAsia" w:ascii="宋体" w:hAnsi="宋体" w:cs="宋体"/>
          <w:sz w:val="22"/>
          <w:szCs w:val="22"/>
        </w:rPr>
        <w:t>。</w:t>
      </w:r>
    </w:p>
    <w:p w14:paraId="55177A1D">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12.3.5总价合同采用支付分解表计量支付的，是否适用第12.3.4 项〔总价合同的计量〕约定进行计量：</w:t>
      </w:r>
      <w:r>
        <w:rPr>
          <w:rFonts w:hint="eastAsia" w:ascii="宋体" w:hAnsi="宋体" w:cs="宋体"/>
          <w:sz w:val="22"/>
          <w:szCs w:val="22"/>
          <w:u w:val="single"/>
        </w:rPr>
        <w:t>无</w:t>
      </w:r>
      <w:r>
        <w:rPr>
          <w:rFonts w:hint="eastAsia" w:ascii="宋体" w:hAnsi="宋体" w:cs="宋体"/>
          <w:sz w:val="22"/>
          <w:szCs w:val="22"/>
        </w:rPr>
        <w:t>。</w:t>
      </w:r>
    </w:p>
    <w:p w14:paraId="17090792">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12.3.6 其他价格形式合同的计量</w:t>
      </w:r>
    </w:p>
    <w:p w14:paraId="6F43B940">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其他价格形式的计量方式和程序：</w:t>
      </w:r>
      <w:r>
        <w:rPr>
          <w:rFonts w:hint="eastAsia" w:ascii="宋体" w:hAnsi="宋体" w:cs="宋体"/>
          <w:sz w:val="22"/>
          <w:szCs w:val="22"/>
          <w:u w:val="single"/>
        </w:rPr>
        <w:t>无</w:t>
      </w:r>
      <w:r>
        <w:rPr>
          <w:rFonts w:hint="eastAsia" w:ascii="宋体" w:hAnsi="宋体" w:cs="宋体"/>
          <w:sz w:val="22"/>
          <w:szCs w:val="22"/>
        </w:rPr>
        <w:t>。</w:t>
      </w:r>
    </w:p>
    <w:p w14:paraId="71554187">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12.4 工程进度款支付</w:t>
      </w:r>
    </w:p>
    <w:p w14:paraId="775B0E96">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12.4.1 付款周期</w:t>
      </w:r>
    </w:p>
    <w:p w14:paraId="269CFFCB">
      <w:pPr>
        <w:pStyle w:val="478"/>
        <w:spacing w:line="400" w:lineRule="exact"/>
        <w:ind w:left="-420" w:right="-420" w:firstLine="440"/>
        <w:rPr>
          <w:rFonts w:hint="eastAsia" w:ascii="宋体" w:hAnsi="宋体" w:cs="宋体"/>
          <w:b/>
          <w:bCs/>
          <w:sz w:val="22"/>
          <w:szCs w:val="22"/>
          <w:u w:val="single"/>
        </w:rPr>
      </w:pPr>
      <w:r>
        <w:rPr>
          <w:rFonts w:hint="eastAsia" w:ascii="宋体" w:hAnsi="宋体" w:cs="宋体"/>
          <w:sz w:val="22"/>
          <w:szCs w:val="22"/>
        </w:rPr>
        <w:t>关于付款周期的约定：</w:t>
      </w:r>
      <w:r>
        <w:rPr>
          <w:rFonts w:hint="eastAsia" w:ascii="宋体" w:hAnsi="宋体" w:cs="宋体"/>
          <w:b/>
          <w:bCs/>
          <w:sz w:val="22"/>
          <w:szCs w:val="22"/>
          <w:u w:val="single"/>
        </w:rPr>
        <w:t>合同签订后，承包人向发包人提供合同价款的10%预付款保函后，发包人支付合同价款的10%作为预付款；进度款：施工单位进场，完成工程量的100%，经验收合格后，付至工程合同价款总额的80%；工程完工验收合格后安排结算审计，审计结算后，</w:t>
      </w:r>
      <w:r>
        <w:rPr>
          <w:rFonts w:hint="eastAsia" w:ascii="宋体" w:hAnsi="宋体" w:cs="宋体"/>
          <w:b/>
          <w:bCs/>
          <w:sz w:val="22"/>
          <w:szCs w:val="22"/>
          <w:u w:val="single"/>
          <w:lang w:val="en-US" w:eastAsia="zh-CN"/>
        </w:rPr>
        <w:t>按审计结算价</w:t>
      </w:r>
      <w:r>
        <w:rPr>
          <w:rFonts w:hint="eastAsia" w:ascii="宋体" w:hAnsi="宋体" w:cs="宋体"/>
          <w:b/>
          <w:bCs/>
          <w:sz w:val="22"/>
          <w:szCs w:val="22"/>
          <w:u w:val="single"/>
        </w:rPr>
        <w:t>付至</w:t>
      </w:r>
      <w:r>
        <w:rPr>
          <w:rFonts w:hint="eastAsia" w:ascii="宋体" w:hAnsi="宋体" w:cs="宋体"/>
          <w:b/>
          <w:bCs/>
          <w:sz w:val="22"/>
          <w:szCs w:val="22"/>
          <w:u w:val="single"/>
          <w:lang w:val="en-US" w:eastAsia="zh-CN"/>
        </w:rPr>
        <w:t>97%</w:t>
      </w:r>
      <w:r>
        <w:rPr>
          <w:rFonts w:hint="eastAsia" w:ascii="宋体" w:hAnsi="宋体" w:cs="宋体"/>
          <w:b/>
          <w:bCs/>
          <w:sz w:val="22"/>
          <w:szCs w:val="22"/>
          <w:u w:val="single"/>
          <w:lang w:eastAsia="zh-CN"/>
        </w:rPr>
        <w:t>，</w:t>
      </w:r>
      <w:r>
        <w:rPr>
          <w:rFonts w:hint="eastAsia" w:ascii="宋体" w:hAnsi="宋体" w:cs="宋体"/>
          <w:b/>
          <w:bCs/>
          <w:sz w:val="22"/>
          <w:szCs w:val="22"/>
          <w:u w:val="single"/>
          <w:lang w:val="en-US" w:eastAsia="zh-CN"/>
        </w:rPr>
        <w:t>满两年</w:t>
      </w:r>
      <w:r>
        <w:rPr>
          <w:rFonts w:hint="eastAsia" w:ascii="宋体" w:hAnsi="宋体" w:cs="宋体"/>
          <w:b/>
          <w:bCs/>
          <w:sz w:val="22"/>
          <w:szCs w:val="22"/>
          <w:u w:val="single"/>
        </w:rPr>
        <w:t>后按审计结算价付清余款</w:t>
      </w:r>
      <w:r>
        <w:rPr>
          <w:rFonts w:hint="eastAsia" w:ascii="宋体" w:hAnsi="宋体" w:cs="宋体"/>
          <w:b/>
          <w:bCs/>
          <w:sz w:val="22"/>
          <w:szCs w:val="22"/>
          <w:u w:val="single"/>
          <w:lang w:eastAsia="zh-CN"/>
        </w:rPr>
        <w:t>。</w:t>
      </w:r>
    </w:p>
    <w:p w14:paraId="24EF1910">
      <w:pPr>
        <w:pStyle w:val="478"/>
        <w:spacing w:line="400" w:lineRule="exact"/>
        <w:ind w:left="-420" w:right="-420" w:firstLine="482"/>
        <w:rPr>
          <w:rFonts w:hint="eastAsia" w:ascii="宋体" w:hAnsi="宋体" w:cs="宋体"/>
          <w:b/>
          <w:bCs/>
          <w:sz w:val="22"/>
          <w:szCs w:val="22"/>
          <w:u w:val="single"/>
        </w:rPr>
      </w:pPr>
      <w:r>
        <w:rPr>
          <w:rFonts w:hint="eastAsia"/>
          <w:b/>
          <w:bCs w:val="0"/>
          <w:sz w:val="24"/>
          <w:highlight w:val="white"/>
        </w:rPr>
        <w:t>注:①在签订合同时，中标人明确表示无需预付款或者主动要求降低预付款比例的金额，采购人可不适用预付款规定。②上述费用合同价为合同总价扣除运营期的污水处理费。</w:t>
      </w:r>
    </w:p>
    <w:p w14:paraId="646E35BE">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12.4.2 进度付款申请单的编制</w:t>
      </w:r>
    </w:p>
    <w:p w14:paraId="4C1EC79D">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关于进度付款申请单编制的约定：</w:t>
      </w:r>
      <w:r>
        <w:rPr>
          <w:rFonts w:hint="eastAsia" w:ascii="宋体" w:hAnsi="宋体" w:cs="宋体"/>
          <w:sz w:val="22"/>
          <w:szCs w:val="22"/>
          <w:u w:val="single"/>
        </w:rPr>
        <w:t>按通用合同条款执行</w:t>
      </w:r>
      <w:r>
        <w:rPr>
          <w:rFonts w:hint="eastAsia" w:ascii="宋体" w:hAnsi="宋体" w:cs="宋体"/>
          <w:sz w:val="22"/>
          <w:szCs w:val="22"/>
        </w:rPr>
        <w:t>。</w:t>
      </w:r>
    </w:p>
    <w:p w14:paraId="362292F7">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12.4.3 进度付款申请单的提交</w:t>
      </w:r>
    </w:p>
    <w:p w14:paraId="76ED8BAE">
      <w:pPr>
        <w:pStyle w:val="478"/>
        <w:spacing w:line="400" w:lineRule="exact"/>
        <w:ind w:right="-420" w:firstLine="440"/>
        <w:rPr>
          <w:rFonts w:hint="eastAsia" w:ascii="宋体" w:hAnsi="宋体" w:cs="宋体"/>
          <w:sz w:val="22"/>
          <w:szCs w:val="22"/>
        </w:rPr>
      </w:pPr>
      <w:r>
        <w:rPr>
          <w:rFonts w:hint="eastAsia" w:ascii="宋体" w:hAnsi="宋体" w:cs="宋体"/>
          <w:sz w:val="22"/>
          <w:szCs w:val="22"/>
        </w:rPr>
        <w:t>（1）单价合同进度付款申请单提交的约定：</w:t>
      </w:r>
      <w:r>
        <w:rPr>
          <w:rFonts w:hint="eastAsia" w:ascii="宋体" w:hAnsi="宋体" w:cs="宋体"/>
          <w:sz w:val="22"/>
          <w:szCs w:val="22"/>
          <w:u w:val="single"/>
        </w:rPr>
        <w:t>按付款节点</w:t>
      </w:r>
      <w:r>
        <w:rPr>
          <w:rFonts w:hint="eastAsia" w:ascii="宋体" w:hAnsi="宋体" w:cs="宋体"/>
          <w:sz w:val="22"/>
          <w:szCs w:val="22"/>
        </w:rPr>
        <w:t>。</w:t>
      </w:r>
    </w:p>
    <w:p w14:paraId="5ADC09E5">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（2）总价合同进度付款申请单提交的约定：</w:t>
      </w:r>
      <w:r>
        <w:rPr>
          <w:rFonts w:hint="eastAsia" w:ascii="宋体" w:hAnsi="宋体" w:cs="宋体"/>
          <w:sz w:val="22"/>
          <w:szCs w:val="22"/>
          <w:u w:val="single"/>
        </w:rPr>
        <w:t>无</w:t>
      </w:r>
      <w:r>
        <w:rPr>
          <w:rFonts w:hint="eastAsia" w:ascii="宋体" w:hAnsi="宋体" w:cs="宋体"/>
          <w:sz w:val="22"/>
          <w:szCs w:val="22"/>
        </w:rPr>
        <w:t>。</w:t>
      </w:r>
    </w:p>
    <w:p w14:paraId="0B250ABD">
      <w:pPr>
        <w:pStyle w:val="478"/>
        <w:spacing w:line="400" w:lineRule="exact"/>
        <w:ind w:right="-420" w:firstLine="440"/>
        <w:rPr>
          <w:rFonts w:hint="eastAsia" w:ascii="宋体" w:hAnsi="宋体" w:cs="宋体"/>
          <w:sz w:val="22"/>
          <w:szCs w:val="22"/>
        </w:rPr>
      </w:pPr>
      <w:r>
        <w:rPr>
          <w:rFonts w:hint="eastAsia" w:ascii="宋体" w:hAnsi="宋体" w:cs="宋体"/>
          <w:sz w:val="22"/>
          <w:szCs w:val="22"/>
        </w:rPr>
        <w:t>（3）其他价格形式合同进度付款申请单提交的约定：</w:t>
      </w:r>
      <w:r>
        <w:rPr>
          <w:rFonts w:hint="eastAsia" w:ascii="宋体" w:hAnsi="宋体" w:cs="宋体"/>
          <w:sz w:val="22"/>
          <w:szCs w:val="22"/>
          <w:u w:val="single"/>
        </w:rPr>
        <w:t>无</w:t>
      </w:r>
      <w:r>
        <w:rPr>
          <w:rFonts w:hint="eastAsia" w:ascii="宋体" w:hAnsi="宋体" w:cs="宋体"/>
          <w:sz w:val="22"/>
          <w:szCs w:val="22"/>
        </w:rPr>
        <w:t>。</w:t>
      </w:r>
    </w:p>
    <w:p w14:paraId="244E7493">
      <w:pPr>
        <w:pStyle w:val="478"/>
        <w:spacing w:line="400" w:lineRule="exact"/>
        <w:ind w:right="-420" w:firstLine="440"/>
        <w:rPr>
          <w:rFonts w:hint="eastAsia" w:ascii="宋体" w:hAnsi="宋体" w:cs="宋体"/>
          <w:sz w:val="22"/>
          <w:szCs w:val="22"/>
        </w:rPr>
      </w:pPr>
      <w:r>
        <w:rPr>
          <w:rFonts w:hint="eastAsia" w:ascii="宋体" w:hAnsi="宋体" w:cs="宋体"/>
          <w:sz w:val="22"/>
          <w:szCs w:val="22"/>
        </w:rPr>
        <w:t>12.4.4 进度款审核和支付</w:t>
      </w:r>
    </w:p>
    <w:p w14:paraId="6FAB61AA">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（1）监理人审查并报送发包人的期限：</w:t>
      </w:r>
      <w:r>
        <w:rPr>
          <w:rFonts w:hint="eastAsia" w:ascii="宋体" w:hAnsi="宋体" w:cs="宋体"/>
          <w:sz w:val="22"/>
          <w:szCs w:val="22"/>
          <w:u w:val="single"/>
        </w:rPr>
        <w:t xml:space="preserve">按通用合同条款执行 </w:t>
      </w:r>
      <w:r>
        <w:rPr>
          <w:rFonts w:hint="eastAsia" w:ascii="宋体" w:hAnsi="宋体" w:cs="宋体"/>
          <w:sz w:val="22"/>
          <w:szCs w:val="22"/>
        </w:rPr>
        <w:t>。</w:t>
      </w:r>
    </w:p>
    <w:p w14:paraId="621FDD14">
      <w:pPr>
        <w:pStyle w:val="478"/>
        <w:spacing w:line="400" w:lineRule="exact"/>
        <w:ind w:right="-420" w:firstLine="440"/>
        <w:rPr>
          <w:rFonts w:hint="eastAsia" w:ascii="宋体" w:hAnsi="宋体" w:cs="宋体"/>
          <w:sz w:val="22"/>
          <w:szCs w:val="22"/>
        </w:rPr>
      </w:pPr>
      <w:r>
        <w:rPr>
          <w:rFonts w:hint="eastAsia" w:ascii="宋体" w:hAnsi="宋体" w:cs="宋体"/>
          <w:sz w:val="22"/>
          <w:szCs w:val="22"/>
        </w:rPr>
        <w:t>发包人完成审批并签发进度款支付证书的期限：</w:t>
      </w:r>
      <w:r>
        <w:rPr>
          <w:rFonts w:hint="eastAsia" w:ascii="宋体" w:hAnsi="宋体" w:cs="宋体"/>
          <w:sz w:val="22"/>
          <w:szCs w:val="22"/>
          <w:u w:val="single"/>
        </w:rPr>
        <w:t>按通用条款执行</w:t>
      </w:r>
      <w:r>
        <w:rPr>
          <w:rFonts w:hint="eastAsia" w:ascii="宋体" w:hAnsi="宋体" w:cs="宋体"/>
          <w:sz w:val="22"/>
          <w:szCs w:val="22"/>
        </w:rPr>
        <w:t xml:space="preserve">。          </w:t>
      </w:r>
    </w:p>
    <w:p w14:paraId="7BF05690">
      <w:pPr>
        <w:pStyle w:val="478"/>
        <w:numPr>
          <w:ilvl w:val="0"/>
          <w:numId w:val="9"/>
        </w:numPr>
        <w:spacing w:line="400" w:lineRule="exact"/>
        <w:ind w:left="-400" w:right="-420" w:firstLine="440"/>
        <w:rPr>
          <w:rFonts w:hint="eastAsia" w:ascii="宋体" w:hAnsi="宋体" w:cs="宋体"/>
          <w:sz w:val="22"/>
          <w:szCs w:val="22"/>
        </w:rPr>
      </w:pPr>
      <w:r>
        <w:rPr>
          <w:rFonts w:hint="eastAsia" w:ascii="宋体" w:hAnsi="宋体" w:cs="宋体"/>
          <w:sz w:val="22"/>
          <w:szCs w:val="22"/>
        </w:rPr>
        <w:t>发包人支付进度款的期限：</w:t>
      </w:r>
      <w:r>
        <w:rPr>
          <w:rFonts w:hint="eastAsia" w:ascii="宋体" w:hAnsi="宋体" w:cs="宋体"/>
          <w:sz w:val="22"/>
          <w:szCs w:val="22"/>
          <w:u w:val="single"/>
        </w:rPr>
        <w:t>按12.4.1款执行；工程所在地财政部门进度款资金审批后30天内；本合同履行过程中涉及到承包人违约、被处罚等情况的，承包人应按照合同条款及时缴纳违约金、处罚金等；未及时、足额缴纳违约金、处罚金的，发包人有权暂停支付节点工程款（或在节点工程款中直接扣除）</w:t>
      </w:r>
      <w:r>
        <w:rPr>
          <w:rFonts w:hint="eastAsia" w:ascii="宋体" w:hAnsi="宋体" w:cs="宋体"/>
          <w:sz w:val="22"/>
          <w:szCs w:val="22"/>
        </w:rPr>
        <w:t>。</w:t>
      </w:r>
    </w:p>
    <w:p w14:paraId="62833FD1">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发包人逾期支付进度款的违约金的计算方式：</w:t>
      </w:r>
      <w:r>
        <w:rPr>
          <w:rFonts w:hint="eastAsia" w:ascii="宋体" w:hAnsi="宋体" w:cs="宋体"/>
          <w:sz w:val="22"/>
          <w:szCs w:val="22"/>
          <w:u w:val="single"/>
        </w:rPr>
        <w:t>无</w:t>
      </w:r>
      <w:r>
        <w:rPr>
          <w:rFonts w:hint="eastAsia" w:ascii="宋体" w:hAnsi="宋体" w:cs="宋体"/>
          <w:sz w:val="22"/>
          <w:szCs w:val="22"/>
        </w:rPr>
        <w:t>。</w:t>
      </w:r>
    </w:p>
    <w:p w14:paraId="0C2CE5AD">
      <w:pPr>
        <w:pStyle w:val="478"/>
        <w:spacing w:line="400" w:lineRule="exact"/>
        <w:ind w:left="-420" w:right="-420" w:firstLine="440"/>
        <w:rPr>
          <w:rFonts w:hint="eastAsia" w:ascii="宋体" w:hAnsi="宋体" w:cs="宋体"/>
          <w:color w:val="000000"/>
          <w:sz w:val="22"/>
          <w:szCs w:val="22"/>
        </w:rPr>
      </w:pPr>
      <w:r>
        <w:rPr>
          <w:rFonts w:hint="eastAsia" w:ascii="宋体" w:hAnsi="宋体" w:cs="宋体"/>
          <w:color w:val="000000"/>
          <w:sz w:val="22"/>
          <w:szCs w:val="22"/>
        </w:rPr>
        <w:t>注：在结算过程中，若发生进度款支付超出实际已完成工程价款的情况，承包单位应按规定在结算后30日内向发包单位返还多收到的工程进度款。</w:t>
      </w:r>
    </w:p>
    <w:p w14:paraId="66B1A5E8">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12.4.6 支付分解表的编制</w:t>
      </w:r>
    </w:p>
    <w:p w14:paraId="030C96C0">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2.总价合同支付分解表的编制与审批：</w:t>
      </w:r>
      <w:r>
        <w:rPr>
          <w:rFonts w:hint="eastAsia" w:ascii="宋体" w:hAnsi="宋体" w:cs="宋体"/>
          <w:sz w:val="22"/>
          <w:szCs w:val="22"/>
          <w:u w:val="single"/>
        </w:rPr>
        <w:t>无</w:t>
      </w:r>
      <w:r>
        <w:rPr>
          <w:rFonts w:hint="eastAsia" w:ascii="宋体" w:hAnsi="宋体" w:cs="宋体"/>
          <w:sz w:val="22"/>
          <w:szCs w:val="22"/>
        </w:rPr>
        <w:t>。</w:t>
      </w:r>
    </w:p>
    <w:p w14:paraId="29952EC1">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3.单价合同的总价项目支付分解表的编制与审批：</w:t>
      </w:r>
      <w:r>
        <w:rPr>
          <w:rFonts w:hint="eastAsia" w:ascii="宋体" w:hAnsi="宋体" w:cs="宋体"/>
          <w:sz w:val="22"/>
          <w:szCs w:val="22"/>
          <w:u w:val="single"/>
        </w:rPr>
        <w:t>无</w:t>
      </w:r>
      <w:r>
        <w:rPr>
          <w:rFonts w:hint="eastAsia" w:ascii="宋体" w:hAnsi="宋体" w:cs="宋体"/>
          <w:sz w:val="22"/>
          <w:szCs w:val="22"/>
        </w:rPr>
        <w:t>。</w:t>
      </w:r>
    </w:p>
    <w:p w14:paraId="1C163428">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13. 验收和工程试车</w:t>
      </w:r>
    </w:p>
    <w:p w14:paraId="66079E4C">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13.1 分部分项工程验收</w:t>
      </w:r>
    </w:p>
    <w:p w14:paraId="2E406507">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13.1.2监理人不能按时进行验收时，应提前</w:t>
      </w:r>
      <w:r>
        <w:rPr>
          <w:rFonts w:hint="eastAsia" w:ascii="宋体" w:hAnsi="宋体" w:cs="宋体"/>
          <w:sz w:val="22"/>
          <w:szCs w:val="22"/>
          <w:u w:val="single"/>
        </w:rPr>
        <w:t>24</w:t>
      </w:r>
      <w:r>
        <w:rPr>
          <w:rFonts w:hint="eastAsia" w:ascii="宋体" w:hAnsi="宋体" w:cs="宋体"/>
          <w:sz w:val="22"/>
          <w:szCs w:val="22"/>
        </w:rPr>
        <w:t>小时提交书面延期要求。</w:t>
      </w:r>
    </w:p>
    <w:p w14:paraId="0818E5BD">
      <w:pPr>
        <w:pStyle w:val="478"/>
        <w:spacing w:line="400" w:lineRule="exact"/>
        <w:ind w:left="-420" w:right="-420" w:firstLine="440"/>
        <w:rPr>
          <w:rFonts w:hint="eastAsia" w:ascii="宋体" w:hAnsi="宋体" w:cs="宋体"/>
          <w:b/>
          <w:sz w:val="22"/>
          <w:szCs w:val="22"/>
        </w:rPr>
      </w:pPr>
      <w:r>
        <w:rPr>
          <w:rFonts w:hint="eastAsia" w:ascii="宋体" w:hAnsi="宋体" w:cs="宋体"/>
          <w:sz w:val="22"/>
          <w:szCs w:val="22"/>
        </w:rPr>
        <w:t>关于延期最长不得超过：</w:t>
      </w:r>
      <w:r>
        <w:rPr>
          <w:rFonts w:hint="eastAsia" w:ascii="宋体" w:hAnsi="宋体" w:cs="宋体"/>
          <w:sz w:val="22"/>
          <w:szCs w:val="22"/>
          <w:u w:val="single"/>
        </w:rPr>
        <w:t>48</w:t>
      </w:r>
      <w:r>
        <w:rPr>
          <w:rFonts w:hint="eastAsia" w:ascii="宋体" w:hAnsi="宋体" w:cs="宋体"/>
          <w:sz w:val="22"/>
          <w:szCs w:val="22"/>
        </w:rPr>
        <w:t>小时。</w:t>
      </w:r>
    </w:p>
    <w:p w14:paraId="52D94136">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13.2 竣工验收</w:t>
      </w:r>
    </w:p>
    <w:p w14:paraId="13595CE5">
      <w:pPr>
        <w:pStyle w:val="478"/>
        <w:spacing w:line="400" w:lineRule="exact"/>
        <w:ind w:left="-420" w:right="-420" w:firstLine="440"/>
        <w:rPr>
          <w:rFonts w:hint="eastAsia" w:ascii="宋体" w:hAnsi="宋体" w:cs="宋体"/>
          <w:sz w:val="22"/>
          <w:szCs w:val="22"/>
        </w:rPr>
      </w:pPr>
      <w:bookmarkStart w:id="435" w:name="_Toc280868704"/>
      <w:bookmarkStart w:id="436" w:name="_Toc280868705"/>
      <w:bookmarkStart w:id="437" w:name="_Toc280868706"/>
      <w:r>
        <w:rPr>
          <w:rFonts w:hint="eastAsia" w:ascii="宋体" w:hAnsi="宋体" w:cs="宋体"/>
          <w:sz w:val="22"/>
          <w:szCs w:val="22"/>
        </w:rPr>
        <w:t>13.2.2竣工验收程序</w:t>
      </w:r>
      <w:bookmarkEnd w:id="435"/>
    </w:p>
    <w:p w14:paraId="30722456">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关于竣工验收程序的约定：</w:t>
      </w:r>
      <w:r>
        <w:rPr>
          <w:rFonts w:hint="eastAsia" w:ascii="宋体" w:hAnsi="宋体" w:cs="宋体"/>
          <w:sz w:val="22"/>
          <w:szCs w:val="22"/>
          <w:u w:val="single"/>
        </w:rPr>
        <w:t>按通用合同条款执行</w:t>
      </w:r>
      <w:r>
        <w:rPr>
          <w:rFonts w:hint="eastAsia" w:ascii="宋体" w:hAnsi="宋体" w:cs="宋体"/>
          <w:sz w:val="22"/>
          <w:szCs w:val="22"/>
        </w:rPr>
        <w:t>。</w:t>
      </w:r>
    </w:p>
    <w:p w14:paraId="54F75DC9">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发包人不按照本项约定组织竣工验收、颁发工程接收证书的违约金的计算方法：</w:t>
      </w:r>
      <w:bookmarkEnd w:id="436"/>
      <w:r>
        <w:rPr>
          <w:rFonts w:hint="eastAsia" w:ascii="宋体" w:hAnsi="宋体" w:cs="宋体"/>
          <w:sz w:val="22"/>
          <w:szCs w:val="22"/>
          <w:u w:val="single"/>
        </w:rPr>
        <w:t xml:space="preserve">无 </w:t>
      </w:r>
      <w:r>
        <w:rPr>
          <w:rFonts w:hint="eastAsia" w:ascii="宋体" w:hAnsi="宋体" w:cs="宋体"/>
          <w:sz w:val="22"/>
          <w:szCs w:val="22"/>
        </w:rPr>
        <w:t xml:space="preserve">。  </w:t>
      </w:r>
    </w:p>
    <w:p w14:paraId="29EEC6F5">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13.2.5移交、接收全部与部分工程</w:t>
      </w:r>
      <w:bookmarkEnd w:id="437"/>
    </w:p>
    <w:p w14:paraId="65DE6334">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承包人向发包人移交工程的期限：</w:t>
      </w:r>
      <w:r>
        <w:rPr>
          <w:rFonts w:hint="eastAsia" w:ascii="宋体" w:hAnsi="宋体" w:cs="宋体"/>
          <w:sz w:val="22"/>
          <w:szCs w:val="22"/>
          <w:u w:val="single"/>
        </w:rPr>
        <w:t>按通用合同条款执行</w:t>
      </w:r>
      <w:r>
        <w:rPr>
          <w:rFonts w:hint="eastAsia" w:ascii="宋体" w:hAnsi="宋体" w:cs="宋体"/>
          <w:sz w:val="22"/>
          <w:szCs w:val="22"/>
        </w:rPr>
        <w:t>。</w:t>
      </w:r>
    </w:p>
    <w:p w14:paraId="0A9A5078">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发包人未按本合同约定接收全部或部分工程的，违约金的计算方法为：</w:t>
      </w:r>
      <w:r>
        <w:rPr>
          <w:rFonts w:hint="eastAsia" w:ascii="宋体" w:hAnsi="宋体" w:cs="宋体"/>
          <w:sz w:val="22"/>
          <w:szCs w:val="22"/>
          <w:u w:val="single"/>
        </w:rPr>
        <w:t>无</w:t>
      </w:r>
      <w:r>
        <w:rPr>
          <w:rFonts w:hint="eastAsia" w:ascii="宋体" w:hAnsi="宋体" w:cs="宋体"/>
          <w:sz w:val="22"/>
          <w:szCs w:val="22"/>
        </w:rPr>
        <w:t>。</w:t>
      </w:r>
    </w:p>
    <w:p w14:paraId="09435F98">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承包人未按时移交工程的，违约金的计算方法为：</w:t>
      </w:r>
      <w:r>
        <w:rPr>
          <w:rFonts w:hint="eastAsia" w:ascii="宋体" w:hAnsi="宋体" w:cs="宋体"/>
          <w:sz w:val="22"/>
          <w:szCs w:val="22"/>
          <w:u w:val="single"/>
        </w:rPr>
        <w:t>每延误1日承担5000元的违约金</w:t>
      </w:r>
      <w:r>
        <w:rPr>
          <w:rFonts w:hint="eastAsia" w:ascii="宋体" w:hAnsi="宋体" w:cs="宋体"/>
          <w:sz w:val="22"/>
          <w:szCs w:val="22"/>
        </w:rPr>
        <w:t>。</w:t>
      </w:r>
    </w:p>
    <w:p w14:paraId="1511A790">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13.3 工程试车</w:t>
      </w:r>
    </w:p>
    <w:p w14:paraId="5C411732">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13.3.1 试车程序</w:t>
      </w:r>
    </w:p>
    <w:p w14:paraId="67904056">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工程试车内容：</w:t>
      </w:r>
      <w:r>
        <w:rPr>
          <w:rFonts w:hint="eastAsia" w:ascii="宋体" w:hAnsi="宋体" w:cs="宋体"/>
          <w:sz w:val="22"/>
          <w:szCs w:val="22"/>
          <w:u w:val="single"/>
        </w:rPr>
        <w:t>按通用合同条款执行；发包人根据工程建设内容确定</w:t>
      </w:r>
      <w:r>
        <w:rPr>
          <w:rFonts w:hint="eastAsia" w:ascii="宋体" w:hAnsi="宋体" w:cs="宋体"/>
          <w:sz w:val="22"/>
          <w:szCs w:val="22"/>
        </w:rPr>
        <w:t>。</w:t>
      </w:r>
    </w:p>
    <w:p w14:paraId="46739ADD">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（1）单机无负荷试车费用由</w:t>
      </w:r>
      <w:r>
        <w:rPr>
          <w:rFonts w:hint="eastAsia" w:ascii="宋体" w:hAnsi="宋体" w:cs="宋体"/>
          <w:sz w:val="22"/>
          <w:szCs w:val="22"/>
          <w:u w:val="single"/>
        </w:rPr>
        <w:t>承包人</w:t>
      </w:r>
      <w:r>
        <w:rPr>
          <w:rFonts w:hint="eastAsia" w:ascii="宋体" w:hAnsi="宋体" w:cs="宋体"/>
          <w:sz w:val="22"/>
          <w:szCs w:val="22"/>
        </w:rPr>
        <w:t>承担；</w:t>
      </w:r>
    </w:p>
    <w:p w14:paraId="5DCB52F9">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（2）无负荷联动试车费用由</w:t>
      </w:r>
      <w:r>
        <w:rPr>
          <w:rFonts w:hint="eastAsia" w:ascii="宋体" w:hAnsi="宋体" w:cs="宋体"/>
          <w:sz w:val="22"/>
          <w:szCs w:val="22"/>
          <w:u w:val="single"/>
        </w:rPr>
        <w:t>承包人</w:t>
      </w:r>
      <w:r>
        <w:rPr>
          <w:rFonts w:hint="eastAsia" w:ascii="宋体" w:hAnsi="宋体" w:cs="宋体"/>
          <w:sz w:val="22"/>
          <w:szCs w:val="22"/>
        </w:rPr>
        <w:t>承担。</w:t>
      </w:r>
    </w:p>
    <w:p w14:paraId="09FBC719">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13.3.3 投料试车</w:t>
      </w:r>
    </w:p>
    <w:p w14:paraId="05A08A6B">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关于投料试车相关事项的约定：</w:t>
      </w:r>
      <w:r>
        <w:rPr>
          <w:rFonts w:hint="eastAsia" w:ascii="宋体" w:hAnsi="宋体" w:cs="宋体"/>
          <w:sz w:val="22"/>
          <w:szCs w:val="22"/>
          <w:u w:val="single"/>
        </w:rPr>
        <w:t>投料试车、整改相关费用由承包人承担</w:t>
      </w:r>
      <w:r>
        <w:rPr>
          <w:rFonts w:hint="eastAsia" w:ascii="宋体" w:hAnsi="宋体" w:cs="宋体"/>
          <w:sz w:val="22"/>
          <w:szCs w:val="22"/>
        </w:rPr>
        <w:t>。</w:t>
      </w:r>
    </w:p>
    <w:p w14:paraId="3A0BD920">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13.6 竣工退场</w:t>
      </w:r>
    </w:p>
    <w:p w14:paraId="08EAD11B">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13.6.1 竣工退场</w:t>
      </w:r>
    </w:p>
    <w:p w14:paraId="545512D1">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承包人完成竣工退场的期限：</w:t>
      </w:r>
      <w:r>
        <w:rPr>
          <w:rFonts w:hint="eastAsia" w:ascii="宋体" w:hAnsi="宋体" w:cs="宋体"/>
          <w:sz w:val="22"/>
          <w:szCs w:val="22"/>
          <w:u w:val="single"/>
        </w:rPr>
        <w:t>工程完工通过验收合格，接发包人退场通知后7日内</w:t>
      </w:r>
      <w:r>
        <w:rPr>
          <w:rFonts w:hint="eastAsia" w:ascii="宋体" w:hAnsi="宋体" w:cs="宋体"/>
          <w:sz w:val="22"/>
          <w:szCs w:val="22"/>
        </w:rPr>
        <w:t>。</w:t>
      </w:r>
    </w:p>
    <w:p w14:paraId="7FB92F5A">
      <w:pPr>
        <w:pStyle w:val="478"/>
        <w:spacing w:line="400" w:lineRule="exact"/>
        <w:ind w:left="-420" w:right="-420" w:firstLine="440"/>
        <w:rPr>
          <w:rFonts w:hint="eastAsia" w:ascii="宋体" w:hAnsi="宋体" w:cs="宋体"/>
          <w:sz w:val="22"/>
          <w:szCs w:val="22"/>
        </w:rPr>
      </w:pPr>
      <w:bookmarkStart w:id="438" w:name="_Toc19156"/>
      <w:r>
        <w:rPr>
          <w:rFonts w:hint="eastAsia" w:ascii="宋体" w:hAnsi="宋体" w:cs="宋体"/>
          <w:sz w:val="22"/>
          <w:szCs w:val="22"/>
        </w:rPr>
        <w:t>14. 竣工结算</w:t>
      </w:r>
      <w:bookmarkEnd w:id="438"/>
    </w:p>
    <w:p w14:paraId="44DC9F1D">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14.1 竣工结算申请</w:t>
      </w:r>
    </w:p>
    <w:p w14:paraId="1A95A66A">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承包人提交竣工结算申请单的期限：</w:t>
      </w:r>
      <w:r>
        <w:rPr>
          <w:rFonts w:hint="eastAsia" w:ascii="宋体" w:hAnsi="宋体" w:cs="宋体"/>
          <w:sz w:val="22"/>
          <w:szCs w:val="22"/>
          <w:u w:val="single"/>
        </w:rPr>
        <w:t>按通用合同条款执行</w:t>
      </w:r>
      <w:r>
        <w:rPr>
          <w:rFonts w:hint="eastAsia" w:ascii="宋体" w:hAnsi="宋体" w:cs="宋体"/>
          <w:sz w:val="22"/>
          <w:szCs w:val="22"/>
        </w:rPr>
        <w:t>。</w:t>
      </w:r>
    </w:p>
    <w:p w14:paraId="44B7887D">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竣工结算申请单应包括的内容：</w:t>
      </w:r>
      <w:r>
        <w:rPr>
          <w:rFonts w:hint="eastAsia" w:ascii="宋体" w:hAnsi="宋体" w:cs="宋体"/>
          <w:sz w:val="22"/>
          <w:szCs w:val="22"/>
          <w:u w:val="single"/>
        </w:rPr>
        <w:t>按通用合同条款执行</w:t>
      </w:r>
      <w:r>
        <w:rPr>
          <w:rFonts w:hint="eastAsia" w:ascii="宋体" w:hAnsi="宋体" w:cs="宋体"/>
          <w:sz w:val="22"/>
          <w:szCs w:val="22"/>
        </w:rPr>
        <w:t>。</w:t>
      </w:r>
    </w:p>
    <w:p w14:paraId="4AC9B701">
      <w:pPr>
        <w:pStyle w:val="478"/>
        <w:spacing w:line="400" w:lineRule="exact"/>
        <w:ind w:left="-420" w:right="-420" w:firstLine="440"/>
        <w:rPr>
          <w:rFonts w:hint="eastAsia" w:ascii="宋体" w:hAnsi="宋体" w:cs="宋体"/>
          <w:sz w:val="22"/>
          <w:szCs w:val="22"/>
        </w:rPr>
      </w:pPr>
      <w:bookmarkStart w:id="439" w:name="_Toc24521"/>
      <w:r>
        <w:rPr>
          <w:rFonts w:hint="eastAsia" w:ascii="宋体" w:hAnsi="宋体" w:cs="宋体"/>
          <w:sz w:val="22"/>
          <w:szCs w:val="22"/>
        </w:rPr>
        <w:t>14.2 竣工结算审核</w:t>
      </w:r>
      <w:bookmarkEnd w:id="439"/>
    </w:p>
    <w:p w14:paraId="66FBCE89">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发包人审批竣工付款申请单的期限：</w:t>
      </w:r>
      <w:r>
        <w:rPr>
          <w:rFonts w:hint="eastAsia" w:ascii="宋体" w:hAnsi="宋体" w:cs="宋体"/>
          <w:sz w:val="22"/>
          <w:szCs w:val="22"/>
          <w:u w:val="single"/>
        </w:rPr>
        <w:t>按通用合同条款执行</w:t>
      </w:r>
      <w:r>
        <w:rPr>
          <w:rFonts w:hint="eastAsia" w:ascii="宋体" w:hAnsi="宋体" w:cs="宋体"/>
          <w:sz w:val="22"/>
          <w:szCs w:val="22"/>
        </w:rPr>
        <w:t>。</w:t>
      </w:r>
    </w:p>
    <w:p w14:paraId="390EFC1F">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发包人完成竣工付款的期限：</w:t>
      </w:r>
      <w:r>
        <w:rPr>
          <w:rFonts w:hint="eastAsia" w:ascii="宋体" w:hAnsi="宋体" w:cs="宋体"/>
          <w:sz w:val="22"/>
          <w:szCs w:val="22"/>
          <w:u w:val="single"/>
        </w:rPr>
        <w:t>按12.4.1款执行；工程所在地财政部门进度款资金审批后30天内；本合同履行过程中涉及到承包人违约、被处罚等情况的，承包人应按照合同条款及时缴纳违约金、处罚金等；未及时、足额缴纳违约金、处罚金的，发包人有权暂停支付节点工程款（或在节点工程款中直接扣除）</w:t>
      </w:r>
      <w:r>
        <w:rPr>
          <w:rFonts w:hint="eastAsia" w:ascii="宋体" w:hAnsi="宋体" w:cs="宋体"/>
          <w:sz w:val="22"/>
          <w:szCs w:val="22"/>
        </w:rPr>
        <w:t>。</w:t>
      </w:r>
    </w:p>
    <w:p w14:paraId="1FB9CFF9">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关于竣工付款证书异议部分复核的方式和程序：</w:t>
      </w:r>
      <w:r>
        <w:rPr>
          <w:rFonts w:hint="eastAsia" w:ascii="宋体" w:hAnsi="宋体" w:cs="宋体"/>
          <w:sz w:val="22"/>
          <w:szCs w:val="22"/>
          <w:u w:val="single"/>
        </w:rPr>
        <w:t>按通用合同条款执行</w:t>
      </w:r>
      <w:r>
        <w:rPr>
          <w:rFonts w:hint="eastAsia" w:ascii="宋体" w:hAnsi="宋体" w:cs="宋体"/>
          <w:sz w:val="22"/>
          <w:szCs w:val="22"/>
        </w:rPr>
        <w:t>。</w:t>
      </w:r>
    </w:p>
    <w:p w14:paraId="6BEB86F2">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14.4 最终结清</w:t>
      </w:r>
    </w:p>
    <w:p w14:paraId="252B1871">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14.4.1 最终结清申请单</w:t>
      </w:r>
    </w:p>
    <w:p w14:paraId="29866DE5">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承包人提交最终结清申请单的份数：</w:t>
      </w:r>
      <w:r>
        <w:rPr>
          <w:rFonts w:hint="eastAsia" w:ascii="宋体" w:hAnsi="宋体" w:cs="宋体"/>
          <w:sz w:val="22"/>
          <w:szCs w:val="22"/>
          <w:u w:val="single"/>
        </w:rPr>
        <w:t>3份</w:t>
      </w:r>
      <w:r>
        <w:rPr>
          <w:rFonts w:hint="eastAsia" w:ascii="宋体" w:hAnsi="宋体" w:cs="宋体"/>
          <w:sz w:val="22"/>
          <w:szCs w:val="22"/>
        </w:rPr>
        <w:t>。</w:t>
      </w:r>
    </w:p>
    <w:p w14:paraId="35DEE49F">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承包人提交最终结算申请单的期限：</w:t>
      </w:r>
      <w:r>
        <w:rPr>
          <w:rFonts w:hint="eastAsia" w:ascii="宋体" w:hAnsi="宋体" w:cs="宋体"/>
          <w:sz w:val="22"/>
          <w:szCs w:val="22"/>
          <w:u w:val="single"/>
        </w:rPr>
        <w:t>按通用合同条款执行</w:t>
      </w:r>
      <w:r>
        <w:rPr>
          <w:rFonts w:hint="eastAsia" w:ascii="宋体" w:hAnsi="宋体" w:cs="宋体"/>
          <w:sz w:val="22"/>
          <w:szCs w:val="22"/>
        </w:rPr>
        <w:t xml:space="preserve">。 </w:t>
      </w:r>
    </w:p>
    <w:p w14:paraId="72950A51">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14.4.2 最终结清证书和支付</w:t>
      </w:r>
    </w:p>
    <w:p w14:paraId="7E6C6DFF">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（1）发包人完成最终结清申请单的审批并颁发最终结清证书的期限：</w:t>
      </w:r>
      <w:r>
        <w:rPr>
          <w:rFonts w:hint="eastAsia" w:ascii="宋体" w:hAnsi="宋体" w:cs="宋体"/>
          <w:sz w:val="22"/>
          <w:szCs w:val="22"/>
          <w:u w:val="single"/>
        </w:rPr>
        <w:t>按通用合同条款执行</w:t>
      </w:r>
      <w:r>
        <w:rPr>
          <w:rFonts w:hint="eastAsia" w:ascii="宋体" w:hAnsi="宋体" w:cs="宋体"/>
          <w:sz w:val="22"/>
          <w:szCs w:val="22"/>
        </w:rPr>
        <w:t>。</w:t>
      </w:r>
    </w:p>
    <w:p w14:paraId="308AE250">
      <w:pPr>
        <w:pStyle w:val="481"/>
        <w:spacing w:line="400" w:lineRule="exact"/>
        <w:ind w:left="-420" w:right="-420" w:firstLine="440"/>
        <w:rPr>
          <w:rFonts w:hint="eastAsia" w:ascii="宋体" w:hAnsi="宋体" w:cs="宋体"/>
          <w:sz w:val="22"/>
        </w:rPr>
      </w:pPr>
      <w:r>
        <w:rPr>
          <w:rFonts w:hint="eastAsia" w:ascii="宋体" w:hAnsi="宋体" w:cs="宋体"/>
          <w:sz w:val="22"/>
        </w:rPr>
        <w:t>（2）发包人完成支付的期限：</w:t>
      </w:r>
      <w:r>
        <w:rPr>
          <w:rFonts w:hint="eastAsia" w:ascii="宋体" w:hAnsi="宋体" w:cs="宋体"/>
          <w:sz w:val="22"/>
          <w:u w:val="single"/>
        </w:rPr>
        <w:t>按12.4.1款执行；工程所在地财政部门进度款资金审批后30天内；本合同履行过程中涉及到承包人违约、被处罚等情况的，承包人应按照合同条款及时缴纳违约金、处罚金等；未及时、足额缴纳违约金、处罚金的，发包人有权暂停支付节点工程款（或在节点工程款中直接扣除）</w:t>
      </w:r>
      <w:r>
        <w:rPr>
          <w:rFonts w:hint="eastAsia" w:ascii="宋体" w:hAnsi="宋体" w:cs="宋体"/>
          <w:sz w:val="22"/>
        </w:rPr>
        <w:t>。</w:t>
      </w:r>
    </w:p>
    <w:p w14:paraId="4EF78633">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15. 缺陷责任期与保修</w:t>
      </w:r>
    </w:p>
    <w:p w14:paraId="7925A894">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15.2缺陷责任期</w:t>
      </w:r>
    </w:p>
    <w:p w14:paraId="6DBA50BD">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缺陷责任期的具体期限：</w:t>
      </w:r>
      <w:r>
        <w:rPr>
          <w:rFonts w:hint="eastAsia" w:ascii="宋体" w:hAnsi="宋体" w:cs="宋体"/>
          <w:sz w:val="22"/>
          <w:szCs w:val="22"/>
          <w:u w:val="single"/>
        </w:rPr>
        <w:t>自竣工验收合格之日起24个月</w:t>
      </w:r>
      <w:r>
        <w:rPr>
          <w:rFonts w:hint="eastAsia" w:ascii="宋体" w:hAnsi="宋体" w:cs="宋体"/>
          <w:sz w:val="22"/>
          <w:szCs w:val="22"/>
        </w:rPr>
        <w:t>。</w:t>
      </w:r>
    </w:p>
    <w:p w14:paraId="462302E6">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 xml:space="preserve">15.3 </w:t>
      </w:r>
      <w:r>
        <w:rPr>
          <w:rFonts w:hint="eastAsia" w:ascii="宋体" w:hAnsi="宋体" w:cs="宋体"/>
          <w:sz w:val="22"/>
          <w:szCs w:val="22"/>
          <w:lang w:val="en-US" w:eastAsia="zh-CN"/>
        </w:rPr>
        <w:t>项目余款</w:t>
      </w:r>
    </w:p>
    <w:p w14:paraId="6EA954DE">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在工程项目竣工前，承包人按专用合同条款第3.7条提供履约担保的。</w:t>
      </w:r>
    </w:p>
    <w:p w14:paraId="1245FA81">
      <w:pPr>
        <w:pStyle w:val="478"/>
        <w:spacing w:line="400" w:lineRule="exact"/>
        <w:ind w:left="-420" w:right="-420" w:firstLine="440"/>
        <w:rPr>
          <w:rFonts w:hint="eastAsia" w:ascii="宋体" w:hAnsi="宋体" w:cs="宋体"/>
          <w:sz w:val="22"/>
          <w:szCs w:val="22"/>
        </w:rPr>
      </w:pPr>
      <w:bookmarkStart w:id="440" w:name="_Toc13346"/>
      <w:r>
        <w:rPr>
          <w:rFonts w:hint="eastAsia" w:ascii="宋体" w:hAnsi="宋体" w:cs="宋体"/>
          <w:sz w:val="22"/>
          <w:szCs w:val="22"/>
        </w:rPr>
        <w:t>15.3.1 承包人提供</w:t>
      </w:r>
      <w:r>
        <w:rPr>
          <w:rFonts w:hint="eastAsia" w:ascii="宋体" w:hAnsi="宋体" w:cs="宋体"/>
          <w:sz w:val="22"/>
          <w:szCs w:val="22"/>
          <w:lang w:val="en-US" w:eastAsia="zh-CN"/>
        </w:rPr>
        <w:t>项目余款</w:t>
      </w:r>
      <w:r>
        <w:rPr>
          <w:rFonts w:hint="eastAsia" w:ascii="宋体" w:hAnsi="宋体" w:cs="宋体"/>
          <w:sz w:val="22"/>
          <w:szCs w:val="22"/>
        </w:rPr>
        <w:t>的方式</w:t>
      </w:r>
      <w:bookmarkEnd w:id="440"/>
      <w:r>
        <w:rPr>
          <w:rFonts w:hint="eastAsia" w:ascii="宋体" w:hAnsi="宋体" w:cs="宋体"/>
          <w:sz w:val="22"/>
          <w:szCs w:val="22"/>
        </w:rPr>
        <w:t>：</w:t>
      </w:r>
      <w:r>
        <w:rPr>
          <w:rFonts w:hint="eastAsia" w:ascii="宋体" w:hAnsi="宋体" w:cs="宋体"/>
          <w:sz w:val="22"/>
          <w:szCs w:val="22"/>
          <w:u w:val="single"/>
        </w:rPr>
        <w:t>审计决算价款的3%</w:t>
      </w:r>
      <w:r>
        <w:rPr>
          <w:rFonts w:hint="eastAsia" w:ascii="宋体" w:hAnsi="宋体" w:cs="宋体"/>
          <w:sz w:val="22"/>
          <w:szCs w:val="22"/>
        </w:rPr>
        <w:t>。</w:t>
      </w:r>
    </w:p>
    <w:p w14:paraId="64BCE5F4">
      <w:pPr>
        <w:pStyle w:val="478"/>
        <w:spacing w:line="400" w:lineRule="exact"/>
        <w:ind w:left="-420" w:right="-420" w:firstLine="440"/>
        <w:rPr>
          <w:rFonts w:hint="eastAsia" w:ascii="宋体" w:hAnsi="宋体" w:cs="宋体"/>
          <w:sz w:val="22"/>
          <w:szCs w:val="22"/>
        </w:rPr>
      </w:pPr>
      <w:bookmarkStart w:id="441" w:name="_Toc22248"/>
      <w:r>
        <w:rPr>
          <w:rFonts w:hint="eastAsia" w:ascii="宋体" w:hAnsi="宋体" w:cs="宋体"/>
          <w:sz w:val="22"/>
          <w:szCs w:val="22"/>
        </w:rPr>
        <w:t xml:space="preserve">15.3.2 </w:t>
      </w:r>
      <w:r>
        <w:rPr>
          <w:rFonts w:hint="eastAsia" w:ascii="宋体" w:hAnsi="宋体" w:cs="宋体"/>
          <w:sz w:val="22"/>
          <w:szCs w:val="22"/>
          <w:lang w:val="en-US" w:eastAsia="zh-CN"/>
        </w:rPr>
        <w:t>项目余款</w:t>
      </w:r>
      <w:r>
        <w:rPr>
          <w:rFonts w:hint="eastAsia" w:ascii="宋体" w:hAnsi="宋体" w:cs="宋体"/>
          <w:sz w:val="22"/>
          <w:szCs w:val="22"/>
        </w:rPr>
        <w:t>的扣留</w:t>
      </w:r>
      <w:bookmarkEnd w:id="441"/>
      <w:r>
        <w:rPr>
          <w:rFonts w:hint="eastAsia" w:ascii="宋体" w:hAnsi="宋体" w:cs="宋体"/>
          <w:sz w:val="22"/>
          <w:szCs w:val="22"/>
        </w:rPr>
        <w:t>：</w:t>
      </w:r>
      <w:bookmarkStart w:id="442" w:name="_Toc1316"/>
      <w:r>
        <w:rPr>
          <w:rFonts w:hint="eastAsia" w:ascii="宋体" w:hAnsi="宋体" w:cs="宋体"/>
          <w:sz w:val="22"/>
          <w:szCs w:val="22"/>
          <w:u w:val="single"/>
        </w:rPr>
        <w:t>工程竣工结算时一次性扣留</w:t>
      </w:r>
      <w:bookmarkEnd w:id="442"/>
      <w:r>
        <w:rPr>
          <w:rFonts w:hint="eastAsia" w:ascii="宋体" w:hAnsi="宋体" w:cs="宋体"/>
          <w:sz w:val="22"/>
          <w:szCs w:val="22"/>
          <w:u w:val="single"/>
          <w:lang w:val="en-US" w:eastAsia="zh-CN"/>
        </w:rPr>
        <w:t>项目余款（采购人根据实际情况予以扣除）</w:t>
      </w:r>
      <w:r>
        <w:rPr>
          <w:rFonts w:hint="eastAsia" w:ascii="宋体" w:hAnsi="宋体" w:cs="宋体"/>
          <w:sz w:val="22"/>
          <w:szCs w:val="22"/>
        </w:rPr>
        <w:t>。</w:t>
      </w:r>
    </w:p>
    <w:p w14:paraId="048CA68D">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关于</w:t>
      </w:r>
      <w:r>
        <w:rPr>
          <w:rFonts w:hint="eastAsia" w:ascii="宋体" w:hAnsi="宋体" w:cs="宋体"/>
          <w:sz w:val="22"/>
          <w:szCs w:val="22"/>
          <w:lang w:val="en-US" w:eastAsia="zh-CN"/>
        </w:rPr>
        <w:t>项目余款</w:t>
      </w:r>
      <w:r>
        <w:rPr>
          <w:rFonts w:hint="eastAsia" w:ascii="宋体" w:hAnsi="宋体" w:cs="宋体"/>
          <w:sz w:val="22"/>
          <w:szCs w:val="22"/>
        </w:rPr>
        <w:t>的补充约定：</w:t>
      </w:r>
      <w:r>
        <w:rPr>
          <w:rFonts w:hint="eastAsia" w:ascii="宋体" w:hAnsi="宋体" w:cs="宋体"/>
          <w:sz w:val="22"/>
          <w:szCs w:val="22"/>
          <w:u w:val="single"/>
          <w:lang w:val="en-US" w:eastAsia="zh-CN"/>
        </w:rPr>
        <w:t>项目余款</w:t>
      </w:r>
      <w:r>
        <w:rPr>
          <w:rFonts w:hint="eastAsia" w:ascii="宋体" w:hAnsi="宋体" w:cs="宋体"/>
          <w:sz w:val="22"/>
          <w:szCs w:val="22"/>
          <w:u w:val="single"/>
        </w:rPr>
        <w:t>在</w:t>
      </w:r>
      <w:r>
        <w:rPr>
          <w:rFonts w:hint="eastAsia" w:ascii="宋体" w:hAnsi="宋体" w:cs="宋体"/>
          <w:sz w:val="22"/>
          <w:szCs w:val="22"/>
          <w:u w:val="single"/>
          <w:lang w:val="en-US" w:eastAsia="zh-CN"/>
        </w:rPr>
        <w:t>项目竣工验收合格满两年后</w:t>
      </w:r>
      <w:r>
        <w:rPr>
          <w:rFonts w:hint="eastAsia" w:ascii="宋体" w:hAnsi="宋体" w:cs="宋体"/>
          <w:sz w:val="22"/>
          <w:szCs w:val="22"/>
          <w:u w:val="single"/>
        </w:rPr>
        <w:t>退还（无息）</w:t>
      </w:r>
      <w:r>
        <w:rPr>
          <w:rFonts w:hint="eastAsia" w:ascii="宋体" w:hAnsi="宋体" w:cs="宋体"/>
          <w:sz w:val="22"/>
          <w:szCs w:val="22"/>
        </w:rPr>
        <w:t>。</w:t>
      </w:r>
    </w:p>
    <w:p w14:paraId="5BB2D706">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15.4保修</w:t>
      </w:r>
    </w:p>
    <w:p w14:paraId="7B7CA777">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15.4.1 保修责任</w:t>
      </w:r>
    </w:p>
    <w:p w14:paraId="23DE33E4">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工程保修期为：</w:t>
      </w:r>
      <w:r>
        <w:rPr>
          <w:rFonts w:hint="eastAsia" w:ascii="宋体" w:hAnsi="宋体" w:cs="宋体"/>
          <w:sz w:val="22"/>
          <w:szCs w:val="22"/>
          <w:u w:val="single"/>
        </w:rPr>
        <w:t>自竣工验收合格之日起24个月</w:t>
      </w:r>
      <w:r>
        <w:rPr>
          <w:rFonts w:hint="eastAsia" w:ascii="宋体" w:hAnsi="宋体" w:cs="宋体"/>
          <w:sz w:val="22"/>
          <w:szCs w:val="22"/>
        </w:rPr>
        <w:t>。</w:t>
      </w:r>
    </w:p>
    <w:p w14:paraId="6FE2AFEA">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15.4.3 修复通知</w:t>
      </w:r>
    </w:p>
    <w:p w14:paraId="3598CFF8">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承包人收到保修通知并到达工程现场的合理时间：</w:t>
      </w:r>
      <w:r>
        <w:rPr>
          <w:rFonts w:hint="eastAsia" w:ascii="宋体" w:hAnsi="宋体" w:cs="宋体"/>
          <w:sz w:val="22"/>
          <w:szCs w:val="22"/>
          <w:u w:val="single"/>
        </w:rPr>
        <w:t>24小时内，最长不得超过48小时</w:t>
      </w:r>
      <w:r>
        <w:rPr>
          <w:rFonts w:hint="eastAsia" w:ascii="宋体" w:hAnsi="宋体" w:cs="宋体"/>
          <w:sz w:val="22"/>
          <w:szCs w:val="22"/>
        </w:rPr>
        <w:t>。</w:t>
      </w:r>
    </w:p>
    <w:p w14:paraId="6434A5A5">
      <w:pPr>
        <w:pStyle w:val="478"/>
        <w:spacing w:line="400" w:lineRule="exact"/>
        <w:ind w:left="-420" w:right="-420" w:firstLine="440"/>
        <w:rPr>
          <w:rFonts w:hint="eastAsia" w:ascii="宋体" w:hAnsi="宋体" w:cs="宋体"/>
          <w:sz w:val="22"/>
          <w:szCs w:val="22"/>
        </w:rPr>
      </w:pPr>
      <w:bookmarkStart w:id="443" w:name="_Toc3579"/>
      <w:r>
        <w:rPr>
          <w:rFonts w:hint="eastAsia" w:ascii="宋体" w:hAnsi="宋体" w:cs="宋体"/>
          <w:sz w:val="22"/>
          <w:szCs w:val="22"/>
        </w:rPr>
        <w:t>16. 违约</w:t>
      </w:r>
      <w:bookmarkEnd w:id="443"/>
    </w:p>
    <w:p w14:paraId="70C6732B">
      <w:pPr>
        <w:pStyle w:val="478"/>
        <w:spacing w:line="400" w:lineRule="exact"/>
        <w:ind w:left="-420" w:right="-420" w:firstLine="440"/>
        <w:rPr>
          <w:rFonts w:hint="eastAsia" w:ascii="宋体" w:hAnsi="宋体" w:cs="宋体"/>
          <w:sz w:val="22"/>
          <w:szCs w:val="22"/>
        </w:rPr>
      </w:pPr>
      <w:bookmarkStart w:id="444" w:name="_Toc29507"/>
      <w:r>
        <w:rPr>
          <w:rFonts w:hint="eastAsia" w:ascii="宋体" w:hAnsi="宋体" w:cs="宋体"/>
          <w:sz w:val="22"/>
          <w:szCs w:val="22"/>
        </w:rPr>
        <w:t>16.1 发包人违约</w:t>
      </w:r>
      <w:bookmarkEnd w:id="444"/>
    </w:p>
    <w:p w14:paraId="32E91FD2">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16.1.1发包人违约的情形</w:t>
      </w:r>
    </w:p>
    <w:p w14:paraId="5AE44A9D">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发包人违约的其他情形：</w:t>
      </w:r>
      <w:r>
        <w:rPr>
          <w:rFonts w:hint="eastAsia" w:ascii="宋体" w:hAnsi="宋体" w:cs="宋体"/>
          <w:sz w:val="22"/>
          <w:szCs w:val="22"/>
          <w:u w:val="single"/>
        </w:rPr>
        <w:t>无</w:t>
      </w:r>
      <w:r>
        <w:rPr>
          <w:rFonts w:hint="eastAsia" w:ascii="宋体" w:hAnsi="宋体" w:cs="宋体"/>
          <w:sz w:val="22"/>
          <w:szCs w:val="22"/>
        </w:rPr>
        <w:t>。</w:t>
      </w:r>
    </w:p>
    <w:p w14:paraId="781B71A9">
      <w:pPr>
        <w:pStyle w:val="478"/>
        <w:spacing w:line="400" w:lineRule="exact"/>
        <w:ind w:right="-420"/>
        <w:rPr>
          <w:rFonts w:hint="eastAsia" w:ascii="宋体" w:hAnsi="宋体" w:cs="宋体"/>
          <w:sz w:val="22"/>
          <w:szCs w:val="22"/>
        </w:rPr>
      </w:pPr>
      <w:r>
        <w:rPr>
          <w:rFonts w:hint="eastAsia" w:ascii="宋体" w:hAnsi="宋体" w:cs="宋体"/>
          <w:sz w:val="22"/>
          <w:szCs w:val="22"/>
        </w:rPr>
        <w:t>16.1.2 发包人违约的责任</w:t>
      </w:r>
    </w:p>
    <w:p w14:paraId="673EF8A8">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发包人违约责任的承担方式和计算方法：</w:t>
      </w:r>
    </w:p>
    <w:p w14:paraId="5BE3E8E7">
      <w:pPr>
        <w:pStyle w:val="478"/>
        <w:numPr>
          <w:ilvl w:val="0"/>
          <w:numId w:val="10"/>
        </w:numPr>
        <w:spacing w:line="400" w:lineRule="exact"/>
        <w:ind w:left="-420" w:right="-420" w:firstLine="440"/>
        <w:rPr>
          <w:rFonts w:hint="eastAsia" w:ascii="宋体" w:hAnsi="宋体" w:cs="宋体"/>
          <w:sz w:val="22"/>
          <w:szCs w:val="22"/>
        </w:rPr>
      </w:pPr>
      <w:r>
        <w:rPr>
          <w:rFonts w:hint="eastAsia" w:ascii="宋体" w:hAnsi="宋体" w:cs="宋体"/>
          <w:sz w:val="22"/>
          <w:szCs w:val="22"/>
          <w:u w:val="single"/>
        </w:rPr>
        <w:t>因发包人原因未能在计划开工日期前7天内下达开工通知的违约责任：无；（2）因发包人原因未能按合同约定支付合同价款的违约责任：无；（3）发包人违反第10.1款〔变更的范围〕第（2）项约定，自行实施被取消的工作或转由他人实施的违约责任：无；（4）发包人提供的材料、工程设备的规格、数量或质量不符合合同约定，或因发包人原因导致交货日期延误或交货地点变更等情况的违约责任：无；（5）因发包人违反合同约定造成暂停施工的违约责任：无；（6）发包人无正当理由没有在约定期限内发出复工指示，导致承包人无法复工的违约责任：无；（7）其他：无</w:t>
      </w:r>
      <w:r>
        <w:rPr>
          <w:rFonts w:hint="eastAsia" w:ascii="宋体" w:hAnsi="宋体" w:cs="宋体"/>
          <w:sz w:val="22"/>
          <w:szCs w:val="22"/>
        </w:rPr>
        <w:t>。</w:t>
      </w:r>
    </w:p>
    <w:p w14:paraId="6109CD39">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16.1.3 因发包人违约解除合同</w:t>
      </w:r>
    </w:p>
    <w:p w14:paraId="3352E943">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承包人按16.1.1项〔发包人违约的情形〕约定暂停施工满</w:t>
      </w:r>
      <w:r>
        <w:rPr>
          <w:rFonts w:hint="eastAsia" w:ascii="宋体" w:hAnsi="宋体" w:cs="宋体"/>
          <w:sz w:val="22"/>
          <w:szCs w:val="22"/>
          <w:u w:val="single"/>
        </w:rPr>
        <w:t xml:space="preserve"> / </w:t>
      </w:r>
      <w:r>
        <w:rPr>
          <w:rFonts w:hint="eastAsia" w:ascii="宋体" w:hAnsi="宋体" w:cs="宋体"/>
          <w:sz w:val="22"/>
          <w:szCs w:val="22"/>
        </w:rPr>
        <w:t>天后发包人仍不纠正其违约行为并致使合同目的不能实现的，承包人有权解除合同。</w:t>
      </w:r>
    </w:p>
    <w:p w14:paraId="054C9461">
      <w:pPr>
        <w:pStyle w:val="478"/>
        <w:spacing w:line="400" w:lineRule="exact"/>
        <w:ind w:left="-420" w:right="-420" w:firstLine="440"/>
        <w:rPr>
          <w:rFonts w:hint="eastAsia" w:ascii="宋体" w:hAnsi="宋体" w:cs="宋体"/>
          <w:sz w:val="22"/>
          <w:szCs w:val="22"/>
        </w:rPr>
      </w:pPr>
      <w:bookmarkStart w:id="445" w:name="_Toc21686"/>
      <w:r>
        <w:rPr>
          <w:rFonts w:hint="eastAsia" w:ascii="宋体" w:hAnsi="宋体" w:cs="宋体"/>
          <w:sz w:val="22"/>
          <w:szCs w:val="22"/>
        </w:rPr>
        <w:t>16.2 承包人违约</w:t>
      </w:r>
      <w:bookmarkEnd w:id="445"/>
    </w:p>
    <w:p w14:paraId="4BD5CA44">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16.2.1 承包人违约的情形</w:t>
      </w:r>
    </w:p>
    <w:p w14:paraId="7FDAAC4B">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承包人违约的其他情形：</w:t>
      </w:r>
      <w:r>
        <w:rPr>
          <w:rFonts w:hint="eastAsia" w:ascii="宋体" w:hAnsi="宋体" w:cs="宋体"/>
          <w:sz w:val="22"/>
          <w:szCs w:val="22"/>
          <w:u w:val="single"/>
        </w:rPr>
        <w:t>按专用合同中补充条款执行</w:t>
      </w:r>
      <w:r>
        <w:rPr>
          <w:rFonts w:hint="eastAsia" w:ascii="宋体" w:hAnsi="宋体" w:cs="宋体"/>
          <w:sz w:val="22"/>
          <w:szCs w:val="22"/>
        </w:rPr>
        <w:t>。</w:t>
      </w:r>
    </w:p>
    <w:p w14:paraId="6279F07E">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16.2.2承包人违约的责任</w:t>
      </w:r>
    </w:p>
    <w:p w14:paraId="2E770FFA">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承包人违约责任的承担方式和计算方法：</w:t>
      </w:r>
      <w:r>
        <w:rPr>
          <w:rFonts w:hint="eastAsia" w:ascii="宋体" w:hAnsi="宋体" w:cs="宋体"/>
          <w:sz w:val="22"/>
          <w:szCs w:val="22"/>
          <w:u w:val="single"/>
        </w:rPr>
        <w:t>经济处罚、索赔（不免除或减轻承包人应承担的违约责任）；按专用合同相关条款执行</w:t>
      </w:r>
      <w:r>
        <w:rPr>
          <w:rFonts w:hint="eastAsia" w:ascii="宋体" w:hAnsi="宋体" w:cs="宋体"/>
          <w:sz w:val="22"/>
          <w:szCs w:val="22"/>
        </w:rPr>
        <w:t>。</w:t>
      </w:r>
    </w:p>
    <w:p w14:paraId="0BF8AAEF">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16.2.3 因承包人违约解除合同</w:t>
      </w:r>
    </w:p>
    <w:p w14:paraId="64AD1FE0">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关于承包人违约解除合同的特别约定：</w:t>
      </w:r>
      <w:r>
        <w:rPr>
          <w:rFonts w:hint="eastAsia" w:ascii="宋体" w:hAnsi="宋体" w:cs="宋体"/>
          <w:sz w:val="22"/>
          <w:szCs w:val="22"/>
          <w:u w:val="single"/>
        </w:rPr>
        <w:t>（1）出现违约情况时，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发包人继续使用的行为不免除或减轻承包人应承担的违约责任。（2）承包人将其承包的全部工程转包给他人或者肢解以后以分包的名义分别转包给他人，发包人有权解除合同。（3）因人力不可抗力原因导致工程停建、缓建，使合同不能继续履行，发承双方可以签订工程停工、缓建协议，或终止本合同；其中属于停工、缓建的，发包人给予工期延期，但不承担延期导致的各种费用。（4）因承包人原因由承包人提出解除合同时，承包人应向发包人支付合同价款10%的违约金。因承包人违约导致发包人单方解除合同的，承包人也应向发包人支付合同价款10%的违约金，如果在合同解除前，承包人已经出现工期延误（包括各工程节点的延误），承包人应当另行支付工期延误的违约金。（5）因任何原因解除合同的，合同解除后，承包人均需妥善做好已完工程和已购材料、设备的保护和移交工作，并承担以上所发生的费用；已经订货的材料、设备由订货方负责退货或解除订货合同，不能退还的货款和因退货、解除订货合同发生的费用，由承包人承担。（6）合同解除后，由发包人选择第三方造价咨询公司对承包人已完成部分予以结算，承包人需认可其结算结果；发包人在核算已支付款项和扣除相关违约金、处罚金后结清款项，并出具最终结清付款证书。（7）对于发包人另行选择第三方施工单位进场，承包人应按照发包人的要求做好业务、资料等的交接工作</w:t>
      </w:r>
      <w:r>
        <w:rPr>
          <w:rFonts w:hint="eastAsia" w:ascii="宋体" w:hAnsi="宋体" w:cs="宋体"/>
          <w:sz w:val="22"/>
          <w:szCs w:val="22"/>
        </w:rPr>
        <w:t>。</w:t>
      </w:r>
    </w:p>
    <w:p w14:paraId="0C51E366">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发包人继续使用承包人在施工现场的材料、设备、临时工程、承包人文件和由承包人或以其名义编制的其他文件的费用承担方式：</w:t>
      </w:r>
      <w:r>
        <w:rPr>
          <w:rFonts w:hint="eastAsia" w:ascii="宋体" w:hAnsi="宋体" w:cs="宋体"/>
          <w:sz w:val="22"/>
          <w:szCs w:val="22"/>
          <w:u w:val="single"/>
        </w:rPr>
        <w:t>发承双方商定、确定</w:t>
      </w:r>
      <w:r>
        <w:rPr>
          <w:rFonts w:hint="eastAsia" w:ascii="宋体" w:hAnsi="宋体" w:cs="宋体"/>
          <w:sz w:val="22"/>
          <w:szCs w:val="22"/>
        </w:rPr>
        <w:t>。</w:t>
      </w:r>
    </w:p>
    <w:p w14:paraId="6652680A">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17. 不可抗力</w:t>
      </w:r>
    </w:p>
    <w:p w14:paraId="768A4E6E">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17.1 不可抗力的确认</w:t>
      </w:r>
    </w:p>
    <w:p w14:paraId="3C9C679E">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除通用合同条款约定的不可抗力事件之外，视为不可抗力的其他情形：</w:t>
      </w:r>
      <w:r>
        <w:rPr>
          <w:rFonts w:hint="eastAsia" w:ascii="宋体" w:hAnsi="宋体" w:cs="宋体"/>
          <w:sz w:val="22"/>
          <w:szCs w:val="22"/>
          <w:u w:val="single"/>
        </w:rPr>
        <w:t>根据实际情况，由发包人确定</w:t>
      </w:r>
      <w:r>
        <w:rPr>
          <w:rFonts w:hint="eastAsia" w:ascii="宋体" w:hAnsi="宋体" w:cs="宋体"/>
          <w:sz w:val="22"/>
          <w:szCs w:val="22"/>
        </w:rPr>
        <w:t>。</w:t>
      </w:r>
    </w:p>
    <w:p w14:paraId="476D791F">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17.4 因不可抗力解除合同</w:t>
      </w:r>
    </w:p>
    <w:p w14:paraId="1B5A280B">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合同解除后，发包人应在商定或确定发包人应支付款项后</w:t>
      </w:r>
      <w:r>
        <w:rPr>
          <w:rFonts w:hint="eastAsia" w:ascii="宋体" w:hAnsi="宋体" w:cs="宋体"/>
          <w:sz w:val="22"/>
          <w:szCs w:val="22"/>
          <w:u w:val="single"/>
        </w:rPr>
        <w:t>30</w:t>
      </w:r>
      <w:r>
        <w:rPr>
          <w:rFonts w:hint="eastAsia" w:ascii="宋体" w:hAnsi="宋体" w:cs="宋体"/>
          <w:sz w:val="22"/>
          <w:szCs w:val="22"/>
        </w:rPr>
        <w:t>天内完成款项的支付。</w:t>
      </w:r>
    </w:p>
    <w:p w14:paraId="70AAB5E1">
      <w:pPr>
        <w:pStyle w:val="478"/>
        <w:numPr>
          <w:ilvl w:val="0"/>
          <w:numId w:val="11"/>
        </w:numPr>
        <w:spacing w:line="400" w:lineRule="exact"/>
        <w:ind w:left="-420" w:right="-420" w:firstLine="440"/>
        <w:rPr>
          <w:rFonts w:hint="eastAsia" w:ascii="宋体" w:hAnsi="宋体" w:cs="宋体"/>
          <w:sz w:val="22"/>
          <w:szCs w:val="22"/>
        </w:rPr>
      </w:pPr>
      <w:r>
        <w:rPr>
          <w:rFonts w:hint="eastAsia" w:ascii="宋体" w:hAnsi="宋体" w:cs="宋体"/>
          <w:sz w:val="22"/>
          <w:szCs w:val="22"/>
        </w:rPr>
        <w:t>保险</w:t>
      </w:r>
    </w:p>
    <w:p w14:paraId="03F99973">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18.1 工程保险</w:t>
      </w:r>
    </w:p>
    <w:p w14:paraId="0F75B4F2">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关于工程保险的特别约定：承包人应投保建筑工程一切险或安装工程一切险并并承担费用。</w:t>
      </w:r>
    </w:p>
    <w:p w14:paraId="46F579D3">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18.2 工伤保险：</w:t>
      </w:r>
      <w:r>
        <w:rPr>
          <w:rFonts w:hint="eastAsia" w:ascii="宋体" w:hAnsi="宋体" w:cs="宋体"/>
          <w:sz w:val="22"/>
          <w:szCs w:val="22"/>
          <w:u w:val="single"/>
        </w:rPr>
        <w:t>发包人、承包人、监理人和为履行合同聘请的第三方等应依照法律规定要求参加工伤保险，费用由各方自行承担</w:t>
      </w:r>
      <w:r>
        <w:rPr>
          <w:rFonts w:hint="eastAsia" w:ascii="宋体" w:hAnsi="宋体" w:cs="宋体"/>
          <w:sz w:val="22"/>
          <w:szCs w:val="22"/>
        </w:rPr>
        <w:t>。</w:t>
      </w:r>
    </w:p>
    <w:p w14:paraId="4215A5CF">
      <w:pPr>
        <w:pStyle w:val="478"/>
        <w:spacing w:line="400" w:lineRule="exact"/>
        <w:ind w:left="-420" w:right="-420" w:firstLine="440"/>
        <w:rPr>
          <w:rFonts w:hint="eastAsia" w:ascii="宋体" w:hAnsi="宋体" w:cs="宋体"/>
          <w:sz w:val="22"/>
          <w:szCs w:val="22"/>
        </w:rPr>
      </w:pPr>
      <w:bookmarkStart w:id="446" w:name="_Toc9966"/>
      <w:r>
        <w:rPr>
          <w:rFonts w:hint="eastAsia" w:ascii="宋体" w:hAnsi="宋体" w:cs="宋体"/>
          <w:sz w:val="22"/>
          <w:szCs w:val="22"/>
        </w:rPr>
        <w:t>18.3 其他保险</w:t>
      </w:r>
      <w:bookmarkEnd w:id="446"/>
    </w:p>
    <w:p w14:paraId="429AAD4F">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关于其他保险的约定：</w:t>
      </w:r>
      <w:r>
        <w:rPr>
          <w:rFonts w:hint="eastAsia" w:ascii="宋体" w:hAnsi="宋体" w:cs="宋体"/>
          <w:sz w:val="22"/>
          <w:szCs w:val="22"/>
          <w:u w:val="single"/>
        </w:rPr>
        <w:t>承包人可以为其施工现场的全部人员办理意外伤害保险并支付保险费，包括其员工及为履行合同聘请的第三方的人员</w:t>
      </w:r>
      <w:r>
        <w:rPr>
          <w:rFonts w:hint="eastAsia" w:ascii="宋体" w:hAnsi="宋体" w:cs="宋体"/>
          <w:sz w:val="22"/>
          <w:szCs w:val="22"/>
        </w:rPr>
        <w:t>。</w:t>
      </w:r>
    </w:p>
    <w:p w14:paraId="1823F86E">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承包人是否应为其施工设备等办理财产保险：</w:t>
      </w:r>
      <w:r>
        <w:rPr>
          <w:rFonts w:hint="eastAsia" w:ascii="宋体" w:hAnsi="宋体" w:cs="宋体"/>
          <w:sz w:val="22"/>
          <w:szCs w:val="22"/>
          <w:u w:val="single"/>
        </w:rPr>
        <w:t>承包人负责办理现场各种施工设施、设备、材料等的保险，并支付相应费用</w:t>
      </w:r>
      <w:r>
        <w:rPr>
          <w:rFonts w:hint="eastAsia" w:ascii="宋体" w:hAnsi="宋体" w:cs="宋体"/>
          <w:sz w:val="22"/>
          <w:szCs w:val="22"/>
        </w:rPr>
        <w:t>。</w:t>
      </w:r>
    </w:p>
    <w:p w14:paraId="52F1558B">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18.7 通知义务</w:t>
      </w:r>
    </w:p>
    <w:p w14:paraId="35599A5B">
      <w:pPr>
        <w:pStyle w:val="478"/>
        <w:spacing w:line="400" w:lineRule="exact"/>
        <w:ind w:left="-420" w:right="-420" w:firstLine="440"/>
        <w:rPr>
          <w:rFonts w:hint="eastAsia" w:ascii="宋体" w:hAnsi="宋体" w:cs="宋体"/>
          <w:sz w:val="22"/>
          <w:szCs w:val="22"/>
          <w:u w:val="single"/>
        </w:rPr>
      </w:pPr>
      <w:r>
        <w:rPr>
          <w:rFonts w:hint="eastAsia" w:ascii="宋体" w:hAnsi="宋体" w:cs="宋体"/>
          <w:sz w:val="22"/>
          <w:szCs w:val="22"/>
        </w:rPr>
        <w:t>关于变更保险合同时的通知义务的约定：</w:t>
      </w:r>
      <w:r>
        <w:rPr>
          <w:rFonts w:hint="eastAsia" w:ascii="宋体" w:hAnsi="宋体" w:cs="宋体"/>
          <w:sz w:val="22"/>
          <w:szCs w:val="22"/>
          <w:u w:val="single"/>
        </w:rPr>
        <w:t>变更除工伤保险之外的保险合同时，应事先征得发包人同意，并通知监理人</w:t>
      </w:r>
      <w:r>
        <w:rPr>
          <w:rFonts w:hint="eastAsia" w:ascii="宋体" w:hAnsi="宋体" w:cs="宋体"/>
          <w:sz w:val="22"/>
          <w:szCs w:val="22"/>
        </w:rPr>
        <w:t>。</w:t>
      </w:r>
    </w:p>
    <w:p w14:paraId="473C9052">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20. 争议解决</w:t>
      </w:r>
    </w:p>
    <w:p w14:paraId="422E804E">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20.3 争议评审</w:t>
      </w:r>
    </w:p>
    <w:p w14:paraId="105AE206">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合同当事人是否同意将工程争议提交争议评审小组决定：</w:t>
      </w:r>
      <w:r>
        <w:rPr>
          <w:rFonts w:hint="eastAsia" w:ascii="宋体" w:hAnsi="宋体" w:cs="宋体"/>
          <w:sz w:val="22"/>
          <w:szCs w:val="22"/>
          <w:u w:val="single"/>
        </w:rPr>
        <w:t>发承双方根据具体事宜确定</w:t>
      </w:r>
      <w:r>
        <w:rPr>
          <w:rFonts w:hint="eastAsia" w:ascii="宋体" w:hAnsi="宋体" w:cs="宋体"/>
          <w:sz w:val="22"/>
          <w:szCs w:val="22"/>
        </w:rPr>
        <w:t xml:space="preserve">。  </w:t>
      </w:r>
    </w:p>
    <w:p w14:paraId="2AB4ADDB">
      <w:pPr>
        <w:pStyle w:val="478"/>
        <w:spacing w:line="400" w:lineRule="exact"/>
        <w:ind w:left="-420" w:right="-420" w:firstLine="440"/>
        <w:rPr>
          <w:rFonts w:hint="eastAsia" w:ascii="宋体" w:hAnsi="宋体" w:cs="宋体"/>
          <w:sz w:val="22"/>
          <w:szCs w:val="22"/>
        </w:rPr>
      </w:pPr>
      <w:bookmarkStart w:id="447" w:name="_Toc21891"/>
      <w:r>
        <w:rPr>
          <w:rFonts w:hint="eastAsia" w:ascii="宋体" w:hAnsi="宋体" w:cs="宋体"/>
          <w:sz w:val="22"/>
          <w:szCs w:val="22"/>
        </w:rPr>
        <w:t>20.3.1 争议评审小组的确定</w:t>
      </w:r>
      <w:bookmarkEnd w:id="447"/>
    </w:p>
    <w:p w14:paraId="3D54F010">
      <w:pPr>
        <w:pStyle w:val="478"/>
        <w:spacing w:line="400" w:lineRule="exact"/>
        <w:ind w:left="-420" w:right="-420" w:firstLine="440"/>
        <w:rPr>
          <w:rFonts w:hint="eastAsia" w:ascii="宋体" w:hAnsi="宋体" w:cs="宋体"/>
          <w:sz w:val="22"/>
          <w:szCs w:val="22"/>
          <w:u w:val="single"/>
        </w:rPr>
      </w:pPr>
      <w:r>
        <w:rPr>
          <w:rFonts w:hint="eastAsia" w:ascii="宋体" w:hAnsi="宋体" w:cs="宋体"/>
          <w:sz w:val="22"/>
          <w:szCs w:val="22"/>
        </w:rPr>
        <w:t>争议评审小组成员的确定：</w:t>
      </w:r>
      <w:r>
        <w:rPr>
          <w:rFonts w:hint="eastAsia" w:ascii="宋体" w:hAnsi="宋体" w:cs="宋体"/>
          <w:sz w:val="22"/>
          <w:szCs w:val="22"/>
          <w:u w:val="single"/>
        </w:rPr>
        <w:t>按通用合同条款执行</w:t>
      </w:r>
      <w:r>
        <w:rPr>
          <w:rFonts w:hint="eastAsia" w:ascii="宋体" w:hAnsi="宋体" w:cs="宋体"/>
          <w:sz w:val="22"/>
          <w:szCs w:val="22"/>
        </w:rPr>
        <w:t>。</w:t>
      </w:r>
    </w:p>
    <w:p w14:paraId="78FD1868">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选定争议评审员的期限：</w:t>
      </w:r>
      <w:r>
        <w:rPr>
          <w:rFonts w:hint="eastAsia" w:ascii="宋体" w:hAnsi="宋体" w:cs="宋体"/>
          <w:sz w:val="22"/>
          <w:szCs w:val="22"/>
          <w:u w:val="single"/>
        </w:rPr>
        <w:t>按通用合同条款执行</w:t>
      </w:r>
      <w:r>
        <w:rPr>
          <w:rFonts w:hint="eastAsia" w:ascii="宋体" w:hAnsi="宋体" w:cs="宋体"/>
          <w:sz w:val="22"/>
          <w:szCs w:val="22"/>
        </w:rPr>
        <w:t>。</w:t>
      </w:r>
    </w:p>
    <w:p w14:paraId="67FC09FC">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争议评审小组成员的报酬承担方式：</w:t>
      </w:r>
      <w:r>
        <w:rPr>
          <w:rFonts w:hint="eastAsia" w:ascii="宋体" w:hAnsi="宋体" w:cs="宋体"/>
          <w:sz w:val="22"/>
          <w:szCs w:val="22"/>
          <w:u w:val="single"/>
        </w:rPr>
        <w:t>由承包人承担</w:t>
      </w:r>
      <w:r>
        <w:rPr>
          <w:rFonts w:hint="eastAsia" w:ascii="宋体" w:hAnsi="宋体" w:cs="宋体"/>
          <w:sz w:val="22"/>
          <w:szCs w:val="22"/>
        </w:rPr>
        <w:t>。</w:t>
      </w:r>
    </w:p>
    <w:p w14:paraId="7C4C3057">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其他事项的约定：</w:t>
      </w:r>
      <w:r>
        <w:rPr>
          <w:rFonts w:hint="eastAsia" w:ascii="宋体" w:hAnsi="宋体" w:cs="宋体"/>
          <w:sz w:val="22"/>
          <w:szCs w:val="22"/>
          <w:u w:val="single"/>
        </w:rPr>
        <w:t>无</w:t>
      </w:r>
      <w:r>
        <w:rPr>
          <w:rFonts w:hint="eastAsia" w:ascii="宋体" w:hAnsi="宋体" w:cs="宋体"/>
          <w:sz w:val="22"/>
          <w:szCs w:val="22"/>
        </w:rPr>
        <w:t>。</w:t>
      </w:r>
    </w:p>
    <w:p w14:paraId="72258810">
      <w:pPr>
        <w:pStyle w:val="478"/>
        <w:spacing w:line="400" w:lineRule="exact"/>
        <w:ind w:left="-420" w:right="-420" w:firstLine="440"/>
        <w:rPr>
          <w:rFonts w:hint="eastAsia" w:ascii="宋体" w:hAnsi="宋体" w:cs="宋体"/>
          <w:sz w:val="22"/>
          <w:szCs w:val="22"/>
        </w:rPr>
      </w:pPr>
      <w:bookmarkStart w:id="448" w:name="_Toc18435"/>
      <w:r>
        <w:rPr>
          <w:rFonts w:hint="eastAsia" w:ascii="宋体" w:hAnsi="宋体" w:cs="宋体"/>
          <w:sz w:val="22"/>
          <w:szCs w:val="22"/>
        </w:rPr>
        <w:t>20.3.2 争议评审小组的决定</w:t>
      </w:r>
      <w:bookmarkEnd w:id="448"/>
    </w:p>
    <w:p w14:paraId="6B2EB1C4">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合同当事人关于本项的约定：</w:t>
      </w:r>
      <w:r>
        <w:rPr>
          <w:rFonts w:hint="eastAsia" w:ascii="宋体" w:hAnsi="宋体" w:cs="宋体"/>
          <w:sz w:val="22"/>
          <w:szCs w:val="22"/>
          <w:u w:val="single"/>
        </w:rPr>
        <w:t>按通用合同条款执行</w:t>
      </w:r>
      <w:r>
        <w:rPr>
          <w:rFonts w:hint="eastAsia" w:ascii="宋体" w:hAnsi="宋体" w:cs="宋体"/>
          <w:sz w:val="22"/>
          <w:szCs w:val="22"/>
        </w:rPr>
        <w:t>。</w:t>
      </w:r>
    </w:p>
    <w:p w14:paraId="6C68D331">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20.4仲裁或诉讼</w:t>
      </w:r>
    </w:p>
    <w:p w14:paraId="34489C50">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因合同及合同有关事项发生的争议，按下列第</w:t>
      </w:r>
      <w:r>
        <w:rPr>
          <w:rFonts w:hint="eastAsia" w:ascii="宋体" w:hAnsi="宋体" w:cs="宋体"/>
          <w:sz w:val="22"/>
          <w:szCs w:val="22"/>
          <w:u w:val="single"/>
        </w:rPr>
        <w:t>（2）</w:t>
      </w:r>
      <w:r>
        <w:rPr>
          <w:rFonts w:hint="eastAsia" w:ascii="宋体" w:hAnsi="宋体" w:cs="宋体"/>
          <w:sz w:val="22"/>
          <w:szCs w:val="22"/>
        </w:rPr>
        <w:t>种方式解决：</w:t>
      </w:r>
    </w:p>
    <w:p w14:paraId="5898558A">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（1）向</w:t>
      </w:r>
      <w:r>
        <w:rPr>
          <w:rFonts w:hint="eastAsia" w:ascii="宋体" w:hAnsi="宋体" w:cs="宋体"/>
          <w:sz w:val="22"/>
          <w:szCs w:val="22"/>
          <w:u w:val="single"/>
        </w:rPr>
        <w:t xml:space="preserve">     /     </w:t>
      </w:r>
      <w:r>
        <w:rPr>
          <w:rFonts w:hint="eastAsia" w:ascii="宋体" w:hAnsi="宋体" w:cs="宋体"/>
          <w:sz w:val="22"/>
          <w:szCs w:val="22"/>
        </w:rPr>
        <w:t>仲裁委员会申请仲裁；</w:t>
      </w:r>
    </w:p>
    <w:p w14:paraId="2EE92B0A">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（2）向</w:t>
      </w:r>
      <w:r>
        <w:rPr>
          <w:rFonts w:hint="eastAsia" w:ascii="宋体" w:hAnsi="宋体" w:cs="宋体"/>
          <w:sz w:val="22"/>
          <w:szCs w:val="22"/>
          <w:u w:val="single"/>
        </w:rPr>
        <w:t>发包人所在地</w:t>
      </w:r>
      <w:r>
        <w:rPr>
          <w:rFonts w:hint="eastAsia" w:ascii="宋体" w:hAnsi="宋体" w:cs="宋体"/>
          <w:sz w:val="22"/>
          <w:szCs w:val="22"/>
        </w:rPr>
        <w:t>人民法院起诉。</w:t>
      </w:r>
    </w:p>
    <w:p w14:paraId="068D8C2A">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以下部分是根据相关文件进行补充</w:t>
      </w:r>
    </w:p>
    <w:p w14:paraId="66BCED71">
      <w:pPr>
        <w:pStyle w:val="478"/>
        <w:spacing w:line="400" w:lineRule="exact"/>
        <w:ind w:left="-420" w:right="-420" w:firstLine="440"/>
        <w:rPr>
          <w:rFonts w:hint="eastAsia" w:ascii="宋体" w:hAnsi="宋体" w:cs="宋体"/>
          <w:sz w:val="22"/>
          <w:szCs w:val="22"/>
        </w:rPr>
      </w:pPr>
      <w:r>
        <w:rPr>
          <w:rFonts w:hint="eastAsia" w:ascii="宋体" w:hAnsi="宋体" w:cs="宋体"/>
          <w:sz w:val="22"/>
          <w:szCs w:val="22"/>
        </w:rPr>
        <w:t>21. 补充条款</w:t>
      </w:r>
    </w:p>
    <w:p w14:paraId="154FE19D">
      <w:pPr>
        <w:pStyle w:val="256"/>
        <w:widowControl/>
        <w:spacing w:line="400" w:lineRule="exact"/>
        <w:ind w:left="-420" w:right="-420" w:firstLine="440"/>
        <w:rPr>
          <w:rFonts w:hint="eastAsia" w:ascii="宋体" w:hAnsi="宋体" w:cs="宋体"/>
          <w:bCs/>
          <w:sz w:val="22"/>
        </w:rPr>
      </w:pPr>
      <w:r>
        <w:rPr>
          <w:rFonts w:hint="eastAsia" w:ascii="宋体" w:hAnsi="宋体" w:cs="宋体"/>
          <w:bCs/>
          <w:sz w:val="22"/>
        </w:rPr>
        <w:t>21.1.</w:t>
      </w:r>
      <w:r>
        <w:rPr>
          <w:rFonts w:hint="eastAsia" w:ascii="宋体" w:hAnsi="宋体" w:cs="宋体"/>
          <w:bCs/>
          <w:sz w:val="22"/>
          <w:u w:val="single"/>
        </w:rPr>
        <w:t>串通投标行为合同管理实施细则（以宿政发﹝2017﹞56号为准），包括但不限于以下内容：（一）承包人被举报或经核查发现其存在法律法规所列串通投标或弄虚作假情形的，发包人应书面告知承包人；（二）承包人应在接到发包人书面告知后7 日内，向发包人提供相关举证材料。如承包人未能在规定时间内举证或其举证材料不足以排除其存在串通投标和弄虚作假行为的，均视同承包人存在违约责任，承包人应向发包人支付不低于合同金额2%的违约金（发包人可根据工程具体规模适当调整违约金比例，原则上1000万元以下工程不低于3%）；（三）承包人存在串通投标或弄虚作假行为，被行政监管部门查处并依法作出行政处罚的，不影响本合同违约责任履行，承包人仍须按合同约定向发包人支付违约金；（四）承包人应按照投标承诺约定派驻现场技术、经济管理人员，并确保项目管理机构主要成员常驻施工现场，原则上不得调整；确需调整的，需经发包人同意。发包人应在进场施工前严格核对进场施工队伍，承包人擅自改变项目负责人及主要管理人员的，一律不得进场施工；（五）实行承包人项目管理机构主要成员现场签订考勤制度。项目管理机构主要成员每月出勤率不</w:t>
      </w:r>
      <w:r>
        <w:rPr>
          <w:rFonts w:hint="eastAsia" w:ascii="宋体" w:hAnsi="宋体" w:cs="宋体"/>
          <w:bCs/>
          <w:sz w:val="22"/>
          <w:u w:val="single"/>
          <w:lang w:val="en-US" w:eastAsia="zh-CN"/>
        </w:rPr>
        <w:t>得</w:t>
      </w:r>
      <w:r>
        <w:rPr>
          <w:rFonts w:hint="eastAsia" w:ascii="宋体" w:hAnsi="宋体" w:cs="宋体"/>
          <w:bCs/>
          <w:sz w:val="22"/>
          <w:u w:val="single"/>
        </w:rPr>
        <w:t>低于</w:t>
      </w:r>
      <w:r>
        <w:rPr>
          <w:rFonts w:hint="eastAsia" w:ascii="宋体" w:hAnsi="宋体" w:cs="宋体"/>
          <w:bCs/>
          <w:sz w:val="22"/>
          <w:u w:val="single"/>
          <w:lang w:val="en-US" w:eastAsia="zh-CN"/>
        </w:rPr>
        <w:t>招标人要求</w:t>
      </w:r>
      <w:r>
        <w:rPr>
          <w:rFonts w:hint="eastAsia" w:ascii="宋体" w:hAnsi="宋体" w:cs="宋体"/>
          <w:bCs/>
          <w:sz w:val="22"/>
          <w:u w:val="single"/>
        </w:rPr>
        <w:t>，否则，承包人向发包人支付</w:t>
      </w:r>
      <w:r>
        <w:rPr>
          <w:rFonts w:hint="eastAsia" w:ascii="宋体" w:hAnsi="宋体" w:cs="宋体"/>
          <w:bCs/>
          <w:sz w:val="22"/>
          <w:u w:val="single"/>
          <w:lang w:val="en-US" w:eastAsia="zh-CN"/>
        </w:rPr>
        <w:t>相应</w:t>
      </w:r>
      <w:r>
        <w:rPr>
          <w:rFonts w:hint="eastAsia" w:ascii="宋体" w:hAnsi="宋体" w:cs="宋体"/>
          <w:bCs/>
          <w:sz w:val="22"/>
          <w:u w:val="single"/>
        </w:rPr>
        <w:t>的违约金（发包人可根据工程具体规模适当调整违约金比例）；（六）承包人存在合同违约行为的，应按合同约定向发包人支付违约金。发包人应通过工程款结算方式，将承包人应支付的违约金扣除，不得从承包人提交的履约保证金中扣除。发包人应同时将承包人违约处理情况及时报送相关行政监管部门</w:t>
      </w:r>
      <w:r>
        <w:rPr>
          <w:rFonts w:hint="eastAsia" w:ascii="宋体" w:hAnsi="宋体" w:cs="宋体"/>
          <w:bCs/>
          <w:sz w:val="22"/>
        </w:rPr>
        <w:t xml:space="preserve">。 </w:t>
      </w:r>
    </w:p>
    <w:p w14:paraId="300EA157">
      <w:pPr>
        <w:pStyle w:val="482"/>
        <w:widowControl/>
        <w:spacing w:line="400" w:lineRule="exact"/>
        <w:ind w:left="-420" w:right="-420" w:firstLine="440"/>
        <w:rPr>
          <w:rFonts w:hint="eastAsia" w:ascii="宋体" w:hAnsi="宋体" w:cs="宋体"/>
          <w:bCs/>
          <w:sz w:val="22"/>
        </w:rPr>
      </w:pPr>
      <w:r>
        <w:rPr>
          <w:rFonts w:hint="eastAsia" w:ascii="宋体" w:hAnsi="宋体" w:cs="宋体"/>
          <w:bCs/>
          <w:sz w:val="22"/>
          <w:u w:val="single"/>
        </w:rPr>
        <w:t>21.2农民工工资管理按照人社部发〔2021〕65号、苏建建管﹝2016﹞707号、宿政发﹝2017﹞56号等文件执行；</w:t>
      </w:r>
    </w:p>
    <w:p w14:paraId="3C8398A3">
      <w:pPr>
        <w:pStyle w:val="478"/>
        <w:spacing w:line="400" w:lineRule="exact"/>
        <w:ind w:left="-420" w:right="-420" w:firstLine="440"/>
        <w:rPr>
          <w:rFonts w:hint="eastAsia" w:ascii="宋体" w:hAnsi="宋体" w:cs="宋体"/>
          <w:bCs/>
          <w:sz w:val="22"/>
          <w:szCs w:val="22"/>
        </w:rPr>
      </w:pPr>
      <w:r>
        <w:rPr>
          <w:rFonts w:hint="eastAsia" w:ascii="宋体" w:hAnsi="宋体" w:cs="宋体"/>
          <w:bCs/>
          <w:sz w:val="22"/>
          <w:szCs w:val="22"/>
        </w:rPr>
        <w:t>21.3.</w:t>
      </w:r>
      <w:r>
        <w:rPr>
          <w:rFonts w:hint="eastAsia" w:ascii="宋体" w:hAnsi="宋体" w:cs="宋体"/>
          <w:bCs/>
          <w:sz w:val="22"/>
          <w:szCs w:val="22"/>
          <w:u w:val="single"/>
        </w:rPr>
        <w:t>转包违法分包行为合同管理实施细则（以宿政发﹝2017﹞56号为准），包括但不限于以下内容：（一）施工总承包、专业承包合同当事人应使用《建设工程施工合同（示范文本）》（GF-20l7-0201）；专业工程分包合同应使用《建设工程施工专业分包合同（示范文本）》（GF-2003-0213）；（二）合同文本中应包括以下承诺：发包人承诺按照法律规定履行项目审批手续、筹集工程建设资金并按照合同约定的期限和方式支付合同价款；承包人承诺按照法律规定及合同约定组织完成工程施工，确保工程质量和安金，不进行转包及违法分包，并在缺陷责任期及保修期内承担相应的工程维修责任；（三）转包、违法分包违约责任。承包人不得将承包工程进行转包或违法分包。经核查，现承包人存在法律法规及《建筑工程施工转包违法分包等违法行为认定查处管理办法（试行）》（建市〔2014〕118号）第七条、第九条规定的转包、违法分包情形的，发包人应书面告知承包人。承包人应在接到书面告知后7日内，向发包人提供相关证明材料。承包人未能在规定时问内举证或其证明材料不足以排除承包人存在转包、违法分包行为的，视同承包人存在违约责任，承包人应向发包人支付不低于合同金额 2%的违约金，并视情况制止分包行为。承包人存在转包、违法分包行为，被行政监管部门查处并依法作出行政处罚的，不影响合同违约责任履行，承包人仍须按合同约定向发包人支付违约金。承包人将工程转包或违法分包的，发包人有权终止合同；（四）市、县（区）住房城乡建设、水利、交通运输部门和政务服务部门应对工程发包、承包双方执行合同中关于禁止转包和违法分包的相关约定进行监督，依法查处违反禁止转包和违法分包约定的行为</w:t>
      </w:r>
      <w:r>
        <w:rPr>
          <w:rFonts w:hint="eastAsia" w:ascii="宋体" w:hAnsi="宋体" w:cs="宋体"/>
          <w:bCs/>
          <w:sz w:val="22"/>
          <w:szCs w:val="22"/>
        </w:rPr>
        <w:t xml:space="preserve">。 </w:t>
      </w:r>
    </w:p>
    <w:p w14:paraId="0D3CCE4F">
      <w:pPr>
        <w:pStyle w:val="478"/>
        <w:spacing w:line="400" w:lineRule="exact"/>
        <w:ind w:left="-420" w:right="-420" w:firstLine="440"/>
        <w:rPr>
          <w:rFonts w:hint="eastAsia" w:ascii="宋体" w:hAnsi="宋体" w:cs="宋体"/>
          <w:bCs/>
          <w:sz w:val="22"/>
          <w:szCs w:val="22"/>
        </w:rPr>
      </w:pPr>
      <w:r>
        <w:rPr>
          <w:rFonts w:hint="eastAsia" w:ascii="宋体" w:hAnsi="宋体" w:cs="宋体"/>
          <w:bCs/>
          <w:sz w:val="22"/>
          <w:szCs w:val="22"/>
        </w:rPr>
        <w:t>21.4.</w:t>
      </w:r>
      <w:r>
        <w:rPr>
          <w:rFonts w:hint="eastAsia" w:ascii="宋体" w:hAnsi="宋体" w:cs="宋体"/>
          <w:bCs/>
          <w:sz w:val="22"/>
          <w:szCs w:val="22"/>
          <w:u w:val="single"/>
        </w:rPr>
        <w:t>环境污染行为合同管理实施细则（以宿政发﹝2017﹞56号为准），包括但不限于以下内容：（一）项目开工前，施工方（承包人）主动履行污染物排放申报制度，积极完善各项申报手续；（二）禁止违法夜间施工，杜绝噪声扰民现象发生；（三）施工、作业现场采取隔离洒水、围挡、场地硬化、料场遮盖等措施，防止扬尘污染；（四）商品混凝土、建筑物料、垃圾、渣土运输车辆密闭、进出施工现场进行冲洗，严防沿途抛洒、扬散；（五）项目建设方（发包人）在履行环境保护责任的同时，应督促施工方（承包人）采取环境保护各项措施；施工方（承包人）应主动积极配合建设方（发包人）依法完善各项环保手续并规范施工，杜绝环境污染及扰民现象发生。施工方（承包人）违反本条规定情形的，每发生一次应向建设方（发包人）支付 1万元至5万元违约金。项目建筑物料供应、渣土运输等服务方（承包人）在物料供应、运输服务过程中，违反本条规定情形，导致建筑物料、渣土等沿途抛洒、扬散的，应向建设方（发包人）支付 1万元至5 万元违约金；（六）项目建设方（发包人）与建筑物料供应、渣土运输等服务方（承包人）存在物料供应、运输服务关系的，应将上述（四）项管理要求纳入供应、运输服务合同。</w:t>
      </w:r>
    </w:p>
    <w:p w14:paraId="543F9F0D">
      <w:pPr>
        <w:pStyle w:val="256"/>
        <w:spacing w:line="400" w:lineRule="exact"/>
        <w:ind w:left="-420" w:right="-420" w:firstLine="440"/>
        <w:rPr>
          <w:rFonts w:hint="eastAsia" w:ascii="宋体" w:hAnsi="宋体" w:cs="宋体"/>
          <w:sz w:val="22"/>
        </w:rPr>
      </w:pPr>
      <w:r>
        <w:rPr>
          <w:rFonts w:hint="eastAsia" w:ascii="宋体" w:hAnsi="宋体" w:cs="宋体"/>
          <w:bCs/>
          <w:sz w:val="22"/>
        </w:rPr>
        <w:t>21.5</w:t>
      </w:r>
      <w:r>
        <w:rPr>
          <w:rFonts w:hint="eastAsia" w:ascii="宋体" w:hAnsi="宋体" w:cs="宋体"/>
          <w:sz w:val="22"/>
          <w:u w:val="single"/>
        </w:rPr>
        <w:t>根据《关于印发宿迁市大气质量提升专项整治方案的通知》（宿政办发（2014）92 号）和《沭阳县建设工程施工现场扬尘污染防治管理办法》（沭住建字（2013）40 号）有关规定：中标单位要确保建筑工地达到“十有六无”管理标准要求（即施工有围挡、道路有硬化、车辆有冲洗、污水有沉淀、场地有绿化、厕所有水冲、降尘有措施、现场有亮化、材料有秩序、垃圾有容器；无扬尘、无垃圾、无裸地、无四害、无旱厕、无污水）；各投标单位在投标报价中可自行考虑此费用，施工中按要求履行到位</w:t>
      </w:r>
      <w:r>
        <w:rPr>
          <w:rFonts w:hint="eastAsia" w:ascii="宋体" w:hAnsi="宋体" w:cs="宋体"/>
          <w:sz w:val="22"/>
        </w:rPr>
        <w:t>。</w:t>
      </w:r>
    </w:p>
    <w:p w14:paraId="5D7CF538">
      <w:pPr>
        <w:pStyle w:val="256"/>
        <w:spacing w:line="400" w:lineRule="exact"/>
        <w:ind w:left="-420" w:right="-420" w:firstLine="440"/>
        <w:rPr>
          <w:rFonts w:hint="eastAsia" w:ascii="宋体" w:hAnsi="宋体" w:cs="宋体"/>
          <w:sz w:val="22"/>
        </w:rPr>
      </w:pPr>
      <w:r>
        <w:rPr>
          <w:rFonts w:hint="eastAsia" w:ascii="宋体" w:hAnsi="宋体" w:cs="宋体"/>
          <w:bCs/>
          <w:sz w:val="22"/>
        </w:rPr>
        <w:t>21.6.</w:t>
      </w:r>
      <w:r>
        <w:rPr>
          <w:rFonts w:hint="eastAsia" w:ascii="宋体" w:hAnsi="宋体" w:cs="宋体"/>
          <w:bCs/>
          <w:sz w:val="22"/>
          <w:u w:val="single"/>
        </w:rPr>
        <w:t>相关人员配备执行《江苏省建设工程施工项目经理部和项目监理机构主要管理人员配备办法》的通知（苏建建管〔2014〕701号）文件：投标人中标后，由招标人对按照投标文件中核验除项目经理外的其他人员（投标文件中列出的人员不满足规定的需另行配备）。其他人员</w:t>
      </w:r>
      <w:r>
        <w:rPr>
          <w:rFonts w:hint="eastAsia" w:ascii="宋体" w:hAnsi="宋体" w:cs="宋体"/>
          <w:bCs/>
          <w:sz w:val="22"/>
          <w:u w:val="single"/>
          <w:lang w:eastAsia="zh-CN"/>
        </w:rPr>
        <w:t>须为本公司正式员工并提供相关证明材料</w:t>
      </w:r>
      <w:r>
        <w:rPr>
          <w:rFonts w:hint="eastAsia" w:ascii="宋体" w:hAnsi="宋体" w:cs="宋体"/>
          <w:sz w:val="22"/>
          <w:u w:val="single"/>
        </w:rPr>
        <w:t>，相关人员</w:t>
      </w:r>
      <w:r>
        <w:rPr>
          <w:rFonts w:hint="eastAsia" w:ascii="宋体" w:hAnsi="宋体" w:cs="宋体"/>
          <w:bCs/>
          <w:sz w:val="22"/>
          <w:u w:val="single"/>
        </w:rPr>
        <w:t>要服从发包人设立的工程项目管理部的管理，并纳入管理部的日常考核，严格履行请销假制度。未按规定的由招标人按《江苏省建设工程施工项目经理部和项目监理机构主要管理人员配备办法》苏建建管〔2014〕701号文件及相关规定进行处理</w:t>
      </w:r>
      <w:r>
        <w:rPr>
          <w:rFonts w:hint="eastAsia" w:ascii="宋体" w:hAnsi="宋体" w:cs="宋体"/>
          <w:sz w:val="22"/>
          <w:u w:val="single"/>
        </w:rPr>
        <w:t>。</w:t>
      </w:r>
    </w:p>
    <w:p w14:paraId="6EC4DF44">
      <w:pPr>
        <w:pStyle w:val="256"/>
        <w:spacing w:line="400" w:lineRule="exact"/>
        <w:ind w:left="-420" w:right="-420" w:firstLine="440"/>
        <w:rPr>
          <w:rFonts w:hint="eastAsia" w:ascii="宋体" w:hAnsi="宋体" w:cs="宋体"/>
          <w:bCs/>
          <w:sz w:val="22"/>
          <w:u w:val="single"/>
        </w:rPr>
      </w:pPr>
      <w:r>
        <w:rPr>
          <w:rFonts w:hint="eastAsia" w:ascii="宋体" w:hAnsi="宋体" w:cs="宋体"/>
          <w:sz w:val="22"/>
        </w:rPr>
        <w:t>21.7.</w:t>
      </w:r>
      <w:r>
        <w:rPr>
          <w:rFonts w:hint="eastAsia" w:ascii="宋体" w:hAnsi="宋体" w:cs="宋体"/>
          <w:sz w:val="22"/>
          <w:u w:val="single"/>
        </w:rPr>
        <w:t>自中标通知书发出后3日内，承包人投标文件上列出的项目管理机构人员到岗；自中标通知书发出后7日内，承包人提交经设计、建设单位批准的施工组织设计；自中标通知书发出后30日内，承包人</w:t>
      </w:r>
      <w:r>
        <w:rPr>
          <w:rFonts w:hint="eastAsia" w:ascii="宋体" w:hAnsi="宋体" w:cs="宋体"/>
          <w:bCs/>
          <w:sz w:val="22"/>
          <w:u w:val="single"/>
        </w:rPr>
        <w:t>完成履约保证金缴纳、合同签订、合同信息归集，否则将取消中标资格，并按</w:t>
      </w:r>
      <w:r>
        <w:rPr>
          <w:rFonts w:hint="eastAsia" w:ascii="宋体" w:hAnsi="宋体" w:cs="宋体"/>
          <w:bCs/>
          <w:sz w:val="22"/>
          <w:u w:val="single"/>
          <w:lang w:eastAsia="zh-CN"/>
        </w:rPr>
        <w:t>国家</w:t>
      </w:r>
      <w:r>
        <w:rPr>
          <w:rFonts w:hint="eastAsia" w:ascii="宋体" w:hAnsi="宋体" w:cs="宋体"/>
          <w:bCs/>
          <w:sz w:val="22"/>
          <w:u w:val="single"/>
        </w:rPr>
        <w:t>相关规定进行处罚；</w:t>
      </w:r>
    </w:p>
    <w:p w14:paraId="04D50F90">
      <w:pPr>
        <w:pStyle w:val="256"/>
        <w:spacing w:line="400" w:lineRule="exact"/>
        <w:ind w:left="-420" w:right="-420" w:firstLine="440"/>
        <w:rPr>
          <w:rFonts w:hint="eastAsia" w:ascii="宋体" w:hAnsi="宋体" w:cs="宋体"/>
          <w:sz w:val="22"/>
          <w:u w:val="single"/>
        </w:rPr>
      </w:pPr>
      <w:r>
        <w:rPr>
          <w:rFonts w:hint="eastAsia" w:ascii="宋体" w:hAnsi="宋体" w:cs="宋体"/>
          <w:sz w:val="22"/>
        </w:rPr>
        <w:t>21.8</w:t>
      </w:r>
      <w:r>
        <w:rPr>
          <w:rFonts w:hint="eastAsia" w:ascii="宋体" w:hAnsi="宋体" w:cs="宋体"/>
          <w:sz w:val="22"/>
          <w:u w:val="single"/>
        </w:rPr>
        <w:t>工程送审价审减率在3%以下的，审计费用由发包人承担；审减率在3%~5%范围的，审计费用由承包人承担；审减率超过5%的，承包人除承担审计费用外，并处以审减额10%的罚款，该罚款由审计部门在出具审计报告时直接从审定价中扣除。</w:t>
      </w:r>
    </w:p>
    <w:p w14:paraId="436F97F1">
      <w:pPr>
        <w:pStyle w:val="256"/>
        <w:spacing w:line="400" w:lineRule="exact"/>
        <w:ind w:left="-420" w:right="-420" w:firstLine="440"/>
        <w:rPr>
          <w:rFonts w:hint="eastAsia" w:ascii="宋体" w:hAnsi="宋体" w:cs="宋体"/>
          <w:sz w:val="22"/>
          <w:u w:val="single"/>
        </w:rPr>
      </w:pPr>
      <w:r>
        <w:rPr>
          <w:rFonts w:hint="eastAsia" w:ascii="宋体" w:hAnsi="宋体" w:cs="宋体"/>
          <w:sz w:val="22"/>
          <w:u w:val="none"/>
        </w:rPr>
        <w:t>21.9</w:t>
      </w:r>
      <w:r>
        <w:rPr>
          <w:rFonts w:hint="eastAsia" w:ascii="宋体" w:hAnsi="宋体" w:cs="宋体"/>
          <w:sz w:val="22"/>
          <w:u w:val="single"/>
        </w:rPr>
        <w:t>在项目竣工验收时，将对污水处理厂</w:t>
      </w:r>
      <w:r>
        <w:rPr>
          <w:rFonts w:hint="eastAsia" w:ascii="宋体" w:hAnsi="宋体" w:cs="宋体"/>
          <w:sz w:val="22"/>
          <w:u w:val="single"/>
          <w:lang w:val="en-US" w:eastAsia="zh-CN"/>
        </w:rPr>
        <w:t>处理能力</w:t>
      </w:r>
      <w:r>
        <w:rPr>
          <w:rFonts w:hint="eastAsia" w:ascii="宋体" w:hAnsi="宋体" w:cs="宋体"/>
          <w:sz w:val="22"/>
          <w:u w:val="single"/>
        </w:rPr>
        <w:t>进行</w:t>
      </w:r>
      <w:r>
        <w:rPr>
          <w:rFonts w:hint="eastAsia" w:ascii="宋体" w:hAnsi="宋体" w:cs="宋体"/>
          <w:sz w:val="22"/>
          <w:u w:val="single"/>
          <w:lang w:val="en-US" w:eastAsia="zh-CN"/>
        </w:rPr>
        <w:t>集中</w:t>
      </w:r>
      <w:r>
        <w:rPr>
          <w:rFonts w:hint="eastAsia" w:ascii="宋体" w:hAnsi="宋体" w:cs="宋体"/>
          <w:sz w:val="22"/>
          <w:u w:val="single"/>
        </w:rPr>
        <w:t>考核。在进水水质符合要求的情况下，如实</w:t>
      </w:r>
      <w:r>
        <w:rPr>
          <w:rFonts w:hint="eastAsia" w:ascii="宋体" w:hAnsi="宋体" w:cs="宋体"/>
          <w:sz w:val="22"/>
          <w:u w:val="single"/>
          <w:lang w:val="en-US" w:eastAsia="zh-CN"/>
        </w:rPr>
        <w:t>际处理能力未达标</w:t>
      </w:r>
      <w:r>
        <w:rPr>
          <w:rFonts w:hint="eastAsia" w:ascii="宋体" w:hAnsi="宋体" w:cs="宋体"/>
          <w:sz w:val="22"/>
          <w:u w:val="single"/>
        </w:rPr>
        <w:t>准的，该工程不予支付工程款，已建设施归招标人所有，中标人需向招标人缴纳中标额10%的赔偿金。请相关单位务必重视，不得出现新增设施处理规模及处理能力不足问题。</w:t>
      </w:r>
    </w:p>
    <w:p w14:paraId="3264F6D4">
      <w:pPr>
        <w:pStyle w:val="478"/>
        <w:spacing w:line="400" w:lineRule="exact"/>
        <w:ind w:left="-420" w:right="-420" w:firstLine="442"/>
        <w:jc w:val="center"/>
        <w:rPr>
          <w:rFonts w:hint="eastAsia" w:ascii="宋体" w:hAnsi="宋体" w:cs="宋体"/>
          <w:color w:val="FF0000"/>
        </w:rPr>
      </w:pPr>
      <w:r>
        <w:rPr>
          <w:rFonts w:hint="eastAsia" w:ascii="宋体" w:hAnsi="宋体" w:cs="宋体"/>
          <w:b/>
          <w:bCs/>
          <w:color w:val="000000"/>
          <w:sz w:val="22"/>
          <w:szCs w:val="22"/>
        </w:rPr>
        <w:t>项目管理机构主要成员</w:t>
      </w:r>
    </w:p>
    <w:tbl>
      <w:tblPr>
        <w:tblStyle w:val="33"/>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9"/>
        <w:gridCol w:w="1661"/>
        <w:gridCol w:w="1359"/>
        <w:gridCol w:w="2906"/>
        <w:gridCol w:w="2873"/>
      </w:tblGrid>
      <w:tr w14:paraId="6230F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jc w:val="center"/>
        </w:trPr>
        <w:tc>
          <w:tcPr>
            <w:tcW w:w="879" w:type="dxa"/>
            <w:vAlign w:val="center"/>
          </w:tcPr>
          <w:p w14:paraId="6FA8F8F0">
            <w:pPr>
              <w:pStyle w:val="256"/>
              <w:spacing w:line="300" w:lineRule="exact"/>
              <w:ind w:right="-210"/>
              <w:jc w:val="center"/>
              <w:rPr>
                <w:rFonts w:ascii="宋体" w:hAnsi="宋体" w:cs="宋体"/>
                <w:color w:val="000000"/>
                <w:szCs w:val="21"/>
              </w:rPr>
            </w:pPr>
            <w:r>
              <w:rPr>
                <w:rFonts w:hint="eastAsia" w:ascii="宋体" w:hAnsi="宋体" w:cs="宋体"/>
                <w:color w:val="000000"/>
                <w:szCs w:val="21"/>
              </w:rPr>
              <w:t>序号</w:t>
            </w:r>
          </w:p>
        </w:tc>
        <w:tc>
          <w:tcPr>
            <w:tcW w:w="1661" w:type="dxa"/>
            <w:vAlign w:val="center"/>
          </w:tcPr>
          <w:p w14:paraId="2B559E4F">
            <w:pPr>
              <w:pStyle w:val="256"/>
              <w:spacing w:line="300" w:lineRule="exact"/>
              <w:ind w:right="-210"/>
              <w:jc w:val="center"/>
              <w:rPr>
                <w:rFonts w:ascii="宋体" w:hAnsi="宋体" w:cs="宋体"/>
                <w:color w:val="000000"/>
                <w:szCs w:val="21"/>
              </w:rPr>
            </w:pPr>
            <w:r>
              <w:rPr>
                <w:rFonts w:hint="eastAsia" w:ascii="宋体" w:hAnsi="宋体" w:cs="宋体"/>
                <w:color w:val="000000"/>
                <w:szCs w:val="21"/>
              </w:rPr>
              <w:t>岗位</w:t>
            </w:r>
          </w:p>
        </w:tc>
        <w:tc>
          <w:tcPr>
            <w:tcW w:w="1359" w:type="dxa"/>
            <w:vAlign w:val="center"/>
          </w:tcPr>
          <w:p w14:paraId="0F3BF9C6">
            <w:pPr>
              <w:pStyle w:val="256"/>
              <w:spacing w:line="300" w:lineRule="exact"/>
              <w:ind w:right="-210"/>
              <w:jc w:val="center"/>
              <w:rPr>
                <w:rFonts w:ascii="宋体" w:hAnsi="宋体" w:cs="宋体"/>
                <w:color w:val="000000"/>
                <w:szCs w:val="21"/>
              </w:rPr>
            </w:pPr>
            <w:r>
              <w:rPr>
                <w:rFonts w:hint="eastAsia" w:ascii="宋体" w:hAnsi="宋体" w:cs="宋体"/>
                <w:color w:val="000000"/>
                <w:szCs w:val="21"/>
              </w:rPr>
              <w:t>姓名</w:t>
            </w:r>
          </w:p>
        </w:tc>
        <w:tc>
          <w:tcPr>
            <w:tcW w:w="2906" w:type="dxa"/>
            <w:vAlign w:val="center"/>
          </w:tcPr>
          <w:p w14:paraId="4D077405">
            <w:pPr>
              <w:pStyle w:val="256"/>
              <w:spacing w:line="300" w:lineRule="exact"/>
              <w:ind w:right="-210"/>
              <w:jc w:val="center"/>
              <w:rPr>
                <w:rFonts w:ascii="宋体" w:hAnsi="宋体" w:cs="宋体"/>
                <w:color w:val="000000"/>
                <w:szCs w:val="21"/>
              </w:rPr>
            </w:pPr>
            <w:r>
              <w:rPr>
                <w:rFonts w:hint="eastAsia" w:ascii="宋体" w:hAnsi="宋体" w:cs="宋体"/>
                <w:color w:val="000000"/>
                <w:szCs w:val="21"/>
              </w:rPr>
              <w:t>身份证号</w:t>
            </w:r>
          </w:p>
        </w:tc>
        <w:tc>
          <w:tcPr>
            <w:tcW w:w="2873" w:type="dxa"/>
            <w:vAlign w:val="center"/>
          </w:tcPr>
          <w:p w14:paraId="3C408F8F">
            <w:pPr>
              <w:pStyle w:val="256"/>
              <w:spacing w:line="300" w:lineRule="exact"/>
              <w:ind w:right="-210"/>
              <w:jc w:val="center"/>
              <w:rPr>
                <w:rFonts w:ascii="宋体" w:hAnsi="宋体" w:cs="宋体"/>
                <w:color w:val="000000"/>
                <w:szCs w:val="21"/>
              </w:rPr>
            </w:pPr>
            <w:r>
              <w:rPr>
                <w:rFonts w:hint="eastAsia" w:ascii="宋体" w:hAnsi="宋体" w:cs="宋体"/>
                <w:color w:val="000000"/>
                <w:szCs w:val="21"/>
              </w:rPr>
              <w:t>注册证书</w:t>
            </w:r>
          </w:p>
        </w:tc>
      </w:tr>
      <w:tr w14:paraId="0D50A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879" w:type="dxa"/>
            <w:vAlign w:val="center"/>
          </w:tcPr>
          <w:p w14:paraId="4B6DC7A7">
            <w:pPr>
              <w:pStyle w:val="256"/>
              <w:spacing w:line="300" w:lineRule="exact"/>
              <w:ind w:right="-210"/>
              <w:jc w:val="center"/>
              <w:rPr>
                <w:rFonts w:ascii="宋体" w:hAnsi="宋体" w:cs="宋体"/>
                <w:color w:val="000000"/>
                <w:szCs w:val="21"/>
              </w:rPr>
            </w:pPr>
            <w:r>
              <w:rPr>
                <w:rFonts w:hint="eastAsia" w:ascii="宋体" w:hAnsi="宋体" w:cs="宋体"/>
                <w:color w:val="000000"/>
                <w:szCs w:val="21"/>
              </w:rPr>
              <w:t>1</w:t>
            </w:r>
          </w:p>
        </w:tc>
        <w:tc>
          <w:tcPr>
            <w:tcW w:w="1661" w:type="dxa"/>
            <w:vAlign w:val="center"/>
          </w:tcPr>
          <w:p w14:paraId="6DD6FC14">
            <w:pPr>
              <w:pStyle w:val="256"/>
              <w:spacing w:line="300" w:lineRule="exact"/>
              <w:ind w:right="-210"/>
              <w:jc w:val="center"/>
              <w:rPr>
                <w:rFonts w:ascii="宋体" w:hAnsi="宋体" w:cs="宋体"/>
                <w:color w:val="000000"/>
                <w:szCs w:val="21"/>
              </w:rPr>
            </w:pPr>
          </w:p>
        </w:tc>
        <w:tc>
          <w:tcPr>
            <w:tcW w:w="1359" w:type="dxa"/>
            <w:vAlign w:val="top"/>
          </w:tcPr>
          <w:p w14:paraId="1614937C">
            <w:pPr>
              <w:pStyle w:val="256"/>
              <w:spacing w:line="300" w:lineRule="exact"/>
              <w:ind w:right="-210"/>
              <w:jc w:val="center"/>
              <w:rPr>
                <w:rFonts w:ascii="宋体" w:hAnsi="宋体" w:cs="宋体"/>
                <w:color w:val="000000"/>
                <w:szCs w:val="21"/>
              </w:rPr>
            </w:pPr>
          </w:p>
        </w:tc>
        <w:tc>
          <w:tcPr>
            <w:tcW w:w="2906" w:type="dxa"/>
            <w:vAlign w:val="top"/>
          </w:tcPr>
          <w:p w14:paraId="18153CF1">
            <w:pPr>
              <w:pStyle w:val="256"/>
              <w:spacing w:line="300" w:lineRule="exact"/>
              <w:ind w:right="-210"/>
              <w:jc w:val="center"/>
              <w:rPr>
                <w:rFonts w:ascii="宋体" w:hAnsi="宋体" w:cs="宋体"/>
                <w:color w:val="000000"/>
                <w:szCs w:val="21"/>
              </w:rPr>
            </w:pPr>
          </w:p>
        </w:tc>
        <w:tc>
          <w:tcPr>
            <w:tcW w:w="2873" w:type="dxa"/>
            <w:vAlign w:val="top"/>
          </w:tcPr>
          <w:p w14:paraId="40400199">
            <w:pPr>
              <w:pStyle w:val="256"/>
              <w:spacing w:line="300" w:lineRule="exact"/>
              <w:ind w:right="-210"/>
              <w:jc w:val="center"/>
              <w:rPr>
                <w:rFonts w:ascii="宋体" w:hAnsi="宋体" w:cs="宋体"/>
                <w:color w:val="000000"/>
                <w:szCs w:val="21"/>
              </w:rPr>
            </w:pPr>
          </w:p>
        </w:tc>
      </w:tr>
      <w:tr w14:paraId="73B03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879" w:type="dxa"/>
            <w:vAlign w:val="center"/>
          </w:tcPr>
          <w:p w14:paraId="244DB068">
            <w:pPr>
              <w:pStyle w:val="256"/>
              <w:spacing w:line="300" w:lineRule="exact"/>
              <w:ind w:right="-210"/>
              <w:jc w:val="center"/>
              <w:rPr>
                <w:rFonts w:ascii="宋体" w:hAnsi="宋体" w:cs="宋体"/>
                <w:color w:val="000000"/>
                <w:szCs w:val="21"/>
              </w:rPr>
            </w:pPr>
            <w:r>
              <w:rPr>
                <w:rFonts w:hint="eastAsia" w:ascii="宋体" w:hAnsi="宋体" w:cs="宋体"/>
                <w:color w:val="000000"/>
                <w:szCs w:val="21"/>
              </w:rPr>
              <w:t>2</w:t>
            </w:r>
          </w:p>
        </w:tc>
        <w:tc>
          <w:tcPr>
            <w:tcW w:w="1661" w:type="dxa"/>
            <w:vAlign w:val="center"/>
          </w:tcPr>
          <w:p w14:paraId="1FDEA0E1">
            <w:pPr>
              <w:pStyle w:val="256"/>
              <w:spacing w:line="300" w:lineRule="exact"/>
              <w:ind w:right="-210"/>
              <w:jc w:val="center"/>
              <w:rPr>
                <w:rFonts w:ascii="宋体" w:hAnsi="宋体" w:cs="宋体"/>
                <w:color w:val="000000"/>
                <w:szCs w:val="21"/>
              </w:rPr>
            </w:pPr>
          </w:p>
        </w:tc>
        <w:tc>
          <w:tcPr>
            <w:tcW w:w="1359" w:type="dxa"/>
            <w:vAlign w:val="top"/>
          </w:tcPr>
          <w:p w14:paraId="7B6099D4">
            <w:pPr>
              <w:pStyle w:val="256"/>
              <w:spacing w:line="300" w:lineRule="exact"/>
              <w:ind w:right="-210"/>
              <w:jc w:val="center"/>
              <w:rPr>
                <w:rFonts w:ascii="宋体" w:hAnsi="宋体" w:cs="宋体"/>
                <w:color w:val="000000"/>
                <w:szCs w:val="21"/>
              </w:rPr>
            </w:pPr>
          </w:p>
        </w:tc>
        <w:tc>
          <w:tcPr>
            <w:tcW w:w="2906" w:type="dxa"/>
            <w:vAlign w:val="top"/>
          </w:tcPr>
          <w:p w14:paraId="473D4202">
            <w:pPr>
              <w:pStyle w:val="256"/>
              <w:spacing w:line="300" w:lineRule="exact"/>
              <w:ind w:right="-210"/>
              <w:jc w:val="center"/>
              <w:rPr>
                <w:rFonts w:ascii="宋体" w:hAnsi="宋体" w:cs="宋体"/>
                <w:color w:val="000000"/>
                <w:szCs w:val="21"/>
              </w:rPr>
            </w:pPr>
          </w:p>
        </w:tc>
        <w:tc>
          <w:tcPr>
            <w:tcW w:w="2873" w:type="dxa"/>
            <w:vAlign w:val="top"/>
          </w:tcPr>
          <w:p w14:paraId="7582FA0A">
            <w:pPr>
              <w:pStyle w:val="256"/>
              <w:spacing w:line="300" w:lineRule="exact"/>
              <w:ind w:right="-210"/>
              <w:jc w:val="center"/>
              <w:rPr>
                <w:rFonts w:ascii="宋体" w:hAnsi="宋体" w:cs="宋体"/>
                <w:color w:val="000000"/>
                <w:szCs w:val="21"/>
              </w:rPr>
            </w:pPr>
          </w:p>
        </w:tc>
      </w:tr>
      <w:tr w14:paraId="19FD3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jc w:val="center"/>
        </w:trPr>
        <w:tc>
          <w:tcPr>
            <w:tcW w:w="879" w:type="dxa"/>
            <w:vAlign w:val="center"/>
          </w:tcPr>
          <w:p w14:paraId="6D9881D2">
            <w:pPr>
              <w:pStyle w:val="256"/>
              <w:spacing w:line="300" w:lineRule="exact"/>
              <w:ind w:right="-210"/>
              <w:jc w:val="center"/>
              <w:rPr>
                <w:rFonts w:ascii="宋体" w:hAnsi="宋体" w:cs="宋体"/>
                <w:color w:val="000000"/>
                <w:szCs w:val="21"/>
              </w:rPr>
            </w:pPr>
            <w:r>
              <w:rPr>
                <w:rFonts w:hint="eastAsia" w:ascii="宋体" w:hAnsi="宋体" w:cs="宋体"/>
                <w:color w:val="000000"/>
                <w:szCs w:val="21"/>
              </w:rPr>
              <w:t>3</w:t>
            </w:r>
          </w:p>
        </w:tc>
        <w:tc>
          <w:tcPr>
            <w:tcW w:w="1661" w:type="dxa"/>
            <w:vAlign w:val="center"/>
          </w:tcPr>
          <w:p w14:paraId="629602B4">
            <w:pPr>
              <w:pStyle w:val="256"/>
              <w:spacing w:line="300" w:lineRule="exact"/>
              <w:ind w:right="-210"/>
              <w:jc w:val="center"/>
              <w:rPr>
                <w:rFonts w:ascii="宋体" w:hAnsi="宋体" w:cs="宋体"/>
                <w:color w:val="000000"/>
                <w:szCs w:val="21"/>
              </w:rPr>
            </w:pPr>
          </w:p>
        </w:tc>
        <w:tc>
          <w:tcPr>
            <w:tcW w:w="1359" w:type="dxa"/>
            <w:vAlign w:val="top"/>
          </w:tcPr>
          <w:p w14:paraId="01C9FF64">
            <w:pPr>
              <w:pStyle w:val="256"/>
              <w:spacing w:line="300" w:lineRule="exact"/>
              <w:ind w:right="-210"/>
              <w:jc w:val="center"/>
              <w:rPr>
                <w:rFonts w:ascii="宋体" w:hAnsi="宋体" w:cs="宋体"/>
                <w:color w:val="000000"/>
                <w:szCs w:val="21"/>
              </w:rPr>
            </w:pPr>
          </w:p>
        </w:tc>
        <w:tc>
          <w:tcPr>
            <w:tcW w:w="2906" w:type="dxa"/>
            <w:vAlign w:val="top"/>
          </w:tcPr>
          <w:p w14:paraId="6AEA3701">
            <w:pPr>
              <w:pStyle w:val="256"/>
              <w:spacing w:line="300" w:lineRule="exact"/>
              <w:ind w:right="-210"/>
              <w:jc w:val="center"/>
              <w:rPr>
                <w:rFonts w:ascii="宋体" w:hAnsi="宋体" w:cs="宋体"/>
                <w:color w:val="000000"/>
                <w:szCs w:val="21"/>
              </w:rPr>
            </w:pPr>
          </w:p>
        </w:tc>
        <w:tc>
          <w:tcPr>
            <w:tcW w:w="2873" w:type="dxa"/>
            <w:vAlign w:val="top"/>
          </w:tcPr>
          <w:p w14:paraId="0A03AA66">
            <w:pPr>
              <w:pStyle w:val="256"/>
              <w:spacing w:line="300" w:lineRule="exact"/>
              <w:ind w:right="-210"/>
              <w:jc w:val="center"/>
              <w:rPr>
                <w:rFonts w:ascii="宋体" w:hAnsi="宋体" w:cs="宋体"/>
                <w:color w:val="000000"/>
                <w:szCs w:val="21"/>
              </w:rPr>
            </w:pPr>
          </w:p>
        </w:tc>
      </w:tr>
    </w:tbl>
    <w:p w14:paraId="4456ABC3">
      <w:pPr>
        <w:pStyle w:val="480"/>
        <w:rPr>
          <w:rFonts w:hint="eastAsia" w:ascii="宋体" w:hAnsi="宋体"/>
          <w:color w:val="FF0000"/>
          <w:sz w:val="20"/>
          <w:highlight w:val="white"/>
        </w:rPr>
      </w:pPr>
      <w:r>
        <w:rPr>
          <w:rFonts w:hint="eastAsia" w:ascii="宋体" w:hAnsi="宋体"/>
          <w:color w:val="FF0000"/>
          <w:sz w:val="20"/>
          <w:highlight w:val="white"/>
        </w:rPr>
        <w:t xml:space="preserve"> </w:t>
      </w:r>
      <w:bookmarkEnd w:id="192"/>
    </w:p>
    <w:p w14:paraId="0D759539">
      <w:pPr>
        <w:pStyle w:val="257"/>
        <w:jc w:val="center"/>
        <w:rPr>
          <w:rFonts w:hint="eastAsia" w:ascii="新宋体" w:hAnsi="新宋体" w:eastAsia="新宋体" w:cs="新宋体"/>
          <w:b/>
          <w:bCs/>
          <w:sz w:val="36"/>
          <w:szCs w:val="36"/>
        </w:rPr>
      </w:pPr>
      <w:r>
        <w:rPr>
          <w:rFonts w:hint="eastAsia" w:ascii="宋体" w:hAnsi="宋体" w:cs="方正黑体_GBK"/>
          <w:b/>
          <w:bCs/>
          <w:sz w:val="30"/>
          <w:szCs w:val="30"/>
        </w:rPr>
        <w:t>第四部分 调试验收及托管运营专用合同条款</w:t>
      </w:r>
    </w:p>
    <w:p w14:paraId="7F880C3A">
      <w:pPr>
        <w:pStyle w:val="361"/>
        <w:spacing w:line="360" w:lineRule="exact"/>
        <w:ind w:firstLine="482"/>
        <w:rPr>
          <w:rFonts w:hint="eastAsia" w:ascii="新宋体" w:hAnsi="新宋体" w:eastAsia="新宋体" w:cs="新宋体"/>
          <w:sz w:val="24"/>
        </w:rPr>
      </w:pPr>
      <w:r>
        <w:rPr>
          <w:rFonts w:hint="eastAsia" w:ascii="新宋体" w:hAnsi="新宋体" w:eastAsia="新宋体" w:cs="新宋体"/>
          <w:b/>
          <w:bCs/>
          <w:sz w:val="24"/>
        </w:rPr>
        <w:t>工程概况</w:t>
      </w:r>
      <w:r>
        <w:rPr>
          <w:rFonts w:hint="eastAsia" w:ascii="新宋体" w:hAnsi="新宋体" w:eastAsia="新宋体" w:cs="新宋体"/>
          <w:sz w:val="24"/>
        </w:rPr>
        <w:t>：</w:t>
      </w:r>
    </w:p>
    <w:p w14:paraId="20F4858D">
      <w:pPr>
        <w:pStyle w:val="368"/>
        <w:spacing w:line="360" w:lineRule="exact"/>
        <w:ind w:firstLine="480"/>
        <w:rPr>
          <w:rFonts w:hint="eastAsia" w:ascii="新宋体" w:hAnsi="新宋体" w:eastAsia="新宋体" w:cs="新宋体"/>
          <w:szCs w:val="24"/>
        </w:rPr>
      </w:pPr>
      <w:r>
        <w:rPr>
          <w:rFonts w:hint="eastAsia" w:ascii="新宋体" w:hAnsi="新宋体" w:eastAsia="新宋体" w:cs="新宋体"/>
          <w:szCs w:val="24"/>
        </w:rPr>
        <w:t>本项目为</w:t>
      </w:r>
      <w:r>
        <w:rPr>
          <w:rFonts w:ascii="新宋体" w:hAnsi="新宋体" w:eastAsia="新宋体" w:cs="新宋体"/>
          <w:szCs w:val="24"/>
        </w:rPr>
        <w:t>沭阳县</w:t>
      </w:r>
      <w:r>
        <w:rPr>
          <w:rFonts w:hint="eastAsia" w:ascii="新宋体" w:hAnsi="新宋体" w:eastAsia="新宋体" w:cs="新宋体"/>
          <w:szCs w:val="24"/>
          <w:lang w:eastAsia="zh-CN"/>
        </w:rPr>
        <w:t>耿圩镇</w:t>
      </w:r>
      <w:r>
        <w:rPr>
          <w:rFonts w:ascii="新宋体" w:hAnsi="新宋体" w:eastAsia="新宋体" w:cs="新宋体"/>
          <w:szCs w:val="24"/>
        </w:rPr>
        <w:t>污水处理厂提质提标工程</w:t>
      </w:r>
      <w:r>
        <w:rPr>
          <w:rFonts w:hint="eastAsia" w:ascii="新宋体" w:hAnsi="新宋体" w:eastAsia="新宋体" w:cs="新宋体"/>
          <w:szCs w:val="24"/>
        </w:rPr>
        <w:t xml:space="preserve">，处理规模为 </w:t>
      </w:r>
      <w:r>
        <w:rPr>
          <w:rFonts w:hint="eastAsia" w:ascii="新宋体" w:hAnsi="新宋体" w:eastAsia="新宋体" w:cs="新宋体"/>
          <w:szCs w:val="24"/>
          <w:lang w:val="en-US" w:eastAsia="zh-CN"/>
        </w:rPr>
        <w:t>2</w:t>
      </w:r>
      <w:r>
        <w:rPr>
          <w:rFonts w:hint="eastAsia" w:ascii="新宋体" w:hAnsi="新宋体" w:eastAsia="新宋体" w:cs="新宋体"/>
          <w:szCs w:val="24"/>
        </w:rPr>
        <w:t>500 m3/d。工程位于江苏省沭阳县</w:t>
      </w:r>
      <w:r>
        <w:rPr>
          <w:rFonts w:hint="eastAsia" w:ascii="新宋体" w:hAnsi="新宋体" w:eastAsia="新宋体" w:cs="新宋体"/>
          <w:szCs w:val="24"/>
          <w:lang w:eastAsia="zh-CN"/>
        </w:rPr>
        <w:t>耿圩镇</w:t>
      </w:r>
      <w:r>
        <w:rPr>
          <w:rFonts w:hint="eastAsia" w:ascii="新宋体" w:hAnsi="新宋体" w:eastAsia="新宋体" w:cs="新宋体"/>
          <w:szCs w:val="24"/>
        </w:rPr>
        <w:t>。</w:t>
      </w:r>
    </w:p>
    <w:p w14:paraId="0A31208A">
      <w:pPr>
        <w:pStyle w:val="361"/>
        <w:spacing w:line="360" w:lineRule="exact"/>
        <w:ind w:firstLine="120"/>
        <w:rPr>
          <w:rFonts w:hint="eastAsia" w:ascii="新宋体" w:hAnsi="新宋体" w:eastAsia="新宋体" w:cs="新宋体"/>
          <w:sz w:val="24"/>
        </w:rPr>
      </w:pPr>
      <w:r>
        <w:rPr>
          <w:rFonts w:hint="eastAsia" w:ascii="新宋体" w:hAnsi="新宋体" w:eastAsia="新宋体" w:cs="新宋体"/>
          <w:bCs/>
          <w:sz w:val="24"/>
        </w:rPr>
        <w:t>1.1.1设计进出水水质</w:t>
      </w:r>
    </w:p>
    <w:p w14:paraId="338E2452">
      <w:pPr>
        <w:pStyle w:val="368"/>
        <w:spacing w:line="360" w:lineRule="exact"/>
        <w:ind w:firstLine="480"/>
        <w:rPr>
          <w:rFonts w:hint="eastAsia" w:ascii="新宋体" w:hAnsi="新宋体" w:eastAsia="新宋体" w:cs="新宋体"/>
          <w:szCs w:val="24"/>
        </w:rPr>
      </w:pPr>
      <w:r>
        <w:rPr>
          <w:rFonts w:hint="eastAsia" w:ascii="新宋体" w:hAnsi="新宋体" w:eastAsia="新宋体" w:cs="新宋体"/>
          <w:szCs w:val="24"/>
        </w:rPr>
        <w:t>本工程设计进出水水质主要指标如下表所示。</w:t>
      </w:r>
    </w:p>
    <w:p w14:paraId="425656A9">
      <w:pPr>
        <w:pStyle w:val="361"/>
        <w:spacing w:line="360" w:lineRule="exact"/>
        <w:ind w:firstLine="400"/>
        <w:rPr>
          <w:rFonts w:hint="eastAsia" w:ascii="新宋体" w:hAnsi="新宋体" w:eastAsia="新宋体"/>
          <w:sz w:val="24"/>
        </w:rPr>
      </w:pPr>
      <w:bookmarkStart w:id="449" w:name="_Toc475429759"/>
      <w:bookmarkStart w:id="450" w:name="_Toc475116213"/>
      <w:r>
        <w:rPr>
          <w:rFonts w:hint="eastAsia"/>
          <w:color w:val="000000"/>
          <w:szCs w:val="20"/>
        </w:rPr>
        <w:t xml:space="preserve">                                  </w:t>
      </w:r>
      <w:r>
        <w:rPr>
          <w:rFonts w:hint="eastAsia" w:ascii="新宋体" w:hAnsi="新宋体" w:eastAsia="新宋体"/>
          <w:b/>
          <w:sz w:val="24"/>
        </w:rPr>
        <w:t>进水水质</w:t>
      </w:r>
    </w:p>
    <w:tbl>
      <w:tblPr>
        <w:tblStyle w:val="33"/>
        <w:tblW w:w="4998" w:type="pct"/>
        <w:jc w:val="center"/>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23"/>
        <w:gridCol w:w="1241"/>
        <w:gridCol w:w="1241"/>
        <w:gridCol w:w="1243"/>
        <w:gridCol w:w="1243"/>
        <w:gridCol w:w="1243"/>
        <w:gridCol w:w="1244"/>
      </w:tblGrid>
      <w:tr w14:paraId="0B2DE246">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29" w:hRule="atLeast"/>
          <w:jc w:val="center"/>
        </w:trPr>
        <w:tc>
          <w:tcPr>
            <w:tcW w:w="2223" w:type="dxa"/>
            <w:vAlign w:val="center"/>
          </w:tcPr>
          <w:p w14:paraId="722C00A3">
            <w:pPr>
              <w:pStyle w:val="369"/>
              <w:spacing w:line="440" w:lineRule="exact"/>
              <w:rPr>
                <w:rFonts w:hint="eastAsia" w:ascii="新宋体" w:hAnsi="新宋体" w:eastAsia="新宋体"/>
                <w:sz w:val="20"/>
                <w:szCs w:val="20"/>
              </w:rPr>
            </w:pPr>
            <w:r>
              <w:rPr>
                <w:rFonts w:hint="eastAsia" w:ascii="新宋体" w:hAnsi="新宋体" w:eastAsia="新宋体"/>
                <w:sz w:val="20"/>
                <w:szCs w:val="20"/>
              </w:rPr>
              <w:t>进水水质</w:t>
            </w:r>
          </w:p>
          <w:p w14:paraId="730F89D9">
            <w:pPr>
              <w:pStyle w:val="369"/>
              <w:spacing w:line="440" w:lineRule="exact"/>
              <w:rPr>
                <w:rFonts w:ascii="新宋体" w:hAnsi="新宋体" w:eastAsia="新宋体"/>
                <w:sz w:val="20"/>
                <w:szCs w:val="20"/>
              </w:rPr>
            </w:pPr>
            <w:r>
              <w:rPr>
                <w:rFonts w:hint="eastAsia" w:ascii="新宋体" w:hAnsi="新宋体" w:eastAsia="新宋体"/>
                <w:sz w:val="20"/>
                <w:szCs w:val="20"/>
              </w:rPr>
              <w:t>（单位：</w:t>
            </w:r>
            <w:r>
              <w:rPr>
                <w:rFonts w:ascii="新宋体" w:hAnsi="新宋体" w:eastAsia="新宋体"/>
                <w:sz w:val="20"/>
                <w:szCs w:val="20"/>
              </w:rPr>
              <w:t>mg/1</w:t>
            </w:r>
            <w:r>
              <w:rPr>
                <w:rFonts w:hint="eastAsia" w:ascii="新宋体" w:hAnsi="新宋体" w:eastAsia="新宋体"/>
                <w:sz w:val="20"/>
                <w:szCs w:val="20"/>
              </w:rPr>
              <w:t>）</w:t>
            </w:r>
          </w:p>
        </w:tc>
        <w:tc>
          <w:tcPr>
            <w:tcW w:w="1241" w:type="dxa"/>
            <w:vAlign w:val="center"/>
          </w:tcPr>
          <w:p w14:paraId="7907AC2A">
            <w:pPr>
              <w:pStyle w:val="369"/>
              <w:spacing w:line="440" w:lineRule="exact"/>
              <w:rPr>
                <w:rFonts w:hint="eastAsia" w:ascii="新宋体" w:hAnsi="新宋体" w:eastAsia="新宋体"/>
                <w:b/>
                <w:bCs/>
                <w:sz w:val="20"/>
                <w:szCs w:val="20"/>
              </w:rPr>
            </w:pPr>
            <w:r>
              <w:rPr>
                <w:rFonts w:hint="eastAsia" w:ascii="新宋体" w:hAnsi="新宋体" w:eastAsia="新宋体"/>
                <w:b/>
                <w:sz w:val="20"/>
                <w:szCs w:val="20"/>
              </w:rPr>
              <w:t>≤330</w:t>
            </w:r>
          </w:p>
        </w:tc>
        <w:tc>
          <w:tcPr>
            <w:tcW w:w="1241" w:type="dxa"/>
            <w:vAlign w:val="center"/>
          </w:tcPr>
          <w:p w14:paraId="05C7999F">
            <w:pPr>
              <w:pStyle w:val="369"/>
              <w:spacing w:line="440" w:lineRule="exact"/>
              <w:rPr>
                <w:rFonts w:hint="eastAsia" w:ascii="新宋体" w:hAnsi="新宋体" w:eastAsia="新宋体"/>
                <w:b/>
                <w:bCs/>
                <w:sz w:val="20"/>
                <w:szCs w:val="20"/>
              </w:rPr>
            </w:pPr>
            <w:r>
              <w:rPr>
                <w:rFonts w:hint="eastAsia" w:ascii="新宋体" w:hAnsi="新宋体" w:eastAsia="新宋体"/>
                <w:b/>
                <w:sz w:val="20"/>
                <w:szCs w:val="20"/>
              </w:rPr>
              <w:t>≤</w:t>
            </w:r>
            <w:r>
              <w:rPr>
                <w:rFonts w:hint="eastAsia" w:ascii="新宋体" w:hAnsi="新宋体" w:eastAsia="新宋体"/>
                <w:b/>
                <w:bCs/>
                <w:sz w:val="20"/>
                <w:szCs w:val="20"/>
              </w:rPr>
              <w:t>160</w:t>
            </w:r>
          </w:p>
        </w:tc>
        <w:tc>
          <w:tcPr>
            <w:tcW w:w="1243" w:type="dxa"/>
            <w:vAlign w:val="center"/>
          </w:tcPr>
          <w:p w14:paraId="4BBA94CA">
            <w:pPr>
              <w:pStyle w:val="369"/>
              <w:spacing w:line="440" w:lineRule="exact"/>
              <w:rPr>
                <w:rFonts w:ascii="新宋体" w:hAnsi="新宋体" w:eastAsia="新宋体"/>
                <w:b/>
                <w:bCs/>
                <w:sz w:val="20"/>
                <w:szCs w:val="20"/>
              </w:rPr>
            </w:pPr>
            <w:r>
              <w:rPr>
                <w:rFonts w:hint="eastAsia" w:ascii="新宋体" w:hAnsi="新宋体" w:eastAsia="新宋体"/>
                <w:b/>
                <w:sz w:val="20"/>
                <w:szCs w:val="20"/>
              </w:rPr>
              <w:t>≤220</w:t>
            </w:r>
          </w:p>
        </w:tc>
        <w:tc>
          <w:tcPr>
            <w:tcW w:w="1243" w:type="dxa"/>
            <w:vAlign w:val="center"/>
          </w:tcPr>
          <w:p w14:paraId="70A67E95">
            <w:pPr>
              <w:pStyle w:val="369"/>
              <w:spacing w:line="440" w:lineRule="exact"/>
              <w:rPr>
                <w:rFonts w:ascii="新宋体" w:hAnsi="新宋体" w:eastAsia="新宋体"/>
                <w:b/>
                <w:bCs/>
                <w:sz w:val="20"/>
                <w:szCs w:val="20"/>
              </w:rPr>
            </w:pPr>
            <w:r>
              <w:rPr>
                <w:rFonts w:hint="eastAsia" w:ascii="新宋体" w:hAnsi="新宋体" w:eastAsia="新宋体"/>
                <w:b/>
                <w:sz w:val="20"/>
                <w:szCs w:val="20"/>
              </w:rPr>
              <w:t>≤30</w:t>
            </w:r>
          </w:p>
        </w:tc>
        <w:tc>
          <w:tcPr>
            <w:tcW w:w="1243" w:type="dxa"/>
            <w:vAlign w:val="center"/>
          </w:tcPr>
          <w:p w14:paraId="30775FBB">
            <w:pPr>
              <w:pStyle w:val="369"/>
              <w:spacing w:line="440" w:lineRule="exact"/>
              <w:rPr>
                <w:rFonts w:ascii="新宋体" w:hAnsi="新宋体" w:eastAsia="新宋体"/>
                <w:b/>
                <w:bCs/>
                <w:sz w:val="20"/>
                <w:szCs w:val="20"/>
              </w:rPr>
            </w:pPr>
            <w:r>
              <w:rPr>
                <w:rFonts w:hint="eastAsia" w:ascii="新宋体" w:hAnsi="新宋体" w:eastAsia="新宋体"/>
                <w:b/>
                <w:sz w:val="20"/>
                <w:szCs w:val="20"/>
              </w:rPr>
              <w:t>≤4</w:t>
            </w:r>
            <w:r>
              <w:rPr>
                <w:rFonts w:ascii="新宋体" w:hAnsi="新宋体" w:eastAsia="新宋体"/>
                <w:b/>
                <w:sz w:val="20"/>
                <w:szCs w:val="20"/>
              </w:rPr>
              <w:t>0</w:t>
            </w:r>
          </w:p>
        </w:tc>
        <w:tc>
          <w:tcPr>
            <w:tcW w:w="1244" w:type="dxa"/>
            <w:vAlign w:val="center"/>
          </w:tcPr>
          <w:p w14:paraId="6544DDB9">
            <w:pPr>
              <w:pStyle w:val="369"/>
              <w:spacing w:line="440" w:lineRule="exact"/>
              <w:rPr>
                <w:rFonts w:ascii="新宋体" w:hAnsi="新宋体" w:eastAsia="新宋体"/>
                <w:b/>
                <w:bCs/>
                <w:sz w:val="20"/>
                <w:szCs w:val="20"/>
              </w:rPr>
            </w:pPr>
            <w:r>
              <w:rPr>
                <w:rFonts w:hint="eastAsia" w:ascii="新宋体" w:hAnsi="新宋体" w:eastAsia="新宋体"/>
                <w:b/>
                <w:sz w:val="20"/>
                <w:szCs w:val="20"/>
              </w:rPr>
              <w:t>≤4</w:t>
            </w:r>
          </w:p>
        </w:tc>
      </w:tr>
      <w:tr w14:paraId="3085EB7D">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2223" w:type="dxa"/>
            <w:vAlign w:val="center"/>
          </w:tcPr>
          <w:p w14:paraId="0F861562">
            <w:pPr>
              <w:pStyle w:val="369"/>
              <w:spacing w:line="440" w:lineRule="exact"/>
              <w:rPr>
                <w:rFonts w:ascii="新宋体" w:hAnsi="新宋体" w:eastAsia="新宋体"/>
                <w:sz w:val="20"/>
                <w:szCs w:val="20"/>
              </w:rPr>
            </w:pPr>
            <w:r>
              <w:rPr>
                <w:rFonts w:hint="eastAsia" w:ascii="新宋体" w:hAnsi="新宋体" w:eastAsia="新宋体"/>
                <w:sz w:val="20"/>
                <w:szCs w:val="20"/>
              </w:rPr>
              <w:t>水质指标</w:t>
            </w:r>
          </w:p>
        </w:tc>
        <w:tc>
          <w:tcPr>
            <w:tcW w:w="1241" w:type="dxa"/>
            <w:vAlign w:val="center"/>
          </w:tcPr>
          <w:p w14:paraId="089DCC44">
            <w:pPr>
              <w:pStyle w:val="369"/>
              <w:spacing w:line="440" w:lineRule="exact"/>
              <w:rPr>
                <w:rFonts w:hint="eastAsia" w:ascii="新宋体" w:hAnsi="新宋体" w:eastAsia="新宋体"/>
                <w:sz w:val="20"/>
                <w:szCs w:val="20"/>
                <w:vertAlign w:val="subscript"/>
              </w:rPr>
            </w:pPr>
            <w:r>
              <w:rPr>
                <w:rFonts w:ascii="新宋体" w:hAnsi="新宋体" w:eastAsia="新宋体"/>
                <w:sz w:val="20"/>
                <w:szCs w:val="20"/>
              </w:rPr>
              <w:t>COD</w:t>
            </w:r>
            <w:r>
              <w:rPr>
                <w:rFonts w:ascii="新宋体" w:hAnsi="新宋体" w:eastAsia="新宋体"/>
                <w:sz w:val="20"/>
                <w:szCs w:val="20"/>
                <w:vertAlign w:val="subscript"/>
              </w:rPr>
              <w:t>cr</w:t>
            </w:r>
          </w:p>
        </w:tc>
        <w:tc>
          <w:tcPr>
            <w:tcW w:w="1241" w:type="dxa"/>
            <w:vAlign w:val="center"/>
          </w:tcPr>
          <w:p w14:paraId="45CDB0B8">
            <w:pPr>
              <w:pStyle w:val="369"/>
              <w:spacing w:line="440" w:lineRule="exact"/>
              <w:rPr>
                <w:rFonts w:hint="eastAsia" w:ascii="新宋体" w:hAnsi="新宋体" w:eastAsia="新宋体"/>
                <w:sz w:val="20"/>
                <w:szCs w:val="20"/>
                <w:vertAlign w:val="subscript"/>
              </w:rPr>
            </w:pPr>
            <w:r>
              <w:rPr>
                <w:rFonts w:ascii="新宋体" w:hAnsi="新宋体" w:eastAsia="新宋体"/>
                <w:sz w:val="20"/>
                <w:szCs w:val="20"/>
              </w:rPr>
              <w:t>BOD</w:t>
            </w:r>
            <w:r>
              <w:rPr>
                <w:rFonts w:ascii="新宋体" w:hAnsi="新宋体" w:eastAsia="新宋体"/>
                <w:sz w:val="20"/>
                <w:szCs w:val="20"/>
                <w:vertAlign w:val="subscript"/>
              </w:rPr>
              <w:t>5</w:t>
            </w:r>
          </w:p>
        </w:tc>
        <w:tc>
          <w:tcPr>
            <w:tcW w:w="1243" w:type="dxa"/>
            <w:vAlign w:val="center"/>
          </w:tcPr>
          <w:p w14:paraId="4933F202">
            <w:pPr>
              <w:pStyle w:val="369"/>
              <w:spacing w:line="440" w:lineRule="exact"/>
              <w:rPr>
                <w:rFonts w:hint="eastAsia" w:ascii="新宋体" w:hAnsi="新宋体" w:eastAsia="新宋体"/>
                <w:sz w:val="20"/>
                <w:szCs w:val="20"/>
              </w:rPr>
            </w:pPr>
            <w:r>
              <w:rPr>
                <w:rFonts w:ascii="新宋体" w:hAnsi="新宋体" w:eastAsia="新宋体"/>
                <w:sz w:val="20"/>
                <w:szCs w:val="20"/>
              </w:rPr>
              <w:t>SS</w:t>
            </w:r>
          </w:p>
        </w:tc>
        <w:tc>
          <w:tcPr>
            <w:tcW w:w="1243" w:type="dxa"/>
            <w:vAlign w:val="center"/>
          </w:tcPr>
          <w:p w14:paraId="61EB8D91">
            <w:pPr>
              <w:pStyle w:val="369"/>
              <w:spacing w:line="440" w:lineRule="exact"/>
              <w:rPr>
                <w:rFonts w:hint="eastAsia" w:ascii="新宋体" w:hAnsi="新宋体" w:eastAsia="新宋体"/>
                <w:sz w:val="20"/>
                <w:szCs w:val="20"/>
              </w:rPr>
            </w:pPr>
            <w:r>
              <w:rPr>
                <w:rFonts w:ascii="新宋体" w:hAnsi="新宋体" w:eastAsia="新宋体"/>
                <w:sz w:val="20"/>
                <w:szCs w:val="20"/>
              </w:rPr>
              <w:t>NH</w:t>
            </w:r>
            <w:r>
              <w:rPr>
                <w:rFonts w:ascii="新宋体" w:hAnsi="新宋体" w:eastAsia="新宋体"/>
                <w:sz w:val="20"/>
                <w:szCs w:val="20"/>
                <w:vertAlign w:val="subscript"/>
              </w:rPr>
              <w:t>3</w:t>
            </w:r>
            <w:r>
              <w:rPr>
                <w:rFonts w:ascii="新宋体" w:hAnsi="新宋体" w:eastAsia="新宋体"/>
                <w:sz w:val="20"/>
                <w:szCs w:val="20"/>
              </w:rPr>
              <w:t>-N</w:t>
            </w:r>
          </w:p>
        </w:tc>
        <w:tc>
          <w:tcPr>
            <w:tcW w:w="1243" w:type="dxa"/>
            <w:vAlign w:val="center"/>
          </w:tcPr>
          <w:p w14:paraId="5A94DA35">
            <w:pPr>
              <w:pStyle w:val="369"/>
              <w:spacing w:line="440" w:lineRule="exact"/>
              <w:rPr>
                <w:rFonts w:hint="eastAsia" w:ascii="新宋体" w:hAnsi="新宋体" w:eastAsia="新宋体"/>
                <w:sz w:val="20"/>
                <w:szCs w:val="20"/>
              </w:rPr>
            </w:pPr>
            <w:r>
              <w:rPr>
                <w:rFonts w:ascii="新宋体" w:hAnsi="新宋体" w:eastAsia="新宋体"/>
                <w:sz w:val="20"/>
                <w:szCs w:val="20"/>
              </w:rPr>
              <w:t>TN</w:t>
            </w:r>
          </w:p>
        </w:tc>
        <w:tc>
          <w:tcPr>
            <w:tcW w:w="1244" w:type="dxa"/>
            <w:vAlign w:val="center"/>
          </w:tcPr>
          <w:p w14:paraId="5ACAEFD7">
            <w:pPr>
              <w:pStyle w:val="369"/>
              <w:spacing w:line="440" w:lineRule="exact"/>
              <w:rPr>
                <w:rFonts w:hint="eastAsia" w:ascii="新宋体" w:hAnsi="新宋体" w:eastAsia="新宋体"/>
                <w:sz w:val="20"/>
                <w:szCs w:val="20"/>
              </w:rPr>
            </w:pPr>
            <w:r>
              <w:rPr>
                <w:rFonts w:ascii="新宋体" w:hAnsi="新宋体" w:eastAsia="新宋体"/>
                <w:sz w:val="20"/>
                <w:szCs w:val="20"/>
              </w:rPr>
              <w:t>TP</w:t>
            </w:r>
          </w:p>
        </w:tc>
      </w:tr>
    </w:tbl>
    <w:p w14:paraId="7BD904A7">
      <w:pPr>
        <w:spacing w:line="340" w:lineRule="exact"/>
        <w:ind w:firstLine="402"/>
        <w:rPr>
          <w:rFonts w:hint="eastAsia" w:ascii="宋体" w:hAnsi="宋体"/>
          <w:b/>
          <w:sz w:val="20"/>
          <w:szCs w:val="20"/>
        </w:rPr>
      </w:pPr>
      <w:r>
        <w:rPr>
          <w:rFonts w:hint="eastAsia" w:ascii="宋体" w:hAnsi="宋体"/>
          <w:b/>
          <w:sz w:val="20"/>
          <w:szCs w:val="20"/>
        </w:rPr>
        <w:t>注：设计最低水温按10摄氏度计算。</w:t>
      </w:r>
    </w:p>
    <w:p w14:paraId="383A4165">
      <w:pPr>
        <w:spacing w:line="340" w:lineRule="exact"/>
        <w:ind w:firstLine="402"/>
        <w:rPr>
          <w:rFonts w:ascii="宋体" w:hAnsi="宋体"/>
          <w:b/>
          <w:sz w:val="20"/>
          <w:szCs w:val="20"/>
        </w:rPr>
      </w:pPr>
      <w:r>
        <w:rPr>
          <w:rFonts w:hint="eastAsia" w:ascii="宋体" w:hAnsi="宋体"/>
          <w:b/>
          <w:sz w:val="20"/>
          <w:szCs w:val="20"/>
        </w:rPr>
        <w:t>上表为设计进水上限水质，运营人应当自行开展实地研究与论证，进一步确定进水常规水质设计参数，可能存在工业污水排入污水管网问题，设计上应已充分考虑工业废水和生活废水的混合，部分时段可能需处理工业污水。</w:t>
      </w:r>
    </w:p>
    <w:p w14:paraId="7BE4F7EB">
      <w:pPr>
        <w:pStyle w:val="361"/>
        <w:spacing w:line="440" w:lineRule="exact"/>
        <w:ind w:firstLine="3373"/>
        <w:rPr>
          <w:rFonts w:ascii="新宋体" w:hAnsi="新宋体" w:eastAsia="新宋体"/>
          <w:b/>
          <w:sz w:val="24"/>
        </w:rPr>
      </w:pPr>
      <w:r>
        <w:rPr>
          <w:rFonts w:hint="eastAsia" w:ascii="新宋体" w:hAnsi="新宋体" w:eastAsia="新宋体"/>
          <w:b/>
          <w:sz w:val="24"/>
        </w:rPr>
        <w:t>污水排放标准</w:t>
      </w:r>
    </w:p>
    <w:tbl>
      <w:tblPr>
        <w:tblStyle w:val="33"/>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49"/>
        <w:gridCol w:w="1133"/>
        <w:gridCol w:w="1133"/>
        <w:gridCol w:w="870"/>
        <w:gridCol w:w="1397"/>
        <w:gridCol w:w="1133"/>
        <w:gridCol w:w="1133"/>
        <w:gridCol w:w="1130"/>
      </w:tblGrid>
      <w:tr w14:paraId="1DE72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1749" w:type="dxa"/>
            <w:vAlign w:val="center"/>
          </w:tcPr>
          <w:p w14:paraId="5AE9AE98">
            <w:pPr>
              <w:pStyle w:val="369"/>
              <w:spacing w:line="440" w:lineRule="exact"/>
              <w:rPr>
                <w:rFonts w:hint="eastAsia" w:ascii="新宋体" w:hAnsi="新宋体" w:eastAsia="新宋体"/>
                <w:sz w:val="20"/>
                <w:szCs w:val="20"/>
              </w:rPr>
            </w:pPr>
            <w:r>
              <w:rPr>
                <w:rFonts w:hint="eastAsia" w:ascii="新宋体" w:hAnsi="新宋体" w:eastAsia="新宋体"/>
                <w:sz w:val="20"/>
                <w:szCs w:val="20"/>
              </w:rPr>
              <w:t>水质指标</w:t>
            </w:r>
          </w:p>
        </w:tc>
        <w:tc>
          <w:tcPr>
            <w:tcW w:w="1133" w:type="dxa"/>
            <w:vAlign w:val="center"/>
          </w:tcPr>
          <w:p w14:paraId="0B3F8C57">
            <w:pPr>
              <w:pStyle w:val="369"/>
              <w:spacing w:line="440" w:lineRule="exact"/>
              <w:rPr>
                <w:rFonts w:hint="eastAsia" w:ascii="新宋体" w:hAnsi="新宋体" w:eastAsia="新宋体"/>
                <w:sz w:val="20"/>
                <w:szCs w:val="20"/>
              </w:rPr>
            </w:pPr>
            <w:r>
              <w:rPr>
                <w:rFonts w:ascii="新宋体" w:hAnsi="新宋体" w:eastAsia="新宋体"/>
                <w:sz w:val="20"/>
                <w:szCs w:val="20"/>
              </w:rPr>
              <w:t>BOD5</w:t>
            </w:r>
          </w:p>
        </w:tc>
        <w:tc>
          <w:tcPr>
            <w:tcW w:w="1133" w:type="dxa"/>
            <w:vAlign w:val="center"/>
          </w:tcPr>
          <w:p w14:paraId="612E4C69">
            <w:pPr>
              <w:pStyle w:val="369"/>
              <w:spacing w:line="440" w:lineRule="exact"/>
              <w:rPr>
                <w:rFonts w:hint="eastAsia" w:ascii="新宋体" w:hAnsi="新宋体" w:eastAsia="新宋体"/>
                <w:sz w:val="20"/>
                <w:szCs w:val="20"/>
              </w:rPr>
            </w:pPr>
            <w:r>
              <w:rPr>
                <w:rFonts w:ascii="新宋体" w:hAnsi="新宋体" w:eastAsia="新宋体"/>
                <w:sz w:val="20"/>
                <w:szCs w:val="20"/>
              </w:rPr>
              <w:t>CODcr</w:t>
            </w:r>
          </w:p>
        </w:tc>
        <w:tc>
          <w:tcPr>
            <w:tcW w:w="870" w:type="dxa"/>
            <w:vAlign w:val="center"/>
          </w:tcPr>
          <w:p w14:paraId="43A6C1A4">
            <w:pPr>
              <w:pStyle w:val="369"/>
              <w:spacing w:line="440" w:lineRule="exact"/>
              <w:rPr>
                <w:rFonts w:hint="eastAsia" w:ascii="新宋体" w:hAnsi="新宋体" w:eastAsia="新宋体"/>
                <w:sz w:val="20"/>
                <w:szCs w:val="20"/>
              </w:rPr>
            </w:pPr>
            <w:r>
              <w:rPr>
                <w:rFonts w:ascii="新宋体" w:hAnsi="新宋体" w:eastAsia="新宋体"/>
                <w:sz w:val="20"/>
                <w:szCs w:val="20"/>
              </w:rPr>
              <w:t>SS</w:t>
            </w:r>
          </w:p>
        </w:tc>
        <w:tc>
          <w:tcPr>
            <w:tcW w:w="1397" w:type="dxa"/>
            <w:vAlign w:val="center"/>
          </w:tcPr>
          <w:p w14:paraId="74AEAC99">
            <w:pPr>
              <w:pStyle w:val="369"/>
              <w:spacing w:line="440" w:lineRule="exact"/>
              <w:rPr>
                <w:rFonts w:hint="eastAsia" w:ascii="新宋体" w:hAnsi="新宋体" w:eastAsia="新宋体"/>
                <w:sz w:val="20"/>
                <w:szCs w:val="20"/>
              </w:rPr>
            </w:pPr>
            <w:r>
              <w:rPr>
                <w:rFonts w:ascii="新宋体" w:hAnsi="新宋体" w:eastAsia="新宋体"/>
                <w:sz w:val="20"/>
                <w:szCs w:val="20"/>
              </w:rPr>
              <w:t>TN</w:t>
            </w:r>
          </w:p>
        </w:tc>
        <w:tc>
          <w:tcPr>
            <w:tcW w:w="1133" w:type="dxa"/>
            <w:vAlign w:val="center"/>
          </w:tcPr>
          <w:p w14:paraId="058A406A">
            <w:pPr>
              <w:pStyle w:val="369"/>
              <w:spacing w:line="440" w:lineRule="exact"/>
              <w:rPr>
                <w:rFonts w:hint="eastAsia" w:ascii="新宋体" w:hAnsi="新宋体" w:eastAsia="新宋体"/>
                <w:sz w:val="20"/>
                <w:szCs w:val="20"/>
              </w:rPr>
            </w:pPr>
            <w:r>
              <w:rPr>
                <w:rFonts w:ascii="新宋体" w:hAnsi="新宋体" w:eastAsia="新宋体"/>
                <w:sz w:val="20"/>
                <w:szCs w:val="20"/>
              </w:rPr>
              <w:t>NH3-N</w:t>
            </w:r>
          </w:p>
        </w:tc>
        <w:tc>
          <w:tcPr>
            <w:tcW w:w="1133" w:type="dxa"/>
            <w:vAlign w:val="center"/>
          </w:tcPr>
          <w:p w14:paraId="0149C30E">
            <w:pPr>
              <w:pStyle w:val="369"/>
              <w:spacing w:line="440" w:lineRule="exact"/>
              <w:rPr>
                <w:rFonts w:hint="eastAsia" w:ascii="新宋体" w:hAnsi="新宋体" w:eastAsia="新宋体"/>
                <w:sz w:val="20"/>
                <w:szCs w:val="20"/>
              </w:rPr>
            </w:pPr>
            <w:r>
              <w:rPr>
                <w:rFonts w:ascii="新宋体" w:hAnsi="新宋体" w:eastAsia="新宋体"/>
                <w:sz w:val="20"/>
                <w:szCs w:val="20"/>
              </w:rPr>
              <w:t>TP</w:t>
            </w:r>
          </w:p>
        </w:tc>
        <w:tc>
          <w:tcPr>
            <w:tcW w:w="1130" w:type="dxa"/>
            <w:vAlign w:val="center"/>
          </w:tcPr>
          <w:p w14:paraId="5D5EF5F5">
            <w:pPr>
              <w:pStyle w:val="369"/>
              <w:spacing w:line="440" w:lineRule="exact"/>
              <w:rPr>
                <w:rFonts w:ascii="新宋体" w:hAnsi="新宋体" w:eastAsia="新宋体"/>
                <w:sz w:val="20"/>
                <w:szCs w:val="20"/>
              </w:rPr>
            </w:pPr>
            <w:r>
              <w:rPr>
                <w:rFonts w:ascii="新宋体" w:hAnsi="新宋体" w:eastAsia="新宋体"/>
                <w:sz w:val="20"/>
                <w:szCs w:val="20"/>
              </w:rPr>
              <w:t>PH</w:t>
            </w:r>
          </w:p>
        </w:tc>
      </w:tr>
      <w:tr w14:paraId="2E83B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1749" w:type="dxa"/>
            <w:vAlign w:val="center"/>
          </w:tcPr>
          <w:p w14:paraId="0147C601">
            <w:pPr>
              <w:pStyle w:val="369"/>
              <w:spacing w:line="440" w:lineRule="exact"/>
              <w:rPr>
                <w:rFonts w:hint="eastAsia" w:ascii="新宋体" w:hAnsi="新宋体" w:eastAsia="新宋体"/>
                <w:sz w:val="20"/>
                <w:szCs w:val="20"/>
              </w:rPr>
            </w:pPr>
            <w:r>
              <w:rPr>
                <w:rFonts w:hint="eastAsia" w:ascii="新宋体" w:hAnsi="新宋体" w:eastAsia="新宋体"/>
                <w:sz w:val="20"/>
                <w:szCs w:val="20"/>
              </w:rPr>
              <w:t>出水水质</w:t>
            </w:r>
          </w:p>
          <w:p w14:paraId="4A3A719F">
            <w:pPr>
              <w:pStyle w:val="369"/>
              <w:spacing w:line="440" w:lineRule="exact"/>
              <w:rPr>
                <w:rFonts w:ascii="新宋体" w:hAnsi="新宋体" w:eastAsia="新宋体"/>
                <w:sz w:val="20"/>
                <w:szCs w:val="20"/>
              </w:rPr>
            </w:pPr>
            <w:r>
              <w:rPr>
                <w:rFonts w:hint="eastAsia" w:ascii="新宋体" w:hAnsi="新宋体" w:eastAsia="新宋体"/>
                <w:sz w:val="20"/>
                <w:szCs w:val="20"/>
              </w:rPr>
              <w:t>（单位：</w:t>
            </w:r>
            <w:r>
              <w:rPr>
                <w:rFonts w:ascii="新宋体" w:hAnsi="新宋体" w:eastAsia="新宋体"/>
                <w:sz w:val="20"/>
                <w:szCs w:val="20"/>
              </w:rPr>
              <w:t>mg/1</w:t>
            </w:r>
            <w:r>
              <w:rPr>
                <w:rFonts w:hint="eastAsia" w:ascii="新宋体" w:hAnsi="新宋体" w:eastAsia="新宋体"/>
                <w:sz w:val="20"/>
                <w:szCs w:val="20"/>
              </w:rPr>
              <w:t>）</w:t>
            </w:r>
          </w:p>
        </w:tc>
        <w:tc>
          <w:tcPr>
            <w:tcW w:w="1133" w:type="dxa"/>
            <w:vAlign w:val="center"/>
          </w:tcPr>
          <w:p w14:paraId="6F5ED58C">
            <w:pPr>
              <w:pStyle w:val="369"/>
              <w:spacing w:line="440" w:lineRule="exact"/>
              <w:rPr>
                <w:rFonts w:ascii="新宋体" w:hAnsi="新宋体" w:eastAsia="新宋体"/>
                <w:sz w:val="20"/>
                <w:szCs w:val="20"/>
              </w:rPr>
            </w:pPr>
            <w:r>
              <w:rPr>
                <w:rFonts w:hint="eastAsia" w:ascii="新宋体" w:hAnsi="新宋体" w:eastAsia="新宋体"/>
                <w:sz w:val="20"/>
                <w:szCs w:val="20"/>
              </w:rPr>
              <w:t>≤</w:t>
            </w:r>
            <w:r>
              <w:rPr>
                <w:rFonts w:ascii="新宋体" w:hAnsi="新宋体" w:eastAsia="新宋体"/>
                <w:sz w:val="20"/>
                <w:szCs w:val="20"/>
              </w:rPr>
              <w:t>10</w:t>
            </w:r>
          </w:p>
        </w:tc>
        <w:tc>
          <w:tcPr>
            <w:tcW w:w="1133" w:type="dxa"/>
            <w:vAlign w:val="center"/>
          </w:tcPr>
          <w:p w14:paraId="20E0223F">
            <w:pPr>
              <w:pStyle w:val="369"/>
              <w:spacing w:line="440" w:lineRule="exact"/>
              <w:rPr>
                <w:rFonts w:ascii="新宋体" w:hAnsi="新宋体" w:eastAsia="新宋体"/>
                <w:sz w:val="20"/>
                <w:szCs w:val="20"/>
              </w:rPr>
            </w:pPr>
            <w:r>
              <w:rPr>
                <w:rFonts w:hint="eastAsia" w:ascii="新宋体" w:hAnsi="新宋体" w:eastAsia="新宋体"/>
                <w:sz w:val="20"/>
                <w:szCs w:val="20"/>
              </w:rPr>
              <w:t>≤</w:t>
            </w:r>
            <w:r>
              <w:rPr>
                <w:rFonts w:ascii="新宋体" w:hAnsi="新宋体" w:eastAsia="新宋体"/>
                <w:sz w:val="20"/>
                <w:szCs w:val="20"/>
              </w:rPr>
              <w:t>50</w:t>
            </w:r>
          </w:p>
        </w:tc>
        <w:tc>
          <w:tcPr>
            <w:tcW w:w="870" w:type="dxa"/>
            <w:vAlign w:val="center"/>
          </w:tcPr>
          <w:p w14:paraId="5981F094">
            <w:pPr>
              <w:pStyle w:val="369"/>
              <w:spacing w:line="440" w:lineRule="exact"/>
              <w:rPr>
                <w:rFonts w:ascii="新宋体" w:hAnsi="新宋体" w:eastAsia="新宋体"/>
                <w:sz w:val="20"/>
                <w:szCs w:val="20"/>
              </w:rPr>
            </w:pPr>
            <w:r>
              <w:rPr>
                <w:rFonts w:hint="eastAsia" w:ascii="新宋体" w:hAnsi="新宋体" w:eastAsia="新宋体"/>
                <w:sz w:val="20"/>
                <w:szCs w:val="20"/>
              </w:rPr>
              <w:t>≤</w:t>
            </w:r>
            <w:r>
              <w:rPr>
                <w:rFonts w:ascii="新宋体" w:hAnsi="新宋体" w:eastAsia="新宋体"/>
                <w:sz w:val="20"/>
                <w:szCs w:val="20"/>
              </w:rPr>
              <w:t>10</w:t>
            </w:r>
          </w:p>
        </w:tc>
        <w:tc>
          <w:tcPr>
            <w:tcW w:w="1397" w:type="dxa"/>
            <w:vAlign w:val="center"/>
          </w:tcPr>
          <w:p w14:paraId="0579FB1C">
            <w:pPr>
              <w:pStyle w:val="369"/>
              <w:spacing w:line="440" w:lineRule="exact"/>
              <w:rPr>
                <w:rFonts w:ascii="新宋体" w:hAnsi="新宋体" w:eastAsia="新宋体"/>
                <w:sz w:val="20"/>
                <w:szCs w:val="20"/>
              </w:rPr>
            </w:pPr>
            <w:r>
              <w:rPr>
                <w:rFonts w:hint="eastAsia" w:ascii="新宋体" w:hAnsi="新宋体" w:eastAsia="新宋体"/>
                <w:sz w:val="20"/>
                <w:szCs w:val="20"/>
              </w:rPr>
              <w:t>≤12（</w:t>
            </w:r>
            <w:r>
              <w:rPr>
                <w:rFonts w:ascii="新宋体" w:hAnsi="新宋体" w:eastAsia="新宋体"/>
                <w:sz w:val="20"/>
                <w:szCs w:val="20"/>
              </w:rPr>
              <w:t>15</w:t>
            </w:r>
            <w:r>
              <w:rPr>
                <w:rFonts w:hint="eastAsia" w:ascii="新宋体" w:hAnsi="新宋体" w:eastAsia="新宋体"/>
                <w:sz w:val="20"/>
                <w:szCs w:val="20"/>
              </w:rPr>
              <w:t>）</w:t>
            </w:r>
          </w:p>
        </w:tc>
        <w:tc>
          <w:tcPr>
            <w:tcW w:w="1133" w:type="dxa"/>
            <w:vAlign w:val="center"/>
          </w:tcPr>
          <w:p w14:paraId="4274C859">
            <w:pPr>
              <w:pStyle w:val="369"/>
              <w:spacing w:line="440" w:lineRule="exact"/>
              <w:rPr>
                <w:rFonts w:ascii="新宋体" w:hAnsi="新宋体" w:eastAsia="新宋体"/>
                <w:sz w:val="20"/>
                <w:szCs w:val="20"/>
              </w:rPr>
            </w:pPr>
            <w:r>
              <w:rPr>
                <w:rFonts w:hint="eastAsia" w:ascii="新宋体" w:hAnsi="新宋体" w:eastAsia="新宋体"/>
                <w:sz w:val="20"/>
                <w:szCs w:val="20"/>
              </w:rPr>
              <w:t>≤4（6）</w:t>
            </w:r>
          </w:p>
        </w:tc>
        <w:tc>
          <w:tcPr>
            <w:tcW w:w="1133" w:type="dxa"/>
            <w:vAlign w:val="center"/>
          </w:tcPr>
          <w:p w14:paraId="5A3722A7">
            <w:pPr>
              <w:pStyle w:val="369"/>
              <w:spacing w:line="440" w:lineRule="exact"/>
              <w:rPr>
                <w:rFonts w:ascii="新宋体" w:hAnsi="新宋体" w:eastAsia="新宋体"/>
                <w:sz w:val="20"/>
                <w:szCs w:val="20"/>
              </w:rPr>
            </w:pPr>
            <w:r>
              <w:rPr>
                <w:rFonts w:hint="eastAsia" w:ascii="新宋体" w:hAnsi="新宋体" w:eastAsia="新宋体"/>
                <w:sz w:val="20"/>
                <w:szCs w:val="20"/>
              </w:rPr>
              <w:t>≤</w:t>
            </w:r>
            <w:r>
              <w:rPr>
                <w:rFonts w:ascii="新宋体" w:hAnsi="新宋体" w:eastAsia="新宋体"/>
                <w:sz w:val="20"/>
                <w:szCs w:val="20"/>
              </w:rPr>
              <w:t>0.5</w:t>
            </w:r>
          </w:p>
        </w:tc>
        <w:tc>
          <w:tcPr>
            <w:tcW w:w="1130" w:type="dxa"/>
            <w:vAlign w:val="center"/>
          </w:tcPr>
          <w:p w14:paraId="7C5C6E71">
            <w:pPr>
              <w:pStyle w:val="369"/>
              <w:spacing w:line="440" w:lineRule="exact"/>
              <w:rPr>
                <w:rFonts w:ascii="新宋体" w:hAnsi="新宋体" w:eastAsia="新宋体"/>
                <w:sz w:val="20"/>
                <w:szCs w:val="20"/>
              </w:rPr>
            </w:pPr>
            <w:r>
              <w:rPr>
                <w:rFonts w:ascii="新宋体" w:hAnsi="新宋体" w:eastAsia="新宋体"/>
                <w:sz w:val="20"/>
                <w:szCs w:val="20"/>
              </w:rPr>
              <w:t>6-9</w:t>
            </w:r>
          </w:p>
        </w:tc>
      </w:tr>
    </w:tbl>
    <w:p w14:paraId="24EB4EEC">
      <w:pPr>
        <w:spacing w:line="360" w:lineRule="exact"/>
        <w:ind w:firstLine="402"/>
        <w:jc w:val="left"/>
        <w:rPr>
          <w:rFonts w:hint="eastAsia" w:ascii="宋体" w:hAnsi="宋体"/>
          <w:b/>
          <w:sz w:val="20"/>
          <w:szCs w:val="20"/>
        </w:rPr>
      </w:pPr>
      <w:r>
        <w:rPr>
          <w:rFonts w:hint="eastAsia" w:ascii="宋体" w:hAnsi="宋体"/>
          <w:b/>
          <w:sz w:val="20"/>
          <w:szCs w:val="20"/>
        </w:rPr>
        <w:t>每年11月1日至次年3月31日执行括号内排放限值。</w:t>
      </w:r>
    </w:p>
    <w:p w14:paraId="7081096B">
      <w:pPr>
        <w:pStyle w:val="361"/>
        <w:keepNext/>
        <w:keepLines/>
        <w:tabs>
          <w:tab w:val="left" w:pos="833"/>
        </w:tabs>
        <w:spacing w:line="360" w:lineRule="exact"/>
        <w:ind w:firstLine="480"/>
        <w:jc w:val="left"/>
        <w:outlineLvl w:val="2"/>
        <w:rPr>
          <w:rFonts w:hint="eastAsia" w:ascii="新宋体" w:hAnsi="新宋体" w:eastAsia="新宋体" w:cs="新宋体"/>
          <w:bCs/>
          <w:sz w:val="24"/>
        </w:rPr>
      </w:pPr>
      <w:r>
        <w:rPr>
          <w:rFonts w:hint="eastAsia" w:ascii="新宋体" w:hAnsi="新宋体" w:eastAsia="新宋体" w:cs="新宋体"/>
          <w:sz w:val="24"/>
        </w:rPr>
        <w:t>1.1.3</w:t>
      </w:r>
      <w:bookmarkStart w:id="451" w:name="_Toc9471"/>
      <w:r>
        <w:rPr>
          <w:rFonts w:hint="eastAsia" w:ascii="新宋体" w:hAnsi="新宋体" w:eastAsia="新宋体" w:cs="新宋体"/>
          <w:bCs/>
          <w:sz w:val="24"/>
        </w:rPr>
        <w:t>污水厂总图布置</w:t>
      </w:r>
      <w:bookmarkEnd w:id="449"/>
      <w:bookmarkEnd w:id="450"/>
      <w:bookmarkEnd w:id="451"/>
    </w:p>
    <w:p w14:paraId="579E5729">
      <w:pPr>
        <w:pStyle w:val="361"/>
        <w:keepNext/>
        <w:keepLines/>
        <w:suppressLineNumbers/>
        <w:tabs>
          <w:tab w:val="left" w:pos="833"/>
        </w:tabs>
        <w:spacing w:line="360" w:lineRule="exact"/>
        <w:ind w:firstLine="480"/>
        <w:jc w:val="left"/>
        <w:outlineLvl w:val="2"/>
        <w:rPr>
          <w:rFonts w:hint="eastAsia" w:ascii="新宋体" w:hAnsi="新宋体" w:eastAsia="新宋体" w:cs="新宋体"/>
          <w:bCs/>
          <w:sz w:val="24"/>
        </w:rPr>
      </w:pPr>
      <w:bookmarkStart w:id="452" w:name="_Toc475429760"/>
      <w:bookmarkStart w:id="453" w:name="_Toc475116214"/>
      <w:r>
        <w:rPr>
          <w:rFonts w:hint="eastAsia" w:ascii="新宋体" w:hAnsi="新宋体" w:eastAsia="新宋体" w:cs="新宋体"/>
          <w:bCs/>
          <w:sz w:val="24"/>
        </w:rPr>
        <w:t>由投标人提供。</w:t>
      </w:r>
      <w:bookmarkEnd w:id="452"/>
      <w:bookmarkEnd w:id="453"/>
    </w:p>
    <w:p w14:paraId="2EBE423C">
      <w:pPr>
        <w:pStyle w:val="361"/>
        <w:keepNext/>
        <w:keepLines/>
        <w:tabs>
          <w:tab w:val="left" w:pos="833"/>
        </w:tabs>
        <w:spacing w:line="360" w:lineRule="exact"/>
        <w:ind w:firstLine="480"/>
        <w:jc w:val="left"/>
        <w:outlineLvl w:val="2"/>
        <w:rPr>
          <w:rFonts w:hint="eastAsia" w:ascii="新宋体" w:hAnsi="新宋体" w:eastAsia="新宋体" w:cs="新宋体"/>
          <w:b/>
          <w:bCs/>
          <w:sz w:val="24"/>
        </w:rPr>
      </w:pPr>
      <w:bookmarkStart w:id="454" w:name="_Toc475429761"/>
      <w:bookmarkStart w:id="455" w:name="_Toc475116215"/>
      <w:r>
        <w:rPr>
          <w:rFonts w:hint="eastAsia" w:ascii="新宋体" w:hAnsi="新宋体" w:eastAsia="新宋体" w:cs="新宋体"/>
          <w:sz w:val="24"/>
        </w:rPr>
        <w:t>1.1.4</w:t>
      </w:r>
      <w:bookmarkStart w:id="456" w:name="_Toc428371196"/>
      <w:bookmarkStart w:id="457" w:name="_Toc57806243"/>
      <w:bookmarkStart w:id="458" w:name="_Toc428371351"/>
      <w:bookmarkStart w:id="459" w:name="_Toc57872191"/>
      <w:bookmarkStart w:id="460" w:name="_Toc428378060"/>
      <w:bookmarkStart w:id="461" w:name="_Toc428371041"/>
      <w:bookmarkStart w:id="462" w:name="_Toc428377811"/>
      <w:bookmarkStart w:id="463" w:name="_Toc30175754"/>
      <w:bookmarkStart w:id="464" w:name="_Toc30034"/>
      <w:bookmarkStart w:id="465" w:name="_Toc116896479"/>
      <w:bookmarkStart w:id="466" w:name="_Toc428370886"/>
      <w:bookmarkStart w:id="467" w:name="_Toc503949433"/>
      <w:bookmarkStart w:id="468" w:name="_Toc504459963"/>
      <w:bookmarkStart w:id="469" w:name="_Toc31787140"/>
      <w:r>
        <w:rPr>
          <w:rFonts w:hint="eastAsia" w:ascii="新宋体" w:hAnsi="新宋体" w:eastAsia="新宋体" w:cs="新宋体"/>
          <w:b/>
          <w:bCs/>
          <w:sz w:val="24"/>
        </w:rPr>
        <w:t>处理工艺流程</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3DC6A775">
      <w:pPr>
        <w:pStyle w:val="371"/>
        <w:spacing w:line="360" w:lineRule="exact"/>
        <w:ind w:firstLine="482"/>
        <w:jc w:val="left"/>
        <w:rPr>
          <w:rFonts w:hint="eastAsia" w:ascii="新宋体" w:hAnsi="新宋体" w:eastAsia="新宋体" w:cs="新宋体"/>
          <w:b/>
          <w:bCs/>
          <w:szCs w:val="24"/>
        </w:rPr>
      </w:pPr>
      <w:r>
        <w:rPr>
          <w:rFonts w:hint="eastAsia" w:ascii="新宋体" w:hAnsi="新宋体" w:eastAsia="新宋体" w:cs="新宋体"/>
          <w:b/>
          <w:bCs/>
          <w:szCs w:val="24"/>
        </w:rPr>
        <w:t>污水处理</w:t>
      </w:r>
    </w:p>
    <w:p w14:paraId="74A21E07">
      <w:pPr>
        <w:pStyle w:val="361"/>
        <w:spacing w:line="360" w:lineRule="exact"/>
        <w:ind w:firstLine="480"/>
        <w:jc w:val="left"/>
        <w:rPr>
          <w:rFonts w:hint="eastAsia" w:ascii="新宋体" w:hAnsi="新宋体" w:eastAsia="新宋体" w:cs="新宋体"/>
          <w:sz w:val="24"/>
        </w:rPr>
      </w:pPr>
      <w:r>
        <w:rPr>
          <w:rFonts w:hint="eastAsia" w:ascii="新宋体" w:hAnsi="新宋体" w:eastAsia="新宋体" w:cs="新宋体"/>
          <w:sz w:val="24"/>
        </w:rPr>
        <w:t>应按照业主要求处理。</w:t>
      </w:r>
    </w:p>
    <w:p w14:paraId="082AF804">
      <w:pPr>
        <w:pStyle w:val="371"/>
        <w:spacing w:line="360" w:lineRule="exact"/>
        <w:ind w:firstLine="482"/>
        <w:jc w:val="left"/>
        <w:rPr>
          <w:rFonts w:hint="eastAsia" w:ascii="新宋体" w:hAnsi="新宋体" w:eastAsia="新宋体" w:cs="新宋体"/>
          <w:b/>
          <w:bCs/>
          <w:szCs w:val="24"/>
        </w:rPr>
      </w:pPr>
      <w:r>
        <w:rPr>
          <w:rFonts w:hint="eastAsia" w:ascii="新宋体" w:hAnsi="新宋体" w:eastAsia="新宋体" w:cs="新宋体"/>
          <w:b/>
          <w:bCs/>
          <w:szCs w:val="24"/>
        </w:rPr>
        <w:t>污泥处理</w:t>
      </w:r>
    </w:p>
    <w:p w14:paraId="553BCE13">
      <w:pPr>
        <w:pStyle w:val="361"/>
        <w:spacing w:line="360" w:lineRule="exact"/>
        <w:ind w:firstLine="480"/>
        <w:jc w:val="left"/>
        <w:rPr>
          <w:rFonts w:hint="eastAsia" w:ascii="新宋体" w:hAnsi="新宋体" w:eastAsia="新宋体" w:cs="新宋体"/>
          <w:sz w:val="24"/>
        </w:rPr>
      </w:pPr>
      <w:r>
        <w:rPr>
          <w:rFonts w:hint="eastAsia" w:ascii="新宋体" w:hAnsi="新宋体" w:eastAsia="新宋体" w:cs="新宋体"/>
          <w:sz w:val="24"/>
        </w:rPr>
        <w:t>应按照业主要求处理。</w:t>
      </w:r>
    </w:p>
    <w:p w14:paraId="66CE45A2">
      <w:pPr>
        <w:pStyle w:val="372"/>
        <w:spacing w:line="360" w:lineRule="exact"/>
        <w:ind w:firstLine="482"/>
        <w:jc w:val="left"/>
        <w:rPr>
          <w:rFonts w:hint="eastAsia" w:ascii="新宋体" w:hAnsi="新宋体" w:eastAsia="新宋体" w:cs="新宋体"/>
          <w:b/>
          <w:bCs/>
          <w:szCs w:val="24"/>
        </w:rPr>
      </w:pPr>
      <w:r>
        <w:rPr>
          <w:rFonts w:hint="eastAsia" w:ascii="新宋体" w:hAnsi="新宋体" w:eastAsia="新宋体" w:cs="新宋体"/>
          <w:b/>
          <w:bCs/>
          <w:szCs w:val="24"/>
        </w:rPr>
        <w:t>泵站工程</w:t>
      </w:r>
    </w:p>
    <w:p w14:paraId="7F7972E7">
      <w:pPr>
        <w:pStyle w:val="361"/>
        <w:spacing w:line="360" w:lineRule="exact"/>
        <w:ind w:firstLine="480"/>
        <w:jc w:val="left"/>
        <w:rPr>
          <w:rFonts w:hint="eastAsia" w:ascii="新宋体" w:hAnsi="新宋体" w:eastAsia="新宋体" w:cs="新宋体"/>
          <w:sz w:val="24"/>
        </w:rPr>
      </w:pPr>
      <w:r>
        <w:rPr>
          <w:rFonts w:hint="eastAsia" w:ascii="新宋体" w:hAnsi="新宋体" w:eastAsia="新宋体" w:cs="新宋体"/>
          <w:sz w:val="24"/>
        </w:rPr>
        <w:t>应按照业主要求处理。</w:t>
      </w:r>
    </w:p>
    <w:p w14:paraId="1CB9FCB2">
      <w:pPr>
        <w:pStyle w:val="361"/>
        <w:spacing w:line="360" w:lineRule="exact"/>
        <w:ind w:firstLine="482"/>
        <w:jc w:val="left"/>
        <w:rPr>
          <w:rFonts w:hint="eastAsia" w:ascii="新宋体" w:hAnsi="新宋体" w:eastAsia="新宋体" w:cs="新宋体"/>
          <w:b/>
          <w:bCs/>
          <w:sz w:val="24"/>
        </w:rPr>
      </w:pPr>
      <w:r>
        <w:rPr>
          <w:rFonts w:hint="eastAsia" w:ascii="新宋体" w:hAnsi="新宋体" w:eastAsia="新宋体" w:cs="新宋体"/>
          <w:b/>
          <w:bCs/>
          <w:sz w:val="24"/>
        </w:rPr>
        <w:t>1.2工程范围</w:t>
      </w:r>
    </w:p>
    <w:p w14:paraId="4C90ACB7">
      <w:pPr>
        <w:pStyle w:val="361"/>
        <w:spacing w:line="360" w:lineRule="exact"/>
        <w:ind w:firstLine="480"/>
        <w:jc w:val="left"/>
        <w:rPr>
          <w:rFonts w:hint="eastAsia" w:ascii="新宋体" w:hAnsi="新宋体" w:eastAsia="新宋体" w:cs="新宋体"/>
          <w:sz w:val="24"/>
        </w:rPr>
      </w:pPr>
      <w:r>
        <w:rPr>
          <w:rFonts w:hint="eastAsia" w:ascii="新宋体" w:hAnsi="新宋体" w:eastAsia="新宋体" w:cs="新宋体"/>
          <w:sz w:val="24"/>
        </w:rPr>
        <w:t>1.2.1概述</w:t>
      </w:r>
    </w:p>
    <w:p w14:paraId="688CEEBB">
      <w:pPr>
        <w:pStyle w:val="586"/>
        <w:spacing w:line="360" w:lineRule="exact"/>
        <w:ind w:firstLine="480"/>
        <w:jc w:val="left"/>
        <w:rPr>
          <w:rFonts w:hint="eastAsia" w:ascii="新宋体" w:hAnsi="新宋体" w:eastAsia="新宋体" w:cs="新宋体"/>
        </w:rPr>
      </w:pPr>
      <w:r>
        <w:rPr>
          <w:rStyle w:val="585"/>
          <w:rFonts w:hint="eastAsia" w:ascii="新宋体" w:hAnsi="新宋体" w:eastAsia="新宋体" w:cs="新宋体"/>
        </w:rPr>
        <w:t>本期工程在按照业主施工要求实施，投标人完成包括但不限于土木工程建设、设备采购、设备安装、设备调试、工艺调试、试运行、人员培训、售后服务及环保验收后运行一年的服务等。基于本工程由乙方负责调试，环评，环保验收及运营。本污水处理厂调试验收托管运营的合同如下：</w:t>
      </w:r>
    </w:p>
    <w:p w14:paraId="33C12C7D">
      <w:pPr>
        <w:pStyle w:val="361"/>
        <w:spacing w:line="440" w:lineRule="exact"/>
        <w:jc w:val="center"/>
        <w:rPr>
          <w:rFonts w:hint="eastAsia" w:ascii="新宋体" w:hAnsi="新宋体" w:eastAsia="新宋体" w:cs="新宋体"/>
          <w:b/>
          <w:sz w:val="28"/>
          <w:szCs w:val="28"/>
        </w:rPr>
      </w:pPr>
      <w:r>
        <w:rPr>
          <w:rFonts w:hint="eastAsia" w:ascii="新宋体" w:hAnsi="新宋体" w:eastAsia="新宋体" w:cs="新宋体"/>
          <w:b/>
          <w:sz w:val="36"/>
          <w:szCs w:val="36"/>
        </w:rPr>
        <w:br w:type="page" w:clear="all"/>
      </w:r>
      <w:r>
        <w:rPr>
          <w:rFonts w:hint="eastAsia" w:ascii="新宋体" w:hAnsi="新宋体" w:eastAsia="新宋体" w:cs="新宋体"/>
          <w:b/>
          <w:sz w:val="28"/>
          <w:szCs w:val="28"/>
        </w:rPr>
        <w:t>一、 定义和释义</w:t>
      </w:r>
    </w:p>
    <w:p w14:paraId="44E911E0">
      <w:pPr>
        <w:pStyle w:val="373"/>
        <w:spacing w:before="0" w:after="0" w:line="400" w:lineRule="exact"/>
        <w:ind w:firstLine="480"/>
        <w:jc w:val="left"/>
        <w:rPr>
          <w:rFonts w:hint="eastAsia" w:ascii="新宋体" w:hAnsi="新宋体" w:eastAsia="新宋体" w:cs="新宋体"/>
          <w:b w:val="0"/>
          <w:bCs w:val="0"/>
          <w:sz w:val="24"/>
          <w:szCs w:val="24"/>
        </w:rPr>
      </w:pPr>
      <w:bookmarkStart w:id="470" w:name="_Toc474676897"/>
      <w:bookmarkStart w:id="471" w:name="_Toc326735931"/>
      <w:bookmarkStart w:id="472" w:name="_Toc475429762"/>
      <w:bookmarkStart w:id="473" w:name="_Toc475116216"/>
      <w:r>
        <w:rPr>
          <w:rFonts w:hint="eastAsia" w:ascii="新宋体" w:hAnsi="新宋体" w:eastAsia="新宋体" w:cs="新宋体"/>
          <w:b w:val="0"/>
          <w:bCs w:val="0"/>
          <w:sz w:val="24"/>
          <w:szCs w:val="24"/>
        </w:rPr>
        <w:t>第一条 定义</w:t>
      </w:r>
      <w:bookmarkEnd w:id="470"/>
      <w:bookmarkEnd w:id="471"/>
      <w:bookmarkEnd w:id="472"/>
      <w:bookmarkEnd w:id="473"/>
    </w:p>
    <w:p w14:paraId="4EF5A4A2">
      <w:pPr>
        <w:pStyle w:val="361"/>
        <w:spacing w:line="400" w:lineRule="exact"/>
        <w:ind w:firstLine="480"/>
        <w:jc w:val="left"/>
        <w:rPr>
          <w:rFonts w:ascii="新宋体" w:hAnsi="新宋体" w:eastAsia="新宋体" w:cs="新宋体"/>
          <w:sz w:val="24"/>
        </w:rPr>
      </w:pPr>
      <w:r>
        <w:rPr>
          <w:rFonts w:hint="eastAsia" w:ascii="新宋体" w:hAnsi="新宋体" w:eastAsia="新宋体" w:cs="新宋体"/>
          <w:sz w:val="24"/>
        </w:rPr>
        <w:t>（1）保底水量：指甲方承诺的托管运行期内任一运营日的最低污水处理量，如果任一运营 日的实际污水处理量低于该水量，甲方仍须按该水量计付乙方污水处理服务费。</w:t>
      </w:r>
      <w:r>
        <w:rPr>
          <w:rFonts w:ascii="新宋体" w:hAnsi="新宋体" w:eastAsia="新宋体" w:cs="新宋体"/>
          <w:sz w:val="24"/>
        </w:rPr>
        <w:t>该项目无保底水量，来水将优先由原污水处理厂处理。</w:t>
      </w:r>
    </w:p>
    <w:p w14:paraId="64345739">
      <w:pPr>
        <w:pStyle w:val="361"/>
        <w:spacing w:line="400" w:lineRule="exact"/>
        <w:ind w:firstLine="480"/>
        <w:jc w:val="left"/>
        <w:rPr>
          <w:rFonts w:hint="eastAsia" w:ascii="新宋体" w:hAnsi="新宋体" w:eastAsia="新宋体" w:cs="新宋体"/>
          <w:sz w:val="24"/>
        </w:rPr>
      </w:pPr>
      <w:r>
        <w:rPr>
          <w:rFonts w:hint="eastAsia" w:ascii="新宋体" w:hAnsi="新宋体" w:eastAsia="新宋体" w:cs="新宋体"/>
          <w:sz w:val="24"/>
        </w:rPr>
        <w:t xml:space="preserve">（2）实际日污水处理量：指每一运营日从流量计上读取的进水或出水水量。 </w:t>
      </w:r>
    </w:p>
    <w:p w14:paraId="757DCAC6">
      <w:pPr>
        <w:pStyle w:val="361"/>
        <w:spacing w:line="400" w:lineRule="exact"/>
        <w:ind w:firstLine="480"/>
        <w:jc w:val="left"/>
        <w:rPr>
          <w:rFonts w:hint="eastAsia" w:ascii="新宋体" w:hAnsi="新宋体" w:eastAsia="新宋体" w:cs="新宋体"/>
          <w:sz w:val="24"/>
        </w:rPr>
      </w:pPr>
      <w:r>
        <w:rPr>
          <w:rFonts w:hint="eastAsia" w:ascii="新宋体" w:hAnsi="新宋体" w:eastAsia="新宋体" w:cs="新宋体"/>
          <w:sz w:val="24"/>
        </w:rPr>
        <w:t xml:space="preserve">（3）实际月处理水量：每月的月初至月底双方从流量计上读取的进水或出水水量。 </w:t>
      </w:r>
    </w:p>
    <w:p w14:paraId="2D622ABE">
      <w:pPr>
        <w:pStyle w:val="361"/>
        <w:spacing w:line="400" w:lineRule="exact"/>
        <w:ind w:firstLine="480"/>
        <w:jc w:val="left"/>
        <w:rPr>
          <w:rFonts w:hint="eastAsia" w:ascii="新宋体" w:hAnsi="新宋体" w:eastAsia="新宋体" w:cs="新宋体"/>
          <w:sz w:val="24"/>
        </w:rPr>
      </w:pPr>
      <w:r>
        <w:rPr>
          <w:rFonts w:hint="eastAsia" w:ascii="新宋体" w:hAnsi="新宋体" w:eastAsia="新宋体" w:cs="新宋体"/>
          <w:sz w:val="24"/>
        </w:rPr>
        <w:t>（4）污水处理服务费：指甲方就乙方所运行的污水处理厂按本协议规定处理污水所应向乙方支付的费用。污水处理服务费单价为：</w:t>
      </w:r>
      <w:r>
        <w:rPr>
          <w:rFonts w:hint="eastAsia" w:ascii="新宋体" w:hAnsi="新宋体" w:eastAsia="新宋体" w:cs="新宋体"/>
          <w:sz w:val="24"/>
          <w:u w:val="single"/>
        </w:rPr>
        <w:t xml:space="preserve">       </w:t>
      </w:r>
      <w:r>
        <w:rPr>
          <w:rFonts w:hint="eastAsia" w:ascii="新宋体" w:hAnsi="新宋体" w:eastAsia="新宋体" w:cs="新宋体"/>
          <w:sz w:val="24"/>
        </w:rPr>
        <w:t xml:space="preserve">元/吨       </w:t>
      </w:r>
    </w:p>
    <w:p w14:paraId="7A211CCD">
      <w:pPr>
        <w:pStyle w:val="361"/>
        <w:spacing w:line="400" w:lineRule="exact"/>
        <w:ind w:firstLine="480"/>
        <w:jc w:val="left"/>
        <w:rPr>
          <w:rFonts w:hint="eastAsia" w:ascii="新宋体" w:hAnsi="新宋体" w:eastAsia="新宋体" w:cs="新宋体"/>
          <w:sz w:val="24"/>
        </w:rPr>
      </w:pPr>
      <w:r>
        <w:rPr>
          <w:rFonts w:hint="eastAsia" w:ascii="新宋体" w:hAnsi="新宋体" w:eastAsia="新宋体" w:cs="新宋体"/>
          <w:sz w:val="24"/>
        </w:rPr>
        <w:t>（6）污水处理厂：指乙方依据甲方委托所运行的</w:t>
      </w:r>
      <w:r>
        <w:rPr>
          <w:rFonts w:ascii="新宋体" w:hAnsi="新宋体" w:eastAsia="新宋体" w:cs="新宋体"/>
          <w:sz w:val="24"/>
          <w:u w:val="single"/>
        </w:rPr>
        <w:t>沭阳县</w:t>
      </w:r>
      <w:r>
        <w:rPr>
          <w:rFonts w:hint="eastAsia" w:ascii="新宋体" w:hAnsi="新宋体" w:eastAsia="新宋体" w:cs="新宋体"/>
          <w:sz w:val="24"/>
          <w:u w:val="single"/>
          <w:lang w:eastAsia="zh-CN"/>
        </w:rPr>
        <w:t>耿圩镇</w:t>
      </w:r>
      <w:r>
        <w:rPr>
          <w:rFonts w:ascii="新宋体" w:hAnsi="新宋体" w:eastAsia="新宋体" w:cs="新宋体"/>
          <w:sz w:val="24"/>
          <w:u w:val="single"/>
        </w:rPr>
        <w:t>污水处理厂提质提标</w:t>
      </w:r>
      <w:r>
        <w:rPr>
          <w:rFonts w:hint="eastAsia" w:ascii="新宋体" w:hAnsi="新宋体" w:eastAsia="新宋体" w:cs="新宋体"/>
          <w:sz w:val="24"/>
          <w:u w:val="single"/>
        </w:rPr>
        <w:t>工程</w:t>
      </w:r>
      <w:r>
        <w:rPr>
          <w:rFonts w:hint="eastAsia" w:ascii="新宋体" w:hAnsi="新宋体" w:eastAsia="新宋体" w:cs="新宋体"/>
          <w:sz w:val="24"/>
        </w:rPr>
        <w:t xml:space="preserve">，乙方拥有协议期内的生产运行权，该污水处理厂的固定资产所有权归甲方所有。 </w:t>
      </w:r>
    </w:p>
    <w:p w14:paraId="6FCDBE51">
      <w:pPr>
        <w:pStyle w:val="361"/>
        <w:spacing w:line="400" w:lineRule="exact"/>
        <w:ind w:firstLine="480"/>
        <w:jc w:val="left"/>
        <w:rPr>
          <w:rFonts w:hint="eastAsia" w:ascii="新宋体" w:hAnsi="新宋体" w:eastAsia="新宋体" w:cs="新宋体"/>
          <w:sz w:val="24"/>
        </w:rPr>
      </w:pPr>
      <w:r>
        <w:rPr>
          <w:rFonts w:hint="eastAsia" w:ascii="新宋体" w:hAnsi="新宋体" w:eastAsia="新宋体" w:cs="新宋体"/>
          <w:sz w:val="24"/>
        </w:rPr>
        <w:t>（7）项目设施：指</w:t>
      </w:r>
      <w:r>
        <w:rPr>
          <w:rFonts w:hint="eastAsia" w:ascii="新宋体" w:hAnsi="新宋体" w:eastAsia="新宋体" w:cs="新宋体"/>
          <w:sz w:val="24"/>
          <w:u w:val="single"/>
        </w:rPr>
        <w:t xml:space="preserve"> </w:t>
      </w:r>
      <w:r>
        <w:rPr>
          <w:rFonts w:ascii="新宋体" w:hAnsi="新宋体" w:eastAsia="新宋体" w:cs="新宋体"/>
          <w:sz w:val="24"/>
          <w:u w:val="single"/>
        </w:rPr>
        <w:t>沭阳县</w:t>
      </w:r>
      <w:r>
        <w:rPr>
          <w:rFonts w:hint="eastAsia" w:ascii="新宋体" w:hAnsi="新宋体" w:eastAsia="新宋体" w:cs="新宋体"/>
          <w:sz w:val="24"/>
          <w:u w:val="single"/>
          <w:lang w:eastAsia="zh-CN"/>
        </w:rPr>
        <w:t>耿圩镇</w:t>
      </w:r>
      <w:r>
        <w:rPr>
          <w:rFonts w:ascii="新宋体" w:hAnsi="新宋体" w:eastAsia="新宋体" w:cs="新宋体"/>
          <w:sz w:val="24"/>
          <w:u w:val="single"/>
        </w:rPr>
        <w:t>污水处理厂提质提标工程</w:t>
      </w:r>
      <w:r>
        <w:rPr>
          <w:rFonts w:hint="eastAsia" w:ascii="新宋体" w:hAnsi="新宋体" w:eastAsia="新宋体" w:cs="新宋体"/>
          <w:sz w:val="24"/>
        </w:rPr>
        <w:t xml:space="preserve">的全部实物资产。 </w:t>
      </w:r>
    </w:p>
    <w:p w14:paraId="103AD3A5">
      <w:pPr>
        <w:pStyle w:val="361"/>
        <w:spacing w:line="400" w:lineRule="exact"/>
        <w:ind w:firstLine="480"/>
        <w:jc w:val="left"/>
        <w:rPr>
          <w:rFonts w:hint="eastAsia" w:ascii="新宋体" w:hAnsi="新宋体" w:eastAsia="新宋体" w:cs="新宋体"/>
          <w:sz w:val="24"/>
        </w:rPr>
      </w:pPr>
      <w:r>
        <w:rPr>
          <w:rFonts w:hint="eastAsia" w:ascii="新宋体" w:hAnsi="新宋体" w:eastAsia="新宋体" w:cs="新宋体"/>
          <w:sz w:val="24"/>
        </w:rPr>
        <w:t xml:space="preserve">（8）项目或本项目：指由甲方与乙方签署本协议，授予乙方在托管运营期限内运行项目 设施的独家权利，由乙方提供污水处理服务并收取污水处理服务费，在托管运营期满后将项目设施全部完全、无偿移交给甲方，并保证正常运行。（对于因生产需要，双方协调处理添置的设备仪器，按折旧法移交甲方，合理收取一定费用）  </w:t>
      </w:r>
    </w:p>
    <w:p w14:paraId="6729B43A">
      <w:pPr>
        <w:pStyle w:val="361"/>
        <w:spacing w:line="400" w:lineRule="exact"/>
        <w:ind w:firstLine="480"/>
        <w:jc w:val="left"/>
        <w:rPr>
          <w:rFonts w:hint="eastAsia" w:ascii="新宋体" w:hAnsi="新宋体" w:eastAsia="新宋体" w:cs="新宋体"/>
          <w:sz w:val="24"/>
        </w:rPr>
      </w:pPr>
      <w:r>
        <w:rPr>
          <w:rFonts w:hint="eastAsia" w:ascii="新宋体" w:hAnsi="新宋体" w:eastAsia="新宋体" w:cs="新宋体"/>
          <w:sz w:val="24"/>
        </w:rPr>
        <w:t xml:space="preserve">（9）法律变更：指立法机关和政府部门颁布、修改、废除或重新解释的任何适用法律。 </w:t>
      </w:r>
    </w:p>
    <w:p w14:paraId="44BF519F">
      <w:pPr>
        <w:pStyle w:val="361"/>
        <w:spacing w:line="400" w:lineRule="exact"/>
        <w:ind w:firstLine="480"/>
        <w:jc w:val="left"/>
        <w:rPr>
          <w:rFonts w:hint="eastAsia" w:ascii="新宋体" w:hAnsi="新宋体" w:eastAsia="新宋体" w:cs="新宋体"/>
          <w:sz w:val="24"/>
        </w:rPr>
      </w:pPr>
      <w:r>
        <w:rPr>
          <w:rFonts w:hint="eastAsia" w:ascii="新宋体" w:hAnsi="新宋体" w:eastAsia="新宋体" w:cs="新宋体"/>
          <w:sz w:val="24"/>
        </w:rPr>
        <w:t xml:space="preserve">（10）污泥：指在污水处理过程中产生的泥类物质。  </w:t>
      </w:r>
    </w:p>
    <w:p w14:paraId="266BCFFC">
      <w:pPr>
        <w:pStyle w:val="361"/>
        <w:spacing w:line="400" w:lineRule="exact"/>
        <w:ind w:firstLine="480"/>
        <w:jc w:val="left"/>
        <w:rPr>
          <w:rFonts w:hint="eastAsia" w:ascii="新宋体" w:hAnsi="新宋体" w:eastAsia="新宋体" w:cs="新宋体"/>
          <w:sz w:val="24"/>
        </w:rPr>
      </w:pPr>
      <w:r>
        <w:rPr>
          <w:rFonts w:hint="eastAsia" w:ascii="新宋体" w:hAnsi="新宋体" w:eastAsia="新宋体" w:cs="新宋体"/>
          <w:sz w:val="24"/>
        </w:rPr>
        <w:t xml:space="preserve">（11）日常检测指标：指项目设施运行期间日常必须检测的理化指标，包括：进出水的化学需氧量CODcr、悬浮物SS、氨氮NH3-N、TN、TP、PH值等。 </w:t>
      </w:r>
    </w:p>
    <w:p w14:paraId="695B1B5F">
      <w:pPr>
        <w:pStyle w:val="361"/>
        <w:spacing w:line="400" w:lineRule="exact"/>
        <w:ind w:firstLine="480"/>
        <w:jc w:val="left"/>
        <w:rPr>
          <w:rFonts w:hint="eastAsia" w:ascii="新宋体" w:hAnsi="新宋体" w:eastAsia="新宋体" w:cs="新宋体"/>
          <w:sz w:val="24"/>
        </w:rPr>
      </w:pPr>
      <w:r>
        <w:rPr>
          <w:rFonts w:hint="eastAsia" w:ascii="新宋体" w:hAnsi="新宋体" w:eastAsia="新宋体" w:cs="新宋体"/>
          <w:sz w:val="24"/>
        </w:rPr>
        <w:t xml:space="preserve">（12）不可抗力：指本协议25.1款所规定的不能合理预见、不能克服并且不能避免的事件。  </w:t>
      </w:r>
    </w:p>
    <w:p w14:paraId="1AAD5BC7">
      <w:pPr>
        <w:pStyle w:val="361"/>
        <w:spacing w:line="400" w:lineRule="exact"/>
        <w:ind w:firstLine="480"/>
        <w:jc w:val="left"/>
        <w:rPr>
          <w:rFonts w:hint="eastAsia" w:ascii="新宋体" w:hAnsi="新宋体" w:eastAsia="新宋体" w:cs="新宋体"/>
          <w:sz w:val="24"/>
        </w:rPr>
      </w:pPr>
      <w:r>
        <w:rPr>
          <w:rFonts w:hint="eastAsia" w:ascii="新宋体" w:hAnsi="新宋体" w:eastAsia="新宋体" w:cs="新宋体"/>
          <w:sz w:val="24"/>
        </w:rPr>
        <w:t>（13）常规运营惯例：指污水处理厂的运营者进行类似本项目的运营时所采用或接受的惯 例、方法和作法。该等作法包括但不限于：</w:t>
      </w:r>
    </w:p>
    <w:p w14:paraId="1B449C88">
      <w:pPr>
        <w:pStyle w:val="361"/>
        <w:spacing w:line="400" w:lineRule="exact"/>
        <w:ind w:firstLine="480"/>
        <w:jc w:val="left"/>
        <w:rPr>
          <w:rFonts w:hint="eastAsia" w:ascii="新宋体" w:hAnsi="新宋体" w:eastAsia="新宋体" w:cs="新宋体"/>
          <w:sz w:val="24"/>
        </w:rPr>
      </w:pPr>
      <w:r>
        <w:rPr>
          <w:rFonts w:hint="eastAsia" w:ascii="新宋体" w:hAnsi="新宋体" w:eastAsia="新宋体" w:cs="新宋体"/>
          <w:sz w:val="24"/>
        </w:rPr>
        <w:t xml:space="preserve">(a)项目设施设备完好率不低于95%； (b)正常运营条件下及合理预测非正常条件下拥有所需的充足材料、资源和供应品；(c)由专业技术人员使用适当设备、工具和程序实施正常维护和修理，以确保项目设施长期、可靠和安全地运行；各类技术管理人员应保持适当的比例； (d)拥有足够数量、充足经验并经过培训的工作人员，以恰当有效地按照项目设施各项有关设备的操作手册和规范运营，并能够处理紧急情况； (e)制定应对突发事件的应急预案；  (f)经常进行恰当的监测和测试，以确保项目设施的正常运行；  (g)按照国家有关安全生产管理的规定安全平稳运行项目设施，并保证工人、公众及环境的安全，并遵守有关设备设施的操作规程及各项限制性要求； (h)符合城市文明创建的要求，包括厂容厂貌、室内外环境、设施设备卫生管理等。  </w:t>
      </w:r>
    </w:p>
    <w:p w14:paraId="0B005402">
      <w:pPr>
        <w:pStyle w:val="361"/>
        <w:spacing w:line="400" w:lineRule="exact"/>
        <w:ind w:firstLine="480"/>
        <w:jc w:val="left"/>
        <w:rPr>
          <w:rFonts w:hint="eastAsia" w:ascii="新宋体" w:hAnsi="新宋体" w:eastAsia="新宋体" w:cs="新宋体"/>
          <w:sz w:val="24"/>
        </w:rPr>
      </w:pPr>
      <w:r>
        <w:rPr>
          <w:rFonts w:hint="eastAsia" w:ascii="新宋体" w:hAnsi="新宋体" w:eastAsia="新宋体" w:cs="新宋体"/>
          <w:sz w:val="24"/>
        </w:rPr>
        <w:t>（14）本协议：指承包方和发包方双方所达成的协议，即由双方签订的关于本项目的基本文件，以 及为解释执行、调整本协议所签订的所有的附件、附录和其他文件。</w:t>
      </w:r>
    </w:p>
    <w:p w14:paraId="602200CA">
      <w:pPr>
        <w:pStyle w:val="361"/>
        <w:spacing w:line="400" w:lineRule="exact"/>
        <w:ind w:firstLine="480"/>
        <w:jc w:val="left"/>
        <w:rPr>
          <w:rFonts w:hint="eastAsia" w:ascii="新宋体" w:hAnsi="新宋体" w:eastAsia="新宋体" w:cs="新宋体"/>
          <w:sz w:val="24"/>
        </w:rPr>
      </w:pPr>
      <w:r>
        <w:rPr>
          <w:rFonts w:hint="eastAsia" w:ascii="新宋体" w:hAnsi="新宋体" w:eastAsia="新宋体" w:cs="新宋体"/>
          <w:sz w:val="24"/>
        </w:rPr>
        <w:t>第二条 解释</w:t>
      </w:r>
    </w:p>
    <w:p w14:paraId="309A7AEE">
      <w:pPr>
        <w:pStyle w:val="361"/>
        <w:spacing w:line="400" w:lineRule="exact"/>
        <w:ind w:firstLine="480"/>
        <w:jc w:val="left"/>
        <w:rPr>
          <w:rFonts w:hint="eastAsia" w:ascii="新宋体" w:hAnsi="新宋体" w:eastAsia="新宋体" w:cs="新宋体"/>
          <w:sz w:val="24"/>
        </w:rPr>
      </w:pPr>
      <w:r>
        <w:rPr>
          <w:rFonts w:hint="eastAsia" w:ascii="新宋体" w:hAnsi="新宋体" w:eastAsia="新宋体" w:cs="新宋体"/>
          <w:sz w:val="24"/>
        </w:rPr>
        <w:t xml:space="preserve">对本协议的解释应依照以下原则进行：  </w:t>
      </w:r>
    </w:p>
    <w:p w14:paraId="4D06729D">
      <w:pPr>
        <w:pStyle w:val="361"/>
        <w:spacing w:line="400" w:lineRule="exact"/>
        <w:ind w:firstLine="480"/>
        <w:jc w:val="left"/>
        <w:rPr>
          <w:rFonts w:hint="eastAsia" w:ascii="新宋体" w:hAnsi="新宋体" w:eastAsia="新宋体" w:cs="新宋体"/>
          <w:sz w:val="24"/>
        </w:rPr>
      </w:pPr>
      <w:r>
        <w:rPr>
          <w:rFonts w:hint="eastAsia" w:ascii="新宋体" w:hAnsi="新宋体" w:eastAsia="新宋体" w:cs="新宋体"/>
          <w:sz w:val="24"/>
        </w:rPr>
        <w:t xml:space="preserve">（1）除非本协议另有规定，其中提到的条款和附件均指本协议之条款和附件。 </w:t>
      </w:r>
    </w:p>
    <w:p w14:paraId="442696CF">
      <w:pPr>
        <w:pStyle w:val="361"/>
        <w:spacing w:line="400" w:lineRule="exact"/>
        <w:ind w:firstLine="480"/>
        <w:jc w:val="left"/>
        <w:rPr>
          <w:rFonts w:hint="eastAsia" w:ascii="新宋体" w:hAnsi="新宋体" w:eastAsia="新宋体" w:cs="新宋体"/>
          <w:sz w:val="24"/>
        </w:rPr>
      </w:pPr>
      <w:r>
        <w:rPr>
          <w:rFonts w:hint="eastAsia" w:ascii="新宋体" w:hAnsi="新宋体" w:eastAsia="新宋体" w:cs="新宋体"/>
          <w:sz w:val="24"/>
        </w:rPr>
        <w:t xml:space="preserve">（2）除非本协议另有规定，提及的一方或双方均为本协议的一方或双方及其正当的 继任者或受让人。  </w:t>
      </w:r>
    </w:p>
    <w:p w14:paraId="4236985A">
      <w:pPr>
        <w:pStyle w:val="361"/>
        <w:spacing w:line="400" w:lineRule="exact"/>
        <w:ind w:firstLine="480"/>
        <w:jc w:val="left"/>
        <w:rPr>
          <w:rFonts w:hint="eastAsia" w:ascii="新宋体" w:hAnsi="新宋体" w:eastAsia="新宋体" w:cs="新宋体"/>
          <w:sz w:val="24"/>
        </w:rPr>
      </w:pPr>
      <w:r>
        <w:rPr>
          <w:rFonts w:hint="eastAsia" w:ascii="新宋体" w:hAnsi="新宋体" w:eastAsia="新宋体" w:cs="新宋体"/>
          <w:sz w:val="24"/>
        </w:rPr>
        <w:t xml:space="preserve">（3）本协议中使用的“协议中”、“协议内”、“协议下”等语句及类似用语，其所指 应为本协议的全部而并非本协议的任何特定条款。除非本协议另有明确规定，当使用词组“包括”时，无论其是否包含“但不限于”字样，仍应被视作为对本协议任何其它相关条款的全部包括。  </w:t>
      </w:r>
    </w:p>
    <w:p w14:paraId="3974A68E">
      <w:pPr>
        <w:pStyle w:val="361"/>
        <w:spacing w:line="400" w:lineRule="exact"/>
        <w:ind w:firstLine="480"/>
        <w:jc w:val="left"/>
        <w:rPr>
          <w:rFonts w:hint="eastAsia" w:ascii="新宋体" w:hAnsi="新宋体" w:eastAsia="新宋体" w:cs="新宋体"/>
          <w:sz w:val="24"/>
        </w:rPr>
      </w:pPr>
      <w:r>
        <w:rPr>
          <w:rFonts w:hint="eastAsia" w:ascii="新宋体" w:hAnsi="新宋体" w:eastAsia="新宋体" w:cs="新宋体"/>
          <w:sz w:val="24"/>
        </w:rPr>
        <w:t xml:space="preserve">（4）本协议任何章、条或款的小标题不应视为对协议的当然解释，本协议的各个组 成部分都具有同样的法律效力和同等的重要性。 </w:t>
      </w:r>
    </w:p>
    <w:p w14:paraId="698EA777">
      <w:pPr>
        <w:pStyle w:val="361"/>
        <w:spacing w:line="400" w:lineRule="exact"/>
        <w:ind w:firstLine="480"/>
        <w:jc w:val="left"/>
        <w:rPr>
          <w:rFonts w:hint="eastAsia" w:ascii="新宋体" w:hAnsi="新宋体" w:eastAsia="新宋体" w:cs="新宋体"/>
          <w:sz w:val="24"/>
        </w:rPr>
      </w:pPr>
      <w:r>
        <w:rPr>
          <w:rFonts w:hint="eastAsia" w:ascii="新宋体" w:hAnsi="新宋体" w:eastAsia="新宋体" w:cs="新宋体"/>
          <w:sz w:val="24"/>
        </w:rPr>
        <w:t xml:space="preserve">（5）在本协议中，无论何处及由任何人发出或颁发任何通知、同意、批准、证明或 决定，除另有说明外，均指其书面形式。  </w:t>
      </w:r>
    </w:p>
    <w:p w14:paraId="17FF52D3">
      <w:pPr>
        <w:pStyle w:val="361"/>
        <w:spacing w:line="400" w:lineRule="exact"/>
        <w:ind w:firstLine="480"/>
        <w:jc w:val="left"/>
        <w:rPr>
          <w:rFonts w:hint="eastAsia" w:ascii="新宋体" w:hAnsi="新宋体" w:eastAsia="新宋体" w:cs="新宋体"/>
          <w:sz w:val="24"/>
        </w:rPr>
      </w:pPr>
      <w:r>
        <w:rPr>
          <w:rFonts w:hint="eastAsia" w:ascii="新宋体" w:hAnsi="新宋体" w:eastAsia="新宋体" w:cs="新宋体"/>
          <w:sz w:val="24"/>
        </w:rPr>
        <w:t>（6）除本协议另有规定外，本协议中使用的“天”、“日”均指公历日。</w:t>
      </w:r>
    </w:p>
    <w:p w14:paraId="53501296">
      <w:pPr>
        <w:pStyle w:val="361"/>
        <w:spacing w:line="400" w:lineRule="exact"/>
        <w:ind w:firstLine="480"/>
        <w:jc w:val="left"/>
        <w:rPr>
          <w:rFonts w:hint="eastAsia" w:ascii="新宋体" w:hAnsi="新宋体" w:eastAsia="新宋体" w:cs="新宋体"/>
          <w:sz w:val="24"/>
        </w:rPr>
      </w:pPr>
      <w:r>
        <w:rPr>
          <w:rFonts w:hint="eastAsia" w:ascii="新宋体" w:hAnsi="新宋体" w:eastAsia="新宋体" w:cs="新宋体"/>
          <w:sz w:val="24"/>
        </w:rPr>
        <w:t>（7）提及本协议时应包括以任何方式修改、补充和替代的本协议及其附件。</w:t>
      </w:r>
    </w:p>
    <w:p w14:paraId="054273E3">
      <w:pPr>
        <w:pStyle w:val="361"/>
        <w:spacing w:line="400" w:lineRule="exact"/>
        <w:ind w:firstLine="480"/>
        <w:jc w:val="left"/>
        <w:rPr>
          <w:rFonts w:hint="eastAsia" w:ascii="新宋体" w:hAnsi="新宋体" w:eastAsia="新宋体" w:cs="新宋体"/>
          <w:sz w:val="24"/>
        </w:rPr>
      </w:pPr>
      <w:r>
        <w:rPr>
          <w:rFonts w:hint="eastAsia" w:ascii="新宋体" w:hAnsi="新宋体" w:eastAsia="新宋体" w:cs="新宋体"/>
          <w:sz w:val="24"/>
        </w:rPr>
        <w:t>（8）中小型维修、大型维修：所有维修费用均由乙方承担。</w:t>
      </w:r>
    </w:p>
    <w:p w14:paraId="13F94F2E">
      <w:pPr>
        <w:pStyle w:val="361"/>
        <w:spacing w:line="440" w:lineRule="exact"/>
        <w:jc w:val="center"/>
        <w:rPr>
          <w:rFonts w:hint="eastAsia" w:ascii="新宋体" w:hAnsi="新宋体" w:eastAsia="新宋体" w:cs="新宋体"/>
          <w:b/>
          <w:sz w:val="28"/>
          <w:szCs w:val="28"/>
        </w:rPr>
      </w:pPr>
      <w:r>
        <w:rPr>
          <w:rFonts w:hint="eastAsia" w:ascii="新宋体" w:hAnsi="新宋体" w:eastAsia="新宋体" w:cs="新宋体"/>
          <w:b/>
          <w:sz w:val="28"/>
          <w:szCs w:val="28"/>
        </w:rPr>
        <w:t>二、双方的陈述和保证</w:t>
      </w:r>
    </w:p>
    <w:p w14:paraId="6437FB88">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第三条 甲方的陈述与保证  </w:t>
      </w:r>
    </w:p>
    <w:p w14:paraId="163D94A6">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3.1甲方负责污水处理厂运行监管。 </w:t>
      </w:r>
    </w:p>
    <w:p w14:paraId="6D76BB25">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3.2甲方保证不存在任何与本项目有关的由甲方作为一方签署、并可能对乙方产生重大不利影响的合同、协议和任何未决或即将进行的诉讼。 </w:t>
      </w:r>
    </w:p>
    <w:p w14:paraId="22353A9B">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3.3甲方保证接受已签署的托管运营协议的约束，并按照本协议的规定向乙方支付污水处理服务费。 </w:t>
      </w:r>
    </w:p>
    <w:p w14:paraId="1DF00653">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3.4甲方保证由于国家或地方污水排放标准发生变化，引起乙方处理成本发生较大变化时，甲乙双方将另行商定污水处理单价。甲方保证进水水质在合同约定范围内，若超过双方约定的进水水质标准，如涉及（工业）重金属及有毒有害物质污水进入该污水处理厂，造成活性污泥中毒或死亡，进而影响系统处理效果，则由此造成的一切损失均由甲方承担。 </w:t>
      </w:r>
    </w:p>
    <w:p w14:paraId="7C31D312">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3.5甲方保证对乙方的监管将按照国家、省、市、行业有关法律、法规、规章、标准及规范的规定执行。 </w:t>
      </w:r>
    </w:p>
    <w:p w14:paraId="1CA7D244">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3.6甲方保证因更名、合并、分立、撤销或权限变化时，甲方全部权利及义务均由新的污水处理行业行政主管部门享有和承担。  </w:t>
      </w:r>
    </w:p>
    <w:p w14:paraId="10E3918F">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3.7甲方保证对于本协议执行过程中的任何通知、同意、批准、证明或决定都不无故扣押或拖延，如果是收件方，将签署回执并注明收到时间。 </w:t>
      </w:r>
    </w:p>
    <w:p w14:paraId="29B6D88F">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第四条 乙方的陈述与保证 </w:t>
      </w:r>
    </w:p>
    <w:p w14:paraId="00521407">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4.1乙方保证是一家依照中华人民共和国法律合法成立的有限公司。乙方将有权根据其公司成立批准文件、工商登记文件、章程从事污水处理运营业务，并履行其在本协议下的所有义务。 </w:t>
      </w:r>
    </w:p>
    <w:p w14:paraId="583E154D">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4.2乙方保证本协议的签署和履行将不违反对其具有约束力的任何法律、法规和合同性文件的规定。 </w:t>
      </w:r>
    </w:p>
    <w:p w14:paraId="1F8ED033">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4.3乙方保证在签署本协议之前，不存在任何与本项目有关的，由乙方作为一方签署、并可能对项目或甲方产生重大不利影响的合同、协议和任何未决或即将进行的诉讼或仲裁</w:t>
      </w:r>
    </w:p>
    <w:p w14:paraId="079E61D9">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4.4乙方保证加强对项目设施的运行维护，确保项目设施完好并正常运行。</w:t>
      </w:r>
    </w:p>
    <w:p w14:paraId="1053FF8B">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4.5乙方保证接受已签署的托管运营协议的约束。</w:t>
      </w:r>
    </w:p>
    <w:p w14:paraId="1157A8A0">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4.6乙方保证严格遵守国家、省、市、行业的法律、法规、规章、标准及规范的规定。</w:t>
      </w:r>
    </w:p>
    <w:p w14:paraId="06CA2339">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4.7乙方保证接受甲方以及其他相关政府部门的监管，遵守城市总体规划和污水处理专项规划，满足社会对污水处理服务的需求，履行政府在污水处理服务事业方面对市民的承诺。  </w:t>
      </w:r>
    </w:p>
    <w:p w14:paraId="2613D867">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4.8乙方保证，对于本协议中任何通知、同意、批准、证明或决定都不无故扣押或拖延，如果是收件方，将签署回执并注明收到时间。</w:t>
      </w:r>
    </w:p>
    <w:p w14:paraId="57C5F443">
      <w:pPr>
        <w:pStyle w:val="361"/>
        <w:spacing w:line="440" w:lineRule="exact"/>
        <w:ind w:firstLine="480"/>
        <w:rPr>
          <w:rFonts w:hint="eastAsia" w:ascii="新宋体" w:hAnsi="新宋体" w:eastAsia="新宋体" w:cs="新宋体"/>
          <w:b/>
          <w:sz w:val="28"/>
          <w:szCs w:val="28"/>
        </w:rPr>
      </w:pPr>
      <w:r>
        <w:rPr>
          <w:rFonts w:hint="eastAsia" w:ascii="新宋体" w:hAnsi="新宋体" w:eastAsia="新宋体" w:cs="新宋体"/>
          <w:sz w:val="24"/>
        </w:rPr>
        <w:t xml:space="preserve"> 4.9乙方托管运营包含：    A、负责污水处理厂的运营管理，包括污水处理厂所需的水电、人工药剂、办公、管理费用。但不包含环保部门征收的一切检测费用。   B、负责污水处理设施、设备的中、小修及维护保养。   C、负责污泥的稳定、脱水减容。</w:t>
      </w:r>
    </w:p>
    <w:p w14:paraId="7183C5E2">
      <w:pPr>
        <w:pStyle w:val="361"/>
        <w:spacing w:line="440" w:lineRule="exact"/>
        <w:jc w:val="center"/>
        <w:rPr>
          <w:rFonts w:hint="eastAsia" w:ascii="新宋体" w:hAnsi="新宋体" w:eastAsia="新宋体" w:cs="新宋体"/>
          <w:b/>
          <w:sz w:val="28"/>
          <w:szCs w:val="28"/>
        </w:rPr>
      </w:pPr>
      <w:r>
        <w:rPr>
          <w:rFonts w:hint="eastAsia" w:ascii="新宋体" w:hAnsi="新宋体" w:eastAsia="新宋体" w:cs="新宋体"/>
          <w:b/>
          <w:sz w:val="28"/>
          <w:szCs w:val="28"/>
        </w:rPr>
        <w:t>三、双方的基本义务</w:t>
      </w:r>
    </w:p>
    <w:p w14:paraId="7845E6CE">
      <w:pPr>
        <w:pStyle w:val="361"/>
        <w:spacing w:line="440" w:lineRule="exact"/>
        <w:jc w:val="center"/>
        <w:rPr>
          <w:rFonts w:hint="eastAsia" w:ascii="新宋体" w:hAnsi="新宋体" w:eastAsia="新宋体" w:cs="新宋体"/>
          <w:b/>
          <w:sz w:val="28"/>
          <w:szCs w:val="28"/>
        </w:rPr>
      </w:pPr>
    </w:p>
    <w:p w14:paraId="65F63965">
      <w:pPr>
        <w:pStyle w:val="361"/>
        <w:spacing w:line="360" w:lineRule="auto"/>
        <w:ind w:firstLine="480"/>
        <w:rPr>
          <w:rFonts w:hint="eastAsia" w:ascii="新宋体" w:hAnsi="新宋体" w:eastAsia="新宋体" w:cs="新宋体"/>
          <w:sz w:val="24"/>
        </w:rPr>
      </w:pPr>
      <w:r>
        <w:rPr>
          <w:rFonts w:hint="eastAsia" w:ascii="新宋体" w:hAnsi="新宋体" w:eastAsia="新宋体" w:cs="新宋体"/>
          <w:sz w:val="24"/>
        </w:rPr>
        <w:t xml:space="preserve">第五条 甲方的基本义务  </w:t>
      </w:r>
    </w:p>
    <w:p w14:paraId="33635253">
      <w:pPr>
        <w:pStyle w:val="361"/>
        <w:spacing w:line="360" w:lineRule="auto"/>
        <w:ind w:firstLine="480"/>
        <w:rPr>
          <w:rFonts w:hint="eastAsia" w:ascii="新宋体" w:hAnsi="新宋体" w:eastAsia="新宋体" w:cs="新宋体"/>
          <w:sz w:val="24"/>
        </w:rPr>
      </w:pPr>
      <w:r>
        <w:rPr>
          <w:rFonts w:hint="eastAsia" w:ascii="新宋体" w:hAnsi="新宋体" w:eastAsia="新宋体" w:cs="新宋体"/>
          <w:sz w:val="24"/>
        </w:rPr>
        <w:t xml:space="preserve">5.1在托管运营期内，甲方应根据本协议的规定向乙方支付污水处理服务费。 </w:t>
      </w:r>
    </w:p>
    <w:p w14:paraId="009C92E7">
      <w:pPr>
        <w:pStyle w:val="361"/>
        <w:spacing w:line="360" w:lineRule="auto"/>
        <w:ind w:firstLine="480"/>
        <w:rPr>
          <w:rFonts w:hint="eastAsia" w:ascii="新宋体" w:hAnsi="新宋体" w:eastAsia="新宋体" w:cs="新宋体"/>
          <w:sz w:val="24"/>
        </w:rPr>
      </w:pPr>
      <w:r>
        <w:rPr>
          <w:rFonts w:hint="eastAsia" w:ascii="新宋体" w:hAnsi="新宋体" w:eastAsia="新宋体" w:cs="新宋体"/>
          <w:sz w:val="24"/>
        </w:rPr>
        <w:t xml:space="preserve">第六条 乙方的基本义务 </w:t>
      </w:r>
    </w:p>
    <w:p w14:paraId="4656EFE7">
      <w:pPr>
        <w:pStyle w:val="361"/>
        <w:spacing w:line="360" w:lineRule="auto"/>
        <w:ind w:firstLine="480"/>
        <w:rPr>
          <w:rFonts w:hint="eastAsia" w:ascii="新宋体" w:hAnsi="新宋体" w:eastAsia="新宋体" w:cs="新宋体"/>
          <w:sz w:val="24"/>
        </w:rPr>
      </w:pPr>
      <w:r>
        <w:rPr>
          <w:rFonts w:hint="eastAsia" w:ascii="新宋体" w:hAnsi="新宋体" w:eastAsia="新宋体" w:cs="新宋体"/>
          <w:sz w:val="24"/>
        </w:rPr>
        <w:t xml:space="preserve"> 6.1在托管运营期内，乙方负责项目设施的管理、运行、维修，并在托管运营期满时将项目设施完好、无偿移交给甲方，并保证能正常运行。 </w:t>
      </w:r>
    </w:p>
    <w:p w14:paraId="535D3875">
      <w:pPr>
        <w:pStyle w:val="361"/>
        <w:spacing w:line="360" w:lineRule="auto"/>
        <w:ind w:firstLine="480"/>
        <w:rPr>
          <w:rFonts w:hint="eastAsia" w:ascii="新宋体" w:hAnsi="新宋体" w:eastAsia="新宋体" w:cs="新宋体"/>
          <w:sz w:val="24"/>
        </w:rPr>
      </w:pPr>
      <w:r>
        <w:rPr>
          <w:rFonts w:hint="eastAsia" w:ascii="新宋体" w:hAnsi="新宋体" w:eastAsia="新宋体" w:cs="新宋体"/>
          <w:sz w:val="24"/>
        </w:rPr>
        <w:t xml:space="preserve"> 6.2乙方应始终按照常规运营惯例、检验与维护手册以及项目设施的设备制造商提供的资料维护项目设施，以保证项目设施处于良好的运行状态。 </w:t>
      </w:r>
    </w:p>
    <w:p w14:paraId="756EB84B">
      <w:pPr>
        <w:pStyle w:val="361"/>
        <w:spacing w:line="360" w:lineRule="auto"/>
        <w:ind w:firstLine="480"/>
        <w:rPr>
          <w:rFonts w:hint="eastAsia" w:ascii="新宋体" w:hAnsi="新宋体" w:eastAsia="新宋体" w:cs="新宋体"/>
          <w:sz w:val="24"/>
        </w:rPr>
      </w:pPr>
      <w:r>
        <w:rPr>
          <w:rFonts w:hint="eastAsia" w:ascii="新宋体" w:hAnsi="新宋体" w:eastAsia="新宋体" w:cs="新宋体"/>
          <w:sz w:val="24"/>
        </w:rPr>
        <w:t xml:space="preserve"> 6.3乙方应按本协议要求，按时向甲方通报运行情况，提交与本项目有关的报告、数据、资料。 </w:t>
      </w:r>
    </w:p>
    <w:p w14:paraId="67938BB5">
      <w:pPr>
        <w:pStyle w:val="361"/>
        <w:spacing w:line="360" w:lineRule="auto"/>
        <w:ind w:firstLine="480"/>
        <w:rPr>
          <w:rFonts w:hint="eastAsia" w:ascii="新宋体" w:hAnsi="新宋体" w:eastAsia="新宋体" w:cs="新宋体"/>
          <w:sz w:val="24"/>
        </w:rPr>
      </w:pPr>
      <w:r>
        <w:rPr>
          <w:rFonts w:hint="eastAsia" w:ascii="新宋体" w:hAnsi="新宋体" w:eastAsia="新宋体" w:cs="新宋体"/>
          <w:sz w:val="24"/>
        </w:rPr>
        <w:t xml:space="preserve"> 6.4乙方确保进厂污水经过处理达标排放。 </w:t>
      </w:r>
    </w:p>
    <w:p w14:paraId="1AB3C47A">
      <w:pPr>
        <w:spacing w:line="360" w:lineRule="auto"/>
        <w:ind w:firstLine="480"/>
        <w:rPr>
          <w:rFonts w:hint="eastAsia" w:ascii="新宋体" w:hAnsi="新宋体" w:eastAsia="新宋体" w:cs="新宋体"/>
          <w:sz w:val="24"/>
          <w:szCs w:val="24"/>
        </w:rPr>
      </w:pPr>
      <w:r>
        <w:rPr>
          <w:rFonts w:hint="eastAsia" w:ascii="新宋体" w:hAnsi="新宋体" w:eastAsia="新宋体" w:cs="新宋体"/>
          <w:sz w:val="24"/>
          <w:szCs w:val="24"/>
        </w:rPr>
        <w:t xml:space="preserve"> 6.5乙方运行时产生的栅渣、沉砂及污泥等固体废物须运往甲方指定地点</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处消纳，乙方运往甲方指定地点的相关运输费用由乙方承担。污泥外运涉及的处置相关费用全部由乙方负责承担。</w:t>
      </w:r>
    </w:p>
    <w:p w14:paraId="08E176F4">
      <w:pPr>
        <w:spacing w:line="360" w:lineRule="auto"/>
        <w:ind w:firstLine="480"/>
        <w:rPr>
          <w:rFonts w:hint="eastAsia" w:ascii="新宋体" w:hAnsi="新宋体" w:eastAsia="新宋体" w:cs="新宋体"/>
          <w:sz w:val="24"/>
          <w:szCs w:val="24"/>
        </w:rPr>
      </w:pPr>
      <w:r>
        <w:rPr>
          <w:rFonts w:hint="eastAsia" w:ascii="新宋体" w:hAnsi="新宋体" w:eastAsia="新宋体" w:cs="新宋体"/>
          <w:sz w:val="24"/>
          <w:szCs w:val="24"/>
        </w:rPr>
        <w:t>6.6 保修工作范围：①在约定的质量保证期内，包括但不限于土建工程维修、设备维修、软件维护、工艺性能恢复等。②项目运营期间，投标人须负责厂区内、管网、泵站等日常运营维护工作。</w:t>
      </w:r>
    </w:p>
    <w:p w14:paraId="50DC7820">
      <w:pPr>
        <w:spacing w:line="360" w:lineRule="auto"/>
        <w:ind w:firstLine="480"/>
        <w:rPr>
          <w:rFonts w:hint="eastAsia" w:ascii="新宋体" w:hAnsi="新宋体" w:eastAsia="新宋体" w:cs="新宋体"/>
          <w:sz w:val="24"/>
          <w:szCs w:val="24"/>
        </w:rPr>
      </w:pPr>
      <w:r>
        <w:rPr>
          <w:rFonts w:hint="eastAsia" w:ascii="新宋体" w:hAnsi="新宋体" w:eastAsia="新宋体" w:cs="新宋体"/>
          <w:sz w:val="24"/>
          <w:szCs w:val="24"/>
        </w:rPr>
        <w:t>6.7上述过程中，无论何种原因，对现场现有条件的破坏，均由承包人负责恢复，费用由承包人承担。</w:t>
      </w:r>
    </w:p>
    <w:p w14:paraId="1B0E5DC8">
      <w:pPr>
        <w:pStyle w:val="361"/>
        <w:widowControl/>
        <w:spacing w:line="360" w:lineRule="auto"/>
        <w:jc w:val="center"/>
        <w:rPr>
          <w:rFonts w:hint="eastAsia" w:ascii="新宋体" w:hAnsi="新宋体" w:eastAsia="新宋体" w:cs="新宋体"/>
          <w:sz w:val="24"/>
        </w:rPr>
      </w:pPr>
      <w:r>
        <w:rPr>
          <w:rFonts w:hint="eastAsia" w:ascii="新宋体" w:hAnsi="新宋体" w:eastAsia="新宋体" w:cs="新宋体"/>
          <w:b/>
          <w:sz w:val="28"/>
          <w:szCs w:val="28"/>
        </w:rPr>
        <w:t>四、污水处理服务费用的计算与支付</w:t>
      </w:r>
    </w:p>
    <w:p w14:paraId="3FBBAB5A">
      <w:pPr>
        <w:pStyle w:val="361"/>
        <w:spacing w:line="360" w:lineRule="auto"/>
        <w:ind w:firstLine="480"/>
        <w:rPr>
          <w:rFonts w:hint="eastAsia" w:ascii="新宋体" w:hAnsi="新宋体" w:eastAsia="新宋体" w:cs="新宋体"/>
          <w:sz w:val="24"/>
        </w:rPr>
      </w:pPr>
      <w:r>
        <w:rPr>
          <w:rFonts w:hint="eastAsia" w:ascii="新宋体" w:hAnsi="新宋体" w:eastAsia="新宋体" w:cs="新宋体"/>
          <w:sz w:val="24"/>
        </w:rPr>
        <w:t xml:space="preserve">第七条 污水处理服务费的计算  </w:t>
      </w:r>
    </w:p>
    <w:p w14:paraId="34E431B3">
      <w:pPr>
        <w:pStyle w:val="361"/>
        <w:spacing w:line="360" w:lineRule="auto"/>
        <w:ind w:firstLine="480"/>
        <w:rPr>
          <w:rFonts w:hint="eastAsia" w:ascii="新宋体" w:hAnsi="新宋体" w:eastAsia="新宋体" w:cs="新宋体"/>
          <w:sz w:val="24"/>
        </w:rPr>
      </w:pPr>
      <w:r>
        <w:rPr>
          <w:rFonts w:hint="eastAsia" w:ascii="新宋体" w:hAnsi="新宋体" w:eastAsia="新宋体" w:cs="新宋体"/>
          <w:sz w:val="24"/>
        </w:rPr>
        <w:t>7.1污水处理服务费的计算方法按附录1计算，项目进场时间由甲方书面通知为准，乙方开始正式商业运营的日期即为甲方开始正式付费的日期。</w:t>
      </w:r>
    </w:p>
    <w:p w14:paraId="08638772">
      <w:pPr>
        <w:pStyle w:val="361"/>
        <w:spacing w:line="360" w:lineRule="auto"/>
        <w:ind w:firstLine="480"/>
        <w:rPr>
          <w:rFonts w:hint="eastAsia" w:ascii="新宋体" w:hAnsi="新宋体" w:eastAsia="新宋体" w:cs="新宋体"/>
          <w:sz w:val="24"/>
        </w:rPr>
      </w:pPr>
      <w:r>
        <w:rPr>
          <w:rFonts w:hint="eastAsia" w:ascii="新宋体" w:hAnsi="新宋体" w:eastAsia="新宋体" w:cs="新宋体"/>
          <w:sz w:val="24"/>
        </w:rPr>
        <w:t xml:space="preserve">7.2污水处理服务费单价按附录1规定执行。 </w:t>
      </w:r>
    </w:p>
    <w:p w14:paraId="7CC2D414">
      <w:pPr>
        <w:pStyle w:val="361"/>
        <w:spacing w:line="360" w:lineRule="auto"/>
        <w:ind w:firstLine="480"/>
        <w:rPr>
          <w:rFonts w:hint="eastAsia" w:ascii="新宋体" w:hAnsi="新宋体" w:eastAsia="新宋体" w:cs="新宋体"/>
          <w:sz w:val="24"/>
        </w:rPr>
      </w:pPr>
      <w:r>
        <w:rPr>
          <w:rFonts w:hint="eastAsia" w:ascii="新宋体" w:hAnsi="新宋体" w:eastAsia="新宋体" w:cs="新宋体"/>
          <w:sz w:val="24"/>
        </w:rPr>
        <w:t>7.3月处理量的计算按附录1计算。</w:t>
      </w:r>
    </w:p>
    <w:p w14:paraId="4900B354">
      <w:pPr>
        <w:pStyle w:val="361"/>
        <w:spacing w:line="360" w:lineRule="auto"/>
        <w:ind w:firstLine="480"/>
        <w:rPr>
          <w:rFonts w:hint="eastAsia" w:ascii="新宋体" w:hAnsi="新宋体" w:eastAsia="新宋体" w:cs="新宋体"/>
          <w:sz w:val="24"/>
        </w:rPr>
      </w:pPr>
      <w:r>
        <w:rPr>
          <w:rFonts w:hint="eastAsia" w:ascii="新宋体" w:hAnsi="新宋体" w:eastAsia="新宋体" w:cs="新宋体"/>
          <w:sz w:val="24"/>
        </w:rPr>
        <w:t>7.4每月污水处理服务费按附录1计算。</w:t>
      </w:r>
    </w:p>
    <w:p w14:paraId="5CE2A47F">
      <w:pPr>
        <w:pStyle w:val="361"/>
        <w:spacing w:line="360" w:lineRule="auto"/>
        <w:ind w:firstLine="480"/>
        <w:rPr>
          <w:rFonts w:hint="eastAsia" w:ascii="新宋体" w:hAnsi="新宋体" w:eastAsia="新宋体" w:cs="新宋体"/>
          <w:sz w:val="24"/>
        </w:rPr>
      </w:pPr>
      <w:r>
        <w:rPr>
          <w:rFonts w:hint="eastAsia" w:ascii="新宋体" w:hAnsi="新宋体" w:eastAsia="新宋体" w:cs="新宋体"/>
          <w:sz w:val="24"/>
        </w:rPr>
        <w:t xml:space="preserve">7.5计价说明  本污水处理服务单价由生产费用、管理费用和人员工资等三部分组成，包括但不仅限于： </w:t>
      </w:r>
    </w:p>
    <w:p w14:paraId="4857A692">
      <w:pPr>
        <w:pStyle w:val="361"/>
        <w:spacing w:line="360" w:lineRule="auto"/>
        <w:ind w:firstLine="480"/>
        <w:rPr>
          <w:rFonts w:hint="eastAsia" w:ascii="新宋体" w:hAnsi="新宋体" w:eastAsia="新宋体" w:cs="新宋体"/>
          <w:sz w:val="24"/>
        </w:rPr>
      </w:pPr>
      <w:r>
        <w:rPr>
          <w:rFonts w:hint="eastAsia" w:ascii="新宋体" w:hAnsi="新宋体" w:eastAsia="新宋体" w:cs="新宋体"/>
          <w:sz w:val="24"/>
        </w:rPr>
        <w:t xml:space="preserve">7.5.1生产费用包括：水费、电费、絮凝药剂费、正常维修维护保养费(限中小型维修保养 费)；   </w:t>
      </w:r>
    </w:p>
    <w:p w14:paraId="3673DA2C">
      <w:pPr>
        <w:pStyle w:val="361"/>
        <w:spacing w:line="360" w:lineRule="auto"/>
        <w:ind w:firstLine="480"/>
        <w:rPr>
          <w:rFonts w:hint="eastAsia" w:ascii="新宋体" w:hAnsi="新宋体" w:eastAsia="新宋体" w:cs="新宋体"/>
          <w:sz w:val="24"/>
        </w:rPr>
      </w:pPr>
      <w:r>
        <w:rPr>
          <w:rFonts w:hint="eastAsia" w:ascii="新宋体" w:hAnsi="新宋体" w:eastAsia="新宋体" w:cs="新宋体"/>
          <w:sz w:val="24"/>
        </w:rPr>
        <w:t>7.5.2管理费用包括：办公费、差旅费、邮电通讯费、业务招待费、安全保卫费、绿化养护费等，不含环保部门征收的一切水质检测费（检测协议及检测费用由甲方负责）；</w:t>
      </w:r>
    </w:p>
    <w:p w14:paraId="49290645">
      <w:pPr>
        <w:pStyle w:val="361"/>
        <w:spacing w:line="360" w:lineRule="auto"/>
        <w:ind w:firstLine="480"/>
        <w:rPr>
          <w:rFonts w:hint="eastAsia" w:ascii="新宋体" w:hAnsi="新宋体" w:eastAsia="新宋体" w:cs="新宋体"/>
          <w:sz w:val="24"/>
        </w:rPr>
      </w:pPr>
      <w:r>
        <w:rPr>
          <w:rFonts w:hint="eastAsia" w:ascii="新宋体" w:hAnsi="新宋体" w:eastAsia="新宋体" w:cs="新宋体"/>
          <w:sz w:val="24"/>
        </w:rPr>
        <w:t>7.5.3人员工资包括经乙方录用的所有人员的工资和补助、社保。</w:t>
      </w:r>
    </w:p>
    <w:p w14:paraId="2D62A740">
      <w:pPr>
        <w:pStyle w:val="361"/>
        <w:spacing w:line="360" w:lineRule="auto"/>
        <w:ind w:firstLine="480"/>
        <w:rPr>
          <w:rFonts w:hint="eastAsia" w:ascii="新宋体" w:hAnsi="新宋体" w:eastAsia="新宋体" w:cs="新宋体"/>
          <w:sz w:val="24"/>
        </w:rPr>
      </w:pPr>
      <w:r>
        <w:rPr>
          <w:rFonts w:hint="eastAsia" w:ascii="新宋体" w:hAnsi="新宋体" w:eastAsia="新宋体" w:cs="新宋体"/>
          <w:sz w:val="24"/>
        </w:rPr>
        <w:t xml:space="preserve">第八条 污水处理服务费的支付 </w:t>
      </w:r>
    </w:p>
    <w:p w14:paraId="70E53D49">
      <w:pPr>
        <w:pStyle w:val="361"/>
        <w:spacing w:line="360" w:lineRule="auto"/>
        <w:ind w:firstLine="480"/>
        <w:rPr>
          <w:rFonts w:hint="eastAsia" w:ascii="新宋体" w:hAnsi="新宋体" w:eastAsia="新宋体" w:cs="新宋体"/>
          <w:sz w:val="24"/>
        </w:rPr>
      </w:pPr>
      <w:r>
        <w:rPr>
          <w:rFonts w:hint="eastAsia" w:ascii="新宋体" w:hAnsi="新宋体" w:eastAsia="新宋体" w:cs="新宋体"/>
          <w:sz w:val="24"/>
        </w:rPr>
        <w:t>8.1 乙方在每月开始前的五个工作日内将上月的《月度水量报告》《月度水质报告》等（但不限于）提交给甲方监管部门。</w:t>
      </w:r>
    </w:p>
    <w:p w14:paraId="3D63C566">
      <w:pPr>
        <w:pStyle w:val="361"/>
        <w:spacing w:line="360" w:lineRule="auto"/>
        <w:ind w:firstLine="480"/>
        <w:rPr>
          <w:rFonts w:hint="eastAsia" w:ascii="新宋体" w:hAnsi="新宋体" w:eastAsia="新宋体" w:cs="新宋体"/>
          <w:sz w:val="24"/>
        </w:rPr>
      </w:pPr>
      <w:r>
        <w:rPr>
          <w:rFonts w:hint="eastAsia" w:ascii="新宋体" w:hAnsi="新宋体" w:eastAsia="新宋体" w:cs="新宋体"/>
          <w:sz w:val="24"/>
        </w:rPr>
        <w:t>8.2甲方支付污水处理服务费的义务在运营期内的每个季度，甲方应根据本合同附录1确定的付费计算原则向乙方支付相应的污水处理服务费。</w:t>
      </w:r>
    </w:p>
    <w:p w14:paraId="54D69E35">
      <w:pPr>
        <w:pStyle w:val="361"/>
        <w:spacing w:line="360" w:lineRule="auto"/>
        <w:ind w:firstLine="480"/>
        <w:rPr>
          <w:rFonts w:hint="eastAsia" w:ascii="新宋体" w:hAnsi="新宋体" w:eastAsia="新宋体" w:cs="新宋体"/>
          <w:sz w:val="24"/>
        </w:rPr>
      </w:pPr>
      <w:r>
        <w:rPr>
          <w:rFonts w:hint="eastAsia" w:ascii="新宋体" w:hAnsi="新宋体" w:eastAsia="新宋体" w:cs="新宋体"/>
          <w:sz w:val="24"/>
        </w:rPr>
        <w:t xml:space="preserve"> 8.3乙方应按照附录1的规定进行计算和调整，以准确核算其在本合同项下就提供污水处 理服务应获得的服务费，并且应清楚地解释其计算并提供第9.5条项下提交的服务费发票所要求的详情。如甲方要求，乙方应提供所有证明记录和资料的复印件以便甲方能够核实该计算。 </w:t>
      </w:r>
    </w:p>
    <w:p w14:paraId="5BFCFB78">
      <w:pPr>
        <w:pStyle w:val="361"/>
        <w:spacing w:line="360" w:lineRule="auto"/>
        <w:ind w:firstLine="480"/>
        <w:rPr>
          <w:rFonts w:hint="eastAsia" w:ascii="新宋体" w:hAnsi="新宋体" w:eastAsia="新宋体" w:cs="新宋体"/>
          <w:sz w:val="24"/>
        </w:rPr>
      </w:pPr>
      <w:r>
        <w:rPr>
          <w:rFonts w:hint="eastAsia" w:ascii="新宋体" w:hAnsi="新宋体" w:eastAsia="新宋体" w:cs="新宋体"/>
          <w:sz w:val="24"/>
        </w:rPr>
        <w:t xml:space="preserve"> 8.4甲方应按时向乙方支付污水处理服务费，所有此等费用均以人民币支付。款项应按照本合同的第9.4条确定的帐户和付款方式支付。</w:t>
      </w:r>
    </w:p>
    <w:p w14:paraId="50C2F91D">
      <w:pPr>
        <w:pStyle w:val="361"/>
        <w:spacing w:line="360" w:lineRule="auto"/>
        <w:ind w:firstLine="480"/>
        <w:rPr>
          <w:rFonts w:hint="eastAsia" w:ascii="新宋体" w:hAnsi="新宋体" w:eastAsia="新宋体" w:cs="新宋体"/>
          <w:sz w:val="24"/>
        </w:rPr>
      </w:pPr>
      <w:r>
        <w:rPr>
          <w:rFonts w:hint="eastAsia" w:ascii="新宋体" w:hAnsi="新宋体" w:eastAsia="新宋体" w:cs="新宋体"/>
          <w:sz w:val="24"/>
        </w:rPr>
        <w:t xml:space="preserve"> 8.5甲方监管部门在接到报告后的十个工作日内甲方负责督促并完成办理款项支付的一切审核程序，并支付给乙方上月发生的污水处理服务费。支付方式可通过电汇、银行转帐等方式汇入乙方指定帐户。逾期则追究相应的违约责任（根据26.4条款）。费用审核流程如下：</w:t>
      </w:r>
    </w:p>
    <w:p w14:paraId="5AAFE01E">
      <w:pPr>
        <w:pStyle w:val="361"/>
        <w:spacing w:line="360" w:lineRule="auto"/>
        <w:ind w:firstLine="480"/>
        <w:rPr>
          <w:rFonts w:hint="eastAsia" w:ascii="新宋体" w:hAnsi="新宋体" w:eastAsia="新宋体" w:cs="新宋体"/>
          <w:sz w:val="24"/>
        </w:rPr>
      </w:pPr>
      <w:r>
        <w:rPr>
          <w:rFonts w:hint="eastAsia" w:ascii="新宋体" w:hAnsi="新宋体" w:eastAsia="新宋体" w:cs="新宋体"/>
          <w:sz w:val="24"/>
        </w:rPr>
        <w:t xml:space="preserve">第九条 付款程序  </w:t>
      </w:r>
    </w:p>
    <w:p w14:paraId="231C70D0">
      <w:pPr>
        <w:pStyle w:val="361"/>
        <w:spacing w:line="360" w:lineRule="auto"/>
        <w:ind w:firstLine="480"/>
        <w:rPr>
          <w:rFonts w:hint="eastAsia" w:ascii="新宋体" w:hAnsi="新宋体" w:eastAsia="新宋体" w:cs="新宋体"/>
          <w:sz w:val="24"/>
        </w:rPr>
      </w:pPr>
      <w:r>
        <w:rPr>
          <w:rFonts w:hint="eastAsia" w:ascii="新宋体" w:hAnsi="新宋体" w:eastAsia="新宋体" w:cs="新宋体"/>
          <w:sz w:val="24"/>
        </w:rPr>
        <w:t xml:space="preserve">9.1乙方应在每个运营季度结束后五（5）个工作日内，按照第8.3条款计算的金额，向甲方开具付款通知账单，同时应提供所有相应的证明记录和资料的复印件以便甲方能够核实上述计算。 </w:t>
      </w:r>
    </w:p>
    <w:p w14:paraId="4D7DC182">
      <w:pPr>
        <w:pStyle w:val="361"/>
        <w:spacing w:line="360" w:lineRule="auto"/>
        <w:ind w:firstLine="480"/>
        <w:rPr>
          <w:rFonts w:hint="eastAsia" w:ascii="新宋体" w:hAnsi="新宋体" w:eastAsia="新宋体" w:cs="新宋体"/>
          <w:sz w:val="24"/>
        </w:rPr>
      </w:pPr>
      <w:r>
        <w:rPr>
          <w:rFonts w:hint="eastAsia" w:ascii="新宋体" w:hAnsi="新宋体" w:eastAsia="新宋体" w:cs="新宋体"/>
          <w:sz w:val="24"/>
        </w:rPr>
        <w:t xml:space="preserve"> 9.2甲方在收到乙方提交的付款通知账单之日起，应对乙方送交的付款通知账单和相关资料的计算结果进行复核确认。 </w:t>
      </w:r>
    </w:p>
    <w:p w14:paraId="44B19B2B">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 9.3甲方在核准确认无争议应付污水处理服务费金额后，应在收到乙方付款通知账单日后的七个工作日（“应付款日”）内及时通知乙方开具并递交与前述核准确认金额相符的服务费凭证给甲方，并向财政局或其指定付费机构提交经相关部门核准后的付费凭证，向乙方支付当月应付的污水处理服务费款额。 </w:t>
      </w:r>
    </w:p>
    <w:p w14:paraId="1C149092">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9.4政府相关部门的核准政府相关部门（包括本项目行政主管部门、财政拨款部门或价格核定部门）将有权就任何一月污水处理服务费支付金额的计算、提议的单价调整方案是否与本合同中获得双方确认的公式和计算方法以及国家有关价格规定是否一致进行核实。</w:t>
      </w:r>
    </w:p>
    <w:p w14:paraId="5975C215">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9.5 收费发票或凭证  乙方在申请获得污水处理服务付费时，应按照政府方要求提交适宜的服务费发票或收款凭证。</w:t>
      </w:r>
    </w:p>
    <w:p w14:paraId="503E844A">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9.6 利息  如果一方在本合同项下应向另一方支付的任何款项在到期之后未能支付，付款一方应支付按当时人民银行公布的一年期银行贷款利率计算的违约利息，该利息应依照前述约定利率自到期之日(包括该日)至收款方收到款项之日(不包括该日) 按日累计，按月计算。</w:t>
      </w:r>
    </w:p>
    <w:p w14:paraId="3C1C3854">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9.7 税项说明  项目中标报价中的污水处理服务费中不包括所有现在及将来的运营商根据适用法律规定应缴纳的增值税等流转税种（所得税除外），但甲方向乙方支付任何污水处理服务费应根据适用法律考虑乙方应纳税款，使其不会因缴纳或扣除任何税款而减少预期收入。 </w:t>
      </w:r>
    </w:p>
    <w:p w14:paraId="6529C7A7">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第十条  延迟支付时的协调责任  </w:t>
      </w:r>
    </w:p>
    <w:p w14:paraId="48580024">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10.1若甲方未能根据本合同的约定按时向财政部门提交污水处理服务费支付意见，则乙方 可向甲方发出催办通知（“催办通知”）， 甲方应在该催办通知出具后的三个工作日内将协调结果反馈。 </w:t>
      </w:r>
    </w:p>
    <w:p w14:paraId="411BD9DE">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10.2有争议的金额  甲方如对乙方提交的运营付费申请单显示的金额或对本合同项下的其他付款要求有任何异议，应在收到运营付费申请单之日后的三天内通知乙方并说明原因，并在到期日先行支付无争议部分的金额，否则应视为无异议并应全额核准支付。任何有关剩余金额的争议应首先在争议出现后五个工作日内协商解决。 </w:t>
      </w:r>
    </w:p>
    <w:p w14:paraId="50240D1D">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10.3未付款项的支付  如果甲方对乙方提交的运营付费申请单显示的或要求的任何或部分金额有争议，且随后根据争议解决条款，确认甲方尚未支付的任何应付款项应由甲方知会县财政部门支付给乙方。</w:t>
      </w:r>
    </w:p>
    <w:p w14:paraId="57BDB3D0">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10.4违约金的扣减  如果发生违约情况，乙方应根据计算需要向甲方支付的违约金金额，并将该金额从污水处理服务费的发票金额中减扣。违约金计算的细节应在付款通知账单中列明。 </w:t>
      </w:r>
    </w:p>
    <w:p w14:paraId="1004E37C">
      <w:pPr>
        <w:pStyle w:val="361"/>
        <w:spacing w:line="440" w:lineRule="exact"/>
        <w:ind w:firstLine="480"/>
        <w:rPr>
          <w:rFonts w:hint="eastAsia" w:ascii="新宋体" w:hAnsi="新宋体" w:eastAsia="新宋体" w:cs="新宋体"/>
          <w:b/>
          <w:sz w:val="28"/>
          <w:szCs w:val="28"/>
        </w:rPr>
      </w:pPr>
      <w:r>
        <w:rPr>
          <w:rFonts w:hint="eastAsia" w:ascii="新宋体" w:hAnsi="新宋体" w:eastAsia="新宋体" w:cs="新宋体"/>
          <w:sz w:val="24"/>
        </w:rPr>
        <w:t>10.5 服务费收费凭证  乙方在收到甲方核准确认的支付金额通知后三个工作日内，应根据适用法律向甲方及时开具服务费收款凭证。</w:t>
      </w:r>
    </w:p>
    <w:p w14:paraId="42D8E4CF">
      <w:pPr>
        <w:pStyle w:val="361"/>
        <w:widowControl/>
        <w:spacing w:line="440" w:lineRule="exact"/>
        <w:jc w:val="center"/>
        <w:rPr>
          <w:rFonts w:hint="eastAsia" w:ascii="新宋体" w:hAnsi="新宋体" w:eastAsia="新宋体" w:cs="新宋体"/>
          <w:b/>
          <w:sz w:val="28"/>
          <w:szCs w:val="28"/>
        </w:rPr>
      </w:pPr>
      <w:r>
        <w:rPr>
          <w:rFonts w:hint="eastAsia" w:ascii="新宋体" w:hAnsi="新宋体" w:eastAsia="新宋体" w:cs="新宋体"/>
          <w:b/>
          <w:sz w:val="28"/>
          <w:szCs w:val="28"/>
        </w:rPr>
        <w:t>五、资产管理与项目设施的移交</w:t>
      </w:r>
    </w:p>
    <w:p w14:paraId="0490E0D0">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第十一条 资产所有权  </w:t>
      </w:r>
    </w:p>
    <w:p w14:paraId="383FAAEF">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11.1 托管运营期间，污水处理厂内的原有设施、设备的所有权及 土地使用权归甲方所有。 </w:t>
      </w:r>
    </w:p>
    <w:p w14:paraId="6812AC2C">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 11.2托管运营期间，因污水处理需要并经甲方同意后乙方新增的设施、设备，新增设备的所有权归乙方所有；托管运营期满后，如甲方要求留置，在甲方支付给乙方相应的购置、安装费用后，所有权归甲方所有。 </w:t>
      </w:r>
    </w:p>
    <w:p w14:paraId="6D4624F4">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第十二条 项目设施移交的范围 </w:t>
      </w:r>
    </w:p>
    <w:p w14:paraId="5C639E1A">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 12.1移交的项目设施以现场清点数目为准，并制定交接清单，最终的交接清单需经承包方、发包方双方签字盖章后生效。（注：主要构筑物及相关工艺参数表 以现场实际交接单为准） </w:t>
      </w:r>
    </w:p>
    <w:p w14:paraId="38A0E9AB">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12.2移交的内容还包括维持本项目正常运行和维护必需的所有技术图纸、规程、规范、资 料；生产运行的有关图纸资料和技术文件，包括运行手册、运行记录、设计图纸以及设备寿命消耗及管理表，运行和维护项目设施所需的专有技术、专利、计算机软件及其他知识产权。  </w:t>
      </w:r>
    </w:p>
    <w:p w14:paraId="713D020C">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12.3 甲方根据项目自身工期进度提前</w:t>
      </w:r>
      <w:r>
        <w:rPr>
          <w:rFonts w:hint="eastAsia" w:ascii="新宋体" w:hAnsi="新宋体" w:eastAsia="新宋体" w:cs="新宋体"/>
          <w:sz w:val="24"/>
          <w:u w:val="single"/>
        </w:rPr>
        <w:t xml:space="preserve">  壹  </w:t>
      </w:r>
      <w:r>
        <w:rPr>
          <w:rFonts w:hint="eastAsia" w:ascii="新宋体" w:hAnsi="新宋体" w:eastAsia="新宋体" w:cs="新宋体"/>
          <w:sz w:val="24"/>
        </w:rPr>
        <w:t xml:space="preserve">个月事先以书面方式告知乙方，确定乙方正式 介入项目试运营日期。乙方为了更好的配合甲方对于该运营项目的设备调试及运营调试，可提前派出相关人员介入协助配合。乙方派出相关人员介入后，乙方在此期间所产生的一切费用，甲方全额承担。 </w:t>
      </w:r>
    </w:p>
    <w:p w14:paraId="56667591">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第十三条  移交工作小组  </w:t>
      </w:r>
    </w:p>
    <w:p w14:paraId="2D503BF5">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13.1项目设施移交工作由甲方和乙方共同组建移交工作小组，在试运营进驻运营前一周内 成立移交工作小组，负责完成设施设备清点、运行交接、人员安置以及其他必要的前期工作。  </w:t>
      </w:r>
    </w:p>
    <w:p w14:paraId="41FDA9ED">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13.2移交工作小组工作至项目设施移交完成之日解散。 </w:t>
      </w:r>
    </w:p>
    <w:p w14:paraId="0272EC26">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13.3移交工作小组在进行上述工作过程中发生的必要费用，由双方对该费用确认后平均分担。  </w:t>
      </w:r>
    </w:p>
    <w:p w14:paraId="6551F510">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第十四条 责任的划分 </w:t>
      </w:r>
    </w:p>
    <w:p w14:paraId="3227C0AE">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 14.1设施、设备移交时将进行相关的设备检测，检测中发现的项目设施、设备存在的缺陷 或损坏，形成设备缺陷表单。移交方应负责修复该缺陷或损坏，接收方可协助修复。 </w:t>
      </w:r>
    </w:p>
    <w:p w14:paraId="45423236">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14.2 设施、设备移交后，凡属设备供应方合同保修责任期内的，仍应由甲方协助乙方联系维修。  </w:t>
      </w:r>
    </w:p>
    <w:p w14:paraId="3603E0E6">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14.3移交过程中，若一方对移交资产的设备、设施的性能及完好程度存在异议时，由双方 共同委托具有资产评估能力的机构对存在争议的资产进行评估，评估结果具有最终效力，对双方都具有约束力。 </w:t>
      </w:r>
    </w:p>
    <w:p w14:paraId="43A655B0">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第十五条 项目设施的移交回转  </w:t>
      </w:r>
    </w:p>
    <w:p w14:paraId="1290E1C4">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15.1本协议届满后，乙方无偿将项目设施交回甲方（但不包括乙方更新、改造的设施、设 备，如涉及可参照合同11.2条款执行）。同时保证项目设施处于良好的运行状态。</w:t>
      </w:r>
    </w:p>
    <w:p w14:paraId="0B8104D5">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 15.2 项目设施的移交回转过程及内容同项目设施的移交过程。  </w:t>
      </w:r>
    </w:p>
    <w:p w14:paraId="504220D0">
      <w:pPr>
        <w:pStyle w:val="361"/>
        <w:spacing w:line="440" w:lineRule="exact"/>
        <w:jc w:val="center"/>
        <w:rPr>
          <w:rFonts w:hint="eastAsia" w:ascii="新宋体" w:hAnsi="新宋体" w:eastAsia="新宋体" w:cs="新宋体"/>
          <w:b/>
          <w:sz w:val="28"/>
          <w:szCs w:val="28"/>
        </w:rPr>
      </w:pPr>
      <w:r>
        <w:rPr>
          <w:rFonts w:hint="eastAsia" w:ascii="新宋体" w:hAnsi="新宋体" w:eastAsia="新宋体" w:cs="新宋体"/>
          <w:b/>
          <w:sz w:val="28"/>
          <w:szCs w:val="28"/>
        </w:rPr>
        <w:t>六、人员办公场地安置</w:t>
      </w:r>
    </w:p>
    <w:p w14:paraId="37D72546">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第十六条 人员办公场地安置  </w:t>
      </w:r>
    </w:p>
    <w:p w14:paraId="716AFF48">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16.1托管运营期间乙方负责运行管理人员编制，其中人员岗位安排由乙方自行确定.</w:t>
      </w:r>
    </w:p>
    <w:p w14:paraId="426DF2A0">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16.2在托管运营期间，乙方应对聘用人员按国家规定的各种劳动保险费用（五险）进行支付，所有费用由乙方负责支付和办理。 </w:t>
      </w:r>
    </w:p>
    <w:p w14:paraId="03C8C606">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16.3本协议提前终止时,乙方在其全部人员撤离前,应确保甲方相关人员具备基本的运行能 力,确保项目设备、设施的连续运转。 </w:t>
      </w:r>
    </w:p>
    <w:p w14:paraId="633F9A0C">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16.4 乙方进驻时，甲方提供的办公场地整体配套设施（宿舍、食堂、办公桌椅、网络宽带、电脑设备、化验室仪器设备等）由乙方负责。</w:t>
      </w:r>
    </w:p>
    <w:p w14:paraId="43101EBA">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16.5 乙方应保证运营结束时，设备应保证95%的完好率，如产生的设备更换费用由乙方承担，设备更换品牌必须与设计院要求和招标文件一致。乙方应保证每个污水厂白天至少有1名具有运营资质的操作人员，晚间至少有1名具有运营资质的操作人员。在调试及运营期内，具有运营资质的操作人员不得减少。（操作人员必须具有国家环保产业协会或国家环保部颁发的有效的运营人员考试合格证书，工种为：污废水处理工）   </w:t>
      </w:r>
    </w:p>
    <w:p w14:paraId="3E19F011">
      <w:pPr>
        <w:pStyle w:val="361"/>
        <w:spacing w:line="440" w:lineRule="exact"/>
        <w:jc w:val="center"/>
        <w:rPr>
          <w:rFonts w:hint="eastAsia" w:ascii="新宋体" w:hAnsi="新宋体" w:eastAsia="新宋体" w:cs="新宋体"/>
          <w:b/>
          <w:sz w:val="28"/>
          <w:szCs w:val="28"/>
        </w:rPr>
      </w:pPr>
      <w:r>
        <w:rPr>
          <w:rFonts w:hint="eastAsia" w:ascii="新宋体" w:hAnsi="新宋体" w:eastAsia="新宋体" w:cs="新宋体"/>
          <w:b/>
          <w:sz w:val="28"/>
          <w:szCs w:val="28"/>
        </w:rPr>
        <w:t>七、项目设施的运行和维护</w:t>
      </w:r>
    </w:p>
    <w:p w14:paraId="2BBF8F4B">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第十七条 项目设施的运行  </w:t>
      </w:r>
    </w:p>
    <w:p w14:paraId="27B04227">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17.1乙方应保证项目设施每日正常运转。因设施设备检修需暂停服务时，须报甲方批准。 </w:t>
      </w:r>
    </w:p>
    <w:p w14:paraId="11EB8DEE">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17.2运行中发生设施设备重大事故或人身伤亡事故时，乙方须负全部责任并及时采取措施 处理同时立即报告甲方。 </w:t>
      </w:r>
    </w:p>
    <w:p w14:paraId="6AC91A80">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17.3对整个项目设施设备改造须事先征得甲方同意。 </w:t>
      </w:r>
    </w:p>
    <w:p w14:paraId="7FCF0F71">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第十八条 项目设施的维护  </w:t>
      </w:r>
    </w:p>
    <w:p w14:paraId="05D5A5D2">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18.1项目设施的运行与维护应符合中国法律、法规和国家行业规范、标准的要求，包括《城 市污水处理厂运行、维护及其安全技术规程》（CJJ60-94）。  </w:t>
      </w:r>
    </w:p>
    <w:p w14:paraId="481166A2">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18.2乙方应制定保证设施设备完好的措施和计划，并接受甲方对有关设施设备完好情况的 检查。 </w:t>
      </w:r>
    </w:p>
    <w:p w14:paraId="1BA4B5DF">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 18.3 在托管运营期内，因生产所发生的设施、设备中、小维修、维护保养费用、水电费用、办公费用由乙方承担。运营过程中涉及的大修、技改由则由乙方提出方案报甲方审批，费用由甲方负责承担。 （注：设施设备中、小维修一年内不得超过三次） </w:t>
      </w:r>
    </w:p>
    <w:p w14:paraId="467C3025">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第十九条 甲方的监管  </w:t>
      </w:r>
    </w:p>
    <w:p w14:paraId="5A6928B4">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19.1甲方或政府其他相关行业管理部门有权派员在任何时候进入乙方的项目设施，监督项 目设施的运行和维护，了解乙方的生产经营信息，但不得干涉、延误或干扰乙方履行其在本协议下的权利和义务。  </w:t>
      </w:r>
    </w:p>
    <w:p w14:paraId="3B023212">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19.2甲方所派人员发现问题时有提问和要求乙方回答的权利，并有权检查包括乙方的生产 记录、设备检修和检测记录在内的全部运营记录。 </w:t>
      </w:r>
    </w:p>
    <w:p w14:paraId="7EF426F7">
      <w:pPr>
        <w:pStyle w:val="361"/>
        <w:spacing w:line="440" w:lineRule="exact"/>
        <w:jc w:val="center"/>
        <w:rPr>
          <w:rFonts w:hint="eastAsia" w:ascii="新宋体" w:hAnsi="新宋体" w:eastAsia="新宋体" w:cs="新宋体"/>
          <w:b/>
          <w:sz w:val="28"/>
          <w:szCs w:val="28"/>
        </w:rPr>
      </w:pPr>
      <w:r>
        <w:rPr>
          <w:rFonts w:hint="eastAsia" w:ascii="新宋体" w:hAnsi="新宋体" w:eastAsia="新宋体" w:cs="新宋体"/>
          <w:b/>
          <w:sz w:val="28"/>
          <w:szCs w:val="28"/>
        </w:rPr>
        <w:t>八、水质检测</w:t>
      </w:r>
    </w:p>
    <w:p w14:paraId="0E7AAF36">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第二十条 水质检测  </w:t>
      </w:r>
    </w:p>
    <w:p w14:paraId="5CEF866B">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20.1进水和出水的水质应通过日常检测指标确定，符合设计进水水质及尾水排放标准。乙方应按照国家规定的检测分析方法进 行检测，并如实向甲方报告检测结果。 </w:t>
      </w:r>
    </w:p>
    <w:p w14:paraId="1841D769">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20.2乙方应接受经甲方委托的具有资质的检测机构按照20.1款规定的检测程序、办法、 标准和周期进行检测。</w:t>
      </w:r>
    </w:p>
    <w:p w14:paraId="03876F44">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20.3乙方应记录日常检测和在线检测的所有结果，并存档备查。检测指标项目经双方约定如下：</w:t>
      </w:r>
    </w:p>
    <w:p w14:paraId="594AB10E">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20.4乙方应于每月开始的五个工作日内将上月的列明日常检测指标的《月度水质报告》报送甲方，报告上月的每日进水和出水水质，对进出水水质严重不符合本协议规定标准的检测报告应立即报送。 </w:t>
      </w:r>
    </w:p>
    <w:p w14:paraId="1813CA2C">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第二十一条 水样采取和储存  </w:t>
      </w:r>
    </w:p>
    <w:p w14:paraId="5FA6F410">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21.1水样的采集应符合国家标准《水质采样方案设计技术规定》（GB12997-91）、《水质采 样技术指导》（GB12998-91）以及《地表水和污水监测技术规范》（ HJ/T91-2002）的要求。  </w:t>
      </w:r>
    </w:p>
    <w:p w14:paraId="2265D06C">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21.2水样储存应符合国家标准《水质采样样品的保存和管理技术规定》（GB12999-91）的要求。  </w:t>
      </w:r>
    </w:p>
    <w:p w14:paraId="0C788545">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21.3用于检测水质的进水水样和出水水样应分别在双方共同确认的接入点和交付点采集。 进水水样和出水水样的采样间隔不得大于五小时，每日提取采样设备采集混合水样。</w:t>
      </w:r>
    </w:p>
    <w:p w14:paraId="7EA9F282">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21.4每次提取的水样应分装A、B两瓶，A瓶用于乙方自行检测，B瓶留作备用水样。每瓶 备用水样应不少于2000ml，瓶上须明确标明采样日期和采样点，进水和出水的备用水样须分开在4℃保存，保存时限为四十八小时。 </w:t>
      </w:r>
    </w:p>
    <w:p w14:paraId="32D01338">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第二十二条 甲方的核实  </w:t>
      </w:r>
    </w:p>
    <w:p w14:paraId="29FC3FD4">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22.1甲方有权对乙方的检测程序、结果、设备和仪器进行检查；就乙方进行的日常检测， 甲方有权委托具有资质的水质检测机构，进行一项或多项检测，以核实乙方提供的结果。甲方抽查采样时须有乙方人员在场。经通知后，乙方人员拒不到场的，不影响抽查结果的有效性。  </w:t>
      </w:r>
    </w:p>
    <w:p w14:paraId="455E633A">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22.2甲方核实或抽查的结果与乙方自检结果不一致时，以双方认可的有资质的第三方检测 结果为准。 </w:t>
      </w:r>
    </w:p>
    <w:p w14:paraId="749EFCA6">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22.3甲方委托的检验机构进行上述核实或检查的费用应由甲方承担，但是如果核实或检查 的结果表明乙方检测结果不符合标准时，则乙方应负担该等费用。 </w:t>
      </w:r>
    </w:p>
    <w:p w14:paraId="21F33E85">
      <w:pPr>
        <w:pStyle w:val="361"/>
        <w:spacing w:line="440" w:lineRule="exact"/>
        <w:jc w:val="center"/>
        <w:rPr>
          <w:rFonts w:hint="eastAsia" w:ascii="新宋体" w:hAnsi="新宋体" w:eastAsia="新宋体" w:cs="新宋体"/>
          <w:b/>
          <w:sz w:val="28"/>
          <w:szCs w:val="28"/>
        </w:rPr>
      </w:pPr>
      <w:r>
        <w:rPr>
          <w:rFonts w:hint="eastAsia" w:ascii="新宋体" w:hAnsi="新宋体" w:eastAsia="新宋体" w:cs="新宋体"/>
          <w:b/>
          <w:sz w:val="28"/>
          <w:szCs w:val="28"/>
        </w:rPr>
        <w:t>九、计量</w:t>
      </w:r>
    </w:p>
    <w:p w14:paraId="47F3AC0C">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第二十三条 计量方法 </w:t>
      </w:r>
    </w:p>
    <w:p w14:paraId="67D81EB7">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23.1污水处理厂出水口安装电磁流量计各一台，双方约定 以出水口流量计为付费计量仪表。 </w:t>
      </w:r>
    </w:p>
    <w:p w14:paraId="4741ED5C">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23.2在本协议期内甲方应定期对流量计进行检查、校准和测试。（参见附录2计量方式） </w:t>
      </w:r>
    </w:p>
    <w:p w14:paraId="4EAAD27F">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23.3甲乙双方的代表应在每个月的最后一日联合对现场流量计的读数进行记录。双方对现场流量计读数共同确认后，以出水口流量计作为该月的实际污水处理量。 </w:t>
      </w:r>
    </w:p>
    <w:p w14:paraId="6DB5CA64">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第二十四条 计量结果的异议与确认  </w:t>
      </w:r>
    </w:p>
    <w:p w14:paraId="4683D54A">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24.1若计量装置发生意外故障，乙方应及时书面通知甲方并予以说明，经甲方确认后，则 发生故障期间的每日污水处理量按上个月的日平均污水处理量计算。  </w:t>
      </w:r>
    </w:p>
    <w:p w14:paraId="383BDE27">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24.2任一方如对水量计量结果有异议，应自异议发生之日起3天内向对方书面提出，并可 聘请双方认可的专业机构对计量装置进行检测，经检查若确实存在问题应立即纠正，检测费用由被异议方支付；反之，则由异议方支付。   </w:t>
      </w:r>
    </w:p>
    <w:p w14:paraId="49DEC4E9">
      <w:pPr>
        <w:pStyle w:val="361"/>
        <w:spacing w:line="440" w:lineRule="exact"/>
        <w:jc w:val="center"/>
        <w:rPr>
          <w:rFonts w:hint="eastAsia" w:ascii="新宋体" w:hAnsi="新宋体" w:eastAsia="新宋体" w:cs="新宋体"/>
          <w:b/>
          <w:sz w:val="28"/>
          <w:szCs w:val="28"/>
        </w:rPr>
      </w:pPr>
      <w:r>
        <w:rPr>
          <w:rFonts w:hint="eastAsia" w:ascii="新宋体" w:hAnsi="新宋体" w:eastAsia="新宋体" w:cs="新宋体"/>
          <w:b/>
          <w:sz w:val="28"/>
          <w:szCs w:val="28"/>
        </w:rPr>
        <w:t>十、不可抗力</w:t>
      </w:r>
    </w:p>
    <w:p w14:paraId="2A1F2119">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第二十五条 不可抗力  </w:t>
      </w:r>
    </w:p>
    <w:p w14:paraId="45FDD18C">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25.1本协议中所指的不可抗力是指：（1）雷电、地震、火山爆发、滑坡、水灾、冰灾、暴雨、海啸、台风、龙卷风或旱灾等自然灾害 ；（2）流行病、饥荒或瘟疫；（3）战争行为、入侵、武装冲突或外敌行为、封锁或军事力量的使用，暴乱或恐怖 行为； （4）全国性、地区性、城市性或行业性罢工；（5）由于不能归因于乙方的原因引起的连续壹个月以上的供电中断；（6）国家征用、征收；（7）导致本协议实际上不能履行的法律变更。 </w:t>
      </w:r>
    </w:p>
    <w:p w14:paraId="4AA94D9B">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25.2任何一方如果因不可抗力而导致不能全部或部分履行本协议规定义务的，在不可抗力 的影响范围内该方可全部或部分免除在本协议项下的相应义务，并不承担任何责任。 </w:t>
      </w:r>
    </w:p>
    <w:p w14:paraId="53D4A3A3">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25.3受到不可抗力影响的一方应尽一切合理努力和采取合理措施以继续履行其在本协议下 的义务，减少不可抗力对其造成的影响。双方应协商制定并实施补救计划及合理的替代措施以消除不可抗力的影响。  </w:t>
      </w:r>
    </w:p>
    <w:p w14:paraId="33683ED6">
      <w:pPr>
        <w:pStyle w:val="361"/>
        <w:spacing w:line="440" w:lineRule="exact"/>
        <w:jc w:val="center"/>
        <w:rPr>
          <w:rFonts w:hint="eastAsia" w:ascii="新宋体" w:hAnsi="新宋体" w:eastAsia="新宋体" w:cs="新宋体"/>
          <w:b/>
          <w:sz w:val="28"/>
          <w:szCs w:val="28"/>
        </w:rPr>
      </w:pPr>
      <w:r>
        <w:rPr>
          <w:rFonts w:hint="eastAsia" w:ascii="新宋体" w:hAnsi="新宋体" w:eastAsia="新宋体" w:cs="新宋体"/>
          <w:b/>
          <w:sz w:val="28"/>
          <w:szCs w:val="28"/>
        </w:rPr>
        <w:t>十一、违约责任</w:t>
      </w:r>
    </w:p>
    <w:p w14:paraId="62125BBF">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第二十六条 违约责任  </w:t>
      </w:r>
    </w:p>
    <w:p w14:paraId="0B999B2E">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26.1任何一方违反本协议规定的任何条款或条件导致本协议不能履行或部分不能履行，违 约一方应承担违约责任，并赔偿由此给对方造成的经济损失。  </w:t>
      </w:r>
    </w:p>
    <w:p w14:paraId="3FF33318">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26.2在协议期内，任何一方非因不可抗力或协议中规定的条款而解除本协议的应支付给对方违约金，违约金=日保底水量×污水处理服务费单价×剩余运营天数×15。  </w:t>
      </w:r>
    </w:p>
    <w:p w14:paraId="1A06A5E9">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26.3甲方在本协议期内，不得与任何第三方签署与本协议项下的任何事宜构成竞争的任何 协议及违反本协议项下的任何事宜的任何协议。  </w:t>
      </w:r>
    </w:p>
    <w:p w14:paraId="021416CA">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第二十七条 责任划分  </w:t>
      </w:r>
    </w:p>
    <w:p w14:paraId="7058562B">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27.1在协议期内，属乙方自身的原因导致乙方所排放的出水不达标受到政府及有关部门的 行政处罚或追究任何法律责任时，由乙方承担一切经济损失及一切法律责任,同时不予支付当月污水处理服务费。 </w:t>
      </w:r>
    </w:p>
    <w:p w14:paraId="2C22DCFB">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27.2 当进水水质标准和水量超过约定值的10%以内时，当时间不超过两周，乙方应保证能达标并正常运行。当时间超过两周，甲方应免除乙方的不达标责任。</w:t>
      </w:r>
    </w:p>
    <w:p w14:paraId="1ABEED9E">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27.4 当乙方施工的管网因标高和施工质量引起的问题，导致引进的水不能进入污水处理厂，引起的一切责任由乙方承担，甲方有权责令乙方整改，整改费用由乙方承担。当发生环境污染事故时，所产生的法律责任和社会责任均由乙方承担。</w:t>
      </w:r>
    </w:p>
    <w:p w14:paraId="3A424EBC">
      <w:pPr>
        <w:pStyle w:val="361"/>
        <w:spacing w:line="440" w:lineRule="exact"/>
        <w:jc w:val="center"/>
        <w:rPr>
          <w:rFonts w:hint="eastAsia" w:ascii="新宋体" w:hAnsi="新宋体" w:eastAsia="新宋体" w:cs="新宋体"/>
          <w:b/>
          <w:sz w:val="28"/>
          <w:szCs w:val="28"/>
        </w:rPr>
      </w:pPr>
      <w:r>
        <w:rPr>
          <w:rFonts w:hint="eastAsia" w:ascii="新宋体" w:hAnsi="新宋体" w:eastAsia="新宋体" w:cs="新宋体"/>
          <w:b/>
          <w:sz w:val="28"/>
          <w:szCs w:val="28"/>
        </w:rPr>
        <w:t>十二、争议的解决</w:t>
      </w:r>
    </w:p>
    <w:p w14:paraId="535CA9A3">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第二十八条 争议的解决  </w:t>
      </w:r>
    </w:p>
    <w:p w14:paraId="653875F4">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28.1对本协议有关的任何争议，双方应友好协商解决。 </w:t>
      </w:r>
    </w:p>
    <w:p w14:paraId="2D18C6D1">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28.2争议未能解决的，可以通过向工程所在地区法院诉讼解决。 </w:t>
      </w:r>
    </w:p>
    <w:p w14:paraId="773FDB17">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第二十九条 法律效力  </w:t>
      </w:r>
    </w:p>
    <w:p w14:paraId="0F7B7BE0">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29.1本协议的订立、履行、效力及解释均适合中国法律。如本协议有关条款与国家法律、 法规相抵触，则对相应条款进行修改、完善，本协议其他条款继续履行。 </w:t>
      </w:r>
    </w:p>
    <w:p w14:paraId="2FB551B6">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29.2对本协议的修改、变更、补充，必须经甲乙双方在共同协商的基础上签署书面补充协 议，补充协议与本协议具有同等效力。 </w:t>
      </w:r>
    </w:p>
    <w:p w14:paraId="67B9229A">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29.3本协议的任何条款或任何部分的无效或不可强制执行，不应以任何方式影响本协议的 任何其他条款或任何部分的效力。  </w:t>
      </w:r>
    </w:p>
    <w:p w14:paraId="04038996">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29.4除非导致协议的终止，针对本协议的任何违约责任的追究及责任承担，均不影响本协 议之继续履行。 </w:t>
      </w:r>
    </w:p>
    <w:p w14:paraId="0A066D18">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29.5本协议所有附件是本协议不可分割的组成部分，与本协议具有同等法律效力。</w:t>
      </w:r>
    </w:p>
    <w:p w14:paraId="6C4EAB36">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29.6本协议自签署之日即对双方产生同等的约束力及法律效力。  </w:t>
      </w:r>
    </w:p>
    <w:p w14:paraId="6EB69E3C">
      <w:pPr>
        <w:pStyle w:val="361"/>
        <w:spacing w:line="440" w:lineRule="exact"/>
        <w:jc w:val="center"/>
        <w:rPr>
          <w:rFonts w:hint="eastAsia" w:ascii="新宋体" w:hAnsi="新宋体" w:eastAsia="新宋体" w:cs="新宋体"/>
          <w:b/>
          <w:sz w:val="28"/>
          <w:szCs w:val="28"/>
        </w:rPr>
      </w:pPr>
      <w:r>
        <w:rPr>
          <w:rFonts w:hint="eastAsia" w:ascii="新宋体" w:hAnsi="新宋体" w:eastAsia="新宋体" w:cs="新宋体"/>
          <w:b/>
          <w:sz w:val="28"/>
          <w:szCs w:val="28"/>
        </w:rPr>
        <w:t>十三、托管运营期限</w:t>
      </w:r>
    </w:p>
    <w:p w14:paraId="32E8E439">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第三十条 托管运营期限  </w:t>
      </w:r>
    </w:p>
    <w:p w14:paraId="57EB041B">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30.1 甲方授予乙方的托管运营期限为一周年，乙方施工内容经验收合格，并通过环保验收通过后，由甲方通知乙方开始运营之日起生效。</w:t>
      </w:r>
    </w:p>
    <w:p w14:paraId="786C64C3">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30.2 运营期计算为正式交接日起至次年该日期止为一年度运营周期。  </w:t>
      </w:r>
    </w:p>
    <w:p w14:paraId="29B44C10">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30.3 协议期满前一个月,双方可协商是否续签下一年度托管运行事宜，甲方有权确定下一年度的其他运营方案，同等条件下乙方享有优先权。   </w:t>
      </w:r>
    </w:p>
    <w:p w14:paraId="1B7EFFAF">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第三十一条  终止事件  </w:t>
      </w:r>
    </w:p>
    <w:p w14:paraId="269F4BF3">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本合同应在下述任一事件最先发生之时终止：根据第25.1条，由于不可抗力事件终止本合同</w:t>
      </w:r>
      <w:r>
        <w:rPr>
          <w:rFonts w:hint="eastAsia" w:ascii="新宋体" w:hAnsi="新宋体" w:eastAsia="新宋体" w:cs="新宋体"/>
          <w:sz w:val="24"/>
          <w:lang w:eastAsia="zh-CN"/>
        </w:rPr>
        <w:t>；</w:t>
      </w:r>
      <w:r>
        <w:rPr>
          <w:rFonts w:hint="eastAsia" w:ascii="新宋体" w:hAnsi="新宋体" w:eastAsia="新宋体" w:cs="新宋体"/>
          <w:sz w:val="24"/>
        </w:rPr>
        <w:t>根据第31.1条规定，在乙方违约事件后，甲方终止本合同；根据第31.2条规定，在甲方违约事件后，乙方终止本合同。</w:t>
      </w:r>
    </w:p>
    <w:p w14:paraId="7FC21A19">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31.1乙方违约事件下述每一条款所述事件，如果不是由于甲方或不可抗力所致并且未在允许的时间（如有）内得到改正，应视为乙方违约事件，甲方有权立即发出终止意向通知： a）在一个运营年，除经批准的项目设施正常大修期间外，在进水达标的情况下出水未达到出水水质标准的情况总共超过二十（20）个运营日；  b）乙方未能根据本合同运营和维护项目设施，致使在项目场地或附近的人员和财产的安全受到严重不良影响或产生严重不良后果； c）乙方依中国法律清算或其资不抵债；  d）乙方在本合同中作的声明被证明在提供时严重有误，使其履行本合同项下义务的能力受到严重不利影响；  e）乙方及其雇员蓄意损坏或破坏政府方进水管网的任何部分；  f）乙方未能履行其在本合同项下的任何其它义务而构成对本合同的重大违约，并且乙方在收到甲方发出说明该违约的书面通知和要求其对此进行补救后的二十（20）天之内未能补救。</w:t>
      </w:r>
    </w:p>
    <w:p w14:paraId="6E3D8D2F">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31.2甲方违约事件  下述每一条款所述事件，如果不是由于乙方违约事件或不可抗力所致，并且未能在允许的时间（如有）内得到补救，应视为甲方违约事件，乙方有权立即发出终止意向通知：  a)甲方在本合同中做的声明被证明在提供时严重有误，使甲方履行本合同项下义务的能力受到严重不利影响；  b) 甲方严重违反本合同项下的义务，并在收到乙方发出说明此违约的书面通知和要求甲方就此进行补救的书面通知后三十（30）天内，甲方未能补救。</w:t>
      </w:r>
    </w:p>
    <w:p w14:paraId="799EB206">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31.3终止意向通知  任何终止意向通知均应适当详细说明导致发出该通知(“终止意向通知”)的违约事件情况。同时，任一方向另一方发出的任何终止意向通知应同时提交给对方一份书面函件。在发出终止意向通知后，双方应在三十（30）天期限内，或双方书面同意的更长期内协商避免终止本合同而应采取的措施。</w:t>
      </w:r>
    </w:p>
    <w:p w14:paraId="06D0645A">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 31.4 终止通知受第31.5条约束，在第31.3条规定的协商期满时，除非双方另外达成一致意见； 导致终止意向通知的乙方违约事件或甲方违约事件已得到补救；  发出终止意向通知的一方可向另一方发出通知（“终止通知”）并在上述各方收到通知后，立即终止本合同。</w:t>
      </w:r>
    </w:p>
    <w:p w14:paraId="582DB451">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31.5甲方的权利 </w:t>
      </w:r>
    </w:p>
    <w:p w14:paraId="090BB9A0">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31.5.1甲方经营项目设施的权利  (a) 在经营期内，如果乙方违约事件发生并持续，并对乙方根据本协议运营和维护污水处理厂设施的能力产生严重不利影响，则在甲方发出终止意向通知之后并直至终止通知之间甲方有权，但无义务，替代乙方接管项目设施的运营，以使项目设施继续运营或完成任何必要的修理以保证项目设施不间断地收纳输送污水和处理进厂污水，在此情况下，乙方应承担与甲方合作的义务。  (b)  任何情况下，甲方选择接管运营项目设施不应视为本项目经营权的转让或承担乙方作为项目设施拥有权人的义务。  (c)  在甲方运营项目设施期间，乙方无义务获取在甲方接管项目设施的运营之日以后发生的运营费用。在因乙方发生违约事件甲方发出终止意向通知之日起，甲方无义务向乙方支付任何服务费，直至乙方按照本协议接替或承担项目设施的运营。</w:t>
      </w:r>
    </w:p>
    <w:p w14:paraId="10A345D6">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31.5.2 甲方在任何时候终止本协议的权利  如果在乙方违约事件发生之后，甲方已发出终止意向通知，并且乙方违约事件在协商期满之日前未得以补救，则甲方应有权在上述日期之后的任何时候发出正式终止通知以终止本协议。 </w:t>
      </w:r>
    </w:p>
    <w:p w14:paraId="33FEDF17">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31.6 终止的一般后果  本协议终止后，双方在本协议项下不再有进一步的义务，但根据第31.7条可能到期应付的任何款项，以及本协议到期或终止之前发生的而在本协议到期或终止之日尚未支付的付款义务除外；本协议的终止不影响本协议中争议解决条款和任何在本协议终止后仍然有效的其它条款。 </w:t>
      </w:r>
    </w:p>
    <w:p w14:paraId="7AFF05AB">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31.7 终止后的补偿 </w:t>
      </w:r>
    </w:p>
    <w:p w14:paraId="4FBE1379">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31.7．1乙方违约事件导致的终止  如果甲方因乙方严重违约事件而根据31.1（a）至（f）条规定终止本协议，甲方有权收回对乙方授予的托管运营权。</w:t>
      </w:r>
    </w:p>
    <w:p w14:paraId="75365962">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31.7.2 甲方违约事件导致的终止  如果在生效日后乙方因甲方违约事件根据第31.2条终止本协议，则乙方应将项目设施转让给甲方。 </w:t>
      </w:r>
    </w:p>
    <w:p w14:paraId="4106F0EE">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31.7.3 不可抗力事件导致的终止  因不可抗力事件导致任何一方终止本协议，甲方应向乙方支付一定的合理补偿。甲方支付该项补偿后，乙方应将项目设施移交给甲方。</w:t>
      </w:r>
    </w:p>
    <w:p w14:paraId="01CA3F1D">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31.8对责任的限制  (a) 本合同终止后，甲方不应就上述终止或导致上述终止的任何事件向乙方承担任何责任，但根据本合同已事先约定的应付未付款项、违约赔偿和解决有关补偿费的支付除外(如有的话)。 (b) 本合同终止后，乙方应单独负责终止与项目有关的所有对外事务，以确保项目设施在终止收回日无负债、无对外担保、无法律诉讼等情况，除非乙方与甲方就项目设施在终止移交日的债权债务处理等事项已另外达成协议。</w:t>
      </w:r>
    </w:p>
    <w:p w14:paraId="42361243">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 31.9终止的后果  本合同终止后，除在该终止或期满前产生的义务外,双方在本合同项下无其它义 务。该终止不得影响有关解决争议的规定、本章的规定或本合同明确规定在该终止后继续有效的其它规定。   </w:t>
      </w:r>
    </w:p>
    <w:p w14:paraId="6AC373E3">
      <w:pPr>
        <w:pStyle w:val="361"/>
        <w:spacing w:line="440" w:lineRule="exact"/>
        <w:jc w:val="center"/>
        <w:rPr>
          <w:rFonts w:hint="eastAsia" w:ascii="新宋体" w:hAnsi="新宋体" w:eastAsia="新宋体" w:cs="新宋体"/>
          <w:b/>
          <w:sz w:val="28"/>
          <w:szCs w:val="28"/>
        </w:rPr>
      </w:pPr>
      <w:r>
        <w:rPr>
          <w:rFonts w:hint="eastAsia" w:ascii="新宋体" w:hAnsi="新宋体" w:eastAsia="新宋体" w:cs="新宋体"/>
          <w:b/>
          <w:sz w:val="28"/>
          <w:szCs w:val="28"/>
        </w:rPr>
        <w:t>十四、其他</w:t>
      </w:r>
    </w:p>
    <w:p w14:paraId="1A50477D">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三十二 相关修改</w:t>
      </w:r>
    </w:p>
    <w:p w14:paraId="083BBB9A">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32.1对合同条款做出任何修改，均须由甲、乙方双方协商，以书面补充合同形式进行。</w:t>
      </w:r>
    </w:p>
    <w:p w14:paraId="61218B0D">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32.2本合同经甲、乙双方签字盖章后立即生效，共制作正本四份，签约双方各执二份，具 有同等法律效力。   </w:t>
      </w:r>
    </w:p>
    <w:p w14:paraId="42B48C80">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32.3 合同附件：   附录1  污水处理服务费的计算 </w:t>
      </w:r>
    </w:p>
    <w:p w14:paraId="35419EAE">
      <w:pPr>
        <w:pStyle w:val="361"/>
        <w:spacing w:line="440" w:lineRule="exact"/>
        <w:ind w:firstLine="480"/>
        <w:rPr>
          <w:rFonts w:hint="eastAsia" w:ascii="新宋体" w:hAnsi="新宋体" w:eastAsia="新宋体" w:cs="新宋体"/>
          <w:sz w:val="24"/>
        </w:rPr>
      </w:pPr>
      <w:r>
        <w:rPr>
          <w:rFonts w:hint="eastAsia" w:ascii="新宋体" w:hAnsi="新宋体" w:eastAsia="新宋体" w:cs="新宋体"/>
          <w:sz w:val="24"/>
        </w:rPr>
        <w:t xml:space="preserve">附录2  处理污水量的计量  </w:t>
      </w:r>
    </w:p>
    <w:p w14:paraId="67ABE404">
      <w:pPr>
        <w:pStyle w:val="361"/>
        <w:spacing w:line="440" w:lineRule="exact"/>
        <w:jc w:val="center"/>
        <w:rPr>
          <w:rFonts w:hint="eastAsia" w:ascii="新宋体" w:hAnsi="新宋体" w:eastAsia="新宋体" w:cs="新宋体"/>
          <w:sz w:val="24"/>
        </w:rPr>
      </w:pPr>
    </w:p>
    <w:p w14:paraId="7D22363E">
      <w:pPr>
        <w:pStyle w:val="361"/>
        <w:spacing w:line="440" w:lineRule="exact"/>
        <w:jc w:val="center"/>
        <w:rPr>
          <w:rFonts w:hint="eastAsia" w:ascii="新宋体" w:hAnsi="新宋体" w:eastAsia="新宋体" w:cs="新宋体"/>
          <w:sz w:val="24"/>
        </w:rPr>
      </w:pPr>
    </w:p>
    <w:p w14:paraId="210CFBCD">
      <w:pPr>
        <w:pStyle w:val="361"/>
        <w:spacing w:line="440" w:lineRule="exact"/>
        <w:rPr>
          <w:rFonts w:hint="eastAsia" w:ascii="新宋体" w:hAnsi="新宋体" w:eastAsia="新宋体" w:cs="新宋体"/>
          <w:b/>
          <w:sz w:val="24"/>
        </w:rPr>
      </w:pPr>
      <w:r>
        <w:rPr>
          <w:rFonts w:hint="eastAsia" w:ascii="新宋体" w:hAnsi="新宋体" w:eastAsia="新宋体" w:cs="新宋体"/>
          <w:sz w:val="24"/>
        </w:rPr>
        <w:br w:type="page" w:clear="all"/>
      </w:r>
      <w:r>
        <w:rPr>
          <w:rFonts w:hint="eastAsia" w:ascii="新宋体" w:hAnsi="新宋体" w:eastAsia="新宋体" w:cs="新宋体"/>
          <w:b/>
          <w:sz w:val="24"/>
        </w:rPr>
        <w:t xml:space="preserve">附录1   污水处理服务费的计算    </w:t>
      </w:r>
    </w:p>
    <w:p w14:paraId="59C654CA">
      <w:pPr>
        <w:pStyle w:val="361"/>
        <w:spacing w:line="400" w:lineRule="exact"/>
        <w:ind w:firstLine="480"/>
        <w:jc w:val="left"/>
        <w:rPr>
          <w:rFonts w:hint="eastAsia" w:ascii="新宋体" w:hAnsi="新宋体" w:eastAsia="新宋体" w:cs="新宋体"/>
          <w:sz w:val="24"/>
        </w:rPr>
      </w:pPr>
      <w:r>
        <w:rPr>
          <w:rFonts w:hint="eastAsia" w:ascii="新宋体" w:hAnsi="新宋体" w:eastAsia="新宋体" w:cs="新宋体"/>
          <w:sz w:val="24"/>
        </w:rPr>
        <w:t xml:space="preserve">以污水处理厂的正常运营、达标排放为前提，甲方应区分不同情况，依照本附录公式或方法的约定按月计算应实际支付给乙方的污水处理服务费。为简明表述起见做如下设定：  </w:t>
      </w:r>
    </w:p>
    <w:p w14:paraId="3F025991">
      <w:pPr>
        <w:pStyle w:val="361"/>
        <w:spacing w:line="400" w:lineRule="exact"/>
        <w:ind w:firstLine="480"/>
        <w:jc w:val="left"/>
        <w:rPr>
          <w:rFonts w:hint="eastAsia" w:ascii="新宋体" w:hAnsi="新宋体" w:eastAsia="新宋体" w:cs="新宋体"/>
          <w:sz w:val="24"/>
        </w:rPr>
      </w:pPr>
      <w:r>
        <w:rPr>
          <w:rFonts w:hint="eastAsia" w:ascii="新宋体" w:hAnsi="新宋体" w:eastAsia="新宋体" w:cs="新宋体"/>
          <w:sz w:val="24"/>
        </w:rPr>
        <w:t xml:space="preserve">Qm ：污水厂出水流量计记录的当月实际污水处理总量（m³）；  </w:t>
      </w:r>
    </w:p>
    <w:p w14:paraId="2F7EF984">
      <w:pPr>
        <w:pStyle w:val="361"/>
        <w:spacing w:line="400" w:lineRule="exact"/>
        <w:ind w:firstLine="480"/>
        <w:jc w:val="left"/>
        <w:rPr>
          <w:rFonts w:hint="eastAsia" w:ascii="新宋体" w:hAnsi="新宋体" w:eastAsia="新宋体" w:cs="新宋体"/>
          <w:sz w:val="24"/>
        </w:rPr>
      </w:pPr>
      <w:r>
        <w:rPr>
          <w:rFonts w:hint="eastAsia" w:ascii="新宋体" w:hAnsi="新宋体" w:eastAsia="新宋体" w:cs="新宋体"/>
          <w:sz w:val="24"/>
        </w:rPr>
        <w:t xml:space="preserve">qd ：污水厂近期设计日处理水量（ </w:t>
      </w:r>
      <w:r>
        <w:rPr>
          <w:rFonts w:hint="eastAsia" w:ascii="新宋体" w:hAnsi="新宋体" w:eastAsia="新宋体" w:cs="新宋体"/>
          <w:sz w:val="24"/>
          <w:u w:val="single"/>
        </w:rPr>
        <w:t xml:space="preserve">    </w:t>
      </w:r>
      <w:r>
        <w:rPr>
          <w:rFonts w:hint="eastAsia" w:ascii="新宋体" w:hAnsi="新宋体" w:eastAsia="新宋体" w:cs="新宋体"/>
          <w:sz w:val="24"/>
        </w:rPr>
        <w:t>万m³/日），</w:t>
      </w:r>
    </w:p>
    <w:p w14:paraId="3CCF4ECA">
      <w:pPr>
        <w:pStyle w:val="361"/>
        <w:spacing w:line="400" w:lineRule="exact"/>
        <w:ind w:firstLine="480"/>
        <w:jc w:val="left"/>
        <w:rPr>
          <w:rFonts w:hint="eastAsia" w:ascii="新宋体" w:hAnsi="新宋体" w:eastAsia="新宋体" w:cs="新宋体"/>
          <w:sz w:val="24"/>
        </w:rPr>
      </w:pPr>
      <w:r>
        <w:rPr>
          <w:rFonts w:hint="eastAsia" w:ascii="新宋体" w:hAnsi="新宋体" w:eastAsia="新宋体" w:cs="新宋体"/>
          <w:sz w:val="24"/>
        </w:rPr>
        <w:t xml:space="preserve">Q0 ：污水厂每月正常处理量，对 </w:t>
      </w:r>
      <w:r>
        <w:rPr>
          <w:rFonts w:hint="eastAsia" w:ascii="新宋体" w:hAnsi="新宋体" w:eastAsia="新宋体" w:cs="新宋体"/>
          <w:sz w:val="24"/>
          <w:u w:val="single"/>
        </w:rPr>
        <w:t xml:space="preserve">         </w:t>
      </w:r>
      <w:r>
        <w:rPr>
          <w:rFonts w:hint="eastAsia" w:ascii="新宋体" w:hAnsi="新宋体" w:eastAsia="新宋体" w:cs="新宋体"/>
          <w:sz w:val="24"/>
        </w:rPr>
        <w:t xml:space="preserve">污水处理厂取Q0= </w:t>
      </w:r>
      <w:r>
        <w:rPr>
          <w:rFonts w:hint="eastAsia" w:ascii="新宋体" w:hAnsi="新宋体" w:eastAsia="新宋体" w:cs="新宋体"/>
          <w:sz w:val="24"/>
          <w:u w:val="single"/>
        </w:rPr>
        <w:t xml:space="preserve">   </w:t>
      </w:r>
      <w:r>
        <w:rPr>
          <w:rFonts w:hint="eastAsia" w:ascii="新宋体" w:hAnsi="新宋体" w:eastAsia="新宋体" w:cs="新宋体"/>
          <w:sz w:val="24"/>
        </w:rPr>
        <w:t>×当月日历天数 Qmax：污水厂每月最大供水量,对</w:t>
      </w:r>
      <w:r>
        <w:rPr>
          <w:rFonts w:hint="eastAsia" w:ascii="新宋体" w:hAnsi="新宋体" w:eastAsia="新宋体" w:cs="新宋体"/>
          <w:sz w:val="24"/>
          <w:u w:val="single"/>
        </w:rPr>
        <w:t xml:space="preserve">         </w:t>
      </w:r>
      <w:r>
        <w:rPr>
          <w:rFonts w:hint="eastAsia" w:ascii="新宋体" w:hAnsi="新宋体" w:eastAsia="新宋体" w:cs="新宋体"/>
          <w:sz w:val="24"/>
        </w:rPr>
        <w:t xml:space="preserve"> 污水处理厂取Qmax= </w:t>
      </w:r>
      <w:r>
        <w:rPr>
          <w:rFonts w:hint="eastAsia" w:ascii="新宋体" w:hAnsi="新宋体" w:eastAsia="新宋体" w:cs="新宋体"/>
          <w:sz w:val="24"/>
          <w:u w:val="single"/>
        </w:rPr>
        <w:t xml:space="preserve">   </w:t>
      </w:r>
      <w:r>
        <w:rPr>
          <w:rFonts w:hint="eastAsia" w:ascii="新宋体" w:hAnsi="新宋体" w:eastAsia="新宋体" w:cs="新宋体"/>
          <w:sz w:val="24"/>
        </w:rPr>
        <w:t xml:space="preserve">×当月日历天数 </w:t>
      </w:r>
    </w:p>
    <w:p w14:paraId="6F988C25">
      <w:pPr>
        <w:pStyle w:val="361"/>
        <w:spacing w:line="400" w:lineRule="exact"/>
        <w:ind w:firstLine="480"/>
        <w:jc w:val="left"/>
        <w:rPr>
          <w:rFonts w:hint="eastAsia" w:ascii="新宋体" w:hAnsi="新宋体" w:eastAsia="新宋体" w:cs="新宋体"/>
          <w:sz w:val="24"/>
        </w:rPr>
      </w:pPr>
      <w:r>
        <w:rPr>
          <w:rFonts w:hint="eastAsia" w:ascii="新宋体" w:hAnsi="新宋体" w:eastAsia="新宋体" w:cs="新宋体"/>
          <w:sz w:val="24"/>
        </w:rPr>
        <w:t xml:space="preserve">1. Qm≤Q0时应付服务费  在托管运营期间任一运营月，以每月正常处理量Q0为标准值，如当月记录污水处理总量Qm≤Q0，则当月应付污水处理服务费为：  Cn＝Pn×Q0   其中：     </w:t>
      </w:r>
    </w:p>
    <w:p w14:paraId="71B5ACB3">
      <w:pPr>
        <w:pStyle w:val="361"/>
        <w:spacing w:line="400" w:lineRule="exact"/>
        <w:ind w:firstLine="480"/>
        <w:jc w:val="left"/>
        <w:rPr>
          <w:rFonts w:hint="eastAsia" w:ascii="新宋体" w:hAnsi="新宋体" w:eastAsia="新宋体" w:cs="新宋体"/>
          <w:sz w:val="24"/>
        </w:rPr>
      </w:pPr>
      <w:r>
        <w:rPr>
          <w:rFonts w:hint="eastAsia" w:ascii="新宋体" w:hAnsi="新宋体" w:eastAsia="新宋体" w:cs="新宋体"/>
          <w:sz w:val="24"/>
        </w:rPr>
        <w:t xml:space="preserve">Cn：当月应付污水处理服务费（元）；      </w:t>
      </w:r>
    </w:p>
    <w:p w14:paraId="222D1CD2">
      <w:pPr>
        <w:pStyle w:val="361"/>
        <w:spacing w:line="400" w:lineRule="exact"/>
        <w:ind w:firstLine="480"/>
        <w:jc w:val="left"/>
        <w:rPr>
          <w:rFonts w:hint="eastAsia" w:ascii="新宋体" w:hAnsi="新宋体" w:eastAsia="新宋体" w:cs="新宋体"/>
          <w:sz w:val="24"/>
        </w:rPr>
      </w:pPr>
      <w:r>
        <w:rPr>
          <w:rFonts w:hint="eastAsia" w:ascii="新宋体" w:hAnsi="新宋体" w:eastAsia="新宋体" w:cs="新宋体"/>
          <w:sz w:val="24"/>
        </w:rPr>
        <w:t xml:space="preserve">Pn：当期执行的污水处理服务费单价（元/立方米）。 </w:t>
      </w:r>
    </w:p>
    <w:p w14:paraId="10D98CFC">
      <w:pPr>
        <w:pStyle w:val="361"/>
        <w:spacing w:line="400" w:lineRule="exact"/>
        <w:ind w:firstLine="480"/>
        <w:jc w:val="left"/>
        <w:rPr>
          <w:rFonts w:hint="eastAsia" w:ascii="新宋体" w:hAnsi="新宋体" w:eastAsia="新宋体" w:cs="新宋体"/>
          <w:sz w:val="24"/>
        </w:rPr>
      </w:pPr>
      <w:r>
        <w:rPr>
          <w:rFonts w:hint="eastAsia" w:ascii="新宋体" w:hAnsi="新宋体" w:eastAsia="新宋体" w:cs="新宋体"/>
          <w:sz w:val="24"/>
        </w:rPr>
        <w:t xml:space="preserve">2.  Q0＜Qm≤Qmax时污水处理服务费  在托管运营期间任一运营月，以每月最大处理量Qmax为上限，如果当月记录污水处理总量Qm满足：Q0＜Qm≤Qmax ，则当月应付污水处理服务费为：Cn＝Pn×Qm    其中：     </w:t>
      </w:r>
    </w:p>
    <w:p w14:paraId="043B443C">
      <w:pPr>
        <w:pStyle w:val="361"/>
        <w:spacing w:line="400" w:lineRule="exact"/>
        <w:ind w:firstLine="480"/>
        <w:jc w:val="left"/>
        <w:rPr>
          <w:rFonts w:hint="eastAsia" w:ascii="新宋体" w:hAnsi="新宋体" w:eastAsia="新宋体" w:cs="新宋体"/>
          <w:sz w:val="24"/>
        </w:rPr>
      </w:pPr>
      <w:r>
        <w:rPr>
          <w:rFonts w:hint="eastAsia" w:ascii="新宋体" w:hAnsi="新宋体" w:eastAsia="新宋体" w:cs="新宋体"/>
          <w:sz w:val="24"/>
        </w:rPr>
        <w:t xml:space="preserve">Cn：当月应付污水处理服务费（元）；      </w:t>
      </w:r>
    </w:p>
    <w:p w14:paraId="479349D4">
      <w:pPr>
        <w:pStyle w:val="361"/>
        <w:spacing w:line="400" w:lineRule="exact"/>
        <w:ind w:firstLine="480"/>
        <w:jc w:val="left"/>
        <w:rPr>
          <w:rFonts w:hint="eastAsia" w:ascii="新宋体" w:hAnsi="新宋体" w:eastAsia="新宋体" w:cs="新宋体"/>
          <w:sz w:val="24"/>
        </w:rPr>
      </w:pPr>
      <w:r>
        <w:rPr>
          <w:rFonts w:hint="eastAsia" w:ascii="新宋体" w:hAnsi="新宋体" w:eastAsia="新宋体" w:cs="新宋体"/>
          <w:sz w:val="24"/>
        </w:rPr>
        <w:t xml:space="preserve">Pn：当期执行的污水处理服务费单价（元/立方米）。 </w:t>
      </w:r>
    </w:p>
    <w:p w14:paraId="74AFFD01">
      <w:pPr>
        <w:pStyle w:val="361"/>
        <w:spacing w:line="400" w:lineRule="exact"/>
        <w:ind w:firstLine="480"/>
        <w:jc w:val="left"/>
        <w:rPr>
          <w:rFonts w:hint="eastAsia" w:ascii="新宋体" w:hAnsi="新宋体" w:eastAsia="新宋体" w:cs="新宋体"/>
          <w:sz w:val="24"/>
        </w:rPr>
      </w:pPr>
      <w:r>
        <w:rPr>
          <w:rFonts w:hint="eastAsia" w:ascii="新宋体" w:hAnsi="新宋体" w:eastAsia="新宋体" w:cs="新宋体"/>
          <w:sz w:val="24"/>
        </w:rPr>
        <w:t xml:space="preserve">3. 不可抗力事件造成的停产补偿费用  在托管运营期间，不可抗力事件造成停产，甲方向乙方支付停产期间的人工费和直接水电费。  </w:t>
      </w:r>
    </w:p>
    <w:p w14:paraId="6A15E55D">
      <w:pPr>
        <w:pStyle w:val="361"/>
        <w:spacing w:line="400" w:lineRule="exact"/>
        <w:ind w:firstLine="480"/>
        <w:jc w:val="left"/>
        <w:rPr>
          <w:rFonts w:hint="eastAsia" w:ascii="新宋体" w:hAnsi="新宋体" w:eastAsia="新宋体" w:cs="新宋体"/>
          <w:sz w:val="24"/>
        </w:rPr>
      </w:pPr>
      <w:r>
        <w:rPr>
          <w:rFonts w:hint="eastAsia" w:ascii="新宋体" w:hAnsi="新宋体" w:eastAsia="新宋体" w:cs="新宋体"/>
          <w:sz w:val="24"/>
        </w:rPr>
        <w:t>4．甲方要求停产或限产运行时的补偿费用  停产时，甲方向乙方支付停产期间的人工费、直接水电费。限产期间污水量按qd×天数×70%计量。</w:t>
      </w:r>
    </w:p>
    <w:p w14:paraId="07686A3C">
      <w:pPr>
        <w:pStyle w:val="361"/>
        <w:spacing w:line="400" w:lineRule="exact"/>
        <w:ind w:firstLine="480"/>
        <w:jc w:val="left"/>
        <w:rPr>
          <w:rFonts w:hint="eastAsia" w:ascii="新宋体" w:hAnsi="新宋体" w:eastAsia="新宋体" w:cs="新宋体"/>
          <w:sz w:val="24"/>
        </w:rPr>
      </w:pPr>
      <w:r>
        <w:rPr>
          <w:rFonts w:hint="eastAsia" w:ascii="新宋体" w:hAnsi="新宋体" w:eastAsia="新宋体" w:cs="新宋体"/>
          <w:sz w:val="24"/>
        </w:rPr>
        <w:t xml:space="preserve">5 未经甲方批准停产或限产运行  </w:t>
      </w:r>
    </w:p>
    <w:p w14:paraId="0727CED6">
      <w:pPr>
        <w:pStyle w:val="361"/>
        <w:spacing w:line="400" w:lineRule="exact"/>
        <w:ind w:firstLine="480"/>
        <w:jc w:val="left"/>
        <w:rPr>
          <w:rFonts w:hint="eastAsia" w:ascii="新宋体" w:hAnsi="新宋体" w:eastAsia="新宋体" w:cs="新宋体"/>
          <w:sz w:val="24"/>
        </w:rPr>
      </w:pPr>
      <w:r>
        <w:rPr>
          <w:rFonts w:hint="eastAsia" w:ascii="新宋体" w:hAnsi="新宋体" w:eastAsia="新宋体" w:cs="新宋体"/>
          <w:sz w:val="24"/>
        </w:rPr>
        <w:t xml:space="preserve">未经甲方批准停产或限产运行，该停产和限产服务期间甲方将不承担支付污水处理服务费和补偿费，并有权追究运营商未能及时处理收集输送进厂污水的违约责任，每发现一次处罚金伍仟元人民币（￥5000.00元）。  </w:t>
      </w:r>
    </w:p>
    <w:p w14:paraId="592B43EF">
      <w:pPr>
        <w:pStyle w:val="361"/>
        <w:spacing w:line="400" w:lineRule="exact"/>
        <w:ind w:firstLine="480"/>
        <w:jc w:val="left"/>
        <w:rPr>
          <w:rFonts w:hint="eastAsia" w:ascii="新宋体" w:hAnsi="新宋体" w:eastAsia="新宋体" w:cs="新宋体"/>
          <w:sz w:val="24"/>
        </w:rPr>
      </w:pPr>
      <w:r>
        <w:rPr>
          <w:rFonts w:hint="eastAsia" w:ascii="新宋体" w:hAnsi="新宋体" w:eastAsia="新宋体" w:cs="新宋体"/>
          <w:sz w:val="24"/>
        </w:rPr>
        <w:t xml:space="preserve">6. 污水处理服务费单价  污水处理服务费单价是指甲方向乙方所经营污水处理厂支付污水处理服务费用的单价，以元/立方米表示。在本合同签署之日，污水处理服务费单价按乙方报出的单价  </w:t>
      </w:r>
      <w:r>
        <w:rPr>
          <w:rFonts w:hint="eastAsia" w:ascii="新宋体" w:hAnsi="新宋体" w:eastAsia="新宋体" w:cs="新宋体"/>
          <w:sz w:val="24"/>
          <w:u w:val="single"/>
        </w:rPr>
        <w:t xml:space="preserve">     </w:t>
      </w:r>
      <w:r>
        <w:rPr>
          <w:rFonts w:hint="eastAsia" w:ascii="新宋体" w:hAnsi="新宋体" w:eastAsia="新宋体" w:cs="新宋体"/>
          <w:sz w:val="24"/>
        </w:rPr>
        <w:t xml:space="preserve">元/立方米计算，该单价即为乙方运营期内污水处理服务费的支付标准。  </w:t>
      </w:r>
    </w:p>
    <w:p w14:paraId="13734F76">
      <w:pPr>
        <w:pStyle w:val="361"/>
        <w:spacing w:line="400" w:lineRule="exact"/>
        <w:ind w:firstLine="480"/>
        <w:jc w:val="left"/>
        <w:rPr>
          <w:rFonts w:hint="eastAsia" w:ascii="新宋体" w:hAnsi="新宋体" w:eastAsia="新宋体" w:cs="新宋体"/>
          <w:sz w:val="24"/>
        </w:rPr>
      </w:pPr>
      <w:r>
        <w:rPr>
          <w:rFonts w:hint="eastAsia" w:ascii="新宋体" w:hAnsi="新宋体" w:eastAsia="新宋体" w:cs="新宋体"/>
          <w:sz w:val="24"/>
        </w:rPr>
        <w:t xml:space="preserve">7、每月实付污水处理服务费  按本附录前述约定的方法计算出每月应付污水处理服务费后，在扣除了无争议的违约金款项后，即有：  </w:t>
      </w:r>
    </w:p>
    <w:p w14:paraId="0789BE9A">
      <w:pPr>
        <w:pStyle w:val="361"/>
        <w:spacing w:line="400" w:lineRule="exact"/>
        <w:ind w:firstLine="480"/>
        <w:jc w:val="left"/>
        <w:rPr>
          <w:rFonts w:hint="eastAsia" w:ascii="新宋体" w:hAnsi="新宋体" w:eastAsia="新宋体" w:cs="新宋体"/>
          <w:sz w:val="24"/>
        </w:rPr>
      </w:pPr>
      <w:r>
        <w:rPr>
          <w:rFonts w:hint="eastAsia" w:ascii="新宋体" w:hAnsi="新宋体" w:eastAsia="新宋体" w:cs="新宋体"/>
          <w:sz w:val="24"/>
        </w:rPr>
        <w:t xml:space="preserve">当月实付污水处理服务费=当月应付污水处理服务费－当月应扣减违约金  </w:t>
      </w:r>
    </w:p>
    <w:p w14:paraId="12798E48">
      <w:pPr>
        <w:pStyle w:val="361"/>
        <w:spacing w:line="400" w:lineRule="exact"/>
        <w:ind w:firstLine="480"/>
        <w:jc w:val="left"/>
        <w:rPr>
          <w:rFonts w:hint="eastAsia" w:ascii="新宋体" w:hAnsi="新宋体" w:eastAsia="新宋体" w:cs="新宋体"/>
          <w:sz w:val="24"/>
        </w:rPr>
      </w:pPr>
      <w:r>
        <w:rPr>
          <w:rFonts w:hint="eastAsia" w:ascii="新宋体" w:hAnsi="新宋体" w:eastAsia="新宋体" w:cs="新宋体"/>
          <w:sz w:val="24"/>
        </w:rPr>
        <w:t>甲方将自污水处理厂通过环保达标验收后正式商业运行开始日起计，按日历月份每月向运营商支付污水处理服务费。运营商每月应按照本合同的有关规定和以上当月实付服务费金额向甲方开具收款凭证。</w:t>
      </w:r>
    </w:p>
    <w:p w14:paraId="168EB1E8">
      <w:pPr>
        <w:pStyle w:val="361"/>
        <w:spacing w:line="440" w:lineRule="exact"/>
        <w:rPr>
          <w:rFonts w:hint="eastAsia" w:ascii="新宋体" w:hAnsi="新宋体" w:eastAsia="新宋体" w:cs="新宋体"/>
          <w:sz w:val="24"/>
        </w:rPr>
      </w:pPr>
      <w:r>
        <w:rPr>
          <w:rFonts w:hint="eastAsia" w:ascii="新宋体" w:hAnsi="新宋体" w:eastAsia="新宋体" w:cs="新宋体"/>
          <w:sz w:val="24"/>
        </w:rPr>
        <w:br w:type="page" w:clear="all"/>
      </w:r>
      <w:r>
        <w:rPr>
          <w:rFonts w:hint="eastAsia" w:ascii="新宋体" w:hAnsi="新宋体" w:eastAsia="新宋体" w:cs="新宋体"/>
          <w:b/>
          <w:sz w:val="24"/>
        </w:rPr>
        <w:t>附录2   处理污水量的计量</w:t>
      </w:r>
    </w:p>
    <w:p w14:paraId="26D708E1">
      <w:pPr>
        <w:pStyle w:val="361"/>
        <w:spacing w:line="440" w:lineRule="exact"/>
        <w:ind w:left="420"/>
        <w:rPr>
          <w:rFonts w:hint="eastAsia" w:ascii="新宋体" w:hAnsi="新宋体" w:eastAsia="新宋体" w:cs="新宋体"/>
          <w:sz w:val="24"/>
        </w:rPr>
      </w:pPr>
      <w:r>
        <w:rPr>
          <w:rFonts w:hint="eastAsia" w:ascii="新宋体" w:hAnsi="新宋体" w:eastAsia="新宋体" w:cs="新宋体"/>
          <w:sz w:val="24"/>
        </w:rPr>
        <w:t xml:space="preserve">（1）乙方应在污水处理厂政府方建设时已安装好的进、出水流量计位置完成污水处理厂进、出水水量的计量工作。  </w:t>
      </w:r>
    </w:p>
    <w:p w14:paraId="52E6BE9A">
      <w:pPr>
        <w:pStyle w:val="361"/>
        <w:spacing w:line="440" w:lineRule="exact"/>
        <w:ind w:left="420"/>
        <w:rPr>
          <w:rFonts w:hint="eastAsia" w:ascii="新宋体" w:hAnsi="新宋体" w:eastAsia="新宋体" w:cs="新宋体"/>
          <w:sz w:val="24"/>
        </w:rPr>
      </w:pPr>
      <w:r>
        <w:rPr>
          <w:rFonts w:hint="eastAsia" w:ascii="新宋体" w:hAnsi="新宋体" w:eastAsia="新宋体" w:cs="新宋体"/>
          <w:sz w:val="24"/>
        </w:rPr>
        <w:t xml:space="preserve">（2）乙方应按本合同规定进行流量计的连续测量、计算和记录出水量，并应确保这些流量计能够以在线方式分别向污水处理厂的中央控制室连续传送上述计量结果，包括瞬时和时、日、月和年的累计流量。  </w:t>
      </w:r>
    </w:p>
    <w:p w14:paraId="0BDB1CC4">
      <w:pPr>
        <w:pStyle w:val="361"/>
        <w:spacing w:line="440" w:lineRule="exact"/>
        <w:ind w:left="420"/>
        <w:rPr>
          <w:rFonts w:hint="eastAsia" w:ascii="新宋体" w:hAnsi="新宋体" w:eastAsia="新宋体" w:cs="新宋体"/>
          <w:sz w:val="24"/>
        </w:rPr>
      </w:pPr>
      <w:r>
        <w:rPr>
          <w:rFonts w:hint="eastAsia" w:ascii="新宋体" w:hAnsi="新宋体" w:eastAsia="新宋体" w:cs="新宋体"/>
          <w:sz w:val="24"/>
        </w:rPr>
        <w:t xml:space="preserve">（3）出水流量计由乙方在每月的最后一日抄表，以确定出水水量，水量将以立方米计算，甲方有权随时核查乙方的抄表记录。  </w:t>
      </w:r>
    </w:p>
    <w:p w14:paraId="487D8472">
      <w:pPr>
        <w:pStyle w:val="361"/>
        <w:spacing w:line="440" w:lineRule="exact"/>
        <w:ind w:left="420"/>
        <w:rPr>
          <w:rFonts w:hint="eastAsia" w:ascii="新宋体" w:hAnsi="新宋体" w:eastAsia="新宋体" w:cs="新宋体"/>
          <w:sz w:val="24"/>
        </w:rPr>
      </w:pPr>
      <w:r>
        <w:rPr>
          <w:rFonts w:hint="eastAsia" w:ascii="新宋体" w:hAnsi="新宋体" w:eastAsia="新宋体" w:cs="新宋体"/>
          <w:sz w:val="24"/>
        </w:rPr>
        <w:t xml:space="preserve">（4）出水计量点所计量的出水水量应作为乙方处理的实际水量。  </w:t>
      </w:r>
    </w:p>
    <w:p w14:paraId="773D58DB">
      <w:pPr>
        <w:pStyle w:val="361"/>
        <w:spacing w:line="440" w:lineRule="exact"/>
        <w:ind w:left="420"/>
        <w:rPr>
          <w:rFonts w:hint="eastAsia" w:ascii="新宋体" w:hAnsi="新宋体" w:eastAsia="新宋体" w:cs="新宋体"/>
          <w:sz w:val="24"/>
        </w:rPr>
      </w:pPr>
      <w:r>
        <w:rPr>
          <w:rFonts w:hint="eastAsia" w:ascii="新宋体" w:hAnsi="新宋体" w:eastAsia="新宋体" w:cs="新宋体"/>
          <w:sz w:val="24"/>
        </w:rPr>
        <w:t xml:space="preserve">（5）在某一个月（n）内出水总水量（Qn）应等于出水流量计当月所记录的水量（VM）减去该流量计上月（n-1）记录的出水量。  即：Qn =VM(n)-VM(n-1)  </w:t>
      </w:r>
    </w:p>
    <w:p w14:paraId="51F4AFA7">
      <w:pPr>
        <w:pStyle w:val="361"/>
        <w:spacing w:line="440" w:lineRule="exact"/>
        <w:ind w:left="420"/>
        <w:rPr>
          <w:rFonts w:hint="eastAsia" w:ascii="新宋体" w:hAnsi="新宋体" w:eastAsia="新宋体" w:cs="新宋体"/>
          <w:sz w:val="24"/>
        </w:rPr>
      </w:pPr>
      <w:r>
        <w:rPr>
          <w:rFonts w:hint="eastAsia" w:ascii="新宋体" w:hAnsi="新宋体" w:eastAsia="新宋体" w:cs="新宋体"/>
          <w:sz w:val="24"/>
        </w:rPr>
        <w:t xml:space="preserve">（6）在污水处理厂任一个发生暂停或限产服务的月度，乙方应对暂停或限产期间每日的进、出水流量计做连续、单独的计量记录。  </w:t>
      </w:r>
    </w:p>
    <w:p w14:paraId="52F01096">
      <w:pPr>
        <w:pStyle w:val="361"/>
        <w:spacing w:line="440" w:lineRule="exact"/>
        <w:ind w:left="420"/>
        <w:rPr>
          <w:rFonts w:hint="eastAsia" w:ascii="新宋体" w:hAnsi="新宋体" w:eastAsia="新宋体" w:cs="新宋体"/>
          <w:sz w:val="24"/>
        </w:rPr>
      </w:pPr>
      <w:r>
        <w:rPr>
          <w:rFonts w:hint="eastAsia" w:ascii="新宋体" w:hAnsi="新宋体" w:eastAsia="新宋体" w:cs="新宋体"/>
          <w:sz w:val="24"/>
        </w:rPr>
        <w:t>（7）在污水处理厂开始商业试运营日之月份（0）起，双方应立即将所有流量计确立一个基础读数，以确定每一污水流量计的VM(0)值。此后，流量计不得归零，如果因技术原因必须归零时，乙方至少提前三（3）个工作日书面通知甲方。流量计归零时，需要有甲方指定代表或监督员到场。</w:t>
      </w:r>
    </w:p>
    <w:p w14:paraId="1823284F"/>
    <w:p w14:paraId="259394BC">
      <w:pPr>
        <w:rPr>
          <w:rFonts w:hint="eastAsia"/>
        </w:rPr>
      </w:pPr>
    </w:p>
    <w:p w14:paraId="5B50E87F">
      <w:pPr>
        <w:pStyle w:val="237"/>
        <w:spacing w:before="120" w:after="120" w:line="0" w:lineRule="atLeast"/>
        <w:jc w:val="center"/>
        <w:rPr>
          <w:rFonts w:hint="eastAsia" w:ascii="Times New Roman" w:hAnsi="Times New Roman"/>
          <w:sz w:val="24"/>
          <w:szCs w:val="24"/>
        </w:rPr>
      </w:pPr>
      <w:r>
        <w:rPr>
          <w:rFonts w:ascii="Times New Roman" w:hAnsi="Times New Roman" w:eastAsia="黑体"/>
          <w:bCs/>
          <w:sz w:val="44"/>
        </w:rPr>
        <w:br w:type="page" w:clear="all"/>
      </w:r>
      <w:r>
        <w:rPr>
          <w:rFonts w:hint="eastAsia" w:ascii="Times New Roman" w:hAnsi="Times New Roman" w:eastAsia="黑体"/>
          <w:bCs/>
          <w:sz w:val="44"/>
        </w:rPr>
        <w:t>第</w:t>
      </w:r>
      <w:bookmarkEnd w:id="193"/>
      <w:r>
        <w:rPr>
          <w:rFonts w:hint="eastAsia" w:ascii="Times New Roman" w:hAnsi="Times New Roman" w:eastAsia="黑体"/>
          <w:bCs/>
          <w:sz w:val="44"/>
        </w:rPr>
        <w:t>四章 采购需求</w:t>
      </w:r>
      <w:bookmarkEnd w:id="194"/>
      <w:bookmarkEnd w:id="195"/>
      <w:bookmarkEnd w:id="196"/>
    </w:p>
    <w:p w14:paraId="7171BAD9">
      <w:pPr>
        <w:spacing w:line="400" w:lineRule="exact"/>
        <w:ind w:firstLine="480"/>
        <w:jc w:val="left"/>
        <w:rPr>
          <w:rFonts w:hint="eastAsia" w:cs="Courier New"/>
          <w:sz w:val="24"/>
          <w:szCs w:val="24"/>
        </w:rPr>
      </w:pPr>
      <w:bookmarkStart w:id="474" w:name="_Toc49090575"/>
      <w:bookmarkStart w:id="475" w:name="_Toc26554093"/>
      <w:r>
        <w:rPr>
          <w:rFonts w:hint="eastAsia" w:cs="Courier New"/>
          <w:sz w:val="24"/>
          <w:szCs w:val="24"/>
        </w:rPr>
        <w:t>一、项目属性：服务类项目</w:t>
      </w:r>
    </w:p>
    <w:p w14:paraId="33FA2F64">
      <w:pPr>
        <w:spacing w:line="400" w:lineRule="exact"/>
        <w:ind w:firstLine="480"/>
        <w:jc w:val="left"/>
        <w:rPr>
          <w:rFonts w:hint="eastAsia" w:cs="Courier New"/>
          <w:sz w:val="24"/>
          <w:szCs w:val="24"/>
        </w:rPr>
      </w:pPr>
      <w:r>
        <w:rPr>
          <w:rFonts w:hint="eastAsia" w:cs="Courier New"/>
          <w:sz w:val="24"/>
          <w:szCs w:val="24"/>
        </w:rPr>
        <w:t>二、本项目采购标的对应的中小企业划分标准所属行业：其他未列明行业。</w:t>
      </w:r>
    </w:p>
    <w:p w14:paraId="592E3B14">
      <w:pPr>
        <w:spacing w:line="400" w:lineRule="exact"/>
        <w:ind w:firstLine="480"/>
        <w:jc w:val="left"/>
        <w:rPr>
          <w:rFonts w:hint="eastAsia" w:cs="Courier New"/>
          <w:sz w:val="24"/>
          <w:szCs w:val="24"/>
          <w:highlight w:val="yellow"/>
        </w:rPr>
      </w:pPr>
      <w:r>
        <w:rPr>
          <w:rFonts w:hint="eastAsia" w:cs="Courier New"/>
          <w:sz w:val="24"/>
          <w:szCs w:val="24"/>
        </w:rPr>
        <w:t>三、本项目不接受进口产品。</w:t>
      </w:r>
    </w:p>
    <w:p w14:paraId="6E4F06C0">
      <w:pPr>
        <w:spacing w:line="400" w:lineRule="exact"/>
        <w:ind w:firstLine="482"/>
        <w:jc w:val="left"/>
        <w:rPr>
          <w:rFonts w:hint="eastAsia"/>
          <w:b/>
          <w:bCs/>
          <w:sz w:val="24"/>
        </w:rPr>
      </w:pPr>
      <w:r>
        <w:rPr>
          <w:rFonts w:hint="eastAsia"/>
          <w:b/>
          <w:bCs/>
          <w:sz w:val="24"/>
        </w:rPr>
        <w:t>四、采购内容</w:t>
      </w:r>
    </w:p>
    <w:p w14:paraId="1541B00F">
      <w:pPr>
        <w:spacing w:line="400" w:lineRule="exact"/>
        <w:ind w:firstLine="482"/>
        <w:jc w:val="left"/>
        <w:rPr>
          <w:rFonts w:hint="eastAsia" w:cs="Courier New"/>
          <w:b/>
          <w:bCs/>
          <w:sz w:val="24"/>
          <w:szCs w:val="24"/>
        </w:rPr>
      </w:pPr>
      <w:r>
        <w:rPr>
          <w:rFonts w:hint="eastAsia" w:cs="Courier New"/>
          <w:b/>
          <w:bCs/>
          <w:sz w:val="24"/>
          <w:szCs w:val="24"/>
        </w:rPr>
        <w:t>1、项目设计：达到提供本工程设计参数要求，提供所需的全部图纸，包括总平面图、工艺设计图纸、电气设计图纸、结构图纸及</w:t>
      </w:r>
      <w:r>
        <w:rPr>
          <w:rFonts w:cs="Courier New"/>
          <w:b/>
          <w:bCs/>
          <w:sz w:val="24"/>
          <w:szCs w:val="24"/>
        </w:rPr>
        <w:t>设备安装和基础大样图等所有图纸（即中标后可立即按照提供的图纸进行施工）。</w:t>
      </w:r>
      <w:r>
        <w:rPr>
          <w:rFonts w:hint="eastAsia" w:cs="Courier New"/>
          <w:b/>
          <w:bCs/>
          <w:sz w:val="24"/>
          <w:szCs w:val="24"/>
        </w:rPr>
        <w:t>相关等</w:t>
      </w:r>
      <w:r>
        <w:rPr>
          <w:rFonts w:cs="Courier New"/>
          <w:b/>
          <w:bCs/>
          <w:sz w:val="24"/>
          <w:szCs w:val="24"/>
        </w:rPr>
        <w:t>且设计合理，设计依据符合相关规范及标准要求。设计深度需达到施工图标准，保证提供图纸的完整性</w:t>
      </w:r>
      <w:r>
        <w:rPr>
          <w:rFonts w:hint="eastAsia" w:cs="Courier New"/>
          <w:b/>
          <w:bCs/>
          <w:sz w:val="24"/>
          <w:szCs w:val="24"/>
        </w:rPr>
        <w:t>。</w:t>
      </w:r>
      <w:r>
        <w:rPr>
          <w:rFonts w:hint="eastAsia" w:cs="Courier New"/>
          <w:b/>
          <w:bCs/>
          <w:color w:val="FF0000"/>
          <w:sz w:val="24"/>
          <w:szCs w:val="24"/>
        </w:rPr>
        <w:t>设计人员组成中，图纸上需加盖配备的建筑人员执业印章。</w:t>
      </w:r>
      <w:r>
        <w:rPr>
          <w:rFonts w:hint="eastAsia" w:cs="Courier New"/>
          <w:b/>
          <w:bCs/>
          <w:sz w:val="24"/>
          <w:szCs w:val="24"/>
        </w:rPr>
        <w:t>（本项目不支付设计费用，请各投标单位自行考虑。中标后，设计成果归招标人所有。）</w:t>
      </w:r>
    </w:p>
    <w:p w14:paraId="559FDB6F">
      <w:pPr>
        <w:spacing w:line="400" w:lineRule="exact"/>
        <w:ind w:firstLine="482"/>
        <w:jc w:val="left"/>
        <w:rPr>
          <w:rFonts w:hint="eastAsia" w:cs="Courier New"/>
          <w:b/>
          <w:bCs/>
          <w:sz w:val="24"/>
          <w:szCs w:val="24"/>
        </w:rPr>
      </w:pPr>
      <w:r>
        <w:rPr>
          <w:rFonts w:hint="eastAsia" w:cs="Courier New"/>
          <w:b/>
          <w:bCs/>
          <w:sz w:val="24"/>
          <w:szCs w:val="24"/>
        </w:rPr>
        <w:t>2、设备采购及安装：按照图纸设计进行采购按照</w:t>
      </w:r>
    </w:p>
    <w:p w14:paraId="47E2CCA0">
      <w:pPr>
        <w:spacing w:line="400" w:lineRule="exact"/>
        <w:ind w:firstLine="482"/>
        <w:jc w:val="left"/>
        <w:rPr>
          <w:rFonts w:hint="eastAsia" w:cs="Courier New"/>
          <w:b/>
          <w:bCs/>
          <w:sz w:val="24"/>
          <w:szCs w:val="24"/>
        </w:rPr>
      </w:pPr>
      <w:r>
        <w:rPr>
          <w:rFonts w:hint="eastAsia" w:cs="Courier New"/>
          <w:b/>
          <w:bCs/>
          <w:sz w:val="24"/>
          <w:szCs w:val="24"/>
        </w:rPr>
        <w:t>3、项目</w:t>
      </w:r>
      <w:r>
        <w:rPr>
          <w:rFonts w:hint="eastAsia" w:ascii="宋体" w:hAnsi="宋体" w:cs="宋体"/>
          <w:b/>
          <w:bCs/>
          <w:sz w:val="24"/>
          <w:szCs w:val="24"/>
        </w:rPr>
        <w:t>运营</w:t>
      </w:r>
      <w:r>
        <w:rPr>
          <w:rFonts w:hint="eastAsia" w:cs="Courier New"/>
          <w:b/>
          <w:bCs/>
          <w:sz w:val="24"/>
          <w:szCs w:val="24"/>
        </w:rPr>
        <w:t>：运营期365日历天，达标排放。</w:t>
      </w:r>
    </w:p>
    <w:p w14:paraId="73D3E650">
      <w:pPr>
        <w:spacing w:line="400" w:lineRule="exact"/>
        <w:ind w:firstLine="482"/>
        <w:jc w:val="left"/>
        <w:rPr>
          <w:rFonts w:hint="eastAsia"/>
          <w:b/>
          <w:bCs/>
          <w:sz w:val="24"/>
        </w:rPr>
      </w:pPr>
      <w:r>
        <w:rPr>
          <w:rFonts w:hint="eastAsia" w:cs="Courier New"/>
          <w:b/>
          <w:bCs/>
          <w:sz w:val="24"/>
          <w:szCs w:val="24"/>
        </w:rPr>
        <w:t>4、其他内容：投标报价</w:t>
      </w:r>
      <w:r>
        <w:rPr>
          <w:rFonts w:hint="eastAsia" w:ascii="宋体" w:hAnsi="宋体" w:cs="宋体"/>
          <w:b/>
          <w:bCs/>
          <w:sz w:val="24"/>
          <w:szCs w:val="24"/>
        </w:rPr>
        <w:t>包含但不限于施工图设计费、可研、初设、立项、排污许可证、环评报告及验收、设备采购、施工、安装、运营费用、安评（如需要）</w:t>
      </w:r>
      <w:r>
        <w:rPr>
          <w:rFonts w:hint="eastAsia"/>
          <w:b/>
          <w:bCs/>
          <w:sz w:val="24"/>
        </w:rPr>
        <w:t>等完成本项目所涉及到的一切相关费用。</w:t>
      </w:r>
    </w:p>
    <w:p w14:paraId="39540E88">
      <w:pPr>
        <w:spacing w:line="400" w:lineRule="exact"/>
        <w:ind w:firstLine="482"/>
        <w:jc w:val="left"/>
        <w:rPr>
          <w:rFonts w:hint="eastAsia" w:ascii="宋体" w:hAnsi="宋体" w:cs="宋体"/>
          <w:b/>
          <w:bCs/>
          <w:sz w:val="24"/>
          <w:szCs w:val="24"/>
        </w:rPr>
      </w:pPr>
      <w:r>
        <w:rPr>
          <w:rFonts w:hint="eastAsia" w:ascii="宋体" w:hAnsi="宋体" w:cs="宋体"/>
          <w:b/>
          <w:bCs/>
          <w:sz w:val="24"/>
          <w:szCs w:val="24"/>
        </w:rPr>
        <w:t>五、报价相关要求</w:t>
      </w:r>
    </w:p>
    <w:p w14:paraId="6338CCBE">
      <w:pPr>
        <w:spacing w:line="400" w:lineRule="exact"/>
        <w:ind w:firstLine="480"/>
        <w:jc w:val="left"/>
        <w:rPr>
          <w:rFonts w:hint="eastAsia" w:ascii="宋体" w:hAnsi="宋体" w:cs="宋体"/>
          <w:b/>
          <w:bCs/>
          <w:color w:val="FF0000"/>
          <w:sz w:val="24"/>
          <w:szCs w:val="24"/>
        </w:rPr>
      </w:pPr>
      <w:r>
        <w:rPr>
          <w:rFonts w:hint="eastAsia" w:ascii="宋体" w:hAnsi="宋体" w:cs="宋体"/>
          <w:sz w:val="24"/>
          <w:szCs w:val="24"/>
        </w:rPr>
        <w:t>1. 本工程为固定总价合同，采用总价报价，价款结算方式为：根据施工单位提供的投标报价及现场实际完成工程量进行结算。</w:t>
      </w:r>
      <w:r>
        <w:rPr>
          <w:rFonts w:hint="eastAsia" w:ascii="宋体" w:hAnsi="宋体" w:cs="宋体"/>
          <w:b/>
          <w:bCs/>
          <w:color w:val="FF0000"/>
          <w:sz w:val="24"/>
          <w:szCs w:val="24"/>
        </w:rPr>
        <w:t>报价的准确性由投标人负责，对于漏算工程量视同包含在合同总价中。</w:t>
      </w:r>
    </w:p>
    <w:p w14:paraId="19459C26">
      <w:pPr>
        <w:spacing w:line="400" w:lineRule="exact"/>
        <w:ind w:firstLine="480"/>
        <w:jc w:val="left"/>
        <w:rPr>
          <w:rFonts w:hint="eastAsia" w:ascii="宋体" w:hAnsi="宋体" w:cs="宋体"/>
          <w:sz w:val="24"/>
          <w:szCs w:val="24"/>
        </w:rPr>
      </w:pPr>
      <w:r>
        <w:rPr>
          <w:rFonts w:hint="eastAsia" w:ascii="宋体" w:hAnsi="宋体" w:cs="宋体"/>
          <w:sz w:val="24"/>
          <w:szCs w:val="24"/>
        </w:rPr>
        <w:t>2. 投标单位在投标时，根据自身的设计图纸编制工程量清单及明细报价，工程量清单报价执行GB50500-2013标准及工程量计算规范要求。</w:t>
      </w:r>
    </w:p>
    <w:p w14:paraId="416BDEBA">
      <w:pPr>
        <w:spacing w:line="400" w:lineRule="exact"/>
        <w:ind w:firstLine="480"/>
        <w:jc w:val="left"/>
        <w:rPr>
          <w:rFonts w:hint="eastAsia" w:ascii="宋体" w:hAnsi="宋体" w:cs="宋体"/>
          <w:sz w:val="24"/>
          <w:szCs w:val="24"/>
        </w:rPr>
      </w:pPr>
      <w:r>
        <w:rPr>
          <w:rFonts w:hint="eastAsia" w:ascii="宋体" w:hAnsi="宋体" w:cs="宋体"/>
          <w:sz w:val="24"/>
          <w:szCs w:val="24"/>
        </w:rPr>
        <w:t>3. 在工程实施时，若实际完成工程量低于投标清单工程量或图纸工程量，结算时按实调整；若实际完成工程量高于投标清单工程量或图纸工程量，或者工程现场发生增项、图纸设计变更、增加项目，因设备运行需要调高参数等各项导致需增加工程时，原则上不予增加，按投标报价单价及工程量进行结算。如因特殊情况，确需增加项目的，需经招标人同意后再行增加。</w:t>
      </w:r>
    </w:p>
    <w:p w14:paraId="223CF208">
      <w:pPr>
        <w:spacing w:line="400" w:lineRule="exact"/>
        <w:ind w:firstLine="480"/>
        <w:jc w:val="left"/>
        <w:rPr>
          <w:rFonts w:hint="eastAsia" w:ascii="宋体" w:hAnsi="宋体" w:cs="宋体"/>
          <w:sz w:val="24"/>
          <w:szCs w:val="24"/>
        </w:rPr>
      </w:pPr>
      <w:r>
        <w:rPr>
          <w:rFonts w:hint="eastAsia" w:ascii="宋体" w:hAnsi="宋体" w:cs="宋体"/>
          <w:sz w:val="24"/>
          <w:szCs w:val="24"/>
        </w:rPr>
        <w:t>4. 除根据合同约定的专用条款13条［变更与调整］、第14款合同价格与支付、第21条补充条款以及合同中其它相关增减金额的约定进行调整外，合同价格不予调整。</w:t>
      </w:r>
    </w:p>
    <w:p w14:paraId="207992FA">
      <w:pPr>
        <w:spacing w:line="400" w:lineRule="exact"/>
        <w:ind w:firstLine="482"/>
        <w:jc w:val="left"/>
        <w:rPr>
          <w:rFonts w:hint="eastAsia" w:ascii="宋体" w:hAnsi="宋体" w:cs="宋体"/>
          <w:b/>
          <w:bCs/>
          <w:sz w:val="24"/>
          <w:szCs w:val="24"/>
        </w:rPr>
      </w:pPr>
      <w:r>
        <w:rPr>
          <w:rFonts w:hint="eastAsia" w:ascii="宋体" w:hAnsi="宋体" w:cs="宋体"/>
          <w:b/>
          <w:bCs/>
          <w:sz w:val="24"/>
          <w:szCs w:val="24"/>
        </w:rPr>
        <w:t>六、</w:t>
      </w:r>
      <w:r>
        <w:rPr>
          <w:rFonts w:hint="eastAsia" w:ascii="宋体" w:hAnsi="宋体" w:cs="宋体"/>
          <w:b/>
          <w:bCs/>
          <w:sz w:val="24"/>
          <w:szCs w:val="24"/>
          <w:lang w:eastAsia="zh-CN"/>
        </w:rPr>
        <w:t>沭阳县耿圩镇污水处理厂提质提标项目</w:t>
      </w:r>
      <w:r>
        <w:rPr>
          <w:rFonts w:hint="eastAsia" w:ascii="宋体" w:hAnsi="宋体" w:cs="宋体"/>
          <w:b/>
          <w:bCs/>
          <w:sz w:val="24"/>
          <w:szCs w:val="24"/>
        </w:rPr>
        <w:t>技术要求</w:t>
      </w:r>
      <w:bookmarkStart w:id="476" w:name="_Toc47516542"/>
      <w:bookmarkStart w:id="477" w:name="_Toc10638090"/>
      <w:bookmarkStart w:id="478" w:name="_Toc120614281"/>
    </w:p>
    <w:p w14:paraId="42555836">
      <w:pPr>
        <w:spacing w:line="400" w:lineRule="exact"/>
        <w:ind w:firstLine="482"/>
        <w:jc w:val="center"/>
        <w:rPr>
          <w:rFonts w:hint="eastAsia" w:ascii="宋体" w:hAnsi="宋体" w:cs="宋体"/>
          <w:b/>
          <w:bCs/>
          <w:sz w:val="24"/>
          <w:szCs w:val="24"/>
        </w:rPr>
      </w:pPr>
      <w:r>
        <w:rPr>
          <w:rFonts w:hint="eastAsia" w:ascii="宋体" w:hAnsi="宋体" w:cs="宋体"/>
          <w:b/>
          <w:bCs/>
          <w:sz w:val="24"/>
          <w:szCs w:val="24"/>
          <w:lang w:eastAsia="zh-CN"/>
        </w:rPr>
        <w:t>沭阳县耿圩镇污水处理厂提质提标项目</w:t>
      </w:r>
      <w:r>
        <w:rPr>
          <w:rFonts w:hint="eastAsia" w:ascii="宋体" w:hAnsi="宋体" w:cs="宋体"/>
          <w:b/>
          <w:bCs/>
          <w:sz w:val="24"/>
          <w:szCs w:val="24"/>
        </w:rPr>
        <w:t>技术要求</w:t>
      </w:r>
    </w:p>
    <w:p w14:paraId="373019F3">
      <w:pPr>
        <w:spacing w:line="400" w:lineRule="exact"/>
        <w:ind w:firstLine="480"/>
        <w:jc w:val="left"/>
        <w:rPr>
          <w:rFonts w:hint="eastAsia" w:ascii="宋体" w:hAnsi="宋体" w:cs="宋体"/>
          <w:sz w:val="24"/>
          <w:szCs w:val="24"/>
        </w:rPr>
      </w:pPr>
      <w:r>
        <w:rPr>
          <w:rFonts w:hint="eastAsia" w:ascii="宋体" w:hAnsi="宋体" w:cs="宋体"/>
          <w:sz w:val="24"/>
          <w:szCs w:val="24"/>
        </w:rPr>
        <w:t xml:space="preserve">1. </w:t>
      </w:r>
      <w:r>
        <w:rPr>
          <w:rFonts w:hint="eastAsia" w:ascii="宋体" w:hAnsi="宋体" w:cs="宋体"/>
          <w:sz w:val="24"/>
          <w:szCs w:val="24"/>
          <w:lang w:eastAsia="zh-CN"/>
        </w:rPr>
        <w:t>耿圩镇</w:t>
      </w:r>
      <w:r>
        <w:rPr>
          <w:rFonts w:hint="eastAsia" w:ascii="宋体" w:hAnsi="宋体" w:cs="宋体"/>
          <w:sz w:val="24"/>
          <w:szCs w:val="24"/>
        </w:rPr>
        <w:t>污水处理厂覆盖</w:t>
      </w:r>
      <w:r>
        <w:rPr>
          <w:rFonts w:hint="eastAsia" w:ascii="宋体" w:hAnsi="宋体" w:cs="宋体"/>
          <w:sz w:val="24"/>
          <w:szCs w:val="24"/>
          <w:lang w:eastAsia="zh-CN"/>
        </w:rPr>
        <w:t>耿圩镇</w:t>
      </w:r>
      <w:r>
        <w:rPr>
          <w:rFonts w:hint="eastAsia" w:ascii="宋体" w:hAnsi="宋体" w:cs="宋体"/>
          <w:sz w:val="24"/>
          <w:szCs w:val="24"/>
        </w:rPr>
        <w:t>、</w:t>
      </w:r>
      <w:r>
        <w:rPr>
          <w:rFonts w:hint="eastAsia" w:ascii="宋体" w:hAnsi="宋体" w:cs="宋体"/>
          <w:sz w:val="24"/>
          <w:szCs w:val="24"/>
          <w:lang w:val="en-US" w:eastAsia="zh-CN"/>
        </w:rPr>
        <w:t>悦来镇</w:t>
      </w:r>
      <w:r>
        <w:rPr>
          <w:rFonts w:hint="eastAsia" w:ascii="宋体" w:hAnsi="宋体" w:cs="宋体"/>
          <w:sz w:val="24"/>
          <w:szCs w:val="24"/>
        </w:rPr>
        <w:t>，</w:t>
      </w:r>
      <w:r>
        <w:rPr>
          <w:rFonts w:hint="eastAsia" w:ascii="宋体" w:hAnsi="宋体" w:cs="宋体"/>
          <w:sz w:val="24"/>
          <w:szCs w:val="24"/>
          <w:lang w:val="en-US" w:eastAsia="zh-CN"/>
        </w:rPr>
        <w:t>悦来镇</w:t>
      </w:r>
      <w:r>
        <w:rPr>
          <w:rFonts w:hint="eastAsia" w:ascii="宋体" w:hAnsi="宋体" w:cs="宋体"/>
          <w:sz w:val="24"/>
          <w:szCs w:val="24"/>
        </w:rPr>
        <w:t>污水通过提升泵站输送至</w:t>
      </w:r>
      <w:r>
        <w:rPr>
          <w:rFonts w:hint="eastAsia" w:ascii="宋体" w:hAnsi="宋体" w:cs="宋体"/>
          <w:sz w:val="24"/>
          <w:szCs w:val="24"/>
          <w:lang w:eastAsia="zh-CN"/>
        </w:rPr>
        <w:t>耿圩镇</w:t>
      </w:r>
      <w:r>
        <w:rPr>
          <w:rFonts w:hint="eastAsia" w:ascii="宋体" w:hAnsi="宋体" w:cs="宋体"/>
          <w:sz w:val="24"/>
          <w:szCs w:val="24"/>
        </w:rPr>
        <w:t>。耿圩镇污水处理厂扩建项目，由原来的1000吨/天，提高至2500吨/天。主体采用一体化处理设备。新增设施设计污水处理量、出水水质未达标准的，该工程不予支付工程款，已建设施归招标人所有，招标人将对中标人进行罚款，具体数额在合同中约定。</w:t>
      </w:r>
    </w:p>
    <w:p w14:paraId="290878B7">
      <w:pPr>
        <w:spacing w:line="400" w:lineRule="exact"/>
        <w:ind w:firstLine="480"/>
        <w:jc w:val="left"/>
        <w:rPr>
          <w:rFonts w:hint="eastAsia" w:ascii="宋体" w:hAnsi="宋体" w:cs="宋体"/>
          <w:sz w:val="24"/>
          <w:szCs w:val="24"/>
        </w:rPr>
      </w:pPr>
      <w:r>
        <w:rPr>
          <w:rFonts w:hint="eastAsia" w:ascii="宋体" w:hAnsi="宋体" w:cs="宋体"/>
          <w:sz w:val="24"/>
          <w:szCs w:val="24"/>
        </w:rPr>
        <w:t xml:space="preserve">★2. </w:t>
      </w:r>
      <w:r>
        <w:rPr>
          <w:rFonts w:hint="eastAsia" w:ascii="宋体" w:hAnsi="宋体" w:cs="宋体"/>
          <w:sz w:val="24"/>
          <w:szCs w:val="24"/>
          <w:lang w:eastAsia="zh-CN"/>
        </w:rPr>
        <w:t>耿圩镇</w:t>
      </w:r>
      <w:r>
        <w:rPr>
          <w:rFonts w:hint="eastAsia" w:ascii="宋体" w:hAnsi="宋体" w:cs="宋体"/>
          <w:sz w:val="24"/>
          <w:szCs w:val="24"/>
        </w:rPr>
        <w:t>污水处理厂扩建设施布置于原厂东北角区域，具体边线位置及区域面积见总图。同时，原厂区西侧进出水仪表间、鼓风机房、南侧办公楼内机修间可使用（功能不限）。提醒：各潜在投标人须综合考虑现场情况，再行设计，可自行到现场地勘。设计时需综合考虑原鼓风机房、南侧办公楼基础，不得影响原有建筑物结构安全。超出规定边线位置及区域面积的，作无效标处理。</w:t>
      </w:r>
    </w:p>
    <w:p w14:paraId="2207E5CC">
      <w:pPr>
        <w:spacing w:line="400" w:lineRule="exact"/>
        <w:ind w:firstLine="480"/>
        <w:jc w:val="left"/>
        <w:rPr>
          <w:rFonts w:hint="eastAsia" w:ascii="宋体" w:hAnsi="宋体" w:cs="宋体"/>
          <w:sz w:val="24"/>
          <w:szCs w:val="24"/>
        </w:rPr>
      </w:pPr>
      <w:r>
        <w:rPr>
          <w:rFonts w:hint="eastAsia" w:ascii="宋体" w:hAnsi="宋体" w:cs="宋体"/>
          <w:sz w:val="24"/>
          <w:szCs w:val="24"/>
        </w:rPr>
        <w:t xml:space="preserve">★3. </w:t>
      </w:r>
      <w:r>
        <w:rPr>
          <w:rFonts w:hint="eastAsia" w:ascii="宋体" w:hAnsi="宋体" w:cs="宋体"/>
          <w:sz w:val="24"/>
          <w:szCs w:val="24"/>
          <w:lang w:eastAsia="zh-CN"/>
        </w:rPr>
        <w:t>耿圩镇</w:t>
      </w:r>
      <w:r>
        <w:rPr>
          <w:rFonts w:hint="eastAsia" w:ascii="宋体" w:hAnsi="宋体" w:cs="宋体"/>
          <w:sz w:val="24"/>
          <w:szCs w:val="24"/>
        </w:rPr>
        <w:t>污水处理厂扩建工程地面须比自然地面高</w:t>
      </w:r>
      <w:r>
        <w:rPr>
          <w:rFonts w:hint="eastAsia" w:ascii="宋体" w:hAnsi="宋体" w:cs="宋体"/>
          <w:sz w:val="24"/>
          <w:szCs w:val="24"/>
          <w:lang w:val="en-US" w:eastAsia="zh-CN"/>
        </w:rPr>
        <w:t>1.0</w:t>
      </w:r>
      <w:r>
        <w:rPr>
          <w:rFonts w:hint="eastAsia" w:ascii="宋体" w:hAnsi="宋体" w:cs="宋体"/>
          <w:sz w:val="24"/>
          <w:szCs w:val="24"/>
        </w:rPr>
        <w:t>m及以上。低于</w:t>
      </w:r>
      <w:r>
        <w:rPr>
          <w:rFonts w:hint="eastAsia" w:ascii="宋体" w:hAnsi="宋体" w:cs="宋体"/>
          <w:sz w:val="24"/>
          <w:szCs w:val="24"/>
          <w:lang w:val="en-US" w:eastAsia="zh-CN"/>
        </w:rPr>
        <w:t>1.0</w:t>
      </w:r>
      <w:r>
        <w:rPr>
          <w:rFonts w:hint="eastAsia" w:ascii="宋体" w:hAnsi="宋体" w:cs="宋体"/>
          <w:sz w:val="24"/>
          <w:szCs w:val="24"/>
        </w:rPr>
        <w:t>m的，作无效标处理。</w:t>
      </w:r>
    </w:p>
    <w:p w14:paraId="2E777539">
      <w:pPr>
        <w:spacing w:line="400" w:lineRule="exact"/>
        <w:ind w:firstLine="480"/>
        <w:jc w:val="left"/>
        <w:rPr>
          <w:rFonts w:eastAsia="方正仿宋_GBK"/>
          <w:sz w:val="24"/>
          <w:szCs w:val="24"/>
        </w:rPr>
      </w:pPr>
      <w:r>
        <w:rPr>
          <w:rFonts w:hint="eastAsia" w:ascii="宋体" w:hAnsi="宋体" w:cs="宋体"/>
          <w:sz w:val="24"/>
          <w:szCs w:val="24"/>
        </w:rPr>
        <w:t>★4. 各潜在投标人须综合计算原厂用电负荷，考虑是否须新增供电设施。原厂用电负荷见原图纸，并结合常规（如设计处理规模为</w:t>
      </w:r>
      <w:r>
        <w:rPr>
          <w:rFonts w:hint="eastAsia" w:ascii="宋体" w:hAnsi="宋体" w:cs="宋体"/>
          <w:sz w:val="24"/>
          <w:szCs w:val="24"/>
          <w:lang w:val="en-US" w:eastAsia="zh-CN"/>
        </w:rPr>
        <w:t>1</w:t>
      </w:r>
      <w:r>
        <w:rPr>
          <w:rFonts w:hint="eastAsia" w:ascii="宋体" w:hAnsi="宋体" w:cs="宋体"/>
          <w:sz w:val="24"/>
          <w:szCs w:val="24"/>
        </w:rPr>
        <w:t>000吨/天的生活污水处理厂）污水处理厂用电负荷测算。</w:t>
      </w:r>
      <w:r>
        <w:rPr>
          <w:rFonts w:hint="eastAsia" w:eastAsia="方正仿宋_GBK"/>
          <w:sz w:val="24"/>
          <w:szCs w:val="24"/>
          <w:highlight w:val="none"/>
        </w:rPr>
        <w:t>未提供用电负荷计算或者发现用电负荷不足但未新增供电设施的，作无效标处理。</w:t>
      </w:r>
    </w:p>
    <w:p w14:paraId="75FF6095">
      <w:pPr>
        <w:spacing w:line="400" w:lineRule="exact"/>
        <w:ind w:firstLine="480"/>
        <w:jc w:val="left"/>
        <w:rPr>
          <w:rFonts w:hint="eastAsia" w:ascii="宋体" w:hAnsi="宋体" w:cs="宋体"/>
          <w:sz w:val="24"/>
          <w:szCs w:val="24"/>
        </w:rPr>
      </w:pPr>
      <w:r>
        <w:rPr>
          <w:rFonts w:hint="eastAsia" w:ascii="宋体" w:hAnsi="宋体" w:cs="宋体"/>
          <w:sz w:val="24"/>
          <w:szCs w:val="24"/>
        </w:rPr>
        <w:t>5. 扩建工程污水处理流程为：自原厂区进水泵房取水，在原进水工艺管新增进水管网，原水提升至新建污水处理设施内，处理后出水达标排入附近河道，出水执行江苏省《城镇污水处理厂污染物排放标准》（DB32/4440-2022）C类标准，本新建污水处理设施所产生的剩余污泥经污泥泵、污泥管路送至原厂区污泥脱水车间处理。</w:t>
      </w:r>
    </w:p>
    <w:p w14:paraId="73DB7652">
      <w:pPr>
        <w:spacing w:line="400" w:lineRule="exact"/>
        <w:ind w:firstLine="480"/>
        <w:jc w:val="left"/>
        <w:rPr>
          <w:rFonts w:hint="eastAsia" w:ascii="宋体" w:hAnsi="宋体" w:cs="宋体"/>
          <w:sz w:val="24"/>
          <w:szCs w:val="24"/>
        </w:rPr>
      </w:pPr>
      <w:r>
        <w:rPr>
          <w:rFonts w:hint="eastAsia" w:ascii="宋体" w:hAnsi="宋体" w:cs="宋体"/>
          <w:sz w:val="24"/>
          <w:szCs w:val="24"/>
        </w:rPr>
        <w:t>6. 进出水标准为</w:t>
      </w:r>
    </w:p>
    <w:p w14:paraId="4F1CD0F5">
      <w:pPr>
        <w:pStyle w:val="361"/>
        <w:spacing w:line="440" w:lineRule="exact"/>
        <w:ind w:firstLine="3373"/>
        <w:rPr>
          <w:rFonts w:ascii="新宋体" w:hAnsi="新宋体" w:eastAsia="新宋体"/>
          <w:sz w:val="24"/>
        </w:rPr>
      </w:pPr>
      <w:r>
        <w:rPr>
          <w:rFonts w:hint="eastAsia" w:ascii="新宋体" w:hAnsi="新宋体" w:eastAsia="新宋体"/>
          <w:b/>
          <w:sz w:val="24"/>
        </w:rPr>
        <w:t>进水水质</w:t>
      </w:r>
    </w:p>
    <w:tbl>
      <w:tblPr>
        <w:tblStyle w:val="33"/>
        <w:tblW w:w="0" w:type="auto"/>
        <w:jc w:val="center"/>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59"/>
        <w:gridCol w:w="1205"/>
        <w:gridCol w:w="1205"/>
        <w:gridCol w:w="1207"/>
        <w:gridCol w:w="1207"/>
        <w:gridCol w:w="1207"/>
        <w:gridCol w:w="1207"/>
      </w:tblGrid>
      <w:tr w14:paraId="02294C59">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4" w:hRule="atLeast"/>
          <w:jc w:val="center"/>
        </w:trPr>
        <w:tc>
          <w:tcPr>
            <w:tcW w:w="2159" w:type="dxa"/>
            <w:vAlign w:val="center"/>
          </w:tcPr>
          <w:p w14:paraId="394A2677">
            <w:pPr>
              <w:pStyle w:val="369"/>
              <w:spacing w:line="440" w:lineRule="exact"/>
              <w:rPr>
                <w:rFonts w:ascii="新宋体" w:hAnsi="新宋体" w:eastAsia="新宋体"/>
                <w:sz w:val="24"/>
              </w:rPr>
            </w:pPr>
            <w:r>
              <w:rPr>
                <w:rFonts w:hint="eastAsia" w:ascii="新宋体" w:hAnsi="新宋体" w:eastAsia="新宋体"/>
                <w:sz w:val="24"/>
              </w:rPr>
              <w:t>进水水质</w:t>
            </w:r>
          </w:p>
          <w:p w14:paraId="3BC49DD1">
            <w:pPr>
              <w:pStyle w:val="369"/>
              <w:spacing w:line="440" w:lineRule="exact"/>
              <w:rPr>
                <w:rFonts w:ascii="新宋体" w:hAnsi="新宋体" w:eastAsia="新宋体"/>
                <w:sz w:val="24"/>
              </w:rPr>
            </w:pPr>
            <w:r>
              <w:rPr>
                <w:rFonts w:hint="eastAsia" w:ascii="新宋体" w:hAnsi="新宋体" w:eastAsia="新宋体"/>
                <w:sz w:val="24"/>
              </w:rPr>
              <w:t>（单位：mg/1）</w:t>
            </w:r>
          </w:p>
        </w:tc>
        <w:tc>
          <w:tcPr>
            <w:tcW w:w="1205" w:type="dxa"/>
            <w:vAlign w:val="center"/>
          </w:tcPr>
          <w:p w14:paraId="76E1C245">
            <w:pPr>
              <w:pStyle w:val="369"/>
              <w:spacing w:line="440" w:lineRule="exact"/>
              <w:rPr>
                <w:rFonts w:ascii="新宋体" w:hAnsi="新宋体" w:eastAsia="新宋体"/>
                <w:b/>
                <w:bCs/>
                <w:sz w:val="24"/>
              </w:rPr>
            </w:pPr>
            <w:r>
              <w:rPr>
                <w:rFonts w:hint="eastAsia" w:ascii="新宋体" w:hAnsi="新宋体" w:eastAsia="新宋体"/>
                <w:b/>
                <w:sz w:val="24"/>
              </w:rPr>
              <w:t>≤330</w:t>
            </w:r>
          </w:p>
        </w:tc>
        <w:tc>
          <w:tcPr>
            <w:tcW w:w="1205" w:type="dxa"/>
            <w:vAlign w:val="center"/>
          </w:tcPr>
          <w:p w14:paraId="6D6A25FD">
            <w:pPr>
              <w:pStyle w:val="369"/>
              <w:spacing w:line="440" w:lineRule="exact"/>
              <w:rPr>
                <w:rFonts w:ascii="新宋体" w:hAnsi="新宋体" w:eastAsia="新宋体"/>
                <w:b/>
                <w:bCs/>
                <w:sz w:val="24"/>
              </w:rPr>
            </w:pPr>
            <w:r>
              <w:rPr>
                <w:rFonts w:hint="eastAsia" w:ascii="新宋体" w:hAnsi="新宋体" w:eastAsia="新宋体"/>
                <w:b/>
                <w:sz w:val="24"/>
              </w:rPr>
              <w:t>≤</w:t>
            </w:r>
            <w:r>
              <w:rPr>
                <w:rFonts w:hint="eastAsia" w:ascii="新宋体" w:hAnsi="新宋体" w:eastAsia="新宋体"/>
                <w:b/>
                <w:bCs/>
                <w:sz w:val="24"/>
              </w:rPr>
              <w:t>160</w:t>
            </w:r>
          </w:p>
        </w:tc>
        <w:tc>
          <w:tcPr>
            <w:tcW w:w="1207" w:type="dxa"/>
            <w:vAlign w:val="center"/>
          </w:tcPr>
          <w:p w14:paraId="4CC4B2EF">
            <w:pPr>
              <w:pStyle w:val="369"/>
              <w:spacing w:line="440" w:lineRule="exact"/>
              <w:rPr>
                <w:rFonts w:ascii="新宋体" w:hAnsi="新宋体" w:eastAsia="新宋体"/>
                <w:b/>
                <w:bCs/>
                <w:sz w:val="24"/>
              </w:rPr>
            </w:pPr>
            <w:r>
              <w:rPr>
                <w:rFonts w:hint="eastAsia" w:ascii="新宋体" w:hAnsi="新宋体" w:eastAsia="新宋体"/>
                <w:b/>
                <w:sz w:val="24"/>
              </w:rPr>
              <w:t>≤220</w:t>
            </w:r>
          </w:p>
        </w:tc>
        <w:tc>
          <w:tcPr>
            <w:tcW w:w="1207" w:type="dxa"/>
            <w:vAlign w:val="center"/>
          </w:tcPr>
          <w:p w14:paraId="73AB57BC">
            <w:pPr>
              <w:pStyle w:val="369"/>
              <w:spacing w:line="440" w:lineRule="exact"/>
              <w:rPr>
                <w:rFonts w:ascii="新宋体" w:hAnsi="新宋体" w:eastAsia="新宋体"/>
                <w:b/>
                <w:bCs/>
                <w:sz w:val="24"/>
              </w:rPr>
            </w:pPr>
            <w:r>
              <w:rPr>
                <w:rFonts w:hint="eastAsia" w:ascii="新宋体" w:hAnsi="新宋体" w:eastAsia="新宋体"/>
                <w:b/>
                <w:sz w:val="24"/>
              </w:rPr>
              <w:t>≤30</w:t>
            </w:r>
          </w:p>
        </w:tc>
        <w:tc>
          <w:tcPr>
            <w:tcW w:w="1207" w:type="dxa"/>
            <w:vAlign w:val="center"/>
          </w:tcPr>
          <w:p w14:paraId="243B1105">
            <w:pPr>
              <w:pStyle w:val="369"/>
              <w:spacing w:line="440" w:lineRule="exact"/>
              <w:rPr>
                <w:rFonts w:ascii="新宋体" w:hAnsi="新宋体" w:eastAsia="新宋体"/>
                <w:b/>
                <w:bCs/>
                <w:sz w:val="24"/>
              </w:rPr>
            </w:pPr>
            <w:r>
              <w:rPr>
                <w:rFonts w:hint="eastAsia" w:ascii="新宋体" w:hAnsi="新宋体" w:eastAsia="新宋体"/>
                <w:b/>
                <w:sz w:val="24"/>
              </w:rPr>
              <w:t>≤40</w:t>
            </w:r>
          </w:p>
        </w:tc>
        <w:tc>
          <w:tcPr>
            <w:tcW w:w="1207" w:type="dxa"/>
            <w:vAlign w:val="center"/>
          </w:tcPr>
          <w:p w14:paraId="332A7B4F">
            <w:pPr>
              <w:pStyle w:val="369"/>
              <w:spacing w:line="440" w:lineRule="exact"/>
              <w:rPr>
                <w:rFonts w:ascii="新宋体" w:hAnsi="新宋体" w:eastAsia="新宋体"/>
                <w:b/>
                <w:bCs/>
                <w:sz w:val="24"/>
              </w:rPr>
            </w:pPr>
            <w:r>
              <w:rPr>
                <w:rFonts w:hint="eastAsia" w:ascii="新宋体" w:hAnsi="新宋体" w:eastAsia="新宋体"/>
                <w:b/>
                <w:sz w:val="24"/>
              </w:rPr>
              <w:t>≤4</w:t>
            </w:r>
          </w:p>
        </w:tc>
      </w:tr>
      <w:tr w14:paraId="5D2CB309">
        <w:tblPrEx>
          <w:tblBorders>
            <w:top w:val="single" w:color="000000" w:sz="8"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6" w:hRule="atLeast"/>
          <w:jc w:val="center"/>
        </w:trPr>
        <w:tc>
          <w:tcPr>
            <w:tcW w:w="2159" w:type="dxa"/>
            <w:vAlign w:val="center"/>
          </w:tcPr>
          <w:p w14:paraId="287CB1FE">
            <w:pPr>
              <w:pStyle w:val="369"/>
              <w:spacing w:line="440" w:lineRule="exact"/>
              <w:rPr>
                <w:rFonts w:ascii="新宋体" w:hAnsi="新宋体" w:eastAsia="新宋体"/>
                <w:sz w:val="24"/>
              </w:rPr>
            </w:pPr>
            <w:r>
              <w:rPr>
                <w:rFonts w:hint="eastAsia" w:ascii="新宋体" w:hAnsi="新宋体" w:eastAsia="新宋体"/>
                <w:sz w:val="24"/>
              </w:rPr>
              <w:t>水质指标</w:t>
            </w:r>
          </w:p>
        </w:tc>
        <w:tc>
          <w:tcPr>
            <w:tcW w:w="1205" w:type="dxa"/>
            <w:vAlign w:val="center"/>
          </w:tcPr>
          <w:p w14:paraId="43814D4A">
            <w:pPr>
              <w:pStyle w:val="369"/>
              <w:spacing w:line="440" w:lineRule="exact"/>
              <w:rPr>
                <w:rFonts w:ascii="新宋体" w:hAnsi="新宋体" w:eastAsia="新宋体"/>
                <w:sz w:val="24"/>
                <w:vertAlign w:val="subscript"/>
              </w:rPr>
            </w:pPr>
            <w:r>
              <w:rPr>
                <w:rFonts w:hint="eastAsia" w:ascii="新宋体" w:hAnsi="新宋体" w:eastAsia="新宋体"/>
                <w:sz w:val="24"/>
              </w:rPr>
              <w:t>COD</w:t>
            </w:r>
            <w:r>
              <w:rPr>
                <w:rFonts w:hint="eastAsia" w:ascii="新宋体" w:hAnsi="新宋体" w:eastAsia="新宋体"/>
                <w:sz w:val="24"/>
                <w:vertAlign w:val="subscript"/>
              </w:rPr>
              <w:t>cr</w:t>
            </w:r>
          </w:p>
        </w:tc>
        <w:tc>
          <w:tcPr>
            <w:tcW w:w="1205" w:type="dxa"/>
            <w:vAlign w:val="center"/>
          </w:tcPr>
          <w:p w14:paraId="21E2DFF0">
            <w:pPr>
              <w:pStyle w:val="369"/>
              <w:spacing w:line="440" w:lineRule="exact"/>
              <w:rPr>
                <w:rFonts w:ascii="新宋体" w:hAnsi="新宋体" w:eastAsia="新宋体"/>
                <w:sz w:val="24"/>
                <w:vertAlign w:val="subscript"/>
              </w:rPr>
            </w:pPr>
            <w:r>
              <w:rPr>
                <w:rFonts w:hint="eastAsia" w:ascii="新宋体" w:hAnsi="新宋体" w:eastAsia="新宋体"/>
                <w:sz w:val="24"/>
              </w:rPr>
              <w:t>BOD</w:t>
            </w:r>
            <w:r>
              <w:rPr>
                <w:rFonts w:hint="eastAsia" w:ascii="新宋体" w:hAnsi="新宋体" w:eastAsia="新宋体"/>
                <w:sz w:val="24"/>
                <w:vertAlign w:val="subscript"/>
              </w:rPr>
              <w:t>5</w:t>
            </w:r>
          </w:p>
        </w:tc>
        <w:tc>
          <w:tcPr>
            <w:tcW w:w="1207" w:type="dxa"/>
            <w:vAlign w:val="center"/>
          </w:tcPr>
          <w:p w14:paraId="368E55A4">
            <w:pPr>
              <w:pStyle w:val="369"/>
              <w:spacing w:line="440" w:lineRule="exact"/>
              <w:rPr>
                <w:rFonts w:ascii="新宋体" w:hAnsi="新宋体" w:eastAsia="新宋体"/>
                <w:sz w:val="24"/>
              </w:rPr>
            </w:pPr>
            <w:r>
              <w:rPr>
                <w:rFonts w:hint="eastAsia" w:ascii="新宋体" w:hAnsi="新宋体" w:eastAsia="新宋体"/>
                <w:sz w:val="24"/>
              </w:rPr>
              <w:t>SS</w:t>
            </w:r>
          </w:p>
        </w:tc>
        <w:tc>
          <w:tcPr>
            <w:tcW w:w="1207" w:type="dxa"/>
            <w:vAlign w:val="center"/>
          </w:tcPr>
          <w:p w14:paraId="2510C909">
            <w:pPr>
              <w:pStyle w:val="369"/>
              <w:spacing w:line="440" w:lineRule="exact"/>
              <w:rPr>
                <w:rFonts w:ascii="新宋体" w:hAnsi="新宋体" w:eastAsia="新宋体"/>
                <w:sz w:val="24"/>
              </w:rPr>
            </w:pPr>
            <w:r>
              <w:rPr>
                <w:rFonts w:hint="eastAsia" w:ascii="新宋体" w:hAnsi="新宋体" w:eastAsia="新宋体"/>
                <w:sz w:val="24"/>
              </w:rPr>
              <w:t>NH</w:t>
            </w:r>
            <w:r>
              <w:rPr>
                <w:rFonts w:hint="eastAsia" w:ascii="新宋体" w:hAnsi="新宋体" w:eastAsia="新宋体"/>
                <w:sz w:val="24"/>
                <w:vertAlign w:val="subscript"/>
              </w:rPr>
              <w:t>3</w:t>
            </w:r>
            <w:r>
              <w:rPr>
                <w:rFonts w:hint="eastAsia" w:ascii="新宋体" w:hAnsi="新宋体" w:eastAsia="新宋体"/>
                <w:sz w:val="24"/>
              </w:rPr>
              <w:t>-N</w:t>
            </w:r>
          </w:p>
        </w:tc>
        <w:tc>
          <w:tcPr>
            <w:tcW w:w="1207" w:type="dxa"/>
            <w:vAlign w:val="center"/>
          </w:tcPr>
          <w:p w14:paraId="3187F1DD">
            <w:pPr>
              <w:pStyle w:val="369"/>
              <w:spacing w:line="440" w:lineRule="exact"/>
              <w:rPr>
                <w:rFonts w:ascii="新宋体" w:hAnsi="新宋体" w:eastAsia="新宋体"/>
                <w:sz w:val="24"/>
              </w:rPr>
            </w:pPr>
            <w:r>
              <w:rPr>
                <w:rFonts w:hint="eastAsia" w:ascii="新宋体" w:hAnsi="新宋体" w:eastAsia="新宋体"/>
                <w:sz w:val="24"/>
              </w:rPr>
              <w:t>TN</w:t>
            </w:r>
          </w:p>
        </w:tc>
        <w:tc>
          <w:tcPr>
            <w:tcW w:w="1207" w:type="dxa"/>
            <w:vAlign w:val="center"/>
          </w:tcPr>
          <w:p w14:paraId="12914959">
            <w:pPr>
              <w:pStyle w:val="369"/>
              <w:spacing w:line="440" w:lineRule="exact"/>
              <w:rPr>
                <w:rFonts w:ascii="新宋体" w:hAnsi="新宋体" w:eastAsia="新宋体"/>
                <w:sz w:val="24"/>
              </w:rPr>
            </w:pPr>
            <w:r>
              <w:rPr>
                <w:rFonts w:hint="eastAsia" w:ascii="新宋体" w:hAnsi="新宋体" w:eastAsia="新宋体"/>
                <w:sz w:val="24"/>
              </w:rPr>
              <w:t>TP</w:t>
            </w:r>
          </w:p>
        </w:tc>
      </w:tr>
    </w:tbl>
    <w:p w14:paraId="43CE1909">
      <w:pPr>
        <w:spacing w:line="400" w:lineRule="exact"/>
        <w:ind w:firstLine="480"/>
        <w:jc w:val="left"/>
        <w:rPr>
          <w:rFonts w:hint="eastAsia" w:ascii="宋体" w:hAnsi="宋体" w:cs="宋体"/>
          <w:sz w:val="24"/>
          <w:szCs w:val="24"/>
        </w:rPr>
      </w:pPr>
      <w:r>
        <w:rPr>
          <w:rFonts w:hint="eastAsia" w:ascii="宋体" w:hAnsi="宋体" w:cs="宋体"/>
          <w:sz w:val="24"/>
          <w:szCs w:val="24"/>
        </w:rPr>
        <w:t>注：设计最低水温按10摄氏度计算。</w:t>
      </w:r>
    </w:p>
    <w:p w14:paraId="5F9618E0">
      <w:pPr>
        <w:spacing w:line="400" w:lineRule="exact"/>
        <w:ind w:firstLine="480"/>
        <w:jc w:val="left"/>
        <w:rPr>
          <w:rFonts w:hint="eastAsia" w:ascii="宋体" w:hAnsi="宋体" w:cs="宋体"/>
          <w:sz w:val="24"/>
          <w:szCs w:val="24"/>
        </w:rPr>
      </w:pPr>
      <w:r>
        <w:rPr>
          <w:rFonts w:hint="eastAsia" w:ascii="宋体" w:hAnsi="宋体" w:cs="宋体"/>
          <w:sz w:val="24"/>
          <w:szCs w:val="24"/>
        </w:rPr>
        <w:t>上表为设计进水上限水质，投标人应当自行开展实地研究与论证，进一步确定进水常规水质设计参数，可能存在工业污水排入污水管网问题，设计上应已充分考虑工业废水和生活废水的混合，部分时段可能需处理工业污水。</w:t>
      </w:r>
    </w:p>
    <w:p w14:paraId="459E9109">
      <w:pPr>
        <w:pStyle w:val="361"/>
        <w:spacing w:line="440" w:lineRule="exact"/>
        <w:ind w:firstLine="3373"/>
        <w:rPr>
          <w:rFonts w:hint="eastAsia" w:ascii="新宋体" w:hAnsi="新宋体" w:eastAsia="新宋体"/>
          <w:b/>
          <w:sz w:val="24"/>
        </w:rPr>
      </w:pPr>
      <w:r>
        <w:rPr>
          <w:rFonts w:hint="eastAsia" w:ascii="新宋体" w:hAnsi="新宋体" w:eastAsia="新宋体"/>
          <w:b/>
          <w:sz w:val="24"/>
        </w:rPr>
        <w:t>污水排放标准</w:t>
      </w:r>
    </w:p>
    <w:tbl>
      <w:tblPr>
        <w:tblStyle w:val="33"/>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32"/>
        <w:gridCol w:w="1023"/>
        <w:gridCol w:w="1024"/>
        <w:gridCol w:w="787"/>
        <w:gridCol w:w="1263"/>
        <w:gridCol w:w="1025"/>
        <w:gridCol w:w="1025"/>
        <w:gridCol w:w="1021"/>
      </w:tblGrid>
      <w:tr w14:paraId="66F84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1832" w:type="dxa"/>
            <w:vAlign w:val="center"/>
          </w:tcPr>
          <w:p w14:paraId="6052FD4B">
            <w:pPr>
              <w:pStyle w:val="369"/>
              <w:spacing w:line="440" w:lineRule="exact"/>
              <w:rPr>
                <w:rFonts w:ascii="新宋体" w:hAnsi="新宋体" w:eastAsia="新宋体"/>
                <w:color w:val="FF0000"/>
                <w:sz w:val="24"/>
              </w:rPr>
            </w:pPr>
            <w:r>
              <w:rPr>
                <w:rFonts w:hint="eastAsia" w:ascii="新宋体" w:hAnsi="新宋体" w:eastAsia="新宋体"/>
                <w:color w:val="FF0000"/>
                <w:sz w:val="24"/>
              </w:rPr>
              <w:t>水质指标</w:t>
            </w:r>
          </w:p>
        </w:tc>
        <w:tc>
          <w:tcPr>
            <w:tcW w:w="1023" w:type="dxa"/>
            <w:vAlign w:val="center"/>
          </w:tcPr>
          <w:p w14:paraId="0FE1EE58">
            <w:pPr>
              <w:pStyle w:val="369"/>
              <w:spacing w:line="440" w:lineRule="exact"/>
              <w:rPr>
                <w:rFonts w:ascii="新宋体" w:hAnsi="新宋体" w:eastAsia="新宋体"/>
                <w:color w:val="FF0000"/>
                <w:sz w:val="24"/>
                <w:vertAlign w:val="subscript"/>
              </w:rPr>
            </w:pPr>
            <w:r>
              <w:rPr>
                <w:rFonts w:hint="eastAsia" w:ascii="新宋体" w:hAnsi="新宋体" w:eastAsia="新宋体"/>
                <w:color w:val="FF0000"/>
                <w:sz w:val="24"/>
              </w:rPr>
              <w:t>BOD</w:t>
            </w:r>
            <w:r>
              <w:rPr>
                <w:rFonts w:hint="eastAsia" w:ascii="新宋体" w:hAnsi="新宋体" w:eastAsia="新宋体"/>
                <w:color w:val="FF0000"/>
                <w:sz w:val="24"/>
                <w:vertAlign w:val="subscript"/>
              </w:rPr>
              <w:t>5</w:t>
            </w:r>
          </w:p>
        </w:tc>
        <w:tc>
          <w:tcPr>
            <w:tcW w:w="1024" w:type="dxa"/>
            <w:vAlign w:val="center"/>
          </w:tcPr>
          <w:p w14:paraId="45105B8A">
            <w:pPr>
              <w:pStyle w:val="369"/>
              <w:spacing w:line="440" w:lineRule="exact"/>
              <w:rPr>
                <w:rFonts w:ascii="新宋体" w:hAnsi="新宋体" w:eastAsia="新宋体"/>
                <w:color w:val="FF0000"/>
                <w:sz w:val="24"/>
              </w:rPr>
            </w:pPr>
            <w:r>
              <w:rPr>
                <w:rFonts w:hint="eastAsia" w:ascii="新宋体" w:hAnsi="新宋体" w:eastAsia="新宋体"/>
                <w:color w:val="FF0000"/>
                <w:sz w:val="24"/>
              </w:rPr>
              <w:t>CODcr</w:t>
            </w:r>
          </w:p>
        </w:tc>
        <w:tc>
          <w:tcPr>
            <w:tcW w:w="787" w:type="dxa"/>
            <w:vAlign w:val="center"/>
          </w:tcPr>
          <w:p w14:paraId="7B6F290B">
            <w:pPr>
              <w:pStyle w:val="369"/>
              <w:spacing w:line="440" w:lineRule="exact"/>
              <w:rPr>
                <w:rFonts w:ascii="新宋体" w:hAnsi="新宋体" w:eastAsia="新宋体"/>
                <w:color w:val="FF0000"/>
                <w:sz w:val="24"/>
              </w:rPr>
            </w:pPr>
            <w:r>
              <w:rPr>
                <w:rFonts w:hint="eastAsia" w:ascii="新宋体" w:hAnsi="新宋体" w:eastAsia="新宋体"/>
                <w:color w:val="FF0000"/>
                <w:sz w:val="24"/>
              </w:rPr>
              <w:t>SS</w:t>
            </w:r>
          </w:p>
        </w:tc>
        <w:tc>
          <w:tcPr>
            <w:tcW w:w="1263" w:type="dxa"/>
            <w:vAlign w:val="center"/>
          </w:tcPr>
          <w:p w14:paraId="15E0C586">
            <w:pPr>
              <w:pStyle w:val="369"/>
              <w:spacing w:line="440" w:lineRule="exact"/>
              <w:rPr>
                <w:rFonts w:ascii="新宋体" w:hAnsi="新宋体" w:eastAsia="新宋体"/>
                <w:color w:val="FF0000"/>
                <w:sz w:val="24"/>
              </w:rPr>
            </w:pPr>
            <w:r>
              <w:rPr>
                <w:rFonts w:hint="eastAsia" w:ascii="新宋体" w:hAnsi="新宋体" w:eastAsia="新宋体"/>
                <w:color w:val="FF0000"/>
                <w:sz w:val="24"/>
              </w:rPr>
              <w:t>TN（以N为计）</w:t>
            </w:r>
          </w:p>
        </w:tc>
        <w:tc>
          <w:tcPr>
            <w:tcW w:w="1025" w:type="dxa"/>
            <w:vAlign w:val="center"/>
          </w:tcPr>
          <w:p w14:paraId="5C357685">
            <w:pPr>
              <w:pStyle w:val="369"/>
              <w:spacing w:line="440" w:lineRule="exact"/>
              <w:rPr>
                <w:rFonts w:ascii="新宋体" w:hAnsi="新宋体" w:eastAsia="新宋体"/>
                <w:color w:val="FF0000"/>
                <w:sz w:val="24"/>
              </w:rPr>
            </w:pPr>
            <w:r>
              <w:rPr>
                <w:rFonts w:hint="eastAsia" w:ascii="新宋体" w:hAnsi="新宋体" w:eastAsia="新宋体"/>
                <w:color w:val="FF0000"/>
                <w:sz w:val="24"/>
              </w:rPr>
              <w:t>NH</w:t>
            </w:r>
            <w:r>
              <w:rPr>
                <w:rFonts w:hint="eastAsia" w:ascii="新宋体" w:hAnsi="新宋体" w:eastAsia="新宋体"/>
                <w:color w:val="FF0000"/>
                <w:sz w:val="24"/>
                <w:vertAlign w:val="subscript"/>
              </w:rPr>
              <w:t>3</w:t>
            </w:r>
            <w:r>
              <w:rPr>
                <w:rFonts w:hint="eastAsia" w:ascii="新宋体" w:hAnsi="新宋体" w:eastAsia="新宋体"/>
                <w:color w:val="FF0000"/>
                <w:sz w:val="24"/>
              </w:rPr>
              <w:t>-N</w:t>
            </w:r>
          </w:p>
        </w:tc>
        <w:tc>
          <w:tcPr>
            <w:tcW w:w="1025" w:type="dxa"/>
            <w:vAlign w:val="center"/>
          </w:tcPr>
          <w:p w14:paraId="1ABDB2E1">
            <w:pPr>
              <w:pStyle w:val="369"/>
              <w:spacing w:line="440" w:lineRule="exact"/>
              <w:rPr>
                <w:rFonts w:ascii="新宋体" w:hAnsi="新宋体" w:eastAsia="新宋体"/>
                <w:color w:val="FF0000"/>
                <w:sz w:val="24"/>
              </w:rPr>
            </w:pPr>
            <w:r>
              <w:rPr>
                <w:rFonts w:hint="eastAsia" w:ascii="新宋体" w:hAnsi="新宋体" w:eastAsia="新宋体"/>
                <w:color w:val="FF0000"/>
                <w:sz w:val="24"/>
              </w:rPr>
              <w:t>TP（以P为计）</w:t>
            </w:r>
          </w:p>
        </w:tc>
        <w:tc>
          <w:tcPr>
            <w:tcW w:w="1021" w:type="dxa"/>
            <w:vAlign w:val="center"/>
          </w:tcPr>
          <w:p w14:paraId="3881B76E">
            <w:pPr>
              <w:pStyle w:val="369"/>
              <w:spacing w:line="440" w:lineRule="exact"/>
              <w:rPr>
                <w:rFonts w:ascii="新宋体" w:hAnsi="新宋体" w:eastAsia="新宋体"/>
                <w:color w:val="FF0000"/>
                <w:sz w:val="24"/>
              </w:rPr>
            </w:pPr>
            <w:r>
              <w:rPr>
                <w:rFonts w:hint="eastAsia" w:ascii="新宋体" w:hAnsi="新宋体" w:eastAsia="新宋体"/>
                <w:color w:val="FF0000"/>
                <w:sz w:val="24"/>
              </w:rPr>
              <w:t>PH</w:t>
            </w:r>
          </w:p>
        </w:tc>
      </w:tr>
      <w:tr w14:paraId="6D8A0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1832" w:type="dxa"/>
            <w:vAlign w:val="center"/>
          </w:tcPr>
          <w:p w14:paraId="1805385F">
            <w:pPr>
              <w:pStyle w:val="369"/>
              <w:spacing w:line="440" w:lineRule="exact"/>
              <w:rPr>
                <w:rFonts w:ascii="新宋体" w:hAnsi="新宋体" w:eastAsia="新宋体"/>
                <w:color w:val="FF0000"/>
                <w:sz w:val="24"/>
              </w:rPr>
            </w:pPr>
            <w:r>
              <w:rPr>
                <w:rFonts w:hint="eastAsia" w:ascii="新宋体" w:hAnsi="新宋体" w:eastAsia="新宋体"/>
                <w:color w:val="FF0000"/>
                <w:sz w:val="24"/>
              </w:rPr>
              <w:t>出水水质</w:t>
            </w:r>
          </w:p>
          <w:p w14:paraId="5F90A7B4">
            <w:pPr>
              <w:pStyle w:val="369"/>
              <w:spacing w:line="440" w:lineRule="exact"/>
              <w:rPr>
                <w:rFonts w:ascii="新宋体" w:hAnsi="新宋体" w:eastAsia="新宋体"/>
                <w:color w:val="FF0000"/>
                <w:sz w:val="24"/>
              </w:rPr>
            </w:pPr>
            <w:r>
              <w:rPr>
                <w:rFonts w:hint="eastAsia" w:ascii="新宋体" w:hAnsi="新宋体" w:eastAsia="新宋体"/>
                <w:color w:val="FF0000"/>
                <w:sz w:val="24"/>
              </w:rPr>
              <w:t>（单位：mg/1）</w:t>
            </w:r>
          </w:p>
        </w:tc>
        <w:tc>
          <w:tcPr>
            <w:tcW w:w="1023" w:type="dxa"/>
            <w:vAlign w:val="center"/>
          </w:tcPr>
          <w:p w14:paraId="018C50B0">
            <w:pPr>
              <w:pStyle w:val="369"/>
              <w:spacing w:line="440" w:lineRule="exact"/>
              <w:rPr>
                <w:rFonts w:ascii="新宋体" w:hAnsi="新宋体" w:eastAsia="新宋体"/>
                <w:bCs/>
                <w:color w:val="FF0000"/>
                <w:sz w:val="24"/>
              </w:rPr>
            </w:pPr>
            <w:r>
              <w:rPr>
                <w:rFonts w:hint="eastAsia" w:ascii="新宋体" w:hAnsi="新宋体" w:eastAsia="新宋体"/>
                <w:color w:val="FF0000"/>
                <w:sz w:val="24"/>
              </w:rPr>
              <w:t>≤10</w:t>
            </w:r>
          </w:p>
        </w:tc>
        <w:tc>
          <w:tcPr>
            <w:tcW w:w="1024" w:type="dxa"/>
            <w:vAlign w:val="center"/>
          </w:tcPr>
          <w:p w14:paraId="5FC6C51C">
            <w:pPr>
              <w:pStyle w:val="369"/>
              <w:spacing w:line="440" w:lineRule="exact"/>
              <w:rPr>
                <w:rFonts w:ascii="新宋体" w:hAnsi="新宋体" w:eastAsia="新宋体"/>
                <w:bCs/>
                <w:color w:val="FF0000"/>
                <w:sz w:val="24"/>
              </w:rPr>
            </w:pPr>
            <w:r>
              <w:rPr>
                <w:rFonts w:hint="eastAsia" w:ascii="新宋体" w:hAnsi="新宋体" w:eastAsia="新宋体"/>
                <w:color w:val="FF0000"/>
                <w:sz w:val="24"/>
              </w:rPr>
              <w:t>≤</w:t>
            </w:r>
            <w:r>
              <w:rPr>
                <w:rFonts w:hint="eastAsia" w:ascii="新宋体" w:hAnsi="新宋体" w:eastAsia="新宋体"/>
                <w:bCs/>
                <w:color w:val="FF0000"/>
                <w:sz w:val="24"/>
              </w:rPr>
              <w:t>50</w:t>
            </w:r>
          </w:p>
        </w:tc>
        <w:tc>
          <w:tcPr>
            <w:tcW w:w="787" w:type="dxa"/>
            <w:vAlign w:val="center"/>
          </w:tcPr>
          <w:p w14:paraId="039223FD">
            <w:pPr>
              <w:pStyle w:val="369"/>
              <w:spacing w:line="440" w:lineRule="exact"/>
              <w:rPr>
                <w:rFonts w:ascii="新宋体" w:hAnsi="新宋体" w:eastAsia="新宋体"/>
                <w:bCs/>
                <w:color w:val="FF0000"/>
                <w:sz w:val="24"/>
              </w:rPr>
            </w:pPr>
            <w:r>
              <w:rPr>
                <w:rFonts w:hint="eastAsia" w:ascii="新宋体" w:hAnsi="新宋体" w:eastAsia="新宋体"/>
                <w:color w:val="FF0000"/>
                <w:sz w:val="24"/>
              </w:rPr>
              <w:t>≤10</w:t>
            </w:r>
          </w:p>
        </w:tc>
        <w:tc>
          <w:tcPr>
            <w:tcW w:w="1263" w:type="dxa"/>
            <w:vAlign w:val="center"/>
          </w:tcPr>
          <w:p w14:paraId="5CED0704">
            <w:pPr>
              <w:pStyle w:val="369"/>
              <w:spacing w:line="440" w:lineRule="exact"/>
              <w:rPr>
                <w:rFonts w:ascii="新宋体" w:hAnsi="新宋体" w:eastAsia="新宋体"/>
                <w:bCs/>
                <w:color w:val="FF0000"/>
                <w:sz w:val="24"/>
              </w:rPr>
            </w:pPr>
            <w:r>
              <w:rPr>
                <w:rFonts w:hint="eastAsia" w:ascii="新宋体" w:hAnsi="新宋体" w:eastAsia="新宋体"/>
                <w:color w:val="FF0000"/>
                <w:sz w:val="24"/>
              </w:rPr>
              <w:t>≤12（</w:t>
            </w:r>
            <w:r>
              <w:rPr>
                <w:rFonts w:hint="eastAsia" w:ascii="新宋体" w:hAnsi="新宋体" w:eastAsia="新宋体"/>
                <w:bCs/>
                <w:color w:val="FF0000"/>
                <w:sz w:val="24"/>
              </w:rPr>
              <w:t>15）</w:t>
            </w:r>
          </w:p>
        </w:tc>
        <w:tc>
          <w:tcPr>
            <w:tcW w:w="1025" w:type="dxa"/>
            <w:vAlign w:val="center"/>
          </w:tcPr>
          <w:p w14:paraId="40508360">
            <w:pPr>
              <w:pStyle w:val="369"/>
              <w:spacing w:line="440" w:lineRule="exact"/>
              <w:rPr>
                <w:rFonts w:ascii="新宋体" w:hAnsi="新宋体" w:eastAsia="新宋体"/>
                <w:bCs/>
                <w:color w:val="FF0000"/>
                <w:sz w:val="24"/>
              </w:rPr>
            </w:pPr>
            <w:r>
              <w:rPr>
                <w:rFonts w:hint="eastAsia" w:ascii="新宋体" w:hAnsi="新宋体" w:eastAsia="新宋体"/>
                <w:color w:val="FF0000"/>
                <w:sz w:val="24"/>
              </w:rPr>
              <w:t>≤4（6）</w:t>
            </w:r>
          </w:p>
        </w:tc>
        <w:tc>
          <w:tcPr>
            <w:tcW w:w="1025" w:type="dxa"/>
            <w:vAlign w:val="center"/>
          </w:tcPr>
          <w:p w14:paraId="44A7B7E1">
            <w:pPr>
              <w:pStyle w:val="369"/>
              <w:spacing w:line="440" w:lineRule="exact"/>
              <w:rPr>
                <w:rFonts w:ascii="新宋体" w:hAnsi="新宋体" w:eastAsia="新宋体"/>
                <w:bCs/>
                <w:color w:val="FF0000"/>
                <w:sz w:val="24"/>
              </w:rPr>
            </w:pPr>
            <w:r>
              <w:rPr>
                <w:rFonts w:hint="eastAsia" w:ascii="新宋体" w:hAnsi="新宋体" w:eastAsia="新宋体"/>
                <w:color w:val="FF0000"/>
                <w:sz w:val="24"/>
              </w:rPr>
              <w:t>≤0.5</w:t>
            </w:r>
          </w:p>
        </w:tc>
        <w:tc>
          <w:tcPr>
            <w:tcW w:w="1021" w:type="dxa"/>
            <w:vAlign w:val="center"/>
          </w:tcPr>
          <w:p w14:paraId="766B3D3A">
            <w:pPr>
              <w:pStyle w:val="369"/>
              <w:spacing w:line="440" w:lineRule="exact"/>
              <w:rPr>
                <w:rFonts w:ascii="新宋体" w:hAnsi="新宋体" w:eastAsia="新宋体"/>
                <w:color w:val="FF0000"/>
                <w:sz w:val="24"/>
              </w:rPr>
            </w:pPr>
            <w:r>
              <w:rPr>
                <w:rFonts w:hint="eastAsia" w:ascii="新宋体" w:hAnsi="新宋体" w:eastAsia="新宋体"/>
                <w:color w:val="FF0000"/>
                <w:sz w:val="24"/>
              </w:rPr>
              <w:t>6-9</w:t>
            </w:r>
          </w:p>
        </w:tc>
      </w:tr>
    </w:tbl>
    <w:p w14:paraId="4C2AEDE6">
      <w:pPr>
        <w:spacing w:line="520" w:lineRule="exact"/>
        <w:ind w:firstLine="280"/>
        <w:rPr>
          <w:rFonts w:eastAsia="方正仿宋_GBK"/>
          <w:sz w:val="32"/>
          <w:szCs w:val="32"/>
        </w:rPr>
      </w:pPr>
      <w:r>
        <w:rPr>
          <w:rFonts w:hint="eastAsia" w:eastAsia="方正仿宋_GBK"/>
          <w:b/>
          <w:sz w:val="28"/>
          <w:szCs w:val="28"/>
        </w:rPr>
        <w:t>每年</w:t>
      </w:r>
      <w:r>
        <w:rPr>
          <w:rFonts w:eastAsia="方正仿宋_GBK"/>
          <w:b/>
          <w:sz w:val="28"/>
          <w:szCs w:val="28"/>
        </w:rPr>
        <w:t>11</w:t>
      </w:r>
      <w:r>
        <w:rPr>
          <w:rFonts w:hint="eastAsia" w:eastAsia="方正仿宋_GBK"/>
          <w:b/>
          <w:sz w:val="28"/>
          <w:szCs w:val="28"/>
        </w:rPr>
        <w:t>月</w:t>
      </w:r>
      <w:r>
        <w:rPr>
          <w:rFonts w:eastAsia="方正仿宋_GBK"/>
          <w:b/>
          <w:sz w:val="28"/>
          <w:szCs w:val="28"/>
        </w:rPr>
        <w:t>1</w:t>
      </w:r>
      <w:r>
        <w:rPr>
          <w:rFonts w:hint="eastAsia" w:eastAsia="方正仿宋_GBK"/>
          <w:b/>
          <w:sz w:val="28"/>
          <w:szCs w:val="28"/>
        </w:rPr>
        <w:t>日至次年</w:t>
      </w:r>
      <w:r>
        <w:rPr>
          <w:rFonts w:eastAsia="方正仿宋_GBK"/>
          <w:b/>
          <w:sz w:val="28"/>
          <w:szCs w:val="28"/>
        </w:rPr>
        <w:t>3</w:t>
      </w:r>
      <w:r>
        <w:rPr>
          <w:rFonts w:hint="eastAsia" w:eastAsia="方正仿宋_GBK"/>
          <w:b/>
          <w:sz w:val="28"/>
          <w:szCs w:val="28"/>
        </w:rPr>
        <w:t>月</w:t>
      </w:r>
      <w:r>
        <w:rPr>
          <w:rFonts w:eastAsia="方正仿宋_GBK"/>
          <w:b/>
          <w:sz w:val="28"/>
          <w:szCs w:val="28"/>
        </w:rPr>
        <w:t>31</w:t>
      </w:r>
      <w:r>
        <w:rPr>
          <w:rFonts w:hint="eastAsia" w:eastAsia="方正仿宋_GBK"/>
          <w:b/>
          <w:sz w:val="28"/>
          <w:szCs w:val="28"/>
        </w:rPr>
        <w:t>日执行括号内排放限值。</w:t>
      </w:r>
    </w:p>
    <w:p w14:paraId="09E8387A">
      <w:pPr>
        <w:spacing w:line="400" w:lineRule="exact"/>
        <w:ind w:firstLine="480"/>
        <w:jc w:val="left"/>
        <w:rPr>
          <w:rFonts w:hint="eastAsia" w:ascii="宋体" w:hAnsi="宋体" w:cs="宋体"/>
          <w:sz w:val="24"/>
          <w:szCs w:val="24"/>
        </w:rPr>
      </w:pPr>
      <w:r>
        <w:rPr>
          <w:rFonts w:hint="eastAsia" w:ascii="宋体" w:hAnsi="宋体" w:cs="宋体"/>
          <w:sz w:val="24"/>
          <w:szCs w:val="24"/>
        </w:rPr>
        <w:t>7. 原有粗格栅及进水泵房、脱泥系统、供水系统、除臭系统可共用，供电系统在满足负荷率的情况下可共用。上述系统共用过程中产生的电费、药剂费、人工费、污泥处置、设备维修等费用根据各自处理量分配承担。具体情况由投标人与原运营单位协调解决。具体供水系统接入点根据现场情况确定。上述费用由投标人承担。</w:t>
      </w:r>
    </w:p>
    <w:p w14:paraId="090ACB08">
      <w:pPr>
        <w:spacing w:line="400" w:lineRule="exact"/>
        <w:ind w:firstLine="480"/>
        <w:jc w:val="left"/>
        <w:rPr>
          <w:rFonts w:hint="eastAsia" w:ascii="宋体" w:hAnsi="宋体" w:cs="宋体"/>
          <w:sz w:val="24"/>
          <w:szCs w:val="24"/>
        </w:rPr>
      </w:pPr>
      <w:r>
        <w:rPr>
          <w:rFonts w:hint="eastAsia" w:ascii="宋体" w:hAnsi="宋体" w:cs="宋体"/>
          <w:sz w:val="24"/>
          <w:szCs w:val="24"/>
        </w:rPr>
        <w:t>8. 扩建的污水处理设施采用地上布置模式。受到场地限制，各潜在投标人须充分考虑现场布置、设备高度、设备吊装及运输等因素。同时，要结合现场高压线、管道、围墙及周围建筑进行综合考虑，不得出现设计方案无法施工或者对周围建筑物产生较大影响等情况。如出现上述问题，增加的费用由投标人自行承担。</w:t>
      </w:r>
    </w:p>
    <w:p w14:paraId="2E51B24E">
      <w:pPr>
        <w:spacing w:line="400" w:lineRule="exact"/>
        <w:ind w:firstLine="480"/>
        <w:jc w:val="left"/>
        <w:rPr>
          <w:rFonts w:hint="eastAsia" w:ascii="宋体" w:hAnsi="宋体" w:cs="宋体"/>
          <w:sz w:val="24"/>
          <w:szCs w:val="24"/>
        </w:rPr>
      </w:pPr>
      <w:r>
        <w:rPr>
          <w:rFonts w:hint="eastAsia" w:ascii="宋体" w:hAnsi="宋体" w:cs="宋体"/>
          <w:sz w:val="24"/>
          <w:szCs w:val="24"/>
        </w:rPr>
        <w:t>★9. 扩建污水处理设施处理流程及工艺建议如下：粗格栅及进水泵房（利用原厂区设备）+细格栅（如需要）+污水生化处理设备 +二沉池+深度处理系统设备（如需要）+紫外消毒设备（如需要）。设备可在上述建议方案基础上增减，达到设计标准即可。污水生化处理设备须采用A/A/O（A2O）工艺，不得采用MBR膜工艺，二沉池不得采用斜管填料，污水在设备内处理停留时间不得低于12小时，二沉池表面负荷不高于1.2m3/（m2·h）。投标人须提供详细的计算书。未提供计算书、未采用A/A/O工艺、二沉池采用斜管填料、污水在设备内处理停留时间低于12小时、二沉池表面负荷高于1.2m3/（m2·h）的，作无效标处理。</w:t>
      </w:r>
    </w:p>
    <w:p w14:paraId="0A92F790">
      <w:pPr>
        <w:spacing w:line="400" w:lineRule="exact"/>
        <w:ind w:firstLine="480"/>
        <w:jc w:val="left"/>
        <w:rPr>
          <w:rFonts w:hint="eastAsia" w:ascii="宋体" w:hAnsi="宋体" w:cs="宋体"/>
          <w:sz w:val="24"/>
          <w:szCs w:val="24"/>
        </w:rPr>
      </w:pPr>
      <w:r>
        <w:rPr>
          <w:rFonts w:hint="eastAsia" w:ascii="宋体" w:hAnsi="宋体" w:cs="宋体"/>
          <w:sz w:val="24"/>
          <w:szCs w:val="24"/>
        </w:rPr>
        <w:t>★10. 扩建污水处理设施使用年限不得低于15年，各潜在投标人须做好设备防腐防锈处理。提供使用年限承诺书，未提供或使用年限低于15年的，按无效标处理。</w:t>
      </w:r>
    </w:p>
    <w:p w14:paraId="640E7C73">
      <w:pPr>
        <w:spacing w:line="400" w:lineRule="exact"/>
        <w:ind w:firstLine="480"/>
        <w:jc w:val="left"/>
        <w:rPr>
          <w:rFonts w:hint="eastAsia" w:ascii="宋体" w:hAnsi="宋体" w:cs="宋体"/>
          <w:sz w:val="24"/>
          <w:szCs w:val="24"/>
        </w:rPr>
      </w:pPr>
      <w:r>
        <w:rPr>
          <w:rFonts w:hint="eastAsia" w:ascii="宋体" w:hAnsi="宋体" w:cs="宋体"/>
          <w:sz w:val="24"/>
          <w:szCs w:val="24"/>
        </w:rPr>
        <w:t>11. 扩建区域下方含有部分地下管网，须进行迁移。各潜在投标人投标时请一并考虑。</w:t>
      </w:r>
    </w:p>
    <w:p w14:paraId="35124AF3">
      <w:pPr>
        <w:spacing w:line="400" w:lineRule="exact"/>
        <w:ind w:firstLine="480"/>
        <w:jc w:val="left"/>
        <w:rPr>
          <w:rFonts w:hint="eastAsia" w:ascii="宋体" w:hAnsi="宋体" w:cs="宋体"/>
          <w:color w:val="auto"/>
          <w:sz w:val="24"/>
          <w:szCs w:val="24"/>
        </w:rPr>
      </w:pPr>
      <w:r>
        <w:rPr>
          <w:rFonts w:hint="eastAsia" w:ascii="宋体" w:hAnsi="宋体" w:cs="宋体"/>
          <w:sz w:val="24"/>
          <w:szCs w:val="24"/>
        </w:rPr>
        <w:t>★12. 投标单位投标时须提供设</w:t>
      </w:r>
      <w:r>
        <w:rPr>
          <w:rFonts w:hint="eastAsia" w:ascii="宋体" w:hAnsi="宋体" w:cs="宋体"/>
          <w:color w:val="auto"/>
          <w:sz w:val="24"/>
          <w:szCs w:val="24"/>
        </w:rPr>
        <w:t>计方案说明（含各项计算参数，具体设备数量、参数及规格）、详细的设计图纸及污水生化处理设备、</w:t>
      </w:r>
      <w:r>
        <w:rPr>
          <w:rFonts w:hint="eastAsia" w:eastAsia="方正仿宋_GBK"/>
          <w:color w:val="auto"/>
          <w:sz w:val="24"/>
          <w:szCs w:val="24"/>
        </w:rPr>
        <w:t>深度处理系统设备</w:t>
      </w:r>
      <w:r>
        <w:rPr>
          <w:rFonts w:hint="eastAsia" w:ascii="宋体" w:hAnsi="宋体" w:cs="宋体"/>
          <w:color w:val="auto"/>
          <w:sz w:val="24"/>
          <w:szCs w:val="24"/>
        </w:rPr>
        <w:t>（如有）详细的内部结构图（含内部详细的构件、各个区域的功能及效果、材料性质及规格）。上述内容未提供、提供不全，作无效标处理。</w:t>
      </w:r>
    </w:p>
    <w:p w14:paraId="0536DB46">
      <w:pPr>
        <w:spacing w:line="400" w:lineRule="exact"/>
        <w:ind w:firstLine="480"/>
        <w:jc w:val="left"/>
        <w:rPr>
          <w:rFonts w:hint="eastAsia" w:ascii="宋体" w:hAnsi="宋体" w:cs="宋体"/>
          <w:color w:val="auto"/>
          <w:sz w:val="24"/>
          <w:szCs w:val="24"/>
        </w:rPr>
      </w:pPr>
      <w:r>
        <w:rPr>
          <w:rFonts w:hint="eastAsia" w:ascii="宋体" w:hAnsi="宋体" w:cs="宋体"/>
          <w:color w:val="auto"/>
          <w:sz w:val="24"/>
          <w:szCs w:val="24"/>
        </w:rPr>
        <w:t>★13. 污水生化处理设备、</w:t>
      </w:r>
      <w:r>
        <w:rPr>
          <w:rFonts w:hint="eastAsia" w:eastAsia="方正仿宋_GBK"/>
          <w:color w:val="auto"/>
          <w:sz w:val="24"/>
          <w:szCs w:val="24"/>
        </w:rPr>
        <w:t>深度处理系统设备</w:t>
      </w:r>
      <w:r>
        <w:rPr>
          <w:rFonts w:hint="eastAsia" w:ascii="宋体" w:hAnsi="宋体" w:cs="宋体"/>
          <w:color w:val="auto"/>
          <w:sz w:val="24"/>
          <w:szCs w:val="24"/>
        </w:rPr>
        <w:t>材质须采用碳钢材料，做防腐防锈处理，并详</w:t>
      </w:r>
      <w:r>
        <w:rPr>
          <w:rFonts w:hint="eastAsia"/>
          <w:bCs/>
          <w:color w:val="auto"/>
          <w:sz w:val="24"/>
          <w:highlight w:val="white"/>
        </w:rPr>
        <w:t>细描述防腐工艺，箱体</w:t>
      </w:r>
      <w:r>
        <w:rPr>
          <w:rFonts w:hint="eastAsia" w:ascii="宋体" w:hAnsi="宋体" w:cs="宋体"/>
          <w:color w:val="auto"/>
          <w:sz w:val="24"/>
          <w:szCs w:val="24"/>
        </w:rPr>
        <w:t>厚度不低于10mm。箱体厚度低于10mm的，作无效标处理。</w:t>
      </w:r>
    </w:p>
    <w:p w14:paraId="40906381">
      <w:pPr>
        <w:spacing w:line="400" w:lineRule="exact"/>
        <w:ind w:firstLine="480"/>
        <w:jc w:val="left"/>
        <w:rPr>
          <w:rFonts w:hint="eastAsia" w:ascii="宋体" w:hAnsi="宋体" w:cs="宋体"/>
          <w:color w:val="auto"/>
          <w:sz w:val="24"/>
          <w:szCs w:val="24"/>
        </w:rPr>
      </w:pPr>
      <w:r>
        <w:rPr>
          <w:rFonts w:hint="eastAsia" w:ascii="宋体" w:hAnsi="宋体" w:cs="宋体"/>
          <w:color w:val="auto"/>
          <w:sz w:val="24"/>
          <w:szCs w:val="24"/>
        </w:rPr>
        <w:t>14. 污水生化处理设备中的曝气设备建议采用罗茨风机。</w:t>
      </w:r>
    </w:p>
    <w:p w14:paraId="78A4258D">
      <w:pPr>
        <w:spacing w:line="400" w:lineRule="exact"/>
        <w:ind w:firstLine="480"/>
        <w:jc w:val="left"/>
        <w:rPr>
          <w:rFonts w:hint="eastAsia" w:ascii="宋体" w:hAnsi="宋体" w:cs="宋体"/>
          <w:sz w:val="24"/>
          <w:szCs w:val="24"/>
        </w:rPr>
      </w:pPr>
      <w:r>
        <w:rPr>
          <w:rFonts w:hint="eastAsia" w:ascii="宋体" w:hAnsi="宋体" w:cs="宋体"/>
          <w:sz w:val="24"/>
          <w:szCs w:val="24"/>
        </w:rPr>
        <w:t>15. 工程须加装进出水电磁流量计，加装溶解氧、ORP、污泥浓度等过程性监控仪表。上述仪表运营费用由投标人承担。出水处加装COD、NH3-N、TP、TN、PH、SS在线检测仪器，此仪器运营费用由中标人承担。中标单位需建立中控系统，保障污水处理厂运营。</w:t>
      </w:r>
    </w:p>
    <w:p w14:paraId="40CCFFF6">
      <w:pPr>
        <w:spacing w:line="400" w:lineRule="exact"/>
        <w:ind w:firstLine="480"/>
        <w:jc w:val="left"/>
        <w:rPr>
          <w:rFonts w:hint="eastAsia" w:ascii="宋体" w:hAnsi="宋体" w:cs="宋体"/>
          <w:sz w:val="24"/>
          <w:szCs w:val="24"/>
        </w:rPr>
      </w:pPr>
      <w:r>
        <w:rPr>
          <w:rFonts w:hint="eastAsia" w:ascii="宋体" w:hAnsi="宋体" w:cs="宋体"/>
          <w:sz w:val="24"/>
          <w:szCs w:val="24"/>
        </w:rPr>
        <w:t>16. 项目建成后，场地须全部硬化处理。在周围加设围栏。</w:t>
      </w:r>
    </w:p>
    <w:p w14:paraId="201B4AC0">
      <w:pPr>
        <w:spacing w:line="520" w:lineRule="exact"/>
        <w:ind w:firstLine="482"/>
        <w:rPr>
          <w:rFonts w:hint="eastAsia" w:ascii="宋体" w:hAnsi="宋体" w:cs="宋体"/>
          <w:b/>
          <w:sz w:val="24"/>
          <w:szCs w:val="24"/>
        </w:rPr>
      </w:pPr>
      <w:r>
        <w:rPr>
          <w:rFonts w:hint="eastAsia" w:ascii="宋体" w:hAnsi="宋体" w:cs="宋体"/>
          <w:b/>
          <w:sz w:val="24"/>
          <w:szCs w:val="24"/>
        </w:rPr>
        <w:t>六、报价说明：</w:t>
      </w:r>
    </w:p>
    <w:p w14:paraId="5E8ACFFA">
      <w:pPr>
        <w:spacing w:line="520" w:lineRule="exact"/>
        <w:ind w:firstLine="482"/>
        <w:rPr>
          <w:rFonts w:hint="eastAsia" w:ascii="宋体" w:hAnsi="宋体" w:cs="宋体"/>
          <w:b/>
          <w:sz w:val="24"/>
          <w:szCs w:val="24"/>
        </w:rPr>
      </w:pPr>
      <w:r>
        <w:rPr>
          <w:rFonts w:hint="eastAsia" w:ascii="宋体" w:hAnsi="宋体" w:cs="宋体"/>
          <w:b/>
          <w:sz w:val="24"/>
          <w:szCs w:val="24"/>
        </w:rPr>
        <w:t>1、报价清单综合说明</w:t>
      </w:r>
    </w:p>
    <w:p w14:paraId="005A3DF4">
      <w:pPr>
        <w:spacing w:line="520" w:lineRule="exact"/>
        <w:ind w:firstLine="482"/>
        <w:rPr>
          <w:rFonts w:hint="eastAsia" w:ascii="宋体" w:hAnsi="宋体" w:cs="宋体"/>
          <w:b/>
          <w:sz w:val="24"/>
          <w:szCs w:val="24"/>
        </w:rPr>
      </w:pPr>
      <w:r>
        <w:rPr>
          <w:rFonts w:hint="eastAsia" w:ascii="宋体" w:hAnsi="宋体" w:cs="宋体"/>
          <w:b/>
          <w:sz w:val="24"/>
          <w:szCs w:val="24"/>
        </w:rPr>
        <w:t>1.1项目报价详见招标文件要求。</w:t>
      </w:r>
    </w:p>
    <w:p w14:paraId="00DCA0D5">
      <w:pPr>
        <w:spacing w:line="520" w:lineRule="exact"/>
        <w:ind w:firstLine="482"/>
        <w:rPr>
          <w:rFonts w:hint="eastAsia" w:ascii="宋体" w:hAnsi="宋体" w:cs="宋体"/>
          <w:b/>
          <w:sz w:val="24"/>
          <w:szCs w:val="24"/>
        </w:rPr>
      </w:pPr>
      <w:r>
        <w:rPr>
          <w:rFonts w:hint="eastAsia" w:ascii="宋体" w:hAnsi="宋体" w:cs="宋体"/>
          <w:b/>
          <w:sz w:val="24"/>
          <w:szCs w:val="24"/>
        </w:rPr>
        <w:t>1.2投标报价中应考虑招标文件中要求投标人承担的风险范围以及相关的费用。</w:t>
      </w:r>
    </w:p>
    <w:p w14:paraId="3002A3F4">
      <w:pPr>
        <w:spacing w:line="520" w:lineRule="exact"/>
        <w:ind w:firstLine="482"/>
        <w:rPr>
          <w:rFonts w:hint="eastAsia" w:ascii="宋体" w:hAnsi="宋体" w:cs="宋体"/>
          <w:b/>
          <w:sz w:val="24"/>
          <w:szCs w:val="24"/>
        </w:rPr>
      </w:pPr>
      <w:r>
        <w:rPr>
          <w:rFonts w:hint="eastAsia" w:ascii="宋体" w:hAnsi="宋体" w:cs="宋体"/>
          <w:b/>
          <w:sz w:val="24"/>
          <w:szCs w:val="24"/>
        </w:rPr>
        <w:t>1.3投标总价为投标人在投标文件中提出的各项支付金额的总和为实施、完成招标工程并修补缺陷以及履行招标文件中约定的风险范围内的所有责任和义务所发生的全部费用。</w:t>
      </w:r>
    </w:p>
    <w:p w14:paraId="0B7D96A5">
      <w:pPr>
        <w:spacing w:line="520" w:lineRule="exact"/>
        <w:ind w:firstLine="482"/>
        <w:rPr>
          <w:rFonts w:hint="eastAsia" w:ascii="宋体" w:hAnsi="宋体" w:cs="宋体"/>
          <w:b/>
          <w:sz w:val="24"/>
          <w:szCs w:val="24"/>
        </w:rPr>
      </w:pPr>
      <w:r>
        <w:rPr>
          <w:rFonts w:hint="eastAsia" w:ascii="宋体" w:hAnsi="宋体" w:cs="宋体"/>
          <w:b/>
          <w:sz w:val="24"/>
          <w:szCs w:val="24"/>
        </w:rPr>
        <w:t>2．设计计价原则：无费用</w:t>
      </w:r>
    </w:p>
    <w:p w14:paraId="42AEFACF">
      <w:pPr>
        <w:spacing w:line="520" w:lineRule="exact"/>
        <w:ind w:firstLine="482"/>
        <w:rPr>
          <w:rFonts w:hint="eastAsia" w:ascii="宋体" w:hAnsi="宋体" w:cs="宋体"/>
          <w:b/>
          <w:sz w:val="24"/>
          <w:szCs w:val="24"/>
        </w:rPr>
      </w:pPr>
      <w:r>
        <w:rPr>
          <w:rFonts w:hint="eastAsia" w:ascii="宋体" w:hAnsi="宋体" w:cs="宋体"/>
          <w:b/>
          <w:sz w:val="24"/>
          <w:szCs w:val="24"/>
        </w:rPr>
        <w:t>3．施工计价原则：依据现行国家、江苏省及宿迁市规范性计价文件进行计价 ，满足清单计价规范用表要求，清单格式详见附件（包括但不限于）。</w:t>
      </w:r>
    </w:p>
    <w:p w14:paraId="3799F34E">
      <w:pPr>
        <w:spacing w:line="520" w:lineRule="exact"/>
        <w:ind w:firstLine="482"/>
        <w:rPr>
          <w:rFonts w:hint="eastAsia" w:ascii="宋体" w:hAnsi="宋体" w:cs="宋体"/>
          <w:b/>
          <w:sz w:val="24"/>
          <w:szCs w:val="24"/>
        </w:rPr>
      </w:pPr>
      <w:r>
        <w:rPr>
          <w:rFonts w:hint="eastAsia" w:ascii="宋体" w:hAnsi="宋体" w:cs="宋体"/>
          <w:b/>
          <w:sz w:val="24"/>
          <w:szCs w:val="24"/>
        </w:rPr>
        <w:t>4．运营计价原则：自主报价</w:t>
      </w:r>
    </w:p>
    <w:p w14:paraId="7FF535E8">
      <w:pPr>
        <w:spacing w:line="520" w:lineRule="exact"/>
        <w:ind w:firstLine="482"/>
        <w:rPr>
          <w:rFonts w:hint="eastAsia" w:ascii="宋体" w:hAnsi="宋体" w:cs="宋体"/>
          <w:b/>
          <w:sz w:val="24"/>
          <w:szCs w:val="24"/>
        </w:rPr>
      </w:pPr>
      <w:r>
        <w:rPr>
          <w:rFonts w:hint="eastAsia" w:ascii="宋体" w:hAnsi="宋体" w:cs="宋体"/>
          <w:b/>
          <w:sz w:val="24"/>
          <w:szCs w:val="24"/>
        </w:rPr>
        <w:t>5. 其他方面（手续办理）：自主报价</w:t>
      </w:r>
    </w:p>
    <w:p w14:paraId="3C3C052A">
      <w:pPr>
        <w:pStyle w:val="199"/>
        <w:keepNext w:val="0"/>
        <w:pageBreakBefore w:val="0"/>
        <w:widowControl w:val="0"/>
        <w:kinsoku/>
        <w:wordWrap/>
        <w:overflowPunct/>
        <w:topLinePunct w:val="0"/>
        <w:autoSpaceDE/>
        <w:autoSpaceDN/>
        <w:bidi w:val="0"/>
        <w:adjustRightInd/>
        <w:snapToGrid/>
        <w:spacing w:before="0" w:after="0" w:line="240" w:lineRule="auto"/>
        <w:ind w:firstLine="482"/>
        <w:jc w:val="left"/>
        <w:textAlignment w:val="auto"/>
        <w:rPr>
          <w:rFonts w:hint="default" w:ascii="宋体" w:hAnsi="宋体" w:eastAsia="宋体" w:cs="宋体"/>
          <w:b w:val="0"/>
          <w:sz w:val="24"/>
          <w:szCs w:val="24"/>
          <w:lang w:val="en-US" w:eastAsia="zh-CN"/>
        </w:rPr>
      </w:pPr>
      <w:r>
        <w:rPr>
          <w:rFonts w:hint="eastAsia" w:ascii="宋体" w:hAnsi="宋体" w:cs="宋体"/>
          <w:sz w:val="24"/>
          <w:szCs w:val="24"/>
        </w:rPr>
        <w:t>★</w:t>
      </w:r>
      <w:r>
        <w:rPr>
          <w:rFonts w:hint="eastAsia" w:ascii="宋体" w:hAnsi="宋体" w:cs="宋体"/>
          <w:b w:val="0"/>
          <w:sz w:val="24"/>
          <w:szCs w:val="24"/>
        </w:rPr>
        <w:t>注：1、</w:t>
      </w:r>
      <w:r>
        <w:rPr>
          <w:rFonts w:hint="eastAsia" w:ascii="宋体" w:hAnsi="宋体" w:eastAsia="宋体" w:cs="宋体"/>
          <w:b w:val="0"/>
          <w:bCs w:val="0"/>
          <w:sz w:val="24"/>
          <w:szCs w:val="24"/>
        </w:rPr>
        <w:t>投标报价采用工程量清单格式计价，由投标人根据自身设计图纸自行编制，报价明细用表应符合建设工程工程量清单计价规范GB50500-2013标准及市政公用工程工程量计算规范要求。2、投标报价表格应至少包括：封-3投标总价封面、扉-3投标总价扉页、表-01总说明、表-04单位工程投标报价汇总表、表-08分部分项工程和单价措施项目清单与计价表、</w:t>
      </w:r>
      <w:r>
        <w:rPr>
          <w:rFonts w:hint="eastAsia" w:ascii="宋体" w:hAnsi="宋体" w:eastAsia="宋体" w:cs="宋体"/>
          <w:b w:val="0"/>
          <w:bCs w:val="0"/>
          <w:color w:val="auto"/>
          <w:sz w:val="24"/>
          <w:szCs w:val="24"/>
        </w:rPr>
        <w:t>表-09综合单价分析表、表-11总价措施项目与计价表、表-12</w:t>
      </w:r>
      <w:r>
        <w:rPr>
          <w:rFonts w:hint="eastAsia" w:ascii="宋体" w:hAnsi="宋体" w:eastAsia="宋体" w:cs="宋体"/>
          <w:b w:val="0"/>
          <w:bCs w:val="0"/>
          <w:color w:val="auto"/>
          <w:sz w:val="24"/>
          <w:szCs w:val="24"/>
          <w:lang w:val="en-US" w:eastAsia="zh-CN"/>
        </w:rPr>
        <w:t>其他项目清单与计价汇总表（表-12-1、表-12-2</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表-12-3、表-12-4、表-12-5）、</w:t>
      </w:r>
      <w:r>
        <w:rPr>
          <w:rFonts w:hint="eastAsia" w:ascii="宋体" w:hAnsi="宋体" w:eastAsia="宋体" w:cs="宋体"/>
          <w:b w:val="0"/>
          <w:bCs w:val="0"/>
          <w:color w:val="auto"/>
          <w:sz w:val="24"/>
          <w:szCs w:val="24"/>
        </w:rPr>
        <w:t>表-13</w:t>
      </w:r>
      <w:r>
        <w:rPr>
          <w:rFonts w:hint="eastAsia" w:ascii="宋体" w:hAnsi="宋体" w:eastAsia="宋体" w:cs="宋体"/>
          <w:b w:val="0"/>
          <w:bCs w:val="0"/>
          <w:color w:val="auto"/>
          <w:sz w:val="24"/>
          <w:szCs w:val="24"/>
          <w:lang w:val="en-US" w:eastAsia="zh-CN"/>
        </w:rPr>
        <w:t>规费、税金项目清单与计价表</w:t>
      </w:r>
      <w:r>
        <w:rPr>
          <w:rFonts w:hint="eastAsia" w:ascii="宋体" w:hAnsi="宋体" w:eastAsia="宋体" w:cs="宋体"/>
          <w:b w:val="0"/>
          <w:bCs w:val="0"/>
          <w:color w:val="auto"/>
          <w:sz w:val="24"/>
          <w:szCs w:val="24"/>
        </w:rPr>
        <w:t>、表-21</w:t>
      </w:r>
      <w:r>
        <w:rPr>
          <w:rFonts w:hint="eastAsia" w:ascii="宋体" w:hAnsi="宋体" w:eastAsia="宋体" w:cs="宋体"/>
          <w:b w:val="0"/>
          <w:bCs w:val="0"/>
          <w:color w:val="auto"/>
          <w:sz w:val="24"/>
          <w:szCs w:val="24"/>
          <w:lang w:val="en-US" w:eastAsia="zh-CN"/>
        </w:rPr>
        <w:t>承包人提供主要材料和工程设备一览表</w:t>
      </w:r>
      <w:r>
        <w:rPr>
          <w:rFonts w:hint="eastAsia" w:ascii="宋体" w:hAnsi="宋体" w:eastAsia="宋体" w:cs="宋体"/>
          <w:b w:val="0"/>
          <w:bCs w:val="0"/>
          <w:color w:val="auto"/>
          <w:sz w:val="24"/>
          <w:szCs w:val="24"/>
        </w:rPr>
        <w:t>。未按上述要求提供工程量清单报价的作无效标处理。</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上述表格样表详见附件</w:t>
      </w:r>
      <w:r>
        <w:rPr>
          <w:rFonts w:hint="eastAsia" w:ascii="宋体" w:hAnsi="宋体" w:eastAsia="宋体" w:cs="宋体"/>
          <w:b w:val="0"/>
          <w:bCs w:val="0"/>
          <w:color w:val="FF0000"/>
          <w:sz w:val="24"/>
          <w:szCs w:val="24"/>
          <w:lang w:val="en-US" w:eastAsia="zh-CN"/>
        </w:rPr>
        <w:t>）</w:t>
      </w:r>
    </w:p>
    <w:p w14:paraId="79BA716C">
      <w:pPr>
        <w:keepNext w:val="0"/>
        <w:pageBreakBefore w:val="0"/>
        <w:widowControl w:val="0"/>
        <w:kinsoku/>
        <w:wordWrap/>
        <w:overflowPunct/>
        <w:topLinePunct w:val="0"/>
        <w:autoSpaceDE/>
        <w:autoSpaceDN/>
        <w:bidi w:val="0"/>
        <w:adjustRightInd/>
        <w:snapToGrid/>
        <w:spacing w:line="240" w:lineRule="auto"/>
        <w:ind w:firstLine="640"/>
        <w:jc w:val="center"/>
        <w:textAlignment w:val="auto"/>
        <w:rPr>
          <w:rFonts w:eastAsia="方正仿宋_GBK"/>
          <w:sz w:val="32"/>
          <w:szCs w:val="32"/>
        </w:rPr>
      </w:pPr>
      <w:r>
        <w:rPr>
          <w:rFonts w:hint="eastAsia" w:eastAsia="方正仿宋_GBK"/>
          <w:sz w:val="32"/>
          <w:szCs w:val="32"/>
        </w:rPr>
        <w:t>部分重点设计参数计算过程说明（评分用）</w:t>
      </w:r>
    </w:p>
    <w:p w14:paraId="07E2477F">
      <w:pPr>
        <w:pStyle w:val="229"/>
        <w:rPr>
          <w:rFonts w:eastAsia="宋体"/>
          <w:sz w:val="21"/>
          <w:szCs w:val="24"/>
        </w:rPr>
      </w:pPr>
    </w:p>
    <w:tbl>
      <w:tblPr>
        <w:tblStyle w:val="33"/>
        <w:tblW w:w="513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0"/>
        <w:gridCol w:w="2041"/>
        <w:gridCol w:w="1001"/>
        <w:gridCol w:w="4959"/>
        <w:gridCol w:w="994"/>
      </w:tblGrid>
      <w:tr w14:paraId="6E3A0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2" w:hRule="exact"/>
          <w:tblHeader/>
          <w:jc w:val="center"/>
        </w:trPr>
        <w:tc>
          <w:tcPr>
            <w:tcW w:w="940" w:type="dxa"/>
            <w:vAlign w:val="center"/>
          </w:tcPr>
          <w:p w14:paraId="406435ED">
            <w:pPr>
              <w:widowControl/>
              <w:spacing w:line="340" w:lineRule="exact"/>
              <w:jc w:val="center"/>
              <w:rPr>
                <w:rFonts w:ascii="宋体" w:hAnsi="宋体" w:cs="宋体"/>
                <w:b/>
                <w:szCs w:val="24"/>
              </w:rPr>
            </w:pPr>
            <w:r>
              <w:rPr>
                <w:rFonts w:hint="eastAsia" w:ascii="宋体" w:hAnsi="宋体" w:cs="宋体"/>
                <w:b/>
              </w:rPr>
              <w:t>序号</w:t>
            </w:r>
          </w:p>
        </w:tc>
        <w:tc>
          <w:tcPr>
            <w:tcW w:w="2041" w:type="dxa"/>
            <w:vAlign w:val="center"/>
          </w:tcPr>
          <w:p w14:paraId="63A9D1DF">
            <w:pPr>
              <w:widowControl/>
              <w:spacing w:line="340" w:lineRule="exact"/>
              <w:jc w:val="center"/>
              <w:rPr>
                <w:rFonts w:ascii="宋体" w:hAnsi="宋体" w:cs="宋体"/>
                <w:b/>
                <w:szCs w:val="24"/>
              </w:rPr>
            </w:pPr>
            <w:r>
              <w:rPr>
                <w:rFonts w:hint="eastAsia" w:ascii="宋体" w:hAnsi="宋体" w:cs="宋体"/>
                <w:b/>
              </w:rPr>
              <w:t>项目</w:t>
            </w:r>
          </w:p>
        </w:tc>
        <w:tc>
          <w:tcPr>
            <w:tcW w:w="1001" w:type="dxa"/>
            <w:vAlign w:val="center"/>
          </w:tcPr>
          <w:p w14:paraId="1A2EDDCA">
            <w:pPr>
              <w:widowControl/>
              <w:spacing w:line="340" w:lineRule="exact"/>
              <w:jc w:val="center"/>
              <w:rPr>
                <w:rFonts w:ascii="宋体" w:hAnsi="宋体" w:cs="宋体"/>
                <w:b/>
                <w:szCs w:val="24"/>
              </w:rPr>
            </w:pPr>
            <w:r>
              <w:rPr>
                <w:rFonts w:hint="eastAsia" w:ascii="宋体" w:hAnsi="宋体" w:cs="宋体"/>
                <w:b/>
              </w:rPr>
              <w:t>单位</w:t>
            </w:r>
          </w:p>
        </w:tc>
        <w:tc>
          <w:tcPr>
            <w:tcW w:w="4959" w:type="dxa"/>
            <w:vAlign w:val="center"/>
          </w:tcPr>
          <w:p w14:paraId="262E0703">
            <w:pPr>
              <w:widowControl/>
              <w:spacing w:line="340" w:lineRule="exact"/>
              <w:jc w:val="center"/>
              <w:rPr>
                <w:rFonts w:ascii="宋体" w:hAnsi="宋体" w:cs="宋体"/>
                <w:b/>
                <w:szCs w:val="24"/>
              </w:rPr>
            </w:pPr>
            <w:r>
              <w:rPr>
                <w:rFonts w:hint="eastAsia" w:ascii="宋体" w:hAnsi="宋体" w:cs="宋体"/>
                <w:b/>
              </w:rPr>
              <w:t>计算过程</w:t>
            </w:r>
          </w:p>
        </w:tc>
        <w:tc>
          <w:tcPr>
            <w:tcW w:w="994" w:type="dxa"/>
            <w:vAlign w:val="center"/>
          </w:tcPr>
          <w:p w14:paraId="6CA740DD">
            <w:pPr>
              <w:widowControl/>
              <w:spacing w:line="340" w:lineRule="exact"/>
              <w:jc w:val="center"/>
              <w:rPr>
                <w:rFonts w:ascii="宋体" w:hAnsi="宋体" w:cs="宋体"/>
                <w:b/>
                <w:szCs w:val="24"/>
              </w:rPr>
            </w:pPr>
            <w:r>
              <w:rPr>
                <w:rFonts w:hint="eastAsia" w:ascii="宋体" w:hAnsi="宋体" w:cs="宋体"/>
                <w:b/>
              </w:rPr>
              <w:t>计算结果</w:t>
            </w:r>
          </w:p>
        </w:tc>
      </w:tr>
      <w:tr w14:paraId="3CC7D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91" w:hRule="exact"/>
          <w:jc w:val="center"/>
        </w:trPr>
        <w:tc>
          <w:tcPr>
            <w:tcW w:w="940" w:type="dxa"/>
            <w:vAlign w:val="center"/>
          </w:tcPr>
          <w:p w14:paraId="582E1B18">
            <w:pPr>
              <w:widowControl/>
              <w:spacing w:line="340" w:lineRule="exact"/>
              <w:jc w:val="center"/>
              <w:rPr>
                <w:rFonts w:ascii="宋体" w:hAnsi="宋体" w:cs="宋体"/>
                <w:szCs w:val="24"/>
              </w:rPr>
            </w:pPr>
            <w:r>
              <w:rPr>
                <w:rFonts w:hint="eastAsia" w:ascii="宋体" w:hAnsi="宋体" w:cs="宋体"/>
              </w:rPr>
              <w:t>1</w:t>
            </w:r>
          </w:p>
        </w:tc>
        <w:tc>
          <w:tcPr>
            <w:tcW w:w="2041" w:type="dxa"/>
            <w:vAlign w:val="center"/>
          </w:tcPr>
          <w:p w14:paraId="5D19CC9F">
            <w:pPr>
              <w:widowControl/>
              <w:spacing w:line="340" w:lineRule="exact"/>
              <w:jc w:val="center"/>
              <w:rPr>
                <w:rFonts w:ascii="宋体" w:hAnsi="宋体" w:cs="宋体"/>
                <w:szCs w:val="24"/>
              </w:rPr>
            </w:pPr>
            <w:r>
              <w:rPr>
                <w:rFonts w:hint="eastAsia" w:ascii="宋体" w:hAnsi="宋体" w:cs="宋体"/>
              </w:rPr>
              <w:t>AAO生化池有效容积</w:t>
            </w:r>
          </w:p>
          <w:p w14:paraId="13DE5DA0">
            <w:pPr>
              <w:widowControl/>
              <w:spacing w:line="340" w:lineRule="exact"/>
              <w:jc w:val="center"/>
              <w:rPr>
                <w:rFonts w:ascii="宋体" w:hAnsi="宋体" w:cs="宋体"/>
                <w:szCs w:val="24"/>
              </w:rPr>
            </w:pPr>
            <w:r>
              <w:rPr>
                <w:rFonts w:hint="eastAsia" w:ascii="宋体" w:hAnsi="宋体" w:cs="宋体"/>
              </w:rPr>
              <w:t>（V</w:t>
            </w:r>
            <w:r>
              <w:rPr>
                <w:rFonts w:hint="eastAsia" w:ascii="宋体" w:hAnsi="宋体" w:cs="宋体"/>
                <w:vertAlign w:val="subscript"/>
              </w:rPr>
              <w:t>有效</w:t>
            </w:r>
            <w:r>
              <w:rPr>
                <w:rFonts w:hint="eastAsia" w:ascii="宋体" w:hAnsi="宋体" w:cs="宋体"/>
              </w:rPr>
              <w:t>）</w:t>
            </w:r>
          </w:p>
        </w:tc>
        <w:tc>
          <w:tcPr>
            <w:tcW w:w="1001" w:type="dxa"/>
            <w:vAlign w:val="center"/>
          </w:tcPr>
          <w:p w14:paraId="42338D86">
            <w:pPr>
              <w:widowControl/>
              <w:spacing w:line="340" w:lineRule="exact"/>
              <w:jc w:val="center"/>
              <w:rPr>
                <w:rFonts w:ascii="Calibri" w:hAnsi="Calibri"/>
                <w:szCs w:val="24"/>
              </w:rPr>
            </w:pPr>
            <w:r>
              <w:rPr>
                <w:rFonts w:hint="eastAsia" w:ascii="宋体" w:hAnsi="宋体" w:cs="宋体"/>
              </w:rPr>
              <w:t>m</w:t>
            </w:r>
            <w:r>
              <w:rPr>
                <w:rFonts w:hint="eastAsia" w:ascii="宋体" w:hAnsi="宋体" w:cs="宋体"/>
                <w:vertAlign w:val="superscript"/>
              </w:rPr>
              <w:t>3</w:t>
            </w:r>
          </w:p>
        </w:tc>
        <w:tc>
          <w:tcPr>
            <w:tcW w:w="4959" w:type="dxa"/>
            <w:vAlign w:val="center"/>
          </w:tcPr>
          <w:p w14:paraId="4AC15AB8">
            <w:pPr>
              <w:widowControl/>
              <w:spacing w:line="340" w:lineRule="exact"/>
              <w:jc w:val="left"/>
              <w:rPr>
                <w:rFonts w:ascii="宋体" w:hAnsi="宋体" w:cs="宋体"/>
                <w:color w:val="000000"/>
                <w:szCs w:val="24"/>
              </w:rPr>
            </w:pPr>
            <w:r>
              <w:rPr>
                <w:rFonts w:hint="eastAsia" w:ascii="宋体" w:hAnsi="宋体" w:cs="宋体"/>
                <w:color w:val="000000"/>
              </w:rPr>
              <w:t>示例：</w:t>
            </w:r>
          </w:p>
          <w:p w14:paraId="6AD2F54D">
            <w:pPr>
              <w:widowControl/>
              <w:spacing w:line="340" w:lineRule="exact"/>
              <w:jc w:val="left"/>
              <w:rPr>
                <w:rFonts w:hint="eastAsia" w:ascii="宋体" w:hAnsi="宋体" w:cs="宋体"/>
                <w:color w:val="000000"/>
              </w:rPr>
            </w:pPr>
            <w:r>
              <w:rPr>
                <w:rFonts w:hint="eastAsia" w:ascii="宋体" w:hAnsi="宋体" w:cs="宋体"/>
                <w:color w:val="000000"/>
              </w:rPr>
              <w:t>V</w:t>
            </w:r>
            <w:r>
              <w:rPr>
                <w:rFonts w:hint="eastAsia" w:ascii="宋体" w:hAnsi="宋体" w:cs="宋体"/>
                <w:color w:val="000000"/>
                <w:vertAlign w:val="subscript"/>
              </w:rPr>
              <w:t>厌氧</w:t>
            </w:r>
            <w:r>
              <w:rPr>
                <w:rFonts w:hint="eastAsia" w:ascii="宋体" w:hAnsi="宋体" w:cs="宋体"/>
                <w:color w:val="000000"/>
              </w:rPr>
              <w:t>=L×B×H=</w:t>
            </w:r>
          </w:p>
          <w:p w14:paraId="71D7D133">
            <w:pPr>
              <w:widowControl/>
              <w:spacing w:line="340" w:lineRule="exact"/>
              <w:jc w:val="left"/>
              <w:rPr>
                <w:rFonts w:hint="eastAsia" w:ascii="宋体" w:hAnsi="宋体" w:cs="宋体"/>
                <w:color w:val="000000"/>
                <w:vertAlign w:val="superscript"/>
              </w:rPr>
            </w:pPr>
            <w:r>
              <w:rPr>
                <w:rFonts w:hint="eastAsia" w:ascii="宋体" w:hAnsi="宋体" w:cs="宋体"/>
                <w:color w:val="000000"/>
              </w:rPr>
              <w:t xml:space="preserve">   10×6×3=180m</w:t>
            </w:r>
            <w:r>
              <w:rPr>
                <w:rFonts w:hint="eastAsia" w:ascii="宋体" w:hAnsi="宋体" w:cs="宋体"/>
                <w:color w:val="000000"/>
                <w:vertAlign w:val="superscript"/>
              </w:rPr>
              <w:t>3</w:t>
            </w:r>
          </w:p>
          <w:p w14:paraId="32804B8B">
            <w:pPr>
              <w:widowControl/>
              <w:spacing w:line="340" w:lineRule="exact"/>
              <w:jc w:val="left"/>
              <w:rPr>
                <w:rFonts w:hint="eastAsia" w:ascii="宋体" w:hAnsi="宋体" w:cs="宋体"/>
                <w:color w:val="000000"/>
              </w:rPr>
            </w:pPr>
            <w:r>
              <w:rPr>
                <w:rFonts w:hint="eastAsia" w:ascii="宋体" w:hAnsi="宋体" w:cs="宋体"/>
                <w:color w:val="000000"/>
              </w:rPr>
              <w:t>V</w:t>
            </w:r>
            <w:r>
              <w:rPr>
                <w:rFonts w:hint="eastAsia" w:ascii="宋体" w:hAnsi="宋体" w:cs="宋体"/>
                <w:color w:val="000000"/>
                <w:vertAlign w:val="subscript"/>
              </w:rPr>
              <w:t>缺氧</w:t>
            </w:r>
            <w:r>
              <w:rPr>
                <w:rFonts w:hint="eastAsia" w:ascii="宋体" w:hAnsi="宋体" w:cs="宋体"/>
                <w:color w:val="000000"/>
              </w:rPr>
              <w:t>=L×B×H=</w:t>
            </w:r>
          </w:p>
          <w:p w14:paraId="6D612538">
            <w:pPr>
              <w:widowControl/>
              <w:spacing w:line="340" w:lineRule="exact"/>
              <w:jc w:val="left"/>
              <w:rPr>
                <w:rFonts w:hint="eastAsia" w:ascii="宋体" w:hAnsi="宋体" w:cs="宋体"/>
                <w:color w:val="000000"/>
                <w:vertAlign w:val="superscript"/>
              </w:rPr>
            </w:pPr>
            <w:r>
              <w:rPr>
                <w:rFonts w:hint="eastAsia" w:ascii="宋体" w:hAnsi="宋体" w:cs="宋体"/>
                <w:color w:val="000000"/>
              </w:rPr>
              <w:t xml:space="preserve">   20×6×3=360m</w:t>
            </w:r>
            <w:r>
              <w:rPr>
                <w:rFonts w:hint="eastAsia" w:ascii="宋体" w:hAnsi="宋体" w:cs="宋体"/>
                <w:color w:val="000000"/>
                <w:vertAlign w:val="superscript"/>
              </w:rPr>
              <w:t>3</w:t>
            </w:r>
          </w:p>
          <w:p w14:paraId="37A13298">
            <w:pPr>
              <w:widowControl/>
              <w:spacing w:line="340" w:lineRule="exact"/>
              <w:jc w:val="left"/>
              <w:rPr>
                <w:rFonts w:hint="eastAsia" w:ascii="宋体" w:hAnsi="宋体" w:cs="宋体"/>
                <w:color w:val="000000"/>
              </w:rPr>
            </w:pPr>
            <w:r>
              <w:rPr>
                <w:rFonts w:hint="eastAsia" w:ascii="宋体" w:hAnsi="宋体" w:cs="宋体"/>
                <w:color w:val="000000"/>
              </w:rPr>
              <w:t>V</w:t>
            </w:r>
            <w:r>
              <w:rPr>
                <w:rFonts w:hint="eastAsia" w:ascii="宋体" w:hAnsi="宋体" w:cs="宋体"/>
                <w:color w:val="000000"/>
                <w:vertAlign w:val="subscript"/>
              </w:rPr>
              <w:t>好氧</w:t>
            </w:r>
            <w:r>
              <w:rPr>
                <w:rFonts w:hint="eastAsia" w:ascii="宋体" w:hAnsi="宋体" w:cs="宋体"/>
                <w:color w:val="000000"/>
              </w:rPr>
              <w:t>=L×B×H=</w:t>
            </w:r>
          </w:p>
          <w:p w14:paraId="6C595174">
            <w:pPr>
              <w:widowControl/>
              <w:spacing w:line="340" w:lineRule="exact"/>
              <w:jc w:val="left"/>
              <w:rPr>
                <w:rFonts w:hint="eastAsia" w:ascii="宋体" w:hAnsi="宋体" w:cs="宋体"/>
                <w:color w:val="000000"/>
                <w:vertAlign w:val="superscript"/>
              </w:rPr>
            </w:pPr>
            <w:r>
              <w:rPr>
                <w:rFonts w:hint="eastAsia" w:ascii="宋体" w:hAnsi="宋体" w:cs="宋体"/>
                <w:color w:val="000000"/>
              </w:rPr>
              <w:t xml:space="preserve">   30×6×3=540m</w:t>
            </w:r>
            <w:r>
              <w:rPr>
                <w:rFonts w:hint="eastAsia" w:ascii="宋体" w:hAnsi="宋体" w:cs="宋体"/>
                <w:color w:val="000000"/>
                <w:vertAlign w:val="superscript"/>
              </w:rPr>
              <w:t>3</w:t>
            </w:r>
          </w:p>
          <w:p w14:paraId="53E5BD8A">
            <w:pPr>
              <w:pStyle w:val="229"/>
              <w:spacing w:line="340" w:lineRule="exact"/>
              <w:jc w:val="left"/>
              <w:rPr>
                <w:rFonts w:hint="eastAsia" w:ascii="Times New Roman" w:hAnsi="Times New Roman"/>
                <w:color w:val="000000"/>
              </w:rPr>
            </w:pPr>
            <w:r>
              <w:rPr>
                <w:color w:val="000000"/>
              </w:rPr>
              <w:t>V</w:t>
            </w:r>
            <w:r>
              <w:rPr>
                <w:rFonts w:hint="eastAsia"/>
                <w:color w:val="000000"/>
                <w:vertAlign w:val="subscript"/>
              </w:rPr>
              <w:t>有效</w:t>
            </w:r>
            <w:r>
              <w:rPr>
                <w:color w:val="000000"/>
              </w:rPr>
              <w:t>=</w:t>
            </w:r>
            <w:r>
              <w:rPr>
                <w:rFonts w:hint="eastAsia" w:ascii="宋体" w:hAnsi="宋体" w:cs="宋体"/>
                <w:color w:val="000000"/>
              </w:rPr>
              <w:t>V</w:t>
            </w:r>
            <w:r>
              <w:rPr>
                <w:rFonts w:hint="eastAsia" w:ascii="宋体" w:hAnsi="宋体" w:cs="宋体"/>
                <w:color w:val="000000"/>
                <w:vertAlign w:val="subscript"/>
              </w:rPr>
              <w:t>厌氧</w:t>
            </w:r>
            <w:r>
              <w:rPr>
                <w:rFonts w:hint="eastAsia" w:ascii="宋体" w:hAnsi="宋体" w:cs="宋体"/>
                <w:color w:val="000000"/>
              </w:rPr>
              <w:t>+V</w:t>
            </w:r>
            <w:r>
              <w:rPr>
                <w:rFonts w:hint="eastAsia" w:ascii="宋体" w:hAnsi="宋体" w:cs="宋体"/>
                <w:color w:val="000000"/>
                <w:vertAlign w:val="subscript"/>
              </w:rPr>
              <w:t>缺氧</w:t>
            </w:r>
            <w:r>
              <w:rPr>
                <w:rFonts w:hint="eastAsia" w:ascii="宋体" w:hAnsi="宋体" w:cs="宋体"/>
                <w:color w:val="000000"/>
              </w:rPr>
              <w:t>+V</w:t>
            </w:r>
            <w:r>
              <w:rPr>
                <w:rFonts w:hint="eastAsia" w:ascii="宋体" w:hAnsi="宋体" w:cs="宋体"/>
                <w:color w:val="000000"/>
                <w:vertAlign w:val="subscript"/>
              </w:rPr>
              <w:t>好氧</w:t>
            </w:r>
            <w:r>
              <w:rPr>
                <w:rFonts w:hint="eastAsia" w:ascii="宋体" w:hAnsi="宋体" w:cs="宋体"/>
                <w:color w:val="000000"/>
              </w:rPr>
              <w:t>=1080</w:t>
            </w:r>
          </w:p>
          <w:p w14:paraId="4BCA63E0">
            <w:pPr>
              <w:pStyle w:val="229"/>
              <w:spacing w:line="340" w:lineRule="exact"/>
              <w:jc w:val="left"/>
              <w:rPr>
                <w:color w:val="000000"/>
              </w:rPr>
            </w:pPr>
          </w:p>
          <w:p w14:paraId="5FCF8DF0">
            <w:pPr>
              <w:pStyle w:val="229"/>
              <w:spacing w:line="340" w:lineRule="exact"/>
              <w:jc w:val="left"/>
              <w:rPr>
                <w:color w:val="000000"/>
              </w:rPr>
            </w:pPr>
          </w:p>
          <w:p w14:paraId="1B8E04C1">
            <w:pPr>
              <w:pStyle w:val="229"/>
              <w:spacing w:line="340" w:lineRule="exact"/>
              <w:jc w:val="left"/>
              <w:rPr>
                <w:color w:val="000000"/>
              </w:rPr>
            </w:pPr>
          </w:p>
        </w:tc>
        <w:tc>
          <w:tcPr>
            <w:tcW w:w="994" w:type="dxa"/>
            <w:vAlign w:val="center"/>
          </w:tcPr>
          <w:p w14:paraId="1B9E6BEE">
            <w:pPr>
              <w:widowControl/>
              <w:spacing w:line="340" w:lineRule="exact"/>
              <w:jc w:val="center"/>
              <w:rPr>
                <w:rFonts w:ascii="宋体" w:hAnsi="宋体" w:cs="宋体"/>
                <w:color w:val="000000"/>
                <w:szCs w:val="24"/>
              </w:rPr>
            </w:pPr>
            <w:r>
              <w:rPr>
                <w:rFonts w:hint="eastAsia" w:ascii="宋体" w:hAnsi="宋体" w:cs="宋体"/>
                <w:color w:val="000000"/>
              </w:rPr>
              <w:t>1080</w:t>
            </w:r>
          </w:p>
        </w:tc>
      </w:tr>
      <w:tr w14:paraId="785A7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32" w:hRule="exact"/>
          <w:jc w:val="center"/>
        </w:trPr>
        <w:tc>
          <w:tcPr>
            <w:tcW w:w="940" w:type="dxa"/>
            <w:vAlign w:val="center"/>
          </w:tcPr>
          <w:p w14:paraId="68B16AEF">
            <w:pPr>
              <w:widowControl/>
              <w:spacing w:line="340" w:lineRule="exact"/>
              <w:jc w:val="center"/>
              <w:rPr>
                <w:rFonts w:ascii="宋体" w:hAnsi="宋体" w:cs="宋体"/>
                <w:szCs w:val="24"/>
              </w:rPr>
            </w:pPr>
            <w:r>
              <w:rPr>
                <w:rFonts w:hint="eastAsia" w:ascii="宋体" w:hAnsi="宋体" w:cs="宋体"/>
              </w:rPr>
              <w:t>2</w:t>
            </w:r>
          </w:p>
        </w:tc>
        <w:tc>
          <w:tcPr>
            <w:tcW w:w="2041" w:type="dxa"/>
            <w:vAlign w:val="center"/>
          </w:tcPr>
          <w:p w14:paraId="0C8612E5">
            <w:pPr>
              <w:widowControl/>
              <w:spacing w:line="340" w:lineRule="exact"/>
              <w:jc w:val="center"/>
              <w:rPr>
                <w:rFonts w:ascii="宋体" w:hAnsi="宋体" w:cs="宋体"/>
                <w:szCs w:val="24"/>
              </w:rPr>
            </w:pPr>
            <w:r>
              <w:rPr>
                <w:rFonts w:hint="eastAsia" w:ascii="宋体" w:hAnsi="宋体" w:cs="宋体"/>
              </w:rPr>
              <w:t>AAO生化池总停留时间</w:t>
            </w:r>
          </w:p>
          <w:p w14:paraId="3261E931">
            <w:pPr>
              <w:pStyle w:val="229"/>
              <w:spacing w:line="340" w:lineRule="exact"/>
              <w:jc w:val="center"/>
            </w:pPr>
            <w:r>
              <w:rPr>
                <w:rFonts w:hint="eastAsia" w:ascii="宋体" w:hAnsi="宋体" w:cs="宋体"/>
              </w:rPr>
              <w:t>(HRT）</w:t>
            </w:r>
          </w:p>
        </w:tc>
        <w:tc>
          <w:tcPr>
            <w:tcW w:w="1001" w:type="dxa"/>
            <w:vAlign w:val="center"/>
          </w:tcPr>
          <w:p w14:paraId="79A34A2A">
            <w:pPr>
              <w:widowControl/>
              <w:spacing w:line="340" w:lineRule="exact"/>
              <w:jc w:val="center"/>
              <w:rPr>
                <w:rFonts w:ascii="宋体" w:hAnsi="宋体" w:cs="宋体"/>
                <w:szCs w:val="24"/>
              </w:rPr>
            </w:pPr>
            <w:r>
              <w:rPr>
                <w:rFonts w:hint="eastAsia" w:ascii="宋体" w:hAnsi="宋体" w:cs="宋体"/>
              </w:rPr>
              <w:t>h</w:t>
            </w:r>
          </w:p>
        </w:tc>
        <w:tc>
          <w:tcPr>
            <w:tcW w:w="4959" w:type="dxa"/>
            <w:vAlign w:val="center"/>
          </w:tcPr>
          <w:p w14:paraId="48D1BB31">
            <w:pPr>
              <w:widowControl/>
              <w:spacing w:line="340" w:lineRule="exact"/>
              <w:rPr>
                <w:rFonts w:ascii="宋体" w:hAnsi="宋体" w:cs="宋体"/>
                <w:color w:val="000000"/>
                <w:szCs w:val="24"/>
              </w:rPr>
            </w:pPr>
            <w:r>
              <w:rPr>
                <w:rFonts w:hint="eastAsia" w:ascii="宋体" w:hAnsi="宋体" w:cs="宋体"/>
                <w:color w:val="000000"/>
              </w:rPr>
              <w:t>示例：</w:t>
            </w:r>
          </w:p>
          <w:p w14:paraId="6E5A8173">
            <w:pPr>
              <w:widowControl/>
              <w:spacing w:line="340" w:lineRule="exact"/>
              <w:rPr>
                <w:rFonts w:hint="eastAsia" w:ascii="宋体" w:hAnsi="宋体" w:cs="宋体"/>
                <w:color w:val="000000"/>
              </w:rPr>
            </w:pPr>
            <w:r>
              <w:rPr>
                <w:rFonts w:hint="eastAsia" w:ascii="宋体" w:hAnsi="宋体" w:cs="宋体"/>
                <w:color w:val="000000"/>
              </w:rPr>
              <w:t>HRT=V</w:t>
            </w:r>
            <w:r>
              <w:rPr>
                <w:rFonts w:hint="eastAsia" w:ascii="宋体" w:hAnsi="宋体" w:cs="宋体"/>
                <w:color w:val="000000"/>
                <w:vertAlign w:val="subscript"/>
              </w:rPr>
              <w:t>有效</w:t>
            </w:r>
            <w:r>
              <w:rPr>
                <w:rFonts w:hint="eastAsia" w:ascii="宋体" w:hAnsi="宋体" w:cs="宋体"/>
                <w:color w:val="000000"/>
              </w:rPr>
              <w:t>÷Q×24</w:t>
            </w:r>
          </w:p>
          <w:p w14:paraId="425BB0E1">
            <w:pPr>
              <w:widowControl/>
              <w:spacing w:line="340" w:lineRule="exact"/>
              <w:rPr>
                <w:rFonts w:ascii="宋体" w:hAnsi="宋体" w:cs="宋体"/>
                <w:color w:val="000000"/>
                <w:szCs w:val="24"/>
              </w:rPr>
            </w:pPr>
            <w:r>
              <w:rPr>
                <w:rFonts w:hint="eastAsia" w:ascii="宋体" w:hAnsi="宋体" w:cs="宋体"/>
                <w:color w:val="000000"/>
              </w:rPr>
              <w:t>=1080÷1500×24=17.28</w:t>
            </w:r>
          </w:p>
        </w:tc>
        <w:tc>
          <w:tcPr>
            <w:tcW w:w="994" w:type="dxa"/>
            <w:vAlign w:val="center"/>
          </w:tcPr>
          <w:p w14:paraId="41749236">
            <w:pPr>
              <w:widowControl/>
              <w:spacing w:line="340" w:lineRule="exact"/>
              <w:jc w:val="center"/>
              <w:rPr>
                <w:rFonts w:ascii="宋体" w:hAnsi="宋体" w:cs="宋体"/>
                <w:color w:val="000000"/>
                <w:szCs w:val="24"/>
              </w:rPr>
            </w:pPr>
            <w:r>
              <w:rPr>
                <w:rFonts w:hint="eastAsia" w:ascii="宋体" w:hAnsi="宋体" w:cs="宋体"/>
                <w:color w:val="000000"/>
              </w:rPr>
              <w:t>17.28</w:t>
            </w:r>
          </w:p>
        </w:tc>
      </w:tr>
      <w:tr w14:paraId="69DDE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89" w:hRule="exact"/>
          <w:jc w:val="center"/>
        </w:trPr>
        <w:tc>
          <w:tcPr>
            <w:tcW w:w="940" w:type="dxa"/>
            <w:vAlign w:val="center"/>
          </w:tcPr>
          <w:p w14:paraId="48BB9843">
            <w:pPr>
              <w:widowControl/>
              <w:spacing w:line="340" w:lineRule="exact"/>
              <w:jc w:val="center"/>
              <w:rPr>
                <w:rFonts w:ascii="宋体" w:hAnsi="宋体" w:cs="宋体"/>
                <w:szCs w:val="24"/>
              </w:rPr>
            </w:pPr>
            <w:r>
              <w:rPr>
                <w:rFonts w:hint="eastAsia" w:ascii="宋体" w:hAnsi="宋体" w:cs="宋体"/>
              </w:rPr>
              <w:t>3</w:t>
            </w:r>
          </w:p>
        </w:tc>
        <w:tc>
          <w:tcPr>
            <w:tcW w:w="2041" w:type="dxa"/>
            <w:vAlign w:val="center"/>
          </w:tcPr>
          <w:p w14:paraId="42CE67DC">
            <w:pPr>
              <w:widowControl/>
              <w:spacing w:line="340" w:lineRule="exact"/>
              <w:jc w:val="center"/>
              <w:rPr>
                <w:rFonts w:ascii="宋体" w:hAnsi="宋体" w:cs="宋体"/>
                <w:szCs w:val="24"/>
              </w:rPr>
            </w:pPr>
            <w:r>
              <w:rPr>
                <w:rFonts w:hint="eastAsia" w:ascii="宋体" w:hAnsi="宋体" w:cs="宋体"/>
              </w:rPr>
              <w:t>二沉池表面负荷</w:t>
            </w:r>
          </w:p>
          <w:p w14:paraId="377048A5">
            <w:pPr>
              <w:pStyle w:val="229"/>
              <w:spacing w:line="340" w:lineRule="exact"/>
              <w:jc w:val="center"/>
            </w:pPr>
            <w:r>
              <w:rPr>
                <w:rFonts w:hint="eastAsia" w:ascii="宋体" w:hAnsi="宋体" w:cs="宋体"/>
              </w:rPr>
              <w:t>（q）</w:t>
            </w:r>
          </w:p>
        </w:tc>
        <w:tc>
          <w:tcPr>
            <w:tcW w:w="1001" w:type="dxa"/>
            <w:vAlign w:val="center"/>
          </w:tcPr>
          <w:p w14:paraId="778C151E">
            <w:pPr>
              <w:widowControl/>
              <w:spacing w:line="340" w:lineRule="exact"/>
              <w:jc w:val="center"/>
              <w:rPr>
                <w:rFonts w:ascii="宋体" w:hAnsi="宋体" w:cs="宋体"/>
                <w:szCs w:val="24"/>
              </w:rPr>
            </w:pPr>
            <w:r>
              <w:rPr>
                <w:rFonts w:hint="eastAsia" w:ascii="宋体" w:hAnsi="宋体" w:cs="宋体"/>
              </w:rPr>
              <w:t>m</w:t>
            </w:r>
            <w:r>
              <w:rPr>
                <w:rFonts w:hint="eastAsia" w:ascii="宋体" w:hAnsi="宋体" w:cs="宋体"/>
                <w:vertAlign w:val="superscript"/>
              </w:rPr>
              <w:t>3</w:t>
            </w:r>
            <w:r>
              <w:rPr>
                <w:rFonts w:hint="eastAsia" w:ascii="宋体" w:hAnsi="宋体" w:cs="宋体"/>
              </w:rPr>
              <w:t>/(m</w:t>
            </w:r>
            <w:r>
              <w:rPr>
                <w:rFonts w:hint="eastAsia" w:ascii="宋体" w:hAnsi="宋体" w:cs="宋体"/>
                <w:vertAlign w:val="superscript"/>
              </w:rPr>
              <w:t>2</w:t>
            </w:r>
            <w:r>
              <w:rPr>
                <w:rFonts w:hint="eastAsia" w:ascii="宋体" w:hAnsi="宋体" w:cs="宋体"/>
              </w:rPr>
              <w:t>·h）</w:t>
            </w:r>
          </w:p>
        </w:tc>
        <w:tc>
          <w:tcPr>
            <w:tcW w:w="4959" w:type="dxa"/>
            <w:vAlign w:val="center"/>
          </w:tcPr>
          <w:p w14:paraId="34BA9C82">
            <w:pPr>
              <w:widowControl/>
              <w:spacing w:line="340" w:lineRule="exact"/>
              <w:rPr>
                <w:rFonts w:ascii="宋体" w:hAnsi="宋体" w:cs="宋体"/>
                <w:color w:val="000000"/>
                <w:szCs w:val="24"/>
              </w:rPr>
            </w:pPr>
            <w:r>
              <w:rPr>
                <w:rFonts w:hint="eastAsia" w:ascii="宋体" w:hAnsi="宋体" w:cs="宋体"/>
                <w:color w:val="000000"/>
              </w:rPr>
              <w:t>示例：</w:t>
            </w:r>
          </w:p>
          <w:p w14:paraId="6ED2B431">
            <w:pPr>
              <w:widowControl/>
              <w:spacing w:line="340" w:lineRule="exact"/>
              <w:rPr>
                <w:rFonts w:hint="eastAsia" w:ascii="宋体" w:hAnsi="宋体" w:cs="宋体"/>
                <w:color w:val="000000"/>
              </w:rPr>
            </w:pPr>
            <w:r>
              <w:rPr>
                <w:rFonts w:hint="eastAsia" w:ascii="宋体" w:hAnsi="宋体" w:cs="宋体"/>
                <w:color w:val="000000"/>
              </w:rPr>
              <w:t>q=Q÷(B×L)÷24</w:t>
            </w:r>
          </w:p>
          <w:p w14:paraId="257D7A5C">
            <w:pPr>
              <w:widowControl/>
              <w:spacing w:line="340" w:lineRule="exact"/>
              <w:jc w:val="left"/>
              <w:rPr>
                <w:rFonts w:hint="eastAsia" w:ascii="宋体" w:hAnsi="宋体" w:cs="宋体"/>
                <w:color w:val="000000"/>
              </w:rPr>
            </w:pPr>
            <w:r>
              <w:rPr>
                <w:rFonts w:hint="eastAsia" w:ascii="宋体" w:hAnsi="宋体" w:cs="宋体"/>
                <w:color w:val="000000"/>
              </w:rPr>
              <w:t>=1500÷(3×17.5)÷24</w:t>
            </w:r>
          </w:p>
          <w:p w14:paraId="37BFE08D">
            <w:pPr>
              <w:widowControl/>
              <w:spacing w:line="340" w:lineRule="exact"/>
              <w:jc w:val="left"/>
              <w:rPr>
                <w:rFonts w:ascii="宋体" w:hAnsi="宋体" w:cs="宋体"/>
                <w:color w:val="000000"/>
                <w:szCs w:val="24"/>
              </w:rPr>
            </w:pPr>
            <w:r>
              <w:rPr>
                <w:rFonts w:hint="eastAsia" w:ascii="宋体" w:hAnsi="宋体" w:cs="宋体"/>
                <w:color w:val="000000"/>
              </w:rPr>
              <w:t>=1.19</w:t>
            </w:r>
          </w:p>
        </w:tc>
        <w:tc>
          <w:tcPr>
            <w:tcW w:w="994" w:type="dxa"/>
            <w:vAlign w:val="center"/>
          </w:tcPr>
          <w:p w14:paraId="37742A91">
            <w:pPr>
              <w:widowControl/>
              <w:spacing w:line="340" w:lineRule="exact"/>
              <w:jc w:val="center"/>
              <w:rPr>
                <w:rFonts w:ascii="宋体" w:hAnsi="宋体" w:cs="宋体"/>
                <w:color w:val="000000"/>
                <w:szCs w:val="24"/>
              </w:rPr>
            </w:pPr>
            <w:r>
              <w:rPr>
                <w:rFonts w:hint="eastAsia" w:ascii="宋体" w:hAnsi="宋体" w:cs="宋体"/>
                <w:color w:val="000000"/>
              </w:rPr>
              <w:t>1.19</w:t>
            </w:r>
          </w:p>
        </w:tc>
      </w:tr>
    </w:tbl>
    <w:p w14:paraId="5BAF810F">
      <w:pPr>
        <w:pStyle w:val="229"/>
        <w:rPr>
          <w:rFonts w:hint="eastAsia"/>
          <w:color w:val="FF0000"/>
        </w:rPr>
      </w:pPr>
      <w:r>
        <w:rPr>
          <w:rFonts w:hint="eastAsia"/>
          <w:color w:val="FF0000"/>
        </w:rPr>
        <w:t>注：</w:t>
      </w:r>
      <w:r>
        <w:rPr>
          <w:color w:val="FF0000"/>
        </w:rPr>
        <w:t>L</w:t>
      </w:r>
      <w:r>
        <w:rPr>
          <w:rFonts w:hint="eastAsia"/>
          <w:color w:val="FF0000"/>
        </w:rPr>
        <w:t>-------长度------米</w:t>
      </w:r>
    </w:p>
    <w:p w14:paraId="7A9BE238">
      <w:pPr>
        <w:pStyle w:val="229"/>
        <w:rPr>
          <w:rFonts w:hint="eastAsia"/>
          <w:color w:val="FF0000"/>
        </w:rPr>
      </w:pPr>
      <w:r>
        <w:rPr>
          <w:color w:val="FF0000"/>
        </w:rPr>
        <w:t xml:space="preserve">    B</w:t>
      </w:r>
      <w:r>
        <w:rPr>
          <w:rFonts w:hint="eastAsia"/>
          <w:color w:val="FF0000"/>
        </w:rPr>
        <w:t>------宽度------米</w:t>
      </w:r>
    </w:p>
    <w:p w14:paraId="2CB94EF9">
      <w:pPr>
        <w:pStyle w:val="229"/>
        <w:ind w:firstLine="560"/>
        <w:rPr>
          <w:rFonts w:hint="eastAsia"/>
          <w:color w:val="FF0000"/>
        </w:rPr>
      </w:pPr>
      <w:r>
        <w:rPr>
          <w:rFonts w:hint="eastAsia"/>
          <w:color w:val="FF0000"/>
        </w:rPr>
        <w:t>H------高度------米</w:t>
      </w:r>
    </w:p>
    <w:p w14:paraId="196A5620">
      <w:pPr>
        <w:pStyle w:val="229"/>
        <w:ind w:firstLine="560"/>
        <w:rPr>
          <w:rFonts w:hint="eastAsia"/>
          <w:color w:val="FF0000"/>
        </w:rPr>
      </w:pPr>
      <w:r>
        <w:rPr>
          <w:rFonts w:hint="eastAsia"/>
          <w:color w:val="FF0000"/>
        </w:rPr>
        <w:t>Q------设计规模-----m3/天。该项目为1500 m3/天</w:t>
      </w:r>
    </w:p>
    <w:p w14:paraId="6E841A2B">
      <w:pPr>
        <w:pStyle w:val="229"/>
        <w:jc w:val="center"/>
        <w:rPr>
          <w:rFonts w:hint="eastAsia" w:ascii="Times New Roman" w:eastAsia="黑体"/>
          <w:bCs/>
          <w:sz w:val="44"/>
        </w:rPr>
      </w:pPr>
      <w:r>
        <w:rPr>
          <w:rFonts w:ascii="Calibri" w:hAnsi="Calibri"/>
          <w:b/>
          <w:bCs/>
        </w:rPr>
        <w:br w:type="page" w:clear="all"/>
      </w:r>
      <w:bookmarkEnd w:id="476"/>
      <w:bookmarkEnd w:id="477"/>
      <w:r>
        <w:rPr>
          <w:rFonts w:hint="eastAsia" w:ascii="Times New Roman" w:eastAsia="黑体"/>
          <w:bCs/>
          <w:sz w:val="44"/>
        </w:rPr>
        <w:t xml:space="preserve">第五章  </w:t>
      </w:r>
      <w:r>
        <w:rPr>
          <w:rFonts w:hint="eastAsia" w:ascii="Times New Roman" w:eastAsia="黑体"/>
          <w:b/>
          <w:bCs/>
          <w:sz w:val="44"/>
        </w:rPr>
        <w:t xml:space="preserve"> 评标方法与评标标准</w:t>
      </w:r>
    </w:p>
    <w:p w14:paraId="064DD57E">
      <w:pPr>
        <w:spacing w:line="500" w:lineRule="exact"/>
        <w:rPr>
          <w:rFonts w:hint="eastAsia" w:eastAsia="仿宋_GB2312"/>
          <w:sz w:val="24"/>
        </w:rPr>
      </w:pPr>
      <w:r>
        <w:rPr>
          <w:rFonts w:hint="eastAsia" w:eastAsia="仿宋_GB2312"/>
          <w:b/>
          <w:sz w:val="28"/>
          <w:szCs w:val="22"/>
          <w:highlight w:val="white"/>
        </w:rPr>
        <w:t>一、资格审查。</w:t>
      </w:r>
      <w:r>
        <w:rPr>
          <w:rFonts w:hint="eastAsia"/>
          <w:sz w:val="24"/>
          <w:highlight w:val="white"/>
        </w:rPr>
        <w:t>资格审查人员按照下列指标对各投标人的资格进行审查，未通过审查的为无效标，不参与评标。</w:t>
      </w:r>
    </w:p>
    <w:tbl>
      <w:tblPr>
        <w:tblStyle w:val="33"/>
        <w:tblW w:w="5008" w:type="pct"/>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44"/>
        <w:gridCol w:w="4747"/>
      </w:tblGrid>
      <w:tr w14:paraId="2CAE4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744" w:type="dxa"/>
            <w:vAlign w:val="center"/>
          </w:tcPr>
          <w:p w14:paraId="5EB192DB">
            <w:pPr>
              <w:jc w:val="center"/>
              <w:rPr>
                <w:szCs w:val="22"/>
              </w:rPr>
            </w:pPr>
            <w:r>
              <w:rPr>
                <w:szCs w:val="22"/>
              </w:rPr>
              <w:t>资格审查因素</w:t>
            </w:r>
          </w:p>
        </w:tc>
        <w:tc>
          <w:tcPr>
            <w:tcW w:w="4747" w:type="dxa"/>
            <w:vAlign w:val="center"/>
          </w:tcPr>
          <w:p w14:paraId="36C9952B">
            <w:pPr>
              <w:jc w:val="center"/>
              <w:rPr>
                <w:szCs w:val="22"/>
              </w:rPr>
            </w:pPr>
            <w:r>
              <w:rPr>
                <w:szCs w:val="22"/>
              </w:rPr>
              <w:t>审查标准</w:t>
            </w:r>
          </w:p>
        </w:tc>
      </w:tr>
      <w:tr w14:paraId="1B552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744" w:type="dxa"/>
            <w:vAlign w:val="center"/>
          </w:tcPr>
          <w:p w14:paraId="45A44012">
            <w:pPr>
              <w:jc w:val="left"/>
              <w:rPr>
                <w:szCs w:val="22"/>
              </w:rPr>
            </w:pPr>
            <w:r>
              <w:rPr>
                <w:szCs w:val="22"/>
              </w:rPr>
              <w:t>投标声明及承诺函</w:t>
            </w:r>
          </w:p>
        </w:tc>
        <w:tc>
          <w:tcPr>
            <w:tcW w:w="4747" w:type="dxa"/>
            <w:vAlign w:val="center"/>
          </w:tcPr>
          <w:p w14:paraId="7B89AA42">
            <w:pPr>
              <w:jc w:val="left"/>
              <w:rPr>
                <w:szCs w:val="22"/>
              </w:rPr>
            </w:pPr>
            <w:r>
              <w:rPr>
                <w:szCs w:val="22"/>
              </w:rPr>
              <w:t>符合招标文件要求</w:t>
            </w:r>
          </w:p>
        </w:tc>
      </w:tr>
      <w:tr w14:paraId="70973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744" w:type="dxa"/>
            <w:vAlign w:val="center"/>
          </w:tcPr>
          <w:p w14:paraId="012019D2">
            <w:pPr>
              <w:jc w:val="left"/>
              <w:rPr>
                <w:szCs w:val="22"/>
              </w:rPr>
            </w:pPr>
            <w:r>
              <w:rPr>
                <w:szCs w:val="22"/>
              </w:rPr>
              <w:t>信用信息</w:t>
            </w:r>
          </w:p>
        </w:tc>
        <w:tc>
          <w:tcPr>
            <w:tcW w:w="4747" w:type="dxa"/>
            <w:vAlign w:val="center"/>
          </w:tcPr>
          <w:p w14:paraId="5C07BEEB">
            <w:pPr>
              <w:jc w:val="left"/>
              <w:rPr>
                <w:szCs w:val="22"/>
              </w:rPr>
            </w:pPr>
            <w:r>
              <w:rPr>
                <w:szCs w:val="22"/>
              </w:rPr>
              <w:t>符合招标文件要求</w:t>
            </w:r>
          </w:p>
        </w:tc>
      </w:tr>
      <w:tr w14:paraId="7A4F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744" w:type="dxa"/>
            <w:vAlign w:val="center"/>
          </w:tcPr>
          <w:p w14:paraId="7B22081A">
            <w:pPr>
              <w:jc w:val="left"/>
              <w:rPr>
                <w:rFonts w:eastAsia="宋体"/>
                <w:szCs w:val="22"/>
                <w:lang w:val="en-US" w:eastAsia="zh-CN"/>
              </w:rPr>
            </w:pPr>
            <w:r>
              <w:rPr>
                <w:rFonts w:hint="eastAsia"/>
                <w:szCs w:val="22"/>
                <w:lang w:val="en-US" w:eastAsia="zh-CN"/>
              </w:rPr>
              <w:t>特定资格要求</w:t>
            </w:r>
          </w:p>
        </w:tc>
        <w:tc>
          <w:tcPr>
            <w:tcW w:w="4747" w:type="dxa"/>
            <w:vAlign w:val="center"/>
          </w:tcPr>
          <w:p w14:paraId="0FDF2CA2">
            <w:pPr>
              <w:jc w:val="left"/>
              <w:rPr>
                <w:szCs w:val="22"/>
              </w:rPr>
            </w:pPr>
            <w:r>
              <w:rPr>
                <w:szCs w:val="22"/>
              </w:rPr>
              <w:t>符合招标文件要求</w:t>
            </w:r>
          </w:p>
        </w:tc>
      </w:tr>
      <w:tr w14:paraId="417C0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744" w:type="dxa"/>
            <w:vAlign w:val="center"/>
          </w:tcPr>
          <w:p w14:paraId="1BA44602">
            <w:pPr>
              <w:jc w:val="left"/>
              <w:rPr>
                <w:szCs w:val="22"/>
              </w:rPr>
            </w:pPr>
            <w:r>
              <w:rPr>
                <w:szCs w:val="22"/>
              </w:rPr>
              <w:t>联合体投标</w:t>
            </w:r>
          </w:p>
        </w:tc>
        <w:tc>
          <w:tcPr>
            <w:tcW w:w="4747" w:type="dxa"/>
            <w:vAlign w:val="center"/>
          </w:tcPr>
          <w:p w14:paraId="02738941">
            <w:pPr>
              <w:jc w:val="left"/>
              <w:rPr>
                <w:szCs w:val="22"/>
              </w:rPr>
            </w:pPr>
            <w:r>
              <w:rPr>
                <w:szCs w:val="22"/>
              </w:rPr>
              <w:t>不接受联合体投标</w:t>
            </w:r>
          </w:p>
        </w:tc>
      </w:tr>
      <w:tr w14:paraId="7966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744" w:type="dxa"/>
            <w:vAlign w:val="center"/>
          </w:tcPr>
          <w:p w14:paraId="4C1AC217">
            <w:pPr>
              <w:jc w:val="left"/>
              <w:rPr>
                <w:rFonts w:hint="eastAsia" w:eastAsia="宋体"/>
                <w:szCs w:val="22"/>
                <w:lang w:val="en-US" w:eastAsia="zh-CN"/>
              </w:rPr>
            </w:pPr>
            <w:r>
              <w:rPr>
                <w:rFonts w:hint="eastAsia"/>
                <w:szCs w:val="22"/>
                <w:lang w:val="en-US" w:eastAsia="zh-CN"/>
              </w:rPr>
              <w:t>其他</w:t>
            </w:r>
          </w:p>
        </w:tc>
        <w:tc>
          <w:tcPr>
            <w:tcW w:w="4747" w:type="dxa"/>
            <w:vAlign w:val="center"/>
          </w:tcPr>
          <w:p w14:paraId="5D42A3A6">
            <w:pPr>
              <w:jc w:val="left"/>
              <w:rPr>
                <w:szCs w:val="22"/>
              </w:rPr>
            </w:pPr>
            <w:r>
              <w:rPr>
                <w:szCs w:val="22"/>
              </w:rPr>
              <w:t>符合招标文件要求</w:t>
            </w:r>
          </w:p>
        </w:tc>
      </w:tr>
    </w:tbl>
    <w:p w14:paraId="36E83DF5">
      <w:pPr>
        <w:keepNext w:val="0"/>
        <w:keepLines w:val="0"/>
        <w:pageBreakBefore w:val="0"/>
        <w:widowControl w:val="0"/>
        <w:kinsoku/>
        <w:wordWrap/>
        <w:overflowPunct/>
        <w:topLinePunct w:val="0"/>
        <w:autoSpaceDE/>
        <w:autoSpaceDN/>
        <w:bidi w:val="0"/>
        <w:adjustRightInd/>
        <w:snapToGrid/>
        <w:spacing w:before="0" w:beforeLines="50" w:line="500" w:lineRule="exact"/>
        <w:textAlignment w:val="auto"/>
        <w:rPr>
          <w:rFonts w:eastAsia="仿宋_GB2312"/>
          <w:sz w:val="24"/>
        </w:rPr>
      </w:pPr>
      <w:r>
        <w:rPr>
          <w:rFonts w:hint="eastAsia" w:eastAsia="仿宋_GB2312"/>
          <w:b/>
          <w:sz w:val="28"/>
          <w:szCs w:val="22"/>
          <w:highlight w:val="white"/>
        </w:rPr>
        <w:t>二、符合性审查。</w:t>
      </w:r>
      <w:r>
        <w:rPr>
          <w:rFonts w:hint="eastAsia"/>
          <w:sz w:val="24"/>
          <w:highlight w:val="white"/>
        </w:rPr>
        <w:t>评标委员会首先按照下列指标对各投标人的投标文件进行符合性审查，未通过审查的为无效标，不再参与评审。</w:t>
      </w:r>
    </w:p>
    <w:tbl>
      <w:tblPr>
        <w:tblStyle w:val="33"/>
        <w:tblW w:w="5008" w:type="pct"/>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42"/>
        <w:gridCol w:w="4749"/>
      </w:tblGrid>
      <w:tr w14:paraId="26098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742" w:type="dxa"/>
            <w:vAlign w:val="center"/>
          </w:tcPr>
          <w:p w14:paraId="318BBFA5">
            <w:pPr>
              <w:jc w:val="center"/>
              <w:rPr>
                <w:szCs w:val="22"/>
              </w:rPr>
            </w:pPr>
            <w:r>
              <w:rPr>
                <w:szCs w:val="22"/>
              </w:rPr>
              <w:t>符合性审查因素</w:t>
            </w:r>
          </w:p>
        </w:tc>
        <w:tc>
          <w:tcPr>
            <w:tcW w:w="4749" w:type="dxa"/>
            <w:vAlign w:val="center"/>
          </w:tcPr>
          <w:p w14:paraId="17625E1E">
            <w:pPr>
              <w:jc w:val="center"/>
              <w:rPr>
                <w:szCs w:val="22"/>
              </w:rPr>
            </w:pPr>
            <w:r>
              <w:rPr>
                <w:szCs w:val="22"/>
              </w:rPr>
              <w:t>审查标准</w:t>
            </w:r>
          </w:p>
        </w:tc>
      </w:tr>
      <w:tr w14:paraId="46A0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742" w:type="dxa"/>
            <w:vAlign w:val="center"/>
          </w:tcPr>
          <w:p w14:paraId="45FD8EF7">
            <w:pPr>
              <w:jc w:val="left"/>
              <w:rPr>
                <w:szCs w:val="22"/>
              </w:rPr>
            </w:pPr>
            <w:r>
              <w:rPr>
                <w:szCs w:val="22"/>
              </w:rPr>
              <w:t>法定代表人身份证明或授权委托书</w:t>
            </w:r>
          </w:p>
        </w:tc>
        <w:tc>
          <w:tcPr>
            <w:tcW w:w="4749" w:type="dxa"/>
            <w:vAlign w:val="center"/>
          </w:tcPr>
          <w:p w14:paraId="06F57103">
            <w:pPr>
              <w:jc w:val="left"/>
              <w:rPr>
                <w:szCs w:val="22"/>
              </w:rPr>
            </w:pPr>
            <w:r>
              <w:rPr>
                <w:szCs w:val="22"/>
              </w:rPr>
              <w:t>符合招标文件要求</w:t>
            </w:r>
          </w:p>
        </w:tc>
      </w:tr>
      <w:tr w14:paraId="7DB15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742" w:type="dxa"/>
            <w:vAlign w:val="center"/>
          </w:tcPr>
          <w:p w14:paraId="0EA89DB7">
            <w:pPr>
              <w:jc w:val="left"/>
              <w:rPr>
                <w:szCs w:val="22"/>
              </w:rPr>
            </w:pPr>
            <w:r>
              <w:rPr>
                <w:szCs w:val="22"/>
              </w:rPr>
              <w:t>开标一览表及投标报价</w:t>
            </w:r>
          </w:p>
        </w:tc>
        <w:tc>
          <w:tcPr>
            <w:tcW w:w="4749" w:type="dxa"/>
            <w:vAlign w:val="center"/>
          </w:tcPr>
          <w:p w14:paraId="0BD8A444">
            <w:pPr>
              <w:jc w:val="left"/>
              <w:rPr>
                <w:szCs w:val="22"/>
              </w:rPr>
            </w:pPr>
            <w:r>
              <w:rPr>
                <w:szCs w:val="22"/>
              </w:rPr>
              <w:t>格式、填写要求符合招标文件规定</w:t>
            </w:r>
          </w:p>
        </w:tc>
      </w:tr>
      <w:tr w14:paraId="1FD73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742" w:type="dxa"/>
            <w:vAlign w:val="center"/>
          </w:tcPr>
          <w:p w14:paraId="1BCEEA6C">
            <w:pPr>
              <w:jc w:val="left"/>
              <w:rPr>
                <w:szCs w:val="22"/>
              </w:rPr>
            </w:pPr>
            <w:r>
              <w:rPr>
                <w:szCs w:val="22"/>
              </w:rPr>
              <w:t>技术标准和要求</w:t>
            </w:r>
          </w:p>
        </w:tc>
        <w:tc>
          <w:tcPr>
            <w:tcW w:w="4749" w:type="dxa"/>
            <w:vAlign w:val="center"/>
          </w:tcPr>
          <w:p w14:paraId="01880436">
            <w:pPr>
              <w:jc w:val="left"/>
              <w:rPr>
                <w:szCs w:val="22"/>
              </w:rPr>
            </w:pPr>
            <w:r>
              <w:rPr>
                <w:szCs w:val="22"/>
              </w:rPr>
              <w:t>符合招标文件要求</w:t>
            </w:r>
          </w:p>
        </w:tc>
      </w:tr>
      <w:tr w14:paraId="7FE8E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742" w:type="dxa"/>
            <w:vAlign w:val="center"/>
          </w:tcPr>
          <w:p w14:paraId="57D51D76">
            <w:pPr>
              <w:jc w:val="left"/>
              <w:rPr>
                <w:szCs w:val="22"/>
              </w:rPr>
            </w:pPr>
            <w:r>
              <w:rPr>
                <w:szCs w:val="22"/>
              </w:rPr>
              <w:t>其他</w:t>
            </w:r>
          </w:p>
        </w:tc>
        <w:tc>
          <w:tcPr>
            <w:tcW w:w="4749" w:type="dxa"/>
            <w:vAlign w:val="center"/>
          </w:tcPr>
          <w:p w14:paraId="6D984ED4">
            <w:pPr>
              <w:jc w:val="left"/>
              <w:rPr>
                <w:szCs w:val="22"/>
              </w:rPr>
            </w:pPr>
            <w:r>
              <w:rPr>
                <w:szCs w:val="22"/>
              </w:rPr>
              <w:t>符合招标文件要求</w:t>
            </w:r>
          </w:p>
        </w:tc>
      </w:tr>
    </w:tbl>
    <w:p w14:paraId="61BF3F35">
      <w:pPr>
        <w:keepNext w:val="0"/>
        <w:keepLines w:val="0"/>
        <w:pageBreakBefore w:val="0"/>
        <w:widowControl w:val="0"/>
        <w:kinsoku/>
        <w:wordWrap/>
        <w:overflowPunct/>
        <w:topLinePunct w:val="0"/>
        <w:autoSpaceDE/>
        <w:autoSpaceDN/>
        <w:bidi w:val="0"/>
        <w:adjustRightInd/>
        <w:snapToGrid/>
        <w:spacing w:before="0" w:beforeLines="50" w:line="500" w:lineRule="exact"/>
        <w:textAlignment w:val="auto"/>
        <w:rPr>
          <w:rFonts w:hint="eastAsia" w:eastAsia="仿宋_GB2312"/>
          <w:b/>
          <w:sz w:val="28"/>
          <w:szCs w:val="22"/>
          <w:highlight w:val="white"/>
        </w:rPr>
      </w:pPr>
      <w:r>
        <w:rPr>
          <w:rFonts w:hint="eastAsia" w:eastAsia="仿宋_GB2312"/>
          <w:b/>
          <w:sz w:val="28"/>
          <w:szCs w:val="22"/>
          <w:highlight w:val="white"/>
        </w:rPr>
        <w:t>三、评分办法—综合评分法</w:t>
      </w:r>
    </w:p>
    <w:p w14:paraId="6C59416C">
      <w:pPr>
        <w:spacing w:line="500" w:lineRule="exact"/>
        <w:ind w:firstLine="241"/>
        <w:rPr>
          <w:rFonts w:hint="eastAsia"/>
          <w:sz w:val="24"/>
          <w:highlight w:val="white"/>
        </w:rPr>
      </w:pPr>
      <w:r>
        <w:rPr>
          <w:rFonts w:hint="eastAsia" w:eastAsia="仿宋_GB2312"/>
          <w:b/>
          <w:sz w:val="24"/>
          <w:highlight w:val="white"/>
        </w:rPr>
        <w:t>（一）评标办法：</w:t>
      </w:r>
      <w:r>
        <w:rPr>
          <w:rFonts w:hint="eastAsia"/>
          <w:sz w:val="24"/>
          <w:highlight w:val="white"/>
        </w:rPr>
        <w:t>本项目采用综合评分办法，评标委员会严格按照招标文件规定的评分标准和要求，对各投标文件进行综合评审，按评审后得分由高到低顺序对投标人进行排序。得分相同的，按投标报价由低到高顺序排序。得分且投标报价相同的并列。</w:t>
      </w:r>
    </w:p>
    <w:p w14:paraId="46286650">
      <w:pPr>
        <w:spacing w:line="500" w:lineRule="exact"/>
        <w:rPr>
          <w:rFonts w:hint="eastAsia"/>
          <w:sz w:val="24"/>
          <w:highlight w:val="white"/>
        </w:rPr>
      </w:pPr>
      <w:r>
        <w:rPr>
          <w:rFonts w:hint="eastAsia"/>
          <w:sz w:val="24"/>
          <w:highlight w:val="white"/>
        </w:rPr>
        <w:t>评标委员会根据评审后投标人排序推荐中标候选人。投标文件满足招标文件全部实质性要求，且评审后排序第一的投标人为第一中标候选人，依次类推。</w:t>
      </w:r>
    </w:p>
    <w:p w14:paraId="6E0353D3">
      <w:pPr>
        <w:spacing w:line="500" w:lineRule="exact"/>
        <w:ind w:firstLine="480"/>
        <w:rPr>
          <w:rFonts w:hint="eastAsia"/>
          <w:sz w:val="24"/>
          <w:highlight w:val="white"/>
        </w:rPr>
      </w:pPr>
      <w:r>
        <w:rPr>
          <w:rFonts w:hint="eastAsia"/>
          <w:sz w:val="24"/>
          <w:highlight w:val="white"/>
        </w:rPr>
        <w:t xml:space="preserve">综合评分保留至小数点后两位。 </w:t>
      </w:r>
    </w:p>
    <w:p w14:paraId="019A2B13">
      <w:pPr>
        <w:spacing w:line="500" w:lineRule="exact"/>
        <w:ind w:firstLine="241"/>
        <w:jc w:val="left"/>
        <w:rPr>
          <w:rFonts w:hint="eastAsia" w:eastAsia="仿宋_GB2312"/>
          <w:sz w:val="24"/>
        </w:rPr>
      </w:pPr>
      <w:r>
        <w:rPr>
          <w:rFonts w:hint="eastAsia" w:eastAsia="仿宋_GB2312"/>
          <w:b/>
          <w:sz w:val="24"/>
          <w:highlight w:val="white"/>
        </w:rPr>
        <w:t>（二）详细评审。</w:t>
      </w:r>
      <w:r>
        <w:rPr>
          <w:rFonts w:hint="eastAsia"/>
          <w:sz w:val="24"/>
          <w:highlight w:val="white"/>
        </w:rPr>
        <w:t>评标委员会按照招标文件规定的评分标准，对各投标文件进行详细评审打分。评标委员会组长对各评审专家的打分情况进行复核无误后汇总，形成评审报告。</w:t>
      </w:r>
    </w:p>
    <w:p w14:paraId="54D84379">
      <w:pPr>
        <w:rPr>
          <w:rFonts w:hint="eastAsia"/>
          <w:sz w:val="20"/>
          <w:highlight w:val="white"/>
        </w:rPr>
      </w:pPr>
      <w:bookmarkStart w:id="479" w:name="EBe0cfd1035ea44f689f97db50fccddc8b"/>
      <w:bookmarkEnd w:id="479"/>
    </w:p>
    <w:p w14:paraId="37790840">
      <w:pPr>
        <w:spacing w:line="600" w:lineRule="exact"/>
        <w:jc w:val="center"/>
        <w:rPr>
          <w:rFonts w:hint="eastAsia" w:ascii="方正黑体_GBK" w:eastAsia="方正黑体_GBK"/>
          <w:sz w:val="32"/>
          <w:szCs w:val="32"/>
        </w:rPr>
      </w:pPr>
      <w:r>
        <w:rPr>
          <w:rFonts w:ascii="方正黑体_GBK" w:eastAsia="方正黑体_GBK"/>
          <w:sz w:val="32"/>
          <w:szCs w:val="32"/>
        </w:rPr>
        <w:br w:type="page" w:clear="all"/>
      </w:r>
      <w:r>
        <w:rPr>
          <w:rFonts w:hint="eastAsia" w:ascii="方正黑体_GBK" w:eastAsia="方正黑体_GBK"/>
          <w:sz w:val="32"/>
          <w:szCs w:val="32"/>
        </w:rPr>
        <w:t>评分标准</w:t>
      </w:r>
    </w:p>
    <w:tbl>
      <w:tblPr>
        <w:tblStyle w:val="33"/>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683"/>
        <w:gridCol w:w="1415"/>
        <w:gridCol w:w="7113"/>
      </w:tblGrid>
      <w:tr w14:paraId="1345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vAlign w:val="center"/>
          </w:tcPr>
          <w:p w14:paraId="58C0D2B8">
            <w:pPr>
              <w:keepNext w:val="0"/>
              <w:keepLines w:val="0"/>
              <w:pageBreakBefore w:val="0"/>
              <w:spacing w:line="320" w:lineRule="exact"/>
              <w:ind w:left="0" w:right="0" w:firstLine="0"/>
              <w:jc w:val="center"/>
              <w:rPr>
                <w:rFonts w:ascii="宋体" w:hAnsi="宋体"/>
              </w:rPr>
            </w:pPr>
            <w:r>
              <w:rPr>
                <w:rFonts w:hint="eastAsia" w:ascii="宋体" w:hAnsi="宋体"/>
              </w:rPr>
              <w:t>序号</w:t>
            </w:r>
          </w:p>
        </w:tc>
        <w:tc>
          <w:tcPr>
            <w:tcW w:w="683" w:type="dxa"/>
            <w:vAlign w:val="center"/>
          </w:tcPr>
          <w:p w14:paraId="4D20F172">
            <w:pPr>
              <w:keepNext w:val="0"/>
              <w:keepLines w:val="0"/>
              <w:pageBreakBefore w:val="0"/>
              <w:spacing w:line="320" w:lineRule="exact"/>
              <w:ind w:left="0" w:right="0" w:firstLine="0"/>
              <w:jc w:val="center"/>
              <w:rPr>
                <w:rFonts w:ascii="宋体" w:hAnsi="宋体"/>
              </w:rPr>
            </w:pPr>
            <w:r>
              <w:rPr>
                <w:rFonts w:hint="eastAsia" w:ascii="宋体" w:hAnsi="宋体"/>
              </w:rPr>
              <w:t>评审项</w:t>
            </w:r>
          </w:p>
        </w:tc>
        <w:tc>
          <w:tcPr>
            <w:tcW w:w="1415" w:type="dxa"/>
            <w:vAlign w:val="center"/>
          </w:tcPr>
          <w:p w14:paraId="2E0E783E">
            <w:pPr>
              <w:keepNext w:val="0"/>
              <w:keepLines w:val="0"/>
              <w:pageBreakBefore w:val="0"/>
              <w:spacing w:line="320" w:lineRule="exact"/>
              <w:ind w:left="0" w:right="0" w:firstLine="0"/>
              <w:jc w:val="center"/>
              <w:rPr>
                <w:rFonts w:hint="eastAsia" w:ascii="宋体" w:hAnsi="宋体"/>
              </w:rPr>
            </w:pPr>
            <w:r>
              <w:rPr>
                <w:rFonts w:hint="eastAsia" w:ascii="宋体" w:hAnsi="宋体"/>
              </w:rPr>
              <w:t>评分因素</w:t>
            </w:r>
          </w:p>
          <w:p w14:paraId="41FE6F90">
            <w:pPr>
              <w:keepNext w:val="0"/>
              <w:keepLines w:val="0"/>
              <w:pageBreakBefore w:val="0"/>
              <w:spacing w:line="320" w:lineRule="exact"/>
              <w:ind w:left="0" w:right="0" w:firstLine="0"/>
              <w:jc w:val="center"/>
              <w:rPr>
                <w:rFonts w:ascii="宋体" w:hAnsi="宋体"/>
              </w:rPr>
            </w:pPr>
            <w:r>
              <w:rPr>
                <w:rFonts w:hint="eastAsia" w:ascii="宋体" w:hAnsi="宋体"/>
              </w:rPr>
              <w:t>（偏差率）</w:t>
            </w:r>
          </w:p>
        </w:tc>
        <w:tc>
          <w:tcPr>
            <w:tcW w:w="7115" w:type="dxa"/>
            <w:vAlign w:val="center"/>
          </w:tcPr>
          <w:p w14:paraId="0936C943">
            <w:pPr>
              <w:keepNext w:val="0"/>
              <w:keepLines w:val="0"/>
              <w:pageBreakBefore w:val="0"/>
              <w:spacing w:line="320" w:lineRule="exact"/>
              <w:ind w:left="0" w:right="0" w:firstLine="0"/>
              <w:jc w:val="center"/>
              <w:rPr>
                <w:rFonts w:ascii="宋体" w:hAnsi="宋体"/>
              </w:rPr>
            </w:pPr>
            <w:r>
              <w:rPr>
                <w:rFonts w:hint="eastAsia" w:ascii="宋体" w:hAnsi="宋体"/>
              </w:rPr>
              <w:t>评分标准</w:t>
            </w:r>
          </w:p>
        </w:tc>
      </w:tr>
      <w:tr w14:paraId="2A2EC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7" w:hRule="atLeast"/>
          <w:jc w:val="center"/>
        </w:trPr>
        <w:tc>
          <w:tcPr>
            <w:tcW w:w="459" w:type="dxa"/>
            <w:vMerge w:val="restart"/>
            <w:vAlign w:val="center"/>
          </w:tcPr>
          <w:p w14:paraId="19948E4B">
            <w:pPr>
              <w:keepNext w:val="0"/>
              <w:keepLines w:val="0"/>
              <w:pageBreakBefore w:val="0"/>
              <w:spacing w:line="320" w:lineRule="exact"/>
              <w:ind w:left="0" w:right="0" w:firstLine="0"/>
              <w:jc w:val="center"/>
              <w:rPr>
                <w:rFonts w:hint="eastAsia" w:ascii="宋体" w:hAnsi="宋体"/>
              </w:rPr>
            </w:pPr>
            <w:r>
              <w:rPr>
                <w:rFonts w:hint="eastAsia" w:ascii="宋体" w:hAnsi="宋体"/>
              </w:rPr>
              <w:t>1</w:t>
            </w:r>
          </w:p>
        </w:tc>
        <w:tc>
          <w:tcPr>
            <w:tcW w:w="683" w:type="dxa"/>
            <w:vMerge w:val="restart"/>
            <w:vAlign w:val="center"/>
          </w:tcPr>
          <w:p w14:paraId="233CBEBC">
            <w:pPr>
              <w:keepNext w:val="0"/>
              <w:keepLines w:val="0"/>
              <w:pageBreakBefore w:val="0"/>
              <w:spacing w:line="320" w:lineRule="exact"/>
              <w:ind w:left="0" w:right="0" w:firstLine="0"/>
              <w:jc w:val="left"/>
              <w:rPr>
                <w:rFonts w:ascii="宋体" w:hAnsi="宋体"/>
              </w:rPr>
            </w:pPr>
            <w:r>
              <w:rPr>
                <w:rFonts w:hint="eastAsia" w:ascii="宋体" w:hAnsi="宋体"/>
              </w:rPr>
              <w:t>方案设计文件（4</w:t>
            </w:r>
            <w:r>
              <w:rPr>
                <w:rFonts w:hint="eastAsia" w:ascii="宋体" w:hAnsi="宋体"/>
                <w:lang w:val="en-US" w:eastAsia="zh-CN"/>
              </w:rPr>
              <w:t>8</w:t>
            </w:r>
            <w:r>
              <w:rPr>
                <w:rFonts w:hint="eastAsia" w:ascii="宋体" w:hAnsi="宋体"/>
              </w:rPr>
              <w:t>分）</w:t>
            </w:r>
          </w:p>
        </w:tc>
        <w:tc>
          <w:tcPr>
            <w:tcW w:w="1415" w:type="dxa"/>
            <w:vAlign w:val="center"/>
          </w:tcPr>
          <w:p w14:paraId="47F0E468">
            <w:pPr>
              <w:keepNext w:val="0"/>
              <w:keepLines w:val="0"/>
              <w:pageBreakBefore w:val="0"/>
              <w:spacing w:line="320" w:lineRule="exact"/>
              <w:ind w:left="0" w:right="0" w:firstLine="0"/>
              <w:jc w:val="left"/>
              <w:rPr>
                <w:rFonts w:ascii="宋体" w:hAnsi="宋体"/>
              </w:rPr>
            </w:pP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 xml:space="preserve"> 方案设计概述及说明</w:t>
            </w:r>
            <w:r>
              <w:rPr>
                <w:rFonts w:ascii="宋体" w:hAnsi="宋体"/>
                <w:color w:val="000000" w:themeColor="text1"/>
                <w14:textFill>
                  <w14:solidFill>
                    <w14:schemeClr w14:val="tx1"/>
                  </w14:solidFill>
                </w14:textFill>
              </w:rPr>
              <w:t>（工艺成熟、先进、流程合理</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技术先进、可靠、性价比高）</w:t>
            </w:r>
            <w:r>
              <w:rPr>
                <w:rFonts w:hint="eastAsia" w:ascii="宋体" w:hAnsi="宋体" w:eastAsia="宋体" w:cs="Times New Roman"/>
                <w:color w:val="000000" w:themeColor="text1"/>
                <w14:textFill>
                  <w14:solidFill>
                    <w14:schemeClr w14:val="tx1"/>
                  </w14:solidFill>
                </w14:textFill>
              </w:rPr>
              <w:t>（2</w:t>
            </w:r>
            <w:r>
              <w:rPr>
                <w:rFonts w:hint="eastAsia" w:ascii="宋体" w:hAnsi="宋体" w:cs="Times New Roman"/>
                <w:color w:val="000000" w:themeColor="text1"/>
                <w:lang w:val="en-US" w:eastAsia="zh-CN"/>
                <w14:textFill>
                  <w14:solidFill>
                    <w14:schemeClr w14:val="tx1"/>
                  </w14:solidFill>
                </w14:textFill>
              </w:rPr>
              <w:t>8</w:t>
            </w:r>
            <w:r>
              <w:rPr>
                <w:rFonts w:hint="eastAsia" w:ascii="宋体" w:hAnsi="宋体"/>
                <w:color w:val="000000" w:themeColor="text1"/>
                <w14:textFill>
                  <w14:solidFill>
                    <w14:schemeClr w14:val="tx1"/>
                  </w14:solidFill>
                </w14:textFill>
              </w:rPr>
              <w:t>分）</w:t>
            </w:r>
          </w:p>
        </w:tc>
        <w:tc>
          <w:tcPr>
            <w:tcW w:w="7115" w:type="dxa"/>
            <w:vAlign w:val="center"/>
          </w:tcPr>
          <w:p w14:paraId="6BDD8CDC">
            <w:pPr>
              <w:keepNext w:val="0"/>
              <w:keepLines w:val="0"/>
              <w:pageBreakBefore w:val="0"/>
              <w:spacing w:line="320" w:lineRule="exact"/>
              <w:ind w:left="0" w:right="0" w:firstLine="0"/>
              <w:jc w:val="left"/>
              <w:rPr>
                <w:rStyle w:val="588"/>
                <w:b w:val="0"/>
                <w:bCs w:val="0"/>
                <w:color w:val="000000" w:themeColor="text1"/>
                <w:szCs w:val="21"/>
                <w14:textFill>
                  <w14:solidFill>
                    <w14:schemeClr w14:val="tx1"/>
                  </w14:solidFill>
                </w14:textFill>
              </w:rPr>
            </w:pPr>
            <w:r>
              <w:rPr>
                <w:rStyle w:val="588"/>
                <w:szCs w:val="21"/>
              </w:rPr>
              <w:t>1.</w:t>
            </w:r>
            <w:r>
              <w:rPr>
                <w:rFonts w:hint="eastAsia" w:ascii="宋体" w:hAnsi="宋体"/>
              </w:rPr>
              <w:t>投标人自行勘察现状污水厂实际情况，</w:t>
            </w:r>
            <w:r>
              <w:rPr>
                <w:rStyle w:val="588"/>
                <w:szCs w:val="21"/>
              </w:rPr>
              <w:t>对现有污水厂运行现状进行分析，对扩建的必要性进行理解，红线内场地可行性进行描述。要求数据详实、结论准确。数据详实性、结论准确性</w:t>
            </w:r>
            <w:r>
              <w:t>优于采购需求的得</w:t>
            </w:r>
            <w:r>
              <w:rPr>
                <w:rFonts w:hint="eastAsia"/>
                <w:lang w:val="en-US" w:eastAsia="zh-CN"/>
              </w:rPr>
              <w:t>4</w:t>
            </w:r>
            <w:r>
              <w:t>分；</w:t>
            </w:r>
            <w:r>
              <w:rPr>
                <w:rStyle w:val="588"/>
                <w:szCs w:val="21"/>
              </w:rPr>
              <w:t>数据详实性、结论准确性</w:t>
            </w:r>
            <w:r>
              <w:t>基本</w:t>
            </w:r>
            <w:r>
              <w:rPr>
                <w:b w:val="0"/>
                <w:bCs w:val="0"/>
              </w:rPr>
              <w:t>满足采购需求的得</w:t>
            </w:r>
            <w:r>
              <w:rPr>
                <w:rFonts w:hint="eastAsia"/>
                <w:b w:val="0"/>
                <w:bCs w:val="0"/>
                <w:lang w:val="en-US" w:eastAsia="zh-CN"/>
              </w:rPr>
              <w:t>2</w:t>
            </w:r>
            <w:r>
              <w:rPr>
                <w:b w:val="0"/>
                <w:bCs w:val="0"/>
              </w:rPr>
              <w:t>分；</w:t>
            </w:r>
            <w:r>
              <w:rPr>
                <w:rStyle w:val="588"/>
                <w:b w:val="0"/>
                <w:bCs w:val="0"/>
                <w:szCs w:val="21"/>
              </w:rPr>
              <w:t>数据详实性、结论准确性</w:t>
            </w:r>
            <w:r>
              <w:rPr>
                <w:b w:val="0"/>
                <w:bCs w:val="0"/>
              </w:rPr>
              <w:t>低于采购需求的</w:t>
            </w:r>
            <w:r>
              <w:rPr>
                <w:rFonts w:hint="eastAsia"/>
                <w:b w:val="0"/>
                <w:bCs w:val="0"/>
              </w:rPr>
              <w:t>或者</w:t>
            </w:r>
            <w:r>
              <w:rPr>
                <w:b w:val="0"/>
                <w:bCs w:val="0"/>
              </w:rPr>
              <w:t>未提供不得分。</w:t>
            </w:r>
            <w:r>
              <w:rPr>
                <w:rStyle w:val="588"/>
                <w:b w:val="0"/>
                <w:bCs w:val="0"/>
                <w:color w:val="000000" w:themeColor="text1"/>
                <w:szCs w:val="21"/>
                <w14:textFill>
                  <w14:solidFill>
                    <w14:schemeClr w14:val="tx1"/>
                  </w14:solidFill>
                </w14:textFill>
              </w:rPr>
              <w:t>（本项最高</w:t>
            </w:r>
            <w:r>
              <w:rPr>
                <w:rStyle w:val="588"/>
                <w:rFonts w:hint="eastAsia"/>
                <w:b w:val="0"/>
                <w:bCs w:val="0"/>
                <w:color w:val="000000" w:themeColor="text1"/>
                <w:szCs w:val="21"/>
                <w:lang w:val="en-US" w:eastAsia="zh-CN"/>
                <w14:textFill>
                  <w14:solidFill>
                    <w14:schemeClr w14:val="tx1"/>
                  </w14:solidFill>
                </w14:textFill>
              </w:rPr>
              <w:t>4</w:t>
            </w:r>
            <w:r>
              <w:rPr>
                <w:rStyle w:val="588"/>
                <w:b w:val="0"/>
                <w:bCs w:val="0"/>
                <w:color w:val="000000" w:themeColor="text1"/>
                <w:szCs w:val="21"/>
                <w14:textFill>
                  <w14:solidFill>
                    <w14:schemeClr w14:val="tx1"/>
                  </w14:solidFill>
                </w14:textFill>
              </w:rPr>
              <w:t>分）</w:t>
            </w:r>
          </w:p>
          <w:p w14:paraId="7FD23F92">
            <w:pPr>
              <w:keepNext w:val="0"/>
              <w:keepLines w:val="0"/>
              <w:pageBreakBefore w:val="0"/>
              <w:spacing w:line="320" w:lineRule="exact"/>
              <w:ind w:left="0" w:right="0" w:firstLine="0"/>
              <w:jc w:val="left"/>
              <w:rPr>
                <w:rStyle w:val="588"/>
                <w:rFonts w:cs="Times New Roman"/>
                <w:b w:val="0"/>
                <w:bCs w:val="0"/>
                <w:i w:val="0"/>
                <w:iCs w:val="0"/>
                <w:color w:val="000000" w:themeColor="text1"/>
                <w:szCs w:val="21"/>
                <w14:textFill>
                  <w14:solidFill>
                    <w14:schemeClr w14:val="tx1"/>
                  </w14:solidFill>
                </w14:textFill>
              </w:rPr>
            </w:pPr>
            <w:r>
              <w:rPr>
                <w:rFonts w:hint="eastAsia" w:ascii="宋体" w:hAnsi="宋体"/>
                <w:b w:val="0"/>
                <w:bCs w:val="0"/>
                <w:color w:val="000000" w:themeColor="text1"/>
                <w14:textFill>
                  <w14:solidFill>
                    <w14:schemeClr w14:val="tx1"/>
                  </w14:solidFill>
                </w14:textFill>
              </w:rPr>
              <w:t xml:space="preserve">2. </w:t>
            </w:r>
            <w:r>
              <w:rPr>
                <w:rStyle w:val="588"/>
                <w:b w:val="0"/>
                <w:bCs w:val="0"/>
                <w:color w:val="000000" w:themeColor="text1"/>
                <w:sz w:val="21"/>
                <w:szCs w:val="21"/>
                <w14:textFill>
                  <w14:solidFill>
                    <w14:schemeClr w14:val="tx1"/>
                  </w14:solidFill>
                </w14:textFill>
              </w:rPr>
              <w:t>投</w:t>
            </w:r>
            <w:r>
              <w:rPr>
                <w:rStyle w:val="588"/>
                <w:rFonts w:cs="Times New Roman"/>
                <w:b w:val="0"/>
                <w:bCs w:val="0"/>
                <w:i w:val="0"/>
                <w:iCs w:val="0"/>
                <w:color w:val="000000" w:themeColor="text1"/>
                <w:szCs w:val="21"/>
                <w14:textFill>
                  <w14:solidFill>
                    <w14:schemeClr w14:val="tx1"/>
                  </w14:solidFill>
                </w14:textFill>
              </w:rPr>
              <w:t>标人对本扩建工程方案设计施工合理性进行阐述，主要针对扩建工程与现状污水处理厂的衔接，扩建工程施工中设备的运输、吊装、安装及与周围环境的衔接情况等。</w:t>
            </w:r>
            <w:r>
              <w:rPr>
                <w:rStyle w:val="588"/>
                <w:rFonts w:hint="eastAsia" w:cs="Times New Roman"/>
                <w:b w:val="0"/>
                <w:bCs w:val="0"/>
                <w:i w:val="0"/>
                <w:iCs w:val="0"/>
                <w:color w:val="000000" w:themeColor="text1"/>
                <w:szCs w:val="21"/>
                <w14:textFill>
                  <w14:solidFill>
                    <w14:schemeClr w14:val="tx1"/>
                  </w14:solidFill>
                </w14:textFill>
              </w:rPr>
              <w:t>优于采购需求的得</w:t>
            </w:r>
            <w:r>
              <w:rPr>
                <w:rStyle w:val="588"/>
                <w:rFonts w:hint="eastAsia" w:cs="Times New Roman"/>
                <w:b w:val="0"/>
                <w:bCs w:val="0"/>
                <w:i w:val="0"/>
                <w:iCs w:val="0"/>
                <w:color w:val="000000" w:themeColor="text1"/>
                <w:szCs w:val="21"/>
                <w:lang w:val="en-US" w:eastAsia="zh-CN"/>
                <w14:textFill>
                  <w14:solidFill>
                    <w14:schemeClr w14:val="tx1"/>
                  </w14:solidFill>
                </w14:textFill>
              </w:rPr>
              <w:t>4</w:t>
            </w:r>
            <w:r>
              <w:rPr>
                <w:rStyle w:val="588"/>
                <w:rFonts w:hint="eastAsia" w:cs="Times New Roman"/>
                <w:b w:val="0"/>
                <w:bCs w:val="0"/>
                <w:i w:val="0"/>
                <w:iCs w:val="0"/>
                <w:color w:val="000000" w:themeColor="text1"/>
                <w:szCs w:val="21"/>
                <w14:textFill>
                  <w14:solidFill>
                    <w14:schemeClr w14:val="tx1"/>
                  </w14:solidFill>
                </w14:textFill>
              </w:rPr>
              <w:t>分，基本满足采购需求的得2分，低于采购需求</w:t>
            </w:r>
            <w:r>
              <w:rPr>
                <w:rStyle w:val="588"/>
                <w:rFonts w:hint="eastAsia" w:cs="Times New Roman"/>
                <w:b w:val="0"/>
                <w:bCs w:val="0"/>
                <w:i w:val="0"/>
                <w:iCs w:val="0"/>
                <w:color w:val="000000" w:themeColor="text1"/>
                <w:szCs w:val="21"/>
                <w:lang w:eastAsia="zh-CN"/>
                <w14:textFill>
                  <w14:solidFill>
                    <w14:schemeClr w14:val="tx1"/>
                  </w14:solidFill>
                </w14:textFill>
              </w:rPr>
              <w:t>或</w:t>
            </w:r>
            <w:r>
              <w:rPr>
                <w:rStyle w:val="588"/>
                <w:rFonts w:hint="eastAsia" w:cs="Times New Roman"/>
                <w:b w:val="0"/>
                <w:bCs w:val="0"/>
                <w:i w:val="0"/>
                <w:iCs w:val="0"/>
                <w:color w:val="000000" w:themeColor="text1"/>
                <w:szCs w:val="21"/>
                <w14:textFill>
                  <w14:solidFill>
                    <w14:schemeClr w14:val="tx1"/>
                  </w14:solidFill>
                </w14:textFill>
              </w:rPr>
              <w:t>未提供不得分。（本项最高</w:t>
            </w:r>
            <w:r>
              <w:rPr>
                <w:rStyle w:val="588"/>
                <w:rFonts w:hint="eastAsia" w:cs="Times New Roman"/>
                <w:b w:val="0"/>
                <w:bCs w:val="0"/>
                <w:i w:val="0"/>
                <w:iCs w:val="0"/>
                <w:color w:val="000000" w:themeColor="text1"/>
                <w:szCs w:val="21"/>
                <w:lang w:val="en-US" w:eastAsia="zh-CN"/>
                <w14:textFill>
                  <w14:solidFill>
                    <w14:schemeClr w14:val="tx1"/>
                  </w14:solidFill>
                </w14:textFill>
              </w:rPr>
              <w:t>4</w:t>
            </w:r>
            <w:r>
              <w:rPr>
                <w:rStyle w:val="588"/>
                <w:rFonts w:hint="eastAsia" w:cs="Times New Roman"/>
                <w:b w:val="0"/>
                <w:bCs w:val="0"/>
                <w:i w:val="0"/>
                <w:iCs w:val="0"/>
                <w:color w:val="000000" w:themeColor="text1"/>
                <w:szCs w:val="21"/>
                <w14:textFill>
                  <w14:solidFill>
                    <w14:schemeClr w14:val="tx1"/>
                  </w14:solidFill>
                </w14:textFill>
              </w:rPr>
              <w:t>分）</w:t>
            </w:r>
          </w:p>
          <w:p w14:paraId="40FD34AB">
            <w:pPr>
              <w:keepNext w:val="0"/>
              <w:keepLines w:val="0"/>
              <w:pageBreakBefore w:val="0"/>
              <w:spacing w:line="320" w:lineRule="exact"/>
              <w:ind w:left="0" w:right="0" w:firstLine="0"/>
              <w:jc w:val="left"/>
              <w:rPr>
                <w:rStyle w:val="588"/>
                <w:rFonts w:cs="Times New Roman"/>
                <w:b w:val="0"/>
                <w:bCs w:val="0"/>
                <w:i w:val="0"/>
                <w:iCs w:val="0"/>
                <w:color w:val="000000" w:themeColor="text1"/>
                <w:szCs w:val="21"/>
                <w14:textFill>
                  <w14:solidFill>
                    <w14:schemeClr w14:val="tx1"/>
                  </w14:solidFill>
                </w14:textFill>
              </w:rPr>
            </w:pPr>
            <w:r>
              <w:rPr>
                <w:rStyle w:val="588"/>
                <w:rFonts w:hint="eastAsia" w:cs="Times New Roman"/>
                <w:b w:val="0"/>
                <w:bCs w:val="0"/>
                <w:i w:val="0"/>
                <w:iCs w:val="0"/>
                <w:color w:val="000000" w:themeColor="text1"/>
                <w:szCs w:val="21"/>
                <w14:textFill>
                  <w14:solidFill>
                    <w14:schemeClr w14:val="tx1"/>
                  </w14:solidFill>
                </w14:textFill>
              </w:rPr>
              <w:t>3.投标人需对投标设计方案运行维护的合理性进行说明，主要从运行管理便利性、设备运行检修方便性、运行经济节约性及安全环保等方面进行说明。要求运行管理便利、设备运行检修方便、运行成本较低及安全环保。优于采购需求的得</w:t>
            </w:r>
            <w:r>
              <w:rPr>
                <w:rStyle w:val="588"/>
                <w:rFonts w:hint="eastAsia" w:cs="Times New Roman"/>
                <w:b w:val="0"/>
                <w:bCs w:val="0"/>
                <w:i w:val="0"/>
                <w:iCs w:val="0"/>
                <w:color w:val="000000" w:themeColor="text1"/>
                <w:szCs w:val="21"/>
                <w:lang w:val="en-US" w:eastAsia="zh-CN"/>
                <w14:textFill>
                  <w14:solidFill>
                    <w14:schemeClr w14:val="tx1"/>
                  </w14:solidFill>
                </w14:textFill>
              </w:rPr>
              <w:t>5</w:t>
            </w:r>
            <w:r>
              <w:rPr>
                <w:rStyle w:val="588"/>
                <w:rFonts w:hint="eastAsia" w:cs="Times New Roman"/>
                <w:b w:val="0"/>
                <w:bCs w:val="0"/>
                <w:i w:val="0"/>
                <w:iCs w:val="0"/>
                <w:color w:val="000000" w:themeColor="text1"/>
                <w:szCs w:val="21"/>
                <w14:textFill>
                  <w14:solidFill>
                    <w14:schemeClr w14:val="tx1"/>
                  </w14:solidFill>
                </w14:textFill>
              </w:rPr>
              <w:t>分，基本满足采购需求的得2分，低于采购需求</w:t>
            </w:r>
            <w:r>
              <w:rPr>
                <w:rStyle w:val="588"/>
                <w:rFonts w:hint="eastAsia" w:cs="Times New Roman"/>
                <w:b w:val="0"/>
                <w:bCs w:val="0"/>
                <w:i w:val="0"/>
                <w:iCs w:val="0"/>
                <w:color w:val="000000" w:themeColor="text1"/>
                <w:szCs w:val="21"/>
                <w:lang w:eastAsia="zh-CN"/>
                <w14:textFill>
                  <w14:solidFill>
                    <w14:schemeClr w14:val="tx1"/>
                  </w14:solidFill>
                </w14:textFill>
              </w:rPr>
              <w:t>或</w:t>
            </w:r>
            <w:r>
              <w:rPr>
                <w:rStyle w:val="588"/>
                <w:rFonts w:hint="eastAsia" w:cs="Times New Roman"/>
                <w:b w:val="0"/>
                <w:bCs w:val="0"/>
                <w:i w:val="0"/>
                <w:iCs w:val="0"/>
                <w:color w:val="000000" w:themeColor="text1"/>
                <w:szCs w:val="21"/>
                <w14:textFill>
                  <w14:solidFill>
                    <w14:schemeClr w14:val="tx1"/>
                  </w14:solidFill>
                </w14:textFill>
              </w:rPr>
              <w:t>未提供不得分。（本项最高</w:t>
            </w:r>
            <w:r>
              <w:rPr>
                <w:rStyle w:val="588"/>
                <w:rFonts w:hint="eastAsia" w:cs="Times New Roman"/>
                <w:b w:val="0"/>
                <w:bCs w:val="0"/>
                <w:i w:val="0"/>
                <w:iCs w:val="0"/>
                <w:color w:val="000000" w:themeColor="text1"/>
                <w:szCs w:val="21"/>
                <w:lang w:val="en-US" w:eastAsia="zh-CN"/>
                <w14:textFill>
                  <w14:solidFill>
                    <w14:schemeClr w14:val="tx1"/>
                  </w14:solidFill>
                </w14:textFill>
              </w:rPr>
              <w:t>5</w:t>
            </w:r>
            <w:r>
              <w:rPr>
                <w:rStyle w:val="588"/>
                <w:rFonts w:hint="eastAsia" w:cs="Times New Roman"/>
                <w:b w:val="0"/>
                <w:bCs w:val="0"/>
                <w:i w:val="0"/>
                <w:iCs w:val="0"/>
                <w:color w:val="000000" w:themeColor="text1"/>
                <w:szCs w:val="21"/>
                <w14:textFill>
                  <w14:solidFill>
                    <w14:schemeClr w14:val="tx1"/>
                  </w14:solidFill>
                </w14:textFill>
              </w:rPr>
              <w:t>分）</w:t>
            </w:r>
          </w:p>
          <w:p w14:paraId="046A5B93">
            <w:pPr>
              <w:keepNext w:val="0"/>
              <w:keepLines w:val="0"/>
              <w:pageBreakBefore w:val="0"/>
              <w:spacing w:line="320" w:lineRule="exact"/>
              <w:ind w:left="0" w:right="0" w:firstLine="0"/>
              <w:jc w:val="left"/>
              <w:rPr>
                <w:rStyle w:val="588"/>
                <w:rFonts w:cs="Times New Roman"/>
                <w:b w:val="0"/>
                <w:bCs w:val="0"/>
                <w:i w:val="0"/>
                <w:iCs w:val="0"/>
                <w:szCs w:val="21"/>
              </w:rPr>
            </w:pPr>
            <w:r>
              <w:rPr>
                <w:rStyle w:val="588"/>
                <w:rFonts w:hint="eastAsia" w:cs="Times New Roman"/>
                <w:b w:val="0"/>
                <w:bCs w:val="0"/>
                <w:i w:val="0"/>
                <w:iCs w:val="0"/>
                <w:szCs w:val="21"/>
              </w:rPr>
              <w:t>4. 投标人对投标工艺总体设计进行阐述，主要说明设计工艺流程，工艺布置与配置及工艺处理程度等。要求方案设计与实际结合准确，</w:t>
            </w:r>
            <w:r>
              <w:rPr>
                <w:rStyle w:val="588"/>
                <w:rFonts w:cs="Times New Roman"/>
                <w:b w:val="0"/>
                <w:bCs w:val="0"/>
                <w:i w:val="0"/>
                <w:iCs w:val="0"/>
                <w:szCs w:val="21"/>
              </w:rPr>
              <w:t>描述清晰明了。</w:t>
            </w:r>
            <w:r>
              <w:rPr>
                <w:rStyle w:val="588"/>
                <w:rFonts w:hint="eastAsia" w:cs="Times New Roman"/>
                <w:b w:val="0"/>
                <w:bCs w:val="0"/>
                <w:i w:val="0"/>
                <w:iCs w:val="0"/>
                <w:szCs w:val="21"/>
              </w:rPr>
              <w:t>优于采购需求的得5分，基本满足采购需求的得3分，低于采购需求的得1分，未提供不得分。（本项最高5分）</w:t>
            </w:r>
          </w:p>
          <w:p w14:paraId="13C6A78A">
            <w:pPr>
              <w:keepNext w:val="0"/>
              <w:keepLines w:val="0"/>
              <w:pageBreakBefore w:val="0"/>
              <w:spacing w:line="320" w:lineRule="exact"/>
              <w:ind w:left="0" w:right="0" w:firstLine="0"/>
              <w:jc w:val="left"/>
              <w:rPr>
                <w:rStyle w:val="588"/>
                <w:rFonts w:cs="Times New Roman"/>
                <w:b w:val="0"/>
                <w:bCs w:val="0"/>
                <w:i w:val="0"/>
                <w:iCs w:val="0"/>
                <w:szCs w:val="21"/>
              </w:rPr>
            </w:pPr>
            <w:r>
              <w:rPr>
                <w:rStyle w:val="588"/>
                <w:rFonts w:hint="eastAsia" w:cs="Times New Roman"/>
                <w:b w:val="0"/>
                <w:bCs w:val="0"/>
                <w:i w:val="0"/>
                <w:iCs w:val="0"/>
                <w:szCs w:val="21"/>
              </w:rPr>
              <w:t>5. 投标人需对投标工艺设计的生化池总水力停留时间进行说明，生化池停留时间考核，当生化池总停留时间大于14h时，得5分，低于14h时，得0分。</w:t>
            </w:r>
          </w:p>
          <w:p w14:paraId="2B3689E3">
            <w:pPr>
              <w:keepNext w:val="0"/>
              <w:keepLines w:val="0"/>
              <w:pageBreakBefore w:val="0"/>
              <w:spacing w:line="320" w:lineRule="exact"/>
              <w:ind w:left="0" w:right="0" w:firstLine="0"/>
              <w:jc w:val="left"/>
              <w:rPr>
                <w:rFonts w:hint="eastAsia" w:ascii="宋体" w:hAnsi="宋体"/>
                <w:color w:val="00B050"/>
              </w:rPr>
            </w:pPr>
            <w:r>
              <w:rPr>
                <w:rStyle w:val="588"/>
                <w:rFonts w:hint="eastAsia" w:cs="Times New Roman"/>
                <w:b w:val="0"/>
                <w:bCs w:val="0"/>
                <w:i w:val="0"/>
                <w:iCs w:val="0"/>
                <w:szCs w:val="21"/>
              </w:rPr>
              <w:t>6. 投标人需对投标工艺设计的二沉池表面负荷进行说明，二沉池表面负荷考核，当二沉池表面负荷低于1.1 m3/（m2·h）时，得5分，高于1.1 m3/（m2·h）时，得0分。</w:t>
            </w:r>
          </w:p>
        </w:tc>
      </w:tr>
      <w:tr w14:paraId="70D91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vMerge w:val="continue"/>
            <w:vAlign w:val="center"/>
          </w:tcPr>
          <w:p w14:paraId="22F0F7BD">
            <w:pPr>
              <w:keepNext w:val="0"/>
              <w:keepLines w:val="0"/>
              <w:pageBreakBefore w:val="0"/>
              <w:widowControl/>
              <w:spacing w:line="320" w:lineRule="exact"/>
              <w:ind w:left="0" w:right="0" w:firstLine="0"/>
              <w:jc w:val="center"/>
              <w:rPr>
                <w:rFonts w:ascii="宋体" w:hAnsi="宋体"/>
              </w:rPr>
            </w:pPr>
          </w:p>
        </w:tc>
        <w:tc>
          <w:tcPr>
            <w:tcW w:w="683" w:type="dxa"/>
            <w:vMerge w:val="continue"/>
            <w:vAlign w:val="center"/>
          </w:tcPr>
          <w:p w14:paraId="08CDACE1">
            <w:pPr>
              <w:keepNext w:val="0"/>
              <w:keepLines w:val="0"/>
              <w:pageBreakBefore w:val="0"/>
              <w:widowControl/>
              <w:spacing w:line="320" w:lineRule="exact"/>
              <w:ind w:left="0" w:right="0" w:firstLine="0"/>
              <w:jc w:val="left"/>
              <w:rPr>
                <w:rFonts w:ascii="宋体" w:hAnsi="宋体"/>
              </w:rPr>
            </w:pPr>
          </w:p>
        </w:tc>
        <w:tc>
          <w:tcPr>
            <w:tcW w:w="1415" w:type="dxa"/>
            <w:vAlign w:val="center"/>
          </w:tcPr>
          <w:p w14:paraId="768D18B4">
            <w:pPr>
              <w:keepNext w:val="0"/>
              <w:keepLines w:val="0"/>
              <w:pageBreakBefore w:val="0"/>
              <w:spacing w:line="320" w:lineRule="exact"/>
              <w:ind w:left="0" w:right="0" w:firstLine="0"/>
              <w:jc w:val="left"/>
              <w:rPr>
                <w:rFonts w:hint="eastAsia" w:ascii="宋体" w:hAnsi="宋体"/>
              </w:rPr>
            </w:pPr>
            <w:r>
              <w:rPr>
                <w:rFonts w:ascii="宋体" w:hAnsi="宋体"/>
              </w:rPr>
              <w:t>2. 方案</w:t>
            </w:r>
            <w:r>
              <w:rPr>
                <w:rFonts w:hint="eastAsia" w:ascii="宋体" w:hAnsi="宋体"/>
              </w:rPr>
              <w:t>设计图纸成果</w:t>
            </w:r>
            <w:r>
              <w:rPr>
                <w:rFonts w:hint="eastAsia" w:ascii="宋体" w:hAnsi="宋体" w:eastAsia="宋体" w:cs="Times New Roman"/>
              </w:rPr>
              <w:t>（20分）</w:t>
            </w:r>
          </w:p>
        </w:tc>
        <w:tc>
          <w:tcPr>
            <w:tcW w:w="7115" w:type="dxa"/>
            <w:vAlign w:val="top"/>
          </w:tcPr>
          <w:p w14:paraId="51458AE7">
            <w:pPr>
              <w:keepNext w:val="0"/>
              <w:keepLines w:val="0"/>
              <w:pageBreakBefore w:val="0"/>
              <w:spacing w:line="320" w:lineRule="exact"/>
              <w:ind w:left="0" w:right="0" w:firstLine="0"/>
              <w:jc w:val="left"/>
              <w:rPr>
                <w:rFonts w:hint="eastAsia" w:ascii="宋体" w:hAnsi="宋体"/>
              </w:rPr>
            </w:pPr>
            <w:r>
              <w:rPr>
                <w:rStyle w:val="587"/>
                <w:rFonts w:hint="eastAsia" w:ascii="宋体" w:hAnsi="宋体"/>
                <w:szCs w:val="21"/>
              </w:rPr>
              <w:t>提供本工程所需的全部图纸，包括总平面图、工艺设计图纸、电气设计图纸、结构图纸及</w:t>
            </w:r>
            <w:r>
              <w:rPr>
                <w:rStyle w:val="588"/>
                <w:szCs w:val="21"/>
              </w:rPr>
              <w:t>设备安装和基础大样图等所有图纸（即中标后可立即按照提供的图纸进行施工，投标时提供PDF版本图纸）。</w:t>
            </w:r>
            <w:r>
              <w:rPr>
                <w:rStyle w:val="587"/>
                <w:rFonts w:hint="eastAsia" w:ascii="宋体" w:hAnsi="宋体"/>
                <w:szCs w:val="21"/>
              </w:rPr>
              <w:t>相关等</w:t>
            </w:r>
            <w:r>
              <w:rPr>
                <w:rStyle w:val="587"/>
                <w:rFonts w:ascii="宋体" w:hAnsi="宋体"/>
                <w:szCs w:val="21"/>
              </w:rPr>
              <w:t>且设计合理，设计依据符合相关规范及标准要求。</w:t>
            </w:r>
            <w:r>
              <w:rPr>
                <w:rStyle w:val="588"/>
                <w:szCs w:val="21"/>
              </w:rPr>
              <w:t>设计深度需达到施工图标</w:t>
            </w:r>
            <w:r>
              <w:rPr>
                <w:rStyle w:val="587"/>
                <w:rFonts w:ascii="宋体" w:hAnsi="宋体" w:eastAsia="宋体"/>
                <w:b w:val="0"/>
                <w:bCs w:val="0"/>
                <w:i w:val="0"/>
                <w:iCs w:val="0"/>
                <w:szCs w:val="21"/>
              </w:rPr>
              <w:t>准，保证提供图纸的完整性。图纸提供全面，设计参数与设计图纸对应准确，厌氧池、缺氧池等池体尺寸以及内、外回流标注清楚，各样参数选取正确，图纸深度达到施工图标准。</w:t>
            </w:r>
            <w:r>
              <w:rPr>
                <w:rStyle w:val="587"/>
                <w:rFonts w:hint="eastAsia" w:ascii="宋体" w:hAnsi="宋体" w:eastAsia="宋体"/>
                <w:b w:val="0"/>
                <w:bCs w:val="0"/>
                <w:i w:val="0"/>
                <w:iCs w:val="0"/>
                <w:szCs w:val="21"/>
              </w:rPr>
              <w:t>优于采购需求的得20分，基本满足采购需求的得10分，低于采购需求的得2分，未提供不得分。（本项最高20分）</w:t>
            </w:r>
          </w:p>
        </w:tc>
      </w:tr>
      <w:tr w14:paraId="3AF14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459" w:type="dxa"/>
            <w:vAlign w:val="center"/>
          </w:tcPr>
          <w:p w14:paraId="60241788">
            <w:pPr>
              <w:keepNext w:val="0"/>
              <w:keepLines w:val="0"/>
              <w:pageBreakBefore w:val="0"/>
              <w:spacing w:line="320" w:lineRule="exact"/>
              <w:ind w:left="0" w:right="0" w:firstLine="0"/>
              <w:jc w:val="center"/>
              <w:rPr>
                <w:rFonts w:ascii="宋体" w:hAnsi="宋体"/>
              </w:rPr>
            </w:pPr>
            <w:r>
              <w:rPr>
                <w:rFonts w:ascii="宋体" w:hAnsi="宋体"/>
              </w:rPr>
              <w:t>2</w:t>
            </w:r>
          </w:p>
        </w:tc>
        <w:tc>
          <w:tcPr>
            <w:tcW w:w="683" w:type="dxa"/>
            <w:vAlign w:val="center"/>
          </w:tcPr>
          <w:p w14:paraId="137C976E">
            <w:pPr>
              <w:keepNext w:val="0"/>
              <w:keepLines w:val="0"/>
              <w:pageBreakBefore w:val="0"/>
              <w:spacing w:line="320" w:lineRule="exact"/>
              <w:ind w:left="0" w:right="0" w:firstLine="0"/>
              <w:jc w:val="center"/>
              <w:rPr>
                <w:rFonts w:ascii="宋体" w:hAnsi="宋体"/>
              </w:rPr>
            </w:pPr>
            <w:r>
              <w:rPr>
                <w:rFonts w:hint="eastAsia" w:ascii="宋体" w:hAnsi="宋体"/>
              </w:rPr>
              <w:t>报价分（15分）</w:t>
            </w:r>
          </w:p>
        </w:tc>
        <w:tc>
          <w:tcPr>
            <w:tcW w:w="1415" w:type="dxa"/>
            <w:vAlign w:val="center"/>
          </w:tcPr>
          <w:p w14:paraId="259690D8">
            <w:pPr>
              <w:keepNext w:val="0"/>
              <w:keepLines w:val="0"/>
              <w:pageBreakBefore w:val="0"/>
              <w:spacing w:line="320" w:lineRule="exact"/>
              <w:ind w:left="0" w:right="0" w:firstLine="0"/>
              <w:jc w:val="center"/>
              <w:rPr>
                <w:szCs w:val="22"/>
              </w:rPr>
            </w:pPr>
            <w:r>
              <w:rPr>
                <w:rFonts w:hint="eastAsia"/>
                <w:szCs w:val="22"/>
              </w:rPr>
              <w:t>15</w:t>
            </w:r>
            <w:r>
              <w:rPr>
                <w:szCs w:val="22"/>
              </w:rPr>
              <w:t>.00分</w:t>
            </w:r>
          </w:p>
        </w:tc>
        <w:tc>
          <w:tcPr>
            <w:tcW w:w="7115" w:type="dxa"/>
            <w:vAlign w:val="center"/>
          </w:tcPr>
          <w:p w14:paraId="3CA9D301">
            <w:pPr>
              <w:keepNext w:val="0"/>
              <w:keepLines w:val="0"/>
              <w:pageBreakBefore w:val="0"/>
              <w:spacing w:line="320" w:lineRule="exact"/>
              <w:ind w:left="0" w:right="0" w:firstLine="0"/>
              <w:jc w:val="left"/>
              <w:rPr>
                <w:szCs w:val="22"/>
              </w:rPr>
            </w:pPr>
            <w:r>
              <w:rPr>
                <w:rFonts w:hint="eastAsia"/>
                <w:szCs w:val="22"/>
              </w:rPr>
              <w:t>满足招标文件要求且投标价格最低的投标报价为评标基准价，其价格分为满分。其他投标人的价格分统一按照下列公式计算：投标报价得分</w:t>
            </w:r>
            <w:r>
              <w:rPr>
                <w:szCs w:val="22"/>
              </w:rPr>
              <w:t>=(</w:t>
            </w:r>
            <w:r>
              <w:rPr>
                <w:rFonts w:hint="eastAsia"/>
                <w:szCs w:val="22"/>
              </w:rPr>
              <w:t>评标基准价／投标报价</w:t>
            </w:r>
            <w:r>
              <w:rPr>
                <w:szCs w:val="22"/>
              </w:rPr>
              <w:t>)×1</w:t>
            </w:r>
            <w:r>
              <w:rPr>
                <w:rFonts w:hint="eastAsia"/>
                <w:szCs w:val="22"/>
              </w:rPr>
              <w:t>5（该结果四舍五入，保留两位小数）。</w:t>
            </w:r>
          </w:p>
        </w:tc>
      </w:tr>
      <w:tr w14:paraId="0A3B5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vMerge w:val="restart"/>
            <w:vAlign w:val="center"/>
          </w:tcPr>
          <w:p w14:paraId="3422AEB5">
            <w:pPr>
              <w:keepNext w:val="0"/>
              <w:keepLines w:val="0"/>
              <w:pageBreakBefore w:val="0"/>
              <w:spacing w:line="320" w:lineRule="exact"/>
              <w:ind w:left="0" w:right="0" w:firstLine="0"/>
              <w:jc w:val="center"/>
              <w:rPr>
                <w:rFonts w:hint="eastAsia" w:ascii="宋体" w:hAnsi="宋体"/>
              </w:rPr>
            </w:pPr>
            <w:r>
              <w:rPr>
                <w:rFonts w:hint="eastAsia" w:ascii="宋体" w:hAnsi="宋体"/>
              </w:rPr>
              <w:t>3</w:t>
            </w:r>
          </w:p>
        </w:tc>
        <w:tc>
          <w:tcPr>
            <w:tcW w:w="683" w:type="dxa"/>
            <w:vMerge w:val="restart"/>
            <w:vAlign w:val="center"/>
          </w:tcPr>
          <w:p w14:paraId="235FD6C7">
            <w:pPr>
              <w:keepNext w:val="0"/>
              <w:keepLines w:val="0"/>
              <w:pageBreakBefore w:val="0"/>
              <w:spacing w:line="320" w:lineRule="exact"/>
              <w:ind w:left="0" w:right="0" w:firstLine="0"/>
              <w:jc w:val="center"/>
              <w:rPr>
                <w:rFonts w:ascii="宋体" w:hAnsi="宋体"/>
              </w:rPr>
            </w:pPr>
            <w:r>
              <w:rPr>
                <w:rFonts w:hint="eastAsia" w:ascii="宋体" w:hAnsi="宋体"/>
              </w:rPr>
              <w:t>施工管理方案（</w:t>
            </w:r>
            <w:r>
              <w:rPr>
                <w:rFonts w:hint="eastAsia" w:ascii="宋体" w:hAnsi="宋体"/>
                <w:lang w:val="en-US" w:eastAsia="zh-CN"/>
              </w:rPr>
              <w:t>12</w:t>
            </w:r>
            <w:r>
              <w:rPr>
                <w:rFonts w:hint="eastAsia" w:ascii="宋体" w:hAnsi="宋体"/>
              </w:rPr>
              <w:t>分）</w:t>
            </w:r>
          </w:p>
        </w:tc>
        <w:tc>
          <w:tcPr>
            <w:tcW w:w="1415" w:type="dxa"/>
            <w:vAlign w:val="center"/>
          </w:tcPr>
          <w:p w14:paraId="048A9FFE">
            <w:pPr>
              <w:keepNext w:val="0"/>
              <w:keepLines w:val="0"/>
              <w:pageBreakBefore w:val="0"/>
              <w:spacing w:line="320" w:lineRule="exact"/>
              <w:ind w:left="0" w:right="0" w:firstLine="0"/>
              <w:jc w:val="center"/>
              <w:rPr>
                <w:rFonts w:ascii="宋体" w:hAnsi="宋体"/>
              </w:rPr>
            </w:pPr>
            <w:r>
              <w:rPr>
                <w:rFonts w:hint="eastAsia" w:ascii="宋体" w:hAnsi="宋体"/>
              </w:rPr>
              <w:t>施工进度管理（</w:t>
            </w:r>
            <w:r>
              <w:rPr>
                <w:rFonts w:hint="eastAsia" w:ascii="宋体" w:hAnsi="宋体"/>
                <w:lang w:val="en-US" w:eastAsia="zh-CN"/>
              </w:rPr>
              <w:t>4</w:t>
            </w:r>
            <w:r>
              <w:rPr>
                <w:rFonts w:hint="eastAsia" w:ascii="宋体" w:hAnsi="宋体"/>
              </w:rPr>
              <w:t>分）</w:t>
            </w:r>
          </w:p>
        </w:tc>
        <w:tc>
          <w:tcPr>
            <w:tcW w:w="7115" w:type="dxa"/>
            <w:vAlign w:val="center"/>
          </w:tcPr>
          <w:p w14:paraId="532A8AFD">
            <w:pPr>
              <w:keepNext w:val="0"/>
              <w:keepLines w:val="0"/>
              <w:pageBreakBefore w:val="0"/>
              <w:spacing w:line="320" w:lineRule="exact"/>
              <w:ind w:left="0" w:right="0" w:firstLine="0"/>
              <w:jc w:val="left"/>
              <w:rPr>
                <w:rFonts w:hint="eastAsia" w:ascii="宋体" w:hAnsi="宋体"/>
                <w:color w:val="0000FF"/>
              </w:rPr>
            </w:pPr>
            <w:r>
              <w:rPr>
                <w:rFonts w:hint="eastAsia" w:ascii="Times New Roman" w:hAnsi="Times New Roman" w:eastAsia="宋体" w:cs="Times New Roman"/>
                <w:szCs w:val="22"/>
              </w:rPr>
              <w:t>对工程总承包施工进度计划和各阶段进度的保证措施进行评分。优于采购需求的得</w:t>
            </w:r>
            <w:r>
              <w:rPr>
                <w:rFonts w:hint="eastAsia" w:cs="Times New Roman"/>
                <w:szCs w:val="22"/>
                <w:lang w:val="en-US" w:eastAsia="zh-CN"/>
              </w:rPr>
              <w:t>4</w:t>
            </w:r>
            <w:r>
              <w:rPr>
                <w:rFonts w:hint="eastAsia" w:ascii="Times New Roman" w:hAnsi="Times New Roman" w:eastAsia="宋体" w:cs="Times New Roman"/>
                <w:szCs w:val="22"/>
              </w:rPr>
              <w:t>分，基本满足采购需求的得</w:t>
            </w:r>
            <w:r>
              <w:rPr>
                <w:rFonts w:hint="eastAsia" w:cs="Times New Roman"/>
                <w:szCs w:val="22"/>
                <w:lang w:val="en-US" w:eastAsia="zh-CN"/>
              </w:rPr>
              <w:t>2</w:t>
            </w:r>
            <w:r>
              <w:rPr>
                <w:rFonts w:hint="eastAsia" w:ascii="Times New Roman" w:hAnsi="Times New Roman" w:eastAsia="宋体" w:cs="Times New Roman"/>
                <w:szCs w:val="22"/>
              </w:rPr>
              <w:t>分，低于采购需求的得</w:t>
            </w:r>
            <w:r>
              <w:rPr>
                <w:rFonts w:hint="eastAsia" w:cs="Times New Roman"/>
                <w:szCs w:val="22"/>
                <w:lang w:val="en-US" w:eastAsia="zh-CN"/>
              </w:rPr>
              <w:t>1</w:t>
            </w:r>
            <w:r>
              <w:rPr>
                <w:rFonts w:hint="eastAsia" w:ascii="Times New Roman" w:hAnsi="Times New Roman" w:eastAsia="宋体" w:cs="Times New Roman"/>
                <w:szCs w:val="22"/>
              </w:rPr>
              <w:t>分，未提供不得分。（本项最高</w:t>
            </w:r>
            <w:r>
              <w:rPr>
                <w:rFonts w:hint="eastAsia" w:cs="Times New Roman"/>
                <w:szCs w:val="22"/>
                <w:lang w:val="en-US" w:eastAsia="zh-CN"/>
              </w:rPr>
              <w:t>4</w:t>
            </w:r>
            <w:r>
              <w:rPr>
                <w:rFonts w:hint="eastAsia" w:ascii="Times New Roman" w:hAnsi="Times New Roman" w:eastAsia="宋体" w:cs="Times New Roman"/>
                <w:szCs w:val="22"/>
              </w:rPr>
              <w:t>分）</w:t>
            </w:r>
          </w:p>
        </w:tc>
      </w:tr>
      <w:tr w14:paraId="11728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vMerge w:val="continue"/>
            <w:vAlign w:val="center"/>
          </w:tcPr>
          <w:p w14:paraId="19132E4A">
            <w:pPr>
              <w:keepNext w:val="0"/>
              <w:keepLines w:val="0"/>
              <w:pageBreakBefore w:val="0"/>
              <w:widowControl/>
              <w:spacing w:line="320" w:lineRule="exact"/>
              <w:ind w:left="0" w:right="0" w:firstLine="0"/>
              <w:jc w:val="center"/>
              <w:rPr>
                <w:rFonts w:ascii="宋体" w:hAnsi="宋体"/>
              </w:rPr>
            </w:pPr>
          </w:p>
        </w:tc>
        <w:tc>
          <w:tcPr>
            <w:tcW w:w="683" w:type="dxa"/>
            <w:vMerge w:val="continue"/>
            <w:vAlign w:val="center"/>
          </w:tcPr>
          <w:p w14:paraId="7E5DBF3A">
            <w:pPr>
              <w:keepNext w:val="0"/>
              <w:keepLines w:val="0"/>
              <w:pageBreakBefore w:val="0"/>
              <w:widowControl/>
              <w:spacing w:line="320" w:lineRule="exact"/>
              <w:ind w:left="0" w:right="0" w:firstLine="0"/>
              <w:jc w:val="left"/>
              <w:rPr>
                <w:rFonts w:ascii="宋体" w:hAnsi="宋体"/>
              </w:rPr>
            </w:pPr>
          </w:p>
        </w:tc>
        <w:tc>
          <w:tcPr>
            <w:tcW w:w="1415" w:type="dxa"/>
            <w:vAlign w:val="center"/>
          </w:tcPr>
          <w:p w14:paraId="70C1585F">
            <w:pPr>
              <w:keepNext w:val="0"/>
              <w:keepLines w:val="0"/>
              <w:pageBreakBefore w:val="0"/>
              <w:spacing w:line="320" w:lineRule="exact"/>
              <w:ind w:left="0" w:right="0" w:firstLine="0"/>
              <w:jc w:val="left"/>
              <w:rPr>
                <w:rFonts w:ascii="宋体" w:hAnsi="宋体"/>
              </w:rPr>
            </w:pPr>
            <w:r>
              <w:rPr>
                <w:rFonts w:hint="eastAsia" w:ascii="宋体" w:hAnsi="宋体"/>
              </w:rPr>
              <w:t>施工质量管理（</w:t>
            </w:r>
            <w:r>
              <w:rPr>
                <w:rFonts w:hint="eastAsia" w:ascii="宋体" w:hAnsi="宋体"/>
                <w:lang w:val="en-US" w:eastAsia="zh-CN"/>
              </w:rPr>
              <w:t>4</w:t>
            </w:r>
            <w:r>
              <w:rPr>
                <w:rFonts w:hint="eastAsia" w:ascii="宋体" w:hAnsi="宋体"/>
              </w:rPr>
              <w:t>分）</w:t>
            </w:r>
          </w:p>
        </w:tc>
        <w:tc>
          <w:tcPr>
            <w:tcW w:w="7115" w:type="dxa"/>
            <w:vAlign w:val="center"/>
          </w:tcPr>
          <w:p w14:paraId="54CC9D16">
            <w:pPr>
              <w:keepNext w:val="0"/>
              <w:keepLines w:val="0"/>
              <w:pageBreakBefore w:val="0"/>
              <w:spacing w:line="320" w:lineRule="exact"/>
              <w:ind w:left="0" w:right="0" w:firstLine="0"/>
              <w:jc w:val="left"/>
              <w:rPr>
                <w:rFonts w:hint="eastAsia" w:ascii="宋体" w:hAnsi="宋体"/>
                <w:color w:val="0000FF"/>
              </w:rPr>
            </w:pPr>
            <w:r>
              <w:rPr>
                <w:rFonts w:hint="eastAsia" w:ascii="Times New Roman" w:hAnsi="Times New Roman" w:eastAsia="宋体" w:cs="Times New Roman"/>
                <w:szCs w:val="22"/>
              </w:rPr>
              <w:t>对工程各分部分项工程的施工方案及质量保证措施进行评分。优于采购需求的得</w:t>
            </w:r>
            <w:r>
              <w:rPr>
                <w:rFonts w:hint="eastAsia" w:cs="Times New Roman"/>
                <w:szCs w:val="22"/>
                <w:lang w:val="en-US" w:eastAsia="zh-CN"/>
              </w:rPr>
              <w:t>4</w:t>
            </w:r>
            <w:r>
              <w:rPr>
                <w:rFonts w:hint="eastAsia" w:ascii="Times New Roman" w:hAnsi="Times New Roman" w:eastAsia="宋体" w:cs="Times New Roman"/>
                <w:szCs w:val="22"/>
              </w:rPr>
              <w:t>分，基本满足采购需求的得</w:t>
            </w:r>
            <w:r>
              <w:rPr>
                <w:rFonts w:hint="eastAsia" w:cs="Times New Roman"/>
                <w:szCs w:val="22"/>
                <w:lang w:val="en-US" w:eastAsia="zh-CN"/>
              </w:rPr>
              <w:t>2</w:t>
            </w:r>
            <w:r>
              <w:rPr>
                <w:rFonts w:hint="eastAsia" w:ascii="Times New Roman" w:hAnsi="Times New Roman" w:eastAsia="宋体" w:cs="Times New Roman"/>
                <w:szCs w:val="22"/>
              </w:rPr>
              <w:t>分，低于采购需求</w:t>
            </w:r>
            <w:r>
              <w:rPr>
                <w:rFonts w:hint="eastAsia" w:ascii="宋体" w:hAnsi="宋体"/>
              </w:rPr>
              <w:t>的得</w:t>
            </w:r>
            <w:r>
              <w:rPr>
                <w:rFonts w:hint="eastAsia" w:ascii="宋体" w:hAnsi="宋体"/>
                <w:lang w:val="en-US" w:eastAsia="zh-CN"/>
              </w:rPr>
              <w:t>1</w:t>
            </w:r>
            <w:r>
              <w:rPr>
                <w:rFonts w:hint="eastAsia" w:ascii="宋体" w:hAnsi="宋体"/>
              </w:rPr>
              <w:t>分，未提供不得分。</w:t>
            </w:r>
            <w:r>
              <w:rPr>
                <w:rStyle w:val="587"/>
                <w:rFonts w:hint="eastAsia" w:ascii="宋体" w:hAnsi="宋体"/>
                <w:szCs w:val="21"/>
              </w:rPr>
              <w:t>（本项最高</w:t>
            </w:r>
            <w:r>
              <w:rPr>
                <w:rStyle w:val="587"/>
                <w:rFonts w:hint="eastAsia" w:ascii="宋体" w:hAnsi="宋体"/>
                <w:szCs w:val="21"/>
                <w:lang w:val="en-US" w:eastAsia="zh-CN"/>
              </w:rPr>
              <w:t>4</w:t>
            </w:r>
            <w:r>
              <w:rPr>
                <w:rStyle w:val="587"/>
                <w:rFonts w:hint="eastAsia" w:ascii="宋体" w:hAnsi="宋体"/>
                <w:szCs w:val="21"/>
              </w:rPr>
              <w:t>分）</w:t>
            </w:r>
          </w:p>
        </w:tc>
      </w:tr>
      <w:tr w14:paraId="2091F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vMerge w:val="continue"/>
            <w:vAlign w:val="center"/>
          </w:tcPr>
          <w:p w14:paraId="6B7C5580">
            <w:pPr>
              <w:keepNext w:val="0"/>
              <w:keepLines w:val="0"/>
              <w:pageBreakBefore w:val="0"/>
              <w:widowControl/>
              <w:spacing w:line="320" w:lineRule="exact"/>
              <w:ind w:left="0" w:right="0" w:firstLine="0"/>
              <w:jc w:val="center"/>
              <w:rPr>
                <w:rFonts w:ascii="宋体" w:hAnsi="宋体"/>
              </w:rPr>
            </w:pPr>
          </w:p>
        </w:tc>
        <w:tc>
          <w:tcPr>
            <w:tcW w:w="683" w:type="dxa"/>
            <w:vMerge w:val="continue"/>
            <w:vAlign w:val="center"/>
          </w:tcPr>
          <w:p w14:paraId="13F03533">
            <w:pPr>
              <w:keepNext w:val="0"/>
              <w:keepLines w:val="0"/>
              <w:pageBreakBefore w:val="0"/>
              <w:widowControl/>
              <w:spacing w:line="320" w:lineRule="exact"/>
              <w:ind w:left="0" w:right="0" w:firstLine="0"/>
              <w:jc w:val="left"/>
              <w:rPr>
                <w:rFonts w:ascii="宋体" w:hAnsi="宋体"/>
              </w:rPr>
            </w:pPr>
          </w:p>
        </w:tc>
        <w:tc>
          <w:tcPr>
            <w:tcW w:w="1415" w:type="dxa"/>
            <w:vAlign w:val="center"/>
          </w:tcPr>
          <w:p w14:paraId="7925C38A">
            <w:pPr>
              <w:keepNext w:val="0"/>
              <w:keepLines w:val="0"/>
              <w:pageBreakBefore w:val="0"/>
              <w:spacing w:line="320" w:lineRule="exact"/>
              <w:ind w:left="0" w:right="0" w:firstLine="0"/>
              <w:jc w:val="left"/>
              <w:rPr>
                <w:rFonts w:hint="eastAsia" w:ascii="宋体" w:hAnsi="宋体"/>
              </w:rPr>
            </w:pPr>
            <w:r>
              <w:rPr>
                <w:rFonts w:hint="eastAsia" w:ascii="宋体" w:hAnsi="宋体"/>
              </w:rPr>
              <w:t>施工安全管理</w:t>
            </w:r>
            <w:r>
              <w:rPr>
                <w:rFonts w:ascii="宋体" w:hAnsi="宋体"/>
              </w:rPr>
              <w:t>（</w:t>
            </w:r>
            <w:r>
              <w:rPr>
                <w:rFonts w:hint="eastAsia" w:ascii="宋体" w:hAnsi="宋体"/>
                <w:lang w:val="en-US" w:eastAsia="zh-CN"/>
              </w:rPr>
              <w:t>4</w:t>
            </w:r>
            <w:r>
              <w:rPr>
                <w:rFonts w:hint="eastAsia" w:ascii="宋体" w:hAnsi="宋体"/>
              </w:rPr>
              <w:t>分）</w:t>
            </w:r>
          </w:p>
        </w:tc>
        <w:tc>
          <w:tcPr>
            <w:tcW w:w="7115" w:type="dxa"/>
            <w:vAlign w:val="center"/>
          </w:tcPr>
          <w:p w14:paraId="66AC61DD">
            <w:pPr>
              <w:keepNext w:val="0"/>
              <w:keepLines w:val="0"/>
              <w:pageBreakBefore w:val="0"/>
              <w:spacing w:line="320" w:lineRule="exact"/>
              <w:ind w:left="0" w:right="0" w:firstLine="0"/>
              <w:jc w:val="left"/>
              <w:rPr>
                <w:rFonts w:hint="eastAsia" w:ascii="宋体" w:hAnsi="宋体"/>
                <w:color w:val="0000FF"/>
              </w:rPr>
            </w:pPr>
            <w:r>
              <w:rPr>
                <w:rFonts w:hint="eastAsia" w:ascii="Times New Roman" w:hAnsi="Times New Roman" w:eastAsia="宋体" w:cs="Times New Roman"/>
                <w:szCs w:val="22"/>
              </w:rPr>
              <w:t>对施工安全管理措施，安全文明施工及环境保护措施等安全管理进行评分。优于采购需求的得</w:t>
            </w:r>
            <w:r>
              <w:rPr>
                <w:rFonts w:hint="eastAsia" w:cs="Times New Roman"/>
                <w:szCs w:val="22"/>
                <w:lang w:val="en-US" w:eastAsia="zh-CN"/>
              </w:rPr>
              <w:t>4</w:t>
            </w:r>
            <w:r>
              <w:rPr>
                <w:rFonts w:hint="eastAsia" w:ascii="Times New Roman" w:hAnsi="Times New Roman" w:eastAsia="宋体" w:cs="Times New Roman"/>
                <w:szCs w:val="22"/>
              </w:rPr>
              <w:t>分，基本满足采购需求的得</w:t>
            </w:r>
            <w:r>
              <w:rPr>
                <w:rFonts w:hint="eastAsia" w:cs="Times New Roman"/>
                <w:szCs w:val="22"/>
                <w:lang w:val="en-US" w:eastAsia="zh-CN"/>
              </w:rPr>
              <w:t>2</w:t>
            </w:r>
            <w:r>
              <w:rPr>
                <w:rFonts w:hint="eastAsia" w:ascii="Times New Roman" w:hAnsi="Times New Roman" w:eastAsia="宋体" w:cs="Times New Roman"/>
                <w:szCs w:val="22"/>
              </w:rPr>
              <w:t>分，低于采购需求的得</w:t>
            </w:r>
            <w:r>
              <w:rPr>
                <w:rFonts w:hint="eastAsia" w:cs="Times New Roman"/>
                <w:szCs w:val="22"/>
                <w:lang w:val="en-US" w:eastAsia="zh-CN"/>
              </w:rPr>
              <w:t>1</w:t>
            </w:r>
            <w:r>
              <w:rPr>
                <w:rFonts w:hint="eastAsia" w:ascii="Times New Roman" w:hAnsi="Times New Roman" w:eastAsia="宋体" w:cs="Times New Roman"/>
                <w:szCs w:val="22"/>
              </w:rPr>
              <w:t>分，未提供不得分。（本项最高</w:t>
            </w:r>
            <w:r>
              <w:rPr>
                <w:rFonts w:hint="eastAsia" w:cs="Times New Roman"/>
                <w:szCs w:val="22"/>
                <w:lang w:val="en-US" w:eastAsia="zh-CN"/>
              </w:rPr>
              <w:t>4</w:t>
            </w:r>
            <w:r>
              <w:rPr>
                <w:rFonts w:hint="eastAsia" w:ascii="Times New Roman" w:hAnsi="Times New Roman" w:eastAsia="宋体" w:cs="Times New Roman"/>
                <w:szCs w:val="22"/>
              </w:rPr>
              <w:t>分）</w:t>
            </w:r>
          </w:p>
        </w:tc>
      </w:tr>
      <w:tr w14:paraId="36656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vAlign w:val="center"/>
          </w:tcPr>
          <w:p w14:paraId="78462A89">
            <w:pPr>
              <w:keepNext w:val="0"/>
              <w:keepLines w:val="0"/>
              <w:pageBreakBefore w:val="0"/>
              <w:widowControl/>
              <w:spacing w:line="320" w:lineRule="exact"/>
              <w:ind w:left="0" w:right="0" w:firstLine="0"/>
              <w:jc w:val="center"/>
              <w:rPr>
                <w:rFonts w:ascii="宋体" w:hAnsi="宋体"/>
              </w:rPr>
            </w:pPr>
            <w:r>
              <w:rPr>
                <w:rFonts w:hint="eastAsia" w:ascii="宋体" w:hAnsi="宋体"/>
              </w:rPr>
              <w:t>4</w:t>
            </w:r>
          </w:p>
        </w:tc>
        <w:tc>
          <w:tcPr>
            <w:tcW w:w="683" w:type="dxa"/>
            <w:vAlign w:val="center"/>
          </w:tcPr>
          <w:p w14:paraId="104FD323">
            <w:pPr>
              <w:keepNext w:val="0"/>
              <w:keepLines w:val="0"/>
              <w:pageBreakBefore w:val="0"/>
              <w:widowControl/>
              <w:spacing w:line="320" w:lineRule="exact"/>
              <w:ind w:left="0" w:right="0" w:firstLine="0"/>
              <w:jc w:val="left"/>
              <w:rPr>
                <w:rFonts w:hint="eastAsia" w:ascii="宋体" w:hAnsi="宋体"/>
              </w:rPr>
            </w:pPr>
            <w:r>
              <w:rPr>
                <w:rFonts w:hint="eastAsia" w:ascii="宋体" w:hAnsi="宋体"/>
              </w:rPr>
              <w:t>调试运营方案（</w:t>
            </w:r>
            <w:r>
              <w:rPr>
                <w:rFonts w:hint="eastAsia" w:ascii="宋体" w:hAnsi="宋体"/>
                <w:lang w:val="en-US" w:eastAsia="zh-CN"/>
              </w:rPr>
              <w:t>10</w:t>
            </w:r>
            <w:r>
              <w:rPr>
                <w:rFonts w:hint="eastAsia" w:ascii="宋体" w:hAnsi="宋体"/>
              </w:rPr>
              <w:t>分）</w:t>
            </w:r>
          </w:p>
        </w:tc>
        <w:tc>
          <w:tcPr>
            <w:tcW w:w="8530" w:type="dxa"/>
            <w:gridSpan w:val="2"/>
            <w:vAlign w:val="center"/>
          </w:tcPr>
          <w:p w14:paraId="527A7C85">
            <w:pPr>
              <w:keepNext w:val="0"/>
              <w:keepLines w:val="0"/>
              <w:pageBreakBefore w:val="0"/>
              <w:widowControl/>
              <w:numPr>
                <w:ilvl w:val="0"/>
                <w:numId w:val="0"/>
              </w:numPr>
              <w:spacing w:line="320" w:lineRule="exact"/>
              <w:ind w:left="0" w:leftChars="0" w:right="0" w:rightChars="0" w:firstLine="0" w:firstLineChars="0"/>
              <w:jc w:val="left"/>
              <w:rPr>
                <w:rFonts w:hint="eastAsia" w:ascii="宋体" w:hAnsi="宋体" w:eastAsia="宋体" w:cs="Times New Roman"/>
              </w:rPr>
            </w:pPr>
            <w:r>
              <w:rPr>
                <w:rFonts w:hint="eastAsia" w:ascii="宋体" w:hAnsi="宋体" w:eastAsia="宋体" w:cs="Times New Roman"/>
                <w:sz w:val="21"/>
                <w:szCs w:val="21"/>
                <w:lang w:val="en-US" w:eastAsia="zh-CN" w:bidi="ar-SA"/>
              </w:rPr>
              <w:t>1.</w:t>
            </w:r>
            <w:r>
              <w:rPr>
                <w:rFonts w:hint="eastAsia" w:ascii="宋体" w:hAnsi="宋体"/>
              </w:rPr>
              <w:t>调试方案：对</w:t>
            </w:r>
            <w:r>
              <w:rPr>
                <w:rFonts w:hint="eastAsia" w:ascii="宋体" w:hAnsi="宋体" w:eastAsia="宋体" w:cs="Times New Roman"/>
              </w:rPr>
              <w:t>项目设备的单机、联动调试及生化调试编制合理的方案，对方案进行评分。要求</w:t>
            </w:r>
            <w:r>
              <w:rPr>
                <w:rFonts w:ascii="宋体" w:hAnsi="宋体" w:eastAsia="宋体" w:cs="Times New Roman"/>
              </w:rPr>
              <w:t>调试方案描述清晰明了，内容详细，调试时间</w:t>
            </w:r>
            <w:r>
              <w:rPr>
                <w:rFonts w:hint="eastAsia" w:ascii="宋体" w:hAnsi="宋体" w:eastAsia="宋体" w:cs="Times New Roman"/>
              </w:rPr>
              <w:t>。优于采购需求的得</w:t>
            </w:r>
            <w:r>
              <w:rPr>
                <w:rFonts w:hint="eastAsia" w:ascii="宋体" w:hAnsi="宋体" w:cs="Times New Roman"/>
                <w:lang w:val="en-US" w:eastAsia="zh-CN"/>
              </w:rPr>
              <w:t>5</w:t>
            </w:r>
            <w:r>
              <w:rPr>
                <w:rFonts w:hint="eastAsia" w:ascii="宋体" w:hAnsi="宋体" w:eastAsia="宋体" w:cs="Times New Roman"/>
              </w:rPr>
              <w:t>分，基本满足采购需求的得3分，低于采购需求的得</w:t>
            </w:r>
            <w:r>
              <w:rPr>
                <w:rFonts w:hint="eastAsia" w:ascii="宋体" w:hAnsi="宋体" w:cs="Times New Roman"/>
                <w:lang w:val="en-US" w:eastAsia="zh-CN"/>
              </w:rPr>
              <w:t>2</w:t>
            </w:r>
            <w:r>
              <w:rPr>
                <w:rFonts w:hint="eastAsia" w:ascii="宋体" w:hAnsi="宋体" w:eastAsia="宋体" w:cs="Times New Roman"/>
              </w:rPr>
              <w:t>分，未提供不得分。（本项最高</w:t>
            </w:r>
            <w:r>
              <w:rPr>
                <w:rFonts w:hint="eastAsia" w:ascii="宋体" w:hAnsi="宋体" w:cs="Times New Roman"/>
                <w:lang w:val="en-US" w:eastAsia="zh-CN"/>
              </w:rPr>
              <w:t>5</w:t>
            </w:r>
            <w:r>
              <w:rPr>
                <w:rFonts w:hint="eastAsia" w:ascii="宋体" w:hAnsi="宋体" w:eastAsia="宋体" w:cs="Times New Roman"/>
              </w:rPr>
              <w:t>分）</w:t>
            </w:r>
          </w:p>
          <w:p w14:paraId="756563D1">
            <w:pPr>
              <w:keepNext w:val="0"/>
              <w:keepLines w:val="0"/>
              <w:pageBreakBefore w:val="0"/>
              <w:widowControl/>
              <w:numPr>
                <w:ilvl w:val="0"/>
                <w:numId w:val="0"/>
              </w:numPr>
              <w:spacing w:line="320" w:lineRule="exact"/>
              <w:ind w:left="0" w:leftChars="0" w:right="0" w:rightChars="0" w:firstLine="0" w:firstLineChars="0"/>
              <w:jc w:val="left"/>
              <w:rPr>
                <w:rFonts w:hint="eastAsia" w:ascii="宋体" w:hAnsi="宋体"/>
                <w:color w:val="000000"/>
                <w:sz w:val="22"/>
              </w:rPr>
            </w:pPr>
            <w:r>
              <w:rPr>
                <w:rFonts w:hint="eastAsia" w:ascii="宋体" w:hAnsi="宋体" w:eastAsia="宋体" w:cs="Times New Roman"/>
                <w:color w:val="000000"/>
                <w:sz w:val="22"/>
                <w:szCs w:val="21"/>
                <w:lang w:val="en-US" w:eastAsia="zh-CN" w:bidi="ar-SA"/>
              </w:rPr>
              <w:t>2.</w:t>
            </w:r>
            <w:r>
              <w:rPr>
                <w:rFonts w:hint="eastAsia" w:ascii="宋体" w:hAnsi="宋体" w:eastAsia="宋体" w:cs="Times New Roman"/>
              </w:rPr>
              <w:t>运营方案：对项目运营编制合理的运营方案，运营管理组织、制度、工艺管理、应急管理及合理的运营成本分析等进行描述的。要求</w:t>
            </w:r>
            <w:r>
              <w:rPr>
                <w:rFonts w:ascii="宋体" w:hAnsi="宋体" w:eastAsia="宋体" w:cs="Times New Roman"/>
              </w:rPr>
              <w:t>运营方案描述清晰明了，内容</w:t>
            </w:r>
            <w:r>
              <w:rPr>
                <w:rFonts w:hint="eastAsia" w:ascii="宋体" w:hAnsi="宋体" w:eastAsia="宋体" w:cs="Times New Roman"/>
              </w:rPr>
              <w:t>详细，运营成本低。优于采购需求的得</w:t>
            </w:r>
            <w:r>
              <w:rPr>
                <w:rFonts w:hint="eastAsia" w:ascii="宋体" w:hAnsi="宋体" w:eastAsia="宋体" w:cs="Times New Roman"/>
                <w:lang w:val="en-US" w:eastAsia="zh-CN"/>
              </w:rPr>
              <w:t>5</w:t>
            </w:r>
            <w:r>
              <w:rPr>
                <w:rFonts w:hint="eastAsia" w:ascii="宋体" w:hAnsi="宋体" w:eastAsia="宋体" w:cs="Times New Roman"/>
              </w:rPr>
              <w:t>分，基本满足采购需求的得3分，低于采购需求的得</w:t>
            </w:r>
            <w:r>
              <w:rPr>
                <w:rFonts w:hint="eastAsia" w:ascii="宋体" w:hAnsi="宋体" w:eastAsia="宋体" w:cs="Times New Roman"/>
                <w:lang w:val="en-US" w:eastAsia="zh-CN"/>
              </w:rPr>
              <w:t>2</w:t>
            </w:r>
            <w:r>
              <w:rPr>
                <w:rFonts w:hint="eastAsia" w:ascii="宋体" w:hAnsi="宋体" w:eastAsia="宋体" w:cs="Times New Roman"/>
              </w:rPr>
              <w:t>分，未提供不得分。（本项最高</w:t>
            </w:r>
            <w:r>
              <w:rPr>
                <w:rFonts w:hint="eastAsia" w:ascii="宋体" w:hAnsi="宋体" w:eastAsia="宋体" w:cs="Times New Roman"/>
                <w:lang w:val="en-US" w:eastAsia="zh-CN"/>
              </w:rPr>
              <w:t>5</w:t>
            </w:r>
            <w:r>
              <w:rPr>
                <w:rFonts w:hint="eastAsia" w:ascii="宋体" w:hAnsi="宋体" w:eastAsia="宋体" w:cs="Times New Roman"/>
              </w:rPr>
              <w:t>分）</w:t>
            </w:r>
          </w:p>
        </w:tc>
      </w:tr>
      <w:tr w14:paraId="337A1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vAlign w:val="center"/>
          </w:tcPr>
          <w:p w14:paraId="0488A204">
            <w:pPr>
              <w:keepNext w:val="0"/>
              <w:keepLines w:val="0"/>
              <w:pageBreakBefore w:val="0"/>
              <w:spacing w:line="320" w:lineRule="exact"/>
              <w:ind w:left="0" w:right="0" w:firstLine="0"/>
              <w:jc w:val="center"/>
              <w:rPr>
                <w:rFonts w:hint="eastAsia" w:ascii="宋体" w:hAnsi="宋体"/>
              </w:rPr>
            </w:pPr>
            <w:r>
              <w:rPr>
                <w:rFonts w:hint="eastAsia" w:ascii="宋体" w:hAnsi="宋体"/>
              </w:rPr>
              <w:t>5</w:t>
            </w:r>
          </w:p>
        </w:tc>
        <w:tc>
          <w:tcPr>
            <w:tcW w:w="683" w:type="dxa"/>
            <w:vAlign w:val="center"/>
          </w:tcPr>
          <w:p w14:paraId="1105239A">
            <w:pPr>
              <w:keepNext w:val="0"/>
              <w:keepLines w:val="0"/>
              <w:pageBreakBefore w:val="0"/>
              <w:spacing w:line="320" w:lineRule="exact"/>
              <w:ind w:left="0" w:right="0" w:firstLine="0"/>
              <w:jc w:val="left"/>
              <w:rPr>
                <w:rFonts w:ascii="宋体" w:hAnsi="宋体"/>
              </w:rPr>
            </w:pPr>
            <w:r>
              <w:rPr>
                <w:rFonts w:hint="eastAsia" w:ascii="宋体" w:hAnsi="宋体"/>
                <w:color w:val="000000" w:themeColor="text1"/>
                <w14:textFill>
                  <w14:solidFill>
                    <w14:schemeClr w14:val="tx1"/>
                  </w14:solidFill>
                </w14:textFill>
              </w:rPr>
              <w:t>项目管理机构（</w:t>
            </w:r>
            <w:r>
              <w:rPr>
                <w:rFonts w:hint="eastAsia" w:ascii="宋体" w:hAnsi="宋体"/>
                <w:color w:val="000000" w:themeColor="text1"/>
                <w:lang w:val="en-US" w:eastAsia="zh-CN"/>
                <w14:textFill>
                  <w14:solidFill>
                    <w14:schemeClr w14:val="tx1"/>
                  </w14:solidFill>
                </w14:textFill>
              </w:rPr>
              <w:t>6</w:t>
            </w:r>
            <w:r>
              <w:rPr>
                <w:rFonts w:hint="eastAsia" w:ascii="宋体" w:hAnsi="宋体"/>
                <w:color w:val="000000" w:themeColor="text1"/>
                <w14:textFill>
                  <w14:solidFill>
                    <w14:schemeClr w14:val="tx1"/>
                  </w14:solidFill>
                </w14:textFill>
              </w:rPr>
              <w:t>分）</w:t>
            </w:r>
          </w:p>
        </w:tc>
        <w:tc>
          <w:tcPr>
            <w:tcW w:w="8530" w:type="dxa"/>
            <w:gridSpan w:val="2"/>
            <w:vAlign w:val="center"/>
          </w:tcPr>
          <w:p w14:paraId="6B078574">
            <w:pPr>
              <w:keepNext w:val="0"/>
              <w:keepLines w:val="0"/>
              <w:pageBreakBefore w:val="0"/>
              <w:numPr>
                <w:ilvl w:val="0"/>
                <w:numId w:val="0"/>
              </w:numPr>
              <w:spacing w:line="320" w:lineRule="exact"/>
              <w:ind w:left="0" w:leftChars="0" w:right="0" w:rightChars="0" w:firstLine="0" w:firstLineChars="0"/>
              <w:jc w:val="left"/>
              <w:rPr>
                <w:rStyle w:val="588"/>
                <w:szCs w:val="21"/>
              </w:rPr>
            </w:pPr>
            <w:r>
              <w:rPr>
                <w:rFonts w:hint="eastAsia" w:ascii="Times New Roman" w:hAnsi="Times New Roman" w:eastAsia="宋体" w:cs="Times New Roman"/>
                <w:color w:val="000000"/>
                <w:sz w:val="22"/>
                <w:szCs w:val="21"/>
                <w:lang w:val="en-US" w:eastAsia="zh-CN" w:bidi="ar-SA"/>
              </w:rPr>
              <w:t>1、</w:t>
            </w:r>
            <w:r>
              <w:rPr>
                <w:rStyle w:val="588"/>
                <w:szCs w:val="21"/>
              </w:rPr>
              <w:t>施工人员要求</w:t>
            </w:r>
            <w:r>
              <w:rPr>
                <w:rStyle w:val="588"/>
                <w:rFonts w:hint="eastAsia" w:eastAsia="宋体"/>
                <w:szCs w:val="21"/>
                <w:lang w:eastAsia="zh-CN"/>
              </w:rPr>
              <w:t>：</w:t>
            </w:r>
          </w:p>
          <w:p w14:paraId="1C651F7C">
            <w:pPr>
              <w:keepNext w:val="0"/>
              <w:keepLines w:val="0"/>
              <w:pageBreakBefore w:val="0"/>
              <w:spacing w:line="320" w:lineRule="exact"/>
              <w:ind w:left="0" w:right="0" w:firstLine="0"/>
              <w:jc w:val="left"/>
              <w:rPr>
                <w:rStyle w:val="588"/>
                <w:rFonts w:cs="Times New Roman"/>
                <w:b w:val="0"/>
                <w:bCs w:val="0"/>
                <w:i w:val="0"/>
                <w:iCs w:val="0"/>
                <w:szCs w:val="21"/>
              </w:rPr>
            </w:pPr>
            <w:r>
              <w:rPr>
                <w:rStyle w:val="588"/>
                <w:rFonts w:cs="Times New Roman"/>
                <w:b w:val="0"/>
                <w:bCs w:val="0"/>
                <w:i w:val="0"/>
                <w:iCs w:val="0"/>
                <w:szCs w:val="21"/>
              </w:rPr>
              <w:t>施工项目组配备人员中</w:t>
            </w:r>
            <w:r>
              <w:rPr>
                <w:rStyle w:val="588"/>
                <w:rFonts w:cs="Times New Roman"/>
                <w:b w:val="0"/>
                <w:bCs w:val="0"/>
                <w:i w:val="0"/>
                <w:iCs w:val="0"/>
                <w:szCs w:val="21"/>
                <w:lang w:eastAsia="zh-CN"/>
              </w:rPr>
              <w:t>：</w:t>
            </w:r>
            <w:r>
              <w:rPr>
                <w:rStyle w:val="588"/>
                <w:rFonts w:cs="Times New Roman"/>
                <w:b w:val="0"/>
                <w:bCs w:val="0"/>
                <w:i w:val="0"/>
                <w:iCs w:val="0"/>
                <w:szCs w:val="21"/>
              </w:rPr>
              <w:t>具有注册建造师（市政公用工程专业</w:t>
            </w:r>
            <w:r>
              <w:rPr>
                <w:rStyle w:val="588"/>
                <w:rFonts w:cs="Times New Roman"/>
                <w:b w:val="0"/>
                <w:bCs w:val="0"/>
                <w:i w:val="0"/>
                <w:iCs w:val="0"/>
                <w:szCs w:val="21"/>
                <w:lang w:eastAsia="zh-CN"/>
              </w:rPr>
              <w:t>或机电工程专业）</w:t>
            </w:r>
            <w:r>
              <w:rPr>
                <w:rStyle w:val="588"/>
                <w:rFonts w:hint="eastAsia" w:cs="Times New Roman"/>
                <w:b w:val="0"/>
                <w:bCs w:val="0"/>
                <w:i w:val="0"/>
                <w:iCs w:val="0"/>
                <w:szCs w:val="21"/>
                <w:lang w:eastAsia="zh-CN"/>
              </w:rPr>
              <w:t>且同时具有有效的建筑施工企业项目负责人安全生产考核合格证书（</w:t>
            </w:r>
            <w:r>
              <w:rPr>
                <w:rStyle w:val="588"/>
                <w:rFonts w:cs="Times New Roman"/>
                <w:b w:val="0"/>
                <w:bCs w:val="0"/>
                <w:i w:val="0"/>
                <w:iCs w:val="0"/>
                <w:szCs w:val="21"/>
                <w:lang w:eastAsia="zh-CN"/>
              </w:rPr>
              <w:t>B</w:t>
            </w:r>
            <w:r>
              <w:rPr>
                <w:rStyle w:val="588"/>
                <w:rFonts w:hint="eastAsia" w:cs="Times New Roman"/>
                <w:b w:val="0"/>
                <w:bCs w:val="0"/>
                <w:i w:val="0"/>
                <w:iCs w:val="0"/>
                <w:szCs w:val="21"/>
                <w:lang w:eastAsia="zh-CN"/>
              </w:rPr>
              <w:t>类证）</w:t>
            </w:r>
            <w:r>
              <w:rPr>
                <w:rStyle w:val="588"/>
                <w:rFonts w:cs="Times New Roman"/>
                <w:b w:val="0"/>
                <w:bCs w:val="0"/>
                <w:i w:val="0"/>
                <w:iCs w:val="0"/>
                <w:szCs w:val="21"/>
              </w:rPr>
              <w:t>或注册造价工程师执业资格的</w:t>
            </w:r>
            <w:r>
              <w:rPr>
                <w:rStyle w:val="588"/>
                <w:rFonts w:cs="Times New Roman"/>
                <w:b w:val="0"/>
                <w:bCs w:val="0"/>
                <w:i w:val="0"/>
                <w:iCs w:val="0"/>
                <w:szCs w:val="21"/>
                <w:lang w:eastAsia="zh-CN"/>
              </w:rPr>
              <w:t>，</w:t>
            </w:r>
            <w:r>
              <w:rPr>
                <w:rStyle w:val="588"/>
                <w:rFonts w:cs="Times New Roman"/>
                <w:b w:val="0"/>
                <w:bCs w:val="0"/>
                <w:i w:val="0"/>
                <w:iCs w:val="0"/>
                <w:szCs w:val="21"/>
              </w:rPr>
              <w:t>每有一人得</w:t>
            </w:r>
            <w:r>
              <w:rPr>
                <w:rStyle w:val="588"/>
                <w:rFonts w:hint="eastAsia" w:cs="Times New Roman"/>
                <w:b w:val="0"/>
                <w:bCs w:val="0"/>
                <w:i w:val="0"/>
                <w:iCs w:val="0"/>
                <w:szCs w:val="21"/>
                <w:lang w:val="en-US" w:eastAsia="zh-CN"/>
              </w:rPr>
              <w:t>1.5</w:t>
            </w:r>
            <w:r>
              <w:rPr>
                <w:rStyle w:val="588"/>
                <w:rFonts w:cs="Times New Roman"/>
                <w:b w:val="0"/>
                <w:bCs w:val="0"/>
                <w:i w:val="0"/>
                <w:iCs w:val="0"/>
                <w:szCs w:val="21"/>
              </w:rPr>
              <w:t>分</w:t>
            </w:r>
            <w:r>
              <w:rPr>
                <w:rStyle w:val="588"/>
                <w:rFonts w:cs="Times New Roman"/>
                <w:b w:val="0"/>
                <w:bCs w:val="0"/>
                <w:i w:val="0"/>
                <w:iCs w:val="0"/>
                <w:szCs w:val="21"/>
                <w:lang w:eastAsia="zh-CN"/>
              </w:rPr>
              <w:t>。</w:t>
            </w:r>
            <w:r>
              <w:rPr>
                <w:rStyle w:val="588"/>
                <w:rFonts w:cs="Times New Roman"/>
                <w:b w:val="0"/>
                <w:bCs w:val="0"/>
                <w:i w:val="0"/>
                <w:iCs w:val="0"/>
                <w:szCs w:val="21"/>
              </w:rPr>
              <w:t xml:space="preserve">本项最高得 </w:t>
            </w:r>
            <w:r>
              <w:rPr>
                <w:rStyle w:val="588"/>
                <w:rFonts w:hint="eastAsia" w:cs="Times New Roman"/>
                <w:b w:val="0"/>
                <w:bCs w:val="0"/>
                <w:i w:val="0"/>
                <w:iCs w:val="0"/>
                <w:szCs w:val="21"/>
              </w:rPr>
              <w:t>3</w:t>
            </w:r>
            <w:r>
              <w:rPr>
                <w:rStyle w:val="588"/>
                <w:rFonts w:cs="Times New Roman"/>
                <w:b w:val="0"/>
                <w:bCs w:val="0"/>
                <w:i w:val="0"/>
                <w:iCs w:val="0"/>
                <w:szCs w:val="21"/>
              </w:rPr>
              <w:t>分；</w:t>
            </w:r>
          </w:p>
          <w:p w14:paraId="49B249F6">
            <w:pPr>
              <w:keepNext w:val="0"/>
              <w:keepLines w:val="0"/>
              <w:pageBreakBefore w:val="0"/>
              <w:spacing w:line="320" w:lineRule="exact"/>
              <w:ind w:left="0" w:right="0" w:firstLine="0"/>
              <w:jc w:val="left"/>
              <w:rPr>
                <w:rStyle w:val="588"/>
                <w:rFonts w:hint="eastAsia" w:cs="Times New Roman"/>
                <w:b w:val="0"/>
                <w:bCs w:val="0"/>
                <w:i w:val="0"/>
                <w:iCs w:val="0"/>
                <w:szCs w:val="21"/>
                <w:lang w:eastAsia="zh-CN"/>
              </w:rPr>
            </w:pPr>
            <w:r>
              <w:rPr>
                <w:rStyle w:val="588"/>
                <w:rFonts w:hint="eastAsia" w:cs="Times New Roman"/>
                <w:b w:val="0"/>
                <w:bCs w:val="0"/>
                <w:i w:val="0"/>
                <w:iCs w:val="0"/>
                <w:szCs w:val="21"/>
                <w:lang w:val="en-US" w:eastAsia="zh-CN"/>
              </w:rPr>
              <w:t>2、</w:t>
            </w:r>
            <w:r>
              <w:rPr>
                <w:rStyle w:val="588"/>
                <w:rFonts w:cs="Times New Roman"/>
                <w:b w:val="0"/>
                <w:bCs w:val="0"/>
                <w:i w:val="0"/>
                <w:iCs w:val="0"/>
                <w:szCs w:val="21"/>
              </w:rPr>
              <w:t>设计人员要求</w:t>
            </w:r>
            <w:r>
              <w:rPr>
                <w:rStyle w:val="588"/>
                <w:rFonts w:hint="eastAsia" w:cs="Times New Roman"/>
                <w:b w:val="0"/>
                <w:bCs w:val="0"/>
                <w:i w:val="0"/>
                <w:iCs w:val="0"/>
                <w:szCs w:val="21"/>
                <w:lang w:eastAsia="zh-CN"/>
              </w:rPr>
              <w:t>：</w:t>
            </w:r>
          </w:p>
          <w:p w14:paraId="01D25EF6">
            <w:pPr>
              <w:keepNext w:val="0"/>
              <w:keepLines w:val="0"/>
              <w:pageBreakBefore w:val="0"/>
              <w:spacing w:line="320" w:lineRule="exact"/>
              <w:ind w:left="0" w:right="0" w:firstLine="0"/>
              <w:jc w:val="left"/>
              <w:rPr>
                <w:rStyle w:val="588"/>
                <w:rFonts w:hint="eastAsia" w:cs="Times New Roman"/>
                <w:b w:val="0"/>
                <w:bCs w:val="0"/>
                <w:i w:val="0"/>
                <w:iCs w:val="0"/>
                <w:szCs w:val="21"/>
                <w:lang w:eastAsia="zh-CN"/>
              </w:rPr>
            </w:pPr>
            <w:r>
              <w:rPr>
                <w:rStyle w:val="588"/>
                <w:rFonts w:cs="Times New Roman"/>
                <w:b w:val="0"/>
                <w:bCs w:val="0"/>
                <w:i w:val="0"/>
                <w:iCs w:val="0"/>
                <w:szCs w:val="21"/>
              </w:rPr>
              <w:t>设计项目组配备人员中</w:t>
            </w:r>
            <w:r>
              <w:rPr>
                <w:rStyle w:val="588"/>
                <w:rFonts w:cs="Times New Roman"/>
                <w:b w:val="0"/>
                <w:bCs w:val="0"/>
                <w:i w:val="0"/>
                <w:iCs w:val="0"/>
                <w:szCs w:val="21"/>
                <w:lang w:eastAsia="zh-CN"/>
              </w:rPr>
              <w:t>：</w:t>
            </w:r>
            <w:r>
              <w:rPr>
                <w:rStyle w:val="588"/>
                <w:rFonts w:cs="Times New Roman"/>
                <w:b w:val="0"/>
                <w:bCs w:val="0"/>
                <w:i w:val="0"/>
                <w:iCs w:val="0"/>
                <w:szCs w:val="21"/>
              </w:rPr>
              <w:t>具有注册建筑工程师、注册公用设备工程师（给水排水）、注册</w:t>
            </w:r>
            <w:r>
              <w:rPr>
                <w:rStyle w:val="588"/>
                <w:rFonts w:cs="Times New Roman"/>
                <w:b w:val="0"/>
                <w:bCs w:val="0"/>
                <w:i w:val="0"/>
                <w:iCs w:val="0"/>
                <w:szCs w:val="21"/>
                <w:lang w:eastAsia="zh-CN"/>
              </w:rPr>
              <w:t>环保</w:t>
            </w:r>
            <w:r>
              <w:rPr>
                <w:rStyle w:val="588"/>
                <w:rFonts w:cs="Times New Roman"/>
                <w:b w:val="0"/>
                <w:bCs w:val="0"/>
                <w:i w:val="0"/>
                <w:iCs w:val="0"/>
                <w:szCs w:val="21"/>
              </w:rPr>
              <w:t>工程师执业资格的，每有一人得</w:t>
            </w:r>
            <w:r>
              <w:rPr>
                <w:rStyle w:val="588"/>
                <w:rFonts w:hint="eastAsia" w:cs="Times New Roman"/>
                <w:b w:val="0"/>
                <w:bCs w:val="0"/>
                <w:i w:val="0"/>
                <w:iCs w:val="0"/>
                <w:szCs w:val="21"/>
              </w:rPr>
              <w:t>1</w:t>
            </w:r>
            <w:r>
              <w:rPr>
                <w:rStyle w:val="588"/>
                <w:rFonts w:cs="Times New Roman"/>
                <w:b w:val="0"/>
                <w:bCs w:val="0"/>
                <w:i w:val="0"/>
                <w:iCs w:val="0"/>
                <w:szCs w:val="21"/>
              </w:rPr>
              <w:t>分</w:t>
            </w:r>
            <w:r>
              <w:rPr>
                <w:rStyle w:val="588"/>
                <w:rFonts w:cs="Times New Roman"/>
                <w:b w:val="0"/>
                <w:bCs w:val="0"/>
                <w:i w:val="0"/>
                <w:iCs w:val="0"/>
                <w:szCs w:val="21"/>
                <w:lang w:eastAsia="zh-CN"/>
              </w:rPr>
              <w:t>。</w:t>
            </w:r>
            <w:r>
              <w:rPr>
                <w:rStyle w:val="588"/>
                <w:rFonts w:cs="Times New Roman"/>
                <w:b w:val="0"/>
                <w:bCs w:val="0"/>
                <w:i w:val="0"/>
                <w:iCs w:val="0"/>
                <w:szCs w:val="21"/>
              </w:rPr>
              <w:t>本项最高得</w:t>
            </w:r>
            <w:r>
              <w:rPr>
                <w:rStyle w:val="588"/>
                <w:rFonts w:hint="eastAsia" w:cs="Times New Roman"/>
                <w:b w:val="0"/>
                <w:bCs w:val="0"/>
                <w:i w:val="0"/>
                <w:iCs w:val="0"/>
                <w:szCs w:val="21"/>
                <w:lang w:val="en-US" w:eastAsia="zh-CN"/>
              </w:rPr>
              <w:t>3</w:t>
            </w:r>
            <w:r>
              <w:rPr>
                <w:rStyle w:val="588"/>
                <w:rFonts w:cs="Times New Roman"/>
                <w:b w:val="0"/>
                <w:bCs w:val="0"/>
                <w:i w:val="0"/>
                <w:iCs w:val="0"/>
                <w:szCs w:val="21"/>
              </w:rPr>
              <w:t>分</w:t>
            </w:r>
            <w:r>
              <w:rPr>
                <w:rStyle w:val="588"/>
                <w:rFonts w:cs="Times New Roman"/>
                <w:b w:val="0"/>
                <w:bCs w:val="0"/>
                <w:i w:val="0"/>
                <w:iCs w:val="0"/>
                <w:szCs w:val="21"/>
                <w:lang w:eastAsia="zh-CN"/>
              </w:rPr>
              <w:t>。</w:t>
            </w:r>
          </w:p>
          <w:p w14:paraId="6CF529CD">
            <w:pPr>
              <w:keepNext w:val="0"/>
              <w:keepLines w:val="0"/>
              <w:pageBreakBefore w:val="0"/>
              <w:spacing w:line="320" w:lineRule="exact"/>
              <w:ind w:left="0" w:right="0" w:firstLine="0"/>
              <w:jc w:val="left"/>
              <w:rPr>
                <w:rFonts w:hint="eastAsia" w:ascii="宋体" w:hAnsi="宋体"/>
                <w:color w:val="FF0000"/>
              </w:rPr>
            </w:pPr>
            <w:r>
              <w:rPr>
                <w:rStyle w:val="588"/>
                <w:rFonts w:cs="Times New Roman"/>
                <w:b w:val="0"/>
                <w:bCs w:val="0"/>
                <w:i w:val="0"/>
                <w:iCs w:val="0"/>
                <w:szCs w:val="21"/>
              </w:rPr>
              <w:t>备注</w:t>
            </w:r>
            <w:r>
              <w:rPr>
                <w:rStyle w:val="588"/>
                <w:rFonts w:cs="Times New Roman"/>
                <w:b w:val="0"/>
                <w:bCs w:val="0"/>
                <w:i w:val="0"/>
                <w:iCs w:val="0"/>
                <w:szCs w:val="21"/>
                <w:lang w:eastAsia="zh-CN"/>
              </w:rPr>
              <w:t>：①</w:t>
            </w:r>
            <w:r>
              <w:rPr>
                <w:rStyle w:val="588"/>
                <w:rFonts w:cs="Times New Roman"/>
                <w:b w:val="0"/>
                <w:bCs w:val="0"/>
                <w:i w:val="0"/>
                <w:iCs w:val="0"/>
                <w:szCs w:val="21"/>
              </w:rPr>
              <w:t>施工人员组成中，配备的建造师需到场参加施工管理，如不到场参与工程管理，将被罚款，具体数额在合同中约定。投标报价书需盖注册造价师执业印章。</w:t>
            </w:r>
            <w:r>
              <w:rPr>
                <w:rStyle w:val="588"/>
                <w:rFonts w:cs="Times New Roman"/>
                <w:b w:val="0"/>
                <w:bCs w:val="0"/>
                <w:i w:val="0"/>
                <w:iCs w:val="0"/>
                <w:szCs w:val="21"/>
                <w:lang w:eastAsia="zh-CN"/>
              </w:rPr>
              <w:t>②</w:t>
            </w:r>
            <w:r>
              <w:rPr>
                <w:rStyle w:val="588"/>
                <w:rFonts w:cs="Times New Roman"/>
                <w:b w:val="0"/>
                <w:bCs w:val="0"/>
                <w:i w:val="0"/>
                <w:iCs w:val="0"/>
                <w:szCs w:val="21"/>
              </w:rPr>
              <w:t>上述所有人员存在证书重复的，仅计一项分数，不重复计分。投标人须将上述相关注册执业资格证书、职称证书原件扫描、</w:t>
            </w:r>
            <w:r>
              <w:rPr>
                <w:rStyle w:val="588"/>
                <w:rFonts w:cs="Times New Roman"/>
                <w:b w:val="0"/>
                <w:bCs w:val="0"/>
                <w:i w:val="0"/>
                <w:iCs w:val="0"/>
                <w:szCs w:val="21"/>
                <w:lang w:eastAsia="zh-CN"/>
              </w:rPr>
              <w:t>为本公司正式员工的证明材料</w:t>
            </w:r>
            <w:r>
              <w:rPr>
                <w:rStyle w:val="588"/>
                <w:rFonts w:cs="Times New Roman"/>
                <w:b w:val="0"/>
                <w:bCs w:val="0"/>
                <w:i w:val="0"/>
                <w:iCs w:val="0"/>
                <w:szCs w:val="21"/>
              </w:rPr>
              <w:t>（提供开标前6个月内本单位为其办理的任意一个月社会养老保险或医疗保险缴纳证明材料）。上传至投标文件中，否则不予计分。</w:t>
            </w:r>
          </w:p>
        </w:tc>
      </w:tr>
      <w:tr w14:paraId="5275F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59" w:type="dxa"/>
            <w:vAlign w:val="center"/>
          </w:tcPr>
          <w:p w14:paraId="55332EF8">
            <w:pPr>
              <w:keepNext w:val="0"/>
              <w:keepLines w:val="0"/>
              <w:pageBreakBefore w:val="0"/>
              <w:spacing w:line="320" w:lineRule="exact"/>
              <w:ind w:left="0" w:right="0" w:firstLine="0"/>
              <w:jc w:val="center"/>
              <w:rPr>
                <w:rFonts w:hint="eastAsia" w:ascii="宋体" w:hAnsi="宋体"/>
              </w:rPr>
            </w:pPr>
            <w:r>
              <w:rPr>
                <w:rFonts w:hint="eastAsia" w:ascii="宋体" w:hAnsi="宋体"/>
              </w:rPr>
              <w:t>6</w:t>
            </w:r>
          </w:p>
        </w:tc>
        <w:tc>
          <w:tcPr>
            <w:tcW w:w="683" w:type="dxa"/>
            <w:vAlign w:val="center"/>
          </w:tcPr>
          <w:p w14:paraId="12D43DB5">
            <w:pPr>
              <w:keepNext w:val="0"/>
              <w:keepLines w:val="0"/>
              <w:pageBreakBefore w:val="0"/>
              <w:spacing w:line="320" w:lineRule="exact"/>
              <w:ind w:left="0" w:right="0" w:firstLine="0"/>
              <w:jc w:val="left"/>
              <w:rPr>
                <w:rFonts w:hint="eastAsia" w:ascii="宋体" w:hAnsi="宋体"/>
              </w:rPr>
            </w:pPr>
            <w:r>
              <w:rPr>
                <w:rFonts w:hint="eastAsia" w:ascii="宋体" w:hAnsi="宋体"/>
              </w:rPr>
              <w:t>业绩</w:t>
            </w:r>
          </w:p>
          <w:p w14:paraId="0624F3F8">
            <w:pPr>
              <w:keepNext w:val="0"/>
              <w:keepLines w:val="0"/>
              <w:pageBreakBefore w:val="0"/>
              <w:spacing w:line="320" w:lineRule="exact"/>
              <w:ind w:left="0" w:right="0" w:firstLine="0"/>
              <w:jc w:val="left"/>
              <w:rPr>
                <w:rFonts w:ascii="宋体" w:hAnsi="宋体"/>
              </w:rPr>
            </w:pPr>
            <w:r>
              <w:rPr>
                <w:rFonts w:hint="eastAsia" w:ascii="宋体" w:hAnsi="宋体"/>
              </w:rPr>
              <w:t>（9分）</w:t>
            </w:r>
          </w:p>
        </w:tc>
        <w:tc>
          <w:tcPr>
            <w:tcW w:w="1415" w:type="dxa"/>
            <w:vAlign w:val="center"/>
          </w:tcPr>
          <w:p w14:paraId="04068006">
            <w:pPr>
              <w:keepNext w:val="0"/>
              <w:keepLines w:val="0"/>
              <w:pageBreakBefore w:val="0"/>
              <w:spacing w:line="320" w:lineRule="exact"/>
              <w:ind w:left="0" w:right="0" w:firstLine="0"/>
              <w:jc w:val="left"/>
              <w:rPr>
                <w:rFonts w:ascii="宋体" w:hAnsi="宋体"/>
              </w:rPr>
            </w:pPr>
            <w:r>
              <w:rPr>
                <w:rFonts w:hint="eastAsia" w:ascii="宋体" w:hAnsi="宋体"/>
              </w:rPr>
              <w:t>投标人类似</w:t>
            </w:r>
            <w:r>
              <w:rPr>
                <w:rFonts w:hint="eastAsia" w:ascii="宋体" w:hAnsi="宋体"/>
                <w:lang w:val="en-US" w:eastAsia="zh-CN"/>
              </w:rPr>
              <w:t>工程</w:t>
            </w:r>
            <w:r>
              <w:rPr>
                <w:rFonts w:hint="eastAsia" w:ascii="宋体" w:hAnsi="宋体"/>
              </w:rPr>
              <w:t>业绩（9分）</w:t>
            </w:r>
          </w:p>
        </w:tc>
        <w:tc>
          <w:tcPr>
            <w:tcW w:w="7115" w:type="dxa"/>
            <w:vAlign w:val="center"/>
          </w:tcPr>
          <w:p w14:paraId="76053724">
            <w:pPr>
              <w:keepNext w:val="0"/>
              <w:keepLines w:val="0"/>
              <w:pageBreakBefore w:val="0"/>
              <w:spacing w:line="320" w:lineRule="exact"/>
              <w:ind w:left="0" w:right="0" w:firstLine="0"/>
              <w:jc w:val="left"/>
              <w:rPr>
                <w:rFonts w:hint="eastAsia" w:ascii="宋体" w:hAnsi="宋体"/>
              </w:rPr>
            </w:pPr>
            <w:r>
              <w:rPr>
                <w:rFonts w:hint="eastAsia" w:ascii="宋体" w:hAnsi="宋体"/>
              </w:rPr>
              <w:t>2021年1月1日以来（以竣工验收时间为准），投标人承担过类似项目业绩的每有一个得3分，本项最高得9分。</w:t>
            </w:r>
          </w:p>
          <w:p w14:paraId="318847E5">
            <w:pPr>
              <w:keepNext w:val="0"/>
              <w:keepLines w:val="0"/>
              <w:pageBreakBefore w:val="0"/>
              <w:spacing w:line="320" w:lineRule="exact"/>
              <w:ind w:left="0" w:right="0" w:firstLine="0"/>
              <w:jc w:val="left"/>
              <w:rPr>
                <w:rFonts w:ascii="宋体" w:hAnsi="宋体"/>
              </w:rPr>
            </w:pPr>
            <w:r>
              <w:rPr>
                <w:rFonts w:hint="eastAsia" w:ascii="宋体" w:hAnsi="宋体"/>
              </w:rPr>
              <w:t>业绩证明材料包括：①中标通知书；②施工合同；③工程竣工验收证明（工程竣工验收证明以建设单位、设计单位、监理单位、施工单位四方盖章为准，四方盖章缺一不可并且四方盖章须清晰、明确，否则不予认可），三者缺一不可。④</w:t>
            </w:r>
            <w:r>
              <w:rPr>
                <w:rFonts w:ascii="宋体" w:hAnsi="宋体"/>
              </w:rPr>
              <w:t>若投标人提供的评分业绩是以联合体形式完成的</w:t>
            </w:r>
            <w:r>
              <w:rPr>
                <w:rFonts w:hint="eastAsia" w:ascii="宋体" w:hAnsi="宋体"/>
              </w:rPr>
              <w:t>，</w:t>
            </w:r>
            <w:r>
              <w:rPr>
                <w:rFonts w:ascii="宋体" w:hAnsi="宋体"/>
              </w:rPr>
              <w:t>则投标人必须为该评分业绩的联合体牵头人。</w:t>
            </w:r>
          </w:p>
          <w:p w14:paraId="23011EAF">
            <w:pPr>
              <w:keepNext w:val="0"/>
              <w:keepLines w:val="0"/>
              <w:pageBreakBefore w:val="0"/>
              <w:spacing w:line="320" w:lineRule="exact"/>
              <w:ind w:left="0" w:right="0" w:firstLine="0"/>
              <w:jc w:val="left"/>
              <w:rPr>
                <w:rFonts w:ascii="宋体" w:hAnsi="宋体"/>
              </w:rPr>
            </w:pPr>
            <w:r>
              <w:rPr>
                <w:rFonts w:hint="eastAsia" w:ascii="宋体" w:hAnsi="宋体"/>
              </w:rPr>
              <w:t>上述施工业绩证明材料应能够明确反映投标人名称、竣工验收日期、设计规模或工程规模、工程投资额等内容</w:t>
            </w:r>
            <w:r>
              <w:rPr>
                <w:rFonts w:ascii="宋体" w:hAnsi="宋体"/>
              </w:rPr>
              <w:t>,</w:t>
            </w:r>
            <w:r>
              <w:rPr>
                <w:rFonts w:hint="eastAsia" w:ascii="宋体" w:hAnsi="宋体"/>
              </w:rPr>
              <w:t>如上述材料不能体现业绩要求的相关指标，需补充提供发包人证明材料，否则不予认可。投标人对所提供业绩的真实性负责</w:t>
            </w:r>
            <w:r>
              <w:rPr>
                <w:rFonts w:hint="eastAsia" w:ascii="宋体" w:hAnsi="宋体"/>
                <w:lang w:eastAsia="zh-CN"/>
              </w:rPr>
              <w:t>，</w:t>
            </w:r>
            <w:r>
              <w:rPr>
                <w:rFonts w:hint="eastAsia" w:ascii="宋体" w:hAnsi="宋体"/>
              </w:rPr>
              <w:t>投标人需将</w:t>
            </w:r>
            <w:r>
              <w:rPr>
                <w:rFonts w:hint="eastAsia" w:ascii="宋体" w:hAnsi="宋体"/>
                <w:lang w:eastAsia="zh-CN"/>
              </w:rPr>
              <w:t>相关</w:t>
            </w:r>
            <w:r>
              <w:rPr>
                <w:rFonts w:hint="eastAsia" w:ascii="宋体" w:hAnsi="宋体"/>
              </w:rPr>
              <w:t>证明材料原件扫描件上传至投标文件中，提供扫描件不全或扫描件模糊不清的不予认可。</w:t>
            </w:r>
          </w:p>
        </w:tc>
      </w:tr>
    </w:tbl>
    <w:p w14:paraId="2B126CFE">
      <w:pPr>
        <w:keepNext w:val="0"/>
        <w:keepLines w:val="0"/>
        <w:pageBreakBefore w:val="0"/>
        <w:widowControl w:val="0"/>
        <w:kinsoku/>
        <w:wordWrap/>
        <w:overflowPunct/>
        <w:topLinePunct w:val="0"/>
        <w:autoSpaceDE/>
        <w:autoSpaceDN/>
        <w:bidi w:val="0"/>
        <w:adjustRightInd/>
        <w:snapToGrid/>
        <w:spacing w:before="0" w:beforeLines="50" w:line="400" w:lineRule="exact"/>
        <w:ind w:firstLine="244"/>
        <w:textAlignment w:val="auto"/>
        <w:rPr>
          <w:rFonts w:hint="eastAsia"/>
          <w:sz w:val="24"/>
          <w:highlight w:val="white"/>
        </w:rPr>
      </w:pPr>
      <w:r>
        <w:rPr>
          <w:rFonts w:hint="eastAsia" w:eastAsia="仿宋_GB2312"/>
          <w:b/>
          <w:sz w:val="24"/>
          <w:highlight w:val="white"/>
        </w:rPr>
        <w:t>（三）评标结果。</w:t>
      </w:r>
      <w:r>
        <w:rPr>
          <w:rFonts w:hint="eastAsia"/>
          <w:sz w:val="24"/>
          <w:highlight w:val="white"/>
        </w:rPr>
        <w:t>评标委员会按照本办法规定推荐中标候选人，并形成评标报告。</w:t>
      </w:r>
    </w:p>
    <w:p w14:paraId="18D5C297">
      <w:pPr>
        <w:spacing w:line="400" w:lineRule="exact"/>
        <w:ind w:firstLine="241"/>
        <w:rPr>
          <w:rFonts w:hint="eastAsia" w:eastAsia="仿宋_GB2312"/>
          <w:b/>
          <w:sz w:val="24"/>
          <w:highlight w:val="white"/>
        </w:rPr>
      </w:pPr>
      <w:r>
        <w:rPr>
          <w:rFonts w:hint="eastAsia" w:eastAsia="仿宋_GB2312"/>
          <w:b/>
          <w:sz w:val="24"/>
          <w:highlight w:val="white"/>
        </w:rPr>
        <w:t>（四）政府采购政策功能落实</w:t>
      </w:r>
    </w:p>
    <w:p w14:paraId="193CB109">
      <w:pPr>
        <w:spacing w:line="500" w:lineRule="exact"/>
        <w:rPr>
          <w:rFonts w:hint="eastAsia"/>
          <w:b/>
          <w:sz w:val="24"/>
          <w:highlight w:val="white"/>
        </w:rPr>
      </w:pPr>
      <w:r>
        <w:rPr>
          <w:rFonts w:hint="eastAsia" w:eastAsia="仿宋_GB2312"/>
          <w:b/>
          <w:bCs/>
          <w:sz w:val="24"/>
          <w:highlight w:val="white"/>
        </w:rPr>
        <w:t>本项目落实的政府采购政策对应以下序号为</w:t>
      </w:r>
      <w:r>
        <w:rPr>
          <w:rFonts w:hint="eastAsia" w:eastAsia="仿宋_GB2312"/>
          <w:b/>
          <w:bCs/>
          <w:sz w:val="24"/>
          <w:highlight w:val="none"/>
          <w:u w:val="single"/>
        </w:rPr>
        <w:t xml:space="preserve"> 1、2、3、4  </w:t>
      </w:r>
    </w:p>
    <w:p w14:paraId="6B0C842B">
      <w:pPr>
        <w:numPr>
          <w:ilvl w:val="0"/>
          <w:numId w:val="12"/>
        </w:numPr>
        <w:spacing w:line="460" w:lineRule="exact"/>
        <w:ind w:firstLine="480"/>
        <w:rPr>
          <w:rFonts w:hint="eastAsia" w:cs="仿宋_GB2312"/>
          <w:sz w:val="24"/>
          <w:highlight w:val="white"/>
        </w:rPr>
      </w:pPr>
      <w:r>
        <w:rPr>
          <w:rFonts w:hint="eastAsia" w:cs="仿宋_GB2312"/>
          <w:sz w:val="24"/>
          <w:highlight w:val="white"/>
        </w:rPr>
        <w:t>采购本国货物、工程和服务</w:t>
      </w:r>
    </w:p>
    <w:p w14:paraId="33F4739A">
      <w:pPr>
        <w:spacing w:line="460" w:lineRule="exact"/>
        <w:ind w:firstLine="480"/>
        <w:rPr>
          <w:rFonts w:cs="仿宋_GB2312"/>
          <w:sz w:val="24"/>
          <w:highlight w:val="white"/>
        </w:rPr>
      </w:pPr>
      <w:r>
        <w:rPr>
          <w:rFonts w:hint="eastAsia" w:cs="仿宋_GB2312"/>
          <w:sz w:val="24"/>
          <w:highlight w:val="white"/>
        </w:rPr>
        <w:t>政府采购应当采购本国货物、工程和服务，但有《中华人民共和国政府采购法》第十条规定情形的除外。如采购进口产品的，应当符合《政府采购进口产品管理办法》（财库〔2007〕119 号文）、《关于政府采购进口产品管理有关问题的通知》（财办库〔2008〕248号文）等相关规定。是否采购进口产品以采购需求中确定的为准。</w:t>
      </w:r>
    </w:p>
    <w:p w14:paraId="79044182">
      <w:pPr>
        <w:spacing w:line="460" w:lineRule="exact"/>
        <w:ind w:firstLine="480"/>
        <w:rPr>
          <w:rFonts w:cs="仿宋_GB2312"/>
          <w:sz w:val="24"/>
          <w:highlight w:val="white"/>
        </w:rPr>
      </w:pPr>
      <w:r>
        <w:rPr>
          <w:rFonts w:hint="eastAsia" w:cs="仿宋_GB2312"/>
          <w:sz w:val="24"/>
          <w:highlight w:val="white"/>
        </w:rPr>
        <w:t>2、</w:t>
      </w:r>
      <w:r>
        <w:rPr>
          <w:rFonts w:cs="仿宋_GB2312"/>
          <w:sz w:val="24"/>
          <w:highlight w:val="white"/>
        </w:rPr>
        <w:t>中小企业政策</w:t>
      </w:r>
    </w:p>
    <w:p w14:paraId="6221E62C">
      <w:pPr>
        <w:spacing w:line="460" w:lineRule="exact"/>
        <w:ind w:firstLine="480"/>
        <w:rPr>
          <w:rFonts w:hint="eastAsia"/>
          <w:sz w:val="24"/>
          <w:highlight w:val="white"/>
        </w:rPr>
      </w:pPr>
      <w:r>
        <w:rPr>
          <w:rFonts w:hint="eastAsia"/>
          <w:sz w:val="24"/>
          <w:highlight w:val="white"/>
        </w:rPr>
        <w:t>本项目按以下第</w:t>
      </w:r>
      <w:r>
        <w:rPr>
          <w:rFonts w:hint="eastAsia"/>
          <w:b/>
          <w:bCs/>
          <w:sz w:val="24"/>
          <w:highlight w:val="none"/>
          <w:u w:val="single"/>
        </w:rPr>
        <w:t>（2）</w:t>
      </w:r>
      <w:r>
        <w:rPr>
          <w:rFonts w:hint="eastAsia"/>
          <w:sz w:val="24"/>
          <w:highlight w:val="white"/>
        </w:rPr>
        <w:t>种政策确定本项目落实的中小企业政策：</w:t>
      </w:r>
    </w:p>
    <w:p w14:paraId="4FC19A76">
      <w:pPr>
        <w:spacing w:line="460" w:lineRule="exact"/>
        <w:ind w:firstLine="480"/>
        <w:rPr>
          <w:sz w:val="24"/>
          <w:highlight w:val="white"/>
        </w:rPr>
      </w:pPr>
      <w:r>
        <w:rPr>
          <w:rFonts w:hint="eastAsia"/>
          <w:sz w:val="24"/>
          <w:highlight w:val="white"/>
        </w:rPr>
        <w:t>（1）本项目专门面向中小企业（含监狱企业、残疾人福利企业）采购。</w:t>
      </w:r>
    </w:p>
    <w:p w14:paraId="68BACF61">
      <w:pPr>
        <w:spacing w:line="460" w:lineRule="exact"/>
        <w:ind w:firstLine="480"/>
        <w:rPr>
          <w:sz w:val="24"/>
          <w:highlight w:val="white"/>
        </w:rPr>
      </w:pPr>
      <w:r>
        <w:rPr>
          <w:rFonts w:hint="eastAsia"/>
          <w:sz w:val="24"/>
          <w:highlight w:val="white"/>
        </w:rPr>
        <w:t>（2）投标人提供的服务符合规定情形的，对小微企业报价给予扣除（扣除比例详见“投标人须知”-“政府采购政策”相关条款），用扣除后的价格参加评审。</w:t>
      </w:r>
    </w:p>
    <w:p w14:paraId="411E81AF">
      <w:pPr>
        <w:rPr>
          <w:rFonts w:hint="eastAsia"/>
          <w:sz w:val="24"/>
          <w:highlight w:val="green"/>
        </w:rPr>
      </w:pPr>
      <w:r>
        <w:rPr>
          <w:rFonts w:hint="eastAsia" w:cs="仿宋_GB2312"/>
          <w:sz w:val="24"/>
          <w:highlight w:val="white"/>
        </w:rPr>
        <w:t>投标人提供的服务符合下列情形的，对小微企业报价给予</w:t>
      </w:r>
      <w:r>
        <w:rPr>
          <w:rFonts w:hint="eastAsia" w:cs="仿宋_GB2312"/>
          <w:sz w:val="24"/>
          <w:highlight w:val="none"/>
          <w:u w:val="single"/>
        </w:rPr>
        <w:t xml:space="preserve"> 10%</w:t>
      </w:r>
      <w:r>
        <w:rPr>
          <w:rFonts w:hint="eastAsia" w:cs="仿宋_GB2312"/>
          <w:sz w:val="24"/>
          <w:highlight w:val="none"/>
        </w:rPr>
        <w:t>的</w:t>
      </w:r>
      <w:r>
        <w:rPr>
          <w:rFonts w:hint="eastAsia" w:cs="仿宋_GB2312"/>
          <w:sz w:val="24"/>
          <w:highlight w:val="white"/>
        </w:rPr>
        <w:t>扣除，用扣除后的价格参加评审。</w:t>
      </w:r>
    </w:p>
    <w:p w14:paraId="7C7EFF4F">
      <w:pPr>
        <w:spacing w:line="460" w:lineRule="exact"/>
        <w:ind w:firstLine="480"/>
        <w:rPr>
          <w:sz w:val="24"/>
          <w:highlight w:val="white"/>
        </w:rPr>
      </w:pPr>
      <w:r>
        <w:rPr>
          <w:rFonts w:hint="eastAsia" w:cs="仿宋_GB2312"/>
          <w:sz w:val="24"/>
          <w:highlight w:val="white"/>
        </w:rPr>
        <w:t>在服务采购项目中，服务由中小企业承接，即提供服务的人员为中小企业依照《中华人民共和国劳动合同法》订立劳动合同的从业人员。</w:t>
      </w:r>
    </w:p>
    <w:p w14:paraId="147AB8BC">
      <w:pPr>
        <w:spacing w:line="460" w:lineRule="exact"/>
        <w:ind w:firstLine="480"/>
        <w:rPr>
          <w:sz w:val="24"/>
          <w:highlight w:val="white"/>
        </w:rPr>
      </w:pPr>
      <w:r>
        <w:rPr>
          <w:rFonts w:hint="eastAsia" w:cs="仿宋_GB2312"/>
          <w:sz w:val="24"/>
          <w:highlight w:val="white"/>
        </w:rPr>
        <w:t>注：①参加投标的中小企业，应当按照《政府采购促进中小企业发展管理办法》（财库〔2020〕46号）规定，出具《中小企业声明函》，中小企业划型依据《关于印发中小企业划型标准规定的通知》（工信部联企业〔2011〕300 号）。</w:t>
      </w:r>
    </w:p>
    <w:p w14:paraId="19CBBA2D">
      <w:pPr>
        <w:spacing w:line="460" w:lineRule="exact"/>
        <w:ind w:firstLine="480"/>
        <w:rPr>
          <w:sz w:val="24"/>
          <w:highlight w:val="white"/>
        </w:rPr>
      </w:pPr>
      <w:r>
        <w:rPr>
          <w:rFonts w:hint="eastAsia" w:cs="仿宋_GB2312"/>
          <w:sz w:val="24"/>
          <w:highlight w:val="white"/>
        </w:rPr>
        <w:t>②参加投标的监狱企业，视同小型、微型企业。监狱企业应当按照《财政部 司法部关于政府采购支持监狱企业发展有关问题的通知》（财库〔2014〕68号）的规定，提供由省级以上监狱管理局、戒毒管理局(含新疆生产建设兵团)出具的属于监狱企业的证明文件（投标文件中上传加盖出具单位公章的电子件）。</w:t>
      </w:r>
    </w:p>
    <w:p w14:paraId="4EFF4063">
      <w:pPr>
        <w:spacing w:line="460" w:lineRule="exact"/>
        <w:ind w:firstLine="480"/>
        <w:rPr>
          <w:sz w:val="24"/>
          <w:highlight w:val="white"/>
        </w:rPr>
      </w:pPr>
      <w:r>
        <w:rPr>
          <w:rFonts w:hint="eastAsia" w:cs="仿宋_GB2312"/>
          <w:sz w:val="24"/>
          <w:highlight w:val="white"/>
        </w:rPr>
        <w:t>③参加投标的残疾人福利性单位，视同小型、微型企业。残疾人福利性单位应当按照《财政部 民政部 中国残疾人联合会关于促进残疾人就业政府采购政策的通知》（财库〔2017〕141号）的规定，提供《残疾人福利性单位声明函》。</w:t>
      </w:r>
    </w:p>
    <w:p w14:paraId="62BDB4D2">
      <w:pPr>
        <w:spacing w:line="460" w:lineRule="exact"/>
        <w:ind w:firstLine="480"/>
        <w:rPr>
          <w:sz w:val="24"/>
          <w:highlight w:val="white"/>
        </w:rPr>
      </w:pPr>
      <w:r>
        <w:rPr>
          <w:rFonts w:hint="eastAsia" w:cs="仿宋_GB2312"/>
          <w:sz w:val="24"/>
          <w:highlight w:val="white"/>
        </w:rPr>
        <w:t>④大中型企业与小微企业组成联合体或者允许大中型企业向一家或者多家小微企业分包的采购项目，对于联合协议或者分包意向协议约定小微企业的合同份额占到合同总金额</w:t>
      </w:r>
      <w:r>
        <w:rPr>
          <w:rFonts w:hint="eastAsia" w:cs="仿宋_GB2312"/>
          <w:sz w:val="24"/>
          <w:highlight w:val="white"/>
          <w:lang w:val="en-US" w:eastAsia="zh-CN"/>
        </w:rPr>
        <w:t>4</w:t>
      </w:r>
      <w:r>
        <w:rPr>
          <w:rFonts w:hint="eastAsia" w:cs="仿宋_GB2312"/>
          <w:sz w:val="24"/>
          <w:highlight w:val="white"/>
        </w:rPr>
        <w:t>0%以上的，对联合体或者大中型企业的报价给予5%（工程项目为2%）的扣除，用扣除后的价格参加评审。（是否接受联合体以“项目基本情况”相关内容为准，是否允许大中型企业向一家或者多家小微企业分包以“须知前附表”、“采购需求”相关内容为准。）</w:t>
      </w:r>
    </w:p>
    <w:p w14:paraId="38FE820F">
      <w:pPr>
        <w:spacing w:line="460" w:lineRule="exact"/>
        <w:ind w:firstLine="480"/>
        <w:rPr>
          <w:rFonts w:cs="仿宋_GB2312"/>
          <w:sz w:val="24"/>
          <w:highlight w:val="white"/>
        </w:rPr>
      </w:pPr>
      <w:r>
        <w:rPr>
          <w:rFonts w:hint="eastAsia" w:cs="仿宋_GB2312"/>
          <w:sz w:val="24"/>
          <w:highlight w:val="white"/>
        </w:rPr>
        <w:t>3、政府采购节能产品、环境标志产品</w:t>
      </w:r>
    </w:p>
    <w:p w14:paraId="4BFCFE94">
      <w:pPr>
        <w:spacing w:line="460" w:lineRule="exact"/>
        <w:ind w:firstLine="480"/>
        <w:rPr>
          <w:rFonts w:cs="仿宋_GB2312"/>
          <w:sz w:val="24"/>
          <w:highlight w:val="white"/>
        </w:rPr>
      </w:pPr>
      <w:r>
        <w:rPr>
          <w:rFonts w:hint="eastAsia" w:cs="仿宋_GB2312"/>
          <w:sz w:val="24"/>
          <w:highlight w:val="white"/>
        </w:rPr>
        <w:t>（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p>
    <w:p w14:paraId="2ABAD391">
      <w:pPr>
        <w:spacing w:line="460" w:lineRule="exact"/>
        <w:ind w:firstLine="480"/>
        <w:rPr>
          <w:rFonts w:cs="仿宋_GB2312"/>
          <w:sz w:val="24"/>
          <w:highlight w:val="white"/>
        </w:rPr>
      </w:pPr>
      <w:r>
        <w:rPr>
          <w:rFonts w:hint="eastAsia" w:cs="仿宋_GB2312"/>
          <w:sz w:val="24"/>
          <w:highlight w:val="white"/>
        </w:rPr>
        <w:t>（2）采购人拟采购的产品属于政府强制采购的节能产品品目清单范围的，投标人须提供国家确定的认证机构出具的、处于有效期之内的节能产品认证证书的，否则无效标处理。</w:t>
      </w:r>
    </w:p>
    <w:p w14:paraId="64635D24">
      <w:pPr>
        <w:spacing w:line="460" w:lineRule="exact"/>
        <w:ind w:firstLine="480"/>
        <w:rPr>
          <w:rFonts w:cs="仿宋_GB2312"/>
          <w:sz w:val="24"/>
          <w:highlight w:val="white"/>
        </w:rPr>
      </w:pPr>
      <w:r>
        <w:rPr>
          <w:rFonts w:hint="eastAsia" w:cs="仿宋_GB2312"/>
          <w:sz w:val="24"/>
          <w:highlight w:val="white"/>
        </w:rPr>
        <w:t>（3）采购人拟采购的产品属于优先采购的节能环保品目清单范围的，按以下条件优先采购：</w:t>
      </w:r>
    </w:p>
    <w:p w14:paraId="355ABAB4">
      <w:pPr>
        <w:spacing w:line="460" w:lineRule="exact"/>
        <w:ind w:firstLine="480"/>
        <w:rPr>
          <w:rFonts w:cs="仿宋_GB2312"/>
          <w:sz w:val="24"/>
          <w:highlight w:val="white"/>
        </w:rPr>
      </w:pPr>
      <w:r>
        <w:rPr>
          <w:rFonts w:hint="eastAsia" w:cs="仿宋_GB2312"/>
          <w:sz w:val="24"/>
          <w:highlight w:val="white"/>
        </w:rPr>
        <w:t>采用综合评分法的项目，对提供有效节能环保证书的投标人加分。</w:t>
      </w:r>
    </w:p>
    <w:p w14:paraId="4A36A35A">
      <w:pPr>
        <w:spacing w:line="460" w:lineRule="exact"/>
        <w:ind w:firstLine="480"/>
        <w:rPr>
          <w:rFonts w:cs="仿宋_GB2312"/>
          <w:sz w:val="24"/>
          <w:highlight w:val="white"/>
        </w:rPr>
      </w:pPr>
      <w:r>
        <w:rPr>
          <w:rFonts w:hint="eastAsia" w:cs="仿宋_GB2312"/>
          <w:sz w:val="24"/>
          <w:highlight w:val="white"/>
        </w:rPr>
        <w:t>4、商品包装、快递包装政府采购需求标准（试行）</w:t>
      </w:r>
    </w:p>
    <w:p w14:paraId="4E7451BD">
      <w:pPr>
        <w:spacing w:line="460" w:lineRule="exact"/>
        <w:ind w:firstLine="480"/>
        <w:rPr>
          <w:rFonts w:cs="仿宋_GB2312"/>
          <w:sz w:val="24"/>
          <w:highlight w:val="white"/>
        </w:rPr>
      </w:pPr>
      <w:r>
        <w:rPr>
          <w:rFonts w:hint="eastAsia" w:cs="仿宋_GB2312"/>
          <w:sz w:val="24"/>
          <w:highlight w:val="white"/>
        </w:rPr>
        <w:t>为助力打好污染防治攻坚战，推广使用绿色包装，根据财政部印发的《商品包装政府采购需求标准（试行）》、《快递包装政府采购需求标准（试行）》，如本项目涉及商品包装和快递包装的，具体需求详见第四章采购需求。</w:t>
      </w:r>
    </w:p>
    <w:p w14:paraId="1CC7BF19">
      <w:pPr>
        <w:spacing w:line="460" w:lineRule="exact"/>
        <w:ind w:firstLine="480"/>
        <w:rPr>
          <w:rFonts w:cs="仿宋_GB2312"/>
          <w:sz w:val="24"/>
          <w:highlight w:val="white"/>
        </w:rPr>
      </w:pPr>
      <w:r>
        <w:rPr>
          <w:rFonts w:hint="eastAsia" w:cs="仿宋_GB2312"/>
          <w:sz w:val="24"/>
          <w:highlight w:val="white"/>
        </w:rPr>
        <w:t>5、绿色数据中心政府采购需求标准（试行）</w:t>
      </w:r>
    </w:p>
    <w:p w14:paraId="52A5BFC9">
      <w:pPr>
        <w:spacing w:line="460" w:lineRule="exact"/>
        <w:ind w:firstLine="480"/>
        <w:rPr>
          <w:rFonts w:hint="eastAsia"/>
        </w:rPr>
      </w:pPr>
      <w:r>
        <w:rPr>
          <w:rFonts w:hint="eastAsia" w:cs="仿宋_GB2312"/>
          <w:sz w:val="24"/>
          <w:highlight w:val="white"/>
        </w:rPr>
        <w:t>为加快数据中心绿色转型，根据财政部 生态环境部 工业和信息化部关于印发《绿色数据中心政府采购需求标准（试行）》的通知），本项目如涉及绿色数据中心，具体需求详见第四章采购需求。</w:t>
      </w:r>
    </w:p>
    <w:p w14:paraId="021F2A89">
      <w:pPr>
        <w:rPr>
          <w:rFonts w:hint="eastAsia"/>
        </w:rPr>
      </w:pPr>
    </w:p>
    <w:p w14:paraId="1AAE5B9A">
      <w:pPr>
        <w:rPr>
          <w:rFonts w:hint="eastAsia"/>
        </w:rPr>
      </w:pPr>
    </w:p>
    <w:p w14:paraId="7BE28582">
      <w:pPr>
        <w:pStyle w:val="295"/>
        <w:rPr>
          <w:rFonts w:hint="eastAsia" w:ascii="Times New Roman" w:hAnsi="Times New Roman"/>
        </w:rPr>
      </w:pPr>
    </w:p>
    <w:p w14:paraId="28ED1659">
      <w:pPr>
        <w:rPr>
          <w:rFonts w:hint="eastAsia"/>
        </w:rPr>
      </w:pPr>
    </w:p>
    <w:p w14:paraId="0A512B73">
      <w:pPr>
        <w:pStyle w:val="198"/>
        <w:rPr>
          <w:rFonts w:hint="eastAsia" w:ascii="Times New Roman" w:eastAsia="黑体"/>
          <w:bCs/>
          <w:sz w:val="44"/>
        </w:rPr>
      </w:pPr>
      <w:r>
        <w:rPr>
          <w:rFonts w:hint="eastAsia" w:ascii="Times New Roman" w:eastAsia="黑体"/>
          <w:bCs/>
          <w:sz w:val="44"/>
        </w:rPr>
        <w:br w:type="page" w:clear="all"/>
      </w:r>
      <w:r>
        <w:rPr>
          <w:rFonts w:hint="eastAsia" w:ascii="Times New Roman" w:eastAsia="黑体"/>
          <w:bCs/>
          <w:sz w:val="44"/>
        </w:rPr>
        <w:t>第六章  投标</w:t>
      </w:r>
      <w:bookmarkEnd w:id="474"/>
      <w:bookmarkEnd w:id="475"/>
      <w:bookmarkEnd w:id="478"/>
      <w:r>
        <w:rPr>
          <w:rFonts w:hint="eastAsia" w:ascii="Times New Roman" w:eastAsia="黑体"/>
          <w:bCs/>
          <w:sz w:val="44"/>
        </w:rPr>
        <w:t xml:space="preserve">文件格式 </w:t>
      </w:r>
    </w:p>
    <w:p w14:paraId="6CAE70DC">
      <w:pPr>
        <w:jc w:val="center"/>
        <w:rPr>
          <w:rFonts w:hint="eastAsia"/>
          <w:b/>
          <w:sz w:val="72"/>
        </w:rPr>
      </w:pPr>
      <w:bookmarkStart w:id="480" w:name="_Hlt26955039"/>
      <w:bookmarkEnd w:id="480"/>
      <w:bookmarkStart w:id="481" w:name="_Hlt26671244"/>
      <w:bookmarkEnd w:id="481"/>
      <w:bookmarkStart w:id="482" w:name="_Toc26554094"/>
      <w:bookmarkStart w:id="483" w:name="_Toc49090576"/>
      <w:bookmarkStart w:id="484" w:name="_Toc120614282"/>
    </w:p>
    <w:p w14:paraId="6866248F">
      <w:pPr>
        <w:jc w:val="center"/>
        <w:rPr>
          <w:rFonts w:hint="eastAsia"/>
          <w:b/>
          <w:sz w:val="72"/>
        </w:rPr>
      </w:pPr>
    </w:p>
    <w:p w14:paraId="5AD99B06">
      <w:pPr>
        <w:jc w:val="center"/>
        <w:rPr>
          <w:rFonts w:hint="eastAsia"/>
          <w:b/>
          <w:sz w:val="72"/>
        </w:rPr>
      </w:pPr>
    </w:p>
    <w:p w14:paraId="7519D0F8">
      <w:pPr>
        <w:jc w:val="center"/>
        <w:rPr>
          <w:rFonts w:hint="eastAsia"/>
          <w:b/>
          <w:sz w:val="72"/>
        </w:rPr>
      </w:pPr>
      <w:r>
        <w:rPr>
          <w:rFonts w:hint="eastAsia"/>
          <w:b/>
          <w:sz w:val="72"/>
        </w:rPr>
        <w:t>投  标  文  件</w:t>
      </w:r>
    </w:p>
    <w:p w14:paraId="0E2CBE8F">
      <w:pPr>
        <w:jc w:val="center"/>
        <w:rPr>
          <w:rFonts w:hint="eastAsia"/>
          <w:b/>
          <w:sz w:val="72"/>
        </w:rPr>
      </w:pPr>
    </w:p>
    <w:p w14:paraId="69BF0C1C">
      <w:pPr>
        <w:jc w:val="center"/>
        <w:rPr>
          <w:rFonts w:hint="eastAsia"/>
          <w:b/>
          <w:sz w:val="72"/>
        </w:rPr>
      </w:pPr>
    </w:p>
    <w:p w14:paraId="68A73BEC">
      <w:pPr>
        <w:jc w:val="center"/>
        <w:rPr>
          <w:rFonts w:hint="eastAsia"/>
          <w:b/>
          <w:sz w:val="36"/>
        </w:rPr>
      </w:pPr>
    </w:p>
    <w:p w14:paraId="624F1F15">
      <w:pPr>
        <w:jc w:val="center"/>
        <w:rPr>
          <w:rFonts w:hint="eastAsia"/>
          <w:b/>
          <w:sz w:val="36"/>
        </w:rPr>
      </w:pPr>
    </w:p>
    <w:p w14:paraId="05123FD7">
      <w:pPr>
        <w:jc w:val="center"/>
        <w:rPr>
          <w:rFonts w:hint="eastAsia"/>
          <w:b/>
          <w:sz w:val="36"/>
        </w:rPr>
      </w:pPr>
    </w:p>
    <w:p w14:paraId="38EF5401">
      <w:pPr>
        <w:jc w:val="center"/>
        <w:rPr>
          <w:rFonts w:hint="eastAsia"/>
          <w:b/>
          <w:sz w:val="36"/>
        </w:rPr>
      </w:pPr>
    </w:p>
    <w:p w14:paraId="1DD79C1D">
      <w:pPr>
        <w:ind w:firstLine="1084"/>
        <w:rPr>
          <w:rFonts w:hint="eastAsia"/>
          <w:b/>
          <w:sz w:val="36"/>
        </w:rPr>
      </w:pPr>
      <w:r>
        <w:rPr>
          <w:rFonts w:hint="eastAsia"/>
          <w:b/>
          <w:sz w:val="36"/>
        </w:rPr>
        <w:t>项 目 名 称：</w:t>
      </w:r>
      <w:r>
        <w:rPr>
          <w:rFonts w:hint="eastAsia"/>
          <w:b/>
          <w:sz w:val="36"/>
          <w:u w:val="single"/>
        </w:rPr>
        <w:t xml:space="preserve">               </w:t>
      </w:r>
    </w:p>
    <w:p w14:paraId="6AE05CDD">
      <w:pPr>
        <w:ind w:firstLine="1084"/>
        <w:rPr>
          <w:rFonts w:hint="eastAsia"/>
          <w:b/>
          <w:sz w:val="36"/>
          <w:u w:val="single"/>
        </w:rPr>
      </w:pPr>
      <w:r>
        <w:rPr>
          <w:rFonts w:hint="eastAsia"/>
          <w:b/>
          <w:sz w:val="36"/>
        </w:rPr>
        <w:t>项 目 编 号：</w:t>
      </w:r>
      <w:r>
        <w:rPr>
          <w:rFonts w:hint="eastAsia"/>
          <w:b/>
          <w:sz w:val="36"/>
          <w:u w:val="single"/>
        </w:rPr>
        <w:t xml:space="preserve">               </w:t>
      </w:r>
    </w:p>
    <w:p w14:paraId="26A99983">
      <w:pPr>
        <w:rPr>
          <w:rFonts w:hint="eastAsia"/>
          <w:b/>
          <w:sz w:val="36"/>
          <w:u w:val="single"/>
        </w:rPr>
      </w:pPr>
      <w:r>
        <w:rPr>
          <w:rFonts w:hint="eastAsia"/>
          <w:b/>
          <w:sz w:val="36"/>
        </w:rPr>
        <w:t xml:space="preserve">      投标人名称 ：</w:t>
      </w:r>
      <w:r>
        <w:rPr>
          <w:rFonts w:hint="eastAsia"/>
          <w:b/>
          <w:sz w:val="36"/>
          <w:u w:val="single"/>
        </w:rPr>
        <w:t>（加盖CA电子公章）</w:t>
      </w:r>
    </w:p>
    <w:p w14:paraId="0896391B">
      <w:pPr>
        <w:rPr>
          <w:rFonts w:hint="eastAsia"/>
          <w:b/>
          <w:sz w:val="36"/>
          <w:u w:val="single"/>
        </w:rPr>
      </w:pPr>
      <w:r>
        <w:rPr>
          <w:rFonts w:hint="eastAsia"/>
          <w:b/>
          <w:sz w:val="36"/>
        </w:rPr>
        <w:t xml:space="preserve">      日      期 ：</w:t>
      </w:r>
      <w:r>
        <w:rPr>
          <w:rFonts w:hint="eastAsia"/>
          <w:b/>
          <w:sz w:val="36"/>
          <w:u w:val="single"/>
        </w:rPr>
        <w:t xml:space="preserve">               </w:t>
      </w:r>
    </w:p>
    <w:p w14:paraId="7334B2C0">
      <w:pPr>
        <w:spacing w:line="440" w:lineRule="exact"/>
        <w:jc w:val="center"/>
        <w:rPr>
          <w:rFonts w:hint="eastAsia"/>
          <w:b/>
          <w:bCs/>
          <w:sz w:val="32"/>
          <w:szCs w:val="32"/>
        </w:rPr>
      </w:pPr>
    </w:p>
    <w:p w14:paraId="100783F2">
      <w:pPr>
        <w:spacing w:line="440" w:lineRule="exact"/>
      </w:pPr>
    </w:p>
    <w:p w14:paraId="3BE3AC3C">
      <w:pPr>
        <w:ind w:firstLine="1084"/>
        <w:rPr>
          <w:b/>
          <w:bCs/>
          <w:sz w:val="32"/>
          <w:szCs w:val="32"/>
        </w:rPr>
      </w:pPr>
      <w:r>
        <w:rPr>
          <w:b/>
          <w:sz w:val="36"/>
          <w:u w:val="single"/>
        </w:rPr>
        <w:br w:type="page" w:clear="all"/>
      </w:r>
    </w:p>
    <w:p w14:paraId="53EDACD9">
      <w:pPr>
        <w:spacing w:line="440" w:lineRule="exact"/>
        <w:jc w:val="center"/>
        <w:rPr>
          <w:rFonts w:hint="eastAsia"/>
          <w:b/>
          <w:bCs/>
          <w:sz w:val="32"/>
          <w:szCs w:val="32"/>
        </w:rPr>
      </w:pPr>
      <w:r>
        <w:rPr>
          <w:rFonts w:hint="eastAsia"/>
          <w:b/>
          <w:bCs/>
          <w:sz w:val="32"/>
          <w:szCs w:val="32"/>
        </w:rPr>
        <w:t>投标文件目录</w:t>
      </w:r>
    </w:p>
    <w:p w14:paraId="6EF21988">
      <w:pPr>
        <w:spacing w:line="440" w:lineRule="exact"/>
        <w:jc w:val="center"/>
        <w:rPr>
          <w:rFonts w:hint="eastAsia"/>
          <w:b/>
          <w:bCs/>
          <w:sz w:val="32"/>
          <w:szCs w:val="32"/>
        </w:rPr>
      </w:pPr>
    </w:p>
    <w:p w14:paraId="5AD8CD0F">
      <w:pPr>
        <w:spacing w:line="600" w:lineRule="exact"/>
        <w:ind w:firstLine="560"/>
        <w:rPr>
          <w:rFonts w:cs="宋体"/>
          <w:sz w:val="28"/>
          <w:szCs w:val="28"/>
        </w:rPr>
      </w:pPr>
      <w:r>
        <w:rPr>
          <w:rFonts w:hint="eastAsia" w:cs="宋体"/>
          <w:sz w:val="28"/>
          <w:szCs w:val="28"/>
        </w:rPr>
        <w:t>一、投标声明及承诺函</w:t>
      </w:r>
    </w:p>
    <w:p w14:paraId="0E3460FB">
      <w:pPr>
        <w:spacing w:line="600" w:lineRule="exact"/>
        <w:ind w:firstLine="560"/>
        <w:rPr>
          <w:rFonts w:hint="eastAsia" w:cs="宋体"/>
          <w:sz w:val="28"/>
          <w:szCs w:val="28"/>
        </w:rPr>
      </w:pPr>
      <w:r>
        <w:rPr>
          <w:rFonts w:hint="eastAsia" w:cs="宋体"/>
          <w:sz w:val="28"/>
          <w:szCs w:val="28"/>
        </w:rPr>
        <w:t>二、投标人基本情况</w:t>
      </w:r>
    </w:p>
    <w:p w14:paraId="72DCF8C8">
      <w:pPr>
        <w:spacing w:line="600" w:lineRule="exact"/>
        <w:ind w:firstLine="560"/>
        <w:rPr>
          <w:rFonts w:hint="eastAsia" w:cs="宋体"/>
          <w:sz w:val="28"/>
          <w:szCs w:val="28"/>
        </w:rPr>
      </w:pPr>
      <w:r>
        <w:rPr>
          <w:rFonts w:hint="eastAsia" w:cs="宋体"/>
          <w:sz w:val="28"/>
          <w:szCs w:val="28"/>
        </w:rPr>
        <w:t>三、满足特定资格要求的证明文件（如果设置特定资格要求，则需要提供）</w:t>
      </w:r>
    </w:p>
    <w:p w14:paraId="2BC2C94D">
      <w:pPr>
        <w:spacing w:line="600" w:lineRule="exact"/>
        <w:ind w:firstLine="560"/>
        <w:rPr>
          <w:rFonts w:hint="eastAsia" w:cs="宋体"/>
          <w:sz w:val="28"/>
          <w:szCs w:val="28"/>
        </w:rPr>
      </w:pPr>
      <w:r>
        <w:rPr>
          <w:rFonts w:hint="eastAsia" w:cs="宋体"/>
          <w:sz w:val="28"/>
          <w:szCs w:val="28"/>
        </w:rPr>
        <w:t>四、法人授权书</w:t>
      </w:r>
    </w:p>
    <w:p w14:paraId="64B8ED93">
      <w:pPr>
        <w:spacing w:line="600" w:lineRule="exact"/>
        <w:ind w:firstLine="560"/>
        <w:rPr>
          <w:rFonts w:hint="eastAsia" w:cs="宋体"/>
          <w:sz w:val="28"/>
          <w:szCs w:val="28"/>
        </w:rPr>
      </w:pPr>
      <w:r>
        <w:rPr>
          <w:rFonts w:hint="eastAsia" w:cs="宋体"/>
          <w:sz w:val="28"/>
          <w:szCs w:val="28"/>
        </w:rPr>
        <w:t>五、开标一览表</w:t>
      </w:r>
    </w:p>
    <w:p w14:paraId="232090A2">
      <w:pPr>
        <w:spacing w:line="600" w:lineRule="exact"/>
        <w:ind w:firstLine="560"/>
        <w:rPr>
          <w:rFonts w:cs="宋体"/>
          <w:sz w:val="28"/>
          <w:szCs w:val="28"/>
        </w:rPr>
      </w:pPr>
      <w:r>
        <w:rPr>
          <w:rFonts w:hint="eastAsia" w:cs="宋体"/>
          <w:sz w:val="28"/>
          <w:szCs w:val="28"/>
        </w:rPr>
        <w:t>六、投标报价明细表</w:t>
      </w:r>
    </w:p>
    <w:p w14:paraId="55CDF333">
      <w:pPr>
        <w:spacing w:line="600" w:lineRule="exact"/>
        <w:ind w:firstLine="560"/>
        <w:rPr>
          <w:rFonts w:hint="eastAsia" w:cs="宋体"/>
          <w:sz w:val="28"/>
          <w:szCs w:val="28"/>
        </w:rPr>
      </w:pPr>
      <w:r>
        <w:rPr>
          <w:rFonts w:hint="eastAsia" w:cs="宋体"/>
          <w:sz w:val="28"/>
          <w:szCs w:val="28"/>
        </w:rPr>
        <w:t>七、中小企业声明函</w:t>
      </w:r>
    </w:p>
    <w:p w14:paraId="0F7A99A2">
      <w:pPr>
        <w:spacing w:line="600" w:lineRule="exact"/>
        <w:ind w:firstLine="560"/>
        <w:rPr>
          <w:rFonts w:hint="eastAsia" w:cs="宋体"/>
          <w:sz w:val="28"/>
          <w:szCs w:val="28"/>
        </w:rPr>
      </w:pPr>
      <w:r>
        <w:rPr>
          <w:rFonts w:hint="eastAsia" w:cs="宋体"/>
          <w:sz w:val="28"/>
          <w:szCs w:val="28"/>
        </w:rPr>
        <w:t>八、技术要求响应及偏离表</w:t>
      </w:r>
    </w:p>
    <w:p w14:paraId="09FC1EF6">
      <w:pPr>
        <w:spacing w:line="600" w:lineRule="exact"/>
        <w:ind w:firstLine="560"/>
        <w:rPr>
          <w:rFonts w:hint="eastAsia" w:cs="宋体"/>
          <w:sz w:val="28"/>
          <w:szCs w:val="28"/>
        </w:rPr>
      </w:pPr>
      <w:r>
        <w:rPr>
          <w:rFonts w:hint="eastAsia" w:cs="宋体"/>
          <w:sz w:val="28"/>
          <w:szCs w:val="28"/>
        </w:rPr>
        <w:t>九、项目组成员</w:t>
      </w:r>
    </w:p>
    <w:p w14:paraId="5629B2DF">
      <w:pPr>
        <w:spacing w:line="600" w:lineRule="exact"/>
        <w:ind w:firstLine="560"/>
        <w:rPr>
          <w:rFonts w:hint="eastAsia" w:cs="宋体"/>
          <w:sz w:val="28"/>
          <w:szCs w:val="28"/>
        </w:rPr>
      </w:pPr>
      <w:r>
        <w:rPr>
          <w:rFonts w:hint="eastAsia" w:cs="宋体"/>
          <w:sz w:val="28"/>
          <w:szCs w:val="28"/>
        </w:rPr>
        <w:t>十、企业业绩</w:t>
      </w:r>
    </w:p>
    <w:p w14:paraId="638ACF80">
      <w:pPr>
        <w:spacing w:line="600" w:lineRule="exact"/>
        <w:ind w:firstLine="560"/>
        <w:rPr>
          <w:rFonts w:hint="eastAsia" w:cs="宋体"/>
          <w:sz w:val="28"/>
          <w:szCs w:val="28"/>
        </w:rPr>
      </w:pPr>
      <w:r>
        <w:rPr>
          <w:rFonts w:hint="eastAsia" w:cs="宋体"/>
          <w:sz w:val="28"/>
          <w:szCs w:val="28"/>
        </w:rPr>
        <w:t>十一、投标所需其他材料</w:t>
      </w:r>
    </w:p>
    <w:p w14:paraId="5511980D">
      <w:pPr>
        <w:pStyle w:val="250"/>
        <w:rPr>
          <w:rFonts w:ascii="Times New Roman" w:hAnsi="Times New Roman"/>
          <w:caps w:val="0"/>
          <w:lang w:val="en-US" w:eastAsia="zh-CN"/>
        </w:rPr>
      </w:pPr>
    </w:p>
    <w:p w14:paraId="77E27ECE">
      <w:pPr>
        <w:spacing w:line="440" w:lineRule="exact"/>
        <w:ind w:firstLine="480"/>
        <w:rPr>
          <w:sz w:val="24"/>
        </w:rPr>
      </w:pPr>
    </w:p>
    <w:p w14:paraId="090FA234">
      <w:pPr>
        <w:spacing w:line="440" w:lineRule="exact"/>
        <w:ind w:firstLine="480"/>
        <w:rPr>
          <w:sz w:val="24"/>
        </w:rPr>
      </w:pPr>
    </w:p>
    <w:p w14:paraId="35FEA898">
      <w:pPr>
        <w:spacing w:line="440" w:lineRule="exact"/>
        <w:ind w:firstLine="480"/>
        <w:rPr>
          <w:sz w:val="24"/>
        </w:rPr>
      </w:pPr>
    </w:p>
    <w:p w14:paraId="28E56388">
      <w:pPr>
        <w:spacing w:line="440" w:lineRule="exact"/>
        <w:ind w:firstLine="480"/>
        <w:rPr>
          <w:sz w:val="24"/>
        </w:rPr>
      </w:pPr>
    </w:p>
    <w:p w14:paraId="585E01DA">
      <w:pPr>
        <w:spacing w:line="440" w:lineRule="exact"/>
        <w:ind w:firstLine="480"/>
        <w:rPr>
          <w:sz w:val="24"/>
        </w:rPr>
      </w:pPr>
    </w:p>
    <w:p w14:paraId="43FD12A3">
      <w:pPr>
        <w:pStyle w:val="336"/>
      </w:pPr>
      <w:bookmarkStart w:id="485" w:name="_Toc23838"/>
    </w:p>
    <w:p w14:paraId="15017299">
      <w:pPr>
        <w:pStyle w:val="336"/>
      </w:pPr>
    </w:p>
    <w:p w14:paraId="1B7C66EC">
      <w:pPr>
        <w:pStyle w:val="336"/>
      </w:pPr>
    </w:p>
    <w:p w14:paraId="23FCF8E7">
      <w:pPr>
        <w:pStyle w:val="336"/>
      </w:pPr>
      <w:r>
        <w:rPr/>
        <w:br w:type="page" w:clear="all"/>
      </w:r>
      <w:bookmarkEnd w:id="485"/>
    </w:p>
    <w:p w14:paraId="78BED939">
      <w:pPr>
        <w:pStyle w:val="334"/>
        <w:rPr>
          <w:rFonts w:hint="eastAsia" w:ascii="Times New Roman" w:hAnsi="Times New Roman"/>
          <w:b/>
          <w:sz w:val="32"/>
          <w:szCs w:val="32"/>
        </w:rPr>
      </w:pPr>
      <w:r>
        <w:rPr>
          <w:rFonts w:hint="eastAsia" w:ascii="Times New Roman" w:hAnsi="Times New Roman"/>
          <w:b/>
          <w:sz w:val="32"/>
          <w:szCs w:val="32"/>
        </w:rPr>
        <w:t>一、</w:t>
      </w:r>
      <w:bookmarkEnd w:id="482"/>
      <w:bookmarkEnd w:id="483"/>
      <w:bookmarkEnd w:id="484"/>
      <w:bookmarkStart w:id="486" w:name="_Toc120614284"/>
      <w:r>
        <w:rPr>
          <w:rFonts w:hint="eastAsia" w:ascii="Times New Roman" w:hAnsi="Times New Roman"/>
          <w:b/>
          <w:sz w:val="32"/>
          <w:szCs w:val="32"/>
        </w:rPr>
        <w:t>投标声明及承诺函</w:t>
      </w:r>
    </w:p>
    <w:p w14:paraId="409E6485">
      <w:pPr>
        <w:pStyle w:val="334"/>
        <w:spacing w:line="500" w:lineRule="exact"/>
        <w:jc w:val="left"/>
        <w:rPr>
          <w:rFonts w:ascii="Times New Roman" w:hAnsi="Times New Roman" w:eastAsia="方正仿宋_GBK"/>
          <w:sz w:val="24"/>
          <w:szCs w:val="24"/>
          <w:u w:val="single"/>
        </w:rPr>
      </w:pPr>
      <w:r>
        <w:rPr>
          <w:rFonts w:hint="eastAsia" w:ascii="Times New Roman" w:hAnsi="Times New Roman" w:eastAsia="方正仿宋_GBK"/>
          <w:sz w:val="24"/>
          <w:szCs w:val="24"/>
          <w:u w:val="single"/>
        </w:rPr>
        <w:t>（采购单位名称）：</w:t>
      </w:r>
    </w:p>
    <w:p w14:paraId="21FFB44F">
      <w:pPr>
        <w:pStyle w:val="334"/>
        <w:spacing w:line="500" w:lineRule="exact"/>
        <w:ind w:firstLine="480"/>
        <w:jc w:val="left"/>
        <w:rPr>
          <w:rFonts w:ascii="Times New Roman" w:hAnsi="Times New Roman" w:eastAsia="方正仿宋_GBK"/>
          <w:sz w:val="24"/>
          <w:szCs w:val="24"/>
        </w:rPr>
      </w:pPr>
      <w:r>
        <w:rPr>
          <w:rFonts w:hint="eastAsia" w:ascii="Times New Roman" w:hAnsi="Times New Roman" w:eastAsia="方正仿宋_GBK"/>
          <w:sz w:val="24"/>
          <w:szCs w:val="24"/>
        </w:rPr>
        <w:t>根据已收到的项目编号为</w:t>
      </w:r>
      <w:r>
        <w:rPr>
          <w:rFonts w:hint="eastAsia" w:ascii="Times New Roman" w:hAnsi="Times New Roman" w:eastAsia="方正仿宋_GBK"/>
          <w:sz w:val="24"/>
          <w:szCs w:val="24"/>
          <w:u w:val="single"/>
        </w:rPr>
        <w:t xml:space="preserve">        </w:t>
      </w:r>
      <w:r>
        <w:rPr>
          <w:rFonts w:hint="eastAsia" w:ascii="Times New Roman" w:hAnsi="Times New Roman" w:eastAsia="方正仿宋_GBK"/>
          <w:sz w:val="24"/>
          <w:szCs w:val="24"/>
        </w:rPr>
        <w:t>的</w:t>
      </w:r>
      <w:r>
        <w:rPr>
          <w:rFonts w:hint="eastAsia" w:ascii="Times New Roman" w:hAnsi="Times New Roman" w:eastAsia="方正仿宋_GBK"/>
          <w:sz w:val="24"/>
          <w:szCs w:val="24"/>
          <w:u w:val="single"/>
        </w:rPr>
        <w:t xml:space="preserve">         </w:t>
      </w:r>
      <w:r>
        <w:rPr>
          <w:rFonts w:hint="eastAsia" w:ascii="Times New Roman" w:hAnsi="Times New Roman" w:eastAsia="方正仿宋_GBK"/>
          <w:sz w:val="24"/>
          <w:szCs w:val="24"/>
        </w:rPr>
        <w:t>项目的招标文件，我方在参加本项目招投标活动中，特做出如下承诺：</w:t>
      </w:r>
    </w:p>
    <w:p w14:paraId="13A6CF84">
      <w:pPr>
        <w:pStyle w:val="334"/>
        <w:spacing w:line="500" w:lineRule="exact"/>
        <w:ind w:firstLine="480"/>
        <w:jc w:val="left"/>
        <w:rPr>
          <w:rFonts w:ascii="Times New Roman" w:hAnsi="Times New Roman" w:eastAsia="方正仿宋_GBK"/>
          <w:sz w:val="24"/>
        </w:rPr>
      </w:pPr>
      <w:r>
        <w:rPr>
          <w:rFonts w:hint="eastAsia" w:ascii="Times New Roman" w:hAnsi="Times New Roman" w:eastAsia="方正仿宋_GBK"/>
          <w:sz w:val="24"/>
          <w:szCs w:val="24"/>
        </w:rPr>
        <w:t>一、我方</w:t>
      </w:r>
      <w:r>
        <w:rPr>
          <w:rFonts w:ascii="Times New Roman" w:hAnsi="Times New Roman" w:eastAsia="方正仿宋_GBK"/>
          <w:sz w:val="24"/>
          <w:highlight w:val="white"/>
        </w:rPr>
        <w:t>具备《中华人民共和国政府采购法》第二十二条第一款规定的6项条件；</w:t>
      </w:r>
    </w:p>
    <w:p w14:paraId="1B3B6A5B">
      <w:pPr>
        <w:pStyle w:val="334"/>
        <w:spacing w:line="500" w:lineRule="exact"/>
        <w:ind w:firstLine="480"/>
        <w:jc w:val="left"/>
        <w:rPr>
          <w:rFonts w:ascii="Times New Roman" w:hAnsi="Times New Roman" w:eastAsia="方正仿宋_GBK"/>
          <w:sz w:val="24"/>
          <w:szCs w:val="24"/>
        </w:rPr>
      </w:pPr>
      <w:r>
        <w:rPr>
          <w:rFonts w:hint="eastAsia" w:ascii="Times New Roman" w:hAnsi="Times New Roman" w:eastAsia="方正仿宋_GBK"/>
          <w:sz w:val="24"/>
          <w:szCs w:val="24"/>
        </w:rPr>
        <w:t>二、我方在参加政府采购活动前三年内（自本项目开标时间之日起计算），在经营活动中没有重大违法记录（指因违法经营受到刑事处罚或者责令停产停业、吊销许可证或者执照、较大数额罚款等行政处罚）。</w:t>
      </w:r>
    </w:p>
    <w:p w14:paraId="2E28668D">
      <w:pPr>
        <w:pStyle w:val="334"/>
        <w:spacing w:line="500" w:lineRule="exact"/>
        <w:ind w:firstLine="480"/>
        <w:jc w:val="left"/>
        <w:rPr>
          <w:rFonts w:ascii="Times New Roman" w:hAnsi="Times New Roman" w:eastAsia="方正仿宋_GBK"/>
          <w:sz w:val="24"/>
          <w:szCs w:val="24"/>
        </w:rPr>
      </w:pPr>
      <w:r>
        <w:rPr>
          <w:rFonts w:hint="eastAsia" w:ascii="Times New Roman" w:hAnsi="Times New Roman" w:eastAsia="方正仿宋_GBK"/>
          <w:sz w:val="24"/>
          <w:szCs w:val="24"/>
        </w:rPr>
        <w:t>三、我方按招标文件要求提交投标文件，响应招标文件规定的投标有效期；</w:t>
      </w:r>
    </w:p>
    <w:p w14:paraId="3F435D5F">
      <w:pPr>
        <w:pStyle w:val="334"/>
        <w:spacing w:line="500" w:lineRule="exact"/>
        <w:ind w:firstLine="480"/>
        <w:jc w:val="left"/>
        <w:rPr>
          <w:rFonts w:ascii="Times New Roman" w:hAnsi="Times New Roman" w:eastAsia="方正仿宋_GBK"/>
          <w:sz w:val="24"/>
          <w:szCs w:val="24"/>
        </w:rPr>
      </w:pPr>
      <w:r>
        <w:rPr>
          <w:rFonts w:hint="eastAsia" w:ascii="Times New Roman" w:hAnsi="Times New Roman" w:eastAsia="方正仿宋_GBK"/>
          <w:sz w:val="24"/>
          <w:szCs w:val="24"/>
        </w:rPr>
        <w:t>四、如果我方的投标文件被接受，我方将按《中华人民共和国民法典（第三编合同）》及其他有关法律、法规的规定，按期、按质、按量交付采购单位，全面做到履约守信；</w:t>
      </w:r>
    </w:p>
    <w:p w14:paraId="06E7B233">
      <w:pPr>
        <w:pStyle w:val="334"/>
        <w:spacing w:line="500" w:lineRule="exact"/>
        <w:ind w:firstLine="480"/>
        <w:jc w:val="left"/>
        <w:rPr>
          <w:rFonts w:ascii="Times New Roman" w:hAnsi="Times New Roman" w:eastAsia="方正仿宋_GBK"/>
          <w:sz w:val="24"/>
          <w:szCs w:val="24"/>
        </w:rPr>
      </w:pPr>
      <w:r>
        <w:rPr>
          <w:rFonts w:hint="eastAsia" w:ascii="Times New Roman" w:hAnsi="Times New Roman" w:eastAsia="方正仿宋_GBK"/>
          <w:sz w:val="24"/>
          <w:szCs w:val="24"/>
        </w:rPr>
        <w:t>五、我方若违背本声明及承诺约定，经查实，自愿接受采购人及相关主管部门相应的规定处理，并依法承担相应的法律责任。</w:t>
      </w:r>
    </w:p>
    <w:p w14:paraId="7EEBED70">
      <w:pPr>
        <w:pStyle w:val="334"/>
        <w:spacing w:line="500" w:lineRule="exact"/>
        <w:ind w:firstLine="480"/>
        <w:jc w:val="left"/>
        <w:rPr>
          <w:rFonts w:ascii="Times New Roman" w:hAnsi="Times New Roman" w:eastAsia="方正仿宋_GBK"/>
          <w:sz w:val="24"/>
          <w:szCs w:val="24"/>
        </w:rPr>
      </w:pPr>
      <w:r>
        <w:rPr>
          <w:rFonts w:hint="eastAsia" w:ascii="Times New Roman" w:hAnsi="Times New Roman" w:eastAsia="方正仿宋_GBK"/>
          <w:sz w:val="24"/>
          <w:szCs w:val="24"/>
        </w:rPr>
        <w:t>六、我方同意采购人、采购代理机构将本声明及承诺函上网公开。</w:t>
      </w:r>
    </w:p>
    <w:p w14:paraId="7C36C910">
      <w:pPr>
        <w:pStyle w:val="334"/>
        <w:spacing w:line="500" w:lineRule="exact"/>
        <w:ind w:firstLine="480"/>
        <w:jc w:val="left"/>
        <w:rPr>
          <w:rFonts w:ascii="Times New Roman" w:hAnsi="Times New Roman" w:eastAsia="方正仿宋_GBK"/>
          <w:sz w:val="24"/>
          <w:szCs w:val="24"/>
        </w:rPr>
      </w:pPr>
    </w:p>
    <w:p w14:paraId="04264B92">
      <w:pPr>
        <w:pStyle w:val="334"/>
        <w:spacing w:line="500" w:lineRule="exact"/>
        <w:jc w:val="left"/>
        <w:rPr>
          <w:rFonts w:ascii="Times New Roman" w:hAnsi="Times New Roman" w:eastAsia="方正仿宋_GBK"/>
          <w:sz w:val="24"/>
          <w:szCs w:val="24"/>
        </w:rPr>
      </w:pPr>
    </w:p>
    <w:p w14:paraId="167CE8A3">
      <w:pPr>
        <w:pStyle w:val="334"/>
        <w:spacing w:line="500" w:lineRule="exact"/>
        <w:ind w:firstLine="480"/>
        <w:jc w:val="left"/>
        <w:rPr>
          <w:rFonts w:ascii="Times New Roman" w:hAnsi="Times New Roman" w:eastAsia="方正仿宋_GBK"/>
          <w:sz w:val="24"/>
          <w:szCs w:val="24"/>
        </w:rPr>
      </w:pPr>
      <w:r>
        <w:rPr>
          <w:rFonts w:hint="eastAsia" w:ascii="Times New Roman" w:hAnsi="Times New Roman" w:eastAsia="方正仿宋_GBK"/>
          <w:sz w:val="24"/>
          <w:szCs w:val="24"/>
        </w:rPr>
        <w:t xml:space="preserve">投标人名称： </w:t>
      </w:r>
      <w:r>
        <w:rPr>
          <w:rFonts w:hint="eastAsia" w:ascii="Times New Roman" w:hAnsi="Times New Roman" w:eastAsia="方正仿宋_GBK"/>
          <w:sz w:val="24"/>
          <w:szCs w:val="24"/>
          <w:u w:val="single"/>
        </w:rPr>
        <w:t xml:space="preserve">          </w:t>
      </w:r>
      <w:r>
        <w:rPr>
          <w:rFonts w:hint="eastAsia" w:ascii="Times New Roman" w:hAnsi="Times New Roman" w:eastAsia="方正仿宋_GBK"/>
          <w:sz w:val="24"/>
          <w:szCs w:val="24"/>
        </w:rPr>
        <w:t>（加盖CA电子公章）</w:t>
      </w:r>
    </w:p>
    <w:p w14:paraId="7033FA79">
      <w:pPr>
        <w:pStyle w:val="334"/>
        <w:ind w:firstLine="480"/>
        <w:rPr>
          <w:rFonts w:ascii="Times New Roman" w:hAnsi="Times New Roman"/>
        </w:rPr>
      </w:pPr>
      <w:r>
        <w:rPr>
          <w:rFonts w:hint="eastAsia" w:ascii="Times New Roman" w:hAnsi="Times New Roman" w:eastAsia="方正仿宋_GBK"/>
          <w:sz w:val="24"/>
          <w:szCs w:val="24"/>
        </w:rPr>
        <w:t>日期：    年    月   日</w:t>
      </w:r>
    </w:p>
    <w:p w14:paraId="5B799157">
      <w:pPr>
        <w:pStyle w:val="336"/>
      </w:pPr>
      <w:r>
        <w:rPr/>
        <w:br w:type="page" w:clear="all"/>
      </w:r>
      <w:r>
        <w:rPr>
          <w:rFonts w:hint="eastAsia" w:ascii="Times New Roman" w:hAnsi="Times New Roman" w:eastAsia="宋体" w:cs="Times New Roman"/>
          <w:b/>
          <w:sz w:val="32"/>
          <w:szCs w:val="32"/>
          <w:lang w:val="en-US" w:eastAsia="zh-CN" w:bidi="ar-SA"/>
        </w:rPr>
        <w:t>二、投标人基本情况</w:t>
      </w:r>
    </w:p>
    <w:p w14:paraId="15F3B85C">
      <w:pPr>
        <w:pStyle w:val="337"/>
        <w:jc w:val="center"/>
        <w:rPr>
          <w:rFonts w:ascii="Times New Roman" w:hAnsi="Times New Roman"/>
          <w:sz w:val="44"/>
          <w:szCs w:val="44"/>
        </w:rPr>
      </w:pPr>
      <w:r>
        <w:rPr>
          <w:rFonts w:hint="eastAsia" w:ascii="Times New Roman" w:hAnsi="Times New Roman"/>
          <w:sz w:val="44"/>
          <w:szCs w:val="44"/>
        </w:rPr>
        <w:t>投标人基本情况表</w:t>
      </w:r>
    </w:p>
    <w:tbl>
      <w:tblPr>
        <w:tblStyle w:val="33"/>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33"/>
        <w:gridCol w:w="3540"/>
        <w:gridCol w:w="1448"/>
        <w:gridCol w:w="2959"/>
      </w:tblGrid>
      <w:tr w14:paraId="735A1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5" w:type="pct"/>
            <w:vAlign w:val="center"/>
          </w:tcPr>
          <w:p w14:paraId="43FD9176">
            <w:pPr>
              <w:pStyle w:val="337"/>
              <w:spacing w:line="600" w:lineRule="exact"/>
              <w:jc w:val="center"/>
              <w:rPr>
                <w:rFonts w:ascii="Times New Roman" w:hAnsi="Times New Roman" w:eastAsia="仿宋_GB2312"/>
                <w:sz w:val="24"/>
                <w:szCs w:val="24"/>
              </w:rPr>
            </w:pPr>
            <w:r>
              <w:rPr>
                <w:rFonts w:hint="eastAsia" w:ascii="Times New Roman" w:hAnsi="Times New Roman" w:eastAsia="仿宋_GB2312"/>
                <w:sz w:val="24"/>
                <w:szCs w:val="24"/>
              </w:rPr>
              <w:t>投标人名称</w:t>
            </w:r>
          </w:p>
        </w:tc>
        <w:tc>
          <w:tcPr>
            <w:tcW w:w="4104" w:type="pct"/>
            <w:gridSpan w:val="3"/>
            <w:vAlign w:val="center"/>
          </w:tcPr>
          <w:p w14:paraId="4688DFF2">
            <w:pPr>
              <w:pStyle w:val="337"/>
              <w:spacing w:line="600" w:lineRule="exact"/>
              <w:jc w:val="center"/>
              <w:rPr>
                <w:rFonts w:ascii="Times New Roman" w:hAnsi="Times New Roman" w:eastAsia="仿宋_GB2312"/>
                <w:sz w:val="24"/>
                <w:szCs w:val="24"/>
              </w:rPr>
            </w:pPr>
          </w:p>
        </w:tc>
      </w:tr>
      <w:tr w14:paraId="7AA21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5" w:type="pct"/>
            <w:vAlign w:val="center"/>
          </w:tcPr>
          <w:p w14:paraId="6D28C879">
            <w:pPr>
              <w:pStyle w:val="337"/>
              <w:spacing w:line="600" w:lineRule="exact"/>
              <w:jc w:val="center"/>
              <w:rPr>
                <w:rFonts w:ascii="Times New Roman" w:hAnsi="Times New Roman" w:eastAsia="仿宋_GB2312"/>
                <w:sz w:val="24"/>
                <w:szCs w:val="24"/>
              </w:rPr>
            </w:pPr>
            <w:r>
              <w:rPr>
                <w:rFonts w:hint="eastAsia" w:ascii="Times New Roman" w:hAnsi="Times New Roman" w:eastAsia="仿宋_GB2312"/>
                <w:sz w:val="24"/>
                <w:szCs w:val="24"/>
              </w:rPr>
              <w:t>法定代表人</w:t>
            </w:r>
          </w:p>
        </w:tc>
        <w:tc>
          <w:tcPr>
            <w:tcW w:w="1828" w:type="pct"/>
            <w:vAlign w:val="center"/>
          </w:tcPr>
          <w:p w14:paraId="4FB10B96">
            <w:pPr>
              <w:pStyle w:val="337"/>
              <w:spacing w:line="600" w:lineRule="exact"/>
              <w:jc w:val="center"/>
              <w:rPr>
                <w:rFonts w:ascii="Times New Roman" w:hAnsi="Times New Roman" w:eastAsia="仿宋_GB2312"/>
                <w:sz w:val="24"/>
                <w:szCs w:val="24"/>
              </w:rPr>
            </w:pPr>
          </w:p>
        </w:tc>
        <w:tc>
          <w:tcPr>
            <w:tcW w:w="748" w:type="pct"/>
            <w:vAlign w:val="center"/>
          </w:tcPr>
          <w:p w14:paraId="2218F5A0">
            <w:pPr>
              <w:pStyle w:val="337"/>
              <w:spacing w:line="600" w:lineRule="exact"/>
              <w:jc w:val="center"/>
              <w:rPr>
                <w:rFonts w:ascii="Times New Roman" w:hAnsi="Times New Roman" w:eastAsia="仿宋_GB2312"/>
                <w:sz w:val="24"/>
                <w:szCs w:val="24"/>
              </w:rPr>
            </w:pPr>
            <w:r>
              <w:rPr>
                <w:rFonts w:hint="eastAsia" w:ascii="Times New Roman" w:hAnsi="Times New Roman" w:eastAsia="仿宋_GB2312"/>
                <w:sz w:val="24"/>
                <w:szCs w:val="24"/>
              </w:rPr>
              <w:t>注册地区</w:t>
            </w:r>
          </w:p>
        </w:tc>
        <w:tc>
          <w:tcPr>
            <w:tcW w:w="1527" w:type="pct"/>
            <w:vAlign w:val="center"/>
          </w:tcPr>
          <w:p w14:paraId="04AD81AF">
            <w:pPr>
              <w:pStyle w:val="337"/>
              <w:spacing w:line="600" w:lineRule="exact"/>
              <w:jc w:val="center"/>
              <w:rPr>
                <w:rFonts w:ascii="Times New Roman" w:hAnsi="Times New Roman" w:eastAsia="仿宋_GB2312"/>
                <w:sz w:val="24"/>
                <w:szCs w:val="24"/>
              </w:rPr>
            </w:pPr>
          </w:p>
        </w:tc>
      </w:tr>
      <w:tr w14:paraId="1F242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5" w:type="pct"/>
            <w:vAlign w:val="center"/>
          </w:tcPr>
          <w:p w14:paraId="4184137C">
            <w:pPr>
              <w:pStyle w:val="337"/>
              <w:spacing w:line="600" w:lineRule="exact"/>
              <w:jc w:val="center"/>
              <w:rPr>
                <w:rFonts w:ascii="Times New Roman" w:hAnsi="Times New Roman" w:eastAsia="仿宋_GB2312"/>
                <w:sz w:val="24"/>
                <w:szCs w:val="24"/>
              </w:rPr>
            </w:pPr>
            <w:r>
              <w:rPr>
                <w:rFonts w:hint="eastAsia" w:ascii="Times New Roman" w:hAnsi="Times New Roman" w:eastAsia="仿宋_GB2312"/>
                <w:sz w:val="24"/>
                <w:szCs w:val="24"/>
              </w:rPr>
              <w:t>地址</w:t>
            </w:r>
          </w:p>
        </w:tc>
        <w:tc>
          <w:tcPr>
            <w:tcW w:w="1828" w:type="pct"/>
            <w:vAlign w:val="center"/>
          </w:tcPr>
          <w:p w14:paraId="3B8B8C9B">
            <w:pPr>
              <w:pStyle w:val="337"/>
              <w:spacing w:line="600" w:lineRule="exact"/>
              <w:jc w:val="center"/>
              <w:rPr>
                <w:rFonts w:ascii="Times New Roman" w:hAnsi="Times New Roman" w:eastAsia="仿宋_GB2312"/>
                <w:sz w:val="24"/>
                <w:szCs w:val="24"/>
              </w:rPr>
            </w:pPr>
          </w:p>
        </w:tc>
        <w:tc>
          <w:tcPr>
            <w:tcW w:w="748" w:type="pct"/>
            <w:vAlign w:val="center"/>
          </w:tcPr>
          <w:p w14:paraId="491804B5">
            <w:pPr>
              <w:pStyle w:val="337"/>
              <w:spacing w:line="600" w:lineRule="exact"/>
              <w:jc w:val="center"/>
              <w:rPr>
                <w:rFonts w:ascii="Times New Roman" w:hAnsi="Times New Roman" w:eastAsia="仿宋_GB2312"/>
                <w:sz w:val="24"/>
                <w:szCs w:val="24"/>
              </w:rPr>
            </w:pPr>
            <w:r>
              <w:rPr>
                <w:rFonts w:hint="eastAsia" w:ascii="Times New Roman" w:hAnsi="Times New Roman" w:eastAsia="仿宋_GB2312"/>
                <w:sz w:val="24"/>
                <w:szCs w:val="24"/>
              </w:rPr>
              <w:t>邮政编码</w:t>
            </w:r>
          </w:p>
        </w:tc>
        <w:tc>
          <w:tcPr>
            <w:tcW w:w="1527" w:type="pct"/>
            <w:vAlign w:val="center"/>
          </w:tcPr>
          <w:p w14:paraId="21C1B3AD">
            <w:pPr>
              <w:pStyle w:val="337"/>
              <w:spacing w:line="600" w:lineRule="exact"/>
              <w:jc w:val="center"/>
              <w:rPr>
                <w:rFonts w:ascii="Times New Roman" w:hAnsi="Times New Roman" w:eastAsia="仿宋_GB2312"/>
                <w:sz w:val="24"/>
                <w:szCs w:val="24"/>
              </w:rPr>
            </w:pPr>
          </w:p>
        </w:tc>
      </w:tr>
      <w:tr w14:paraId="12B3D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5" w:type="pct"/>
            <w:vAlign w:val="center"/>
          </w:tcPr>
          <w:p w14:paraId="3DE8787A">
            <w:pPr>
              <w:pStyle w:val="337"/>
              <w:spacing w:line="600" w:lineRule="exact"/>
              <w:jc w:val="center"/>
              <w:rPr>
                <w:rFonts w:ascii="Times New Roman" w:hAnsi="Times New Roman" w:eastAsia="仿宋_GB2312"/>
                <w:sz w:val="24"/>
                <w:szCs w:val="24"/>
              </w:rPr>
            </w:pPr>
            <w:r>
              <w:rPr>
                <w:rFonts w:hint="eastAsia" w:ascii="Times New Roman" w:hAnsi="Times New Roman" w:eastAsia="仿宋_GB2312"/>
                <w:sz w:val="24"/>
                <w:szCs w:val="24"/>
              </w:rPr>
              <w:t>成立时间</w:t>
            </w:r>
          </w:p>
        </w:tc>
        <w:tc>
          <w:tcPr>
            <w:tcW w:w="1828" w:type="pct"/>
            <w:vAlign w:val="center"/>
          </w:tcPr>
          <w:p w14:paraId="377C56E1">
            <w:pPr>
              <w:pStyle w:val="337"/>
              <w:spacing w:line="600" w:lineRule="exact"/>
              <w:jc w:val="center"/>
              <w:rPr>
                <w:rFonts w:ascii="Times New Roman" w:hAnsi="Times New Roman" w:eastAsia="仿宋_GB2312"/>
                <w:sz w:val="24"/>
                <w:szCs w:val="24"/>
              </w:rPr>
            </w:pPr>
          </w:p>
        </w:tc>
        <w:tc>
          <w:tcPr>
            <w:tcW w:w="748" w:type="pct"/>
            <w:vAlign w:val="center"/>
          </w:tcPr>
          <w:p w14:paraId="7831EDAA">
            <w:pPr>
              <w:pStyle w:val="337"/>
              <w:spacing w:line="600" w:lineRule="exact"/>
              <w:jc w:val="center"/>
              <w:rPr>
                <w:rFonts w:ascii="Times New Roman" w:hAnsi="Times New Roman" w:eastAsia="仿宋_GB2312"/>
                <w:sz w:val="24"/>
                <w:szCs w:val="24"/>
              </w:rPr>
            </w:pPr>
            <w:r>
              <w:rPr>
                <w:rFonts w:hint="eastAsia" w:ascii="Times New Roman" w:hAnsi="Times New Roman" w:eastAsia="仿宋_GB2312"/>
                <w:sz w:val="24"/>
                <w:szCs w:val="24"/>
              </w:rPr>
              <w:t>单位性质</w:t>
            </w:r>
          </w:p>
        </w:tc>
        <w:tc>
          <w:tcPr>
            <w:tcW w:w="1527" w:type="pct"/>
            <w:vAlign w:val="center"/>
          </w:tcPr>
          <w:p w14:paraId="77CF854B">
            <w:pPr>
              <w:pStyle w:val="337"/>
              <w:spacing w:line="600" w:lineRule="exact"/>
              <w:jc w:val="center"/>
              <w:rPr>
                <w:rFonts w:ascii="Times New Roman" w:hAnsi="Times New Roman" w:eastAsia="仿宋_GB2312"/>
                <w:sz w:val="24"/>
                <w:szCs w:val="24"/>
              </w:rPr>
            </w:pPr>
          </w:p>
        </w:tc>
      </w:tr>
      <w:tr w14:paraId="2D7FD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5" w:type="pct"/>
            <w:vAlign w:val="center"/>
          </w:tcPr>
          <w:p w14:paraId="2010B6C9">
            <w:pPr>
              <w:pStyle w:val="337"/>
              <w:spacing w:line="600" w:lineRule="exact"/>
              <w:jc w:val="center"/>
              <w:rPr>
                <w:rFonts w:ascii="Times New Roman" w:hAnsi="Times New Roman" w:eastAsia="仿宋_GB2312"/>
                <w:sz w:val="24"/>
                <w:szCs w:val="24"/>
              </w:rPr>
            </w:pPr>
            <w:r>
              <w:rPr>
                <w:rFonts w:hint="eastAsia" w:ascii="Times New Roman" w:hAnsi="Times New Roman" w:eastAsia="仿宋_GB2312"/>
                <w:sz w:val="24"/>
                <w:szCs w:val="24"/>
              </w:rPr>
              <w:t>注册号或社会信用代码</w:t>
            </w:r>
          </w:p>
        </w:tc>
        <w:tc>
          <w:tcPr>
            <w:tcW w:w="1828" w:type="pct"/>
            <w:vAlign w:val="center"/>
          </w:tcPr>
          <w:p w14:paraId="4BEAA268">
            <w:pPr>
              <w:pStyle w:val="337"/>
              <w:spacing w:line="600" w:lineRule="exact"/>
              <w:jc w:val="center"/>
              <w:rPr>
                <w:rFonts w:ascii="Times New Roman" w:hAnsi="Times New Roman" w:eastAsia="仿宋_GB2312"/>
                <w:sz w:val="24"/>
                <w:szCs w:val="24"/>
              </w:rPr>
            </w:pPr>
          </w:p>
        </w:tc>
        <w:tc>
          <w:tcPr>
            <w:tcW w:w="748" w:type="pct"/>
            <w:vAlign w:val="center"/>
          </w:tcPr>
          <w:p w14:paraId="206FF3AB">
            <w:pPr>
              <w:pStyle w:val="337"/>
              <w:spacing w:line="600" w:lineRule="exact"/>
              <w:jc w:val="center"/>
              <w:rPr>
                <w:rFonts w:ascii="Times New Roman" w:hAnsi="Times New Roman" w:eastAsia="仿宋_GB2312"/>
                <w:sz w:val="24"/>
                <w:szCs w:val="24"/>
              </w:rPr>
            </w:pPr>
            <w:r>
              <w:rPr>
                <w:rFonts w:hint="eastAsia" w:ascii="Times New Roman" w:hAnsi="Times New Roman" w:eastAsia="仿宋_GB2312"/>
                <w:sz w:val="24"/>
                <w:szCs w:val="24"/>
              </w:rPr>
              <w:t>注册资本（万元）</w:t>
            </w:r>
          </w:p>
        </w:tc>
        <w:tc>
          <w:tcPr>
            <w:tcW w:w="1527" w:type="pct"/>
            <w:vAlign w:val="center"/>
          </w:tcPr>
          <w:p w14:paraId="4E1A5CC8">
            <w:pPr>
              <w:pStyle w:val="337"/>
              <w:spacing w:line="600" w:lineRule="exact"/>
              <w:jc w:val="center"/>
              <w:rPr>
                <w:rFonts w:ascii="Times New Roman" w:hAnsi="Times New Roman" w:eastAsia="仿宋_GB2312"/>
                <w:sz w:val="24"/>
                <w:szCs w:val="24"/>
              </w:rPr>
            </w:pPr>
          </w:p>
        </w:tc>
      </w:tr>
      <w:tr w14:paraId="090AE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5" w:type="pct"/>
            <w:vAlign w:val="center"/>
          </w:tcPr>
          <w:p w14:paraId="6563FD5F">
            <w:pPr>
              <w:pStyle w:val="337"/>
              <w:spacing w:line="600" w:lineRule="exact"/>
              <w:jc w:val="center"/>
              <w:rPr>
                <w:rFonts w:ascii="Times New Roman" w:hAnsi="Times New Roman" w:eastAsia="仿宋_GB2312"/>
                <w:sz w:val="24"/>
                <w:szCs w:val="24"/>
              </w:rPr>
            </w:pPr>
            <w:r>
              <w:rPr>
                <w:rFonts w:hint="eastAsia" w:ascii="Times New Roman" w:hAnsi="Times New Roman" w:eastAsia="仿宋_GB2312"/>
                <w:sz w:val="24"/>
                <w:szCs w:val="24"/>
              </w:rPr>
              <w:t>投标人类别</w:t>
            </w:r>
          </w:p>
        </w:tc>
        <w:tc>
          <w:tcPr>
            <w:tcW w:w="4104" w:type="pct"/>
            <w:gridSpan w:val="3"/>
            <w:vAlign w:val="center"/>
          </w:tcPr>
          <w:p w14:paraId="6D36A05B">
            <w:pPr>
              <w:pStyle w:val="337"/>
              <w:spacing w:line="600" w:lineRule="exact"/>
              <w:jc w:val="center"/>
              <w:rPr>
                <w:rFonts w:ascii="Times New Roman" w:hAnsi="Times New Roman" w:eastAsia="仿宋_GB2312"/>
                <w:sz w:val="24"/>
                <w:szCs w:val="24"/>
              </w:rPr>
            </w:pPr>
          </w:p>
        </w:tc>
      </w:tr>
      <w:tr w14:paraId="77E0B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95" w:type="pct"/>
            <w:vAlign w:val="center"/>
          </w:tcPr>
          <w:p w14:paraId="0EDDC38B">
            <w:pPr>
              <w:pStyle w:val="337"/>
              <w:spacing w:line="600" w:lineRule="exact"/>
              <w:jc w:val="center"/>
              <w:rPr>
                <w:rFonts w:ascii="Times New Roman" w:hAnsi="Times New Roman" w:eastAsia="仿宋_GB2312"/>
                <w:sz w:val="24"/>
                <w:szCs w:val="24"/>
              </w:rPr>
            </w:pPr>
            <w:r>
              <w:rPr>
                <w:rFonts w:hint="eastAsia" w:ascii="Times New Roman" w:hAnsi="Times New Roman" w:eastAsia="仿宋_GB2312"/>
                <w:sz w:val="24"/>
                <w:szCs w:val="24"/>
              </w:rPr>
              <w:t>开户银行</w:t>
            </w:r>
          </w:p>
        </w:tc>
        <w:tc>
          <w:tcPr>
            <w:tcW w:w="1828" w:type="pct"/>
            <w:vAlign w:val="center"/>
          </w:tcPr>
          <w:p w14:paraId="472C79EE">
            <w:pPr>
              <w:pStyle w:val="337"/>
              <w:spacing w:line="600" w:lineRule="exact"/>
              <w:jc w:val="center"/>
              <w:rPr>
                <w:rFonts w:ascii="Times New Roman" w:hAnsi="Times New Roman" w:eastAsia="仿宋_GB2312"/>
                <w:sz w:val="24"/>
                <w:szCs w:val="24"/>
              </w:rPr>
            </w:pPr>
          </w:p>
        </w:tc>
        <w:tc>
          <w:tcPr>
            <w:tcW w:w="748" w:type="pct"/>
            <w:vAlign w:val="center"/>
          </w:tcPr>
          <w:p w14:paraId="3EA36835">
            <w:pPr>
              <w:pStyle w:val="337"/>
              <w:spacing w:line="600" w:lineRule="exact"/>
              <w:jc w:val="center"/>
              <w:rPr>
                <w:rFonts w:ascii="Times New Roman" w:hAnsi="Times New Roman" w:eastAsia="仿宋_GB2312"/>
                <w:sz w:val="24"/>
                <w:szCs w:val="24"/>
              </w:rPr>
            </w:pPr>
            <w:r>
              <w:rPr>
                <w:rFonts w:hint="eastAsia" w:ascii="Times New Roman" w:hAnsi="Times New Roman" w:eastAsia="仿宋_GB2312"/>
                <w:sz w:val="24"/>
                <w:szCs w:val="24"/>
              </w:rPr>
              <w:t>账号</w:t>
            </w:r>
          </w:p>
        </w:tc>
        <w:tc>
          <w:tcPr>
            <w:tcW w:w="1527" w:type="pct"/>
            <w:vAlign w:val="center"/>
          </w:tcPr>
          <w:p w14:paraId="1F339946">
            <w:pPr>
              <w:pStyle w:val="337"/>
              <w:spacing w:line="600" w:lineRule="exact"/>
              <w:jc w:val="center"/>
              <w:rPr>
                <w:rFonts w:ascii="Times New Roman" w:hAnsi="Times New Roman" w:eastAsia="仿宋_GB2312"/>
                <w:sz w:val="24"/>
                <w:szCs w:val="24"/>
              </w:rPr>
            </w:pPr>
          </w:p>
        </w:tc>
      </w:tr>
      <w:tr w14:paraId="44F86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5" w:type="pct"/>
            <w:vAlign w:val="center"/>
          </w:tcPr>
          <w:p w14:paraId="2CE8FFC1">
            <w:pPr>
              <w:pStyle w:val="337"/>
              <w:spacing w:line="600" w:lineRule="exact"/>
              <w:jc w:val="center"/>
              <w:rPr>
                <w:rFonts w:ascii="Times New Roman" w:hAnsi="Times New Roman" w:eastAsia="仿宋_GB2312"/>
                <w:sz w:val="24"/>
                <w:szCs w:val="24"/>
              </w:rPr>
            </w:pPr>
            <w:r>
              <w:rPr>
                <w:rFonts w:hint="eastAsia" w:ascii="Times New Roman" w:hAnsi="Times New Roman" w:eastAsia="仿宋_GB2312"/>
                <w:sz w:val="24"/>
                <w:szCs w:val="24"/>
              </w:rPr>
              <w:t>联系人</w:t>
            </w:r>
          </w:p>
        </w:tc>
        <w:tc>
          <w:tcPr>
            <w:tcW w:w="1828" w:type="pct"/>
            <w:vAlign w:val="center"/>
          </w:tcPr>
          <w:p w14:paraId="5C2B18F3">
            <w:pPr>
              <w:pStyle w:val="337"/>
              <w:spacing w:line="600" w:lineRule="exact"/>
              <w:jc w:val="center"/>
              <w:rPr>
                <w:rFonts w:ascii="Times New Roman" w:hAnsi="Times New Roman" w:eastAsia="仿宋_GB2312"/>
                <w:sz w:val="24"/>
                <w:szCs w:val="24"/>
              </w:rPr>
            </w:pPr>
          </w:p>
        </w:tc>
        <w:tc>
          <w:tcPr>
            <w:tcW w:w="748" w:type="pct"/>
            <w:vAlign w:val="center"/>
          </w:tcPr>
          <w:p w14:paraId="0CDA252A">
            <w:pPr>
              <w:pStyle w:val="337"/>
              <w:spacing w:line="600" w:lineRule="exact"/>
              <w:jc w:val="center"/>
              <w:rPr>
                <w:rFonts w:ascii="Times New Roman" w:hAnsi="Times New Roman" w:eastAsia="仿宋_GB2312"/>
                <w:sz w:val="24"/>
                <w:szCs w:val="24"/>
              </w:rPr>
            </w:pPr>
            <w:r>
              <w:rPr>
                <w:rFonts w:hint="eastAsia" w:ascii="Times New Roman" w:hAnsi="Times New Roman" w:eastAsia="仿宋_GB2312"/>
                <w:sz w:val="24"/>
                <w:szCs w:val="24"/>
              </w:rPr>
              <w:t>联系电话</w:t>
            </w:r>
          </w:p>
        </w:tc>
        <w:tc>
          <w:tcPr>
            <w:tcW w:w="1527" w:type="pct"/>
            <w:vAlign w:val="center"/>
          </w:tcPr>
          <w:p w14:paraId="7624CDD5">
            <w:pPr>
              <w:pStyle w:val="337"/>
              <w:spacing w:line="600" w:lineRule="exact"/>
              <w:jc w:val="center"/>
              <w:rPr>
                <w:rFonts w:ascii="Times New Roman" w:hAnsi="Times New Roman" w:eastAsia="仿宋_GB2312"/>
                <w:sz w:val="24"/>
                <w:szCs w:val="24"/>
              </w:rPr>
            </w:pPr>
          </w:p>
        </w:tc>
      </w:tr>
      <w:tr w14:paraId="72D54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6" w:hRule="atLeast"/>
          <w:jc w:val="center"/>
        </w:trPr>
        <w:tc>
          <w:tcPr>
            <w:tcW w:w="895" w:type="pct"/>
            <w:vAlign w:val="center"/>
          </w:tcPr>
          <w:p w14:paraId="7FA2E59C">
            <w:pPr>
              <w:pStyle w:val="337"/>
              <w:spacing w:line="560" w:lineRule="exact"/>
              <w:jc w:val="center"/>
              <w:rPr>
                <w:rFonts w:ascii="Times New Roman" w:hAnsi="Times New Roman" w:eastAsia="仿宋_GB2312"/>
                <w:sz w:val="24"/>
                <w:szCs w:val="24"/>
              </w:rPr>
            </w:pPr>
            <w:r>
              <w:rPr>
                <w:rFonts w:hint="eastAsia" w:ascii="Times New Roman" w:hAnsi="Times New Roman" w:eastAsia="仿宋_GB2312"/>
                <w:sz w:val="24"/>
                <w:szCs w:val="24"/>
              </w:rPr>
              <w:t>经营范围</w:t>
            </w:r>
          </w:p>
        </w:tc>
        <w:tc>
          <w:tcPr>
            <w:tcW w:w="4104" w:type="pct"/>
            <w:gridSpan w:val="3"/>
            <w:vAlign w:val="top"/>
          </w:tcPr>
          <w:p w14:paraId="5013FD1F">
            <w:pPr>
              <w:pStyle w:val="337"/>
              <w:spacing w:line="560" w:lineRule="exact"/>
              <w:ind w:firstLine="1432"/>
              <w:rPr>
                <w:rFonts w:ascii="Times New Roman" w:hAnsi="Times New Roman" w:eastAsia="仿宋_GB2312"/>
                <w:sz w:val="24"/>
                <w:szCs w:val="24"/>
              </w:rPr>
            </w:pPr>
          </w:p>
        </w:tc>
      </w:tr>
      <w:tr w14:paraId="77C38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895" w:type="pct"/>
            <w:vAlign w:val="center"/>
          </w:tcPr>
          <w:p w14:paraId="79800722">
            <w:pPr>
              <w:pStyle w:val="337"/>
              <w:spacing w:line="560" w:lineRule="exact"/>
              <w:jc w:val="center"/>
              <w:rPr>
                <w:rFonts w:ascii="Times New Roman" w:hAnsi="Times New Roman" w:eastAsia="仿宋_GB2312"/>
                <w:sz w:val="24"/>
                <w:szCs w:val="24"/>
              </w:rPr>
            </w:pPr>
            <w:r>
              <w:rPr>
                <w:rFonts w:hint="eastAsia" w:ascii="Times New Roman" w:hAnsi="Times New Roman" w:eastAsia="仿宋_GB2312"/>
                <w:sz w:val="24"/>
                <w:szCs w:val="24"/>
              </w:rPr>
              <w:t>备注</w:t>
            </w:r>
          </w:p>
        </w:tc>
        <w:tc>
          <w:tcPr>
            <w:tcW w:w="4104" w:type="pct"/>
            <w:gridSpan w:val="3"/>
            <w:vAlign w:val="center"/>
          </w:tcPr>
          <w:p w14:paraId="7976B0D0">
            <w:pPr>
              <w:pStyle w:val="337"/>
              <w:spacing w:line="500" w:lineRule="exact"/>
              <w:jc w:val="center"/>
              <w:rPr>
                <w:rFonts w:ascii="Times New Roman" w:hAnsi="Times New Roman" w:eastAsia="仿宋_GB2312"/>
                <w:sz w:val="24"/>
                <w:szCs w:val="24"/>
              </w:rPr>
            </w:pPr>
            <w:r>
              <w:rPr>
                <w:rFonts w:hint="eastAsia" w:ascii="Times New Roman" w:hAnsi="Times New Roman" w:eastAsia="仿宋_GB2312"/>
                <w:sz w:val="24"/>
                <w:szCs w:val="24"/>
              </w:rPr>
              <w:t>无需提供营业执照等证明材料</w:t>
            </w:r>
          </w:p>
        </w:tc>
      </w:tr>
    </w:tbl>
    <w:p w14:paraId="2461AB90">
      <w:pPr>
        <w:spacing w:line="440" w:lineRule="exact"/>
        <w:ind w:firstLine="480"/>
        <w:rPr>
          <w:sz w:val="24"/>
        </w:rPr>
      </w:pPr>
    </w:p>
    <w:p w14:paraId="12D0CDBE">
      <w:pPr>
        <w:spacing w:line="440" w:lineRule="exact"/>
        <w:ind w:firstLine="480"/>
        <w:rPr>
          <w:sz w:val="24"/>
        </w:rPr>
      </w:pPr>
    </w:p>
    <w:p w14:paraId="5ED4C7E5">
      <w:pPr>
        <w:spacing w:line="440" w:lineRule="exact"/>
        <w:ind w:firstLine="480"/>
        <w:rPr>
          <w:sz w:val="24"/>
        </w:rPr>
      </w:pPr>
    </w:p>
    <w:p w14:paraId="6C8BF39A">
      <w:pPr>
        <w:pStyle w:val="334"/>
        <w:rPr>
          <w:rFonts w:hint="eastAsia" w:ascii="Times New Roman" w:hAnsi="Times New Roman" w:eastAsia="黑体"/>
          <w:i/>
          <w:sz w:val="32"/>
          <w:szCs w:val="32"/>
          <w:u w:val="single"/>
        </w:rPr>
      </w:pPr>
    </w:p>
    <w:p w14:paraId="09AADD71">
      <w:pPr>
        <w:rPr>
          <w:rFonts w:hint="eastAsia" w:eastAsia="黑体"/>
          <w:i/>
          <w:sz w:val="32"/>
          <w:szCs w:val="32"/>
          <w:u w:val="single"/>
        </w:rPr>
      </w:pPr>
      <w:r>
        <w:rPr/>
        <w:br w:type="page" w:clear="all"/>
      </w:r>
      <w:r>
        <w:rPr>
          <w:rFonts w:hint="eastAsia" w:ascii="Times New Roman" w:hAnsi="Times New Roman" w:eastAsia="宋体" w:cs="Times New Roman"/>
          <w:b/>
          <w:sz w:val="32"/>
          <w:szCs w:val="32"/>
          <w:lang w:val="en-US" w:eastAsia="zh-CN" w:bidi="ar-SA"/>
        </w:rPr>
        <w:t>三、特定资格要求的证明文件</w:t>
      </w:r>
    </w:p>
    <w:p w14:paraId="7EFED492">
      <w:pPr>
        <w:spacing w:line="460" w:lineRule="exact"/>
        <w:rPr>
          <w:rFonts w:hint="eastAsia"/>
          <w:bCs/>
          <w:sz w:val="24"/>
        </w:rPr>
      </w:pPr>
      <w:r>
        <w:rPr>
          <w:rFonts w:hint="eastAsia"/>
          <w:sz w:val="24"/>
        </w:rPr>
        <w:t xml:space="preserve">    如果本项目申请人的特定资格要求中要求提供的，必须提供。</w:t>
      </w:r>
    </w:p>
    <w:p w14:paraId="14F843B4">
      <w:pPr>
        <w:spacing w:line="460" w:lineRule="exact"/>
        <w:rPr>
          <w:rFonts w:hint="eastAsia"/>
          <w:bCs/>
          <w:sz w:val="24"/>
        </w:rPr>
      </w:pPr>
    </w:p>
    <w:p w14:paraId="1B9A8284">
      <w:pPr>
        <w:jc w:val="center"/>
        <w:rPr>
          <w:rFonts w:hint="eastAsia" w:eastAsia="黑体"/>
          <w:i/>
          <w:sz w:val="32"/>
          <w:szCs w:val="32"/>
          <w:u w:val="single"/>
        </w:rPr>
      </w:pPr>
    </w:p>
    <w:p w14:paraId="28637139">
      <w:pPr>
        <w:jc w:val="center"/>
        <w:rPr>
          <w:rFonts w:hint="eastAsia" w:eastAsia="黑体"/>
          <w:i/>
          <w:sz w:val="32"/>
          <w:szCs w:val="32"/>
          <w:u w:val="single"/>
        </w:rPr>
      </w:pPr>
    </w:p>
    <w:p w14:paraId="6D61EDEC">
      <w:pPr>
        <w:jc w:val="center"/>
        <w:rPr>
          <w:rFonts w:hint="eastAsia" w:eastAsia="黑体"/>
          <w:i/>
          <w:sz w:val="32"/>
          <w:szCs w:val="32"/>
          <w:u w:val="single"/>
        </w:rPr>
      </w:pPr>
    </w:p>
    <w:p w14:paraId="558A7F8A">
      <w:pPr>
        <w:jc w:val="center"/>
        <w:rPr>
          <w:rFonts w:hint="eastAsia" w:eastAsia="黑体"/>
          <w:i/>
          <w:sz w:val="32"/>
          <w:szCs w:val="32"/>
          <w:u w:val="single"/>
        </w:rPr>
      </w:pPr>
    </w:p>
    <w:p w14:paraId="6F4297AA">
      <w:pPr>
        <w:jc w:val="center"/>
        <w:rPr>
          <w:rFonts w:hint="eastAsia" w:eastAsia="黑体"/>
          <w:i/>
          <w:sz w:val="32"/>
          <w:szCs w:val="32"/>
          <w:u w:val="single"/>
        </w:rPr>
      </w:pPr>
    </w:p>
    <w:p w14:paraId="773D811E">
      <w:pPr>
        <w:jc w:val="center"/>
        <w:rPr>
          <w:rFonts w:hint="eastAsia" w:eastAsia="黑体"/>
          <w:i/>
          <w:sz w:val="32"/>
          <w:szCs w:val="32"/>
          <w:u w:val="single"/>
        </w:rPr>
      </w:pPr>
    </w:p>
    <w:p w14:paraId="7549F6CA">
      <w:pPr>
        <w:jc w:val="center"/>
        <w:rPr>
          <w:rFonts w:hint="eastAsia" w:eastAsia="黑体"/>
          <w:i/>
          <w:sz w:val="32"/>
          <w:szCs w:val="32"/>
          <w:u w:val="single"/>
        </w:rPr>
      </w:pPr>
    </w:p>
    <w:p w14:paraId="4C16C5E0">
      <w:pPr>
        <w:jc w:val="center"/>
        <w:rPr>
          <w:rFonts w:hint="eastAsia" w:eastAsia="黑体"/>
          <w:i/>
          <w:sz w:val="32"/>
          <w:szCs w:val="32"/>
          <w:u w:val="single"/>
        </w:rPr>
      </w:pPr>
    </w:p>
    <w:p w14:paraId="75B5F999">
      <w:pPr>
        <w:jc w:val="center"/>
        <w:rPr>
          <w:rFonts w:hint="eastAsia" w:eastAsia="黑体"/>
          <w:i/>
          <w:sz w:val="32"/>
          <w:szCs w:val="32"/>
          <w:u w:val="single"/>
        </w:rPr>
      </w:pPr>
    </w:p>
    <w:p w14:paraId="64ACB3B4">
      <w:pPr>
        <w:jc w:val="center"/>
        <w:rPr>
          <w:rFonts w:hint="eastAsia" w:eastAsia="黑体"/>
          <w:i/>
          <w:sz w:val="32"/>
          <w:szCs w:val="32"/>
          <w:u w:val="single"/>
        </w:rPr>
      </w:pPr>
    </w:p>
    <w:p w14:paraId="3C41EA1F">
      <w:pPr>
        <w:jc w:val="center"/>
        <w:rPr>
          <w:rFonts w:hint="eastAsia" w:eastAsia="黑体"/>
          <w:i/>
          <w:sz w:val="32"/>
          <w:szCs w:val="32"/>
          <w:u w:val="single"/>
        </w:rPr>
      </w:pPr>
    </w:p>
    <w:p w14:paraId="66041056">
      <w:pPr>
        <w:jc w:val="center"/>
        <w:rPr>
          <w:rFonts w:hint="eastAsia" w:eastAsia="黑体"/>
          <w:i/>
          <w:sz w:val="32"/>
          <w:szCs w:val="32"/>
          <w:u w:val="single"/>
        </w:rPr>
      </w:pPr>
    </w:p>
    <w:p w14:paraId="516CB3F4">
      <w:pPr>
        <w:jc w:val="center"/>
        <w:rPr>
          <w:rFonts w:hint="eastAsia" w:eastAsia="黑体"/>
          <w:i/>
          <w:sz w:val="32"/>
          <w:szCs w:val="32"/>
          <w:u w:val="single"/>
        </w:rPr>
      </w:pPr>
    </w:p>
    <w:p w14:paraId="6181B4B0">
      <w:pPr>
        <w:jc w:val="center"/>
        <w:rPr>
          <w:rFonts w:hint="eastAsia" w:eastAsia="黑体"/>
          <w:i/>
          <w:sz w:val="32"/>
          <w:szCs w:val="32"/>
          <w:u w:val="single"/>
        </w:rPr>
      </w:pPr>
    </w:p>
    <w:p w14:paraId="56A324DE">
      <w:pPr>
        <w:jc w:val="center"/>
        <w:rPr>
          <w:rFonts w:hint="eastAsia" w:eastAsia="黑体"/>
          <w:i/>
          <w:sz w:val="32"/>
          <w:szCs w:val="32"/>
          <w:u w:val="single"/>
        </w:rPr>
      </w:pPr>
    </w:p>
    <w:p w14:paraId="64F6AFEA">
      <w:pPr>
        <w:jc w:val="center"/>
        <w:rPr>
          <w:rFonts w:hint="eastAsia" w:eastAsia="黑体"/>
          <w:i/>
          <w:sz w:val="32"/>
          <w:szCs w:val="32"/>
          <w:u w:val="single"/>
        </w:rPr>
      </w:pPr>
    </w:p>
    <w:p w14:paraId="48C8C9E4">
      <w:pPr>
        <w:pStyle w:val="293"/>
        <w:rPr>
          <w:rFonts w:hint="eastAsia" w:ascii="Times New Roman" w:hAnsi="Times New Roman" w:eastAsia="黑体"/>
          <w:i/>
          <w:u w:val="single"/>
          <w:lang w:val="en-US"/>
        </w:rPr>
      </w:pPr>
    </w:p>
    <w:p w14:paraId="4B0890B7">
      <w:pPr>
        <w:pStyle w:val="293"/>
        <w:rPr>
          <w:rFonts w:hint="eastAsia" w:ascii="Times New Roman" w:hAnsi="Times New Roman" w:eastAsia="黑体"/>
          <w:i/>
          <w:u w:val="single"/>
          <w:lang w:val="en-US"/>
        </w:rPr>
      </w:pPr>
    </w:p>
    <w:p w14:paraId="78E49ACA">
      <w:pPr>
        <w:jc w:val="center"/>
        <w:rPr>
          <w:rFonts w:hint="eastAsia" w:eastAsia="黑体"/>
          <w:i/>
          <w:sz w:val="32"/>
          <w:szCs w:val="32"/>
          <w:u w:val="single"/>
        </w:rPr>
      </w:pPr>
    </w:p>
    <w:p w14:paraId="41BB653A">
      <w:pPr>
        <w:jc w:val="center"/>
        <w:rPr>
          <w:rFonts w:hint="eastAsia" w:eastAsia="黑体"/>
          <w:i/>
          <w:sz w:val="32"/>
          <w:szCs w:val="32"/>
          <w:u w:val="single"/>
        </w:rPr>
      </w:pPr>
    </w:p>
    <w:p w14:paraId="0759AC78">
      <w:pPr>
        <w:jc w:val="center"/>
        <w:rPr>
          <w:rFonts w:hint="eastAsia" w:eastAsia="黑体"/>
          <w:i/>
          <w:sz w:val="32"/>
          <w:szCs w:val="32"/>
          <w:u w:val="single"/>
        </w:rPr>
      </w:pPr>
    </w:p>
    <w:p w14:paraId="621B2C54">
      <w:pPr>
        <w:jc w:val="center"/>
        <w:rPr>
          <w:rFonts w:hint="eastAsia" w:eastAsia="黑体"/>
          <w:i/>
          <w:sz w:val="32"/>
          <w:szCs w:val="32"/>
          <w:u w:val="single"/>
        </w:rPr>
      </w:pPr>
    </w:p>
    <w:p w14:paraId="3F9ED931">
      <w:pPr>
        <w:rPr>
          <w:rFonts w:hint="eastAsia"/>
          <w:b/>
          <w:sz w:val="32"/>
          <w:szCs w:val="32"/>
        </w:rPr>
      </w:pPr>
      <w:r>
        <w:rPr>
          <w:rFonts w:hint="eastAsia"/>
          <w:b/>
          <w:sz w:val="32"/>
          <w:szCs w:val="32"/>
        </w:rPr>
        <w:br w:type="page"/>
      </w:r>
    </w:p>
    <w:p w14:paraId="639DA7CD">
      <w:pPr>
        <w:rPr>
          <w:rFonts w:hint="eastAsia" w:ascii="Times New Roman" w:hAnsi="Times New Roman" w:eastAsia="宋体" w:cs="Times New Roman"/>
          <w:b/>
          <w:sz w:val="32"/>
          <w:szCs w:val="32"/>
          <w:lang w:val="en-US" w:eastAsia="zh-CN" w:bidi="ar-SA"/>
        </w:rPr>
      </w:pPr>
      <w:r>
        <w:rPr>
          <w:rFonts w:hint="eastAsia" w:ascii="Times New Roman" w:hAnsi="Times New Roman" w:eastAsia="宋体" w:cs="Times New Roman"/>
          <w:b/>
          <w:sz w:val="32"/>
          <w:szCs w:val="32"/>
          <w:lang w:val="en-US" w:eastAsia="zh-CN" w:bidi="ar-SA"/>
        </w:rPr>
        <w:t>四、法人授权书</w:t>
      </w:r>
    </w:p>
    <w:p w14:paraId="3753E224">
      <w:pPr>
        <w:pStyle w:val="304"/>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sz w:val="24"/>
          <w:szCs w:val="24"/>
        </w:rPr>
      </w:pPr>
      <w:r>
        <w:rPr>
          <w:rFonts w:hint="eastAsia"/>
          <w:sz w:val="24"/>
          <w:szCs w:val="24"/>
        </w:rPr>
        <w:t>本授权书声明：____________（投标人名称）授权________________（被授权人的姓名）为我方就JSZC-</w:t>
      </w:r>
      <w:r>
        <w:rPr>
          <w:rFonts w:hint="eastAsia"/>
          <w:sz w:val="24"/>
          <w:szCs w:val="24"/>
          <w:u w:val="single"/>
        </w:rPr>
        <w:t xml:space="preserve">        </w:t>
      </w:r>
      <w:r>
        <w:rPr>
          <w:rFonts w:hint="eastAsia"/>
          <w:sz w:val="24"/>
          <w:szCs w:val="24"/>
        </w:rPr>
        <w:t>号项目采购活动的合法代理人，以本单位名义全权处理一切与该项目采购有关的事务。</w:t>
      </w:r>
    </w:p>
    <w:p w14:paraId="64CCC6E0">
      <w:pPr>
        <w:pStyle w:val="304"/>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sz w:val="24"/>
          <w:szCs w:val="24"/>
        </w:rPr>
      </w:pPr>
      <w:r>
        <w:rPr>
          <w:rFonts w:hint="eastAsia"/>
          <w:sz w:val="24"/>
          <w:szCs w:val="24"/>
        </w:rPr>
        <w:t>本授权书于______年____月____日起生效，特此声明。</w:t>
      </w:r>
    </w:p>
    <w:p w14:paraId="6EEBE023">
      <w:pPr>
        <w:pStyle w:val="304"/>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sz w:val="24"/>
          <w:szCs w:val="24"/>
          <w:u w:val="single"/>
        </w:rPr>
      </w:pPr>
      <w:r>
        <w:rPr>
          <w:rFonts w:hint="eastAsia"/>
          <w:sz w:val="24"/>
          <w:szCs w:val="24"/>
        </w:rPr>
        <w:t xml:space="preserve">          被授权人身份证号码：</w:t>
      </w:r>
      <w:r>
        <w:rPr>
          <w:rFonts w:hint="eastAsia"/>
          <w:sz w:val="24"/>
          <w:szCs w:val="24"/>
          <w:u w:val="single"/>
        </w:rPr>
        <w:t xml:space="preserve">                              </w:t>
      </w:r>
    </w:p>
    <w:p w14:paraId="3796A9FF">
      <w:pPr>
        <w:pStyle w:val="304"/>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sz w:val="24"/>
          <w:szCs w:val="24"/>
          <w:u w:val="single"/>
        </w:rPr>
      </w:pPr>
      <w:r>
        <w:rPr>
          <w:rFonts w:hint="eastAsia"/>
          <w:sz w:val="24"/>
          <w:szCs w:val="24"/>
        </w:rPr>
        <w:t xml:space="preserve">          被授权人联系电话：（手机）</w:t>
      </w:r>
      <w:r>
        <w:rPr>
          <w:rFonts w:hint="eastAsia"/>
          <w:sz w:val="24"/>
          <w:szCs w:val="24"/>
          <w:u w:val="single"/>
        </w:rPr>
        <w:t xml:space="preserve">                        </w:t>
      </w:r>
    </w:p>
    <w:p w14:paraId="4AFAC80B">
      <w:pPr>
        <w:pStyle w:val="304"/>
        <w:keepNext w:val="0"/>
        <w:keepLines w:val="0"/>
        <w:pageBreakBefore w:val="0"/>
        <w:widowControl w:val="0"/>
        <w:kinsoku/>
        <w:wordWrap/>
        <w:overflowPunct/>
        <w:topLinePunct w:val="0"/>
        <w:autoSpaceDE/>
        <w:autoSpaceDN/>
        <w:bidi w:val="0"/>
        <w:adjustRightInd/>
        <w:snapToGrid/>
        <w:spacing w:line="560" w:lineRule="exact"/>
        <w:ind w:firstLine="1200"/>
        <w:textAlignment w:val="auto"/>
        <w:rPr>
          <w:rFonts w:hint="eastAsia"/>
          <w:sz w:val="24"/>
          <w:szCs w:val="24"/>
        </w:rPr>
      </w:pPr>
      <w:r>
        <w:rPr>
          <w:rFonts w:hint="eastAsia"/>
          <w:sz w:val="24"/>
          <w:szCs w:val="24"/>
        </w:rPr>
        <w:t>授权单位名称：</w:t>
      </w:r>
      <w:r>
        <w:rPr>
          <w:rFonts w:hint="eastAsia"/>
          <w:sz w:val="24"/>
          <w:szCs w:val="24"/>
          <w:u w:val="single"/>
        </w:rPr>
        <w:t>（加盖CA电子公章）</w:t>
      </w:r>
    </w:p>
    <w:p w14:paraId="7681A269">
      <w:pPr>
        <w:pStyle w:val="304"/>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sz w:val="24"/>
          <w:szCs w:val="24"/>
          <w:u w:val="single"/>
        </w:rPr>
      </w:pPr>
      <w:r>
        <w:rPr>
          <w:rFonts w:hint="eastAsia"/>
          <w:sz w:val="24"/>
          <w:szCs w:val="24"/>
        </w:rPr>
        <w:t xml:space="preserve">      单位地址：</w:t>
      </w:r>
      <w:r>
        <w:rPr>
          <w:rFonts w:hint="eastAsia"/>
          <w:sz w:val="24"/>
          <w:szCs w:val="24"/>
          <w:u w:val="single"/>
        </w:rPr>
        <w:t xml:space="preserve">                                       </w:t>
      </w:r>
    </w:p>
    <w:p w14:paraId="045878D2">
      <w:pPr>
        <w:pStyle w:val="304"/>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sz w:val="24"/>
          <w:szCs w:val="24"/>
        </w:rPr>
      </w:pPr>
      <w:r>
        <w:rPr>
          <w:rFonts w:hint="eastAsia"/>
          <w:sz w:val="24"/>
          <w:szCs w:val="24"/>
        </w:rPr>
        <w:t xml:space="preserve">      日期：</w:t>
      </w:r>
      <w:bookmarkStart w:id="487" w:name="_Hlt26671380"/>
      <w:bookmarkEnd w:id="487"/>
      <w:bookmarkStart w:id="488" w:name="_Hlt26955070"/>
      <w:bookmarkEnd w:id="488"/>
      <w:bookmarkStart w:id="489" w:name="_格式3__银行出具的资信证明"/>
      <w:bookmarkEnd w:id="489"/>
      <w:r>
        <w:rPr>
          <w:rFonts w:hint="eastAsia"/>
          <w:sz w:val="24"/>
          <w:szCs w:val="24"/>
          <w:u w:val="single"/>
        </w:rPr>
        <w:t xml:space="preserve">                                         </w:t>
      </w:r>
    </w:p>
    <w:p w14:paraId="5ABB7416">
      <w:pPr>
        <w:pStyle w:val="201"/>
        <w:rPr>
          <w:rFonts w:hint="eastAsia"/>
          <w:i/>
          <w:sz w:val="24"/>
          <w:szCs w:val="24"/>
          <w:u w:val="single"/>
        </w:rPr>
      </w:pPr>
    </w:p>
    <w:p w14:paraId="6909D5F3">
      <w:pPr>
        <w:pStyle w:val="201"/>
        <w:ind w:firstLine="0"/>
        <w:rPr>
          <w:rFonts w:hint="eastAsia"/>
        </w:rPr>
      </w:pPr>
    </w:p>
    <w:p w14:paraId="2CD24CB7">
      <w:pPr>
        <w:spacing w:line="460" w:lineRule="exact"/>
        <w:rPr>
          <w:rFonts w:hint="eastAsia" w:eastAsia="楷体"/>
          <w:bCs/>
          <w:sz w:val="24"/>
          <w:szCs w:val="24"/>
        </w:rPr>
      </w:pPr>
    </w:p>
    <w:p w14:paraId="27A2388F">
      <w:pPr>
        <w:spacing w:line="460" w:lineRule="exact"/>
        <w:rPr>
          <w:rFonts w:hint="eastAsia"/>
          <w:bCs/>
          <w:sz w:val="24"/>
        </w:rPr>
      </w:pPr>
    </w:p>
    <w:p w14:paraId="7EB76BCD">
      <w:pPr>
        <w:rPr>
          <w:rFonts w:hint="eastAsia" w:eastAsia="宋体"/>
          <w:sz w:val="24"/>
          <w:szCs w:val="20"/>
          <w:lang w:val="en-US" w:eastAsia="zh-CN"/>
        </w:rPr>
      </w:pPr>
      <w:r>
        <w:rPr>
          <w:bCs/>
          <w:sz w:val="24"/>
        </w:rPr>
        <w:br w:type="page" w:clear="all"/>
      </w:r>
      <w:r>
        <w:rPr>
          <w:rFonts w:hint="eastAsia" w:ascii="Times New Roman" w:hAnsi="Times New Roman" w:eastAsia="宋体" w:cs="Times New Roman"/>
          <w:b/>
          <w:sz w:val="32"/>
          <w:szCs w:val="32"/>
          <w:lang w:val="en-US" w:eastAsia="zh-CN" w:bidi="ar-SA"/>
        </w:rPr>
        <w:t>五、开标一览表</w:t>
      </w:r>
    </w:p>
    <w:p w14:paraId="4519D69E">
      <w:pPr>
        <w:ind w:firstLine="480"/>
        <w:rPr>
          <w:rFonts w:hint="eastAsia"/>
          <w:sz w:val="24"/>
          <w:szCs w:val="24"/>
        </w:rPr>
      </w:pPr>
      <w:r>
        <w:rPr>
          <w:rFonts w:hint="eastAsia"/>
          <w:sz w:val="24"/>
          <w:szCs w:val="24"/>
        </w:rPr>
        <w:t>投标人全称（加盖CA电子签章）：</w:t>
      </w:r>
    </w:p>
    <w:p w14:paraId="63E87FCE">
      <w:pPr>
        <w:ind w:firstLine="480"/>
        <w:rPr>
          <w:sz w:val="24"/>
          <w:szCs w:val="24"/>
        </w:rPr>
      </w:pPr>
      <w:r>
        <w:rPr>
          <w:rFonts w:hint="eastAsia"/>
          <w:sz w:val="24"/>
          <w:szCs w:val="24"/>
        </w:rPr>
        <w:t>项目名称：</w:t>
      </w:r>
    </w:p>
    <w:p w14:paraId="3A640588">
      <w:pPr>
        <w:ind w:firstLine="480"/>
        <w:rPr>
          <w:sz w:val="24"/>
          <w:szCs w:val="24"/>
        </w:rPr>
      </w:pPr>
      <w:r>
        <w:rPr>
          <w:rFonts w:hint="eastAsia"/>
          <w:sz w:val="24"/>
          <w:szCs w:val="24"/>
        </w:rPr>
        <w:t>招标编号：                                   分包号：</w:t>
      </w:r>
    </w:p>
    <w:tbl>
      <w:tblPr>
        <w:tblStyle w:val="3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06"/>
      </w:tblGrid>
      <w:tr w14:paraId="11A0D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5" w:hRule="atLeast"/>
          <w:jc w:val="center"/>
        </w:trPr>
        <w:tc>
          <w:tcPr>
            <w:tcW w:w="8206" w:type="dxa"/>
            <w:vAlign w:val="center"/>
          </w:tcPr>
          <w:p w14:paraId="3FA2767C">
            <w:pPr>
              <w:rPr>
                <w:rFonts w:hint="eastAsia"/>
                <w:sz w:val="24"/>
                <w:szCs w:val="24"/>
              </w:rPr>
            </w:pPr>
            <w:r>
              <w:rPr>
                <w:rFonts w:hint="eastAsia" w:cs="宋体"/>
                <w:sz w:val="24"/>
                <w:szCs w:val="24"/>
              </w:rPr>
              <w:t xml:space="preserve">                      </w:t>
            </w:r>
            <w:r>
              <w:rPr>
                <w:rFonts w:hint="eastAsia"/>
                <w:sz w:val="24"/>
                <w:szCs w:val="24"/>
              </w:rPr>
              <w:t>投标总报价</w:t>
            </w:r>
          </w:p>
        </w:tc>
      </w:tr>
      <w:tr w14:paraId="49678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2" w:hRule="atLeast"/>
          <w:jc w:val="center"/>
        </w:trPr>
        <w:tc>
          <w:tcPr>
            <w:tcW w:w="8206" w:type="dxa"/>
            <w:vAlign w:val="center"/>
          </w:tcPr>
          <w:p w14:paraId="78E67CF8">
            <w:pPr>
              <w:pStyle w:val="306"/>
              <w:spacing w:before="0" w:after="0" w:line="500" w:lineRule="exact"/>
              <w:ind w:firstLine="0"/>
              <w:rPr>
                <w:rFonts w:hint="eastAsia" w:ascii="Times New Roman" w:hAnsi="Times New Roman"/>
                <w:szCs w:val="21"/>
              </w:rPr>
            </w:pPr>
            <w:r>
              <w:rPr>
                <w:rFonts w:hint="eastAsia" w:ascii="Times New Roman" w:hAnsi="Times New Roman" w:cs="宋体"/>
              </w:rPr>
              <w:t>小写：                             （人民币：元）</w:t>
            </w:r>
          </w:p>
        </w:tc>
      </w:tr>
    </w:tbl>
    <w:p w14:paraId="1C9D79A7">
      <w:pPr>
        <w:rPr>
          <w:sz w:val="24"/>
          <w:szCs w:val="24"/>
        </w:rPr>
      </w:pPr>
    </w:p>
    <w:p w14:paraId="4CFD1A2C">
      <w:pPr>
        <w:rPr>
          <w:sz w:val="24"/>
          <w:szCs w:val="24"/>
        </w:rPr>
      </w:pPr>
      <w:r>
        <w:rPr>
          <w:rFonts w:hint="eastAsia"/>
          <w:sz w:val="24"/>
          <w:szCs w:val="24"/>
        </w:rPr>
        <w:t xml:space="preserve">         </w:t>
      </w:r>
    </w:p>
    <w:p w14:paraId="5EA67C37">
      <w:pPr>
        <w:ind w:firstLine="480"/>
        <w:rPr>
          <w:rFonts w:hint="eastAsia"/>
          <w:sz w:val="24"/>
          <w:szCs w:val="24"/>
        </w:rPr>
      </w:pPr>
      <w:r>
        <w:rPr>
          <w:rFonts w:hint="eastAsia"/>
          <w:sz w:val="24"/>
          <w:szCs w:val="24"/>
        </w:rPr>
        <w:t xml:space="preserve">                               </w:t>
      </w:r>
    </w:p>
    <w:p w14:paraId="78300DB3">
      <w:pPr>
        <w:ind w:firstLine="480"/>
        <w:rPr>
          <w:rFonts w:hint="eastAsia"/>
          <w:sz w:val="24"/>
          <w:szCs w:val="24"/>
        </w:rPr>
      </w:pPr>
      <w:r>
        <w:rPr>
          <w:rFonts w:hint="eastAsia"/>
          <w:sz w:val="24"/>
          <w:szCs w:val="24"/>
        </w:rPr>
        <w:t xml:space="preserve">      日期：  </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14:paraId="476C8C90">
      <w:pPr>
        <w:ind w:firstLine="480"/>
        <w:rPr>
          <w:rFonts w:hint="eastAsia"/>
          <w:sz w:val="24"/>
          <w:szCs w:val="24"/>
        </w:rPr>
      </w:pPr>
    </w:p>
    <w:p w14:paraId="195B7946">
      <w:pPr>
        <w:ind w:firstLine="480"/>
        <w:rPr>
          <w:rFonts w:hint="eastAsia"/>
          <w:sz w:val="24"/>
          <w:szCs w:val="24"/>
        </w:rPr>
      </w:pPr>
    </w:p>
    <w:p w14:paraId="29192EDF">
      <w:pPr>
        <w:jc w:val="center"/>
        <w:rPr>
          <w:rFonts w:hint="eastAsia" w:cs="仿宋"/>
          <w:b/>
          <w:bCs/>
          <w:sz w:val="32"/>
          <w:szCs w:val="32"/>
        </w:rPr>
      </w:pPr>
    </w:p>
    <w:p w14:paraId="5357334E">
      <w:pPr>
        <w:jc w:val="center"/>
        <w:rPr>
          <w:rFonts w:hint="eastAsia"/>
          <w:bCs/>
          <w:sz w:val="24"/>
        </w:rPr>
      </w:pPr>
      <w:r>
        <w:rPr>
          <w:rFonts w:hint="eastAsia"/>
        </w:rPr>
        <w:br w:type="page" w:clear="all"/>
      </w:r>
    </w:p>
    <w:p w14:paraId="771FA74C">
      <w:pPr>
        <w:rPr>
          <w:rFonts w:hint="eastAsia" w:eastAsia="宋体"/>
          <w:b/>
          <w:sz w:val="32"/>
          <w:szCs w:val="32"/>
          <w:lang w:eastAsia="zh-CN"/>
        </w:rPr>
      </w:pPr>
      <w:r>
        <w:rPr>
          <w:rFonts w:hint="eastAsia"/>
          <w:b/>
          <w:sz w:val="32"/>
          <w:szCs w:val="32"/>
          <w:lang w:val="en-US" w:eastAsia="zh-CN"/>
        </w:rPr>
        <w:t>六</w:t>
      </w:r>
      <w:r>
        <w:rPr>
          <w:rFonts w:hint="eastAsia"/>
          <w:b/>
          <w:sz w:val="32"/>
          <w:szCs w:val="32"/>
        </w:rPr>
        <w:t>、</w:t>
      </w:r>
      <w:r>
        <w:rPr>
          <w:rFonts w:hint="eastAsia" w:ascii="宋体" w:hAnsi="宋体" w:cs="宋体"/>
          <w:b w:val="0"/>
          <w:bCs w:val="0"/>
          <w:color w:val="FF0000"/>
          <w:sz w:val="24"/>
          <w:szCs w:val="24"/>
        </w:rPr>
        <w:t>★</w:t>
      </w:r>
      <w:r>
        <w:rPr>
          <w:rFonts w:hint="eastAsia"/>
          <w:b/>
          <w:sz w:val="32"/>
          <w:szCs w:val="32"/>
        </w:rPr>
        <w:t>投标报价明细表</w:t>
      </w:r>
      <w:r>
        <w:rPr>
          <w:rFonts w:hint="eastAsia"/>
          <w:b/>
          <w:sz w:val="32"/>
          <w:szCs w:val="32"/>
          <w:lang w:eastAsia="zh-CN"/>
        </w:rPr>
        <w:t>（</w:t>
      </w:r>
      <w:r>
        <w:rPr>
          <w:rFonts w:hint="eastAsia"/>
          <w:b/>
          <w:sz w:val="32"/>
          <w:szCs w:val="32"/>
          <w:lang w:val="en-US" w:eastAsia="zh-CN"/>
        </w:rPr>
        <w:t>按下列要求自行提供</w:t>
      </w:r>
      <w:r>
        <w:rPr>
          <w:rFonts w:hint="eastAsia"/>
          <w:b/>
          <w:sz w:val="32"/>
          <w:szCs w:val="32"/>
          <w:lang w:eastAsia="zh-CN"/>
        </w:rPr>
        <w:t>）</w:t>
      </w:r>
    </w:p>
    <w:tbl>
      <w:tblPr>
        <w:tblStyle w:val="33"/>
        <w:tblW w:w="10005" w:type="dxa"/>
        <w:tblInd w:w="-15" w:type="dxa"/>
        <w:tblLayout w:type="fixed"/>
        <w:tblCellMar>
          <w:top w:w="0" w:type="dxa"/>
          <w:left w:w="108" w:type="dxa"/>
          <w:bottom w:w="0" w:type="dxa"/>
          <w:right w:w="108" w:type="dxa"/>
        </w:tblCellMar>
      </w:tblPr>
      <w:tblGrid>
        <w:gridCol w:w="10005"/>
      </w:tblGrid>
      <w:tr w14:paraId="26E22B4E">
        <w:tblPrEx>
          <w:tblCellMar>
            <w:top w:w="0" w:type="dxa"/>
            <w:left w:w="108" w:type="dxa"/>
            <w:bottom w:w="0" w:type="dxa"/>
            <w:right w:w="108" w:type="dxa"/>
          </w:tblCellMar>
        </w:tblPrEx>
        <w:trPr>
          <w:trHeight w:val="975" w:hRule="atLeast"/>
        </w:trPr>
        <w:tc>
          <w:tcPr>
            <w:tcW w:w="10005" w:type="dxa"/>
            <w:tcBorders>
              <w:top w:val="nil"/>
              <w:left w:val="nil"/>
              <w:bottom w:val="single" w:color="000000" w:sz="4" w:space="0"/>
              <w:right w:val="nil"/>
            </w:tcBorders>
            <w:vAlign w:val="center"/>
          </w:tcPr>
          <w:p w14:paraId="7AF39540">
            <w:pPr>
              <w:widowControl/>
              <w:spacing w:line="360" w:lineRule="exact"/>
              <w:jc w:val="center"/>
              <w:rPr>
                <w:rFonts w:hint="eastAsia" w:ascii="宋体" w:hAnsi="宋体" w:cs="宋体"/>
                <w:color w:val="000000"/>
                <w:sz w:val="28"/>
                <w:szCs w:val="28"/>
                <w:lang w:bidi="ar"/>
              </w:rPr>
            </w:pPr>
            <w:r>
              <w:rPr>
                <w:rFonts w:hint="eastAsia" w:ascii="宋体" w:hAnsi="宋体" w:cs="宋体"/>
                <w:color w:val="000000"/>
                <w:sz w:val="28"/>
                <w:szCs w:val="28"/>
                <w:lang w:eastAsia="zh-CN" w:bidi="ar"/>
              </w:rPr>
              <w:t>沭阳县耿圩镇污水处理厂提质提标项目</w:t>
            </w:r>
            <w:r>
              <w:rPr>
                <w:rFonts w:hint="eastAsia" w:ascii="宋体" w:hAnsi="宋体" w:cs="宋体"/>
                <w:color w:val="000000"/>
                <w:sz w:val="28"/>
                <w:szCs w:val="28"/>
                <w:lang w:bidi="ar"/>
              </w:rPr>
              <w:t>费用统计表</w:t>
            </w:r>
          </w:p>
          <w:tbl>
            <w:tblPr>
              <w:tblStyle w:val="33"/>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0"/>
              <w:gridCol w:w="1860"/>
              <w:gridCol w:w="2556"/>
              <w:gridCol w:w="1247"/>
              <w:gridCol w:w="3390"/>
            </w:tblGrid>
            <w:tr w14:paraId="1D33D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CBD5">
                  <w:pPr>
                    <w:pStyle w:val="199"/>
                    <w:keepNext w:val="0"/>
                    <w:keepLines/>
                    <w:pageBreakBefore w:val="0"/>
                    <w:widowControl w:val="0"/>
                    <w:kinsoku/>
                    <w:wordWrap/>
                    <w:overflowPunct/>
                    <w:topLinePunct w:val="0"/>
                    <w:autoSpaceDE/>
                    <w:autoSpaceDN/>
                    <w:bidi w:val="0"/>
                    <w:adjustRightInd/>
                    <w:snapToGrid/>
                    <w:spacing w:before="0" w:after="0" w:line="240" w:lineRule="auto"/>
                    <w:ind w:firstLine="0"/>
                    <w:jc w:val="center"/>
                    <w:textAlignment w:val="auto"/>
                    <w:rPr>
                      <w:rFonts w:hint="eastAsia" w:ascii="宋体" w:hAnsi="宋体" w:eastAsia="宋体" w:cs="宋体"/>
                      <w:b w:val="0"/>
                      <w:bCs w:val="0"/>
                      <w:color w:val="auto"/>
                      <w:sz w:val="22"/>
                      <w:szCs w:val="22"/>
                    </w:rPr>
                  </w:pPr>
                  <w:r>
                    <w:rPr>
                      <w:rFonts w:hint="default" w:ascii="宋体" w:hAnsi="宋体" w:eastAsia="宋体" w:cs="宋体"/>
                      <w:b w:val="0"/>
                      <w:bCs w:val="0"/>
                      <w:color w:val="auto"/>
                      <w:sz w:val="22"/>
                      <w:szCs w:val="22"/>
                      <w:lang w:val="en-US" w:eastAsia="zh-CN"/>
                    </w:rPr>
                    <w:t>序号</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E764">
                  <w:pPr>
                    <w:pStyle w:val="199"/>
                    <w:keepNext w:val="0"/>
                    <w:keepLines/>
                    <w:pageBreakBefore w:val="0"/>
                    <w:widowControl w:val="0"/>
                    <w:kinsoku/>
                    <w:wordWrap/>
                    <w:overflowPunct/>
                    <w:topLinePunct w:val="0"/>
                    <w:autoSpaceDE/>
                    <w:autoSpaceDN/>
                    <w:bidi w:val="0"/>
                    <w:adjustRightInd/>
                    <w:snapToGrid/>
                    <w:spacing w:before="0" w:after="0" w:line="240" w:lineRule="auto"/>
                    <w:ind w:firstLine="0"/>
                    <w:jc w:val="center"/>
                    <w:textAlignment w:val="auto"/>
                    <w:rPr>
                      <w:rFonts w:hint="default" w:ascii="宋体" w:hAnsi="宋体" w:eastAsia="宋体" w:cs="宋体"/>
                      <w:b w:val="0"/>
                      <w:bCs w:val="0"/>
                      <w:color w:val="auto"/>
                      <w:sz w:val="22"/>
                      <w:szCs w:val="22"/>
                    </w:rPr>
                  </w:pPr>
                  <w:r>
                    <w:rPr>
                      <w:rFonts w:hint="default" w:ascii="宋体" w:hAnsi="宋体" w:eastAsia="宋体" w:cs="宋体"/>
                      <w:b w:val="0"/>
                      <w:bCs w:val="0"/>
                      <w:color w:val="auto"/>
                      <w:sz w:val="22"/>
                      <w:szCs w:val="22"/>
                      <w:lang w:val="en-US" w:eastAsia="zh-CN"/>
                    </w:rPr>
                    <w:t>子项目名称</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4F8F">
                  <w:pPr>
                    <w:pStyle w:val="199"/>
                    <w:keepNext w:val="0"/>
                    <w:keepLines/>
                    <w:pageBreakBefore w:val="0"/>
                    <w:widowControl w:val="0"/>
                    <w:kinsoku/>
                    <w:wordWrap/>
                    <w:overflowPunct/>
                    <w:topLinePunct w:val="0"/>
                    <w:autoSpaceDE/>
                    <w:autoSpaceDN/>
                    <w:bidi w:val="0"/>
                    <w:adjustRightInd/>
                    <w:snapToGrid/>
                    <w:spacing w:before="0" w:after="0" w:line="240" w:lineRule="auto"/>
                    <w:ind w:firstLine="0"/>
                    <w:jc w:val="center"/>
                    <w:textAlignment w:val="auto"/>
                    <w:rPr>
                      <w:rFonts w:hint="default" w:ascii="宋体" w:hAnsi="宋体" w:eastAsia="宋体" w:cs="宋体"/>
                      <w:b w:val="0"/>
                      <w:bCs w:val="0"/>
                      <w:color w:val="auto"/>
                      <w:sz w:val="22"/>
                      <w:szCs w:val="22"/>
                    </w:rPr>
                  </w:pPr>
                  <w:r>
                    <w:rPr>
                      <w:rFonts w:hint="default" w:ascii="宋体" w:hAnsi="宋体" w:eastAsia="宋体" w:cs="宋体"/>
                      <w:b w:val="0"/>
                      <w:bCs w:val="0"/>
                      <w:color w:val="auto"/>
                      <w:sz w:val="22"/>
                      <w:szCs w:val="22"/>
                      <w:lang w:val="en-US" w:eastAsia="zh-CN"/>
                    </w:rPr>
                    <w:t>项目内容</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B081">
                  <w:pPr>
                    <w:pStyle w:val="199"/>
                    <w:keepNext w:val="0"/>
                    <w:keepLines/>
                    <w:pageBreakBefore w:val="0"/>
                    <w:widowControl w:val="0"/>
                    <w:kinsoku/>
                    <w:wordWrap/>
                    <w:overflowPunct/>
                    <w:topLinePunct w:val="0"/>
                    <w:autoSpaceDE/>
                    <w:autoSpaceDN/>
                    <w:bidi w:val="0"/>
                    <w:adjustRightInd/>
                    <w:snapToGrid/>
                    <w:spacing w:before="0" w:after="0" w:line="240" w:lineRule="auto"/>
                    <w:ind w:firstLine="0"/>
                    <w:jc w:val="center"/>
                    <w:textAlignment w:val="auto"/>
                    <w:rPr>
                      <w:rFonts w:hint="default" w:ascii="宋体" w:hAnsi="宋体" w:eastAsia="宋体" w:cs="宋体"/>
                      <w:b w:val="0"/>
                      <w:bCs w:val="0"/>
                      <w:color w:val="auto"/>
                      <w:sz w:val="22"/>
                      <w:szCs w:val="22"/>
                    </w:rPr>
                  </w:pPr>
                  <w:r>
                    <w:rPr>
                      <w:rFonts w:hint="default" w:ascii="宋体" w:hAnsi="宋体" w:eastAsia="宋体" w:cs="宋体"/>
                      <w:b w:val="0"/>
                      <w:bCs w:val="0"/>
                      <w:color w:val="auto"/>
                      <w:sz w:val="22"/>
                      <w:szCs w:val="22"/>
                      <w:lang w:val="en-US" w:eastAsia="zh-CN"/>
                    </w:rPr>
                    <w:t>费用估算（万元）</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313E">
                  <w:pPr>
                    <w:pStyle w:val="199"/>
                    <w:keepNext w:val="0"/>
                    <w:keepLines/>
                    <w:pageBreakBefore w:val="0"/>
                    <w:widowControl w:val="0"/>
                    <w:kinsoku/>
                    <w:wordWrap/>
                    <w:overflowPunct/>
                    <w:topLinePunct w:val="0"/>
                    <w:autoSpaceDE/>
                    <w:autoSpaceDN/>
                    <w:bidi w:val="0"/>
                    <w:adjustRightInd/>
                    <w:snapToGrid/>
                    <w:spacing w:before="0" w:after="0" w:line="240" w:lineRule="auto"/>
                    <w:ind w:firstLine="0"/>
                    <w:jc w:val="center"/>
                    <w:textAlignment w:val="auto"/>
                    <w:rPr>
                      <w:rFonts w:hint="default" w:ascii="宋体" w:hAnsi="宋体" w:eastAsia="宋体" w:cs="宋体"/>
                      <w:b w:val="0"/>
                      <w:bCs w:val="0"/>
                      <w:color w:val="auto"/>
                      <w:sz w:val="22"/>
                      <w:szCs w:val="22"/>
                    </w:rPr>
                  </w:pPr>
                  <w:r>
                    <w:rPr>
                      <w:rFonts w:hint="default" w:ascii="宋体" w:hAnsi="宋体" w:eastAsia="宋体" w:cs="宋体"/>
                      <w:b w:val="0"/>
                      <w:bCs w:val="0"/>
                      <w:color w:val="auto"/>
                      <w:sz w:val="22"/>
                      <w:szCs w:val="22"/>
                      <w:lang w:val="en-US" w:eastAsia="zh-CN"/>
                    </w:rPr>
                    <w:t>备注</w:t>
                  </w:r>
                </w:p>
              </w:tc>
            </w:tr>
            <w:tr w14:paraId="11FC8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5"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C397">
                  <w:pPr>
                    <w:pStyle w:val="199"/>
                    <w:keepNext w:val="0"/>
                    <w:keepLines/>
                    <w:pageBreakBefore w:val="0"/>
                    <w:widowControl w:val="0"/>
                    <w:kinsoku/>
                    <w:wordWrap/>
                    <w:overflowPunct/>
                    <w:topLinePunct w:val="0"/>
                    <w:autoSpaceDE/>
                    <w:autoSpaceDN/>
                    <w:bidi w:val="0"/>
                    <w:adjustRightInd/>
                    <w:snapToGrid/>
                    <w:spacing w:before="0" w:after="0" w:line="240" w:lineRule="auto"/>
                    <w:ind w:firstLine="0"/>
                    <w:jc w:val="center"/>
                    <w:textAlignment w:val="auto"/>
                    <w:rPr>
                      <w:rFonts w:hint="default" w:ascii="宋体" w:hAnsi="宋体" w:eastAsia="宋体" w:cs="宋体"/>
                      <w:b w:val="0"/>
                      <w:bCs w:val="0"/>
                      <w:color w:val="auto"/>
                      <w:sz w:val="22"/>
                      <w:szCs w:val="22"/>
                    </w:rPr>
                  </w:pPr>
                  <w:r>
                    <w:rPr>
                      <w:rFonts w:hint="default" w:ascii="宋体" w:hAnsi="宋体" w:eastAsia="宋体" w:cs="宋体"/>
                      <w:b w:val="0"/>
                      <w:bCs w:val="0"/>
                      <w:color w:val="auto"/>
                      <w:sz w:val="22"/>
                      <w:szCs w:val="22"/>
                      <w:lang w:val="en-US" w:eastAsia="zh-CN"/>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E45D">
                  <w:pPr>
                    <w:pStyle w:val="199"/>
                    <w:keepNext w:val="0"/>
                    <w:keepLines/>
                    <w:pageBreakBefore w:val="0"/>
                    <w:widowControl w:val="0"/>
                    <w:kinsoku/>
                    <w:wordWrap/>
                    <w:overflowPunct/>
                    <w:topLinePunct w:val="0"/>
                    <w:autoSpaceDE/>
                    <w:autoSpaceDN/>
                    <w:bidi w:val="0"/>
                    <w:adjustRightInd/>
                    <w:snapToGrid/>
                    <w:spacing w:before="0" w:after="0" w:line="240" w:lineRule="auto"/>
                    <w:ind w:firstLine="0"/>
                    <w:jc w:val="center"/>
                    <w:textAlignment w:val="auto"/>
                    <w:rPr>
                      <w:rFonts w:hint="eastAsia" w:ascii="宋体" w:hAnsi="宋体" w:eastAsia="宋体" w:cs="宋体"/>
                      <w:b w:val="0"/>
                      <w:bCs w:val="0"/>
                      <w:color w:val="auto"/>
                      <w:sz w:val="22"/>
                      <w:szCs w:val="22"/>
                    </w:rPr>
                  </w:pPr>
                  <w:r>
                    <w:rPr>
                      <w:rFonts w:hint="default" w:ascii="宋体" w:hAnsi="宋体" w:eastAsia="宋体" w:cs="宋体"/>
                      <w:b w:val="0"/>
                      <w:bCs w:val="0"/>
                      <w:color w:val="auto"/>
                      <w:sz w:val="22"/>
                      <w:szCs w:val="22"/>
                      <w:lang w:val="en-US" w:eastAsia="zh-CN"/>
                    </w:rPr>
                    <w:t>耿圩污水处理厂扩建项目土建</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AF16">
                  <w:pPr>
                    <w:pStyle w:val="199"/>
                    <w:keepNext w:val="0"/>
                    <w:keepLines/>
                    <w:pageBreakBefore w:val="0"/>
                    <w:widowControl w:val="0"/>
                    <w:kinsoku/>
                    <w:wordWrap/>
                    <w:overflowPunct/>
                    <w:topLinePunct w:val="0"/>
                    <w:autoSpaceDE/>
                    <w:autoSpaceDN/>
                    <w:bidi w:val="0"/>
                    <w:adjustRightInd/>
                    <w:snapToGrid/>
                    <w:spacing w:before="0" w:after="0" w:line="240" w:lineRule="auto"/>
                    <w:ind w:firstLine="0"/>
                    <w:jc w:val="center"/>
                    <w:textAlignment w:val="auto"/>
                    <w:rPr>
                      <w:rFonts w:hint="default" w:ascii="宋体" w:hAnsi="宋体" w:eastAsia="宋体" w:cs="宋体"/>
                      <w:b w:val="0"/>
                      <w:bCs w:val="0"/>
                      <w:color w:val="auto"/>
                      <w:sz w:val="22"/>
                      <w:szCs w:val="22"/>
                    </w:rPr>
                  </w:pPr>
                  <w:r>
                    <w:rPr>
                      <w:rFonts w:hint="default" w:ascii="宋体" w:hAnsi="宋体" w:eastAsia="宋体" w:cs="宋体"/>
                      <w:b w:val="0"/>
                      <w:bCs w:val="0"/>
                      <w:color w:val="auto"/>
                      <w:sz w:val="22"/>
                      <w:szCs w:val="22"/>
                      <w:lang w:val="en-US" w:eastAsia="zh-CN"/>
                    </w:rPr>
                    <w:t>设备基础、场地硬化及管道迁移</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6A94">
                  <w:pPr>
                    <w:pStyle w:val="199"/>
                    <w:keepNext w:val="0"/>
                    <w:keepLines/>
                    <w:pageBreakBefore w:val="0"/>
                    <w:widowControl w:val="0"/>
                    <w:kinsoku/>
                    <w:wordWrap/>
                    <w:overflowPunct/>
                    <w:topLinePunct w:val="0"/>
                    <w:autoSpaceDE/>
                    <w:autoSpaceDN/>
                    <w:bidi w:val="0"/>
                    <w:adjustRightInd/>
                    <w:snapToGrid/>
                    <w:spacing w:before="0" w:after="0" w:line="240" w:lineRule="auto"/>
                    <w:ind w:firstLine="0"/>
                    <w:jc w:val="center"/>
                    <w:textAlignment w:val="auto"/>
                    <w:rPr>
                      <w:rFonts w:hint="default" w:ascii="宋体" w:hAnsi="宋体" w:eastAsia="宋体" w:cs="宋体"/>
                      <w:b w:val="0"/>
                      <w:bCs w:val="0"/>
                      <w:color w:val="auto"/>
                      <w:sz w:val="22"/>
                      <w:szCs w:val="22"/>
                    </w:rPr>
                  </w:pP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F8ED">
                  <w:pPr>
                    <w:pStyle w:val="199"/>
                    <w:keepNext w:val="0"/>
                    <w:keepLines/>
                    <w:pageBreakBefore w:val="0"/>
                    <w:widowControl w:val="0"/>
                    <w:kinsoku/>
                    <w:wordWrap/>
                    <w:overflowPunct/>
                    <w:topLinePunct w:val="0"/>
                    <w:autoSpaceDE/>
                    <w:autoSpaceDN/>
                    <w:bidi w:val="0"/>
                    <w:adjustRightInd/>
                    <w:snapToGrid/>
                    <w:spacing w:before="0" w:after="0" w:line="240" w:lineRule="auto"/>
                    <w:ind w:firstLine="0"/>
                    <w:jc w:val="center"/>
                    <w:textAlignment w:val="auto"/>
                    <w:rPr>
                      <w:rFonts w:hint="default" w:ascii="宋体" w:hAnsi="宋体" w:eastAsia="宋体" w:cs="宋体"/>
                      <w:b w:val="0"/>
                      <w:bCs w:val="0"/>
                      <w:color w:val="auto"/>
                      <w:sz w:val="22"/>
                      <w:szCs w:val="22"/>
                    </w:rPr>
                  </w:pPr>
                  <w:r>
                    <w:rPr>
                      <w:rFonts w:hint="default" w:ascii="宋体" w:hAnsi="宋体" w:eastAsia="宋体" w:cs="宋体"/>
                      <w:b w:val="0"/>
                      <w:bCs w:val="0"/>
                      <w:color w:val="auto"/>
                      <w:sz w:val="22"/>
                      <w:szCs w:val="22"/>
                      <w:lang w:val="en-US" w:eastAsia="zh-CN"/>
                    </w:rPr>
                    <w:t>含土方开挖、钢筋混凝土安装及浇筑、预埋件采购及安装、管道改造等内容。</w:t>
                  </w:r>
                </w:p>
              </w:tc>
            </w:tr>
            <w:tr w14:paraId="527BB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74F2">
                  <w:pPr>
                    <w:pStyle w:val="199"/>
                    <w:keepNext w:val="0"/>
                    <w:keepLines/>
                    <w:pageBreakBefore w:val="0"/>
                    <w:widowControl w:val="0"/>
                    <w:kinsoku/>
                    <w:wordWrap/>
                    <w:overflowPunct/>
                    <w:topLinePunct w:val="0"/>
                    <w:autoSpaceDE/>
                    <w:autoSpaceDN/>
                    <w:bidi w:val="0"/>
                    <w:adjustRightInd/>
                    <w:snapToGrid/>
                    <w:spacing w:before="0" w:after="0" w:line="240" w:lineRule="auto"/>
                    <w:ind w:firstLine="0"/>
                    <w:jc w:val="center"/>
                    <w:textAlignment w:val="auto"/>
                    <w:rPr>
                      <w:rFonts w:hint="default" w:ascii="宋体" w:hAnsi="宋体" w:eastAsia="宋体" w:cs="宋体"/>
                      <w:b w:val="0"/>
                      <w:bCs w:val="0"/>
                      <w:color w:val="auto"/>
                      <w:sz w:val="22"/>
                      <w:szCs w:val="22"/>
                    </w:rPr>
                  </w:pPr>
                  <w:r>
                    <w:rPr>
                      <w:rFonts w:hint="default" w:ascii="宋体" w:hAnsi="宋体" w:eastAsia="宋体" w:cs="宋体"/>
                      <w:b w:val="0"/>
                      <w:bCs w:val="0"/>
                      <w:color w:val="auto"/>
                      <w:sz w:val="22"/>
                      <w:szCs w:val="22"/>
                      <w:lang w:val="en-US" w:eastAsia="zh-CN"/>
                    </w:rPr>
                    <w:t>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71C2">
                  <w:pPr>
                    <w:pStyle w:val="199"/>
                    <w:keepNext w:val="0"/>
                    <w:keepLines/>
                    <w:pageBreakBefore w:val="0"/>
                    <w:widowControl w:val="0"/>
                    <w:kinsoku/>
                    <w:wordWrap/>
                    <w:overflowPunct/>
                    <w:topLinePunct w:val="0"/>
                    <w:autoSpaceDE/>
                    <w:autoSpaceDN/>
                    <w:bidi w:val="0"/>
                    <w:adjustRightInd/>
                    <w:snapToGrid/>
                    <w:spacing w:before="0" w:after="0" w:line="240" w:lineRule="auto"/>
                    <w:ind w:firstLine="0"/>
                    <w:jc w:val="center"/>
                    <w:textAlignment w:val="auto"/>
                    <w:rPr>
                      <w:rFonts w:hint="default" w:ascii="宋体" w:hAnsi="宋体" w:eastAsia="宋体" w:cs="宋体"/>
                      <w:b w:val="0"/>
                      <w:bCs w:val="0"/>
                      <w:color w:val="auto"/>
                      <w:sz w:val="22"/>
                      <w:szCs w:val="22"/>
                    </w:rPr>
                  </w:pPr>
                  <w:r>
                    <w:rPr>
                      <w:rFonts w:hint="default" w:ascii="宋体" w:hAnsi="宋体" w:eastAsia="宋体" w:cs="宋体"/>
                      <w:b w:val="0"/>
                      <w:bCs w:val="0"/>
                      <w:color w:val="auto"/>
                      <w:sz w:val="22"/>
                      <w:szCs w:val="22"/>
                      <w:lang w:val="en-US" w:eastAsia="zh-CN"/>
                    </w:rPr>
                    <w:t>耿圩污水处理厂扩建项目设备</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EB6B">
                  <w:pPr>
                    <w:pStyle w:val="199"/>
                    <w:keepNext w:val="0"/>
                    <w:keepLines/>
                    <w:pageBreakBefore w:val="0"/>
                    <w:widowControl w:val="0"/>
                    <w:kinsoku/>
                    <w:wordWrap/>
                    <w:overflowPunct/>
                    <w:topLinePunct w:val="0"/>
                    <w:autoSpaceDE/>
                    <w:autoSpaceDN/>
                    <w:bidi w:val="0"/>
                    <w:adjustRightInd/>
                    <w:snapToGrid/>
                    <w:spacing w:before="0" w:after="0" w:line="240" w:lineRule="auto"/>
                    <w:ind w:firstLine="0"/>
                    <w:jc w:val="center"/>
                    <w:textAlignment w:val="auto"/>
                    <w:rPr>
                      <w:rFonts w:hint="default" w:ascii="宋体" w:hAnsi="宋体" w:eastAsia="宋体" w:cs="宋体"/>
                      <w:b w:val="0"/>
                      <w:bCs w:val="0"/>
                      <w:color w:val="auto"/>
                      <w:sz w:val="22"/>
                      <w:szCs w:val="22"/>
                    </w:rPr>
                  </w:pPr>
                  <w:r>
                    <w:rPr>
                      <w:rFonts w:hint="default" w:ascii="宋体" w:hAnsi="宋体" w:eastAsia="宋体" w:cs="宋体"/>
                      <w:b w:val="0"/>
                      <w:bCs w:val="0"/>
                      <w:color w:val="auto"/>
                      <w:sz w:val="22"/>
                      <w:szCs w:val="22"/>
                      <w:lang w:val="en-US" w:eastAsia="zh-CN"/>
                    </w:rPr>
                    <w:t>在耿圩污水处理厂扩建处理规模为</w:t>
                  </w:r>
                  <w:r>
                    <w:rPr>
                      <w:rFonts w:hint="eastAsia" w:ascii="宋体" w:hAnsi="宋体" w:eastAsia="宋体" w:cs="宋体"/>
                      <w:b w:val="0"/>
                      <w:bCs w:val="0"/>
                      <w:color w:val="auto"/>
                      <w:sz w:val="22"/>
                      <w:szCs w:val="22"/>
                      <w:lang w:val="en-US" w:eastAsia="zh-CN"/>
                    </w:rPr>
                    <w:t>1500t/d</w:t>
                  </w:r>
                  <w:r>
                    <w:rPr>
                      <w:rFonts w:hint="default" w:ascii="宋体" w:hAnsi="宋体" w:eastAsia="宋体" w:cs="宋体"/>
                      <w:b w:val="0"/>
                      <w:bCs w:val="0"/>
                      <w:color w:val="auto"/>
                      <w:sz w:val="22"/>
                      <w:szCs w:val="22"/>
                      <w:lang w:val="en-US" w:eastAsia="zh-CN"/>
                    </w:rPr>
                    <w:t>的一体化污水处理设备</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AD4A">
                  <w:pPr>
                    <w:pStyle w:val="199"/>
                    <w:keepNext w:val="0"/>
                    <w:keepLines/>
                    <w:pageBreakBefore w:val="0"/>
                    <w:widowControl w:val="0"/>
                    <w:kinsoku/>
                    <w:wordWrap/>
                    <w:overflowPunct/>
                    <w:topLinePunct w:val="0"/>
                    <w:autoSpaceDE/>
                    <w:autoSpaceDN/>
                    <w:bidi w:val="0"/>
                    <w:adjustRightInd/>
                    <w:snapToGrid/>
                    <w:spacing w:before="0" w:after="0" w:line="240" w:lineRule="auto"/>
                    <w:ind w:firstLine="0"/>
                    <w:jc w:val="center"/>
                    <w:textAlignment w:val="auto"/>
                    <w:rPr>
                      <w:rFonts w:hint="default" w:ascii="宋体" w:hAnsi="宋体" w:eastAsia="宋体" w:cs="宋体"/>
                      <w:b w:val="0"/>
                      <w:bCs w:val="0"/>
                      <w:color w:val="auto"/>
                      <w:sz w:val="22"/>
                      <w:szCs w:val="22"/>
                    </w:rPr>
                  </w:pP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B00C">
                  <w:pPr>
                    <w:pStyle w:val="199"/>
                    <w:keepNext w:val="0"/>
                    <w:keepLines/>
                    <w:pageBreakBefore w:val="0"/>
                    <w:widowControl w:val="0"/>
                    <w:kinsoku/>
                    <w:wordWrap/>
                    <w:overflowPunct/>
                    <w:topLinePunct w:val="0"/>
                    <w:autoSpaceDE/>
                    <w:autoSpaceDN/>
                    <w:bidi w:val="0"/>
                    <w:adjustRightInd/>
                    <w:snapToGrid/>
                    <w:spacing w:before="0" w:after="0" w:line="240" w:lineRule="auto"/>
                    <w:ind w:firstLine="0"/>
                    <w:jc w:val="center"/>
                    <w:textAlignment w:val="auto"/>
                    <w:rPr>
                      <w:rFonts w:hint="default" w:ascii="宋体" w:hAnsi="宋体" w:eastAsia="宋体" w:cs="宋体"/>
                      <w:b w:val="0"/>
                      <w:bCs w:val="0"/>
                      <w:color w:val="auto"/>
                      <w:sz w:val="22"/>
                      <w:szCs w:val="22"/>
                    </w:rPr>
                  </w:pPr>
                  <w:r>
                    <w:rPr>
                      <w:rFonts w:hint="default" w:ascii="宋体" w:hAnsi="宋体" w:eastAsia="宋体" w:cs="宋体"/>
                      <w:b w:val="0"/>
                      <w:bCs w:val="0"/>
                      <w:color w:val="auto"/>
                      <w:sz w:val="22"/>
                      <w:szCs w:val="22"/>
                      <w:lang w:val="en-US" w:eastAsia="zh-CN"/>
                    </w:rPr>
                    <w:t>设备为一体化设备，项目包含设备采购、安装等内容，设计处理规模为</w:t>
                  </w:r>
                  <w:r>
                    <w:rPr>
                      <w:rFonts w:hint="eastAsia" w:ascii="宋体" w:hAnsi="宋体" w:eastAsia="宋体" w:cs="宋体"/>
                      <w:b w:val="0"/>
                      <w:bCs w:val="0"/>
                      <w:color w:val="auto"/>
                      <w:sz w:val="22"/>
                      <w:szCs w:val="22"/>
                      <w:lang w:val="en-US" w:eastAsia="zh-CN"/>
                    </w:rPr>
                    <w:t>1500</w:t>
                  </w:r>
                  <w:r>
                    <w:rPr>
                      <w:rFonts w:hint="default" w:ascii="宋体" w:hAnsi="宋体" w:eastAsia="宋体" w:cs="宋体"/>
                      <w:b w:val="0"/>
                      <w:bCs w:val="0"/>
                      <w:color w:val="auto"/>
                      <w:sz w:val="22"/>
                      <w:szCs w:val="22"/>
                      <w:lang w:val="en-US" w:eastAsia="zh-CN"/>
                    </w:rPr>
                    <w:t>吨</w:t>
                  </w:r>
                  <w:r>
                    <w:rPr>
                      <w:rFonts w:hint="eastAsia" w:ascii="宋体" w:hAnsi="宋体" w:eastAsia="宋体" w:cs="宋体"/>
                      <w:b w:val="0"/>
                      <w:bCs w:val="0"/>
                      <w:color w:val="auto"/>
                      <w:sz w:val="22"/>
                      <w:szCs w:val="22"/>
                      <w:lang w:val="en-US" w:eastAsia="zh-CN"/>
                    </w:rPr>
                    <w:t>/</w:t>
                  </w:r>
                  <w:r>
                    <w:rPr>
                      <w:rFonts w:hint="default" w:ascii="宋体" w:hAnsi="宋体" w:eastAsia="宋体" w:cs="宋体"/>
                      <w:b w:val="0"/>
                      <w:bCs w:val="0"/>
                      <w:color w:val="auto"/>
                      <w:sz w:val="22"/>
                      <w:szCs w:val="22"/>
                      <w:lang w:val="en-US" w:eastAsia="zh-CN"/>
                    </w:rPr>
                    <w:t>天。</w:t>
                  </w:r>
                </w:p>
              </w:tc>
            </w:tr>
            <w:tr w14:paraId="6EA9D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4"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AFAA">
                  <w:pPr>
                    <w:pStyle w:val="199"/>
                    <w:keepNext w:val="0"/>
                    <w:keepLines/>
                    <w:pageBreakBefore w:val="0"/>
                    <w:widowControl w:val="0"/>
                    <w:kinsoku/>
                    <w:wordWrap/>
                    <w:overflowPunct/>
                    <w:topLinePunct w:val="0"/>
                    <w:autoSpaceDE/>
                    <w:autoSpaceDN/>
                    <w:bidi w:val="0"/>
                    <w:adjustRightInd/>
                    <w:snapToGrid/>
                    <w:spacing w:before="0" w:after="0" w:line="240" w:lineRule="auto"/>
                    <w:ind w:firstLine="0"/>
                    <w:jc w:val="center"/>
                    <w:textAlignment w:val="auto"/>
                    <w:rPr>
                      <w:rFonts w:hint="default" w:ascii="宋体" w:hAnsi="宋体" w:eastAsia="宋体" w:cs="宋体"/>
                      <w:b w:val="0"/>
                      <w:bCs w:val="0"/>
                      <w:color w:val="auto"/>
                      <w:sz w:val="22"/>
                      <w:szCs w:val="22"/>
                    </w:rPr>
                  </w:pPr>
                  <w:r>
                    <w:rPr>
                      <w:rFonts w:hint="default" w:ascii="宋体" w:hAnsi="宋体" w:eastAsia="宋体" w:cs="宋体"/>
                      <w:b w:val="0"/>
                      <w:bCs w:val="0"/>
                      <w:color w:val="auto"/>
                      <w:sz w:val="22"/>
                      <w:szCs w:val="22"/>
                      <w:lang w:val="en-US" w:eastAsia="zh-CN"/>
                    </w:rPr>
                    <w:t>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192D">
                  <w:pPr>
                    <w:pStyle w:val="199"/>
                    <w:keepNext w:val="0"/>
                    <w:keepLines/>
                    <w:pageBreakBefore w:val="0"/>
                    <w:widowControl w:val="0"/>
                    <w:kinsoku/>
                    <w:wordWrap/>
                    <w:overflowPunct/>
                    <w:topLinePunct w:val="0"/>
                    <w:autoSpaceDE/>
                    <w:autoSpaceDN/>
                    <w:bidi w:val="0"/>
                    <w:adjustRightInd/>
                    <w:snapToGrid/>
                    <w:spacing w:before="0" w:after="0" w:line="240" w:lineRule="auto"/>
                    <w:ind w:firstLine="0"/>
                    <w:jc w:val="center"/>
                    <w:textAlignment w:val="auto"/>
                    <w:rPr>
                      <w:rFonts w:hint="default" w:ascii="宋体" w:hAnsi="宋体" w:eastAsia="宋体" w:cs="宋体"/>
                      <w:b w:val="0"/>
                      <w:bCs w:val="0"/>
                      <w:color w:val="auto"/>
                      <w:sz w:val="22"/>
                      <w:szCs w:val="22"/>
                    </w:rPr>
                  </w:pPr>
                  <w:r>
                    <w:rPr>
                      <w:rFonts w:hint="default" w:ascii="宋体" w:hAnsi="宋体" w:eastAsia="宋体" w:cs="宋体"/>
                      <w:b w:val="0"/>
                      <w:bCs w:val="0"/>
                      <w:color w:val="auto"/>
                      <w:sz w:val="22"/>
                      <w:szCs w:val="22"/>
                      <w:lang w:val="en-US" w:eastAsia="zh-CN"/>
                    </w:rPr>
                    <w:t>耿圩污水处理厂扩建项目在线监测设备</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3CD9">
                  <w:pPr>
                    <w:pStyle w:val="199"/>
                    <w:keepNext w:val="0"/>
                    <w:keepLines/>
                    <w:pageBreakBefore w:val="0"/>
                    <w:widowControl w:val="0"/>
                    <w:kinsoku/>
                    <w:wordWrap/>
                    <w:overflowPunct/>
                    <w:topLinePunct w:val="0"/>
                    <w:autoSpaceDE/>
                    <w:autoSpaceDN/>
                    <w:bidi w:val="0"/>
                    <w:adjustRightInd/>
                    <w:snapToGrid/>
                    <w:spacing w:before="0" w:after="0" w:line="240" w:lineRule="auto"/>
                    <w:ind w:firstLine="0"/>
                    <w:jc w:val="center"/>
                    <w:textAlignment w:val="auto"/>
                    <w:rPr>
                      <w:rFonts w:hint="default" w:ascii="宋体" w:hAnsi="宋体" w:eastAsia="宋体" w:cs="宋体"/>
                      <w:b w:val="0"/>
                      <w:bCs w:val="0"/>
                      <w:color w:val="auto"/>
                      <w:sz w:val="22"/>
                      <w:szCs w:val="22"/>
                    </w:rPr>
                  </w:pPr>
                  <w:r>
                    <w:rPr>
                      <w:rFonts w:hint="default" w:ascii="宋体" w:hAnsi="宋体" w:eastAsia="宋体" w:cs="宋体"/>
                      <w:b w:val="0"/>
                      <w:bCs w:val="0"/>
                      <w:color w:val="auto"/>
                      <w:sz w:val="22"/>
                      <w:szCs w:val="22"/>
                      <w:lang w:val="en-US" w:eastAsia="zh-CN"/>
                    </w:rPr>
                    <w:t>出水处加装</w:t>
                  </w:r>
                  <w:r>
                    <w:rPr>
                      <w:rFonts w:hint="eastAsia" w:ascii="宋体" w:hAnsi="宋体" w:eastAsia="宋体" w:cs="宋体"/>
                      <w:b w:val="0"/>
                      <w:bCs w:val="0"/>
                      <w:color w:val="auto"/>
                      <w:sz w:val="22"/>
                      <w:szCs w:val="22"/>
                      <w:lang w:val="en-US" w:eastAsia="zh-CN"/>
                    </w:rPr>
                    <w:t>COD</w:t>
                  </w:r>
                  <w:r>
                    <w:rPr>
                      <w:rFonts w:hint="default" w:ascii="宋体" w:hAnsi="宋体" w:eastAsia="宋体" w:cs="宋体"/>
                      <w:b w:val="0"/>
                      <w:bCs w:val="0"/>
                      <w:color w:val="auto"/>
                      <w:sz w:val="22"/>
                      <w:szCs w:val="22"/>
                      <w:lang w:val="en-US" w:eastAsia="zh-CN"/>
                    </w:rPr>
                    <w:t>、</w:t>
                  </w:r>
                  <w:r>
                    <w:rPr>
                      <w:rFonts w:hint="eastAsia" w:ascii="宋体" w:hAnsi="宋体" w:eastAsia="宋体" w:cs="宋体"/>
                      <w:b w:val="0"/>
                      <w:bCs w:val="0"/>
                      <w:color w:val="auto"/>
                      <w:sz w:val="22"/>
                      <w:szCs w:val="22"/>
                      <w:lang w:val="en-US" w:eastAsia="zh-CN"/>
                    </w:rPr>
                    <w:t>NH3-N</w:t>
                  </w:r>
                  <w:r>
                    <w:rPr>
                      <w:rFonts w:hint="default" w:ascii="宋体" w:hAnsi="宋体" w:eastAsia="宋体" w:cs="宋体"/>
                      <w:b w:val="0"/>
                      <w:bCs w:val="0"/>
                      <w:color w:val="auto"/>
                      <w:sz w:val="22"/>
                      <w:szCs w:val="22"/>
                      <w:lang w:val="en-US" w:eastAsia="zh-CN"/>
                    </w:rPr>
                    <w:t>、</w:t>
                  </w:r>
                  <w:r>
                    <w:rPr>
                      <w:rFonts w:hint="eastAsia" w:ascii="宋体" w:hAnsi="宋体" w:eastAsia="宋体" w:cs="宋体"/>
                      <w:b w:val="0"/>
                      <w:bCs w:val="0"/>
                      <w:color w:val="auto"/>
                      <w:sz w:val="22"/>
                      <w:szCs w:val="22"/>
                      <w:lang w:val="en-US" w:eastAsia="zh-CN"/>
                    </w:rPr>
                    <w:t>TP</w:t>
                  </w:r>
                  <w:r>
                    <w:rPr>
                      <w:rFonts w:hint="default" w:ascii="宋体" w:hAnsi="宋体" w:eastAsia="宋体" w:cs="宋体"/>
                      <w:b w:val="0"/>
                      <w:bCs w:val="0"/>
                      <w:color w:val="auto"/>
                      <w:sz w:val="22"/>
                      <w:szCs w:val="22"/>
                      <w:lang w:val="en-US" w:eastAsia="zh-CN"/>
                    </w:rPr>
                    <w:t>、</w:t>
                  </w:r>
                  <w:r>
                    <w:rPr>
                      <w:rFonts w:hint="eastAsia" w:ascii="宋体" w:hAnsi="宋体" w:eastAsia="宋体" w:cs="宋体"/>
                      <w:b w:val="0"/>
                      <w:bCs w:val="0"/>
                      <w:color w:val="auto"/>
                      <w:sz w:val="22"/>
                      <w:szCs w:val="22"/>
                      <w:lang w:val="en-US" w:eastAsia="zh-CN"/>
                    </w:rPr>
                    <w:t>TN</w:t>
                  </w:r>
                  <w:r>
                    <w:rPr>
                      <w:rFonts w:hint="default" w:ascii="宋体" w:hAnsi="宋体" w:eastAsia="宋体" w:cs="宋体"/>
                      <w:b w:val="0"/>
                      <w:bCs w:val="0"/>
                      <w:color w:val="auto"/>
                      <w:sz w:val="22"/>
                      <w:szCs w:val="22"/>
                      <w:lang w:val="en-US" w:eastAsia="zh-CN"/>
                    </w:rPr>
                    <w:t>、</w:t>
                  </w:r>
                  <w:r>
                    <w:rPr>
                      <w:rFonts w:hint="eastAsia" w:ascii="宋体" w:hAnsi="宋体" w:eastAsia="宋体" w:cs="宋体"/>
                      <w:b w:val="0"/>
                      <w:bCs w:val="0"/>
                      <w:color w:val="auto"/>
                      <w:sz w:val="22"/>
                      <w:szCs w:val="22"/>
                      <w:lang w:val="en-US" w:eastAsia="zh-CN"/>
                    </w:rPr>
                    <w:t>PH</w:t>
                  </w:r>
                  <w:r>
                    <w:rPr>
                      <w:rFonts w:hint="default" w:ascii="宋体" w:hAnsi="宋体" w:eastAsia="宋体" w:cs="宋体"/>
                      <w:b w:val="0"/>
                      <w:bCs w:val="0"/>
                      <w:color w:val="auto"/>
                      <w:sz w:val="22"/>
                      <w:szCs w:val="22"/>
                      <w:lang w:val="en-US" w:eastAsia="zh-CN"/>
                    </w:rPr>
                    <w:t>、</w:t>
                  </w:r>
                  <w:r>
                    <w:rPr>
                      <w:rFonts w:hint="eastAsia" w:ascii="宋体" w:hAnsi="宋体" w:eastAsia="宋体" w:cs="宋体"/>
                      <w:b w:val="0"/>
                      <w:bCs w:val="0"/>
                      <w:color w:val="auto"/>
                      <w:sz w:val="22"/>
                      <w:szCs w:val="22"/>
                      <w:lang w:val="en-US" w:eastAsia="zh-CN"/>
                    </w:rPr>
                    <w:t>SS</w:t>
                  </w:r>
                  <w:r>
                    <w:rPr>
                      <w:rFonts w:hint="default" w:ascii="宋体" w:hAnsi="宋体" w:eastAsia="宋体" w:cs="宋体"/>
                      <w:b w:val="0"/>
                      <w:bCs w:val="0"/>
                      <w:color w:val="auto"/>
                      <w:sz w:val="22"/>
                      <w:szCs w:val="22"/>
                      <w:lang w:val="en-US" w:eastAsia="zh-CN"/>
                    </w:rPr>
                    <w:t>在线检测仪器</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7B25">
                  <w:pPr>
                    <w:pStyle w:val="199"/>
                    <w:keepNext w:val="0"/>
                    <w:keepLines/>
                    <w:pageBreakBefore w:val="0"/>
                    <w:widowControl w:val="0"/>
                    <w:kinsoku/>
                    <w:wordWrap/>
                    <w:overflowPunct/>
                    <w:topLinePunct w:val="0"/>
                    <w:autoSpaceDE/>
                    <w:autoSpaceDN/>
                    <w:bidi w:val="0"/>
                    <w:adjustRightInd/>
                    <w:snapToGrid/>
                    <w:spacing w:before="0" w:after="0" w:line="240" w:lineRule="auto"/>
                    <w:ind w:firstLine="0"/>
                    <w:jc w:val="center"/>
                    <w:textAlignment w:val="auto"/>
                    <w:rPr>
                      <w:rFonts w:hint="default" w:ascii="宋体" w:hAnsi="宋体" w:eastAsia="宋体" w:cs="宋体"/>
                      <w:b w:val="0"/>
                      <w:bCs w:val="0"/>
                      <w:color w:val="auto"/>
                      <w:sz w:val="22"/>
                      <w:szCs w:val="22"/>
                    </w:rPr>
                  </w:pP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7C49">
                  <w:pPr>
                    <w:pStyle w:val="199"/>
                    <w:keepNext w:val="0"/>
                    <w:keepLines/>
                    <w:pageBreakBefore w:val="0"/>
                    <w:widowControl w:val="0"/>
                    <w:kinsoku/>
                    <w:wordWrap/>
                    <w:overflowPunct/>
                    <w:topLinePunct w:val="0"/>
                    <w:autoSpaceDE/>
                    <w:autoSpaceDN/>
                    <w:bidi w:val="0"/>
                    <w:adjustRightInd/>
                    <w:snapToGrid/>
                    <w:spacing w:before="0" w:after="0" w:line="240" w:lineRule="auto"/>
                    <w:ind w:firstLine="0"/>
                    <w:jc w:val="center"/>
                    <w:textAlignment w:val="auto"/>
                    <w:rPr>
                      <w:rFonts w:hint="default" w:ascii="宋体" w:hAnsi="宋体" w:eastAsia="宋体" w:cs="宋体"/>
                      <w:b w:val="0"/>
                      <w:bCs w:val="0"/>
                      <w:color w:val="auto"/>
                      <w:sz w:val="22"/>
                      <w:szCs w:val="22"/>
                    </w:rPr>
                  </w:pPr>
                  <w:r>
                    <w:rPr>
                      <w:rFonts w:hint="default" w:ascii="宋体" w:hAnsi="宋体" w:eastAsia="宋体" w:cs="宋体"/>
                      <w:b w:val="0"/>
                      <w:bCs w:val="0"/>
                      <w:color w:val="auto"/>
                      <w:sz w:val="22"/>
                      <w:szCs w:val="22"/>
                      <w:lang w:val="en-US" w:eastAsia="zh-CN"/>
                    </w:rPr>
                    <w:t>含</w:t>
                  </w:r>
                  <w:r>
                    <w:rPr>
                      <w:rFonts w:hint="eastAsia" w:ascii="宋体" w:hAnsi="宋体" w:eastAsia="宋体" w:cs="宋体"/>
                      <w:b w:val="0"/>
                      <w:bCs w:val="0"/>
                      <w:color w:val="auto"/>
                      <w:sz w:val="22"/>
                      <w:szCs w:val="22"/>
                      <w:lang w:val="en-US" w:eastAsia="zh-CN"/>
                    </w:rPr>
                    <w:t>6</w:t>
                  </w:r>
                  <w:r>
                    <w:rPr>
                      <w:rFonts w:hint="default" w:ascii="宋体" w:hAnsi="宋体" w:eastAsia="宋体" w:cs="宋体"/>
                      <w:b w:val="0"/>
                      <w:bCs w:val="0"/>
                      <w:color w:val="auto"/>
                      <w:sz w:val="22"/>
                      <w:szCs w:val="22"/>
                      <w:lang w:val="en-US" w:eastAsia="zh-CN"/>
                    </w:rPr>
                    <w:t>台设备采购、安装等费用。</w:t>
                  </w:r>
                </w:p>
              </w:tc>
            </w:tr>
            <w:tr w14:paraId="39EE0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5"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AD58">
                  <w:pPr>
                    <w:pStyle w:val="199"/>
                    <w:keepNext w:val="0"/>
                    <w:keepLines/>
                    <w:pageBreakBefore w:val="0"/>
                    <w:widowControl w:val="0"/>
                    <w:kinsoku/>
                    <w:wordWrap/>
                    <w:overflowPunct/>
                    <w:topLinePunct w:val="0"/>
                    <w:autoSpaceDE/>
                    <w:autoSpaceDN/>
                    <w:bidi w:val="0"/>
                    <w:adjustRightInd/>
                    <w:snapToGrid/>
                    <w:spacing w:before="0" w:after="0" w:line="240" w:lineRule="auto"/>
                    <w:ind w:firstLine="0"/>
                    <w:jc w:val="center"/>
                    <w:textAlignment w:val="auto"/>
                    <w:rPr>
                      <w:rFonts w:hint="default" w:ascii="宋体" w:hAnsi="宋体" w:eastAsia="宋体" w:cs="宋体"/>
                      <w:b w:val="0"/>
                      <w:bCs w:val="0"/>
                      <w:color w:val="auto"/>
                      <w:sz w:val="22"/>
                      <w:szCs w:val="22"/>
                    </w:rPr>
                  </w:pPr>
                  <w:r>
                    <w:rPr>
                      <w:rFonts w:hint="default" w:ascii="宋体" w:hAnsi="宋体" w:eastAsia="宋体" w:cs="宋体"/>
                      <w:b w:val="0"/>
                      <w:bCs w:val="0"/>
                      <w:color w:val="auto"/>
                      <w:sz w:val="22"/>
                      <w:szCs w:val="22"/>
                      <w:lang w:val="en-US" w:eastAsia="zh-CN"/>
                    </w:rPr>
                    <w:t>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A1D5">
                  <w:pPr>
                    <w:pStyle w:val="199"/>
                    <w:keepNext w:val="0"/>
                    <w:keepLines/>
                    <w:pageBreakBefore w:val="0"/>
                    <w:widowControl w:val="0"/>
                    <w:kinsoku/>
                    <w:wordWrap/>
                    <w:overflowPunct/>
                    <w:topLinePunct w:val="0"/>
                    <w:autoSpaceDE/>
                    <w:autoSpaceDN/>
                    <w:bidi w:val="0"/>
                    <w:adjustRightInd/>
                    <w:snapToGrid/>
                    <w:spacing w:before="0" w:after="0" w:line="240" w:lineRule="auto"/>
                    <w:ind w:firstLine="0"/>
                    <w:jc w:val="center"/>
                    <w:textAlignment w:val="auto"/>
                    <w:rPr>
                      <w:rFonts w:hint="default" w:ascii="宋体" w:hAnsi="宋体" w:eastAsia="宋体" w:cs="宋体"/>
                      <w:b w:val="0"/>
                      <w:bCs w:val="0"/>
                      <w:color w:val="auto"/>
                      <w:sz w:val="22"/>
                      <w:szCs w:val="22"/>
                    </w:rPr>
                  </w:pPr>
                  <w:r>
                    <w:rPr>
                      <w:rFonts w:hint="default" w:ascii="宋体" w:hAnsi="宋体" w:eastAsia="宋体" w:cs="宋体"/>
                      <w:b w:val="0"/>
                      <w:bCs w:val="0"/>
                      <w:color w:val="auto"/>
                      <w:sz w:val="22"/>
                      <w:szCs w:val="22"/>
                      <w:lang w:val="en-US" w:eastAsia="zh-CN"/>
                    </w:rPr>
                    <w:t>运营费用</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91A7">
                  <w:pPr>
                    <w:pStyle w:val="199"/>
                    <w:keepNext w:val="0"/>
                    <w:keepLines/>
                    <w:pageBreakBefore w:val="0"/>
                    <w:widowControl w:val="0"/>
                    <w:kinsoku/>
                    <w:wordWrap/>
                    <w:overflowPunct/>
                    <w:topLinePunct w:val="0"/>
                    <w:autoSpaceDE/>
                    <w:autoSpaceDN/>
                    <w:bidi w:val="0"/>
                    <w:adjustRightInd/>
                    <w:snapToGrid/>
                    <w:spacing w:before="0" w:after="0" w:line="240" w:lineRule="auto"/>
                    <w:ind w:firstLine="0"/>
                    <w:jc w:val="center"/>
                    <w:textAlignment w:val="auto"/>
                    <w:rPr>
                      <w:rFonts w:hint="default" w:ascii="宋体" w:hAnsi="宋体" w:eastAsia="宋体" w:cs="宋体"/>
                      <w:b w:val="0"/>
                      <w:bCs w:val="0"/>
                      <w:color w:val="auto"/>
                      <w:sz w:val="22"/>
                      <w:szCs w:val="22"/>
                    </w:rPr>
                  </w:pPr>
                  <w:r>
                    <w:rPr>
                      <w:rFonts w:hint="default" w:ascii="宋体" w:hAnsi="宋体" w:eastAsia="宋体" w:cs="宋体"/>
                      <w:b w:val="0"/>
                      <w:bCs w:val="0"/>
                      <w:color w:val="auto"/>
                      <w:sz w:val="22"/>
                      <w:szCs w:val="22"/>
                      <w:lang w:val="en-US" w:eastAsia="zh-CN"/>
                    </w:rPr>
                    <w:t>运营规模</w:t>
                  </w:r>
                  <w:r>
                    <w:rPr>
                      <w:rFonts w:hint="eastAsia" w:ascii="宋体" w:hAnsi="宋体" w:eastAsia="宋体" w:cs="宋体"/>
                      <w:b w:val="0"/>
                      <w:bCs w:val="0"/>
                      <w:color w:val="auto"/>
                      <w:sz w:val="22"/>
                      <w:szCs w:val="22"/>
                      <w:lang w:val="en-US" w:eastAsia="zh-CN"/>
                    </w:rPr>
                    <w:t>1500</w:t>
                  </w:r>
                  <w:r>
                    <w:rPr>
                      <w:rFonts w:hint="default" w:ascii="宋体" w:hAnsi="宋体" w:eastAsia="宋体" w:cs="宋体"/>
                      <w:b w:val="0"/>
                      <w:bCs w:val="0"/>
                      <w:color w:val="auto"/>
                      <w:sz w:val="22"/>
                      <w:szCs w:val="22"/>
                      <w:lang w:val="en-US" w:eastAsia="zh-CN"/>
                    </w:rPr>
                    <w:t>吨</w:t>
                  </w:r>
                  <w:r>
                    <w:rPr>
                      <w:rFonts w:hint="eastAsia" w:ascii="宋体" w:hAnsi="宋体" w:eastAsia="宋体" w:cs="宋体"/>
                      <w:b w:val="0"/>
                      <w:bCs w:val="0"/>
                      <w:color w:val="auto"/>
                      <w:sz w:val="22"/>
                      <w:szCs w:val="22"/>
                      <w:lang w:val="en-US" w:eastAsia="zh-CN"/>
                    </w:rPr>
                    <w:t>/</w:t>
                  </w:r>
                  <w:r>
                    <w:rPr>
                      <w:rFonts w:hint="default" w:ascii="宋体" w:hAnsi="宋体" w:eastAsia="宋体" w:cs="宋体"/>
                      <w:b w:val="0"/>
                      <w:bCs w:val="0"/>
                      <w:color w:val="auto"/>
                      <w:sz w:val="22"/>
                      <w:szCs w:val="22"/>
                      <w:lang w:val="en-US" w:eastAsia="zh-CN"/>
                    </w:rPr>
                    <w:t>天，运营期</w:t>
                  </w:r>
                  <w:r>
                    <w:rPr>
                      <w:rFonts w:hint="eastAsia" w:ascii="宋体" w:hAnsi="宋体" w:eastAsia="宋体" w:cs="宋体"/>
                      <w:b w:val="0"/>
                      <w:bCs w:val="0"/>
                      <w:color w:val="auto"/>
                      <w:sz w:val="22"/>
                      <w:szCs w:val="22"/>
                      <w:lang w:val="en-US" w:eastAsia="zh-CN"/>
                    </w:rPr>
                    <w:t>1</w:t>
                  </w:r>
                  <w:r>
                    <w:rPr>
                      <w:rFonts w:hint="default" w:ascii="宋体" w:hAnsi="宋体" w:eastAsia="宋体" w:cs="宋体"/>
                      <w:b w:val="0"/>
                      <w:bCs w:val="0"/>
                      <w:color w:val="auto"/>
                      <w:sz w:val="22"/>
                      <w:szCs w:val="22"/>
                      <w:lang w:val="en-US" w:eastAsia="zh-CN"/>
                    </w:rPr>
                    <w:t>年</w:t>
                  </w:r>
                  <w:r>
                    <w:rPr>
                      <w:rFonts w:hint="eastAsia" w:ascii="宋体" w:hAnsi="宋体" w:eastAsia="宋体" w:cs="宋体"/>
                      <w:b w:val="0"/>
                      <w:bCs w:val="0"/>
                      <w:color w:val="auto"/>
                      <w:sz w:val="22"/>
                      <w:szCs w:val="22"/>
                      <w:lang w:val="en-US" w:eastAsia="zh-CN"/>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A2DE">
                  <w:pPr>
                    <w:pStyle w:val="199"/>
                    <w:keepNext w:val="0"/>
                    <w:keepLines/>
                    <w:pageBreakBefore w:val="0"/>
                    <w:widowControl w:val="0"/>
                    <w:kinsoku/>
                    <w:wordWrap/>
                    <w:overflowPunct/>
                    <w:topLinePunct w:val="0"/>
                    <w:autoSpaceDE/>
                    <w:autoSpaceDN/>
                    <w:bidi w:val="0"/>
                    <w:adjustRightInd/>
                    <w:snapToGrid/>
                    <w:spacing w:before="0" w:after="0" w:line="240" w:lineRule="auto"/>
                    <w:ind w:firstLine="0"/>
                    <w:jc w:val="center"/>
                    <w:textAlignment w:val="auto"/>
                    <w:rPr>
                      <w:rFonts w:hint="default" w:ascii="宋体" w:hAnsi="宋体" w:eastAsia="宋体" w:cs="宋体"/>
                      <w:b w:val="0"/>
                      <w:bCs w:val="0"/>
                      <w:color w:val="auto"/>
                      <w:sz w:val="22"/>
                      <w:szCs w:val="22"/>
                    </w:rPr>
                  </w:pP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808B">
                  <w:pPr>
                    <w:pStyle w:val="199"/>
                    <w:keepNext w:val="0"/>
                    <w:keepLines/>
                    <w:pageBreakBefore w:val="0"/>
                    <w:widowControl w:val="0"/>
                    <w:kinsoku/>
                    <w:wordWrap/>
                    <w:overflowPunct/>
                    <w:topLinePunct w:val="0"/>
                    <w:autoSpaceDE/>
                    <w:autoSpaceDN/>
                    <w:bidi w:val="0"/>
                    <w:adjustRightInd/>
                    <w:snapToGrid/>
                    <w:spacing w:before="0" w:after="0" w:line="240" w:lineRule="auto"/>
                    <w:ind w:firstLine="0"/>
                    <w:jc w:val="center"/>
                    <w:textAlignment w:val="auto"/>
                    <w:rPr>
                      <w:rFonts w:hint="default" w:ascii="宋体" w:hAnsi="宋体" w:eastAsia="宋体" w:cs="宋体"/>
                      <w:b w:val="0"/>
                      <w:bCs w:val="0"/>
                      <w:color w:val="auto"/>
                      <w:sz w:val="22"/>
                      <w:szCs w:val="22"/>
                    </w:rPr>
                  </w:pPr>
                  <w:r>
                    <w:rPr>
                      <w:rFonts w:hint="default" w:ascii="宋体" w:hAnsi="宋体" w:eastAsia="宋体" w:cs="宋体"/>
                      <w:b w:val="0"/>
                      <w:bCs w:val="0"/>
                      <w:color w:val="auto"/>
                      <w:sz w:val="22"/>
                      <w:szCs w:val="22"/>
                      <w:lang w:val="en-US" w:eastAsia="zh-CN"/>
                    </w:rPr>
                    <w:t>一体化污水处理设备运营，包含人工费、药剂费、电费等所有运营费用。</w:t>
                  </w:r>
                </w:p>
              </w:tc>
            </w:tr>
            <w:tr w14:paraId="7AD02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74E2">
                  <w:pPr>
                    <w:pStyle w:val="199"/>
                    <w:keepNext w:val="0"/>
                    <w:keepLines/>
                    <w:pageBreakBefore w:val="0"/>
                    <w:widowControl w:val="0"/>
                    <w:kinsoku/>
                    <w:wordWrap/>
                    <w:overflowPunct/>
                    <w:topLinePunct w:val="0"/>
                    <w:autoSpaceDE/>
                    <w:autoSpaceDN/>
                    <w:bidi w:val="0"/>
                    <w:adjustRightInd/>
                    <w:snapToGrid/>
                    <w:spacing w:before="0" w:after="0" w:line="240" w:lineRule="auto"/>
                    <w:ind w:firstLine="0"/>
                    <w:jc w:val="center"/>
                    <w:textAlignment w:val="auto"/>
                    <w:rPr>
                      <w:rFonts w:hint="default" w:ascii="宋体" w:hAnsi="宋体" w:eastAsia="宋体" w:cs="宋体"/>
                      <w:b w:val="0"/>
                      <w:bCs w:val="0"/>
                      <w:color w:val="auto"/>
                      <w:sz w:val="22"/>
                      <w:szCs w:val="22"/>
                    </w:rPr>
                  </w:pPr>
                  <w:r>
                    <w:rPr>
                      <w:rFonts w:hint="eastAsia" w:ascii="宋体" w:hAnsi="宋体" w:eastAsia="宋体" w:cs="宋体"/>
                      <w:b w:val="0"/>
                      <w:bCs w:val="0"/>
                      <w:color w:val="auto"/>
                      <w:sz w:val="22"/>
                      <w:szCs w:val="22"/>
                      <w:lang w:val="en-US" w:eastAsia="zh-CN"/>
                    </w:rPr>
                    <w:t>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F8BE">
                  <w:pPr>
                    <w:pStyle w:val="199"/>
                    <w:keepNext w:val="0"/>
                    <w:keepLines/>
                    <w:pageBreakBefore w:val="0"/>
                    <w:widowControl w:val="0"/>
                    <w:kinsoku/>
                    <w:wordWrap/>
                    <w:overflowPunct/>
                    <w:topLinePunct w:val="0"/>
                    <w:autoSpaceDE/>
                    <w:autoSpaceDN/>
                    <w:bidi w:val="0"/>
                    <w:adjustRightInd/>
                    <w:snapToGrid/>
                    <w:spacing w:before="0" w:after="0" w:line="240" w:lineRule="auto"/>
                    <w:ind w:firstLine="0"/>
                    <w:jc w:val="center"/>
                    <w:textAlignment w:val="auto"/>
                    <w:rPr>
                      <w:rFonts w:hint="default" w:ascii="宋体" w:hAnsi="宋体" w:eastAsia="宋体" w:cs="宋体"/>
                      <w:b w:val="0"/>
                      <w:bCs w:val="0"/>
                      <w:color w:val="auto"/>
                      <w:sz w:val="22"/>
                      <w:szCs w:val="22"/>
                    </w:rPr>
                  </w:pPr>
                  <w:r>
                    <w:rPr>
                      <w:rFonts w:hint="default" w:ascii="宋体" w:hAnsi="宋体" w:eastAsia="宋体" w:cs="宋体"/>
                      <w:b w:val="0"/>
                      <w:bCs w:val="0"/>
                      <w:color w:val="auto"/>
                      <w:sz w:val="22"/>
                      <w:szCs w:val="22"/>
                      <w:lang w:val="en-US" w:eastAsia="zh-CN"/>
                    </w:rPr>
                    <w:t>其他</w:t>
                  </w: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BE87">
                  <w:pPr>
                    <w:pStyle w:val="199"/>
                    <w:keepNext w:val="0"/>
                    <w:keepLines/>
                    <w:pageBreakBefore w:val="0"/>
                    <w:widowControl w:val="0"/>
                    <w:kinsoku/>
                    <w:wordWrap/>
                    <w:overflowPunct/>
                    <w:topLinePunct w:val="0"/>
                    <w:autoSpaceDE/>
                    <w:autoSpaceDN/>
                    <w:bidi w:val="0"/>
                    <w:adjustRightInd/>
                    <w:snapToGrid/>
                    <w:spacing w:before="0" w:after="0" w:line="240" w:lineRule="auto"/>
                    <w:ind w:firstLine="0"/>
                    <w:jc w:val="center"/>
                    <w:textAlignment w:val="auto"/>
                    <w:rPr>
                      <w:rFonts w:hint="default" w:ascii="宋体" w:hAnsi="宋体" w:eastAsia="宋体" w:cs="宋体"/>
                      <w:b w:val="0"/>
                      <w:bCs w:val="0"/>
                      <w:color w:val="auto"/>
                      <w:sz w:val="22"/>
                      <w:szCs w:val="22"/>
                    </w:rPr>
                  </w:pPr>
                  <w:r>
                    <w:rPr>
                      <w:rFonts w:hint="default" w:ascii="宋体" w:hAnsi="宋体" w:eastAsia="宋体" w:cs="宋体"/>
                      <w:b w:val="0"/>
                      <w:bCs w:val="0"/>
                      <w:color w:val="auto"/>
                      <w:sz w:val="22"/>
                      <w:szCs w:val="22"/>
                      <w:lang w:val="en-US" w:eastAsia="zh-CN"/>
                    </w:rPr>
                    <w:t>可研、立项、环评、环保验收等项目所有手续办理</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3186">
                  <w:pPr>
                    <w:pStyle w:val="199"/>
                    <w:keepNext w:val="0"/>
                    <w:keepLines/>
                    <w:pageBreakBefore w:val="0"/>
                    <w:widowControl w:val="0"/>
                    <w:kinsoku/>
                    <w:wordWrap/>
                    <w:overflowPunct/>
                    <w:topLinePunct w:val="0"/>
                    <w:autoSpaceDE/>
                    <w:autoSpaceDN/>
                    <w:bidi w:val="0"/>
                    <w:adjustRightInd/>
                    <w:snapToGrid/>
                    <w:spacing w:before="0" w:after="0" w:line="240" w:lineRule="auto"/>
                    <w:ind w:firstLine="0"/>
                    <w:jc w:val="center"/>
                    <w:textAlignment w:val="auto"/>
                    <w:rPr>
                      <w:rFonts w:hint="default" w:ascii="宋体" w:hAnsi="宋体" w:eastAsia="宋体" w:cs="宋体"/>
                      <w:b w:val="0"/>
                      <w:bCs w:val="0"/>
                      <w:color w:val="auto"/>
                      <w:sz w:val="22"/>
                      <w:szCs w:val="22"/>
                    </w:rPr>
                  </w:pP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AD43">
                  <w:pPr>
                    <w:pStyle w:val="199"/>
                    <w:keepNext w:val="0"/>
                    <w:keepLines/>
                    <w:pageBreakBefore w:val="0"/>
                    <w:widowControl w:val="0"/>
                    <w:kinsoku/>
                    <w:wordWrap/>
                    <w:overflowPunct/>
                    <w:topLinePunct w:val="0"/>
                    <w:autoSpaceDE/>
                    <w:autoSpaceDN/>
                    <w:bidi w:val="0"/>
                    <w:adjustRightInd/>
                    <w:snapToGrid/>
                    <w:spacing w:before="0" w:after="0" w:line="240" w:lineRule="auto"/>
                    <w:ind w:firstLine="0"/>
                    <w:jc w:val="center"/>
                    <w:textAlignment w:val="auto"/>
                    <w:rPr>
                      <w:rFonts w:hint="default" w:ascii="宋体" w:hAnsi="宋体" w:eastAsia="宋体" w:cs="宋体"/>
                      <w:b w:val="0"/>
                      <w:bCs w:val="0"/>
                      <w:color w:val="auto"/>
                      <w:sz w:val="22"/>
                      <w:szCs w:val="22"/>
                    </w:rPr>
                  </w:pPr>
                </w:p>
              </w:tc>
            </w:tr>
            <w:tr w14:paraId="77D89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78AF">
                  <w:pPr>
                    <w:pStyle w:val="199"/>
                    <w:keepNext w:val="0"/>
                    <w:keepLines/>
                    <w:pageBreakBefore w:val="0"/>
                    <w:widowControl w:val="0"/>
                    <w:kinsoku/>
                    <w:wordWrap/>
                    <w:overflowPunct/>
                    <w:topLinePunct w:val="0"/>
                    <w:autoSpaceDE/>
                    <w:autoSpaceDN/>
                    <w:bidi w:val="0"/>
                    <w:adjustRightInd/>
                    <w:snapToGrid/>
                    <w:spacing w:before="0" w:after="0" w:line="240" w:lineRule="auto"/>
                    <w:ind w:firstLine="0"/>
                    <w:jc w:val="center"/>
                    <w:textAlignment w:val="auto"/>
                    <w:rPr>
                      <w:rFonts w:hint="default" w:ascii="宋体" w:hAnsi="宋体" w:eastAsia="宋体" w:cs="宋体"/>
                      <w:b w:val="0"/>
                      <w:bCs w:val="0"/>
                      <w:color w:val="auto"/>
                      <w:sz w:val="22"/>
                      <w:szCs w:val="22"/>
                    </w:rPr>
                  </w:pPr>
                  <w:r>
                    <w:rPr>
                      <w:rFonts w:hint="default" w:ascii="宋体" w:hAnsi="宋体" w:eastAsia="宋体" w:cs="宋体"/>
                      <w:b w:val="0"/>
                      <w:bCs w:val="0"/>
                      <w:color w:val="auto"/>
                      <w:sz w:val="22"/>
                      <w:szCs w:val="22"/>
                      <w:lang w:val="en-US" w:eastAsia="zh-CN"/>
                    </w:rPr>
                    <w:t>合计</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D95B">
                  <w:pPr>
                    <w:pStyle w:val="199"/>
                    <w:keepNext w:val="0"/>
                    <w:keepLines/>
                    <w:pageBreakBefore w:val="0"/>
                    <w:widowControl w:val="0"/>
                    <w:kinsoku/>
                    <w:wordWrap/>
                    <w:overflowPunct/>
                    <w:topLinePunct w:val="0"/>
                    <w:autoSpaceDE/>
                    <w:autoSpaceDN/>
                    <w:bidi w:val="0"/>
                    <w:adjustRightInd/>
                    <w:snapToGrid/>
                    <w:spacing w:before="0" w:after="0" w:line="240" w:lineRule="auto"/>
                    <w:ind w:firstLine="0"/>
                    <w:jc w:val="center"/>
                    <w:textAlignment w:val="auto"/>
                    <w:rPr>
                      <w:rFonts w:hint="default" w:ascii="宋体" w:hAnsi="宋体" w:eastAsia="宋体" w:cs="宋体"/>
                      <w:b w:val="0"/>
                      <w:bCs w:val="0"/>
                      <w:color w:val="auto"/>
                      <w:sz w:val="22"/>
                      <w:szCs w:val="22"/>
                    </w:rPr>
                  </w:pP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2E72A">
                  <w:pPr>
                    <w:pStyle w:val="199"/>
                    <w:keepNext w:val="0"/>
                    <w:keepLines/>
                    <w:pageBreakBefore w:val="0"/>
                    <w:widowControl w:val="0"/>
                    <w:kinsoku/>
                    <w:wordWrap/>
                    <w:overflowPunct/>
                    <w:topLinePunct w:val="0"/>
                    <w:autoSpaceDE/>
                    <w:autoSpaceDN/>
                    <w:bidi w:val="0"/>
                    <w:adjustRightInd/>
                    <w:snapToGrid/>
                    <w:spacing w:before="0" w:after="0" w:line="240" w:lineRule="auto"/>
                    <w:ind w:firstLine="0"/>
                    <w:jc w:val="center"/>
                    <w:textAlignment w:val="auto"/>
                    <w:rPr>
                      <w:rFonts w:hint="default" w:ascii="宋体" w:hAnsi="宋体" w:eastAsia="宋体" w:cs="宋体"/>
                      <w:b w:val="0"/>
                      <w:bCs w:val="0"/>
                      <w:color w:val="auto"/>
                      <w:sz w:val="22"/>
                      <w:szCs w:val="22"/>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3AB2">
                  <w:pPr>
                    <w:pStyle w:val="199"/>
                    <w:keepNext w:val="0"/>
                    <w:keepLines/>
                    <w:pageBreakBefore w:val="0"/>
                    <w:widowControl w:val="0"/>
                    <w:kinsoku/>
                    <w:wordWrap/>
                    <w:overflowPunct/>
                    <w:topLinePunct w:val="0"/>
                    <w:autoSpaceDE/>
                    <w:autoSpaceDN/>
                    <w:bidi w:val="0"/>
                    <w:adjustRightInd/>
                    <w:snapToGrid/>
                    <w:spacing w:before="0" w:after="0" w:line="240" w:lineRule="auto"/>
                    <w:ind w:firstLine="0"/>
                    <w:jc w:val="center"/>
                    <w:textAlignment w:val="auto"/>
                    <w:rPr>
                      <w:rFonts w:hint="default" w:ascii="宋体" w:hAnsi="宋体" w:eastAsia="宋体" w:cs="宋体"/>
                      <w:b w:val="0"/>
                      <w:bCs w:val="0"/>
                      <w:color w:val="auto"/>
                      <w:sz w:val="22"/>
                      <w:szCs w:val="22"/>
                    </w:rPr>
                  </w:pP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E4CA">
                  <w:pPr>
                    <w:pStyle w:val="199"/>
                    <w:keepNext w:val="0"/>
                    <w:keepLines/>
                    <w:pageBreakBefore w:val="0"/>
                    <w:widowControl w:val="0"/>
                    <w:kinsoku/>
                    <w:wordWrap/>
                    <w:overflowPunct/>
                    <w:topLinePunct w:val="0"/>
                    <w:autoSpaceDE/>
                    <w:autoSpaceDN/>
                    <w:bidi w:val="0"/>
                    <w:adjustRightInd/>
                    <w:snapToGrid/>
                    <w:spacing w:before="0" w:after="0" w:line="240" w:lineRule="auto"/>
                    <w:ind w:firstLine="0"/>
                    <w:jc w:val="center"/>
                    <w:textAlignment w:val="auto"/>
                    <w:rPr>
                      <w:rFonts w:hint="default" w:ascii="宋体" w:hAnsi="宋体" w:eastAsia="宋体" w:cs="宋体"/>
                      <w:b w:val="0"/>
                      <w:bCs w:val="0"/>
                      <w:color w:val="auto"/>
                      <w:sz w:val="22"/>
                      <w:szCs w:val="22"/>
                    </w:rPr>
                  </w:pPr>
                </w:p>
              </w:tc>
            </w:tr>
          </w:tbl>
          <w:p w14:paraId="4EEF518E">
            <w:pPr>
              <w:widowControl/>
              <w:spacing w:line="360" w:lineRule="exact"/>
              <w:jc w:val="center"/>
              <w:rPr>
                <w:rFonts w:hint="eastAsia" w:ascii="宋体" w:hAnsi="宋体" w:cs="宋体"/>
                <w:color w:val="000000"/>
              </w:rPr>
            </w:pPr>
          </w:p>
        </w:tc>
      </w:tr>
    </w:tbl>
    <w:p w14:paraId="5D2205E2">
      <w:pPr>
        <w:pStyle w:val="199"/>
        <w:keepNext w:val="0"/>
        <w:spacing w:before="120" w:after="120"/>
        <w:ind w:firstLine="480"/>
        <w:jc w:val="left"/>
        <w:rPr>
          <w:rFonts w:hint="eastAsia" w:ascii="宋体" w:hAnsi="宋体" w:eastAsia="宋体" w:cs="宋体"/>
          <w:b w:val="0"/>
          <w:bCs w:val="0"/>
          <w:color w:val="FF0000"/>
          <w:sz w:val="24"/>
          <w:szCs w:val="24"/>
        </w:rPr>
      </w:pPr>
      <w:r>
        <w:rPr>
          <w:rFonts w:hint="eastAsia" w:ascii="宋体" w:hAnsi="宋体" w:cs="宋体"/>
          <w:b w:val="0"/>
          <w:bCs w:val="0"/>
          <w:color w:val="FF0000"/>
          <w:sz w:val="24"/>
          <w:szCs w:val="24"/>
        </w:rPr>
        <w:t>★注：1、</w:t>
      </w:r>
      <w:r>
        <w:rPr>
          <w:rFonts w:hint="eastAsia" w:ascii="宋体" w:hAnsi="宋体" w:eastAsia="宋体" w:cs="宋体"/>
          <w:b w:val="0"/>
          <w:bCs w:val="0"/>
          <w:color w:val="FF0000"/>
          <w:sz w:val="24"/>
          <w:szCs w:val="24"/>
        </w:rPr>
        <w:t>投标报价采用工程量清单格式计价，由投标人根据自身设计图纸自行编制，报价明细用表应符合建设工程工程量清单计价规范GB50500-2013标准及市政公用工程工程量计算规范要求。2、投标报价表格应至少包括：封-3投标总价封面、扉-3投标总价扉页、表-01总说明、表-04单位工程投标报价汇总表、表-08分部分项工程和单价措施项目清单与计价表、表-09综合单价分析表、表-11总价措施项目与计价表、表-12</w:t>
      </w:r>
      <w:r>
        <w:rPr>
          <w:rFonts w:hint="eastAsia" w:ascii="宋体" w:hAnsi="宋体" w:eastAsia="宋体" w:cs="宋体"/>
          <w:b w:val="0"/>
          <w:bCs w:val="0"/>
          <w:color w:val="FF0000"/>
          <w:sz w:val="24"/>
          <w:szCs w:val="24"/>
          <w:lang w:val="en-US" w:eastAsia="zh-CN"/>
        </w:rPr>
        <w:t>其他项目清单与计价汇总表（表-12-1、表-12-2</w:t>
      </w:r>
      <w:r>
        <w:rPr>
          <w:rFonts w:hint="eastAsia" w:ascii="宋体" w:hAnsi="宋体" w:eastAsia="宋体" w:cs="宋体"/>
          <w:b w:val="0"/>
          <w:bCs w:val="0"/>
          <w:color w:val="FF0000"/>
          <w:sz w:val="24"/>
          <w:szCs w:val="24"/>
        </w:rPr>
        <w:t>、</w:t>
      </w:r>
      <w:r>
        <w:rPr>
          <w:rFonts w:hint="eastAsia" w:ascii="宋体" w:hAnsi="宋体" w:eastAsia="宋体" w:cs="宋体"/>
          <w:b w:val="0"/>
          <w:bCs w:val="0"/>
          <w:color w:val="FF0000"/>
          <w:sz w:val="24"/>
          <w:szCs w:val="24"/>
          <w:lang w:val="en-US" w:eastAsia="zh-CN"/>
        </w:rPr>
        <w:t>表-12-3、表-12-4、表-12-5）、</w:t>
      </w:r>
      <w:r>
        <w:rPr>
          <w:rFonts w:hint="eastAsia" w:ascii="宋体" w:hAnsi="宋体" w:eastAsia="宋体" w:cs="宋体"/>
          <w:b w:val="0"/>
          <w:bCs w:val="0"/>
          <w:color w:val="FF0000"/>
          <w:sz w:val="24"/>
          <w:szCs w:val="24"/>
        </w:rPr>
        <w:t>表-13</w:t>
      </w:r>
      <w:r>
        <w:rPr>
          <w:rFonts w:hint="eastAsia" w:ascii="宋体" w:hAnsi="宋体" w:eastAsia="宋体" w:cs="宋体"/>
          <w:b w:val="0"/>
          <w:bCs w:val="0"/>
          <w:color w:val="FF0000"/>
          <w:sz w:val="24"/>
          <w:szCs w:val="24"/>
          <w:lang w:val="en-US" w:eastAsia="zh-CN"/>
        </w:rPr>
        <w:t>规费、税金项目清单与计价表</w:t>
      </w:r>
      <w:r>
        <w:rPr>
          <w:rFonts w:hint="eastAsia" w:ascii="宋体" w:hAnsi="宋体" w:eastAsia="宋体" w:cs="宋体"/>
          <w:b w:val="0"/>
          <w:bCs w:val="0"/>
          <w:color w:val="FF0000"/>
          <w:sz w:val="24"/>
          <w:szCs w:val="24"/>
        </w:rPr>
        <w:t>、表-21</w:t>
      </w:r>
      <w:r>
        <w:rPr>
          <w:rFonts w:hint="eastAsia" w:ascii="宋体" w:hAnsi="宋体" w:eastAsia="宋体" w:cs="宋体"/>
          <w:b w:val="0"/>
          <w:bCs w:val="0"/>
          <w:color w:val="FF0000"/>
          <w:sz w:val="24"/>
          <w:szCs w:val="24"/>
          <w:lang w:val="en-US" w:eastAsia="zh-CN"/>
        </w:rPr>
        <w:t>承包人提供主要材料和工程设备一览表</w:t>
      </w:r>
      <w:r>
        <w:rPr>
          <w:rFonts w:hint="eastAsia" w:ascii="宋体" w:hAnsi="宋体" w:eastAsia="宋体" w:cs="宋体"/>
          <w:b w:val="0"/>
          <w:bCs w:val="0"/>
          <w:color w:val="FF0000"/>
          <w:sz w:val="24"/>
          <w:szCs w:val="24"/>
        </w:rPr>
        <w:t>。未按上述要求提供工程量清单报价的作无效标处理。</w:t>
      </w:r>
      <w:r>
        <w:rPr>
          <w:rFonts w:hint="eastAsia" w:ascii="宋体" w:hAnsi="宋体" w:eastAsia="宋体" w:cs="宋体"/>
          <w:b w:val="0"/>
          <w:bCs w:val="0"/>
          <w:color w:val="FF0000"/>
          <w:sz w:val="24"/>
          <w:szCs w:val="24"/>
          <w:lang w:eastAsia="zh-CN"/>
        </w:rPr>
        <w:t>（</w:t>
      </w:r>
      <w:r>
        <w:rPr>
          <w:rFonts w:hint="eastAsia" w:ascii="宋体" w:hAnsi="宋体" w:eastAsia="宋体" w:cs="宋体"/>
          <w:b w:val="0"/>
          <w:bCs w:val="0"/>
          <w:color w:val="FF0000"/>
          <w:sz w:val="24"/>
          <w:szCs w:val="24"/>
          <w:lang w:val="en-US" w:eastAsia="zh-CN"/>
        </w:rPr>
        <w:t>上述表格样表详见附件）</w:t>
      </w:r>
    </w:p>
    <w:p w14:paraId="5BC436A8">
      <w:pPr>
        <w:pStyle w:val="199"/>
        <w:keepNext w:val="0"/>
        <w:spacing w:before="120" w:after="120"/>
        <w:jc w:val="left"/>
        <w:rPr>
          <w:rFonts w:hint="eastAsia" w:ascii="Times New Roman" w:hAnsi="Times New Roman" w:eastAsia="宋体" w:cs="Times New Roman"/>
          <w:sz w:val="32"/>
          <w:szCs w:val="32"/>
        </w:rPr>
      </w:pPr>
      <w:r>
        <w:rPr>
          <w:rFonts w:ascii="Times New Roman" w:hAnsi="Times New Roman" w:eastAsia="宋体" w:cs="宋体"/>
          <w:strike/>
          <w:sz w:val="32"/>
          <w:szCs w:val="32"/>
        </w:rPr>
        <w:br w:type="page" w:clear="all"/>
      </w:r>
      <w:r>
        <w:rPr>
          <w:rFonts w:hint="eastAsia" w:ascii="Times New Roman" w:hAnsi="Times New Roman" w:eastAsia="宋体" w:cs="Times New Roman"/>
          <w:sz w:val="32"/>
          <w:szCs w:val="32"/>
          <w:lang w:val="en-US" w:eastAsia="zh-CN"/>
        </w:rPr>
        <w:t>七</w:t>
      </w:r>
      <w:r>
        <w:rPr>
          <w:rFonts w:hint="eastAsia" w:ascii="Times New Roman" w:hAnsi="Times New Roman" w:eastAsia="宋体" w:cs="Times New Roman"/>
          <w:sz w:val="32"/>
          <w:szCs w:val="32"/>
        </w:rPr>
        <w:t>、中小企业声明函（服务）（分包号：**）</w:t>
      </w:r>
    </w:p>
    <w:p w14:paraId="76B7B0FB">
      <w:pPr>
        <w:spacing w:line="560" w:lineRule="exact"/>
        <w:ind w:firstLine="360"/>
        <w:rPr>
          <w:rFonts w:hint="eastAsia"/>
          <w:sz w:val="24"/>
          <w:szCs w:val="24"/>
        </w:rPr>
      </w:pPr>
      <w:r>
        <w:rPr>
          <w:rFonts w:hint="eastAsia"/>
          <w:sz w:val="24"/>
          <w:szCs w:val="24"/>
        </w:rPr>
        <w:t>本公司（联合体）郑重声明，根据《政府采购促进中小企业发展管理办法》(财库[2020]46号)的规定，本公司（联合体）参加江苏省政府采购代理机构组织的</w:t>
      </w:r>
      <w:r>
        <w:rPr>
          <w:rFonts w:hint="eastAsia"/>
          <w:sz w:val="24"/>
          <w:szCs w:val="24"/>
          <w:u w:val="single"/>
        </w:rPr>
        <w:t>（单位名称）</w:t>
      </w:r>
      <w:r>
        <w:rPr>
          <w:rFonts w:hint="eastAsia"/>
          <w:sz w:val="24"/>
          <w:szCs w:val="24"/>
        </w:rPr>
        <w:t>采购编号为</w:t>
      </w:r>
      <w:r>
        <w:rPr>
          <w:rFonts w:hint="eastAsia"/>
          <w:sz w:val="24"/>
          <w:szCs w:val="24"/>
          <w:u w:val="single"/>
        </w:rPr>
        <w:t>***</w:t>
      </w:r>
      <w:r>
        <w:rPr>
          <w:rFonts w:hint="eastAsia"/>
          <w:sz w:val="24"/>
          <w:szCs w:val="24"/>
        </w:rPr>
        <w:t>，</w:t>
      </w:r>
      <w:r>
        <w:rPr>
          <w:rFonts w:hint="eastAsia"/>
          <w:sz w:val="24"/>
          <w:szCs w:val="24"/>
          <w:u w:val="single"/>
        </w:rPr>
        <w:t>（项目名称）（分包号：**）</w:t>
      </w:r>
      <w:r>
        <w:rPr>
          <w:rFonts w:hint="eastAsia"/>
          <w:sz w:val="24"/>
          <w:szCs w:val="24"/>
        </w:rPr>
        <w:t>的采购活动，服务全部由符合政策的中小微企业承接。根据《工业和信息化部、国家统计局、国家发展和改革委员会、财政部关于印发中小企业划型标准规定的通知》(工信部联企业[2011]300号)的规定，相关企业（含联合体中的小微企业、签订分包意向协议的小微企业）的具体情况如下：</w:t>
      </w:r>
    </w:p>
    <w:p w14:paraId="2166426E">
      <w:pPr>
        <w:spacing w:line="360" w:lineRule="auto"/>
        <w:ind w:firstLine="360"/>
        <w:rPr>
          <w:rFonts w:hint="eastAsia"/>
          <w:i/>
          <w:sz w:val="24"/>
          <w:szCs w:val="24"/>
          <w:u w:val="single"/>
        </w:rPr>
      </w:pPr>
      <w:r>
        <w:rPr>
          <w:rFonts w:hint="eastAsia"/>
          <w:sz w:val="24"/>
          <w:szCs w:val="24"/>
        </w:rPr>
        <w:t>1.</w:t>
      </w:r>
      <w:r>
        <w:rPr>
          <w:rFonts w:hint="eastAsia"/>
          <w:sz w:val="24"/>
          <w:szCs w:val="24"/>
          <w:u w:val="single"/>
        </w:rPr>
        <w:t>（标的名称）</w:t>
      </w:r>
      <w:r>
        <w:rPr>
          <w:rFonts w:hint="eastAsia"/>
          <w:i/>
          <w:sz w:val="24"/>
          <w:szCs w:val="24"/>
        </w:rPr>
        <w:t>，</w:t>
      </w:r>
      <w:r>
        <w:rPr>
          <w:rFonts w:hint="eastAsia"/>
          <w:sz w:val="24"/>
          <w:szCs w:val="24"/>
        </w:rPr>
        <w:t>属于</w:t>
      </w:r>
      <w:r>
        <w:rPr>
          <w:rFonts w:hint="eastAsia"/>
          <w:sz w:val="24"/>
          <w:szCs w:val="24"/>
          <w:u w:val="single"/>
        </w:rPr>
        <w:t xml:space="preserve">       </w:t>
      </w:r>
      <w:r>
        <w:rPr>
          <w:rFonts w:hint="eastAsia"/>
          <w:sz w:val="24"/>
          <w:szCs w:val="24"/>
        </w:rPr>
        <w:t>行业；承接企业为</w:t>
      </w:r>
      <w:r>
        <w:rPr>
          <w:rFonts w:hint="eastAsia"/>
          <w:sz w:val="24"/>
          <w:szCs w:val="24"/>
          <w:u w:val="single"/>
        </w:rPr>
        <w:t>（企业名称）</w:t>
      </w:r>
      <w:r>
        <w:rPr>
          <w:rFonts w:hint="eastAsia"/>
          <w:sz w:val="24"/>
          <w:szCs w:val="24"/>
        </w:rPr>
        <w:t>，从业人员</w:t>
      </w:r>
      <w:r>
        <w:rPr>
          <w:rFonts w:hint="eastAsia"/>
          <w:sz w:val="24"/>
          <w:szCs w:val="24"/>
          <w:u w:val="single"/>
        </w:rPr>
        <w:t xml:space="preserve">      </w:t>
      </w:r>
      <w:r>
        <w:rPr>
          <w:rFonts w:hint="eastAsia"/>
          <w:sz w:val="24"/>
          <w:szCs w:val="24"/>
        </w:rPr>
        <w:t>人，营业收入为</w:t>
      </w:r>
      <w:r>
        <w:rPr>
          <w:rFonts w:hint="eastAsia"/>
          <w:sz w:val="24"/>
          <w:szCs w:val="24"/>
          <w:u w:val="single"/>
        </w:rPr>
        <w:t xml:space="preserve">     </w:t>
      </w:r>
      <w:r>
        <w:rPr>
          <w:rFonts w:hint="eastAsia"/>
          <w:sz w:val="24"/>
          <w:szCs w:val="24"/>
        </w:rPr>
        <w:t>万元，资产总额为</w:t>
      </w:r>
      <w:r>
        <w:rPr>
          <w:rFonts w:hint="eastAsia"/>
          <w:sz w:val="24"/>
          <w:szCs w:val="24"/>
          <w:u w:val="single"/>
        </w:rPr>
        <w:t xml:space="preserve">      </w:t>
      </w:r>
      <w:r>
        <w:rPr>
          <w:rFonts w:hint="eastAsia"/>
          <w:sz w:val="24"/>
          <w:szCs w:val="24"/>
        </w:rPr>
        <w:t>万元</w:t>
      </w:r>
      <w:r>
        <w:rPr>
          <w:rFonts w:hint="eastAsia"/>
          <w:sz w:val="24"/>
          <w:szCs w:val="24"/>
          <w:vertAlign w:val="superscript"/>
        </w:rPr>
        <w:t>1</w:t>
      </w:r>
      <w:r>
        <w:rPr>
          <w:rFonts w:hint="eastAsia"/>
          <w:sz w:val="24"/>
          <w:szCs w:val="24"/>
        </w:rPr>
        <w:t>，属于</w:t>
      </w:r>
      <w:r>
        <w:rPr>
          <w:rFonts w:hint="eastAsia"/>
          <w:sz w:val="24"/>
          <w:szCs w:val="24"/>
          <w:u w:val="single"/>
        </w:rPr>
        <w:t>（中型企业、小型企业、微型企业）；</w:t>
      </w:r>
    </w:p>
    <w:p w14:paraId="0DAD4B71">
      <w:pPr>
        <w:spacing w:line="360" w:lineRule="auto"/>
        <w:ind w:firstLine="360"/>
        <w:rPr>
          <w:rFonts w:hint="eastAsia"/>
          <w:i/>
          <w:sz w:val="24"/>
          <w:szCs w:val="24"/>
          <w:u w:val="single"/>
        </w:rPr>
      </w:pPr>
      <w:r>
        <w:rPr>
          <w:rFonts w:hint="eastAsia"/>
          <w:sz w:val="24"/>
          <w:szCs w:val="24"/>
        </w:rPr>
        <w:t>2.</w:t>
      </w:r>
      <w:r>
        <w:rPr>
          <w:rFonts w:hint="eastAsia"/>
          <w:sz w:val="24"/>
          <w:szCs w:val="24"/>
          <w:u w:val="single"/>
        </w:rPr>
        <w:t>（标的名称）</w:t>
      </w:r>
      <w:r>
        <w:rPr>
          <w:rFonts w:hint="eastAsia"/>
          <w:i/>
          <w:sz w:val="24"/>
          <w:szCs w:val="24"/>
        </w:rPr>
        <w:t>，</w:t>
      </w:r>
      <w:r>
        <w:rPr>
          <w:rFonts w:hint="eastAsia"/>
          <w:sz w:val="24"/>
          <w:szCs w:val="24"/>
        </w:rPr>
        <w:t>属于</w:t>
      </w:r>
      <w:r>
        <w:rPr>
          <w:rFonts w:hint="eastAsia"/>
          <w:sz w:val="24"/>
          <w:szCs w:val="24"/>
          <w:u w:val="single"/>
        </w:rPr>
        <w:t xml:space="preserve">       </w:t>
      </w:r>
      <w:r>
        <w:rPr>
          <w:rFonts w:hint="eastAsia"/>
          <w:sz w:val="24"/>
          <w:szCs w:val="24"/>
        </w:rPr>
        <w:t>行业；承接企业为</w:t>
      </w:r>
      <w:r>
        <w:rPr>
          <w:rFonts w:hint="eastAsia"/>
          <w:sz w:val="24"/>
          <w:szCs w:val="24"/>
          <w:u w:val="single"/>
        </w:rPr>
        <w:t>（企业名称）</w:t>
      </w:r>
      <w:r>
        <w:rPr>
          <w:rFonts w:hint="eastAsia"/>
          <w:sz w:val="24"/>
          <w:szCs w:val="24"/>
        </w:rPr>
        <w:t>，从业人员</w:t>
      </w:r>
      <w:r>
        <w:rPr>
          <w:rFonts w:hint="eastAsia"/>
          <w:sz w:val="24"/>
          <w:szCs w:val="24"/>
          <w:u w:val="single"/>
        </w:rPr>
        <w:t xml:space="preserve">      </w:t>
      </w:r>
      <w:r>
        <w:rPr>
          <w:rFonts w:hint="eastAsia"/>
          <w:sz w:val="24"/>
          <w:szCs w:val="24"/>
        </w:rPr>
        <w:t>人，营业收入为</w:t>
      </w:r>
      <w:r>
        <w:rPr>
          <w:rFonts w:hint="eastAsia"/>
          <w:sz w:val="24"/>
          <w:szCs w:val="24"/>
          <w:u w:val="single"/>
        </w:rPr>
        <w:t xml:space="preserve">     </w:t>
      </w:r>
      <w:r>
        <w:rPr>
          <w:rFonts w:hint="eastAsia"/>
          <w:sz w:val="24"/>
          <w:szCs w:val="24"/>
        </w:rPr>
        <w:t>万元，资产总额为</w:t>
      </w:r>
      <w:r>
        <w:rPr>
          <w:rFonts w:hint="eastAsia"/>
          <w:sz w:val="24"/>
          <w:szCs w:val="24"/>
          <w:u w:val="single"/>
        </w:rPr>
        <w:t xml:space="preserve">      </w:t>
      </w:r>
      <w:r>
        <w:rPr>
          <w:rFonts w:hint="eastAsia"/>
          <w:sz w:val="24"/>
          <w:szCs w:val="24"/>
        </w:rPr>
        <w:t>万元</w:t>
      </w:r>
      <w:r>
        <w:rPr>
          <w:rFonts w:hint="eastAsia"/>
          <w:sz w:val="24"/>
          <w:szCs w:val="24"/>
          <w:vertAlign w:val="superscript"/>
        </w:rPr>
        <w:t>1</w:t>
      </w:r>
      <w:r>
        <w:rPr>
          <w:rFonts w:hint="eastAsia"/>
          <w:sz w:val="24"/>
          <w:szCs w:val="24"/>
        </w:rPr>
        <w:t>，属于</w:t>
      </w:r>
      <w:r>
        <w:rPr>
          <w:rFonts w:hint="eastAsia"/>
          <w:sz w:val="24"/>
          <w:szCs w:val="24"/>
          <w:u w:val="single"/>
        </w:rPr>
        <w:t>（中型企业、小型企业、微型企业）；</w:t>
      </w:r>
    </w:p>
    <w:p w14:paraId="2F5B78A6">
      <w:pPr>
        <w:spacing w:line="360" w:lineRule="auto"/>
        <w:ind w:firstLine="360"/>
        <w:rPr>
          <w:rFonts w:hint="eastAsia"/>
          <w:sz w:val="24"/>
          <w:szCs w:val="24"/>
        </w:rPr>
      </w:pPr>
      <w:r>
        <w:rPr>
          <w:rFonts w:hint="eastAsia"/>
          <w:sz w:val="24"/>
          <w:szCs w:val="24"/>
        </w:rPr>
        <w:t>……</w:t>
      </w:r>
    </w:p>
    <w:p w14:paraId="5815DFA4">
      <w:pPr>
        <w:spacing w:line="360" w:lineRule="auto"/>
        <w:ind w:firstLine="360"/>
        <w:rPr>
          <w:rFonts w:hint="eastAsia"/>
          <w:sz w:val="24"/>
          <w:szCs w:val="24"/>
        </w:rPr>
      </w:pPr>
      <w:r>
        <w:rPr>
          <w:rFonts w:hint="eastAsia"/>
          <w:sz w:val="24"/>
          <w:szCs w:val="24"/>
        </w:rPr>
        <w:t>以上企业，不属于大企业的分支机构，不存在控股股东为大企业的情形，也不存在与大企业的负责人为同一人的情形。</w:t>
      </w:r>
    </w:p>
    <w:p w14:paraId="5B5E10B1">
      <w:pPr>
        <w:spacing w:line="360" w:lineRule="auto"/>
        <w:ind w:firstLine="360"/>
        <w:rPr>
          <w:rFonts w:hint="eastAsia"/>
          <w:sz w:val="24"/>
          <w:szCs w:val="24"/>
        </w:rPr>
      </w:pPr>
      <w:r>
        <w:rPr>
          <w:rFonts w:hint="eastAsia"/>
          <w:sz w:val="24"/>
          <w:szCs w:val="24"/>
        </w:rPr>
        <w:t>本企业对上述声明内容的真实性负责。如有虚假，将依法承担相应责任。</w:t>
      </w:r>
    </w:p>
    <w:p w14:paraId="17A7AA91">
      <w:pPr>
        <w:spacing w:line="360" w:lineRule="auto"/>
        <w:ind w:firstLine="360"/>
        <w:rPr>
          <w:rFonts w:hint="eastAsia"/>
          <w:sz w:val="24"/>
          <w:szCs w:val="24"/>
        </w:rPr>
      </w:pPr>
    </w:p>
    <w:p w14:paraId="0E375580">
      <w:pPr>
        <w:spacing w:line="360" w:lineRule="auto"/>
        <w:ind w:firstLine="360"/>
        <w:rPr>
          <w:rFonts w:hint="eastAsia"/>
          <w:sz w:val="24"/>
          <w:szCs w:val="24"/>
        </w:rPr>
      </w:pPr>
      <w:r>
        <w:rPr>
          <w:rFonts w:hint="eastAsia"/>
          <w:sz w:val="24"/>
          <w:szCs w:val="24"/>
        </w:rPr>
        <w:t>（备注：1、从业人员、营业收入、资产总额填报上一年度数据，无上一年度数据的新成立企业可不填报。2、投标人如不提供此声明函，不得参加专门面向中小企业采购项目或者不得享受小微企业价格扣除政策。此声明函将随成交结果同时公告，接受社会监督。3、服务采购项目中，服务的承接商应当为中小企业，不对其中涉及的货物的制造商、工程的承建商作出要求。）</w:t>
      </w:r>
    </w:p>
    <w:p w14:paraId="408E156D">
      <w:pPr>
        <w:spacing w:line="360" w:lineRule="auto"/>
        <w:ind w:right="720"/>
        <w:rPr>
          <w:rFonts w:hint="eastAsia"/>
          <w:sz w:val="24"/>
          <w:szCs w:val="24"/>
        </w:rPr>
      </w:pPr>
    </w:p>
    <w:p w14:paraId="6B7124EC">
      <w:pPr>
        <w:spacing w:line="360" w:lineRule="auto"/>
        <w:ind w:right="180" w:firstLine="360"/>
        <w:jc w:val="right"/>
        <w:rPr>
          <w:rFonts w:hint="eastAsia"/>
          <w:sz w:val="24"/>
          <w:szCs w:val="24"/>
        </w:rPr>
      </w:pPr>
      <w:r>
        <w:rPr>
          <w:rFonts w:hint="eastAsia"/>
          <w:sz w:val="24"/>
          <w:szCs w:val="24"/>
        </w:rPr>
        <w:t>企业名称：（加盖CA电子公章）</w:t>
      </w:r>
    </w:p>
    <w:p w14:paraId="62FF8980">
      <w:pPr>
        <w:spacing w:line="360" w:lineRule="auto"/>
        <w:ind w:firstLine="5760"/>
        <w:rPr>
          <w:rFonts w:hint="eastAsia"/>
          <w:sz w:val="24"/>
          <w:szCs w:val="24"/>
        </w:rPr>
      </w:pPr>
      <w:r>
        <w:rPr>
          <w:rFonts w:hint="eastAsia"/>
          <w:sz w:val="24"/>
          <w:szCs w:val="24"/>
        </w:rPr>
        <w:t>日  期：</w:t>
      </w:r>
      <w:r>
        <w:rPr>
          <w:rFonts w:hint="eastAsia"/>
          <w:sz w:val="24"/>
          <w:szCs w:val="24"/>
          <w:u w:val="single"/>
        </w:rPr>
        <w:t xml:space="preserve">       </w:t>
      </w:r>
      <w:r>
        <w:rPr>
          <w:rFonts w:hint="eastAsia"/>
          <w:sz w:val="24"/>
          <w:szCs w:val="24"/>
        </w:rPr>
        <w:t>年___月___日</w:t>
      </w:r>
    </w:p>
    <w:p w14:paraId="653EE7ED">
      <w:pPr>
        <w:spacing w:line="460" w:lineRule="exact"/>
        <w:rPr>
          <w:rFonts w:hint="eastAsia" w:eastAsia="黑体"/>
          <w:iCs/>
          <w:sz w:val="32"/>
          <w:szCs w:val="32"/>
        </w:rPr>
      </w:pPr>
      <w:r>
        <w:rPr>
          <w:rFonts w:eastAsia="黑体"/>
          <w:b/>
          <w:sz w:val="32"/>
          <w:szCs w:val="32"/>
        </w:rPr>
        <w:br w:type="page" w:clear="all"/>
      </w:r>
      <w:r>
        <w:rPr>
          <w:rFonts w:hint="eastAsia" w:ascii="Times New Roman" w:hAnsi="Times New Roman" w:eastAsia="宋体" w:cs="Times New Roman"/>
          <w:b/>
          <w:bCs/>
          <w:sz w:val="32"/>
          <w:szCs w:val="32"/>
          <w:lang w:val="en-US" w:eastAsia="zh-CN" w:bidi="ar-SA"/>
        </w:rPr>
        <w:t>残疾人福利性单位声明函</w:t>
      </w:r>
    </w:p>
    <w:p w14:paraId="39EB51DE">
      <w:pPr>
        <w:spacing w:line="360" w:lineRule="auto"/>
        <w:jc w:val="center"/>
        <w:outlineLvl w:val="0"/>
        <w:rPr>
          <w:rFonts w:hint="eastAsia" w:eastAsia="黑体"/>
          <w:sz w:val="32"/>
          <w:szCs w:val="32"/>
        </w:rPr>
      </w:pPr>
      <w:r>
        <w:rPr>
          <w:rFonts w:hint="eastAsia" w:eastAsia="黑体"/>
          <w:sz w:val="32"/>
          <w:szCs w:val="32"/>
        </w:rPr>
        <w:t>残疾人福利性单位声明函</w:t>
      </w:r>
    </w:p>
    <w:p w14:paraId="48326C05">
      <w:pPr>
        <w:spacing w:line="360" w:lineRule="auto"/>
        <w:ind w:firstLine="480"/>
        <w:rPr>
          <w:rFonts w:hint="eastAsia"/>
          <w:sz w:val="24"/>
        </w:rPr>
      </w:pPr>
      <w:r>
        <w:rPr>
          <w:rFonts w:hint="eastAsia"/>
          <w:sz w:val="24"/>
        </w:rPr>
        <w:t>本单位郑重声明，根据《财政部 民政部 中国残疾人联合会关于促进残疾人就业政府采购政策的通知》（财库〔2017〕 141号）的规定，本单位为符合条件的残疾人福利性单位，且本单位参加______单位的采购文件编号为</w:t>
      </w:r>
      <w:r>
        <w:rPr>
          <w:rFonts w:hint="eastAsia"/>
          <w:sz w:val="24"/>
          <w:u w:val="single"/>
        </w:rPr>
        <w:t xml:space="preserve">     </w:t>
      </w:r>
      <w:r>
        <w:rPr>
          <w:rFonts w:hint="eastAsia"/>
          <w:sz w:val="24"/>
        </w:rPr>
        <w:t>的</w:t>
      </w:r>
      <w:r>
        <w:rPr>
          <w:rFonts w:hint="eastAsia"/>
          <w:sz w:val="24"/>
          <w:u w:val="single"/>
        </w:rPr>
        <w:t xml:space="preserve">       </w:t>
      </w:r>
      <w:r>
        <w:rPr>
          <w:rFonts w:hint="eastAsia"/>
          <w:sz w:val="24"/>
        </w:rPr>
        <w:t>项目（分包号：**）采购活动由本单位提供服务。</w:t>
      </w:r>
    </w:p>
    <w:p w14:paraId="59D27DE9">
      <w:pPr>
        <w:spacing w:line="360" w:lineRule="auto"/>
        <w:ind w:firstLine="480"/>
        <w:rPr>
          <w:sz w:val="24"/>
        </w:rPr>
      </w:pPr>
      <w:r>
        <w:rPr>
          <w:rFonts w:hint="eastAsia"/>
          <w:sz w:val="24"/>
        </w:rPr>
        <w:t>本单位对上述声明的真实性负责。如有虚假，将依法承担相应责任。</w:t>
      </w:r>
    </w:p>
    <w:p w14:paraId="4138D130">
      <w:pPr>
        <w:spacing w:line="360" w:lineRule="auto"/>
        <w:ind w:firstLine="480"/>
        <w:rPr>
          <w:rFonts w:hint="eastAsia"/>
          <w:sz w:val="24"/>
        </w:rPr>
      </w:pPr>
    </w:p>
    <w:p w14:paraId="369AD1AD">
      <w:pPr>
        <w:spacing w:line="360" w:lineRule="auto"/>
        <w:ind w:firstLine="480"/>
        <w:rPr>
          <w:sz w:val="24"/>
        </w:rPr>
      </w:pPr>
      <w:r>
        <w:rPr>
          <w:rFonts w:hint="eastAsia"/>
          <w:sz w:val="24"/>
        </w:rPr>
        <w:t>（备注：1、投标人如不提供此声明函，价格将不做相应扣除。2、中标人为残疾人福利单位的，此声明函将随中标结果同时公告，接受社会监督。）</w:t>
      </w:r>
    </w:p>
    <w:p w14:paraId="004CFA19">
      <w:pPr>
        <w:spacing w:line="360" w:lineRule="auto"/>
        <w:ind w:firstLine="624"/>
        <w:rPr>
          <w:rFonts w:eastAsia="仿宋_GB2312"/>
          <w:spacing w:val="6"/>
          <w:sz w:val="30"/>
          <w:szCs w:val="30"/>
        </w:rPr>
      </w:pPr>
    </w:p>
    <w:p w14:paraId="56672C2A">
      <w:pPr>
        <w:pStyle w:val="338"/>
        <w:spacing w:line="360" w:lineRule="auto"/>
        <w:rPr>
          <w:rFonts w:ascii="Times New Roman" w:hAnsi="Times New Roman"/>
        </w:rPr>
      </w:pPr>
    </w:p>
    <w:p w14:paraId="63BC83EC">
      <w:pPr>
        <w:spacing w:line="360" w:lineRule="auto"/>
        <w:ind w:right="180" w:firstLine="360"/>
        <w:jc w:val="right"/>
        <w:rPr>
          <w:rFonts w:hint="eastAsia"/>
          <w:sz w:val="24"/>
          <w:szCs w:val="24"/>
        </w:rPr>
      </w:pPr>
      <w:r>
        <w:rPr>
          <w:rFonts w:hint="eastAsia"/>
          <w:sz w:val="24"/>
          <w:szCs w:val="24"/>
        </w:rPr>
        <w:t>企业名称：（加盖CA电子公章）</w:t>
      </w:r>
    </w:p>
    <w:p w14:paraId="70B22783">
      <w:pPr>
        <w:spacing w:line="360" w:lineRule="auto"/>
        <w:ind w:firstLine="5760"/>
        <w:rPr>
          <w:rFonts w:hint="eastAsia"/>
          <w:sz w:val="24"/>
          <w:szCs w:val="24"/>
        </w:rPr>
      </w:pPr>
      <w:r>
        <w:rPr>
          <w:rFonts w:hint="eastAsia"/>
          <w:sz w:val="24"/>
          <w:szCs w:val="24"/>
        </w:rPr>
        <w:t>日  期：</w:t>
      </w:r>
      <w:r>
        <w:rPr>
          <w:rFonts w:hint="eastAsia"/>
          <w:sz w:val="24"/>
          <w:szCs w:val="24"/>
          <w:u w:val="single"/>
        </w:rPr>
        <w:t xml:space="preserve">       </w:t>
      </w:r>
      <w:r>
        <w:rPr>
          <w:rFonts w:hint="eastAsia"/>
          <w:sz w:val="24"/>
          <w:szCs w:val="24"/>
        </w:rPr>
        <w:t>年___月___日</w:t>
      </w:r>
    </w:p>
    <w:p w14:paraId="7EB6DD9D">
      <w:pPr>
        <w:spacing w:line="560" w:lineRule="exact"/>
        <w:rPr>
          <w:rFonts w:hint="eastAsia" w:ascii="Times New Roman" w:hAnsi="Times New Roman" w:eastAsia="宋体" w:cs="Times New Roman"/>
          <w:b/>
          <w:bCs/>
          <w:sz w:val="32"/>
          <w:szCs w:val="32"/>
          <w:lang w:val="en-US" w:eastAsia="zh-CN" w:bidi="ar-SA"/>
        </w:rPr>
      </w:pPr>
      <w:r>
        <w:rPr>
          <w:rFonts w:eastAsia="黑体"/>
          <w:b/>
          <w:sz w:val="32"/>
          <w:szCs w:val="32"/>
        </w:rPr>
        <w:br w:type="page" w:clear="all"/>
      </w:r>
      <w:r>
        <w:rPr>
          <w:rFonts w:hint="eastAsia" w:ascii="Times New Roman" w:hAnsi="Times New Roman" w:eastAsia="宋体" w:cs="Times New Roman"/>
          <w:b/>
          <w:bCs/>
          <w:sz w:val="32"/>
          <w:szCs w:val="32"/>
          <w:lang w:val="en-US" w:eastAsia="zh-CN" w:bidi="ar-SA"/>
        </w:rPr>
        <w:t>八、技术要求响应及偏离表（分包号：**）</w:t>
      </w:r>
    </w:p>
    <w:tbl>
      <w:tblPr>
        <w:tblStyle w:val="3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5"/>
        <w:gridCol w:w="3291"/>
        <w:gridCol w:w="2852"/>
        <w:gridCol w:w="1308"/>
        <w:gridCol w:w="1173"/>
      </w:tblGrid>
      <w:tr w14:paraId="446E6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45" w:type="dxa"/>
            <w:vAlign w:val="center"/>
          </w:tcPr>
          <w:p w14:paraId="61193437">
            <w:pPr>
              <w:jc w:val="center"/>
              <w:rPr>
                <w:rFonts w:hint="eastAsia"/>
                <w:sz w:val="24"/>
                <w:szCs w:val="24"/>
              </w:rPr>
            </w:pPr>
            <w:r>
              <w:rPr>
                <w:rFonts w:hint="eastAsia"/>
                <w:sz w:val="24"/>
                <w:szCs w:val="24"/>
              </w:rPr>
              <w:t>序号</w:t>
            </w:r>
          </w:p>
        </w:tc>
        <w:tc>
          <w:tcPr>
            <w:tcW w:w="3291" w:type="dxa"/>
            <w:vAlign w:val="center"/>
          </w:tcPr>
          <w:p w14:paraId="062A7E7D">
            <w:pPr>
              <w:pStyle w:val="268"/>
              <w:spacing w:before="0" w:beforeAutospacing="0" w:after="0" w:afterAutospacing="0"/>
              <w:jc w:val="center"/>
              <w:rPr>
                <w:rFonts w:hint="eastAsia" w:ascii="Times New Roman" w:hAnsi="Times New Roman"/>
              </w:rPr>
            </w:pPr>
            <w:r>
              <w:rPr>
                <w:rFonts w:ascii="Times New Roman" w:hAnsi="Times New Roman"/>
              </w:rPr>
              <w:t>技术要求和商务要求中的实质性要求（</w:t>
            </w:r>
            <w:r>
              <w:rPr>
                <w:rFonts w:ascii="Times New Roman" w:hAnsi="Times New Roman"/>
                <w:i/>
                <w:iCs/>
                <w:u w:val="single"/>
              </w:rPr>
              <w:t>加斜体下划线内容或</w:t>
            </w:r>
            <w:r>
              <w:rPr>
                <w:rFonts w:ascii="Times New Roman" w:hAnsi="Times New Roman"/>
              </w:rPr>
              <w:t>打“★”内容）</w:t>
            </w:r>
          </w:p>
        </w:tc>
        <w:tc>
          <w:tcPr>
            <w:tcW w:w="2852" w:type="dxa"/>
            <w:vAlign w:val="center"/>
          </w:tcPr>
          <w:p w14:paraId="71C7BA71">
            <w:pPr>
              <w:pStyle w:val="268"/>
              <w:spacing w:before="0" w:beforeAutospacing="0" w:after="0" w:afterAutospacing="0"/>
              <w:jc w:val="center"/>
              <w:rPr>
                <w:rFonts w:hint="eastAsia" w:ascii="Times New Roman" w:hAnsi="Times New Roman"/>
              </w:rPr>
            </w:pPr>
            <w:r>
              <w:rPr>
                <w:rFonts w:ascii="Times New Roman" w:hAnsi="Times New Roman"/>
              </w:rPr>
              <w:t>响应情况</w:t>
            </w:r>
            <w:r>
              <w:rPr>
                <w:rFonts w:hint="eastAsia" w:ascii="Times New Roman" w:hAnsi="Times New Roman"/>
              </w:rPr>
              <w:t>（填报“响应或完全响应”）</w:t>
            </w:r>
          </w:p>
        </w:tc>
        <w:tc>
          <w:tcPr>
            <w:tcW w:w="1308" w:type="dxa"/>
            <w:vAlign w:val="center"/>
          </w:tcPr>
          <w:p w14:paraId="376ADDA3">
            <w:pPr>
              <w:pStyle w:val="268"/>
              <w:spacing w:before="0" w:beforeAutospacing="0" w:after="0" w:afterAutospacing="0"/>
              <w:jc w:val="center"/>
              <w:rPr>
                <w:rFonts w:hint="eastAsia" w:ascii="Times New Roman" w:hAnsi="Times New Roman"/>
              </w:rPr>
            </w:pPr>
            <w:r>
              <w:rPr>
                <w:rFonts w:hint="eastAsia" w:ascii="Times New Roman" w:hAnsi="Times New Roman"/>
              </w:rPr>
              <w:t>偏离（填报“正偏离、符合或负偏离”）</w:t>
            </w:r>
          </w:p>
        </w:tc>
        <w:tc>
          <w:tcPr>
            <w:tcW w:w="1173" w:type="dxa"/>
            <w:vAlign w:val="center"/>
          </w:tcPr>
          <w:p w14:paraId="74C98F98">
            <w:pPr>
              <w:jc w:val="center"/>
              <w:rPr>
                <w:rFonts w:hint="eastAsia"/>
                <w:sz w:val="24"/>
                <w:szCs w:val="24"/>
              </w:rPr>
            </w:pPr>
            <w:r>
              <w:rPr>
                <w:rFonts w:hint="eastAsia"/>
                <w:sz w:val="24"/>
                <w:szCs w:val="24"/>
              </w:rPr>
              <w:t>证明</w:t>
            </w:r>
          </w:p>
          <w:p w14:paraId="621AED32">
            <w:pPr>
              <w:jc w:val="center"/>
              <w:rPr>
                <w:rFonts w:hint="eastAsia"/>
                <w:sz w:val="24"/>
                <w:szCs w:val="24"/>
              </w:rPr>
            </w:pPr>
            <w:r>
              <w:rPr>
                <w:rFonts w:hint="eastAsia"/>
                <w:sz w:val="24"/>
                <w:szCs w:val="24"/>
              </w:rPr>
              <w:t>材料</w:t>
            </w:r>
          </w:p>
        </w:tc>
      </w:tr>
      <w:tr w14:paraId="682CD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vAlign w:val="top"/>
          </w:tcPr>
          <w:p w14:paraId="24165754">
            <w:pPr>
              <w:jc w:val="center"/>
              <w:rPr>
                <w:rFonts w:hint="eastAsia"/>
                <w:sz w:val="24"/>
                <w:szCs w:val="24"/>
              </w:rPr>
            </w:pPr>
          </w:p>
        </w:tc>
        <w:tc>
          <w:tcPr>
            <w:tcW w:w="3291" w:type="dxa"/>
            <w:vAlign w:val="top"/>
          </w:tcPr>
          <w:p w14:paraId="7AB3E426">
            <w:pPr>
              <w:jc w:val="center"/>
              <w:rPr>
                <w:rFonts w:hint="eastAsia"/>
                <w:sz w:val="24"/>
                <w:szCs w:val="24"/>
              </w:rPr>
            </w:pPr>
          </w:p>
        </w:tc>
        <w:tc>
          <w:tcPr>
            <w:tcW w:w="2852" w:type="dxa"/>
            <w:vAlign w:val="top"/>
          </w:tcPr>
          <w:p w14:paraId="47457A56">
            <w:pPr>
              <w:jc w:val="center"/>
              <w:rPr>
                <w:rFonts w:hint="eastAsia"/>
                <w:sz w:val="24"/>
                <w:szCs w:val="24"/>
              </w:rPr>
            </w:pPr>
          </w:p>
        </w:tc>
        <w:tc>
          <w:tcPr>
            <w:tcW w:w="1308" w:type="dxa"/>
            <w:vAlign w:val="top"/>
          </w:tcPr>
          <w:p w14:paraId="724E149E">
            <w:pPr>
              <w:jc w:val="center"/>
              <w:rPr>
                <w:rFonts w:hint="eastAsia"/>
                <w:sz w:val="24"/>
                <w:szCs w:val="24"/>
              </w:rPr>
            </w:pPr>
          </w:p>
        </w:tc>
        <w:tc>
          <w:tcPr>
            <w:tcW w:w="1173" w:type="dxa"/>
            <w:vAlign w:val="top"/>
          </w:tcPr>
          <w:p w14:paraId="680B3F46">
            <w:pPr>
              <w:jc w:val="center"/>
              <w:rPr>
                <w:rFonts w:hint="eastAsia"/>
                <w:sz w:val="24"/>
                <w:szCs w:val="24"/>
              </w:rPr>
            </w:pPr>
          </w:p>
        </w:tc>
      </w:tr>
      <w:tr w14:paraId="2FB62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640" w:hRule="atLeast"/>
        </w:trPr>
        <w:tc>
          <w:tcPr>
            <w:tcW w:w="545" w:type="dxa"/>
            <w:vAlign w:val="top"/>
          </w:tcPr>
          <w:p w14:paraId="1876226E">
            <w:pPr>
              <w:jc w:val="center"/>
              <w:rPr>
                <w:rFonts w:hint="eastAsia"/>
                <w:sz w:val="24"/>
                <w:szCs w:val="24"/>
              </w:rPr>
            </w:pPr>
          </w:p>
        </w:tc>
        <w:tc>
          <w:tcPr>
            <w:tcW w:w="3291" w:type="dxa"/>
            <w:vAlign w:val="top"/>
          </w:tcPr>
          <w:p w14:paraId="004AC54B">
            <w:pPr>
              <w:jc w:val="center"/>
              <w:rPr>
                <w:rFonts w:hint="eastAsia"/>
                <w:sz w:val="24"/>
                <w:szCs w:val="24"/>
              </w:rPr>
            </w:pPr>
          </w:p>
        </w:tc>
        <w:tc>
          <w:tcPr>
            <w:tcW w:w="2852" w:type="dxa"/>
            <w:vAlign w:val="top"/>
          </w:tcPr>
          <w:p w14:paraId="1089F206">
            <w:pPr>
              <w:jc w:val="center"/>
              <w:rPr>
                <w:rFonts w:hint="eastAsia"/>
                <w:sz w:val="24"/>
                <w:szCs w:val="24"/>
              </w:rPr>
            </w:pPr>
          </w:p>
        </w:tc>
        <w:tc>
          <w:tcPr>
            <w:tcW w:w="1308" w:type="dxa"/>
            <w:vAlign w:val="top"/>
          </w:tcPr>
          <w:p w14:paraId="3D7E510E">
            <w:pPr>
              <w:jc w:val="center"/>
              <w:rPr>
                <w:rFonts w:hint="eastAsia"/>
                <w:sz w:val="24"/>
                <w:szCs w:val="24"/>
              </w:rPr>
            </w:pPr>
          </w:p>
        </w:tc>
        <w:tc>
          <w:tcPr>
            <w:tcW w:w="1173" w:type="dxa"/>
            <w:vAlign w:val="top"/>
          </w:tcPr>
          <w:p w14:paraId="397BBBA7">
            <w:pPr>
              <w:jc w:val="center"/>
              <w:rPr>
                <w:rFonts w:hint="eastAsia"/>
                <w:sz w:val="24"/>
                <w:szCs w:val="24"/>
              </w:rPr>
            </w:pPr>
          </w:p>
        </w:tc>
      </w:tr>
      <w:tr w14:paraId="3F250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vAlign w:val="top"/>
          </w:tcPr>
          <w:p w14:paraId="3C254EA4">
            <w:pPr>
              <w:jc w:val="center"/>
              <w:rPr>
                <w:rFonts w:hint="eastAsia"/>
                <w:sz w:val="24"/>
                <w:szCs w:val="24"/>
              </w:rPr>
            </w:pPr>
          </w:p>
        </w:tc>
        <w:tc>
          <w:tcPr>
            <w:tcW w:w="3291" w:type="dxa"/>
            <w:vAlign w:val="top"/>
          </w:tcPr>
          <w:p w14:paraId="54481A9D">
            <w:pPr>
              <w:jc w:val="center"/>
              <w:rPr>
                <w:rFonts w:hint="eastAsia"/>
                <w:sz w:val="24"/>
                <w:szCs w:val="24"/>
              </w:rPr>
            </w:pPr>
          </w:p>
        </w:tc>
        <w:tc>
          <w:tcPr>
            <w:tcW w:w="2852" w:type="dxa"/>
            <w:vAlign w:val="top"/>
          </w:tcPr>
          <w:p w14:paraId="091A4C87">
            <w:pPr>
              <w:jc w:val="center"/>
              <w:rPr>
                <w:rFonts w:hint="eastAsia"/>
                <w:sz w:val="24"/>
                <w:szCs w:val="24"/>
              </w:rPr>
            </w:pPr>
          </w:p>
        </w:tc>
        <w:tc>
          <w:tcPr>
            <w:tcW w:w="1308" w:type="dxa"/>
            <w:vAlign w:val="top"/>
          </w:tcPr>
          <w:p w14:paraId="3BA7BDC4">
            <w:pPr>
              <w:jc w:val="center"/>
              <w:rPr>
                <w:rFonts w:hint="eastAsia"/>
                <w:sz w:val="24"/>
                <w:szCs w:val="24"/>
              </w:rPr>
            </w:pPr>
          </w:p>
        </w:tc>
        <w:tc>
          <w:tcPr>
            <w:tcW w:w="1173" w:type="dxa"/>
            <w:vAlign w:val="top"/>
          </w:tcPr>
          <w:p w14:paraId="73DF4C7B">
            <w:pPr>
              <w:jc w:val="center"/>
              <w:rPr>
                <w:rFonts w:hint="eastAsia"/>
                <w:sz w:val="24"/>
                <w:szCs w:val="24"/>
              </w:rPr>
            </w:pPr>
          </w:p>
        </w:tc>
      </w:tr>
      <w:tr w14:paraId="725BA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vAlign w:val="top"/>
          </w:tcPr>
          <w:p w14:paraId="11A04C80">
            <w:pPr>
              <w:jc w:val="center"/>
              <w:rPr>
                <w:rFonts w:hint="eastAsia"/>
                <w:sz w:val="24"/>
                <w:szCs w:val="24"/>
              </w:rPr>
            </w:pPr>
          </w:p>
        </w:tc>
        <w:tc>
          <w:tcPr>
            <w:tcW w:w="3291" w:type="dxa"/>
            <w:vAlign w:val="top"/>
          </w:tcPr>
          <w:p w14:paraId="7F7633BC">
            <w:pPr>
              <w:jc w:val="center"/>
              <w:rPr>
                <w:rFonts w:hint="eastAsia"/>
                <w:sz w:val="24"/>
                <w:szCs w:val="24"/>
              </w:rPr>
            </w:pPr>
          </w:p>
        </w:tc>
        <w:tc>
          <w:tcPr>
            <w:tcW w:w="2852" w:type="dxa"/>
            <w:vAlign w:val="top"/>
          </w:tcPr>
          <w:p w14:paraId="770FCA96">
            <w:pPr>
              <w:jc w:val="center"/>
              <w:rPr>
                <w:rFonts w:hint="eastAsia"/>
                <w:sz w:val="24"/>
                <w:szCs w:val="24"/>
              </w:rPr>
            </w:pPr>
          </w:p>
        </w:tc>
        <w:tc>
          <w:tcPr>
            <w:tcW w:w="1308" w:type="dxa"/>
            <w:vAlign w:val="top"/>
          </w:tcPr>
          <w:p w14:paraId="6199213A">
            <w:pPr>
              <w:jc w:val="center"/>
              <w:rPr>
                <w:rFonts w:hint="eastAsia"/>
                <w:sz w:val="24"/>
                <w:szCs w:val="24"/>
              </w:rPr>
            </w:pPr>
          </w:p>
        </w:tc>
        <w:tc>
          <w:tcPr>
            <w:tcW w:w="1173" w:type="dxa"/>
            <w:vAlign w:val="top"/>
          </w:tcPr>
          <w:p w14:paraId="74DA01E4">
            <w:pPr>
              <w:jc w:val="center"/>
              <w:rPr>
                <w:rFonts w:hint="eastAsia"/>
                <w:sz w:val="24"/>
                <w:szCs w:val="24"/>
              </w:rPr>
            </w:pPr>
          </w:p>
        </w:tc>
      </w:tr>
      <w:tr w14:paraId="2001E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vAlign w:val="top"/>
          </w:tcPr>
          <w:p w14:paraId="0346E8A9">
            <w:pPr>
              <w:jc w:val="center"/>
              <w:rPr>
                <w:rFonts w:hint="eastAsia"/>
                <w:sz w:val="24"/>
                <w:szCs w:val="24"/>
              </w:rPr>
            </w:pPr>
          </w:p>
        </w:tc>
        <w:tc>
          <w:tcPr>
            <w:tcW w:w="3291" w:type="dxa"/>
            <w:vAlign w:val="top"/>
          </w:tcPr>
          <w:p w14:paraId="406791FE">
            <w:pPr>
              <w:jc w:val="center"/>
              <w:rPr>
                <w:rFonts w:hint="eastAsia"/>
                <w:sz w:val="24"/>
                <w:szCs w:val="24"/>
              </w:rPr>
            </w:pPr>
          </w:p>
        </w:tc>
        <w:tc>
          <w:tcPr>
            <w:tcW w:w="2852" w:type="dxa"/>
            <w:vAlign w:val="top"/>
          </w:tcPr>
          <w:p w14:paraId="1AD7513B">
            <w:pPr>
              <w:jc w:val="center"/>
              <w:rPr>
                <w:rFonts w:hint="eastAsia"/>
                <w:sz w:val="24"/>
                <w:szCs w:val="24"/>
              </w:rPr>
            </w:pPr>
          </w:p>
        </w:tc>
        <w:tc>
          <w:tcPr>
            <w:tcW w:w="1308" w:type="dxa"/>
            <w:vAlign w:val="top"/>
          </w:tcPr>
          <w:p w14:paraId="772638B9">
            <w:pPr>
              <w:jc w:val="center"/>
              <w:rPr>
                <w:rFonts w:hint="eastAsia"/>
                <w:sz w:val="24"/>
                <w:szCs w:val="24"/>
              </w:rPr>
            </w:pPr>
          </w:p>
        </w:tc>
        <w:tc>
          <w:tcPr>
            <w:tcW w:w="1173" w:type="dxa"/>
            <w:vAlign w:val="top"/>
          </w:tcPr>
          <w:p w14:paraId="4686D09A">
            <w:pPr>
              <w:jc w:val="center"/>
              <w:rPr>
                <w:rFonts w:hint="eastAsia"/>
                <w:sz w:val="24"/>
                <w:szCs w:val="24"/>
              </w:rPr>
            </w:pPr>
          </w:p>
        </w:tc>
      </w:tr>
      <w:tr w14:paraId="198C2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vAlign w:val="top"/>
          </w:tcPr>
          <w:p w14:paraId="614E8433">
            <w:pPr>
              <w:jc w:val="center"/>
              <w:rPr>
                <w:rFonts w:hint="eastAsia"/>
                <w:sz w:val="24"/>
                <w:szCs w:val="24"/>
              </w:rPr>
            </w:pPr>
          </w:p>
        </w:tc>
        <w:tc>
          <w:tcPr>
            <w:tcW w:w="3291" w:type="dxa"/>
            <w:vAlign w:val="top"/>
          </w:tcPr>
          <w:p w14:paraId="5B8FE103">
            <w:pPr>
              <w:jc w:val="center"/>
              <w:rPr>
                <w:rFonts w:hint="eastAsia"/>
                <w:sz w:val="24"/>
                <w:szCs w:val="24"/>
              </w:rPr>
            </w:pPr>
          </w:p>
        </w:tc>
        <w:tc>
          <w:tcPr>
            <w:tcW w:w="2852" w:type="dxa"/>
            <w:vAlign w:val="top"/>
          </w:tcPr>
          <w:p w14:paraId="39D1663D">
            <w:pPr>
              <w:jc w:val="center"/>
              <w:rPr>
                <w:rFonts w:hint="eastAsia"/>
                <w:sz w:val="24"/>
                <w:szCs w:val="24"/>
              </w:rPr>
            </w:pPr>
          </w:p>
        </w:tc>
        <w:tc>
          <w:tcPr>
            <w:tcW w:w="1308" w:type="dxa"/>
            <w:vAlign w:val="top"/>
          </w:tcPr>
          <w:p w14:paraId="46E98988">
            <w:pPr>
              <w:jc w:val="center"/>
              <w:rPr>
                <w:rFonts w:hint="eastAsia"/>
                <w:sz w:val="24"/>
                <w:szCs w:val="24"/>
              </w:rPr>
            </w:pPr>
          </w:p>
        </w:tc>
        <w:tc>
          <w:tcPr>
            <w:tcW w:w="1173" w:type="dxa"/>
            <w:vAlign w:val="top"/>
          </w:tcPr>
          <w:p w14:paraId="68891581">
            <w:pPr>
              <w:jc w:val="center"/>
              <w:rPr>
                <w:rFonts w:hint="eastAsia"/>
                <w:sz w:val="24"/>
                <w:szCs w:val="24"/>
              </w:rPr>
            </w:pPr>
          </w:p>
        </w:tc>
      </w:tr>
      <w:tr w14:paraId="2396A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vAlign w:val="top"/>
          </w:tcPr>
          <w:p w14:paraId="3E529596">
            <w:pPr>
              <w:jc w:val="center"/>
              <w:rPr>
                <w:rFonts w:hint="eastAsia"/>
                <w:sz w:val="24"/>
                <w:szCs w:val="24"/>
              </w:rPr>
            </w:pPr>
          </w:p>
        </w:tc>
        <w:tc>
          <w:tcPr>
            <w:tcW w:w="3291" w:type="dxa"/>
            <w:vAlign w:val="top"/>
          </w:tcPr>
          <w:p w14:paraId="7B8AF6EB">
            <w:pPr>
              <w:jc w:val="center"/>
              <w:rPr>
                <w:rFonts w:hint="eastAsia"/>
                <w:sz w:val="24"/>
                <w:szCs w:val="24"/>
              </w:rPr>
            </w:pPr>
          </w:p>
        </w:tc>
        <w:tc>
          <w:tcPr>
            <w:tcW w:w="2852" w:type="dxa"/>
            <w:vAlign w:val="top"/>
          </w:tcPr>
          <w:p w14:paraId="60019C66">
            <w:pPr>
              <w:jc w:val="center"/>
              <w:rPr>
                <w:rFonts w:hint="eastAsia"/>
                <w:sz w:val="24"/>
                <w:szCs w:val="24"/>
              </w:rPr>
            </w:pPr>
          </w:p>
        </w:tc>
        <w:tc>
          <w:tcPr>
            <w:tcW w:w="1308" w:type="dxa"/>
            <w:vAlign w:val="top"/>
          </w:tcPr>
          <w:p w14:paraId="25002F57">
            <w:pPr>
              <w:jc w:val="center"/>
              <w:rPr>
                <w:rFonts w:hint="eastAsia"/>
                <w:sz w:val="24"/>
                <w:szCs w:val="24"/>
              </w:rPr>
            </w:pPr>
          </w:p>
        </w:tc>
        <w:tc>
          <w:tcPr>
            <w:tcW w:w="1173" w:type="dxa"/>
            <w:vAlign w:val="top"/>
          </w:tcPr>
          <w:p w14:paraId="06CB3640">
            <w:pPr>
              <w:jc w:val="center"/>
              <w:rPr>
                <w:rFonts w:hint="eastAsia"/>
                <w:sz w:val="24"/>
                <w:szCs w:val="24"/>
              </w:rPr>
            </w:pPr>
          </w:p>
        </w:tc>
      </w:tr>
      <w:tr w14:paraId="00C64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vAlign w:val="top"/>
          </w:tcPr>
          <w:p w14:paraId="4ED4156F">
            <w:pPr>
              <w:jc w:val="center"/>
              <w:rPr>
                <w:rFonts w:hint="eastAsia"/>
                <w:sz w:val="24"/>
                <w:szCs w:val="24"/>
              </w:rPr>
            </w:pPr>
          </w:p>
        </w:tc>
        <w:tc>
          <w:tcPr>
            <w:tcW w:w="3291" w:type="dxa"/>
            <w:vAlign w:val="top"/>
          </w:tcPr>
          <w:p w14:paraId="6A4772C5">
            <w:pPr>
              <w:jc w:val="center"/>
              <w:rPr>
                <w:rFonts w:hint="eastAsia"/>
                <w:sz w:val="24"/>
                <w:szCs w:val="24"/>
              </w:rPr>
            </w:pPr>
            <w:r>
              <w:rPr>
                <w:sz w:val="24"/>
                <w:szCs w:val="24"/>
              </w:rPr>
              <w:t>……</w:t>
            </w:r>
          </w:p>
        </w:tc>
        <w:tc>
          <w:tcPr>
            <w:tcW w:w="2852" w:type="dxa"/>
            <w:vAlign w:val="top"/>
          </w:tcPr>
          <w:p w14:paraId="26E12925">
            <w:pPr>
              <w:jc w:val="center"/>
              <w:rPr>
                <w:rFonts w:hint="eastAsia"/>
                <w:sz w:val="24"/>
                <w:szCs w:val="24"/>
              </w:rPr>
            </w:pPr>
          </w:p>
        </w:tc>
        <w:tc>
          <w:tcPr>
            <w:tcW w:w="1308" w:type="dxa"/>
            <w:vAlign w:val="top"/>
          </w:tcPr>
          <w:p w14:paraId="091FD444">
            <w:pPr>
              <w:jc w:val="center"/>
              <w:rPr>
                <w:rFonts w:hint="eastAsia"/>
                <w:sz w:val="24"/>
                <w:szCs w:val="24"/>
              </w:rPr>
            </w:pPr>
          </w:p>
        </w:tc>
        <w:tc>
          <w:tcPr>
            <w:tcW w:w="1173" w:type="dxa"/>
            <w:vAlign w:val="top"/>
          </w:tcPr>
          <w:p w14:paraId="147381A1">
            <w:pPr>
              <w:jc w:val="center"/>
              <w:rPr>
                <w:rFonts w:hint="eastAsia"/>
                <w:sz w:val="24"/>
                <w:szCs w:val="24"/>
              </w:rPr>
            </w:pPr>
          </w:p>
        </w:tc>
      </w:tr>
    </w:tbl>
    <w:p w14:paraId="76D2F9F5">
      <w:pPr>
        <w:spacing w:line="588" w:lineRule="exact"/>
        <w:rPr>
          <w:sz w:val="24"/>
        </w:rPr>
      </w:pPr>
      <w:r>
        <w:rPr>
          <w:sz w:val="24"/>
        </w:rPr>
        <w:t>1.</w:t>
      </w:r>
      <w:r>
        <w:rPr>
          <w:rFonts w:hint="eastAsia"/>
          <w:sz w:val="24"/>
        </w:rPr>
        <w:t>投标人</w:t>
      </w:r>
      <w:r>
        <w:rPr>
          <w:sz w:val="24"/>
        </w:rPr>
        <w:t>必须对技术要求和商务要求中的实质性要求（加斜体下划线内容或打“★”内容）做出明确响应，否则作无效响应处理。</w:t>
      </w:r>
    </w:p>
    <w:p w14:paraId="02FCE3EA">
      <w:pPr>
        <w:spacing w:line="588" w:lineRule="exact"/>
        <w:rPr>
          <w:sz w:val="24"/>
        </w:rPr>
      </w:pPr>
      <w:r>
        <w:rPr>
          <w:sz w:val="24"/>
        </w:rPr>
        <w:t>2.如果采购文件要求提供证明材料，</w:t>
      </w:r>
      <w:r>
        <w:rPr>
          <w:rFonts w:hint="eastAsia"/>
          <w:sz w:val="24"/>
        </w:rPr>
        <w:t>投标人</w:t>
      </w:r>
      <w:r>
        <w:rPr>
          <w:sz w:val="24"/>
        </w:rPr>
        <w:t>必须将证明材料列于该表之下。</w:t>
      </w:r>
    </w:p>
    <w:p w14:paraId="76DDAA83">
      <w:pPr>
        <w:spacing w:line="588" w:lineRule="exact"/>
        <w:rPr>
          <w:sz w:val="24"/>
        </w:rPr>
      </w:pPr>
      <w:r>
        <w:rPr>
          <w:sz w:val="24"/>
        </w:rPr>
        <w:t>3.</w:t>
      </w:r>
      <w:r>
        <w:rPr>
          <w:rFonts w:hint="eastAsia"/>
          <w:sz w:val="24"/>
        </w:rPr>
        <w:t>投标人</w:t>
      </w:r>
      <w:r>
        <w:rPr>
          <w:sz w:val="24"/>
        </w:rPr>
        <w:t>未对实质性要求作出明确响应的，或未按采购文件要求提供证明材料的，该分包作无效响应处理。</w:t>
      </w:r>
    </w:p>
    <w:p w14:paraId="4B328B28">
      <w:pPr>
        <w:spacing w:line="588" w:lineRule="exact"/>
        <w:rPr>
          <w:rFonts w:hint="eastAsia"/>
          <w:sz w:val="24"/>
        </w:rPr>
      </w:pPr>
      <w:r>
        <w:rPr>
          <w:rFonts w:hint="eastAsia"/>
          <w:sz w:val="24"/>
        </w:rPr>
        <w:t>4.行数不够，可自行添加。</w:t>
      </w:r>
    </w:p>
    <w:p w14:paraId="1C24C974">
      <w:pPr>
        <w:jc w:val="center"/>
        <w:rPr>
          <w:rFonts w:hint="eastAsia" w:eastAsia="黑体"/>
          <w:b/>
          <w:sz w:val="36"/>
        </w:rPr>
      </w:pPr>
    </w:p>
    <w:p w14:paraId="2DCBF056">
      <w:pPr>
        <w:pStyle w:val="341"/>
        <w:outlineLvl w:val="1"/>
        <w:rPr>
          <w:rFonts w:hint="eastAsia" w:ascii="Times New Roman" w:hAnsi="Times New Roman"/>
        </w:rPr>
      </w:pPr>
    </w:p>
    <w:p w14:paraId="6DF44D3C">
      <w:pPr>
        <w:pStyle w:val="341"/>
        <w:outlineLvl w:val="1"/>
        <w:rPr>
          <w:rFonts w:hint="eastAsia" w:ascii="Times New Roman" w:hAnsi="Times New Roman"/>
        </w:rPr>
      </w:pPr>
    </w:p>
    <w:p w14:paraId="7501A265">
      <w:pPr>
        <w:pStyle w:val="341"/>
        <w:outlineLvl w:val="1"/>
        <w:rPr>
          <w:rFonts w:hint="eastAsia" w:ascii="Times New Roman" w:hAnsi="Times New Roman"/>
        </w:rPr>
      </w:pPr>
    </w:p>
    <w:p w14:paraId="37FD3EAE">
      <w:pPr>
        <w:pStyle w:val="341"/>
        <w:outlineLvl w:val="1"/>
        <w:rPr>
          <w:rFonts w:hint="eastAsia" w:ascii="Times New Roman" w:hAnsi="Times New Roman"/>
        </w:rPr>
      </w:pPr>
    </w:p>
    <w:p w14:paraId="48A87FE8">
      <w:pPr>
        <w:pStyle w:val="341"/>
        <w:outlineLvl w:val="1"/>
        <w:rPr>
          <w:rFonts w:hint="eastAsia" w:ascii="Times New Roman" w:hAnsi="Times New Roman"/>
        </w:rPr>
      </w:pPr>
    </w:p>
    <w:p w14:paraId="45538034">
      <w:pPr>
        <w:pStyle w:val="341"/>
        <w:outlineLvl w:val="1"/>
        <w:rPr>
          <w:rFonts w:hint="eastAsia" w:ascii="Times New Roman" w:hAnsi="Times New Roman"/>
        </w:rPr>
      </w:pPr>
    </w:p>
    <w:p w14:paraId="31087EEE">
      <w:pPr>
        <w:pStyle w:val="341"/>
        <w:outlineLvl w:val="1"/>
        <w:rPr>
          <w:rFonts w:hint="eastAsia" w:ascii="Times New Roman" w:hAnsi="Times New Roman"/>
        </w:rPr>
      </w:pPr>
    </w:p>
    <w:p w14:paraId="26C73A9A">
      <w:pPr>
        <w:pStyle w:val="341"/>
        <w:outlineLvl w:val="1"/>
        <w:rPr>
          <w:rFonts w:hint="eastAsia" w:ascii="Times New Roman" w:hAnsi="Times New Roman"/>
        </w:rPr>
      </w:pPr>
    </w:p>
    <w:p w14:paraId="55B88033">
      <w:pPr>
        <w:pStyle w:val="341"/>
        <w:outlineLvl w:val="1"/>
        <w:rPr>
          <w:rFonts w:hint="eastAsia" w:ascii="Times New Roman" w:hAnsi="Times New Roman" w:eastAsia="宋体" w:cs="Times New Roman"/>
          <w:b/>
          <w:bCs/>
          <w:sz w:val="32"/>
          <w:szCs w:val="32"/>
          <w:lang w:val="en-US" w:eastAsia="zh-CN" w:bidi="ar-SA"/>
        </w:rPr>
      </w:pPr>
      <w:r>
        <w:rPr>
          <w:rFonts w:hint="eastAsia" w:ascii="Times New Roman" w:hAnsi="Times New Roman" w:eastAsia="宋体" w:cs="Times New Roman"/>
          <w:b/>
          <w:bCs/>
          <w:sz w:val="32"/>
          <w:szCs w:val="32"/>
          <w:lang w:val="en-US" w:eastAsia="zh-CN" w:bidi="ar-SA"/>
        </w:rPr>
        <w:t>九、项目组人员</w:t>
      </w:r>
    </w:p>
    <w:p w14:paraId="75C67F08">
      <w:pPr>
        <w:pStyle w:val="268"/>
        <w:spacing w:line="600" w:lineRule="exact"/>
        <w:jc w:val="center"/>
        <w:rPr>
          <w:rFonts w:ascii="Times New Roman" w:hAnsi="Times New Roman"/>
          <w:b/>
          <w:bCs/>
          <w:sz w:val="32"/>
          <w:szCs w:val="32"/>
        </w:rPr>
      </w:pPr>
      <w:r>
        <w:rPr>
          <w:rFonts w:hint="eastAsia" w:ascii="Times New Roman" w:hAnsi="Times New Roman"/>
          <w:b/>
          <w:bCs/>
          <w:sz w:val="32"/>
          <w:szCs w:val="32"/>
          <w:lang w:bidi="ar"/>
        </w:rPr>
        <w:t>项目组成员</w:t>
      </w:r>
    </w:p>
    <w:tbl>
      <w:tblPr>
        <w:tblStyle w:val="33"/>
        <w:tblpPr w:leftFromText="180" w:rightFromText="180" w:vertAnchor="text" w:horzAnchor="margin" w:tblpXSpec="center" w:tblpY="74"/>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98"/>
        <w:gridCol w:w="2113"/>
        <w:gridCol w:w="1137"/>
        <w:gridCol w:w="2276"/>
        <w:gridCol w:w="1950"/>
        <w:gridCol w:w="1102"/>
      </w:tblGrid>
      <w:tr w14:paraId="53711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567" w:type="pct"/>
            <w:vAlign w:val="center"/>
          </w:tcPr>
          <w:p w14:paraId="2CFE664C">
            <w:pPr>
              <w:pStyle w:val="342"/>
              <w:widowControl/>
              <w:spacing w:beforeAutospacing="1" w:line="560" w:lineRule="exact"/>
              <w:jc w:val="center"/>
              <w:rPr>
                <w:rFonts w:eastAsia="仿宋_GB2312" w:cs="仿宋_GB2312"/>
                <w:sz w:val="28"/>
                <w:szCs w:val="28"/>
              </w:rPr>
            </w:pPr>
            <w:r>
              <w:rPr>
                <w:rFonts w:eastAsia="仿宋_GB2312" w:cs="仿宋_GB2312"/>
                <w:sz w:val="28"/>
                <w:szCs w:val="28"/>
              </w:rPr>
              <w:t>姓名</w:t>
            </w:r>
          </w:p>
        </w:tc>
        <w:tc>
          <w:tcPr>
            <w:tcW w:w="1091" w:type="pct"/>
            <w:vAlign w:val="center"/>
          </w:tcPr>
          <w:p w14:paraId="0F25FDAF">
            <w:pPr>
              <w:pStyle w:val="342"/>
              <w:widowControl/>
              <w:spacing w:beforeAutospacing="1" w:line="560" w:lineRule="exact"/>
              <w:jc w:val="center"/>
              <w:rPr>
                <w:rFonts w:eastAsia="仿宋_GB2312" w:cs="仿宋_GB2312"/>
                <w:sz w:val="28"/>
                <w:szCs w:val="28"/>
              </w:rPr>
            </w:pPr>
            <w:r>
              <w:rPr>
                <w:rFonts w:eastAsia="仿宋_GB2312" w:cs="仿宋_GB2312"/>
                <w:sz w:val="28"/>
                <w:szCs w:val="28"/>
              </w:rPr>
              <w:t>职务</w:t>
            </w:r>
          </w:p>
        </w:tc>
        <w:tc>
          <w:tcPr>
            <w:tcW w:w="587" w:type="pct"/>
            <w:vAlign w:val="center"/>
          </w:tcPr>
          <w:p w14:paraId="3E197CB3">
            <w:pPr>
              <w:pStyle w:val="342"/>
              <w:widowControl/>
              <w:spacing w:beforeAutospacing="1" w:line="560" w:lineRule="exact"/>
              <w:jc w:val="center"/>
              <w:rPr>
                <w:rFonts w:eastAsia="仿宋_GB2312" w:cs="仿宋_GB2312"/>
                <w:sz w:val="28"/>
                <w:szCs w:val="28"/>
              </w:rPr>
            </w:pPr>
            <w:r>
              <w:rPr>
                <w:rFonts w:eastAsia="仿宋_GB2312" w:cs="仿宋_GB2312"/>
                <w:sz w:val="28"/>
                <w:szCs w:val="28"/>
              </w:rPr>
              <w:t>学历</w:t>
            </w:r>
          </w:p>
        </w:tc>
        <w:tc>
          <w:tcPr>
            <w:tcW w:w="1175" w:type="pct"/>
            <w:vAlign w:val="center"/>
          </w:tcPr>
          <w:p w14:paraId="0A588B16">
            <w:pPr>
              <w:pStyle w:val="342"/>
              <w:widowControl/>
              <w:spacing w:beforeAutospacing="1" w:line="560" w:lineRule="exact"/>
              <w:ind w:firstLine="280"/>
              <w:rPr>
                <w:rFonts w:eastAsia="仿宋_GB2312" w:cs="仿宋_GB2312"/>
                <w:sz w:val="28"/>
                <w:szCs w:val="28"/>
              </w:rPr>
            </w:pPr>
            <w:r>
              <w:rPr>
                <w:rFonts w:eastAsia="仿宋_GB2312" w:cs="仿宋_GB2312"/>
                <w:sz w:val="28"/>
                <w:szCs w:val="28"/>
              </w:rPr>
              <w:t>身份证号</w:t>
            </w:r>
          </w:p>
        </w:tc>
        <w:tc>
          <w:tcPr>
            <w:tcW w:w="1007" w:type="pct"/>
            <w:vAlign w:val="center"/>
          </w:tcPr>
          <w:p w14:paraId="56973334">
            <w:pPr>
              <w:pStyle w:val="342"/>
              <w:widowControl/>
              <w:spacing w:beforeAutospacing="1" w:line="560" w:lineRule="exact"/>
              <w:jc w:val="center"/>
              <w:rPr>
                <w:rFonts w:eastAsia="仿宋_GB2312" w:cs="仿宋_GB2312"/>
                <w:sz w:val="28"/>
                <w:szCs w:val="28"/>
              </w:rPr>
            </w:pPr>
            <w:r>
              <w:rPr>
                <w:rFonts w:eastAsia="仿宋_GB2312" w:cs="仿宋_GB2312"/>
                <w:sz w:val="28"/>
                <w:szCs w:val="28"/>
              </w:rPr>
              <w:t>相关证书</w:t>
            </w:r>
          </w:p>
        </w:tc>
        <w:tc>
          <w:tcPr>
            <w:tcW w:w="569" w:type="pct"/>
            <w:vAlign w:val="center"/>
          </w:tcPr>
          <w:p w14:paraId="216D7CA8">
            <w:pPr>
              <w:pStyle w:val="342"/>
              <w:widowControl/>
              <w:spacing w:beforeAutospacing="1" w:line="560" w:lineRule="exact"/>
              <w:rPr>
                <w:rFonts w:eastAsia="仿宋_GB2312" w:cs="仿宋_GB2312"/>
                <w:sz w:val="28"/>
                <w:szCs w:val="28"/>
              </w:rPr>
            </w:pPr>
            <w:r>
              <w:rPr>
                <w:rFonts w:eastAsia="仿宋_GB2312" w:cs="仿宋_GB2312"/>
                <w:sz w:val="28"/>
                <w:szCs w:val="28"/>
              </w:rPr>
              <w:t>备注</w:t>
            </w:r>
          </w:p>
        </w:tc>
      </w:tr>
      <w:tr w14:paraId="774C7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567" w:type="pct"/>
            <w:vAlign w:val="center"/>
          </w:tcPr>
          <w:p w14:paraId="40462061">
            <w:pPr>
              <w:pStyle w:val="342"/>
              <w:widowControl/>
              <w:spacing w:line="560" w:lineRule="exact"/>
              <w:ind w:firstLine="560"/>
              <w:jc w:val="center"/>
              <w:rPr>
                <w:rFonts w:eastAsia="仿宋_GB2312" w:cs="仿宋_GB2312"/>
                <w:sz w:val="28"/>
                <w:szCs w:val="28"/>
              </w:rPr>
            </w:pPr>
          </w:p>
        </w:tc>
        <w:tc>
          <w:tcPr>
            <w:tcW w:w="1091" w:type="pct"/>
            <w:vAlign w:val="center"/>
          </w:tcPr>
          <w:p w14:paraId="790FE1DC">
            <w:pPr>
              <w:pStyle w:val="268"/>
              <w:jc w:val="center"/>
              <w:rPr>
                <w:rFonts w:ascii="Times New Roman" w:hAnsi="Times New Roman"/>
                <w:sz w:val="20"/>
                <w:szCs w:val="20"/>
              </w:rPr>
            </w:pPr>
            <w:r>
              <w:rPr>
                <w:rFonts w:hint="eastAsia" w:ascii="Times New Roman" w:hAnsi="Times New Roman" w:eastAsia="仿宋_GB2312" w:cs="仿宋_GB2312"/>
                <w:sz w:val="28"/>
                <w:szCs w:val="28"/>
                <w:lang w:bidi="ar"/>
              </w:rPr>
              <w:t>项目经理</w:t>
            </w:r>
          </w:p>
        </w:tc>
        <w:tc>
          <w:tcPr>
            <w:tcW w:w="587" w:type="pct"/>
            <w:vAlign w:val="center"/>
          </w:tcPr>
          <w:p w14:paraId="7623E46A">
            <w:pPr>
              <w:pStyle w:val="342"/>
              <w:widowControl/>
              <w:spacing w:line="560" w:lineRule="exact"/>
              <w:ind w:firstLine="560"/>
              <w:jc w:val="center"/>
              <w:rPr>
                <w:rFonts w:eastAsia="仿宋_GB2312" w:cs="仿宋_GB2312"/>
                <w:sz w:val="28"/>
                <w:szCs w:val="28"/>
              </w:rPr>
            </w:pPr>
          </w:p>
        </w:tc>
        <w:tc>
          <w:tcPr>
            <w:tcW w:w="1175" w:type="pct"/>
            <w:vAlign w:val="center"/>
          </w:tcPr>
          <w:p w14:paraId="717F77C9">
            <w:pPr>
              <w:pStyle w:val="342"/>
              <w:widowControl/>
              <w:spacing w:line="560" w:lineRule="exact"/>
              <w:ind w:firstLine="560"/>
              <w:jc w:val="center"/>
              <w:rPr>
                <w:rFonts w:eastAsia="仿宋_GB2312" w:cs="仿宋_GB2312"/>
                <w:sz w:val="28"/>
                <w:szCs w:val="28"/>
              </w:rPr>
            </w:pPr>
          </w:p>
        </w:tc>
        <w:tc>
          <w:tcPr>
            <w:tcW w:w="1007" w:type="pct"/>
            <w:vAlign w:val="center"/>
          </w:tcPr>
          <w:p w14:paraId="24A9B630">
            <w:pPr>
              <w:pStyle w:val="342"/>
              <w:widowControl/>
              <w:spacing w:line="560" w:lineRule="exact"/>
              <w:ind w:firstLine="560"/>
              <w:jc w:val="center"/>
              <w:rPr>
                <w:rFonts w:eastAsia="仿宋_GB2312" w:cs="仿宋_GB2312"/>
                <w:sz w:val="28"/>
                <w:szCs w:val="28"/>
              </w:rPr>
            </w:pPr>
          </w:p>
        </w:tc>
        <w:tc>
          <w:tcPr>
            <w:tcW w:w="569" w:type="pct"/>
            <w:vAlign w:val="center"/>
          </w:tcPr>
          <w:p w14:paraId="58A2FDE2">
            <w:pPr>
              <w:pStyle w:val="342"/>
              <w:widowControl/>
              <w:spacing w:line="560" w:lineRule="exact"/>
              <w:ind w:firstLine="560"/>
              <w:jc w:val="center"/>
              <w:rPr>
                <w:rFonts w:eastAsia="仿宋_GB2312" w:cs="仿宋_GB2312"/>
                <w:sz w:val="28"/>
                <w:szCs w:val="28"/>
              </w:rPr>
            </w:pPr>
          </w:p>
        </w:tc>
      </w:tr>
      <w:tr w14:paraId="1507D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567" w:type="pct"/>
            <w:vAlign w:val="center"/>
          </w:tcPr>
          <w:p w14:paraId="633B1047">
            <w:pPr>
              <w:pStyle w:val="342"/>
              <w:widowControl/>
              <w:spacing w:line="560" w:lineRule="exact"/>
              <w:ind w:firstLine="560"/>
              <w:jc w:val="center"/>
              <w:rPr>
                <w:rFonts w:eastAsia="仿宋_GB2312" w:cs="仿宋_GB2312"/>
                <w:sz w:val="28"/>
                <w:szCs w:val="28"/>
              </w:rPr>
            </w:pPr>
          </w:p>
        </w:tc>
        <w:tc>
          <w:tcPr>
            <w:tcW w:w="1091" w:type="pct"/>
            <w:vAlign w:val="center"/>
          </w:tcPr>
          <w:p w14:paraId="0AB893AF">
            <w:pPr>
              <w:pStyle w:val="268"/>
              <w:jc w:val="center"/>
              <w:rPr>
                <w:rFonts w:hint="eastAsia" w:ascii="Times New Roman" w:hAnsi="Times New Roman" w:eastAsia="仿宋_GB2312" w:cs="仿宋_GB2312"/>
                <w:sz w:val="28"/>
                <w:szCs w:val="28"/>
              </w:rPr>
            </w:pPr>
            <w:r>
              <w:rPr>
                <w:rFonts w:ascii="Times New Roman" w:hAnsi="Times New Roman" w:eastAsia="仿宋_GB2312" w:cs="仿宋_GB2312"/>
                <w:sz w:val="28"/>
                <w:szCs w:val="28"/>
                <w:lang w:bidi="ar"/>
              </w:rPr>
              <w:t>......</w:t>
            </w:r>
          </w:p>
        </w:tc>
        <w:tc>
          <w:tcPr>
            <w:tcW w:w="587" w:type="pct"/>
            <w:vAlign w:val="center"/>
          </w:tcPr>
          <w:p w14:paraId="25DA37C9">
            <w:pPr>
              <w:pStyle w:val="342"/>
              <w:widowControl/>
              <w:spacing w:line="560" w:lineRule="exact"/>
              <w:ind w:firstLine="560"/>
              <w:jc w:val="center"/>
              <w:rPr>
                <w:rFonts w:eastAsia="仿宋_GB2312" w:cs="仿宋_GB2312"/>
                <w:sz w:val="28"/>
                <w:szCs w:val="28"/>
              </w:rPr>
            </w:pPr>
          </w:p>
        </w:tc>
        <w:tc>
          <w:tcPr>
            <w:tcW w:w="1175" w:type="pct"/>
            <w:vAlign w:val="center"/>
          </w:tcPr>
          <w:p w14:paraId="48D14C19">
            <w:pPr>
              <w:pStyle w:val="342"/>
              <w:widowControl/>
              <w:spacing w:line="560" w:lineRule="exact"/>
              <w:ind w:firstLine="560"/>
              <w:jc w:val="center"/>
              <w:rPr>
                <w:rFonts w:eastAsia="仿宋_GB2312" w:cs="仿宋_GB2312"/>
                <w:sz w:val="28"/>
                <w:szCs w:val="28"/>
              </w:rPr>
            </w:pPr>
          </w:p>
        </w:tc>
        <w:tc>
          <w:tcPr>
            <w:tcW w:w="1007" w:type="pct"/>
            <w:vAlign w:val="center"/>
          </w:tcPr>
          <w:p w14:paraId="7442B2EB">
            <w:pPr>
              <w:pStyle w:val="342"/>
              <w:widowControl/>
              <w:spacing w:line="560" w:lineRule="exact"/>
              <w:ind w:firstLine="560"/>
              <w:jc w:val="center"/>
              <w:rPr>
                <w:rFonts w:eastAsia="仿宋_GB2312" w:cs="仿宋_GB2312"/>
                <w:sz w:val="28"/>
                <w:szCs w:val="28"/>
              </w:rPr>
            </w:pPr>
          </w:p>
        </w:tc>
        <w:tc>
          <w:tcPr>
            <w:tcW w:w="569" w:type="pct"/>
            <w:vAlign w:val="center"/>
          </w:tcPr>
          <w:p w14:paraId="1E1298AA">
            <w:pPr>
              <w:pStyle w:val="342"/>
              <w:widowControl/>
              <w:spacing w:line="560" w:lineRule="exact"/>
              <w:ind w:firstLine="560"/>
              <w:jc w:val="center"/>
              <w:rPr>
                <w:rFonts w:eastAsia="仿宋_GB2312" w:cs="仿宋_GB2312"/>
                <w:sz w:val="28"/>
                <w:szCs w:val="28"/>
              </w:rPr>
            </w:pPr>
          </w:p>
        </w:tc>
      </w:tr>
      <w:tr w14:paraId="16CFA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567" w:type="pct"/>
            <w:vAlign w:val="center"/>
          </w:tcPr>
          <w:p w14:paraId="6BE89E4B">
            <w:pPr>
              <w:pStyle w:val="342"/>
              <w:widowControl/>
              <w:spacing w:line="560" w:lineRule="exact"/>
              <w:ind w:firstLine="560"/>
              <w:jc w:val="center"/>
              <w:rPr>
                <w:rFonts w:eastAsia="仿宋_GB2312" w:cs="仿宋_GB2312"/>
                <w:sz w:val="28"/>
                <w:szCs w:val="28"/>
              </w:rPr>
            </w:pPr>
          </w:p>
        </w:tc>
        <w:tc>
          <w:tcPr>
            <w:tcW w:w="1091" w:type="pct"/>
            <w:vAlign w:val="center"/>
          </w:tcPr>
          <w:p w14:paraId="545A3456">
            <w:pPr>
              <w:pStyle w:val="268"/>
              <w:ind w:firstLine="280"/>
              <w:rPr>
                <w:rFonts w:ascii="Times New Roman" w:hAnsi="Times New Roman" w:eastAsia="仿宋_GB2312" w:cs="仿宋_GB2312"/>
                <w:sz w:val="28"/>
                <w:szCs w:val="28"/>
              </w:rPr>
            </w:pPr>
            <w:r>
              <w:rPr>
                <w:rFonts w:ascii="Times New Roman" w:hAnsi="Times New Roman" w:eastAsia="仿宋_GB2312" w:cs="仿宋_GB2312"/>
                <w:sz w:val="28"/>
                <w:szCs w:val="28"/>
                <w:lang w:bidi="ar"/>
              </w:rPr>
              <w:t>......</w:t>
            </w:r>
          </w:p>
        </w:tc>
        <w:tc>
          <w:tcPr>
            <w:tcW w:w="587" w:type="pct"/>
            <w:vAlign w:val="center"/>
          </w:tcPr>
          <w:p w14:paraId="0A8A960D">
            <w:pPr>
              <w:pStyle w:val="342"/>
              <w:widowControl/>
              <w:spacing w:line="560" w:lineRule="exact"/>
              <w:ind w:firstLine="560"/>
              <w:jc w:val="center"/>
              <w:rPr>
                <w:rFonts w:eastAsia="仿宋_GB2312" w:cs="仿宋_GB2312"/>
                <w:sz w:val="28"/>
                <w:szCs w:val="28"/>
              </w:rPr>
            </w:pPr>
          </w:p>
        </w:tc>
        <w:tc>
          <w:tcPr>
            <w:tcW w:w="1175" w:type="pct"/>
            <w:vAlign w:val="center"/>
          </w:tcPr>
          <w:p w14:paraId="74C2FDEC">
            <w:pPr>
              <w:pStyle w:val="342"/>
              <w:widowControl/>
              <w:spacing w:line="560" w:lineRule="exact"/>
              <w:ind w:firstLine="560"/>
              <w:jc w:val="center"/>
              <w:rPr>
                <w:rFonts w:eastAsia="仿宋_GB2312" w:cs="仿宋_GB2312"/>
                <w:sz w:val="28"/>
                <w:szCs w:val="28"/>
              </w:rPr>
            </w:pPr>
          </w:p>
        </w:tc>
        <w:tc>
          <w:tcPr>
            <w:tcW w:w="1007" w:type="pct"/>
            <w:vAlign w:val="center"/>
          </w:tcPr>
          <w:p w14:paraId="478C5D0E">
            <w:pPr>
              <w:pStyle w:val="342"/>
              <w:widowControl/>
              <w:spacing w:line="560" w:lineRule="exact"/>
              <w:ind w:firstLine="560"/>
              <w:jc w:val="center"/>
              <w:rPr>
                <w:rFonts w:eastAsia="仿宋_GB2312" w:cs="仿宋_GB2312"/>
                <w:sz w:val="28"/>
                <w:szCs w:val="28"/>
              </w:rPr>
            </w:pPr>
          </w:p>
        </w:tc>
        <w:tc>
          <w:tcPr>
            <w:tcW w:w="569" w:type="pct"/>
            <w:vAlign w:val="center"/>
          </w:tcPr>
          <w:p w14:paraId="503892AB">
            <w:pPr>
              <w:pStyle w:val="342"/>
              <w:widowControl/>
              <w:spacing w:line="560" w:lineRule="exact"/>
              <w:ind w:firstLine="560"/>
              <w:jc w:val="center"/>
              <w:rPr>
                <w:rFonts w:eastAsia="仿宋_GB2312" w:cs="仿宋_GB2312"/>
                <w:sz w:val="28"/>
                <w:szCs w:val="28"/>
              </w:rPr>
            </w:pPr>
          </w:p>
        </w:tc>
      </w:tr>
      <w:tr w14:paraId="5260D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567" w:type="pct"/>
            <w:vAlign w:val="center"/>
          </w:tcPr>
          <w:p w14:paraId="0C433148">
            <w:pPr>
              <w:pStyle w:val="342"/>
              <w:widowControl/>
              <w:spacing w:line="560" w:lineRule="exact"/>
              <w:ind w:firstLine="560"/>
              <w:jc w:val="center"/>
              <w:rPr>
                <w:rFonts w:eastAsia="仿宋_GB2312" w:cs="仿宋_GB2312"/>
                <w:sz w:val="28"/>
                <w:szCs w:val="28"/>
              </w:rPr>
            </w:pPr>
          </w:p>
        </w:tc>
        <w:tc>
          <w:tcPr>
            <w:tcW w:w="1091" w:type="pct"/>
            <w:vAlign w:val="center"/>
          </w:tcPr>
          <w:p w14:paraId="7B390ED1">
            <w:pPr>
              <w:pStyle w:val="268"/>
              <w:rPr>
                <w:rFonts w:ascii="Times New Roman" w:hAnsi="Times New Roman" w:eastAsia="仿宋_GB2312" w:cs="仿宋_GB2312"/>
                <w:sz w:val="28"/>
                <w:szCs w:val="28"/>
              </w:rPr>
            </w:pPr>
          </w:p>
        </w:tc>
        <w:tc>
          <w:tcPr>
            <w:tcW w:w="587" w:type="pct"/>
            <w:vAlign w:val="center"/>
          </w:tcPr>
          <w:p w14:paraId="16E58724">
            <w:pPr>
              <w:pStyle w:val="342"/>
              <w:widowControl/>
              <w:spacing w:line="560" w:lineRule="exact"/>
              <w:ind w:firstLine="560"/>
              <w:jc w:val="center"/>
              <w:rPr>
                <w:rFonts w:eastAsia="仿宋_GB2312" w:cs="仿宋_GB2312"/>
                <w:sz w:val="28"/>
                <w:szCs w:val="28"/>
              </w:rPr>
            </w:pPr>
          </w:p>
        </w:tc>
        <w:tc>
          <w:tcPr>
            <w:tcW w:w="1175" w:type="pct"/>
            <w:vAlign w:val="center"/>
          </w:tcPr>
          <w:p w14:paraId="66B9A6D1">
            <w:pPr>
              <w:pStyle w:val="342"/>
              <w:widowControl/>
              <w:spacing w:line="560" w:lineRule="exact"/>
              <w:ind w:firstLine="560"/>
              <w:jc w:val="center"/>
              <w:rPr>
                <w:rFonts w:eastAsia="仿宋_GB2312" w:cs="仿宋_GB2312"/>
                <w:sz w:val="28"/>
                <w:szCs w:val="28"/>
              </w:rPr>
            </w:pPr>
          </w:p>
        </w:tc>
        <w:tc>
          <w:tcPr>
            <w:tcW w:w="1007" w:type="pct"/>
            <w:vAlign w:val="center"/>
          </w:tcPr>
          <w:p w14:paraId="2574E444">
            <w:pPr>
              <w:pStyle w:val="342"/>
              <w:widowControl/>
              <w:spacing w:line="560" w:lineRule="exact"/>
              <w:ind w:firstLine="560"/>
              <w:jc w:val="center"/>
              <w:rPr>
                <w:rFonts w:eastAsia="仿宋_GB2312" w:cs="仿宋_GB2312"/>
                <w:sz w:val="28"/>
                <w:szCs w:val="28"/>
              </w:rPr>
            </w:pPr>
          </w:p>
        </w:tc>
        <w:tc>
          <w:tcPr>
            <w:tcW w:w="569" w:type="pct"/>
            <w:vAlign w:val="center"/>
          </w:tcPr>
          <w:p w14:paraId="67319198">
            <w:pPr>
              <w:pStyle w:val="342"/>
              <w:widowControl/>
              <w:spacing w:line="560" w:lineRule="exact"/>
              <w:ind w:firstLine="560"/>
              <w:jc w:val="center"/>
              <w:rPr>
                <w:rFonts w:eastAsia="仿宋_GB2312" w:cs="仿宋_GB2312"/>
                <w:sz w:val="28"/>
                <w:szCs w:val="28"/>
              </w:rPr>
            </w:pPr>
          </w:p>
        </w:tc>
      </w:tr>
      <w:tr w14:paraId="3416E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567" w:type="pct"/>
            <w:vAlign w:val="center"/>
          </w:tcPr>
          <w:p w14:paraId="436FE927">
            <w:pPr>
              <w:pStyle w:val="342"/>
              <w:widowControl/>
              <w:spacing w:line="560" w:lineRule="exact"/>
              <w:ind w:firstLine="560"/>
              <w:jc w:val="center"/>
              <w:rPr>
                <w:rFonts w:eastAsia="仿宋_GB2312" w:cs="仿宋_GB2312"/>
                <w:sz w:val="28"/>
                <w:szCs w:val="28"/>
              </w:rPr>
            </w:pPr>
          </w:p>
        </w:tc>
        <w:tc>
          <w:tcPr>
            <w:tcW w:w="1091" w:type="pct"/>
            <w:vAlign w:val="center"/>
          </w:tcPr>
          <w:p w14:paraId="3991D4CC">
            <w:pPr>
              <w:pStyle w:val="268"/>
              <w:rPr>
                <w:rFonts w:ascii="Times New Roman" w:hAnsi="Times New Roman" w:eastAsia="仿宋_GB2312" w:cs="仿宋_GB2312"/>
                <w:sz w:val="28"/>
                <w:szCs w:val="28"/>
              </w:rPr>
            </w:pPr>
          </w:p>
        </w:tc>
        <w:tc>
          <w:tcPr>
            <w:tcW w:w="587" w:type="pct"/>
            <w:vAlign w:val="center"/>
          </w:tcPr>
          <w:p w14:paraId="2F5B6187">
            <w:pPr>
              <w:pStyle w:val="342"/>
              <w:widowControl/>
              <w:spacing w:line="560" w:lineRule="exact"/>
              <w:ind w:firstLine="560"/>
              <w:jc w:val="center"/>
              <w:rPr>
                <w:rFonts w:eastAsia="仿宋_GB2312" w:cs="仿宋_GB2312"/>
                <w:sz w:val="28"/>
                <w:szCs w:val="28"/>
              </w:rPr>
            </w:pPr>
          </w:p>
        </w:tc>
        <w:tc>
          <w:tcPr>
            <w:tcW w:w="1175" w:type="pct"/>
            <w:vAlign w:val="center"/>
          </w:tcPr>
          <w:p w14:paraId="5B71CAE3">
            <w:pPr>
              <w:pStyle w:val="342"/>
              <w:widowControl/>
              <w:spacing w:line="560" w:lineRule="exact"/>
              <w:ind w:firstLine="560"/>
              <w:jc w:val="center"/>
              <w:rPr>
                <w:rFonts w:eastAsia="仿宋_GB2312" w:cs="仿宋_GB2312"/>
                <w:sz w:val="28"/>
                <w:szCs w:val="28"/>
              </w:rPr>
            </w:pPr>
          </w:p>
        </w:tc>
        <w:tc>
          <w:tcPr>
            <w:tcW w:w="1007" w:type="pct"/>
            <w:vAlign w:val="center"/>
          </w:tcPr>
          <w:p w14:paraId="010A3CD5">
            <w:pPr>
              <w:pStyle w:val="342"/>
              <w:widowControl/>
              <w:spacing w:line="560" w:lineRule="exact"/>
              <w:ind w:firstLine="560"/>
              <w:jc w:val="center"/>
              <w:rPr>
                <w:rFonts w:eastAsia="仿宋_GB2312" w:cs="仿宋_GB2312"/>
                <w:sz w:val="28"/>
                <w:szCs w:val="28"/>
              </w:rPr>
            </w:pPr>
          </w:p>
        </w:tc>
        <w:tc>
          <w:tcPr>
            <w:tcW w:w="569" w:type="pct"/>
            <w:vAlign w:val="center"/>
          </w:tcPr>
          <w:p w14:paraId="5B40A5A3">
            <w:pPr>
              <w:pStyle w:val="342"/>
              <w:widowControl/>
              <w:spacing w:line="560" w:lineRule="exact"/>
              <w:ind w:firstLine="560"/>
              <w:jc w:val="center"/>
              <w:rPr>
                <w:rFonts w:eastAsia="仿宋_GB2312" w:cs="仿宋_GB2312"/>
                <w:sz w:val="28"/>
                <w:szCs w:val="28"/>
              </w:rPr>
            </w:pPr>
          </w:p>
        </w:tc>
      </w:tr>
      <w:tr w14:paraId="53215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567" w:type="pct"/>
            <w:vAlign w:val="center"/>
          </w:tcPr>
          <w:p w14:paraId="4F532496">
            <w:pPr>
              <w:pStyle w:val="342"/>
              <w:widowControl/>
              <w:spacing w:line="560" w:lineRule="exact"/>
              <w:ind w:firstLine="560"/>
              <w:jc w:val="center"/>
              <w:rPr>
                <w:rFonts w:eastAsia="仿宋_GB2312" w:cs="仿宋_GB2312"/>
                <w:sz w:val="28"/>
                <w:szCs w:val="28"/>
              </w:rPr>
            </w:pPr>
          </w:p>
        </w:tc>
        <w:tc>
          <w:tcPr>
            <w:tcW w:w="1091" w:type="pct"/>
            <w:vAlign w:val="center"/>
          </w:tcPr>
          <w:p w14:paraId="58C83962">
            <w:pPr>
              <w:pStyle w:val="342"/>
              <w:widowControl/>
              <w:spacing w:line="560" w:lineRule="exact"/>
              <w:ind w:firstLine="560"/>
              <w:jc w:val="center"/>
              <w:rPr>
                <w:rFonts w:eastAsia="仿宋_GB2312" w:cs="仿宋_GB2312"/>
                <w:sz w:val="28"/>
                <w:szCs w:val="28"/>
              </w:rPr>
            </w:pPr>
          </w:p>
        </w:tc>
        <w:tc>
          <w:tcPr>
            <w:tcW w:w="587" w:type="pct"/>
            <w:vAlign w:val="center"/>
          </w:tcPr>
          <w:p w14:paraId="56292029">
            <w:pPr>
              <w:pStyle w:val="342"/>
              <w:widowControl/>
              <w:spacing w:line="560" w:lineRule="exact"/>
              <w:ind w:firstLine="560"/>
              <w:jc w:val="center"/>
              <w:rPr>
                <w:rFonts w:eastAsia="仿宋_GB2312" w:cs="仿宋_GB2312"/>
                <w:sz w:val="28"/>
                <w:szCs w:val="28"/>
              </w:rPr>
            </w:pPr>
          </w:p>
        </w:tc>
        <w:tc>
          <w:tcPr>
            <w:tcW w:w="1175" w:type="pct"/>
            <w:vAlign w:val="center"/>
          </w:tcPr>
          <w:p w14:paraId="3829AFC0">
            <w:pPr>
              <w:pStyle w:val="342"/>
              <w:widowControl/>
              <w:spacing w:line="560" w:lineRule="exact"/>
              <w:ind w:firstLine="560"/>
              <w:jc w:val="center"/>
              <w:rPr>
                <w:rFonts w:eastAsia="仿宋_GB2312" w:cs="仿宋_GB2312"/>
                <w:sz w:val="28"/>
                <w:szCs w:val="28"/>
              </w:rPr>
            </w:pPr>
          </w:p>
        </w:tc>
        <w:tc>
          <w:tcPr>
            <w:tcW w:w="1007" w:type="pct"/>
            <w:vAlign w:val="center"/>
          </w:tcPr>
          <w:p w14:paraId="70650249">
            <w:pPr>
              <w:pStyle w:val="342"/>
              <w:widowControl/>
              <w:spacing w:line="560" w:lineRule="exact"/>
              <w:ind w:firstLine="560"/>
              <w:jc w:val="center"/>
              <w:rPr>
                <w:rFonts w:eastAsia="仿宋_GB2312" w:cs="仿宋_GB2312"/>
                <w:sz w:val="28"/>
                <w:szCs w:val="28"/>
              </w:rPr>
            </w:pPr>
          </w:p>
        </w:tc>
        <w:tc>
          <w:tcPr>
            <w:tcW w:w="569" w:type="pct"/>
            <w:vAlign w:val="center"/>
          </w:tcPr>
          <w:p w14:paraId="7A8CE8CF">
            <w:pPr>
              <w:pStyle w:val="342"/>
              <w:widowControl/>
              <w:spacing w:line="560" w:lineRule="exact"/>
              <w:ind w:firstLine="560"/>
              <w:jc w:val="center"/>
              <w:rPr>
                <w:rFonts w:eastAsia="仿宋_GB2312" w:cs="仿宋_GB2312"/>
                <w:sz w:val="28"/>
                <w:szCs w:val="28"/>
              </w:rPr>
            </w:pPr>
          </w:p>
        </w:tc>
      </w:tr>
      <w:tr w14:paraId="6504D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567" w:type="pct"/>
            <w:vAlign w:val="center"/>
          </w:tcPr>
          <w:p w14:paraId="517C035C">
            <w:pPr>
              <w:pStyle w:val="342"/>
              <w:widowControl/>
              <w:spacing w:line="560" w:lineRule="exact"/>
              <w:ind w:firstLine="560"/>
              <w:jc w:val="center"/>
              <w:rPr>
                <w:rFonts w:eastAsia="仿宋_GB2312" w:cs="仿宋_GB2312"/>
                <w:sz w:val="28"/>
                <w:szCs w:val="28"/>
              </w:rPr>
            </w:pPr>
          </w:p>
        </w:tc>
        <w:tc>
          <w:tcPr>
            <w:tcW w:w="1091" w:type="pct"/>
            <w:vAlign w:val="center"/>
          </w:tcPr>
          <w:p w14:paraId="6779A597">
            <w:pPr>
              <w:pStyle w:val="342"/>
              <w:widowControl/>
              <w:spacing w:line="560" w:lineRule="exact"/>
              <w:ind w:firstLine="560"/>
              <w:jc w:val="center"/>
              <w:rPr>
                <w:rFonts w:eastAsia="仿宋_GB2312" w:cs="仿宋_GB2312"/>
                <w:sz w:val="28"/>
                <w:szCs w:val="28"/>
              </w:rPr>
            </w:pPr>
          </w:p>
        </w:tc>
        <w:tc>
          <w:tcPr>
            <w:tcW w:w="587" w:type="pct"/>
            <w:vAlign w:val="center"/>
          </w:tcPr>
          <w:p w14:paraId="75654357">
            <w:pPr>
              <w:pStyle w:val="342"/>
              <w:widowControl/>
              <w:spacing w:line="560" w:lineRule="exact"/>
              <w:ind w:firstLine="560"/>
              <w:jc w:val="center"/>
              <w:rPr>
                <w:rFonts w:eastAsia="仿宋_GB2312" w:cs="仿宋_GB2312"/>
                <w:sz w:val="28"/>
                <w:szCs w:val="28"/>
              </w:rPr>
            </w:pPr>
          </w:p>
        </w:tc>
        <w:tc>
          <w:tcPr>
            <w:tcW w:w="1175" w:type="pct"/>
            <w:vAlign w:val="center"/>
          </w:tcPr>
          <w:p w14:paraId="77FCDB91">
            <w:pPr>
              <w:pStyle w:val="342"/>
              <w:widowControl/>
              <w:spacing w:line="560" w:lineRule="exact"/>
              <w:ind w:firstLine="560"/>
              <w:jc w:val="center"/>
              <w:rPr>
                <w:rFonts w:eastAsia="仿宋_GB2312" w:cs="仿宋_GB2312"/>
                <w:sz w:val="28"/>
                <w:szCs w:val="28"/>
              </w:rPr>
            </w:pPr>
          </w:p>
        </w:tc>
        <w:tc>
          <w:tcPr>
            <w:tcW w:w="1007" w:type="pct"/>
            <w:vAlign w:val="center"/>
          </w:tcPr>
          <w:p w14:paraId="2089DE64">
            <w:pPr>
              <w:pStyle w:val="342"/>
              <w:widowControl/>
              <w:spacing w:line="560" w:lineRule="exact"/>
              <w:ind w:firstLine="560"/>
              <w:jc w:val="center"/>
              <w:rPr>
                <w:rFonts w:eastAsia="仿宋_GB2312" w:cs="仿宋_GB2312"/>
                <w:sz w:val="28"/>
                <w:szCs w:val="28"/>
              </w:rPr>
            </w:pPr>
          </w:p>
        </w:tc>
        <w:tc>
          <w:tcPr>
            <w:tcW w:w="569" w:type="pct"/>
            <w:vAlign w:val="center"/>
          </w:tcPr>
          <w:p w14:paraId="3BBF677D">
            <w:pPr>
              <w:pStyle w:val="342"/>
              <w:widowControl/>
              <w:spacing w:line="560" w:lineRule="exact"/>
              <w:ind w:firstLine="560"/>
              <w:jc w:val="center"/>
              <w:rPr>
                <w:rFonts w:eastAsia="仿宋_GB2312" w:cs="仿宋_GB2312"/>
                <w:sz w:val="28"/>
                <w:szCs w:val="28"/>
              </w:rPr>
            </w:pPr>
          </w:p>
        </w:tc>
      </w:tr>
      <w:tr w14:paraId="69116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567" w:type="pct"/>
            <w:vAlign w:val="center"/>
          </w:tcPr>
          <w:p w14:paraId="0D987F8C">
            <w:pPr>
              <w:pStyle w:val="342"/>
              <w:widowControl/>
              <w:spacing w:line="560" w:lineRule="exact"/>
              <w:ind w:firstLine="560"/>
              <w:jc w:val="center"/>
              <w:rPr>
                <w:rFonts w:eastAsia="仿宋_GB2312" w:cs="仿宋_GB2312"/>
                <w:sz w:val="28"/>
                <w:szCs w:val="28"/>
              </w:rPr>
            </w:pPr>
          </w:p>
        </w:tc>
        <w:tc>
          <w:tcPr>
            <w:tcW w:w="1091" w:type="pct"/>
            <w:vAlign w:val="center"/>
          </w:tcPr>
          <w:p w14:paraId="49F637E1">
            <w:pPr>
              <w:pStyle w:val="342"/>
              <w:widowControl/>
              <w:spacing w:line="560" w:lineRule="exact"/>
              <w:ind w:firstLine="560"/>
              <w:jc w:val="center"/>
              <w:rPr>
                <w:rFonts w:eastAsia="仿宋_GB2312" w:cs="仿宋_GB2312"/>
                <w:sz w:val="28"/>
                <w:szCs w:val="28"/>
              </w:rPr>
            </w:pPr>
          </w:p>
        </w:tc>
        <w:tc>
          <w:tcPr>
            <w:tcW w:w="587" w:type="pct"/>
            <w:vAlign w:val="center"/>
          </w:tcPr>
          <w:p w14:paraId="161504D9">
            <w:pPr>
              <w:pStyle w:val="342"/>
              <w:widowControl/>
              <w:spacing w:line="560" w:lineRule="exact"/>
              <w:ind w:firstLine="560"/>
              <w:jc w:val="center"/>
              <w:rPr>
                <w:rFonts w:eastAsia="仿宋_GB2312" w:cs="仿宋_GB2312"/>
                <w:sz w:val="28"/>
                <w:szCs w:val="28"/>
              </w:rPr>
            </w:pPr>
          </w:p>
        </w:tc>
        <w:tc>
          <w:tcPr>
            <w:tcW w:w="1175" w:type="pct"/>
            <w:vAlign w:val="center"/>
          </w:tcPr>
          <w:p w14:paraId="0791C6BF">
            <w:pPr>
              <w:pStyle w:val="342"/>
              <w:widowControl/>
              <w:spacing w:line="560" w:lineRule="exact"/>
              <w:ind w:firstLine="560"/>
              <w:jc w:val="center"/>
              <w:rPr>
                <w:rFonts w:eastAsia="仿宋_GB2312" w:cs="仿宋_GB2312"/>
                <w:sz w:val="28"/>
                <w:szCs w:val="28"/>
              </w:rPr>
            </w:pPr>
          </w:p>
        </w:tc>
        <w:tc>
          <w:tcPr>
            <w:tcW w:w="1007" w:type="pct"/>
            <w:vAlign w:val="center"/>
          </w:tcPr>
          <w:p w14:paraId="3F5806C9">
            <w:pPr>
              <w:pStyle w:val="342"/>
              <w:widowControl/>
              <w:spacing w:line="560" w:lineRule="exact"/>
              <w:ind w:firstLine="560"/>
              <w:jc w:val="center"/>
              <w:rPr>
                <w:rFonts w:eastAsia="仿宋_GB2312" w:cs="仿宋_GB2312"/>
                <w:sz w:val="28"/>
                <w:szCs w:val="28"/>
              </w:rPr>
            </w:pPr>
          </w:p>
        </w:tc>
        <w:tc>
          <w:tcPr>
            <w:tcW w:w="569" w:type="pct"/>
            <w:vAlign w:val="center"/>
          </w:tcPr>
          <w:p w14:paraId="73A1B905">
            <w:pPr>
              <w:pStyle w:val="342"/>
              <w:widowControl/>
              <w:spacing w:line="560" w:lineRule="exact"/>
              <w:ind w:firstLine="560"/>
              <w:jc w:val="center"/>
              <w:rPr>
                <w:rFonts w:eastAsia="仿宋_GB2312" w:cs="仿宋_GB2312"/>
                <w:sz w:val="28"/>
                <w:szCs w:val="28"/>
              </w:rPr>
            </w:pPr>
          </w:p>
        </w:tc>
      </w:tr>
      <w:tr w14:paraId="7A428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567" w:type="pct"/>
            <w:vAlign w:val="center"/>
          </w:tcPr>
          <w:p w14:paraId="233BD3C5">
            <w:pPr>
              <w:pStyle w:val="342"/>
              <w:widowControl/>
              <w:spacing w:line="560" w:lineRule="exact"/>
              <w:ind w:firstLine="560"/>
              <w:jc w:val="center"/>
              <w:rPr>
                <w:rFonts w:eastAsia="仿宋_GB2312" w:cs="仿宋_GB2312"/>
                <w:sz w:val="28"/>
                <w:szCs w:val="28"/>
              </w:rPr>
            </w:pPr>
          </w:p>
        </w:tc>
        <w:tc>
          <w:tcPr>
            <w:tcW w:w="1091" w:type="pct"/>
            <w:vAlign w:val="center"/>
          </w:tcPr>
          <w:p w14:paraId="422198B2">
            <w:pPr>
              <w:pStyle w:val="342"/>
              <w:widowControl/>
              <w:spacing w:line="560" w:lineRule="exact"/>
              <w:ind w:firstLine="560"/>
              <w:jc w:val="center"/>
              <w:rPr>
                <w:rFonts w:eastAsia="仿宋_GB2312" w:cs="仿宋_GB2312"/>
                <w:sz w:val="28"/>
                <w:szCs w:val="28"/>
              </w:rPr>
            </w:pPr>
          </w:p>
        </w:tc>
        <w:tc>
          <w:tcPr>
            <w:tcW w:w="587" w:type="pct"/>
            <w:vAlign w:val="center"/>
          </w:tcPr>
          <w:p w14:paraId="6CD74C8D">
            <w:pPr>
              <w:pStyle w:val="342"/>
              <w:widowControl/>
              <w:spacing w:line="560" w:lineRule="exact"/>
              <w:ind w:firstLine="560"/>
              <w:jc w:val="center"/>
              <w:rPr>
                <w:rFonts w:eastAsia="仿宋_GB2312" w:cs="仿宋_GB2312"/>
                <w:sz w:val="28"/>
                <w:szCs w:val="28"/>
              </w:rPr>
            </w:pPr>
          </w:p>
        </w:tc>
        <w:tc>
          <w:tcPr>
            <w:tcW w:w="1175" w:type="pct"/>
            <w:vAlign w:val="center"/>
          </w:tcPr>
          <w:p w14:paraId="1B33A87D">
            <w:pPr>
              <w:pStyle w:val="342"/>
              <w:widowControl/>
              <w:spacing w:line="560" w:lineRule="exact"/>
              <w:ind w:firstLine="560"/>
              <w:jc w:val="center"/>
              <w:rPr>
                <w:rFonts w:eastAsia="仿宋_GB2312" w:cs="仿宋_GB2312"/>
                <w:sz w:val="28"/>
                <w:szCs w:val="28"/>
              </w:rPr>
            </w:pPr>
          </w:p>
        </w:tc>
        <w:tc>
          <w:tcPr>
            <w:tcW w:w="1007" w:type="pct"/>
            <w:vAlign w:val="center"/>
          </w:tcPr>
          <w:p w14:paraId="080038E9">
            <w:pPr>
              <w:pStyle w:val="342"/>
              <w:widowControl/>
              <w:spacing w:line="560" w:lineRule="exact"/>
              <w:ind w:firstLine="560"/>
              <w:jc w:val="center"/>
              <w:rPr>
                <w:rFonts w:eastAsia="仿宋_GB2312" w:cs="仿宋_GB2312"/>
                <w:sz w:val="28"/>
                <w:szCs w:val="28"/>
              </w:rPr>
            </w:pPr>
          </w:p>
        </w:tc>
        <w:tc>
          <w:tcPr>
            <w:tcW w:w="569" w:type="pct"/>
            <w:vAlign w:val="center"/>
          </w:tcPr>
          <w:p w14:paraId="1C48163B">
            <w:pPr>
              <w:pStyle w:val="342"/>
              <w:widowControl/>
              <w:spacing w:line="560" w:lineRule="exact"/>
              <w:ind w:firstLine="560"/>
              <w:jc w:val="center"/>
              <w:rPr>
                <w:rFonts w:eastAsia="仿宋_GB2312" w:cs="仿宋_GB2312"/>
                <w:sz w:val="28"/>
                <w:szCs w:val="28"/>
              </w:rPr>
            </w:pPr>
          </w:p>
        </w:tc>
      </w:tr>
      <w:tr w14:paraId="4F109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567" w:type="pct"/>
            <w:vAlign w:val="center"/>
          </w:tcPr>
          <w:p w14:paraId="162EC2F3">
            <w:pPr>
              <w:pStyle w:val="342"/>
              <w:widowControl/>
              <w:spacing w:line="560" w:lineRule="exact"/>
              <w:ind w:firstLine="560"/>
              <w:jc w:val="center"/>
              <w:rPr>
                <w:rFonts w:eastAsia="仿宋_GB2312" w:cs="仿宋_GB2312"/>
                <w:sz w:val="28"/>
                <w:szCs w:val="28"/>
              </w:rPr>
            </w:pPr>
          </w:p>
        </w:tc>
        <w:tc>
          <w:tcPr>
            <w:tcW w:w="1091" w:type="pct"/>
            <w:vAlign w:val="center"/>
          </w:tcPr>
          <w:p w14:paraId="26F80E2F">
            <w:pPr>
              <w:pStyle w:val="342"/>
              <w:widowControl/>
              <w:spacing w:line="560" w:lineRule="exact"/>
              <w:ind w:firstLine="560"/>
              <w:jc w:val="center"/>
              <w:rPr>
                <w:rFonts w:eastAsia="仿宋_GB2312" w:cs="仿宋_GB2312"/>
                <w:sz w:val="28"/>
                <w:szCs w:val="28"/>
              </w:rPr>
            </w:pPr>
          </w:p>
        </w:tc>
        <w:tc>
          <w:tcPr>
            <w:tcW w:w="587" w:type="pct"/>
            <w:vAlign w:val="center"/>
          </w:tcPr>
          <w:p w14:paraId="48D21046">
            <w:pPr>
              <w:pStyle w:val="342"/>
              <w:widowControl/>
              <w:spacing w:line="560" w:lineRule="exact"/>
              <w:ind w:firstLine="560"/>
              <w:jc w:val="center"/>
              <w:rPr>
                <w:rFonts w:eastAsia="仿宋_GB2312" w:cs="仿宋_GB2312"/>
                <w:sz w:val="28"/>
                <w:szCs w:val="28"/>
              </w:rPr>
            </w:pPr>
          </w:p>
        </w:tc>
        <w:tc>
          <w:tcPr>
            <w:tcW w:w="1175" w:type="pct"/>
            <w:vAlign w:val="center"/>
          </w:tcPr>
          <w:p w14:paraId="68135473">
            <w:pPr>
              <w:pStyle w:val="342"/>
              <w:widowControl/>
              <w:spacing w:line="560" w:lineRule="exact"/>
              <w:ind w:firstLine="560"/>
              <w:jc w:val="center"/>
              <w:rPr>
                <w:rFonts w:eastAsia="仿宋_GB2312" w:cs="仿宋_GB2312"/>
                <w:sz w:val="28"/>
                <w:szCs w:val="28"/>
              </w:rPr>
            </w:pPr>
          </w:p>
        </w:tc>
        <w:tc>
          <w:tcPr>
            <w:tcW w:w="1007" w:type="pct"/>
            <w:vAlign w:val="center"/>
          </w:tcPr>
          <w:p w14:paraId="1743F4B7">
            <w:pPr>
              <w:pStyle w:val="342"/>
              <w:widowControl/>
              <w:spacing w:line="560" w:lineRule="exact"/>
              <w:ind w:firstLine="560"/>
              <w:jc w:val="center"/>
              <w:rPr>
                <w:rFonts w:eastAsia="仿宋_GB2312" w:cs="仿宋_GB2312"/>
                <w:sz w:val="28"/>
                <w:szCs w:val="28"/>
              </w:rPr>
            </w:pPr>
          </w:p>
        </w:tc>
        <w:tc>
          <w:tcPr>
            <w:tcW w:w="569" w:type="pct"/>
            <w:vAlign w:val="center"/>
          </w:tcPr>
          <w:p w14:paraId="6CA3D5F4">
            <w:pPr>
              <w:pStyle w:val="342"/>
              <w:widowControl/>
              <w:spacing w:line="560" w:lineRule="exact"/>
              <w:ind w:firstLine="560"/>
              <w:jc w:val="center"/>
              <w:rPr>
                <w:rFonts w:eastAsia="仿宋_GB2312" w:cs="仿宋_GB2312"/>
                <w:sz w:val="28"/>
                <w:szCs w:val="28"/>
              </w:rPr>
            </w:pPr>
          </w:p>
        </w:tc>
      </w:tr>
    </w:tbl>
    <w:p w14:paraId="37628557">
      <w:pPr>
        <w:pStyle w:val="268"/>
        <w:spacing w:line="460" w:lineRule="exact"/>
        <w:ind w:firstLine="398"/>
        <w:rPr>
          <w:rFonts w:ascii="Times New Roman" w:hAnsi="Times New Roman" w:eastAsia="仿宋_GB2312" w:cs="仿宋_GB2312"/>
        </w:rPr>
      </w:pPr>
      <w:r>
        <w:rPr>
          <w:rFonts w:ascii="Times New Roman" w:hAnsi="Times New Roman" w:eastAsia="仿宋_GB2312" w:cs="仿宋_GB2312"/>
          <w:b/>
          <w:lang w:bidi="ar"/>
        </w:rPr>
        <w:t>注：如供应商中标，项目组成员必须按本表承诺人员操作，不得随意更换。按投标文件要求附相关人员证书。</w:t>
      </w:r>
    </w:p>
    <w:p w14:paraId="3018FEF7">
      <w:pPr>
        <w:pStyle w:val="268"/>
        <w:spacing w:line="500" w:lineRule="exact"/>
        <w:ind w:firstLine="280"/>
        <w:rPr>
          <w:rFonts w:ascii="Times New Roman" w:hAnsi="Times New Roman" w:eastAsia="仿宋_GB2312" w:cs="仿宋_GB2312"/>
        </w:rPr>
      </w:pPr>
    </w:p>
    <w:p w14:paraId="3EB30755">
      <w:pPr>
        <w:pStyle w:val="343"/>
        <w:spacing w:line="500" w:lineRule="exact"/>
      </w:pPr>
      <w:r>
        <w:rPr/>
        <w:br w:type="page" w:clear="all"/>
      </w:r>
      <w:bookmarkStart w:id="490" w:name="_Toc11176"/>
      <w:r>
        <w:rPr>
          <w:rFonts w:hint="eastAsia" w:ascii="Times New Roman" w:hAnsi="Times New Roman" w:eastAsia="宋体" w:cs="Times New Roman"/>
          <w:b/>
          <w:bCs/>
          <w:sz w:val="32"/>
          <w:szCs w:val="32"/>
          <w:lang w:val="en-US" w:eastAsia="zh-CN" w:bidi="ar-SA"/>
        </w:rPr>
        <w:t>十、</w:t>
      </w:r>
      <w:bookmarkEnd w:id="490"/>
      <w:r>
        <w:rPr>
          <w:rFonts w:hint="eastAsia" w:ascii="Times New Roman" w:hAnsi="Times New Roman" w:eastAsia="宋体" w:cs="Times New Roman"/>
          <w:b/>
          <w:bCs/>
          <w:sz w:val="32"/>
          <w:szCs w:val="32"/>
          <w:lang w:val="en-US" w:eastAsia="zh-CN" w:bidi="ar-SA"/>
        </w:rPr>
        <w:t>企业业绩</w:t>
      </w:r>
    </w:p>
    <w:p w14:paraId="1778CCE8">
      <w:pPr>
        <w:pStyle w:val="344"/>
        <w:jc w:val="center"/>
        <w:rPr>
          <w:rFonts w:ascii="Times New Roman" w:hAnsi="Times New Roman"/>
          <w:b/>
          <w:sz w:val="32"/>
          <w:szCs w:val="32"/>
        </w:rPr>
      </w:pPr>
      <w:r>
        <w:rPr>
          <w:rFonts w:hint="eastAsia" w:ascii="Times New Roman" w:hAnsi="Times New Roman"/>
          <w:b/>
          <w:sz w:val="32"/>
          <w:szCs w:val="32"/>
        </w:rPr>
        <w:t>投标人承担类似项目业绩一览表</w:t>
      </w:r>
    </w:p>
    <w:tbl>
      <w:tblPr>
        <w:tblStyle w:val="33"/>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08"/>
        <w:gridCol w:w="4082"/>
        <w:gridCol w:w="2596"/>
        <w:gridCol w:w="1488"/>
      </w:tblGrid>
      <w:tr w14:paraId="3C8DA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jc w:val="center"/>
        </w:trPr>
        <w:tc>
          <w:tcPr>
            <w:tcW w:w="690" w:type="pct"/>
            <w:vAlign w:val="top"/>
          </w:tcPr>
          <w:p w14:paraId="275214E5">
            <w:pPr>
              <w:pStyle w:val="345"/>
              <w:spacing w:line="560" w:lineRule="exact"/>
              <w:jc w:val="center"/>
              <w:rPr>
                <w:rFonts w:eastAsia="仿宋_GB2312"/>
                <w:sz w:val="28"/>
                <w:szCs w:val="28"/>
              </w:rPr>
            </w:pPr>
            <w:r>
              <w:rPr>
                <w:rFonts w:hint="eastAsia" w:eastAsia="仿宋_GB2312"/>
                <w:sz w:val="28"/>
                <w:szCs w:val="28"/>
              </w:rPr>
              <w:t>序号</w:t>
            </w:r>
          </w:p>
        </w:tc>
        <w:tc>
          <w:tcPr>
            <w:tcW w:w="2153" w:type="pct"/>
            <w:vAlign w:val="center"/>
          </w:tcPr>
          <w:p w14:paraId="011ED456">
            <w:pPr>
              <w:pStyle w:val="345"/>
              <w:spacing w:line="560" w:lineRule="exact"/>
              <w:jc w:val="center"/>
              <w:rPr>
                <w:rFonts w:eastAsia="仿宋_GB2312"/>
                <w:sz w:val="28"/>
                <w:szCs w:val="28"/>
              </w:rPr>
            </w:pPr>
            <w:r>
              <w:rPr>
                <w:rFonts w:hint="eastAsia" w:eastAsia="仿宋_GB2312"/>
                <w:sz w:val="28"/>
                <w:szCs w:val="28"/>
              </w:rPr>
              <w:t>项目名称</w:t>
            </w:r>
          </w:p>
        </w:tc>
        <w:tc>
          <w:tcPr>
            <w:tcW w:w="1369" w:type="pct"/>
            <w:vAlign w:val="center"/>
          </w:tcPr>
          <w:p w14:paraId="4852CB0D">
            <w:pPr>
              <w:pStyle w:val="345"/>
              <w:spacing w:line="560" w:lineRule="exact"/>
              <w:jc w:val="center"/>
              <w:rPr>
                <w:rFonts w:eastAsia="仿宋_GB2312"/>
                <w:sz w:val="28"/>
                <w:szCs w:val="28"/>
              </w:rPr>
            </w:pPr>
            <w:r>
              <w:rPr>
                <w:rFonts w:hint="eastAsia" w:eastAsia="仿宋_GB2312"/>
                <w:sz w:val="28"/>
                <w:szCs w:val="28"/>
              </w:rPr>
              <w:t>采购单位</w:t>
            </w:r>
          </w:p>
        </w:tc>
        <w:tc>
          <w:tcPr>
            <w:tcW w:w="785" w:type="pct"/>
            <w:vAlign w:val="center"/>
          </w:tcPr>
          <w:p w14:paraId="44BFEA00">
            <w:pPr>
              <w:pStyle w:val="345"/>
              <w:spacing w:line="560" w:lineRule="exact"/>
              <w:jc w:val="center"/>
              <w:rPr>
                <w:rFonts w:eastAsia="仿宋_GB2312"/>
                <w:sz w:val="28"/>
                <w:szCs w:val="28"/>
              </w:rPr>
            </w:pPr>
            <w:r>
              <w:rPr>
                <w:rFonts w:hint="eastAsia" w:eastAsia="仿宋_GB2312"/>
                <w:sz w:val="28"/>
                <w:szCs w:val="28"/>
              </w:rPr>
              <w:t>合同金额</w:t>
            </w:r>
          </w:p>
        </w:tc>
      </w:tr>
      <w:tr w14:paraId="04ADB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0" w:hRule="atLeast"/>
          <w:jc w:val="center"/>
        </w:trPr>
        <w:tc>
          <w:tcPr>
            <w:tcW w:w="690" w:type="pct"/>
            <w:vAlign w:val="top"/>
          </w:tcPr>
          <w:p w14:paraId="1525F0D1">
            <w:pPr>
              <w:pStyle w:val="345"/>
              <w:spacing w:line="560" w:lineRule="exact"/>
              <w:jc w:val="center"/>
              <w:rPr>
                <w:rFonts w:eastAsia="仿宋_GB2312"/>
                <w:sz w:val="28"/>
              </w:rPr>
            </w:pPr>
          </w:p>
        </w:tc>
        <w:tc>
          <w:tcPr>
            <w:tcW w:w="2153" w:type="pct"/>
            <w:vAlign w:val="center"/>
          </w:tcPr>
          <w:p w14:paraId="7AFC5E3E">
            <w:pPr>
              <w:pStyle w:val="345"/>
              <w:spacing w:line="560" w:lineRule="exact"/>
              <w:jc w:val="center"/>
              <w:rPr>
                <w:rFonts w:eastAsia="仿宋_GB2312"/>
                <w:sz w:val="28"/>
              </w:rPr>
            </w:pPr>
          </w:p>
        </w:tc>
        <w:tc>
          <w:tcPr>
            <w:tcW w:w="1369" w:type="pct"/>
            <w:vAlign w:val="center"/>
          </w:tcPr>
          <w:p w14:paraId="58B5BCC6">
            <w:pPr>
              <w:pStyle w:val="345"/>
              <w:spacing w:line="560" w:lineRule="exact"/>
              <w:jc w:val="center"/>
              <w:rPr>
                <w:rFonts w:eastAsia="仿宋_GB2312"/>
                <w:sz w:val="28"/>
              </w:rPr>
            </w:pPr>
          </w:p>
        </w:tc>
        <w:tc>
          <w:tcPr>
            <w:tcW w:w="785" w:type="pct"/>
            <w:vAlign w:val="center"/>
          </w:tcPr>
          <w:p w14:paraId="268EE8B4">
            <w:pPr>
              <w:pStyle w:val="345"/>
              <w:spacing w:line="560" w:lineRule="exact"/>
              <w:jc w:val="center"/>
              <w:rPr>
                <w:rFonts w:eastAsia="仿宋_GB2312"/>
                <w:sz w:val="28"/>
              </w:rPr>
            </w:pPr>
          </w:p>
        </w:tc>
      </w:tr>
      <w:tr w14:paraId="6FAC2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0" w:hRule="atLeast"/>
          <w:jc w:val="center"/>
        </w:trPr>
        <w:tc>
          <w:tcPr>
            <w:tcW w:w="690" w:type="pct"/>
            <w:vAlign w:val="top"/>
          </w:tcPr>
          <w:p w14:paraId="627A9323">
            <w:pPr>
              <w:pStyle w:val="345"/>
              <w:spacing w:line="560" w:lineRule="exact"/>
              <w:jc w:val="center"/>
              <w:rPr>
                <w:rFonts w:eastAsia="仿宋_GB2312"/>
                <w:sz w:val="28"/>
              </w:rPr>
            </w:pPr>
          </w:p>
        </w:tc>
        <w:tc>
          <w:tcPr>
            <w:tcW w:w="2153" w:type="pct"/>
            <w:vAlign w:val="center"/>
          </w:tcPr>
          <w:p w14:paraId="5B4813D2">
            <w:pPr>
              <w:pStyle w:val="345"/>
              <w:spacing w:line="560" w:lineRule="exact"/>
              <w:jc w:val="center"/>
              <w:rPr>
                <w:rFonts w:eastAsia="仿宋_GB2312"/>
                <w:sz w:val="28"/>
              </w:rPr>
            </w:pPr>
          </w:p>
        </w:tc>
        <w:tc>
          <w:tcPr>
            <w:tcW w:w="1369" w:type="pct"/>
            <w:vAlign w:val="center"/>
          </w:tcPr>
          <w:p w14:paraId="4D359129">
            <w:pPr>
              <w:pStyle w:val="345"/>
              <w:spacing w:line="560" w:lineRule="exact"/>
              <w:jc w:val="center"/>
              <w:rPr>
                <w:rFonts w:eastAsia="仿宋_GB2312"/>
                <w:sz w:val="28"/>
              </w:rPr>
            </w:pPr>
          </w:p>
        </w:tc>
        <w:tc>
          <w:tcPr>
            <w:tcW w:w="785" w:type="pct"/>
            <w:vAlign w:val="center"/>
          </w:tcPr>
          <w:p w14:paraId="755B7354">
            <w:pPr>
              <w:pStyle w:val="345"/>
              <w:spacing w:line="560" w:lineRule="exact"/>
              <w:jc w:val="center"/>
              <w:rPr>
                <w:rFonts w:eastAsia="仿宋_GB2312"/>
                <w:sz w:val="28"/>
              </w:rPr>
            </w:pPr>
          </w:p>
        </w:tc>
      </w:tr>
      <w:tr w14:paraId="3AD2C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0" w:hRule="atLeast"/>
          <w:jc w:val="center"/>
        </w:trPr>
        <w:tc>
          <w:tcPr>
            <w:tcW w:w="690" w:type="pct"/>
            <w:vAlign w:val="top"/>
          </w:tcPr>
          <w:p w14:paraId="22C8F928">
            <w:pPr>
              <w:pStyle w:val="345"/>
              <w:spacing w:line="560" w:lineRule="exact"/>
              <w:jc w:val="center"/>
              <w:rPr>
                <w:rFonts w:eastAsia="仿宋_GB2312"/>
                <w:sz w:val="28"/>
              </w:rPr>
            </w:pPr>
          </w:p>
        </w:tc>
        <w:tc>
          <w:tcPr>
            <w:tcW w:w="2153" w:type="pct"/>
            <w:vAlign w:val="center"/>
          </w:tcPr>
          <w:p w14:paraId="66FB16D4">
            <w:pPr>
              <w:pStyle w:val="345"/>
              <w:spacing w:line="560" w:lineRule="exact"/>
              <w:jc w:val="center"/>
              <w:rPr>
                <w:rFonts w:eastAsia="仿宋_GB2312"/>
                <w:sz w:val="28"/>
              </w:rPr>
            </w:pPr>
          </w:p>
        </w:tc>
        <w:tc>
          <w:tcPr>
            <w:tcW w:w="1369" w:type="pct"/>
            <w:vAlign w:val="center"/>
          </w:tcPr>
          <w:p w14:paraId="4D704467">
            <w:pPr>
              <w:pStyle w:val="345"/>
              <w:spacing w:line="560" w:lineRule="exact"/>
              <w:jc w:val="center"/>
              <w:rPr>
                <w:rFonts w:eastAsia="仿宋_GB2312"/>
                <w:sz w:val="28"/>
              </w:rPr>
            </w:pPr>
          </w:p>
        </w:tc>
        <w:tc>
          <w:tcPr>
            <w:tcW w:w="785" w:type="pct"/>
            <w:vAlign w:val="center"/>
          </w:tcPr>
          <w:p w14:paraId="04C0D552">
            <w:pPr>
              <w:pStyle w:val="345"/>
              <w:spacing w:line="560" w:lineRule="exact"/>
              <w:jc w:val="center"/>
              <w:rPr>
                <w:rFonts w:eastAsia="仿宋_GB2312"/>
                <w:sz w:val="28"/>
              </w:rPr>
            </w:pPr>
          </w:p>
        </w:tc>
      </w:tr>
      <w:tr w14:paraId="0FCAD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5" w:hRule="atLeast"/>
          <w:jc w:val="center"/>
        </w:trPr>
        <w:tc>
          <w:tcPr>
            <w:tcW w:w="690" w:type="pct"/>
            <w:vAlign w:val="top"/>
          </w:tcPr>
          <w:p w14:paraId="57D0EE97">
            <w:pPr>
              <w:pStyle w:val="345"/>
              <w:spacing w:line="560" w:lineRule="exact"/>
              <w:jc w:val="center"/>
              <w:rPr>
                <w:rFonts w:eastAsia="仿宋_GB2312"/>
                <w:sz w:val="28"/>
              </w:rPr>
            </w:pPr>
          </w:p>
        </w:tc>
        <w:tc>
          <w:tcPr>
            <w:tcW w:w="2153" w:type="pct"/>
            <w:vAlign w:val="center"/>
          </w:tcPr>
          <w:p w14:paraId="2F8B80CC">
            <w:pPr>
              <w:pStyle w:val="345"/>
              <w:spacing w:line="560" w:lineRule="exact"/>
              <w:jc w:val="center"/>
              <w:rPr>
                <w:rFonts w:eastAsia="仿宋_GB2312"/>
                <w:sz w:val="28"/>
              </w:rPr>
            </w:pPr>
          </w:p>
        </w:tc>
        <w:tc>
          <w:tcPr>
            <w:tcW w:w="1369" w:type="pct"/>
            <w:vAlign w:val="center"/>
          </w:tcPr>
          <w:p w14:paraId="05AC0030">
            <w:pPr>
              <w:pStyle w:val="345"/>
              <w:spacing w:line="560" w:lineRule="exact"/>
              <w:jc w:val="center"/>
              <w:rPr>
                <w:rFonts w:eastAsia="仿宋_GB2312"/>
                <w:sz w:val="28"/>
              </w:rPr>
            </w:pPr>
          </w:p>
        </w:tc>
        <w:tc>
          <w:tcPr>
            <w:tcW w:w="785" w:type="pct"/>
            <w:vAlign w:val="center"/>
          </w:tcPr>
          <w:p w14:paraId="410BA490">
            <w:pPr>
              <w:pStyle w:val="345"/>
              <w:spacing w:line="560" w:lineRule="exact"/>
              <w:jc w:val="center"/>
              <w:rPr>
                <w:rFonts w:eastAsia="仿宋_GB2312"/>
                <w:sz w:val="28"/>
              </w:rPr>
            </w:pPr>
          </w:p>
        </w:tc>
      </w:tr>
    </w:tbl>
    <w:p w14:paraId="044D9B01">
      <w:pPr>
        <w:pStyle w:val="344"/>
        <w:rPr>
          <w:rFonts w:ascii="Times New Roman" w:hAnsi="Times New Roman"/>
        </w:rPr>
      </w:pPr>
      <w:r>
        <w:rPr>
          <w:rFonts w:hint="eastAsia" w:ascii="Times New Roman" w:hAnsi="Times New Roman" w:eastAsia="仿宋_GB2312"/>
          <w:b/>
          <w:sz w:val="24"/>
        </w:rPr>
        <w:t>注：请填写此表，并按要求上传业绩资料电子件。</w:t>
      </w:r>
    </w:p>
    <w:p w14:paraId="314E122A">
      <w:pPr>
        <w:pStyle w:val="346"/>
        <w:outlineLvl w:val="1"/>
        <w:rPr>
          <w:rFonts w:ascii="Times New Roman" w:hAnsi="Times New Roman"/>
        </w:rPr>
      </w:pPr>
      <w:r>
        <w:rPr>
          <w:rFonts w:ascii="Times New Roman" w:hAnsi="Times New Roman"/>
        </w:rPr>
        <w:br w:type="page" w:clear="all"/>
      </w:r>
      <w:bookmarkStart w:id="491" w:name="_Toc28140"/>
      <w:r>
        <w:rPr>
          <w:rFonts w:hint="eastAsia" w:ascii="Times New Roman" w:hAnsi="Times New Roman" w:eastAsia="宋体" w:cs="Times New Roman"/>
          <w:b/>
          <w:bCs/>
          <w:sz w:val="32"/>
          <w:szCs w:val="32"/>
          <w:lang w:val="en-US" w:eastAsia="zh-CN" w:bidi="ar-SA"/>
        </w:rPr>
        <w:t>十一、投标所需其他材料</w:t>
      </w:r>
      <w:bookmarkEnd w:id="491"/>
    </w:p>
    <w:p w14:paraId="30AE5301">
      <w:pPr>
        <w:pStyle w:val="347"/>
        <w:spacing w:line="360" w:lineRule="auto"/>
        <w:ind w:firstLine="560"/>
        <w:rPr>
          <w:rFonts w:hint="eastAsia" w:ascii="Times New Roman" w:hAnsi="Times New Roman" w:eastAsia="仿宋_GB2312"/>
          <w:sz w:val="28"/>
          <w:szCs w:val="28"/>
        </w:rPr>
      </w:pPr>
      <w:r>
        <w:rPr>
          <w:rFonts w:hint="eastAsia" w:ascii="Times New Roman" w:hAnsi="Times New Roman" w:eastAsia="仿宋_GB2312"/>
          <w:sz w:val="28"/>
          <w:szCs w:val="28"/>
        </w:rPr>
        <w:t>请在此文档中增加投标所需其他相关内容（包括资格要求、评分办法、采购需求中涉及的证件证明及其它投标人认为有必要提供的资料），如没有请将此空文档上传。</w:t>
      </w:r>
    </w:p>
    <w:p w14:paraId="1E891642">
      <w:pPr>
        <w:rPr>
          <w:rFonts w:hint="eastAsia" w:ascii="Times New Roman" w:hAnsi="Times New Roman" w:eastAsia="仿宋_GB2312"/>
          <w:sz w:val="28"/>
          <w:szCs w:val="28"/>
        </w:rPr>
      </w:pPr>
      <w:r>
        <w:rPr>
          <w:rFonts w:hint="eastAsia" w:ascii="Times New Roman" w:hAnsi="Times New Roman" w:eastAsia="仿宋_GB2312"/>
          <w:sz w:val="28"/>
          <w:szCs w:val="28"/>
        </w:rPr>
        <w:br w:type="page"/>
      </w:r>
    </w:p>
    <w:p w14:paraId="7B0378B8">
      <w:pPr>
        <w:pStyle w:val="347"/>
        <w:spacing w:line="360" w:lineRule="auto"/>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附件：</w:t>
      </w:r>
    </w:p>
    <w:p w14:paraId="258227CC">
      <w:pPr>
        <w:rPr>
          <w:sz w:val="20"/>
          <w:highlight w:val="white"/>
        </w:rPr>
      </w:pPr>
      <w:r>
        <w:rPr>
          <w:rFonts w:hint="eastAsia"/>
          <w:sz w:val="20"/>
          <w:highlight w:val="white"/>
        </w:rPr>
        <w:t xml:space="preserve"> </w:t>
      </w:r>
    </w:p>
    <w:tbl>
      <w:tblPr>
        <w:tblStyle w:val="333"/>
        <w:tblW w:w="4999" w:type="pct"/>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Grid>
        <w:gridCol w:w="1593"/>
        <w:gridCol w:w="570"/>
        <w:gridCol w:w="1089"/>
        <w:gridCol w:w="680"/>
        <w:gridCol w:w="3111"/>
        <w:gridCol w:w="2424"/>
      </w:tblGrid>
      <w:tr w14:paraId="25620D7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980" w:hRule="atLeast"/>
          <w:jc w:val="center"/>
        </w:trPr>
        <w:tc>
          <w:tcPr>
            <w:tcW w:w="2163" w:type="dxa"/>
            <w:gridSpan w:val="2"/>
            <w:tcBorders>
              <w:top w:val="nil"/>
              <w:left w:val="nil"/>
              <w:bottom w:val="single" w:color="FFFFFF" w:sz="2" w:space="0"/>
            </w:tcBorders>
            <w:vAlign w:val="top"/>
          </w:tcPr>
          <w:p w14:paraId="2A59A7A8">
            <w:pPr>
              <w:pStyle w:val="594"/>
            </w:pPr>
          </w:p>
        </w:tc>
        <w:tc>
          <w:tcPr>
            <w:tcW w:w="4880" w:type="dxa"/>
            <w:gridSpan w:val="3"/>
            <w:tcBorders>
              <w:top w:val="nil"/>
              <w:bottom w:val="single" w:color="000000" w:sz="4" w:space="0"/>
            </w:tcBorders>
            <w:vAlign w:val="top"/>
          </w:tcPr>
          <w:p w14:paraId="11005FE6">
            <w:pPr>
              <w:pStyle w:val="594"/>
              <w:spacing w:line="280" w:lineRule="auto"/>
            </w:pPr>
          </w:p>
          <w:p w14:paraId="592ADA8C">
            <w:pPr>
              <w:pStyle w:val="594"/>
              <w:spacing w:line="280" w:lineRule="auto"/>
            </w:pPr>
          </w:p>
          <w:p w14:paraId="10A7C36C">
            <w:pPr>
              <w:pStyle w:val="594"/>
              <w:spacing w:line="280" w:lineRule="auto"/>
            </w:pPr>
          </w:p>
          <w:p w14:paraId="7E5D0959">
            <w:pPr>
              <w:pStyle w:val="594"/>
              <w:spacing w:line="281" w:lineRule="auto"/>
            </w:pPr>
          </w:p>
          <w:p w14:paraId="0E00067E">
            <w:pPr>
              <w:spacing w:before="114" w:line="192" w:lineRule="auto"/>
              <w:ind w:left="2106" w:right="88" w:hanging="2051"/>
              <w:rPr>
                <w:rFonts w:ascii="宋体" w:hAnsi="宋体" w:eastAsia="宋体" w:cs="宋体"/>
                <w:sz w:val="35"/>
                <w:szCs w:val="35"/>
              </w:rPr>
            </w:pPr>
            <w:r>
              <w:rPr>
                <w:rFonts w:ascii="宋体" w:hAnsi="宋体" w:eastAsia="宋体" w:cs="宋体"/>
                <w:spacing w:val="22"/>
                <w:sz w:val="35"/>
                <w:szCs w:val="35"/>
              </w:rPr>
              <w:t>沭阳县耿圩镇污水处理厂提质提</w:t>
            </w:r>
            <w:r>
              <w:rPr>
                <w:rFonts w:ascii="宋体" w:hAnsi="宋体" w:eastAsia="宋体" w:cs="宋体"/>
                <w:sz w:val="35"/>
                <w:szCs w:val="35"/>
              </w:rPr>
              <w:t xml:space="preserve"> </w:t>
            </w:r>
            <w:r>
              <w:rPr>
                <w:rFonts w:ascii="宋体" w:hAnsi="宋体" w:eastAsia="宋体" w:cs="宋体"/>
                <w:spacing w:val="14"/>
                <w:sz w:val="35"/>
                <w:szCs w:val="35"/>
              </w:rPr>
              <w:t>标项目</w:t>
            </w:r>
          </w:p>
        </w:tc>
        <w:tc>
          <w:tcPr>
            <w:tcW w:w="2424" w:type="dxa"/>
            <w:tcBorders>
              <w:top w:val="nil"/>
              <w:bottom w:val="single" w:color="FFFFFF" w:sz="2" w:space="0"/>
              <w:right w:val="single" w:color="FFFFFF" w:sz="2" w:space="0"/>
            </w:tcBorders>
            <w:vAlign w:val="top"/>
          </w:tcPr>
          <w:p w14:paraId="013A32D6">
            <w:pPr>
              <w:pStyle w:val="594"/>
              <w:spacing w:line="246" w:lineRule="auto"/>
            </w:pPr>
          </w:p>
          <w:p w14:paraId="64D75A24">
            <w:pPr>
              <w:pStyle w:val="594"/>
              <w:spacing w:line="246" w:lineRule="auto"/>
            </w:pPr>
          </w:p>
          <w:p w14:paraId="3317BDBA">
            <w:pPr>
              <w:pStyle w:val="594"/>
              <w:spacing w:line="246" w:lineRule="auto"/>
            </w:pPr>
          </w:p>
          <w:p w14:paraId="498F2E6B">
            <w:pPr>
              <w:pStyle w:val="594"/>
              <w:spacing w:line="247" w:lineRule="auto"/>
            </w:pPr>
          </w:p>
          <w:p w14:paraId="70D42524">
            <w:pPr>
              <w:pStyle w:val="594"/>
              <w:spacing w:line="247" w:lineRule="auto"/>
            </w:pPr>
          </w:p>
          <w:p w14:paraId="6B24441C">
            <w:pPr>
              <w:pStyle w:val="594"/>
              <w:spacing w:line="247" w:lineRule="auto"/>
            </w:pPr>
          </w:p>
          <w:p w14:paraId="26FDA3A1">
            <w:pPr>
              <w:spacing w:before="114" w:line="194" w:lineRule="auto"/>
              <w:ind w:left="10"/>
              <w:rPr>
                <w:rFonts w:ascii="宋体" w:hAnsi="宋体" w:eastAsia="宋体" w:cs="宋体"/>
                <w:sz w:val="35"/>
                <w:szCs w:val="35"/>
              </w:rPr>
            </w:pPr>
            <w:r>
              <w:rPr>
                <w:rFonts w:ascii="宋体" w:hAnsi="宋体" w:eastAsia="宋体" w:cs="宋体"/>
                <w:spacing w:val="7"/>
                <w:sz w:val="35"/>
                <w:szCs w:val="35"/>
              </w:rPr>
              <w:t>工程</w:t>
            </w:r>
          </w:p>
        </w:tc>
      </w:tr>
      <w:tr w14:paraId="1A0BBBD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224" w:hRule="atLeast"/>
          <w:jc w:val="center"/>
        </w:trPr>
        <w:tc>
          <w:tcPr>
            <w:tcW w:w="9467" w:type="dxa"/>
            <w:gridSpan w:val="6"/>
            <w:tcBorders>
              <w:top w:val="single" w:color="000000" w:sz="4" w:space="0"/>
              <w:left w:val="nil"/>
              <w:right w:val="single" w:color="FFFFFF" w:sz="2" w:space="0"/>
            </w:tcBorders>
            <w:vAlign w:val="top"/>
          </w:tcPr>
          <w:p w14:paraId="2EAA85CB">
            <w:pPr>
              <w:pStyle w:val="594"/>
              <w:spacing w:line="311" w:lineRule="auto"/>
            </w:pPr>
          </w:p>
          <w:p w14:paraId="5C5577D7">
            <w:pPr>
              <w:pStyle w:val="594"/>
              <w:spacing w:line="312" w:lineRule="auto"/>
            </w:pPr>
          </w:p>
          <w:p w14:paraId="544E2293">
            <w:pPr>
              <w:spacing w:before="139" w:line="192" w:lineRule="auto"/>
              <w:ind w:left="3960"/>
              <w:outlineLvl w:val="0"/>
              <w:rPr>
                <w:rFonts w:ascii="宋体" w:hAnsi="宋体" w:eastAsia="宋体" w:cs="宋体"/>
                <w:sz w:val="43"/>
                <w:szCs w:val="43"/>
              </w:rPr>
            </w:pPr>
            <w:r>
              <w:rPr>
                <w:rFonts w:ascii="宋体" w:hAnsi="宋体" w:eastAsia="宋体" w:cs="宋体"/>
                <w:spacing w:val="-10"/>
                <w:sz w:val="43"/>
                <w:szCs w:val="43"/>
              </w:rPr>
              <w:t>投</w:t>
            </w:r>
            <w:r>
              <w:rPr>
                <w:rFonts w:ascii="宋体" w:hAnsi="宋体" w:eastAsia="宋体" w:cs="宋体"/>
                <w:spacing w:val="56"/>
                <w:sz w:val="43"/>
                <w:szCs w:val="43"/>
              </w:rPr>
              <w:t xml:space="preserve"> </w:t>
            </w:r>
            <w:r>
              <w:rPr>
                <w:rFonts w:ascii="宋体" w:hAnsi="宋体" w:eastAsia="宋体" w:cs="宋体"/>
                <w:spacing w:val="-10"/>
                <w:sz w:val="43"/>
                <w:szCs w:val="43"/>
              </w:rPr>
              <w:t>标</w:t>
            </w:r>
            <w:r>
              <w:rPr>
                <w:rFonts w:ascii="宋体" w:hAnsi="宋体" w:eastAsia="宋体" w:cs="宋体"/>
                <w:spacing w:val="58"/>
                <w:sz w:val="43"/>
                <w:szCs w:val="43"/>
              </w:rPr>
              <w:t xml:space="preserve"> </w:t>
            </w:r>
            <w:r>
              <w:rPr>
                <w:rFonts w:ascii="宋体" w:hAnsi="宋体" w:eastAsia="宋体" w:cs="宋体"/>
                <w:spacing w:val="-10"/>
                <w:sz w:val="43"/>
                <w:szCs w:val="43"/>
              </w:rPr>
              <w:t>总</w:t>
            </w:r>
            <w:r>
              <w:rPr>
                <w:rFonts w:ascii="宋体" w:hAnsi="宋体" w:eastAsia="宋体" w:cs="宋体"/>
                <w:spacing w:val="54"/>
                <w:sz w:val="43"/>
                <w:szCs w:val="43"/>
              </w:rPr>
              <w:t xml:space="preserve"> </w:t>
            </w:r>
            <w:r>
              <w:rPr>
                <w:rFonts w:ascii="宋体" w:hAnsi="宋体" w:eastAsia="宋体" w:cs="宋体"/>
                <w:spacing w:val="-10"/>
                <w:sz w:val="43"/>
                <w:szCs w:val="43"/>
              </w:rPr>
              <w:t>价</w:t>
            </w:r>
          </w:p>
        </w:tc>
      </w:tr>
      <w:tr w14:paraId="2CCCFBE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627" w:hRule="atLeast"/>
          <w:jc w:val="center"/>
        </w:trPr>
        <w:tc>
          <w:tcPr>
            <w:tcW w:w="1593" w:type="dxa"/>
            <w:tcBorders>
              <w:left w:val="nil"/>
              <w:bottom w:val="single" w:color="FFFFFF" w:sz="2" w:space="0"/>
            </w:tcBorders>
            <w:vAlign w:val="top"/>
          </w:tcPr>
          <w:p w14:paraId="44C87F2C">
            <w:pPr>
              <w:pStyle w:val="594"/>
            </w:pPr>
          </w:p>
        </w:tc>
        <w:tc>
          <w:tcPr>
            <w:tcW w:w="1659" w:type="dxa"/>
            <w:gridSpan w:val="2"/>
            <w:tcBorders>
              <w:bottom w:val="single" w:color="FFFFFF" w:sz="2" w:space="0"/>
            </w:tcBorders>
            <w:vAlign w:val="top"/>
          </w:tcPr>
          <w:p w14:paraId="38E6520D">
            <w:pPr>
              <w:pStyle w:val="594"/>
              <w:spacing w:line="247" w:lineRule="auto"/>
            </w:pPr>
          </w:p>
          <w:p w14:paraId="02E7A1E4">
            <w:pPr>
              <w:pStyle w:val="594"/>
              <w:spacing w:line="247" w:lineRule="auto"/>
            </w:pPr>
          </w:p>
          <w:p w14:paraId="0A49E6C8">
            <w:pPr>
              <w:pStyle w:val="594"/>
              <w:spacing w:line="247" w:lineRule="auto"/>
            </w:pPr>
          </w:p>
          <w:p w14:paraId="102A445E">
            <w:pPr>
              <w:pStyle w:val="594"/>
              <w:spacing w:line="247" w:lineRule="auto"/>
            </w:pPr>
          </w:p>
          <w:p w14:paraId="0BC1153F">
            <w:pPr>
              <w:pStyle w:val="594"/>
              <w:spacing w:line="247" w:lineRule="auto"/>
            </w:pPr>
          </w:p>
          <w:p w14:paraId="35415DD3">
            <w:pPr>
              <w:pStyle w:val="594"/>
              <w:spacing w:line="247" w:lineRule="auto"/>
            </w:pPr>
          </w:p>
          <w:p w14:paraId="6F6A3D71">
            <w:pPr>
              <w:pStyle w:val="594"/>
              <w:spacing w:line="248" w:lineRule="auto"/>
            </w:pPr>
          </w:p>
          <w:p w14:paraId="26E6564F">
            <w:pPr>
              <w:pStyle w:val="594"/>
              <w:spacing w:line="248" w:lineRule="auto"/>
            </w:pPr>
          </w:p>
          <w:p w14:paraId="3F91994F">
            <w:pPr>
              <w:pStyle w:val="594"/>
              <w:spacing w:line="248" w:lineRule="auto"/>
            </w:pPr>
          </w:p>
          <w:p w14:paraId="3412F947">
            <w:pPr>
              <w:pStyle w:val="594"/>
              <w:spacing w:line="248" w:lineRule="auto"/>
            </w:pPr>
          </w:p>
          <w:p w14:paraId="7FD59689">
            <w:pPr>
              <w:pStyle w:val="594"/>
              <w:spacing w:line="248" w:lineRule="auto"/>
            </w:pPr>
          </w:p>
          <w:p w14:paraId="3B3E5DE7">
            <w:pPr>
              <w:pStyle w:val="594"/>
              <w:spacing w:line="248" w:lineRule="auto"/>
            </w:pPr>
          </w:p>
          <w:p w14:paraId="4280330A">
            <w:pPr>
              <w:pStyle w:val="594"/>
              <w:spacing w:line="248" w:lineRule="auto"/>
            </w:pPr>
          </w:p>
          <w:p w14:paraId="2E19937E">
            <w:pPr>
              <w:pStyle w:val="594"/>
              <w:spacing w:line="248" w:lineRule="auto"/>
            </w:pPr>
          </w:p>
          <w:p w14:paraId="05193EE1">
            <w:pPr>
              <w:pStyle w:val="594"/>
              <w:spacing w:line="248" w:lineRule="auto"/>
            </w:pPr>
          </w:p>
          <w:p w14:paraId="56924BE4">
            <w:pPr>
              <w:pStyle w:val="594"/>
              <w:spacing w:line="248" w:lineRule="auto"/>
            </w:pPr>
          </w:p>
          <w:p w14:paraId="02A1F1BF">
            <w:pPr>
              <w:pStyle w:val="594"/>
              <w:spacing w:line="248" w:lineRule="auto"/>
            </w:pPr>
          </w:p>
          <w:p w14:paraId="69AA8CA2">
            <w:pPr>
              <w:spacing w:before="88" w:line="200" w:lineRule="auto"/>
              <w:ind w:left="158"/>
              <w:rPr>
                <w:rFonts w:ascii="宋体" w:hAnsi="宋体" w:eastAsia="宋体" w:cs="宋体"/>
                <w:sz w:val="27"/>
                <w:szCs w:val="27"/>
              </w:rPr>
            </w:pPr>
            <w:r>
              <w:rPr>
                <w:rFonts w:ascii="宋体" w:hAnsi="宋体" w:eastAsia="宋体" w:cs="宋体"/>
                <w:spacing w:val="-3"/>
                <w:sz w:val="27"/>
                <w:szCs w:val="27"/>
              </w:rPr>
              <w:t>投</w:t>
            </w:r>
            <w:r>
              <w:rPr>
                <w:rFonts w:ascii="宋体" w:hAnsi="宋体" w:eastAsia="宋体" w:cs="宋体"/>
                <w:spacing w:val="61"/>
                <w:sz w:val="27"/>
                <w:szCs w:val="27"/>
              </w:rPr>
              <w:t xml:space="preserve"> </w:t>
            </w:r>
            <w:r>
              <w:rPr>
                <w:rFonts w:ascii="宋体" w:hAnsi="宋体" w:eastAsia="宋体" w:cs="宋体"/>
                <w:spacing w:val="-3"/>
                <w:sz w:val="27"/>
                <w:szCs w:val="27"/>
              </w:rPr>
              <w:t>标</w:t>
            </w:r>
            <w:r>
              <w:rPr>
                <w:rFonts w:ascii="宋体" w:hAnsi="宋体" w:eastAsia="宋体" w:cs="宋体"/>
                <w:spacing w:val="63"/>
                <w:sz w:val="27"/>
                <w:szCs w:val="27"/>
              </w:rPr>
              <w:t xml:space="preserve"> </w:t>
            </w:r>
            <w:r>
              <w:rPr>
                <w:rFonts w:ascii="宋体" w:hAnsi="宋体" w:eastAsia="宋体" w:cs="宋体"/>
                <w:spacing w:val="-3"/>
                <w:sz w:val="27"/>
                <w:szCs w:val="27"/>
              </w:rPr>
              <w:t>人</w:t>
            </w:r>
            <w:r>
              <w:rPr>
                <w:rFonts w:ascii="宋体" w:hAnsi="宋体" w:eastAsia="宋体" w:cs="宋体"/>
                <w:spacing w:val="-114"/>
                <w:sz w:val="27"/>
                <w:szCs w:val="27"/>
              </w:rPr>
              <w:t xml:space="preserve"> </w:t>
            </w:r>
            <w:r>
              <w:rPr>
                <w:rFonts w:ascii="宋体" w:hAnsi="宋体" w:eastAsia="宋体" w:cs="宋体"/>
                <w:spacing w:val="-3"/>
                <w:sz w:val="27"/>
                <w:szCs w:val="27"/>
              </w:rPr>
              <w:t>：</w:t>
            </w:r>
          </w:p>
        </w:tc>
        <w:tc>
          <w:tcPr>
            <w:tcW w:w="3791" w:type="dxa"/>
            <w:gridSpan w:val="2"/>
            <w:tcBorders>
              <w:bottom w:val="single" w:color="000000" w:sz="4" w:space="0"/>
            </w:tcBorders>
            <w:vAlign w:val="top"/>
          </w:tcPr>
          <w:p w14:paraId="3A0C0606">
            <w:pPr>
              <w:pStyle w:val="594"/>
            </w:pPr>
          </w:p>
        </w:tc>
        <w:tc>
          <w:tcPr>
            <w:tcW w:w="2424" w:type="dxa"/>
            <w:tcBorders>
              <w:bottom w:val="single" w:color="FFFFFF" w:sz="2" w:space="0"/>
              <w:right w:val="single" w:color="FFFFFF" w:sz="2" w:space="0"/>
            </w:tcBorders>
            <w:vAlign w:val="top"/>
          </w:tcPr>
          <w:p w14:paraId="5B6B4F68">
            <w:pPr>
              <w:pStyle w:val="594"/>
            </w:pPr>
          </w:p>
        </w:tc>
      </w:tr>
      <w:tr w14:paraId="2C61A7F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trHeight w:val="727" w:hRule="atLeast"/>
          <w:jc w:val="center"/>
        </w:trPr>
        <w:tc>
          <w:tcPr>
            <w:tcW w:w="1593" w:type="dxa"/>
            <w:tcBorders>
              <w:top w:val="single" w:color="FFFFFF" w:sz="2" w:space="0"/>
              <w:left w:val="nil"/>
            </w:tcBorders>
            <w:vAlign w:val="top"/>
          </w:tcPr>
          <w:p w14:paraId="2698B333">
            <w:pPr>
              <w:pStyle w:val="594"/>
            </w:pPr>
          </w:p>
        </w:tc>
        <w:tc>
          <w:tcPr>
            <w:tcW w:w="1659" w:type="dxa"/>
            <w:gridSpan w:val="2"/>
            <w:tcBorders>
              <w:top w:val="single" w:color="FFFFFF" w:sz="2" w:space="0"/>
            </w:tcBorders>
            <w:vAlign w:val="top"/>
          </w:tcPr>
          <w:p w14:paraId="3A175927">
            <w:pPr>
              <w:pStyle w:val="594"/>
            </w:pPr>
          </w:p>
        </w:tc>
        <w:tc>
          <w:tcPr>
            <w:tcW w:w="3791" w:type="dxa"/>
            <w:gridSpan w:val="2"/>
            <w:tcBorders>
              <w:top w:val="single" w:color="000000" w:sz="4" w:space="0"/>
            </w:tcBorders>
            <w:vAlign w:val="top"/>
          </w:tcPr>
          <w:p w14:paraId="38887A6D">
            <w:pPr>
              <w:spacing w:before="31" w:line="229" w:lineRule="auto"/>
              <w:ind w:left="1626"/>
              <w:rPr>
                <w:rFonts w:ascii="宋体" w:hAnsi="宋体" w:eastAsia="宋体" w:cs="宋体"/>
                <w:sz w:val="19"/>
                <w:szCs w:val="19"/>
              </w:rPr>
            </w:pPr>
            <w:r>
              <w:rPr>
                <w:rFonts w:ascii="宋体" w:hAnsi="宋体" w:eastAsia="宋体" w:cs="宋体"/>
                <w:spacing w:val="-2"/>
                <w:sz w:val="19"/>
                <w:szCs w:val="19"/>
              </w:rPr>
              <w:t>(单位盖章)</w:t>
            </w:r>
          </w:p>
        </w:tc>
        <w:tc>
          <w:tcPr>
            <w:tcW w:w="2424" w:type="dxa"/>
            <w:tcBorders>
              <w:top w:val="single" w:color="FFFFFF" w:sz="2" w:space="0"/>
              <w:right w:val="single" w:color="FFFFFF" w:sz="2" w:space="0"/>
            </w:tcBorders>
            <w:vAlign w:val="top"/>
          </w:tcPr>
          <w:p w14:paraId="0863FA7C">
            <w:pPr>
              <w:pStyle w:val="594"/>
            </w:pPr>
          </w:p>
        </w:tc>
      </w:tr>
      <w:tr w14:paraId="3C630E9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trHeight w:val="1400" w:hRule="atLeast"/>
          <w:jc w:val="center"/>
        </w:trPr>
        <w:tc>
          <w:tcPr>
            <w:tcW w:w="1593" w:type="dxa"/>
            <w:tcBorders>
              <w:left w:val="nil"/>
            </w:tcBorders>
            <w:vAlign w:val="top"/>
          </w:tcPr>
          <w:p w14:paraId="0895E539">
            <w:pPr>
              <w:pStyle w:val="594"/>
            </w:pPr>
          </w:p>
        </w:tc>
        <w:tc>
          <w:tcPr>
            <w:tcW w:w="1659" w:type="dxa"/>
            <w:gridSpan w:val="2"/>
            <w:vAlign w:val="top"/>
          </w:tcPr>
          <w:p w14:paraId="237ECDF7">
            <w:pPr>
              <w:pStyle w:val="594"/>
            </w:pPr>
          </w:p>
        </w:tc>
        <w:tc>
          <w:tcPr>
            <w:tcW w:w="3791" w:type="dxa"/>
            <w:gridSpan w:val="2"/>
            <w:vAlign w:val="top"/>
          </w:tcPr>
          <w:p w14:paraId="76E2DA61">
            <w:pPr>
              <w:pStyle w:val="594"/>
            </w:pPr>
          </w:p>
        </w:tc>
        <w:tc>
          <w:tcPr>
            <w:tcW w:w="2424" w:type="dxa"/>
            <w:tcBorders>
              <w:right w:val="single" w:color="FFFFFF" w:sz="2" w:space="0"/>
            </w:tcBorders>
            <w:vAlign w:val="top"/>
          </w:tcPr>
          <w:p w14:paraId="62AF88B8">
            <w:pPr>
              <w:pStyle w:val="594"/>
            </w:pPr>
          </w:p>
        </w:tc>
      </w:tr>
      <w:tr w14:paraId="03D9E17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27" w:hRule="atLeast"/>
          <w:jc w:val="center"/>
        </w:trPr>
        <w:tc>
          <w:tcPr>
            <w:tcW w:w="1593" w:type="dxa"/>
            <w:tcBorders>
              <w:left w:val="nil"/>
              <w:bottom w:val="single" w:color="FFFFFF" w:sz="2" w:space="0"/>
            </w:tcBorders>
            <w:vAlign w:val="top"/>
          </w:tcPr>
          <w:p w14:paraId="5577A70C">
            <w:pPr>
              <w:pStyle w:val="594"/>
            </w:pPr>
          </w:p>
        </w:tc>
        <w:tc>
          <w:tcPr>
            <w:tcW w:w="1659" w:type="dxa"/>
            <w:gridSpan w:val="2"/>
            <w:tcBorders>
              <w:bottom w:val="single" w:color="FFFFFF" w:sz="2" w:space="0"/>
            </w:tcBorders>
            <w:vAlign w:val="top"/>
          </w:tcPr>
          <w:p w14:paraId="046A9996">
            <w:pPr>
              <w:pStyle w:val="594"/>
            </w:pPr>
          </w:p>
        </w:tc>
        <w:tc>
          <w:tcPr>
            <w:tcW w:w="680" w:type="dxa"/>
            <w:tcBorders>
              <w:bottom w:val="single" w:color="FFFFFF" w:sz="2" w:space="0"/>
            </w:tcBorders>
            <w:vAlign w:val="top"/>
          </w:tcPr>
          <w:p w14:paraId="0315DC06">
            <w:pPr>
              <w:pStyle w:val="594"/>
            </w:pPr>
          </w:p>
        </w:tc>
        <w:tc>
          <w:tcPr>
            <w:tcW w:w="3111" w:type="dxa"/>
            <w:tcBorders>
              <w:bottom w:val="single" w:color="FFFFFF" w:sz="2" w:space="0"/>
            </w:tcBorders>
            <w:vAlign w:val="top"/>
          </w:tcPr>
          <w:p w14:paraId="1BBFB141">
            <w:pPr>
              <w:pStyle w:val="594"/>
            </w:pPr>
          </w:p>
        </w:tc>
        <w:tc>
          <w:tcPr>
            <w:tcW w:w="2424" w:type="dxa"/>
            <w:tcBorders>
              <w:bottom w:val="single" w:color="FFFFFF" w:sz="2" w:space="0"/>
              <w:right w:val="single" w:color="FFFFFF" w:sz="2" w:space="0"/>
            </w:tcBorders>
            <w:vAlign w:val="top"/>
          </w:tcPr>
          <w:p w14:paraId="5621BC53">
            <w:pPr>
              <w:pStyle w:val="594"/>
            </w:pPr>
          </w:p>
        </w:tc>
      </w:tr>
    </w:tbl>
    <w:p w14:paraId="4208C3D5">
      <w:pPr>
        <w:spacing w:before="12"/>
      </w:pPr>
    </w:p>
    <w:p w14:paraId="19CCE6D3">
      <w:pPr>
        <w:spacing w:before="11"/>
      </w:pPr>
    </w:p>
    <w:p w14:paraId="5D89DDC2">
      <w:pPr>
        <w:spacing w:before="11"/>
      </w:pPr>
    </w:p>
    <w:p w14:paraId="7070FC26">
      <w:pPr>
        <w:spacing w:before="11"/>
      </w:pPr>
    </w:p>
    <w:p w14:paraId="519DD17B">
      <w:pPr>
        <w:spacing w:before="11"/>
      </w:pPr>
    </w:p>
    <w:p w14:paraId="39B85E21">
      <w:pPr>
        <w:spacing w:before="11"/>
      </w:pPr>
    </w:p>
    <w:p w14:paraId="2E652DCA">
      <w:pPr>
        <w:spacing w:before="11"/>
      </w:pPr>
    </w:p>
    <w:p w14:paraId="32E5C631">
      <w:pPr>
        <w:spacing w:before="11"/>
      </w:pPr>
    </w:p>
    <w:tbl>
      <w:tblPr>
        <w:tblStyle w:val="333"/>
        <w:tblW w:w="4999" w:type="pct"/>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7016"/>
        <w:gridCol w:w="2451"/>
      </w:tblGrid>
      <w:tr w14:paraId="14325DB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9" w:hRule="atLeast"/>
        </w:trPr>
        <w:tc>
          <w:tcPr>
            <w:tcW w:w="7016" w:type="dxa"/>
            <w:tcBorders>
              <w:bottom w:val="single" w:color="FFFFFF" w:sz="2" w:space="0"/>
              <w:right w:val="single" w:color="FFFFFF" w:sz="4" w:space="0"/>
            </w:tcBorders>
            <w:vAlign w:val="top"/>
          </w:tcPr>
          <w:p w14:paraId="432068F1">
            <w:pPr>
              <w:pStyle w:val="594"/>
            </w:pPr>
            <w:r>
              <w:drawing>
                <wp:anchor distT="0" distB="0" distL="0" distR="0" simplePos="0" relativeHeight="251659264" behindDoc="1" locked="0" layoutInCell="1" allowOverlap="1">
                  <wp:simplePos x="0" y="0"/>
                  <wp:positionH relativeFrom="rightMargin">
                    <wp:posOffset>-46990</wp:posOffset>
                  </wp:positionH>
                  <wp:positionV relativeFrom="topMargin">
                    <wp:posOffset>0</wp:posOffset>
                  </wp:positionV>
                  <wp:extent cx="9525" cy="237490"/>
                  <wp:effectExtent l="0" t="0" r="9525" b="1016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
                          <a:stretch>
                            <a:fillRect/>
                          </a:stretch>
                        </pic:blipFill>
                        <pic:spPr>
                          <a:xfrm>
                            <a:off x="0" y="0"/>
                            <a:ext cx="9509" cy="237743"/>
                          </a:xfrm>
                          <a:prstGeom prst="rect">
                            <a:avLst/>
                          </a:prstGeom>
                        </pic:spPr>
                      </pic:pic>
                    </a:graphicData>
                  </a:graphic>
                </wp:anchor>
              </w:drawing>
            </w:r>
          </w:p>
        </w:tc>
        <w:tc>
          <w:tcPr>
            <w:tcW w:w="2451" w:type="dxa"/>
            <w:tcBorders>
              <w:left w:val="single" w:color="FFFFFF" w:sz="4" w:space="0"/>
              <w:bottom w:val="single" w:color="FFFFFF" w:sz="2" w:space="0"/>
              <w:right w:val="single" w:color="FFFFFF" w:sz="2" w:space="0"/>
            </w:tcBorders>
            <w:vAlign w:val="top"/>
          </w:tcPr>
          <w:p w14:paraId="0FFADE52">
            <w:pPr>
              <w:spacing w:before="89" w:line="233" w:lineRule="auto"/>
              <w:ind w:right="23"/>
              <w:jc w:val="right"/>
              <w:rPr>
                <w:rFonts w:ascii="宋体" w:hAnsi="宋体" w:eastAsia="宋体" w:cs="宋体"/>
                <w:sz w:val="17"/>
                <w:szCs w:val="17"/>
              </w:rPr>
            </w:pPr>
            <w:r>
              <w:rPr>
                <w:rFonts w:ascii="宋体" w:hAnsi="宋体" w:eastAsia="宋体" w:cs="宋体"/>
                <w:spacing w:val="4"/>
                <w:sz w:val="17"/>
                <w:szCs w:val="17"/>
              </w:rPr>
              <w:t>封-3</w:t>
            </w:r>
          </w:p>
        </w:tc>
      </w:tr>
    </w:tbl>
    <w:p w14:paraId="7DF54C3C">
      <w:pPr>
        <w:rPr>
          <w:rFonts w:ascii="Arial"/>
          <w:sz w:val="21"/>
        </w:rPr>
      </w:pPr>
    </w:p>
    <w:p w14:paraId="2DF758D2">
      <w:pPr>
        <w:rPr>
          <w:rFonts w:ascii="Arial" w:hAnsi="Arial" w:eastAsia="Arial" w:cs="Arial"/>
          <w:sz w:val="21"/>
          <w:szCs w:val="21"/>
        </w:rPr>
        <w:sectPr>
          <w:headerReference r:id="rId3" w:type="default"/>
          <w:pgSz w:w="11960" w:h="16880"/>
          <w:pgMar w:top="1247" w:right="1247" w:bottom="1247" w:left="1247" w:header="0" w:footer="0" w:gutter="0"/>
          <w:cols w:space="720" w:num="1"/>
        </w:sectPr>
      </w:pPr>
    </w:p>
    <w:p w14:paraId="38BAFA1D">
      <w:pPr>
        <w:spacing w:before="208"/>
      </w:pPr>
    </w:p>
    <w:tbl>
      <w:tblPr>
        <w:tblStyle w:val="333"/>
        <w:tblW w:w="10402"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Grid>
        <w:gridCol w:w="1961"/>
        <w:gridCol w:w="1467"/>
        <w:gridCol w:w="4774"/>
        <w:gridCol w:w="2200"/>
      </w:tblGrid>
      <w:tr w14:paraId="37F738D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145" w:hRule="atLeast"/>
          <w:jc w:val="center"/>
        </w:trPr>
        <w:tc>
          <w:tcPr>
            <w:tcW w:w="1961" w:type="dxa"/>
            <w:tcBorders>
              <w:top w:val="nil"/>
              <w:left w:val="nil"/>
              <w:bottom w:val="single" w:color="FFFFFF" w:sz="2" w:space="0"/>
            </w:tcBorders>
            <w:vAlign w:val="top"/>
          </w:tcPr>
          <w:p w14:paraId="7CA426C7">
            <w:pPr>
              <w:pStyle w:val="594"/>
            </w:pPr>
          </w:p>
        </w:tc>
        <w:tc>
          <w:tcPr>
            <w:tcW w:w="6241" w:type="dxa"/>
            <w:gridSpan w:val="2"/>
            <w:tcBorders>
              <w:top w:val="nil"/>
              <w:bottom w:val="single" w:color="000000" w:sz="4" w:space="0"/>
            </w:tcBorders>
            <w:vAlign w:val="top"/>
          </w:tcPr>
          <w:p w14:paraId="4C3D6B05">
            <w:pPr>
              <w:pStyle w:val="594"/>
              <w:spacing w:line="287" w:lineRule="auto"/>
            </w:pPr>
          </w:p>
          <w:p w14:paraId="0A820626">
            <w:pPr>
              <w:spacing w:before="114" w:line="193" w:lineRule="auto"/>
              <w:ind w:left="3011" w:right="143" w:hanging="2881"/>
              <w:rPr>
                <w:rFonts w:ascii="宋体" w:hAnsi="宋体" w:eastAsia="宋体" w:cs="宋体"/>
                <w:sz w:val="35"/>
                <w:szCs w:val="35"/>
              </w:rPr>
            </w:pPr>
            <w:r>
              <w:rPr>
                <w:rFonts w:ascii="宋体" w:hAnsi="宋体" w:eastAsia="宋体" w:cs="宋体"/>
                <w:spacing w:val="22"/>
                <w:sz w:val="35"/>
                <w:szCs w:val="35"/>
              </w:rPr>
              <w:t>沭阳县耿圩镇污水处理厂提质提标项</w:t>
            </w:r>
            <w:r>
              <w:rPr>
                <w:rFonts w:ascii="宋体" w:hAnsi="宋体" w:eastAsia="宋体" w:cs="宋体"/>
                <w:spacing w:val="3"/>
                <w:sz w:val="35"/>
                <w:szCs w:val="35"/>
              </w:rPr>
              <w:t xml:space="preserve"> </w:t>
            </w:r>
            <w:r>
              <w:rPr>
                <w:rFonts w:ascii="宋体" w:hAnsi="宋体" w:eastAsia="宋体" w:cs="宋体"/>
                <w:sz w:val="35"/>
                <w:szCs w:val="35"/>
              </w:rPr>
              <w:t>目</w:t>
            </w:r>
          </w:p>
        </w:tc>
        <w:tc>
          <w:tcPr>
            <w:tcW w:w="2200" w:type="dxa"/>
            <w:tcBorders>
              <w:top w:val="nil"/>
              <w:bottom w:val="single" w:color="FFFFFF" w:sz="2" w:space="0"/>
              <w:right w:val="single" w:color="FFFFFF" w:sz="2" w:space="0"/>
            </w:tcBorders>
            <w:vAlign w:val="top"/>
          </w:tcPr>
          <w:p w14:paraId="7C045844">
            <w:pPr>
              <w:pStyle w:val="594"/>
              <w:spacing w:line="322" w:lineRule="auto"/>
            </w:pPr>
          </w:p>
          <w:p w14:paraId="3537A2A6">
            <w:pPr>
              <w:pStyle w:val="594"/>
              <w:spacing w:line="323" w:lineRule="auto"/>
            </w:pPr>
          </w:p>
          <w:p w14:paraId="55558D93">
            <w:pPr>
              <w:spacing w:before="114" w:line="196" w:lineRule="auto"/>
              <w:ind w:left="45"/>
              <w:rPr>
                <w:rFonts w:ascii="宋体" w:hAnsi="宋体" w:eastAsia="宋体" w:cs="宋体"/>
                <w:sz w:val="35"/>
                <w:szCs w:val="35"/>
              </w:rPr>
            </w:pPr>
            <w:r>
              <w:rPr>
                <w:rFonts w:ascii="宋体" w:hAnsi="宋体" w:eastAsia="宋体" w:cs="宋体"/>
                <w:spacing w:val="7"/>
                <w:sz w:val="35"/>
                <w:szCs w:val="35"/>
              </w:rPr>
              <w:t>工程</w:t>
            </w:r>
          </w:p>
        </w:tc>
      </w:tr>
      <w:tr w14:paraId="54509D1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528" w:hRule="atLeast"/>
          <w:jc w:val="center"/>
        </w:trPr>
        <w:tc>
          <w:tcPr>
            <w:tcW w:w="10402" w:type="dxa"/>
            <w:gridSpan w:val="4"/>
            <w:tcBorders>
              <w:top w:val="single" w:color="000000" w:sz="4" w:space="0"/>
              <w:left w:val="nil"/>
              <w:right w:val="single" w:color="FFFFFF" w:sz="2" w:space="0"/>
            </w:tcBorders>
            <w:vAlign w:val="top"/>
          </w:tcPr>
          <w:p w14:paraId="7AF2A3FE">
            <w:pPr>
              <w:pStyle w:val="594"/>
              <w:spacing w:line="409" w:lineRule="auto"/>
            </w:pPr>
          </w:p>
          <w:p w14:paraId="3B27B2DF">
            <w:pPr>
              <w:spacing w:before="140" w:line="223" w:lineRule="auto"/>
              <w:ind w:left="3960"/>
              <w:outlineLvl w:val="0"/>
              <w:rPr>
                <w:rFonts w:ascii="宋体" w:hAnsi="宋体" w:eastAsia="宋体" w:cs="宋体"/>
                <w:sz w:val="43"/>
                <w:szCs w:val="43"/>
              </w:rPr>
            </w:pPr>
            <w:r>
              <w:rPr>
                <w:rFonts w:ascii="宋体" w:hAnsi="宋体" w:eastAsia="宋体" w:cs="宋体"/>
                <w:spacing w:val="-10"/>
                <w:sz w:val="43"/>
                <w:szCs w:val="43"/>
              </w:rPr>
              <w:t>投</w:t>
            </w:r>
            <w:r>
              <w:rPr>
                <w:rFonts w:ascii="宋体" w:hAnsi="宋体" w:eastAsia="宋体" w:cs="宋体"/>
                <w:spacing w:val="56"/>
                <w:sz w:val="43"/>
                <w:szCs w:val="43"/>
              </w:rPr>
              <w:t xml:space="preserve"> </w:t>
            </w:r>
            <w:r>
              <w:rPr>
                <w:rFonts w:ascii="宋体" w:hAnsi="宋体" w:eastAsia="宋体" w:cs="宋体"/>
                <w:spacing w:val="-10"/>
                <w:sz w:val="43"/>
                <w:szCs w:val="43"/>
              </w:rPr>
              <w:t>标</w:t>
            </w:r>
            <w:r>
              <w:rPr>
                <w:rFonts w:ascii="宋体" w:hAnsi="宋体" w:eastAsia="宋体" w:cs="宋体"/>
                <w:spacing w:val="58"/>
                <w:sz w:val="43"/>
                <w:szCs w:val="43"/>
              </w:rPr>
              <w:t xml:space="preserve"> </w:t>
            </w:r>
            <w:r>
              <w:rPr>
                <w:rFonts w:ascii="宋体" w:hAnsi="宋体" w:eastAsia="宋体" w:cs="宋体"/>
                <w:spacing w:val="-10"/>
                <w:sz w:val="43"/>
                <w:szCs w:val="43"/>
              </w:rPr>
              <w:t>总</w:t>
            </w:r>
            <w:r>
              <w:rPr>
                <w:rFonts w:ascii="宋体" w:hAnsi="宋体" w:eastAsia="宋体" w:cs="宋体"/>
                <w:spacing w:val="54"/>
                <w:sz w:val="43"/>
                <w:szCs w:val="43"/>
              </w:rPr>
              <w:t xml:space="preserve"> </w:t>
            </w:r>
            <w:r>
              <w:rPr>
                <w:rFonts w:ascii="宋体" w:hAnsi="宋体" w:eastAsia="宋体" w:cs="宋体"/>
                <w:spacing w:val="-10"/>
                <w:sz w:val="43"/>
                <w:szCs w:val="43"/>
              </w:rPr>
              <w:t>价</w:t>
            </w:r>
          </w:p>
        </w:tc>
      </w:tr>
      <w:tr w14:paraId="61FF6CD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729" w:hRule="atLeast"/>
          <w:jc w:val="center"/>
        </w:trPr>
        <w:tc>
          <w:tcPr>
            <w:tcW w:w="1961" w:type="dxa"/>
            <w:vMerge w:val="restart"/>
            <w:tcBorders>
              <w:left w:val="nil"/>
              <w:bottom w:val="nil"/>
            </w:tcBorders>
            <w:vAlign w:val="top"/>
          </w:tcPr>
          <w:p w14:paraId="688F2E31">
            <w:pPr>
              <w:pStyle w:val="594"/>
              <w:spacing w:line="405" w:lineRule="auto"/>
            </w:pPr>
          </w:p>
          <w:p w14:paraId="1DFFC01A">
            <w:pPr>
              <w:spacing w:before="74" w:line="214" w:lineRule="auto"/>
              <w:ind w:left="40"/>
              <w:rPr>
                <w:rFonts w:ascii="宋体" w:hAnsi="宋体" w:eastAsia="宋体" w:cs="宋体"/>
                <w:sz w:val="23"/>
                <w:szCs w:val="23"/>
              </w:rPr>
            </w:pPr>
            <w:r>
              <w:rPr>
                <w:rFonts w:ascii="宋体" w:hAnsi="宋体" w:eastAsia="宋体" w:cs="宋体"/>
                <w:spacing w:val="-1"/>
                <w:sz w:val="23"/>
                <w:szCs w:val="23"/>
              </w:rPr>
              <w:t>招</w:t>
            </w:r>
            <w:r>
              <w:rPr>
                <w:rFonts w:ascii="宋体" w:hAnsi="宋体" w:eastAsia="宋体" w:cs="宋体"/>
                <w:spacing w:val="31"/>
                <w:sz w:val="23"/>
                <w:szCs w:val="23"/>
              </w:rPr>
              <w:t xml:space="preserve">  </w:t>
            </w:r>
            <w:r>
              <w:rPr>
                <w:rFonts w:ascii="宋体" w:hAnsi="宋体" w:eastAsia="宋体" w:cs="宋体"/>
                <w:spacing w:val="-1"/>
                <w:sz w:val="23"/>
                <w:szCs w:val="23"/>
              </w:rPr>
              <w:t>标</w:t>
            </w:r>
            <w:r>
              <w:rPr>
                <w:rFonts w:ascii="宋体" w:hAnsi="宋体" w:eastAsia="宋体" w:cs="宋体"/>
                <w:spacing w:val="32"/>
                <w:sz w:val="23"/>
                <w:szCs w:val="23"/>
              </w:rPr>
              <w:t xml:space="preserve">  </w:t>
            </w:r>
            <w:r>
              <w:rPr>
                <w:rFonts w:ascii="宋体" w:hAnsi="宋体" w:eastAsia="宋体" w:cs="宋体"/>
                <w:spacing w:val="-1"/>
                <w:sz w:val="23"/>
                <w:szCs w:val="23"/>
              </w:rPr>
              <w:t>人：</w:t>
            </w:r>
          </w:p>
        </w:tc>
        <w:tc>
          <w:tcPr>
            <w:tcW w:w="8441" w:type="dxa"/>
            <w:gridSpan w:val="3"/>
            <w:tcBorders>
              <w:bottom w:val="single" w:color="000000" w:sz="4" w:space="0"/>
              <w:right w:val="single" w:color="FFFFFF" w:sz="2" w:space="0"/>
            </w:tcBorders>
            <w:vAlign w:val="top"/>
          </w:tcPr>
          <w:p w14:paraId="67F47CC7">
            <w:pPr>
              <w:pStyle w:val="594"/>
            </w:pPr>
          </w:p>
        </w:tc>
      </w:tr>
      <w:tr w14:paraId="0DE6D1C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20" w:hRule="atLeast"/>
          <w:jc w:val="center"/>
        </w:trPr>
        <w:tc>
          <w:tcPr>
            <w:tcW w:w="1961" w:type="dxa"/>
            <w:vMerge w:val="continue"/>
            <w:tcBorders>
              <w:top w:val="nil"/>
              <w:left w:val="nil"/>
            </w:tcBorders>
            <w:vAlign w:val="top"/>
          </w:tcPr>
          <w:p w14:paraId="4BF749F1">
            <w:pPr>
              <w:pStyle w:val="594"/>
            </w:pPr>
          </w:p>
        </w:tc>
        <w:tc>
          <w:tcPr>
            <w:tcW w:w="8441" w:type="dxa"/>
            <w:gridSpan w:val="3"/>
            <w:vMerge w:val="restart"/>
            <w:tcBorders>
              <w:top w:val="single" w:color="000000" w:sz="4" w:space="0"/>
              <w:bottom w:val="nil"/>
              <w:right w:val="single" w:color="FFFFFF" w:sz="2" w:space="0"/>
            </w:tcBorders>
            <w:vAlign w:val="top"/>
          </w:tcPr>
          <w:p w14:paraId="30EEDBBC">
            <w:pPr>
              <w:pStyle w:val="594"/>
              <w:spacing w:line="274" w:lineRule="auto"/>
            </w:pPr>
          </w:p>
          <w:p w14:paraId="364525F6">
            <w:pPr>
              <w:pStyle w:val="594"/>
              <w:spacing w:line="274" w:lineRule="auto"/>
            </w:pPr>
          </w:p>
          <w:p w14:paraId="0186011A">
            <w:pPr>
              <w:pStyle w:val="594"/>
              <w:spacing w:line="275" w:lineRule="auto"/>
            </w:pPr>
          </w:p>
          <w:p w14:paraId="09AE06E2">
            <w:pPr>
              <w:pStyle w:val="594"/>
              <w:spacing w:line="275" w:lineRule="auto"/>
            </w:pPr>
          </w:p>
          <w:p w14:paraId="207F6153">
            <w:pPr>
              <w:spacing w:before="75" w:line="210" w:lineRule="auto"/>
              <w:ind w:left="2191"/>
              <w:rPr>
                <w:rFonts w:ascii="宋体" w:hAnsi="宋体" w:eastAsia="宋体" w:cs="宋体"/>
                <w:sz w:val="23"/>
                <w:szCs w:val="23"/>
              </w:rPr>
            </w:pPr>
            <w:r>
              <w:rPr>
                <w:rFonts w:ascii="宋体" w:hAnsi="宋体" w:eastAsia="宋体" w:cs="宋体"/>
                <w:spacing w:val="9"/>
                <w:sz w:val="23"/>
                <w:szCs w:val="23"/>
              </w:rPr>
              <w:t>沭阳县耿圩镇污水处理厂提质提标项目</w:t>
            </w:r>
          </w:p>
        </w:tc>
      </w:tr>
      <w:tr w14:paraId="658ADDB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422" w:hRule="atLeast"/>
          <w:jc w:val="center"/>
        </w:trPr>
        <w:tc>
          <w:tcPr>
            <w:tcW w:w="1961" w:type="dxa"/>
            <w:tcBorders>
              <w:left w:val="nil"/>
              <w:bottom w:val="single" w:color="FFFFFF" w:sz="2" w:space="0"/>
            </w:tcBorders>
            <w:vAlign w:val="top"/>
          </w:tcPr>
          <w:p w14:paraId="31DB40B9">
            <w:pPr>
              <w:pStyle w:val="594"/>
              <w:spacing w:line="267" w:lineRule="auto"/>
            </w:pPr>
          </w:p>
          <w:p w14:paraId="6FB658F4">
            <w:pPr>
              <w:pStyle w:val="594"/>
              <w:spacing w:line="267" w:lineRule="auto"/>
            </w:pPr>
          </w:p>
          <w:p w14:paraId="2F02CADD">
            <w:pPr>
              <w:pStyle w:val="594"/>
              <w:spacing w:line="267" w:lineRule="auto"/>
            </w:pPr>
          </w:p>
          <w:p w14:paraId="16B3C9C7">
            <w:pPr>
              <w:pStyle w:val="594"/>
              <w:spacing w:line="268" w:lineRule="auto"/>
            </w:pPr>
          </w:p>
          <w:p w14:paraId="7DD0FF0C">
            <w:pPr>
              <w:spacing w:before="74" w:line="210" w:lineRule="auto"/>
              <w:ind w:left="42"/>
              <w:rPr>
                <w:rFonts w:ascii="宋体" w:hAnsi="宋体" w:eastAsia="宋体" w:cs="宋体"/>
                <w:sz w:val="23"/>
                <w:szCs w:val="23"/>
              </w:rPr>
            </w:pPr>
            <w:r>
              <w:rPr>
                <w:rFonts w:ascii="宋体" w:hAnsi="宋体" w:eastAsia="宋体" w:cs="宋体"/>
                <w:spacing w:val="-1"/>
                <w:sz w:val="23"/>
                <w:szCs w:val="23"/>
              </w:rPr>
              <w:t>工</w:t>
            </w:r>
            <w:r>
              <w:rPr>
                <w:rFonts w:ascii="宋体" w:hAnsi="宋体" w:eastAsia="宋体" w:cs="宋体"/>
                <w:spacing w:val="43"/>
                <w:sz w:val="23"/>
                <w:szCs w:val="23"/>
              </w:rPr>
              <w:t xml:space="preserve"> </w:t>
            </w:r>
            <w:r>
              <w:rPr>
                <w:rFonts w:ascii="宋体" w:hAnsi="宋体" w:eastAsia="宋体" w:cs="宋体"/>
                <w:spacing w:val="-1"/>
                <w:sz w:val="23"/>
                <w:szCs w:val="23"/>
              </w:rPr>
              <w:t>程</w:t>
            </w:r>
            <w:r>
              <w:rPr>
                <w:rFonts w:ascii="宋体" w:hAnsi="宋体" w:eastAsia="宋体" w:cs="宋体"/>
                <w:spacing w:val="45"/>
                <w:sz w:val="23"/>
                <w:szCs w:val="23"/>
              </w:rPr>
              <w:t xml:space="preserve"> </w:t>
            </w:r>
            <w:r>
              <w:rPr>
                <w:rFonts w:ascii="宋体" w:hAnsi="宋体" w:eastAsia="宋体" w:cs="宋体"/>
                <w:spacing w:val="-1"/>
                <w:sz w:val="23"/>
                <w:szCs w:val="23"/>
              </w:rPr>
              <w:t>名</w:t>
            </w:r>
            <w:r>
              <w:rPr>
                <w:rFonts w:ascii="宋体" w:hAnsi="宋体" w:eastAsia="宋体" w:cs="宋体"/>
                <w:spacing w:val="42"/>
                <w:sz w:val="23"/>
                <w:szCs w:val="23"/>
              </w:rPr>
              <w:t xml:space="preserve"> </w:t>
            </w:r>
            <w:r>
              <w:rPr>
                <w:rFonts w:ascii="宋体" w:hAnsi="宋体" w:eastAsia="宋体" w:cs="宋体"/>
                <w:spacing w:val="-1"/>
                <w:sz w:val="23"/>
                <w:szCs w:val="23"/>
              </w:rPr>
              <w:t>称：</w:t>
            </w:r>
          </w:p>
        </w:tc>
        <w:tc>
          <w:tcPr>
            <w:tcW w:w="8441" w:type="dxa"/>
            <w:gridSpan w:val="3"/>
            <w:vMerge w:val="continue"/>
            <w:tcBorders>
              <w:top w:val="nil"/>
              <w:bottom w:val="single" w:color="000000" w:sz="4" w:space="0"/>
              <w:right w:val="single" w:color="FFFFFF" w:sz="2" w:space="0"/>
            </w:tcBorders>
            <w:vAlign w:val="top"/>
          </w:tcPr>
          <w:p w14:paraId="2D4393E3">
            <w:pPr>
              <w:pStyle w:val="594"/>
            </w:pPr>
          </w:p>
        </w:tc>
      </w:tr>
      <w:tr w14:paraId="34D9CFB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433" w:hRule="atLeast"/>
          <w:jc w:val="center"/>
        </w:trPr>
        <w:tc>
          <w:tcPr>
            <w:tcW w:w="1961" w:type="dxa"/>
            <w:tcBorders>
              <w:top w:val="single" w:color="FFFFFF" w:sz="2" w:space="0"/>
              <w:left w:val="nil"/>
              <w:bottom w:val="single" w:color="FFFFFF" w:sz="2" w:space="0"/>
            </w:tcBorders>
            <w:vAlign w:val="top"/>
          </w:tcPr>
          <w:p w14:paraId="72B27E67">
            <w:pPr>
              <w:pStyle w:val="594"/>
              <w:spacing w:line="268" w:lineRule="auto"/>
            </w:pPr>
          </w:p>
          <w:p w14:paraId="49FAD7F5">
            <w:pPr>
              <w:pStyle w:val="594"/>
              <w:spacing w:line="269" w:lineRule="auto"/>
            </w:pPr>
          </w:p>
          <w:p w14:paraId="34809AA1">
            <w:pPr>
              <w:pStyle w:val="594"/>
              <w:spacing w:line="269" w:lineRule="auto"/>
            </w:pPr>
          </w:p>
          <w:p w14:paraId="6AE7A185">
            <w:pPr>
              <w:pStyle w:val="594"/>
              <w:spacing w:line="269" w:lineRule="auto"/>
            </w:pPr>
          </w:p>
          <w:p w14:paraId="7765A574">
            <w:pPr>
              <w:spacing w:before="74" w:line="214" w:lineRule="auto"/>
              <w:ind w:left="42"/>
              <w:rPr>
                <w:rFonts w:ascii="宋体" w:hAnsi="宋体" w:eastAsia="宋体" w:cs="宋体"/>
                <w:sz w:val="23"/>
                <w:szCs w:val="23"/>
              </w:rPr>
            </w:pPr>
            <w:r>
              <w:rPr>
                <w:rFonts w:ascii="宋体" w:hAnsi="宋体" w:eastAsia="宋体" w:cs="宋体"/>
                <w:spacing w:val="17"/>
                <w:sz w:val="23"/>
                <w:szCs w:val="23"/>
              </w:rPr>
              <w:t>投标总价</w:t>
            </w:r>
          </w:p>
        </w:tc>
        <w:tc>
          <w:tcPr>
            <w:tcW w:w="1467" w:type="dxa"/>
            <w:tcBorders>
              <w:top w:val="single" w:color="000000" w:sz="4" w:space="0"/>
              <w:bottom w:val="single" w:color="FFFFFF" w:sz="2" w:space="0"/>
            </w:tcBorders>
            <w:vAlign w:val="top"/>
          </w:tcPr>
          <w:p w14:paraId="115C56C9">
            <w:pPr>
              <w:pStyle w:val="594"/>
              <w:spacing w:line="274" w:lineRule="auto"/>
            </w:pPr>
          </w:p>
          <w:p w14:paraId="5C269894">
            <w:pPr>
              <w:pStyle w:val="594"/>
              <w:spacing w:line="274" w:lineRule="auto"/>
            </w:pPr>
          </w:p>
          <w:p w14:paraId="1069B397">
            <w:pPr>
              <w:pStyle w:val="594"/>
              <w:spacing w:line="274" w:lineRule="auto"/>
            </w:pPr>
          </w:p>
          <w:p w14:paraId="7A7F4B3F">
            <w:pPr>
              <w:pStyle w:val="594"/>
              <w:spacing w:line="274" w:lineRule="auto"/>
            </w:pPr>
          </w:p>
          <w:p w14:paraId="32503DAF">
            <w:pPr>
              <w:spacing w:before="68" w:line="221" w:lineRule="auto"/>
              <w:ind w:left="179"/>
              <w:rPr>
                <w:rFonts w:ascii="宋体" w:hAnsi="宋体" w:eastAsia="宋体" w:cs="宋体"/>
                <w:sz w:val="21"/>
                <w:szCs w:val="21"/>
              </w:rPr>
            </w:pPr>
            <w:r>
              <w:rPr>
                <w:rFonts w:ascii="宋体" w:hAnsi="宋体" w:eastAsia="宋体" w:cs="宋体"/>
                <w:spacing w:val="6"/>
                <w:sz w:val="21"/>
                <w:szCs w:val="21"/>
              </w:rPr>
              <w:t>（小写</w:t>
            </w:r>
            <w:r>
              <w:rPr>
                <w:rFonts w:ascii="宋体" w:hAnsi="宋体" w:eastAsia="宋体" w:cs="宋体"/>
                <w:spacing w:val="-7"/>
                <w:sz w:val="21"/>
                <w:szCs w:val="21"/>
              </w:rPr>
              <w:t>）：</w:t>
            </w:r>
          </w:p>
        </w:tc>
        <w:tc>
          <w:tcPr>
            <w:tcW w:w="6974" w:type="dxa"/>
            <w:gridSpan w:val="2"/>
            <w:tcBorders>
              <w:top w:val="single" w:color="000000" w:sz="4" w:space="0"/>
              <w:bottom w:val="single" w:color="000000" w:sz="4" w:space="0"/>
              <w:right w:val="single" w:color="FFFFFF" w:sz="2" w:space="0"/>
            </w:tcBorders>
            <w:vAlign w:val="top"/>
          </w:tcPr>
          <w:p w14:paraId="4512F700">
            <w:pPr>
              <w:pStyle w:val="594"/>
              <w:spacing w:line="278" w:lineRule="auto"/>
            </w:pPr>
          </w:p>
          <w:p w14:paraId="0048EA6A">
            <w:pPr>
              <w:pStyle w:val="594"/>
              <w:spacing w:line="278" w:lineRule="auto"/>
            </w:pPr>
          </w:p>
          <w:p w14:paraId="06D3F20D">
            <w:pPr>
              <w:pStyle w:val="594"/>
              <w:spacing w:line="279" w:lineRule="auto"/>
            </w:pPr>
          </w:p>
          <w:p w14:paraId="65A114FA">
            <w:pPr>
              <w:pStyle w:val="594"/>
              <w:spacing w:line="279" w:lineRule="auto"/>
            </w:pPr>
          </w:p>
          <w:p w14:paraId="02B6232B">
            <w:pPr>
              <w:spacing w:before="75" w:line="182" w:lineRule="auto"/>
              <w:ind w:left="3434"/>
              <w:rPr>
                <w:rFonts w:ascii="宋体" w:hAnsi="宋体" w:eastAsia="宋体" w:cs="宋体"/>
                <w:sz w:val="23"/>
                <w:szCs w:val="23"/>
              </w:rPr>
            </w:pPr>
            <w:r>
              <w:rPr>
                <w:rFonts w:ascii="宋体" w:hAnsi="宋体" w:eastAsia="宋体" w:cs="宋体"/>
                <w:sz w:val="23"/>
                <w:szCs w:val="23"/>
              </w:rPr>
              <w:t>0</w:t>
            </w:r>
          </w:p>
        </w:tc>
      </w:tr>
      <w:tr w14:paraId="0F3CDBC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81" w:hRule="atLeast"/>
          <w:jc w:val="center"/>
        </w:trPr>
        <w:tc>
          <w:tcPr>
            <w:tcW w:w="1961" w:type="dxa"/>
            <w:tcBorders>
              <w:top w:val="single" w:color="FFFFFF" w:sz="2" w:space="0"/>
              <w:left w:val="nil"/>
              <w:bottom w:val="single" w:color="FFFFFF" w:sz="2" w:space="0"/>
            </w:tcBorders>
            <w:vAlign w:val="top"/>
          </w:tcPr>
          <w:p w14:paraId="4C985242">
            <w:pPr>
              <w:pStyle w:val="594"/>
            </w:pPr>
          </w:p>
        </w:tc>
        <w:tc>
          <w:tcPr>
            <w:tcW w:w="1467" w:type="dxa"/>
            <w:tcBorders>
              <w:top w:val="single" w:color="FFFFFF" w:sz="2" w:space="0"/>
              <w:bottom w:val="single" w:color="FFFFFF" w:sz="2" w:space="0"/>
            </w:tcBorders>
            <w:vAlign w:val="top"/>
          </w:tcPr>
          <w:p w14:paraId="7FA786F8">
            <w:pPr>
              <w:pStyle w:val="594"/>
              <w:spacing w:line="257" w:lineRule="auto"/>
            </w:pPr>
          </w:p>
          <w:p w14:paraId="519EF79C">
            <w:pPr>
              <w:spacing w:before="68" w:line="214" w:lineRule="auto"/>
              <w:ind w:left="179"/>
              <w:rPr>
                <w:rFonts w:ascii="宋体" w:hAnsi="宋体" w:eastAsia="宋体" w:cs="宋体"/>
                <w:sz w:val="21"/>
                <w:szCs w:val="21"/>
              </w:rPr>
            </w:pPr>
            <w:r>
              <w:rPr>
                <w:rFonts w:ascii="宋体" w:hAnsi="宋体" w:eastAsia="宋体" w:cs="宋体"/>
                <w:spacing w:val="6"/>
                <w:sz w:val="21"/>
                <w:szCs w:val="21"/>
              </w:rPr>
              <w:t>（大写</w:t>
            </w:r>
            <w:r>
              <w:rPr>
                <w:rFonts w:ascii="宋体" w:hAnsi="宋体" w:eastAsia="宋体" w:cs="宋体"/>
                <w:spacing w:val="-7"/>
                <w:sz w:val="21"/>
                <w:szCs w:val="21"/>
              </w:rPr>
              <w:t>）：</w:t>
            </w:r>
          </w:p>
        </w:tc>
        <w:tc>
          <w:tcPr>
            <w:tcW w:w="6974" w:type="dxa"/>
            <w:gridSpan w:val="2"/>
            <w:tcBorders>
              <w:top w:val="single" w:color="000000" w:sz="4" w:space="0"/>
              <w:bottom w:val="single" w:color="000000" w:sz="4" w:space="0"/>
              <w:right w:val="single" w:color="FFFFFF" w:sz="2" w:space="0"/>
            </w:tcBorders>
            <w:vAlign w:val="top"/>
          </w:tcPr>
          <w:p w14:paraId="4E53CC00">
            <w:pPr>
              <w:spacing w:before="311" w:line="208" w:lineRule="auto"/>
              <w:ind w:left="3134"/>
              <w:rPr>
                <w:rFonts w:ascii="宋体" w:hAnsi="宋体" w:eastAsia="宋体" w:cs="宋体"/>
                <w:sz w:val="23"/>
                <w:szCs w:val="23"/>
              </w:rPr>
            </w:pPr>
            <w:r>
              <w:rPr>
                <w:rFonts w:ascii="宋体" w:hAnsi="宋体" w:eastAsia="宋体" w:cs="宋体"/>
                <w:spacing w:val="6"/>
                <w:sz w:val="23"/>
                <w:szCs w:val="23"/>
              </w:rPr>
              <w:t>零元整</w:t>
            </w:r>
          </w:p>
        </w:tc>
      </w:tr>
      <w:tr w14:paraId="4D6791B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301" w:hRule="atLeast"/>
          <w:jc w:val="center"/>
        </w:trPr>
        <w:tc>
          <w:tcPr>
            <w:tcW w:w="1961" w:type="dxa"/>
            <w:tcBorders>
              <w:top w:val="single" w:color="FFFFFF" w:sz="2" w:space="0"/>
              <w:left w:val="nil"/>
              <w:bottom w:val="single" w:color="FFFFFF" w:sz="2" w:space="0"/>
            </w:tcBorders>
            <w:vAlign w:val="top"/>
          </w:tcPr>
          <w:p w14:paraId="2678AD52">
            <w:pPr>
              <w:pStyle w:val="594"/>
              <w:spacing w:line="319" w:lineRule="auto"/>
            </w:pPr>
          </w:p>
          <w:p w14:paraId="7519AF78">
            <w:pPr>
              <w:pStyle w:val="594"/>
              <w:spacing w:line="319" w:lineRule="auto"/>
            </w:pPr>
          </w:p>
          <w:p w14:paraId="2A479C9B">
            <w:pPr>
              <w:pStyle w:val="594"/>
              <w:spacing w:line="320" w:lineRule="auto"/>
            </w:pPr>
          </w:p>
          <w:p w14:paraId="1A75A549">
            <w:pPr>
              <w:spacing w:before="75" w:line="202" w:lineRule="auto"/>
              <w:ind w:left="42"/>
              <w:rPr>
                <w:rFonts w:ascii="宋体" w:hAnsi="宋体" w:eastAsia="宋体" w:cs="宋体"/>
                <w:sz w:val="23"/>
                <w:szCs w:val="23"/>
              </w:rPr>
            </w:pPr>
            <w:r>
              <w:rPr>
                <w:rFonts w:ascii="宋体" w:hAnsi="宋体" w:eastAsia="宋体" w:cs="宋体"/>
                <w:spacing w:val="11"/>
                <w:sz w:val="23"/>
                <w:szCs w:val="23"/>
              </w:rPr>
              <w:t>投标人：</w:t>
            </w:r>
          </w:p>
        </w:tc>
        <w:tc>
          <w:tcPr>
            <w:tcW w:w="8441" w:type="dxa"/>
            <w:gridSpan w:val="3"/>
            <w:tcBorders>
              <w:top w:val="single" w:color="000000" w:sz="4" w:space="0"/>
              <w:bottom w:val="single" w:color="000000" w:sz="4" w:space="0"/>
              <w:right w:val="single" w:color="FFFFFF" w:sz="2" w:space="0"/>
            </w:tcBorders>
            <w:vAlign w:val="top"/>
          </w:tcPr>
          <w:p w14:paraId="3129EDC8">
            <w:pPr>
              <w:pStyle w:val="594"/>
            </w:pPr>
          </w:p>
        </w:tc>
      </w:tr>
      <w:tr w14:paraId="7A3A258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97" w:hRule="atLeast"/>
          <w:jc w:val="center"/>
        </w:trPr>
        <w:tc>
          <w:tcPr>
            <w:tcW w:w="1961" w:type="dxa"/>
            <w:tcBorders>
              <w:top w:val="single" w:color="FFFFFF" w:sz="2" w:space="0"/>
              <w:left w:val="nil"/>
            </w:tcBorders>
            <w:vAlign w:val="top"/>
          </w:tcPr>
          <w:p w14:paraId="7D91A751">
            <w:pPr>
              <w:pStyle w:val="594"/>
            </w:pPr>
          </w:p>
        </w:tc>
        <w:tc>
          <w:tcPr>
            <w:tcW w:w="8441" w:type="dxa"/>
            <w:gridSpan w:val="3"/>
            <w:tcBorders>
              <w:top w:val="single" w:color="000000" w:sz="4" w:space="0"/>
              <w:right w:val="single" w:color="FFFFFF" w:sz="2" w:space="0"/>
            </w:tcBorders>
            <w:vAlign w:val="top"/>
          </w:tcPr>
          <w:p w14:paraId="6D7AEF2C">
            <w:pPr>
              <w:spacing w:before="28" w:line="229" w:lineRule="auto"/>
              <w:ind w:left="3766"/>
              <w:rPr>
                <w:rFonts w:ascii="宋体" w:hAnsi="宋体" w:eastAsia="宋体" w:cs="宋体"/>
                <w:sz w:val="19"/>
                <w:szCs w:val="19"/>
              </w:rPr>
            </w:pPr>
            <w:r>
              <w:rPr>
                <w:rFonts w:ascii="宋体" w:hAnsi="宋体" w:eastAsia="宋体" w:cs="宋体"/>
                <w:spacing w:val="-2"/>
                <w:sz w:val="19"/>
                <w:szCs w:val="19"/>
              </w:rPr>
              <w:t>(单位盖章)</w:t>
            </w:r>
          </w:p>
        </w:tc>
      </w:tr>
      <w:tr w14:paraId="004EE03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301" w:hRule="atLeast"/>
          <w:jc w:val="center"/>
        </w:trPr>
        <w:tc>
          <w:tcPr>
            <w:tcW w:w="1961" w:type="dxa"/>
            <w:tcBorders>
              <w:left w:val="nil"/>
              <w:bottom w:val="single" w:color="FFFFFF" w:sz="2" w:space="0"/>
            </w:tcBorders>
            <w:vAlign w:val="top"/>
          </w:tcPr>
          <w:p w14:paraId="77B57627">
            <w:pPr>
              <w:pStyle w:val="594"/>
              <w:spacing w:line="242" w:lineRule="auto"/>
            </w:pPr>
          </w:p>
          <w:p w14:paraId="39AE4CD8">
            <w:pPr>
              <w:pStyle w:val="594"/>
              <w:spacing w:line="243" w:lineRule="auto"/>
            </w:pPr>
          </w:p>
          <w:p w14:paraId="60A26F48">
            <w:pPr>
              <w:spacing w:before="75" w:line="292" w:lineRule="auto"/>
              <w:ind w:left="41" w:right="473" w:hanging="1"/>
              <w:rPr>
                <w:rFonts w:ascii="宋体" w:hAnsi="宋体" w:eastAsia="宋体" w:cs="宋体"/>
                <w:sz w:val="23"/>
                <w:szCs w:val="23"/>
              </w:rPr>
            </w:pPr>
            <w:r>
              <w:rPr>
                <w:rFonts w:ascii="宋体" w:hAnsi="宋体" w:eastAsia="宋体" w:cs="宋体"/>
                <w:spacing w:val="19"/>
                <w:sz w:val="23"/>
                <w:szCs w:val="23"/>
              </w:rPr>
              <w:t>法定代表人</w:t>
            </w:r>
            <w:r>
              <w:rPr>
                <w:rFonts w:ascii="宋体" w:hAnsi="宋体" w:eastAsia="宋体" w:cs="宋体"/>
                <w:sz w:val="23"/>
                <w:szCs w:val="23"/>
              </w:rPr>
              <w:t xml:space="preserve">  </w:t>
            </w:r>
            <w:r>
              <w:rPr>
                <w:rFonts w:ascii="宋体" w:hAnsi="宋体" w:eastAsia="宋体" w:cs="宋体"/>
                <w:spacing w:val="9"/>
                <w:sz w:val="23"/>
                <w:szCs w:val="23"/>
              </w:rPr>
              <w:t>或其授权人：</w:t>
            </w:r>
          </w:p>
        </w:tc>
        <w:tc>
          <w:tcPr>
            <w:tcW w:w="8441" w:type="dxa"/>
            <w:gridSpan w:val="3"/>
            <w:tcBorders>
              <w:bottom w:val="single" w:color="000000" w:sz="4" w:space="0"/>
              <w:right w:val="single" w:color="FFFFFF" w:sz="2" w:space="0"/>
            </w:tcBorders>
            <w:vAlign w:val="top"/>
          </w:tcPr>
          <w:p w14:paraId="14D93A88">
            <w:pPr>
              <w:pStyle w:val="594"/>
            </w:pPr>
          </w:p>
        </w:tc>
      </w:tr>
      <w:tr w14:paraId="1418DF2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97" w:hRule="atLeast"/>
          <w:jc w:val="center"/>
        </w:trPr>
        <w:tc>
          <w:tcPr>
            <w:tcW w:w="1961" w:type="dxa"/>
            <w:tcBorders>
              <w:top w:val="single" w:color="FFFFFF" w:sz="2" w:space="0"/>
              <w:left w:val="nil"/>
            </w:tcBorders>
            <w:vAlign w:val="top"/>
          </w:tcPr>
          <w:p w14:paraId="69C1A6D6">
            <w:pPr>
              <w:pStyle w:val="594"/>
            </w:pPr>
          </w:p>
        </w:tc>
        <w:tc>
          <w:tcPr>
            <w:tcW w:w="8441" w:type="dxa"/>
            <w:gridSpan w:val="3"/>
            <w:tcBorders>
              <w:top w:val="single" w:color="000000" w:sz="4" w:space="0"/>
              <w:right w:val="single" w:color="FFFFFF" w:sz="2" w:space="0"/>
            </w:tcBorders>
            <w:vAlign w:val="top"/>
          </w:tcPr>
          <w:p w14:paraId="5D726518">
            <w:pPr>
              <w:spacing w:before="32" w:line="229" w:lineRule="auto"/>
              <w:ind w:left="3661"/>
              <w:rPr>
                <w:rFonts w:ascii="宋体" w:hAnsi="宋体" w:eastAsia="宋体" w:cs="宋体"/>
                <w:sz w:val="19"/>
                <w:szCs w:val="19"/>
              </w:rPr>
            </w:pPr>
            <w:r>
              <w:rPr>
                <w:rFonts w:ascii="宋体" w:hAnsi="宋体" w:eastAsia="宋体" w:cs="宋体"/>
                <w:spacing w:val="-1"/>
                <w:sz w:val="19"/>
                <w:szCs w:val="19"/>
              </w:rPr>
              <w:t>(签字或盖章)</w:t>
            </w:r>
          </w:p>
        </w:tc>
      </w:tr>
      <w:tr w14:paraId="46D1FED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301" w:hRule="atLeast"/>
          <w:jc w:val="center"/>
        </w:trPr>
        <w:tc>
          <w:tcPr>
            <w:tcW w:w="1961" w:type="dxa"/>
            <w:tcBorders>
              <w:left w:val="nil"/>
              <w:bottom w:val="single" w:color="FFFFFF" w:sz="2" w:space="0"/>
            </w:tcBorders>
            <w:vAlign w:val="top"/>
          </w:tcPr>
          <w:p w14:paraId="681A08F1">
            <w:pPr>
              <w:pStyle w:val="594"/>
              <w:spacing w:line="241" w:lineRule="auto"/>
            </w:pPr>
          </w:p>
          <w:p w14:paraId="5E778571">
            <w:pPr>
              <w:pStyle w:val="594"/>
              <w:spacing w:line="242" w:lineRule="auto"/>
            </w:pPr>
          </w:p>
          <w:p w14:paraId="2B029D1A">
            <w:pPr>
              <w:pStyle w:val="594"/>
              <w:spacing w:line="242" w:lineRule="auto"/>
            </w:pPr>
          </w:p>
          <w:p w14:paraId="49F81212">
            <w:pPr>
              <w:pStyle w:val="594"/>
              <w:spacing w:line="242" w:lineRule="auto"/>
            </w:pPr>
          </w:p>
          <w:p w14:paraId="0DCABD84">
            <w:pPr>
              <w:spacing w:before="75" w:line="195" w:lineRule="auto"/>
              <w:ind w:left="41"/>
              <w:rPr>
                <w:rFonts w:ascii="宋体" w:hAnsi="宋体" w:eastAsia="宋体" w:cs="宋体"/>
                <w:sz w:val="23"/>
                <w:szCs w:val="23"/>
              </w:rPr>
            </w:pPr>
            <w:r>
              <w:rPr>
                <w:rFonts w:ascii="宋体" w:hAnsi="宋体" w:eastAsia="宋体" w:cs="宋体"/>
                <w:spacing w:val="-1"/>
                <w:sz w:val="23"/>
                <w:szCs w:val="23"/>
              </w:rPr>
              <w:t>编</w:t>
            </w:r>
            <w:r>
              <w:rPr>
                <w:rFonts w:ascii="宋体" w:hAnsi="宋体" w:eastAsia="宋体" w:cs="宋体"/>
                <w:spacing w:val="43"/>
                <w:sz w:val="23"/>
                <w:szCs w:val="23"/>
              </w:rPr>
              <w:t xml:space="preserve"> </w:t>
            </w:r>
            <w:r>
              <w:rPr>
                <w:rFonts w:ascii="宋体" w:hAnsi="宋体" w:eastAsia="宋体" w:cs="宋体"/>
                <w:spacing w:val="-1"/>
                <w:sz w:val="23"/>
                <w:szCs w:val="23"/>
              </w:rPr>
              <w:t>制</w:t>
            </w:r>
            <w:r>
              <w:rPr>
                <w:rFonts w:ascii="宋体" w:hAnsi="宋体" w:eastAsia="宋体" w:cs="宋体"/>
                <w:spacing w:val="44"/>
                <w:sz w:val="23"/>
                <w:szCs w:val="23"/>
              </w:rPr>
              <w:t xml:space="preserve"> </w:t>
            </w:r>
            <w:r>
              <w:rPr>
                <w:rFonts w:ascii="宋体" w:hAnsi="宋体" w:eastAsia="宋体" w:cs="宋体"/>
                <w:spacing w:val="-1"/>
                <w:sz w:val="23"/>
                <w:szCs w:val="23"/>
              </w:rPr>
              <w:t>人：</w:t>
            </w:r>
          </w:p>
        </w:tc>
        <w:tc>
          <w:tcPr>
            <w:tcW w:w="8441" w:type="dxa"/>
            <w:gridSpan w:val="3"/>
            <w:tcBorders>
              <w:bottom w:val="single" w:color="000000" w:sz="4" w:space="0"/>
              <w:right w:val="single" w:color="FFFFFF" w:sz="2" w:space="0"/>
            </w:tcBorders>
            <w:vAlign w:val="top"/>
          </w:tcPr>
          <w:p w14:paraId="158A6AB7">
            <w:pPr>
              <w:pStyle w:val="594"/>
            </w:pPr>
          </w:p>
        </w:tc>
      </w:tr>
      <w:tr w14:paraId="25EA108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97" w:hRule="atLeast"/>
          <w:jc w:val="center"/>
        </w:trPr>
        <w:tc>
          <w:tcPr>
            <w:tcW w:w="1961" w:type="dxa"/>
            <w:tcBorders>
              <w:top w:val="single" w:color="FFFFFF" w:sz="2" w:space="0"/>
              <w:left w:val="nil"/>
            </w:tcBorders>
            <w:vAlign w:val="top"/>
          </w:tcPr>
          <w:p w14:paraId="74E65877">
            <w:pPr>
              <w:pStyle w:val="594"/>
            </w:pPr>
          </w:p>
        </w:tc>
        <w:tc>
          <w:tcPr>
            <w:tcW w:w="8441" w:type="dxa"/>
            <w:gridSpan w:val="3"/>
            <w:tcBorders>
              <w:top w:val="single" w:color="000000" w:sz="4" w:space="0"/>
              <w:right w:val="single" w:color="FFFFFF" w:sz="2" w:space="0"/>
            </w:tcBorders>
            <w:vAlign w:val="top"/>
          </w:tcPr>
          <w:p w14:paraId="7396FEF1">
            <w:pPr>
              <w:spacing w:before="36" w:line="228" w:lineRule="auto"/>
              <w:ind w:left="3067"/>
              <w:rPr>
                <w:rFonts w:ascii="宋体" w:hAnsi="宋体" w:eastAsia="宋体" w:cs="宋体"/>
                <w:sz w:val="19"/>
                <w:szCs w:val="19"/>
              </w:rPr>
            </w:pPr>
            <w:r>
              <w:rPr>
                <w:rFonts w:ascii="宋体" w:hAnsi="宋体" w:eastAsia="宋体" w:cs="宋体"/>
                <w:spacing w:val="3"/>
                <w:sz w:val="19"/>
                <w:szCs w:val="19"/>
              </w:rPr>
              <w:t>（造价人员签字盖专用章）</w:t>
            </w:r>
          </w:p>
        </w:tc>
      </w:tr>
      <w:tr w14:paraId="43FC5AD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317" w:hRule="atLeast"/>
          <w:jc w:val="center"/>
        </w:trPr>
        <w:tc>
          <w:tcPr>
            <w:tcW w:w="1961" w:type="dxa"/>
            <w:tcBorders>
              <w:left w:val="nil"/>
              <w:bottom w:val="single" w:color="FFFFFF" w:sz="2" w:space="0"/>
            </w:tcBorders>
            <w:vAlign w:val="top"/>
          </w:tcPr>
          <w:p w14:paraId="6F844C4E">
            <w:pPr>
              <w:pStyle w:val="594"/>
              <w:spacing w:line="243" w:lineRule="auto"/>
            </w:pPr>
          </w:p>
          <w:p w14:paraId="26FAECEA">
            <w:pPr>
              <w:pStyle w:val="594"/>
              <w:spacing w:line="243" w:lineRule="auto"/>
            </w:pPr>
          </w:p>
          <w:p w14:paraId="717DE1CF">
            <w:pPr>
              <w:pStyle w:val="594"/>
              <w:spacing w:line="243" w:lineRule="auto"/>
            </w:pPr>
          </w:p>
          <w:p w14:paraId="3D3F4725">
            <w:pPr>
              <w:pStyle w:val="594"/>
              <w:spacing w:line="243" w:lineRule="auto"/>
            </w:pPr>
          </w:p>
          <w:p w14:paraId="7AE310C7">
            <w:pPr>
              <w:spacing w:before="74" w:line="204" w:lineRule="auto"/>
              <w:ind w:left="41"/>
              <w:rPr>
                <w:rFonts w:ascii="宋体" w:hAnsi="宋体" w:eastAsia="宋体" w:cs="宋体"/>
                <w:sz w:val="23"/>
                <w:szCs w:val="23"/>
              </w:rPr>
            </w:pPr>
            <w:r>
              <w:rPr>
                <w:rFonts w:ascii="宋体" w:hAnsi="宋体" w:eastAsia="宋体" w:cs="宋体"/>
                <w:spacing w:val="14"/>
                <w:sz w:val="23"/>
                <w:szCs w:val="23"/>
              </w:rPr>
              <w:t>编制时间：</w:t>
            </w:r>
          </w:p>
        </w:tc>
        <w:tc>
          <w:tcPr>
            <w:tcW w:w="8441" w:type="dxa"/>
            <w:gridSpan w:val="3"/>
            <w:tcBorders>
              <w:bottom w:val="single" w:color="FFFFFF" w:sz="2" w:space="0"/>
              <w:right w:val="single" w:color="FFFFFF" w:sz="2" w:space="0"/>
            </w:tcBorders>
            <w:vAlign w:val="top"/>
          </w:tcPr>
          <w:p w14:paraId="58088AB5">
            <w:pPr>
              <w:pStyle w:val="594"/>
            </w:pPr>
          </w:p>
        </w:tc>
      </w:tr>
    </w:tbl>
    <w:p w14:paraId="773E51A7">
      <w:pPr>
        <w:spacing w:before="25"/>
      </w:pPr>
    </w:p>
    <w:p w14:paraId="66396553">
      <w:pPr>
        <w:spacing w:before="25"/>
      </w:pPr>
    </w:p>
    <w:p w14:paraId="7F6F9F88">
      <w:pPr>
        <w:spacing w:before="25"/>
      </w:pPr>
    </w:p>
    <w:p w14:paraId="5A26A34C">
      <w:pPr>
        <w:spacing w:before="25"/>
      </w:pPr>
    </w:p>
    <w:p w14:paraId="2DFE06A4">
      <w:pPr>
        <w:spacing w:before="24"/>
      </w:pPr>
    </w:p>
    <w:tbl>
      <w:tblPr>
        <w:tblStyle w:val="333"/>
        <w:tblW w:w="10401"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201"/>
        <w:gridCol w:w="2200"/>
      </w:tblGrid>
      <w:tr w14:paraId="05E6789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9" w:hRule="atLeast"/>
        </w:trPr>
        <w:tc>
          <w:tcPr>
            <w:tcW w:w="8201" w:type="dxa"/>
            <w:tcBorders>
              <w:bottom w:val="single" w:color="FFFFFF" w:sz="2" w:space="0"/>
              <w:right w:val="single" w:color="FFFFFF" w:sz="4" w:space="0"/>
            </w:tcBorders>
            <w:vAlign w:val="top"/>
          </w:tcPr>
          <w:p w14:paraId="5B4C3CF3">
            <w:pPr>
              <w:pStyle w:val="594"/>
            </w:pPr>
            <w:r>
              <w:drawing>
                <wp:anchor distT="0" distB="0" distL="0" distR="0" simplePos="0" relativeHeight="251660288" behindDoc="1" locked="0" layoutInCell="1" allowOverlap="1">
                  <wp:simplePos x="0" y="0"/>
                  <wp:positionH relativeFrom="rightMargin">
                    <wp:posOffset>-46990</wp:posOffset>
                  </wp:positionH>
                  <wp:positionV relativeFrom="topMargin">
                    <wp:posOffset>0</wp:posOffset>
                  </wp:positionV>
                  <wp:extent cx="9525" cy="237490"/>
                  <wp:effectExtent l="0" t="0" r="9525" b="1016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0"/>
                          <a:stretch>
                            <a:fillRect/>
                          </a:stretch>
                        </pic:blipFill>
                        <pic:spPr>
                          <a:xfrm>
                            <a:off x="0" y="0"/>
                            <a:ext cx="9509" cy="237743"/>
                          </a:xfrm>
                          <a:prstGeom prst="rect">
                            <a:avLst/>
                          </a:prstGeom>
                        </pic:spPr>
                      </pic:pic>
                    </a:graphicData>
                  </a:graphic>
                </wp:anchor>
              </w:drawing>
            </w:r>
          </w:p>
        </w:tc>
        <w:tc>
          <w:tcPr>
            <w:tcW w:w="2200" w:type="dxa"/>
            <w:tcBorders>
              <w:left w:val="single" w:color="FFFFFF" w:sz="4" w:space="0"/>
              <w:bottom w:val="single" w:color="FFFFFF" w:sz="2" w:space="0"/>
              <w:right w:val="single" w:color="FFFFFF" w:sz="2" w:space="0"/>
            </w:tcBorders>
            <w:vAlign w:val="top"/>
          </w:tcPr>
          <w:p w14:paraId="2066FC8F">
            <w:pPr>
              <w:spacing w:before="89" w:line="233" w:lineRule="auto"/>
              <w:ind w:right="23"/>
              <w:jc w:val="right"/>
              <w:rPr>
                <w:rFonts w:ascii="宋体" w:hAnsi="宋体" w:eastAsia="宋体" w:cs="宋体"/>
                <w:sz w:val="17"/>
                <w:szCs w:val="17"/>
              </w:rPr>
            </w:pPr>
            <w:r>
              <w:rPr>
                <w:rFonts w:ascii="宋体" w:hAnsi="宋体" w:eastAsia="宋体" w:cs="宋体"/>
                <w:spacing w:val="3"/>
                <w:sz w:val="17"/>
                <w:szCs w:val="17"/>
              </w:rPr>
              <w:t>扉-3</w:t>
            </w:r>
          </w:p>
        </w:tc>
      </w:tr>
    </w:tbl>
    <w:p w14:paraId="3EC9C9EA">
      <w:pPr>
        <w:rPr>
          <w:rFonts w:ascii="Arial"/>
          <w:sz w:val="21"/>
        </w:rPr>
      </w:pPr>
    </w:p>
    <w:p w14:paraId="613B23C6">
      <w:pPr>
        <w:rPr>
          <w:rFonts w:ascii="Arial" w:hAnsi="Arial" w:eastAsia="Arial" w:cs="Arial"/>
          <w:sz w:val="21"/>
          <w:szCs w:val="21"/>
        </w:rPr>
        <w:sectPr>
          <w:headerReference r:id="rId4" w:type="default"/>
          <w:pgSz w:w="11960" w:h="16880"/>
          <w:pgMar w:top="400" w:right="821" w:bottom="0" w:left="733" w:header="0" w:footer="0" w:gutter="0"/>
          <w:cols w:space="720" w:num="1"/>
        </w:sectPr>
      </w:pPr>
    </w:p>
    <w:p w14:paraId="41AC34A1">
      <w:pPr>
        <w:spacing w:before="208"/>
      </w:pPr>
    </w:p>
    <w:tbl>
      <w:tblPr>
        <w:tblStyle w:val="333"/>
        <w:tblW w:w="10402"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Grid>
        <w:gridCol w:w="1752"/>
        <w:gridCol w:w="628"/>
        <w:gridCol w:w="1197"/>
        <w:gridCol w:w="748"/>
        <w:gridCol w:w="3418"/>
        <w:gridCol w:w="2659"/>
      </w:tblGrid>
      <w:tr w14:paraId="50FE17E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980" w:hRule="atLeast"/>
          <w:jc w:val="center"/>
        </w:trPr>
        <w:tc>
          <w:tcPr>
            <w:tcW w:w="2380" w:type="dxa"/>
            <w:gridSpan w:val="2"/>
            <w:tcBorders>
              <w:top w:val="nil"/>
              <w:left w:val="nil"/>
              <w:bottom w:val="single" w:color="FFFFFF" w:sz="2" w:space="0"/>
            </w:tcBorders>
            <w:vAlign w:val="top"/>
          </w:tcPr>
          <w:p w14:paraId="4470A9E7">
            <w:pPr>
              <w:pStyle w:val="594"/>
            </w:pPr>
          </w:p>
        </w:tc>
        <w:tc>
          <w:tcPr>
            <w:tcW w:w="5363" w:type="dxa"/>
            <w:gridSpan w:val="3"/>
            <w:tcBorders>
              <w:top w:val="nil"/>
              <w:bottom w:val="single" w:color="000000" w:sz="4" w:space="0"/>
            </w:tcBorders>
            <w:vAlign w:val="top"/>
          </w:tcPr>
          <w:p w14:paraId="3986F2CC">
            <w:pPr>
              <w:pStyle w:val="594"/>
              <w:spacing w:line="280" w:lineRule="auto"/>
            </w:pPr>
          </w:p>
          <w:p w14:paraId="43B4C9F0">
            <w:pPr>
              <w:pStyle w:val="594"/>
              <w:spacing w:line="280" w:lineRule="auto"/>
            </w:pPr>
          </w:p>
          <w:p w14:paraId="10A2E452">
            <w:pPr>
              <w:pStyle w:val="594"/>
              <w:spacing w:line="280" w:lineRule="auto"/>
            </w:pPr>
          </w:p>
          <w:p w14:paraId="6AF30BE4">
            <w:pPr>
              <w:pStyle w:val="594"/>
              <w:spacing w:line="281" w:lineRule="auto"/>
            </w:pPr>
          </w:p>
          <w:p w14:paraId="46109A05">
            <w:pPr>
              <w:spacing w:before="114" w:line="192" w:lineRule="auto"/>
              <w:ind w:left="2106" w:right="88" w:hanging="2051"/>
              <w:rPr>
                <w:rFonts w:ascii="宋体" w:hAnsi="宋体" w:eastAsia="宋体" w:cs="宋体"/>
                <w:sz w:val="35"/>
                <w:szCs w:val="35"/>
              </w:rPr>
            </w:pPr>
            <w:r>
              <w:rPr>
                <w:rFonts w:ascii="宋体" w:hAnsi="宋体" w:eastAsia="宋体" w:cs="宋体"/>
                <w:spacing w:val="22"/>
                <w:sz w:val="35"/>
                <w:szCs w:val="35"/>
              </w:rPr>
              <w:t>沭阳县耿圩镇污水处理厂提质提</w:t>
            </w:r>
            <w:r>
              <w:rPr>
                <w:rFonts w:ascii="宋体" w:hAnsi="宋体" w:eastAsia="宋体" w:cs="宋体"/>
                <w:sz w:val="35"/>
                <w:szCs w:val="35"/>
              </w:rPr>
              <w:t xml:space="preserve"> </w:t>
            </w:r>
            <w:r>
              <w:rPr>
                <w:rFonts w:ascii="宋体" w:hAnsi="宋体" w:eastAsia="宋体" w:cs="宋体"/>
                <w:spacing w:val="14"/>
                <w:sz w:val="35"/>
                <w:szCs w:val="35"/>
              </w:rPr>
              <w:t>标项目</w:t>
            </w:r>
          </w:p>
        </w:tc>
        <w:tc>
          <w:tcPr>
            <w:tcW w:w="2659" w:type="dxa"/>
            <w:tcBorders>
              <w:top w:val="nil"/>
              <w:bottom w:val="single" w:color="FFFFFF" w:sz="2" w:space="0"/>
              <w:right w:val="single" w:color="FFFFFF" w:sz="2" w:space="0"/>
            </w:tcBorders>
            <w:vAlign w:val="top"/>
          </w:tcPr>
          <w:p w14:paraId="0247B743">
            <w:pPr>
              <w:pStyle w:val="594"/>
              <w:spacing w:line="246" w:lineRule="auto"/>
            </w:pPr>
          </w:p>
          <w:p w14:paraId="3C037A66">
            <w:pPr>
              <w:pStyle w:val="594"/>
              <w:spacing w:line="246" w:lineRule="auto"/>
            </w:pPr>
          </w:p>
          <w:p w14:paraId="5B483BA4">
            <w:pPr>
              <w:pStyle w:val="594"/>
              <w:spacing w:line="246" w:lineRule="auto"/>
            </w:pPr>
          </w:p>
          <w:p w14:paraId="113A02A0">
            <w:pPr>
              <w:pStyle w:val="594"/>
              <w:spacing w:line="247" w:lineRule="auto"/>
            </w:pPr>
          </w:p>
          <w:p w14:paraId="3C45C366">
            <w:pPr>
              <w:pStyle w:val="594"/>
              <w:spacing w:line="247" w:lineRule="auto"/>
            </w:pPr>
          </w:p>
          <w:p w14:paraId="62766435">
            <w:pPr>
              <w:pStyle w:val="594"/>
              <w:spacing w:line="247" w:lineRule="auto"/>
            </w:pPr>
          </w:p>
          <w:p w14:paraId="48DDD7AB">
            <w:pPr>
              <w:spacing w:before="114" w:line="194" w:lineRule="auto"/>
              <w:ind w:left="10"/>
              <w:rPr>
                <w:rFonts w:ascii="宋体" w:hAnsi="宋体" w:eastAsia="宋体" w:cs="宋体"/>
                <w:sz w:val="35"/>
                <w:szCs w:val="35"/>
              </w:rPr>
            </w:pPr>
            <w:r>
              <w:rPr>
                <w:rFonts w:ascii="宋体" w:hAnsi="宋体" w:eastAsia="宋体" w:cs="宋体"/>
                <w:spacing w:val="7"/>
                <w:sz w:val="35"/>
                <w:szCs w:val="35"/>
              </w:rPr>
              <w:t>工程</w:t>
            </w:r>
          </w:p>
        </w:tc>
      </w:tr>
      <w:tr w14:paraId="2D03F25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224" w:hRule="atLeast"/>
          <w:jc w:val="center"/>
        </w:trPr>
        <w:tc>
          <w:tcPr>
            <w:tcW w:w="10402" w:type="dxa"/>
            <w:gridSpan w:val="6"/>
            <w:tcBorders>
              <w:top w:val="single" w:color="000000" w:sz="4" w:space="0"/>
              <w:left w:val="nil"/>
              <w:right w:val="single" w:color="FFFFFF" w:sz="2" w:space="0"/>
            </w:tcBorders>
            <w:vAlign w:val="top"/>
          </w:tcPr>
          <w:p w14:paraId="502B9B32">
            <w:pPr>
              <w:pStyle w:val="594"/>
              <w:spacing w:line="311" w:lineRule="auto"/>
            </w:pPr>
          </w:p>
          <w:p w14:paraId="3F508B17">
            <w:pPr>
              <w:pStyle w:val="594"/>
              <w:spacing w:line="312" w:lineRule="auto"/>
            </w:pPr>
          </w:p>
          <w:p w14:paraId="282BBA51">
            <w:pPr>
              <w:spacing w:before="139" w:line="192" w:lineRule="auto"/>
              <w:ind w:left="3960"/>
              <w:outlineLvl w:val="0"/>
              <w:rPr>
                <w:rFonts w:ascii="宋体" w:hAnsi="宋体" w:eastAsia="宋体" w:cs="宋体"/>
                <w:sz w:val="43"/>
                <w:szCs w:val="43"/>
              </w:rPr>
            </w:pPr>
            <w:r>
              <w:rPr>
                <w:rFonts w:ascii="宋体" w:hAnsi="宋体" w:eastAsia="宋体" w:cs="宋体"/>
                <w:spacing w:val="-10"/>
                <w:sz w:val="43"/>
                <w:szCs w:val="43"/>
              </w:rPr>
              <w:t>投</w:t>
            </w:r>
            <w:r>
              <w:rPr>
                <w:rFonts w:ascii="宋体" w:hAnsi="宋体" w:eastAsia="宋体" w:cs="宋体"/>
                <w:spacing w:val="56"/>
                <w:sz w:val="43"/>
                <w:szCs w:val="43"/>
              </w:rPr>
              <w:t xml:space="preserve"> </w:t>
            </w:r>
            <w:r>
              <w:rPr>
                <w:rFonts w:ascii="宋体" w:hAnsi="宋体" w:eastAsia="宋体" w:cs="宋体"/>
                <w:spacing w:val="-10"/>
                <w:sz w:val="43"/>
                <w:szCs w:val="43"/>
              </w:rPr>
              <w:t>标</w:t>
            </w:r>
            <w:r>
              <w:rPr>
                <w:rFonts w:ascii="宋体" w:hAnsi="宋体" w:eastAsia="宋体" w:cs="宋体"/>
                <w:spacing w:val="58"/>
                <w:sz w:val="43"/>
                <w:szCs w:val="43"/>
              </w:rPr>
              <w:t xml:space="preserve"> </w:t>
            </w:r>
            <w:r>
              <w:rPr>
                <w:rFonts w:ascii="宋体" w:hAnsi="宋体" w:eastAsia="宋体" w:cs="宋体"/>
                <w:spacing w:val="-10"/>
                <w:sz w:val="43"/>
                <w:szCs w:val="43"/>
              </w:rPr>
              <w:t>总</w:t>
            </w:r>
            <w:r>
              <w:rPr>
                <w:rFonts w:ascii="宋体" w:hAnsi="宋体" w:eastAsia="宋体" w:cs="宋体"/>
                <w:spacing w:val="54"/>
                <w:sz w:val="43"/>
                <w:szCs w:val="43"/>
              </w:rPr>
              <w:t xml:space="preserve"> </w:t>
            </w:r>
            <w:r>
              <w:rPr>
                <w:rFonts w:ascii="宋体" w:hAnsi="宋体" w:eastAsia="宋体" w:cs="宋体"/>
                <w:spacing w:val="-10"/>
                <w:sz w:val="43"/>
                <w:szCs w:val="43"/>
              </w:rPr>
              <w:t>价</w:t>
            </w:r>
          </w:p>
        </w:tc>
      </w:tr>
      <w:tr w14:paraId="2D9182E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627" w:hRule="atLeast"/>
          <w:jc w:val="center"/>
        </w:trPr>
        <w:tc>
          <w:tcPr>
            <w:tcW w:w="1752" w:type="dxa"/>
            <w:tcBorders>
              <w:left w:val="nil"/>
              <w:bottom w:val="single" w:color="FFFFFF" w:sz="2" w:space="0"/>
            </w:tcBorders>
            <w:vAlign w:val="top"/>
          </w:tcPr>
          <w:p w14:paraId="23393EF7">
            <w:pPr>
              <w:pStyle w:val="594"/>
            </w:pPr>
          </w:p>
        </w:tc>
        <w:tc>
          <w:tcPr>
            <w:tcW w:w="1825" w:type="dxa"/>
            <w:gridSpan w:val="2"/>
            <w:tcBorders>
              <w:bottom w:val="single" w:color="FFFFFF" w:sz="2" w:space="0"/>
            </w:tcBorders>
            <w:vAlign w:val="top"/>
          </w:tcPr>
          <w:p w14:paraId="634F130B">
            <w:pPr>
              <w:pStyle w:val="594"/>
              <w:spacing w:line="247" w:lineRule="auto"/>
            </w:pPr>
          </w:p>
          <w:p w14:paraId="6436AA88">
            <w:pPr>
              <w:pStyle w:val="594"/>
              <w:spacing w:line="247" w:lineRule="auto"/>
            </w:pPr>
          </w:p>
          <w:p w14:paraId="2AB17915">
            <w:pPr>
              <w:pStyle w:val="594"/>
              <w:spacing w:line="247" w:lineRule="auto"/>
            </w:pPr>
          </w:p>
          <w:p w14:paraId="72959AB8">
            <w:pPr>
              <w:pStyle w:val="594"/>
              <w:spacing w:line="247" w:lineRule="auto"/>
            </w:pPr>
          </w:p>
          <w:p w14:paraId="02695711">
            <w:pPr>
              <w:pStyle w:val="594"/>
              <w:spacing w:line="247" w:lineRule="auto"/>
            </w:pPr>
          </w:p>
          <w:p w14:paraId="23DC3EDF">
            <w:pPr>
              <w:pStyle w:val="594"/>
              <w:spacing w:line="247" w:lineRule="auto"/>
            </w:pPr>
          </w:p>
          <w:p w14:paraId="7EB7BC1A">
            <w:pPr>
              <w:pStyle w:val="594"/>
              <w:spacing w:line="248" w:lineRule="auto"/>
            </w:pPr>
          </w:p>
          <w:p w14:paraId="7F09ED60">
            <w:pPr>
              <w:pStyle w:val="594"/>
              <w:spacing w:line="248" w:lineRule="auto"/>
            </w:pPr>
          </w:p>
          <w:p w14:paraId="2E4C4AE5">
            <w:pPr>
              <w:pStyle w:val="594"/>
              <w:spacing w:line="248" w:lineRule="auto"/>
            </w:pPr>
          </w:p>
          <w:p w14:paraId="09A69EE1">
            <w:pPr>
              <w:pStyle w:val="594"/>
              <w:spacing w:line="248" w:lineRule="auto"/>
            </w:pPr>
          </w:p>
          <w:p w14:paraId="7ADF5434">
            <w:pPr>
              <w:pStyle w:val="594"/>
              <w:spacing w:line="248" w:lineRule="auto"/>
            </w:pPr>
          </w:p>
          <w:p w14:paraId="599E9C01">
            <w:pPr>
              <w:pStyle w:val="594"/>
              <w:spacing w:line="248" w:lineRule="auto"/>
            </w:pPr>
          </w:p>
          <w:p w14:paraId="51940944">
            <w:pPr>
              <w:pStyle w:val="594"/>
              <w:spacing w:line="248" w:lineRule="auto"/>
            </w:pPr>
          </w:p>
          <w:p w14:paraId="5122A1BE">
            <w:pPr>
              <w:pStyle w:val="594"/>
              <w:spacing w:line="248" w:lineRule="auto"/>
            </w:pPr>
          </w:p>
          <w:p w14:paraId="0A56B33B">
            <w:pPr>
              <w:pStyle w:val="594"/>
              <w:spacing w:line="248" w:lineRule="auto"/>
            </w:pPr>
          </w:p>
          <w:p w14:paraId="064D095D">
            <w:pPr>
              <w:pStyle w:val="594"/>
              <w:spacing w:line="248" w:lineRule="auto"/>
            </w:pPr>
          </w:p>
          <w:p w14:paraId="24E241A0">
            <w:pPr>
              <w:pStyle w:val="594"/>
              <w:spacing w:line="248" w:lineRule="auto"/>
            </w:pPr>
          </w:p>
          <w:p w14:paraId="3E838C43">
            <w:pPr>
              <w:spacing w:before="88" w:line="200" w:lineRule="auto"/>
              <w:ind w:left="158"/>
              <w:rPr>
                <w:rFonts w:ascii="宋体" w:hAnsi="宋体" w:eastAsia="宋体" w:cs="宋体"/>
                <w:sz w:val="27"/>
                <w:szCs w:val="27"/>
              </w:rPr>
            </w:pPr>
            <w:r>
              <w:rPr>
                <w:rFonts w:ascii="宋体" w:hAnsi="宋体" w:eastAsia="宋体" w:cs="宋体"/>
                <w:spacing w:val="-3"/>
                <w:sz w:val="27"/>
                <w:szCs w:val="27"/>
              </w:rPr>
              <w:t>投</w:t>
            </w:r>
            <w:r>
              <w:rPr>
                <w:rFonts w:ascii="宋体" w:hAnsi="宋体" w:eastAsia="宋体" w:cs="宋体"/>
                <w:spacing w:val="61"/>
                <w:sz w:val="27"/>
                <w:szCs w:val="27"/>
              </w:rPr>
              <w:t xml:space="preserve"> </w:t>
            </w:r>
            <w:r>
              <w:rPr>
                <w:rFonts w:ascii="宋体" w:hAnsi="宋体" w:eastAsia="宋体" w:cs="宋体"/>
                <w:spacing w:val="-3"/>
                <w:sz w:val="27"/>
                <w:szCs w:val="27"/>
              </w:rPr>
              <w:t>标</w:t>
            </w:r>
            <w:r>
              <w:rPr>
                <w:rFonts w:ascii="宋体" w:hAnsi="宋体" w:eastAsia="宋体" w:cs="宋体"/>
                <w:spacing w:val="63"/>
                <w:sz w:val="27"/>
                <w:szCs w:val="27"/>
              </w:rPr>
              <w:t xml:space="preserve"> </w:t>
            </w:r>
            <w:r>
              <w:rPr>
                <w:rFonts w:ascii="宋体" w:hAnsi="宋体" w:eastAsia="宋体" w:cs="宋体"/>
                <w:spacing w:val="-3"/>
                <w:sz w:val="27"/>
                <w:szCs w:val="27"/>
              </w:rPr>
              <w:t>人</w:t>
            </w:r>
            <w:r>
              <w:rPr>
                <w:rFonts w:ascii="宋体" w:hAnsi="宋体" w:eastAsia="宋体" w:cs="宋体"/>
                <w:spacing w:val="-114"/>
                <w:sz w:val="27"/>
                <w:szCs w:val="27"/>
              </w:rPr>
              <w:t xml:space="preserve"> </w:t>
            </w:r>
            <w:r>
              <w:rPr>
                <w:rFonts w:ascii="宋体" w:hAnsi="宋体" w:eastAsia="宋体" w:cs="宋体"/>
                <w:spacing w:val="-3"/>
                <w:sz w:val="27"/>
                <w:szCs w:val="27"/>
              </w:rPr>
              <w:t>：</w:t>
            </w:r>
          </w:p>
        </w:tc>
        <w:tc>
          <w:tcPr>
            <w:tcW w:w="4166" w:type="dxa"/>
            <w:gridSpan w:val="2"/>
            <w:tcBorders>
              <w:bottom w:val="single" w:color="000000" w:sz="4" w:space="0"/>
            </w:tcBorders>
            <w:vAlign w:val="top"/>
          </w:tcPr>
          <w:p w14:paraId="33F77FE8">
            <w:pPr>
              <w:pStyle w:val="594"/>
            </w:pPr>
          </w:p>
        </w:tc>
        <w:tc>
          <w:tcPr>
            <w:tcW w:w="2659" w:type="dxa"/>
            <w:tcBorders>
              <w:bottom w:val="single" w:color="FFFFFF" w:sz="2" w:space="0"/>
              <w:right w:val="single" w:color="FFFFFF" w:sz="2" w:space="0"/>
            </w:tcBorders>
            <w:vAlign w:val="top"/>
          </w:tcPr>
          <w:p w14:paraId="666B1347">
            <w:pPr>
              <w:pStyle w:val="594"/>
            </w:pPr>
          </w:p>
        </w:tc>
      </w:tr>
      <w:tr w14:paraId="4A026A4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727" w:hRule="atLeast"/>
          <w:jc w:val="center"/>
        </w:trPr>
        <w:tc>
          <w:tcPr>
            <w:tcW w:w="1752" w:type="dxa"/>
            <w:tcBorders>
              <w:top w:val="single" w:color="FFFFFF" w:sz="2" w:space="0"/>
              <w:left w:val="nil"/>
            </w:tcBorders>
            <w:vAlign w:val="top"/>
          </w:tcPr>
          <w:p w14:paraId="0EEB1F0B">
            <w:pPr>
              <w:pStyle w:val="594"/>
            </w:pPr>
          </w:p>
        </w:tc>
        <w:tc>
          <w:tcPr>
            <w:tcW w:w="1825" w:type="dxa"/>
            <w:gridSpan w:val="2"/>
            <w:tcBorders>
              <w:top w:val="single" w:color="FFFFFF" w:sz="2" w:space="0"/>
            </w:tcBorders>
            <w:vAlign w:val="top"/>
          </w:tcPr>
          <w:p w14:paraId="7FAF91CB">
            <w:pPr>
              <w:pStyle w:val="594"/>
            </w:pPr>
          </w:p>
        </w:tc>
        <w:tc>
          <w:tcPr>
            <w:tcW w:w="4166" w:type="dxa"/>
            <w:gridSpan w:val="2"/>
            <w:tcBorders>
              <w:top w:val="single" w:color="000000" w:sz="4" w:space="0"/>
            </w:tcBorders>
            <w:vAlign w:val="top"/>
          </w:tcPr>
          <w:p w14:paraId="0BE38BEA">
            <w:pPr>
              <w:spacing w:before="31" w:line="229" w:lineRule="auto"/>
              <w:ind w:left="1626"/>
              <w:rPr>
                <w:rFonts w:ascii="宋体" w:hAnsi="宋体" w:eastAsia="宋体" w:cs="宋体"/>
                <w:sz w:val="19"/>
                <w:szCs w:val="19"/>
              </w:rPr>
            </w:pPr>
            <w:r>
              <w:rPr>
                <w:rFonts w:ascii="宋体" w:hAnsi="宋体" w:eastAsia="宋体" w:cs="宋体"/>
                <w:spacing w:val="-2"/>
                <w:sz w:val="19"/>
                <w:szCs w:val="19"/>
              </w:rPr>
              <w:t>(单位盖章)</w:t>
            </w:r>
          </w:p>
        </w:tc>
        <w:tc>
          <w:tcPr>
            <w:tcW w:w="2659" w:type="dxa"/>
            <w:tcBorders>
              <w:top w:val="single" w:color="FFFFFF" w:sz="2" w:space="0"/>
              <w:right w:val="single" w:color="FFFFFF" w:sz="2" w:space="0"/>
            </w:tcBorders>
            <w:vAlign w:val="top"/>
          </w:tcPr>
          <w:p w14:paraId="5E1E0DF4">
            <w:pPr>
              <w:pStyle w:val="594"/>
            </w:pPr>
          </w:p>
        </w:tc>
      </w:tr>
      <w:tr w14:paraId="197CF12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400" w:hRule="atLeast"/>
          <w:jc w:val="center"/>
        </w:trPr>
        <w:tc>
          <w:tcPr>
            <w:tcW w:w="1752" w:type="dxa"/>
            <w:tcBorders>
              <w:left w:val="nil"/>
            </w:tcBorders>
            <w:vAlign w:val="top"/>
          </w:tcPr>
          <w:p w14:paraId="2D4C5F8B">
            <w:pPr>
              <w:pStyle w:val="594"/>
            </w:pPr>
          </w:p>
        </w:tc>
        <w:tc>
          <w:tcPr>
            <w:tcW w:w="1825" w:type="dxa"/>
            <w:gridSpan w:val="2"/>
            <w:vAlign w:val="top"/>
          </w:tcPr>
          <w:p w14:paraId="3D55D07E">
            <w:pPr>
              <w:pStyle w:val="594"/>
            </w:pPr>
          </w:p>
        </w:tc>
        <w:tc>
          <w:tcPr>
            <w:tcW w:w="4166" w:type="dxa"/>
            <w:gridSpan w:val="2"/>
            <w:vAlign w:val="top"/>
          </w:tcPr>
          <w:p w14:paraId="117C5422">
            <w:pPr>
              <w:pStyle w:val="594"/>
              <w:spacing w:line="249" w:lineRule="auto"/>
            </w:pPr>
          </w:p>
          <w:p w14:paraId="14FD0E59">
            <w:pPr>
              <w:pStyle w:val="594"/>
              <w:spacing w:line="249" w:lineRule="auto"/>
            </w:pPr>
          </w:p>
          <w:p w14:paraId="5DFD31D8">
            <w:pPr>
              <w:pStyle w:val="594"/>
              <w:spacing w:line="249" w:lineRule="auto"/>
            </w:pPr>
          </w:p>
          <w:p w14:paraId="684A8CDC">
            <w:pPr>
              <w:pStyle w:val="594"/>
              <w:spacing w:line="250" w:lineRule="auto"/>
            </w:pPr>
          </w:p>
          <w:p w14:paraId="313F72EE">
            <w:pPr>
              <w:spacing w:before="88" w:line="204" w:lineRule="auto"/>
              <w:ind w:left="38"/>
              <w:rPr>
                <w:rFonts w:ascii="宋体" w:hAnsi="宋体" w:eastAsia="宋体" w:cs="宋体"/>
                <w:sz w:val="27"/>
                <w:szCs w:val="27"/>
              </w:rPr>
            </w:pPr>
            <w:r>
              <w:rPr>
                <w:rFonts w:ascii="宋体" w:hAnsi="宋体" w:eastAsia="宋体" w:cs="宋体"/>
                <w:spacing w:val="-4"/>
                <w:sz w:val="27"/>
                <w:szCs w:val="27"/>
              </w:rPr>
              <w:t>年</w:t>
            </w:r>
            <w:r>
              <w:rPr>
                <w:rFonts w:ascii="宋体" w:hAnsi="宋体" w:eastAsia="宋体" w:cs="宋体"/>
                <w:spacing w:val="42"/>
                <w:sz w:val="27"/>
                <w:szCs w:val="27"/>
              </w:rPr>
              <w:t xml:space="preserve">   </w:t>
            </w:r>
            <w:r>
              <w:rPr>
                <w:rFonts w:ascii="宋体" w:hAnsi="宋体" w:eastAsia="宋体" w:cs="宋体"/>
                <w:spacing w:val="-4"/>
                <w:sz w:val="27"/>
                <w:szCs w:val="27"/>
              </w:rPr>
              <w:t>月</w:t>
            </w:r>
            <w:r>
              <w:rPr>
                <w:rFonts w:ascii="宋体" w:hAnsi="宋体" w:eastAsia="宋体" w:cs="宋体"/>
                <w:spacing w:val="8"/>
                <w:sz w:val="27"/>
                <w:szCs w:val="27"/>
              </w:rPr>
              <w:t xml:space="preserve">    </w:t>
            </w:r>
            <w:r>
              <w:rPr>
                <w:rFonts w:ascii="宋体" w:hAnsi="宋体" w:eastAsia="宋体" w:cs="宋体"/>
                <w:spacing w:val="-4"/>
                <w:sz w:val="27"/>
                <w:szCs w:val="27"/>
              </w:rPr>
              <w:t>日</w:t>
            </w:r>
          </w:p>
        </w:tc>
        <w:tc>
          <w:tcPr>
            <w:tcW w:w="2659" w:type="dxa"/>
            <w:tcBorders>
              <w:right w:val="single" w:color="FFFFFF" w:sz="2" w:space="0"/>
            </w:tcBorders>
            <w:vAlign w:val="top"/>
          </w:tcPr>
          <w:p w14:paraId="7263E475">
            <w:pPr>
              <w:pStyle w:val="594"/>
            </w:pPr>
          </w:p>
        </w:tc>
      </w:tr>
      <w:tr w14:paraId="3C5A200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27" w:hRule="atLeast"/>
          <w:jc w:val="center"/>
        </w:trPr>
        <w:tc>
          <w:tcPr>
            <w:tcW w:w="1752" w:type="dxa"/>
            <w:tcBorders>
              <w:left w:val="nil"/>
              <w:bottom w:val="single" w:color="FFFFFF" w:sz="2" w:space="0"/>
            </w:tcBorders>
            <w:vAlign w:val="top"/>
          </w:tcPr>
          <w:p w14:paraId="2CACFD82">
            <w:pPr>
              <w:pStyle w:val="594"/>
            </w:pPr>
          </w:p>
        </w:tc>
        <w:tc>
          <w:tcPr>
            <w:tcW w:w="1825" w:type="dxa"/>
            <w:gridSpan w:val="2"/>
            <w:tcBorders>
              <w:bottom w:val="single" w:color="FFFFFF" w:sz="2" w:space="0"/>
            </w:tcBorders>
            <w:vAlign w:val="top"/>
          </w:tcPr>
          <w:p w14:paraId="60061679">
            <w:pPr>
              <w:pStyle w:val="594"/>
            </w:pPr>
          </w:p>
        </w:tc>
        <w:tc>
          <w:tcPr>
            <w:tcW w:w="748" w:type="dxa"/>
            <w:tcBorders>
              <w:bottom w:val="single" w:color="FFFFFF" w:sz="2" w:space="0"/>
            </w:tcBorders>
            <w:vAlign w:val="top"/>
          </w:tcPr>
          <w:p w14:paraId="06AC7F60">
            <w:pPr>
              <w:pStyle w:val="594"/>
            </w:pPr>
          </w:p>
        </w:tc>
        <w:tc>
          <w:tcPr>
            <w:tcW w:w="3418" w:type="dxa"/>
            <w:tcBorders>
              <w:bottom w:val="single" w:color="FFFFFF" w:sz="2" w:space="0"/>
            </w:tcBorders>
            <w:vAlign w:val="top"/>
          </w:tcPr>
          <w:p w14:paraId="006528CE">
            <w:pPr>
              <w:pStyle w:val="594"/>
            </w:pPr>
          </w:p>
        </w:tc>
        <w:tc>
          <w:tcPr>
            <w:tcW w:w="2659" w:type="dxa"/>
            <w:tcBorders>
              <w:bottom w:val="single" w:color="FFFFFF" w:sz="2" w:space="0"/>
              <w:right w:val="single" w:color="FFFFFF" w:sz="2" w:space="0"/>
            </w:tcBorders>
            <w:vAlign w:val="top"/>
          </w:tcPr>
          <w:p w14:paraId="18A14C08">
            <w:pPr>
              <w:pStyle w:val="594"/>
            </w:pPr>
          </w:p>
        </w:tc>
      </w:tr>
    </w:tbl>
    <w:p w14:paraId="0B00F1A5">
      <w:pPr>
        <w:spacing w:before="12"/>
      </w:pPr>
    </w:p>
    <w:p w14:paraId="53F14775">
      <w:pPr>
        <w:spacing w:before="12"/>
      </w:pPr>
    </w:p>
    <w:p w14:paraId="3D6E5351">
      <w:pPr>
        <w:spacing w:before="12"/>
      </w:pPr>
    </w:p>
    <w:p w14:paraId="6F3329BA">
      <w:pPr>
        <w:spacing w:before="11"/>
      </w:pPr>
    </w:p>
    <w:p w14:paraId="51D3E147">
      <w:pPr>
        <w:spacing w:before="11"/>
      </w:pPr>
    </w:p>
    <w:p w14:paraId="50CC2728">
      <w:pPr>
        <w:spacing w:before="11"/>
      </w:pPr>
    </w:p>
    <w:p w14:paraId="3B08E0C8">
      <w:pPr>
        <w:spacing w:before="11"/>
      </w:pPr>
    </w:p>
    <w:p w14:paraId="1CADBD2A">
      <w:pPr>
        <w:spacing w:before="11"/>
      </w:pPr>
    </w:p>
    <w:p w14:paraId="2DA77565">
      <w:pPr>
        <w:spacing w:before="11"/>
      </w:pPr>
    </w:p>
    <w:p w14:paraId="0862B6A6">
      <w:pPr>
        <w:spacing w:before="11"/>
      </w:pPr>
    </w:p>
    <w:p w14:paraId="5C37BDBE">
      <w:pPr>
        <w:spacing w:before="11"/>
      </w:pPr>
    </w:p>
    <w:p w14:paraId="5108E23F">
      <w:pPr>
        <w:spacing w:before="11"/>
      </w:pPr>
    </w:p>
    <w:p w14:paraId="717CA4AB">
      <w:pPr>
        <w:spacing w:before="11"/>
      </w:pPr>
    </w:p>
    <w:p w14:paraId="4C5D5F99">
      <w:pPr>
        <w:spacing w:before="11"/>
      </w:pPr>
    </w:p>
    <w:p w14:paraId="2E969034">
      <w:pPr>
        <w:spacing w:before="11"/>
      </w:pPr>
    </w:p>
    <w:p w14:paraId="3DEF4CBF">
      <w:pPr>
        <w:spacing w:before="11"/>
      </w:pPr>
    </w:p>
    <w:p w14:paraId="40EC7280">
      <w:pPr>
        <w:spacing w:before="11"/>
      </w:pPr>
    </w:p>
    <w:tbl>
      <w:tblPr>
        <w:tblStyle w:val="333"/>
        <w:tblW w:w="10401"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7707"/>
        <w:gridCol w:w="2694"/>
      </w:tblGrid>
      <w:tr w14:paraId="7F5939C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9" w:hRule="atLeast"/>
        </w:trPr>
        <w:tc>
          <w:tcPr>
            <w:tcW w:w="7707" w:type="dxa"/>
            <w:tcBorders>
              <w:bottom w:val="single" w:color="FFFFFF" w:sz="2" w:space="0"/>
              <w:right w:val="single" w:color="FFFFFF" w:sz="4" w:space="0"/>
            </w:tcBorders>
            <w:vAlign w:val="top"/>
          </w:tcPr>
          <w:p w14:paraId="7F7AFE3F">
            <w:pPr>
              <w:pStyle w:val="594"/>
            </w:pPr>
            <w:r>
              <w:drawing>
                <wp:anchor distT="0" distB="0" distL="0" distR="0" simplePos="0" relativeHeight="251661312" behindDoc="1" locked="0" layoutInCell="1" allowOverlap="1">
                  <wp:simplePos x="0" y="0"/>
                  <wp:positionH relativeFrom="rightMargin">
                    <wp:posOffset>-46990</wp:posOffset>
                  </wp:positionH>
                  <wp:positionV relativeFrom="topMargin">
                    <wp:posOffset>0</wp:posOffset>
                  </wp:positionV>
                  <wp:extent cx="9525" cy="237490"/>
                  <wp:effectExtent l="0" t="0" r="9525" b="1016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9"/>
                          <a:stretch>
                            <a:fillRect/>
                          </a:stretch>
                        </pic:blipFill>
                        <pic:spPr>
                          <a:xfrm>
                            <a:off x="0" y="0"/>
                            <a:ext cx="9509" cy="237743"/>
                          </a:xfrm>
                          <a:prstGeom prst="rect">
                            <a:avLst/>
                          </a:prstGeom>
                        </pic:spPr>
                      </pic:pic>
                    </a:graphicData>
                  </a:graphic>
                </wp:anchor>
              </w:drawing>
            </w:r>
          </w:p>
        </w:tc>
        <w:tc>
          <w:tcPr>
            <w:tcW w:w="2694" w:type="dxa"/>
            <w:tcBorders>
              <w:left w:val="single" w:color="FFFFFF" w:sz="4" w:space="0"/>
              <w:bottom w:val="single" w:color="FFFFFF" w:sz="2" w:space="0"/>
              <w:right w:val="single" w:color="FFFFFF" w:sz="2" w:space="0"/>
            </w:tcBorders>
            <w:vAlign w:val="top"/>
          </w:tcPr>
          <w:p w14:paraId="36005BFA">
            <w:pPr>
              <w:spacing w:before="89" w:line="233" w:lineRule="auto"/>
              <w:ind w:right="23"/>
              <w:jc w:val="right"/>
              <w:rPr>
                <w:rFonts w:ascii="宋体" w:hAnsi="宋体" w:eastAsia="宋体" w:cs="宋体"/>
                <w:sz w:val="17"/>
                <w:szCs w:val="17"/>
              </w:rPr>
            </w:pPr>
            <w:r>
              <w:rPr>
                <w:rFonts w:ascii="宋体" w:hAnsi="宋体" w:eastAsia="宋体" w:cs="宋体"/>
                <w:spacing w:val="4"/>
                <w:sz w:val="17"/>
                <w:szCs w:val="17"/>
              </w:rPr>
              <w:t>封-3</w:t>
            </w:r>
          </w:p>
        </w:tc>
      </w:tr>
    </w:tbl>
    <w:p w14:paraId="231FAB42">
      <w:pPr>
        <w:rPr>
          <w:rFonts w:ascii="Arial"/>
          <w:sz w:val="21"/>
        </w:rPr>
      </w:pPr>
    </w:p>
    <w:p w14:paraId="2B27F614">
      <w:pPr>
        <w:rPr>
          <w:rFonts w:ascii="Arial" w:hAnsi="Arial" w:eastAsia="Arial" w:cs="Arial"/>
          <w:sz w:val="21"/>
          <w:szCs w:val="21"/>
        </w:rPr>
        <w:sectPr>
          <w:pgSz w:w="11960" w:h="16880"/>
          <w:pgMar w:top="400" w:right="821" w:bottom="0" w:left="733" w:header="0" w:footer="0" w:gutter="0"/>
          <w:cols w:space="720" w:num="1"/>
        </w:sectPr>
      </w:pPr>
    </w:p>
    <w:p w14:paraId="2E0EF421">
      <w:pPr>
        <w:spacing w:before="208"/>
      </w:pPr>
    </w:p>
    <w:tbl>
      <w:tblPr>
        <w:tblStyle w:val="333"/>
        <w:tblW w:w="10402"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Grid>
        <w:gridCol w:w="1961"/>
        <w:gridCol w:w="1467"/>
        <w:gridCol w:w="4774"/>
        <w:gridCol w:w="2200"/>
      </w:tblGrid>
      <w:tr w14:paraId="1CD613C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trHeight w:val="1716" w:hRule="atLeast"/>
          <w:jc w:val="center"/>
        </w:trPr>
        <w:tc>
          <w:tcPr>
            <w:tcW w:w="1961" w:type="dxa"/>
            <w:tcBorders>
              <w:top w:val="nil"/>
              <w:left w:val="nil"/>
              <w:bottom w:val="single" w:color="FFFFFF" w:sz="2" w:space="0"/>
            </w:tcBorders>
            <w:vAlign w:val="top"/>
          </w:tcPr>
          <w:p w14:paraId="4EFD46CB">
            <w:pPr>
              <w:pStyle w:val="594"/>
            </w:pPr>
          </w:p>
        </w:tc>
        <w:tc>
          <w:tcPr>
            <w:tcW w:w="6241" w:type="dxa"/>
            <w:gridSpan w:val="2"/>
            <w:tcBorders>
              <w:top w:val="nil"/>
              <w:bottom w:val="single" w:color="000000" w:sz="4" w:space="0"/>
            </w:tcBorders>
            <w:vAlign w:val="top"/>
          </w:tcPr>
          <w:p w14:paraId="09A7BC9B">
            <w:pPr>
              <w:pStyle w:val="594"/>
              <w:spacing w:line="285" w:lineRule="auto"/>
            </w:pPr>
          </w:p>
          <w:p w14:paraId="72C22D84">
            <w:pPr>
              <w:pStyle w:val="594"/>
              <w:spacing w:line="285" w:lineRule="auto"/>
            </w:pPr>
          </w:p>
          <w:p w14:paraId="43A0868F">
            <w:pPr>
              <w:pStyle w:val="594"/>
              <w:spacing w:line="285" w:lineRule="auto"/>
            </w:pPr>
          </w:p>
          <w:p w14:paraId="26759528">
            <w:pPr>
              <w:spacing w:before="113" w:line="193" w:lineRule="auto"/>
              <w:ind w:left="3011" w:right="143" w:hanging="2881"/>
              <w:rPr>
                <w:rFonts w:ascii="宋体" w:hAnsi="宋体" w:eastAsia="宋体" w:cs="宋体"/>
                <w:sz w:val="35"/>
                <w:szCs w:val="35"/>
              </w:rPr>
            </w:pPr>
            <w:r>
              <w:rPr>
                <w:rFonts w:ascii="宋体" w:hAnsi="宋体" w:eastAsia="宋体" w:cs="宋体"/>
                <w:spacing w:val="22"/>
                <w:sz w:val="35"/>
                <w:szCs w:val="35"/>
              </w:rPr>
              <w:t>沭阳县耿圩镇污水处理厂提质提标项</w:t>
            </w:r>
            <w:r>
              <w:rPr>
                <w:rFonts w:ascii="宋体" w:hAnsi="宋体" w:eastAsia="宋体" w:cs="宋体"/>
                <w:spacing w:val="3"/>
                <w:sz w:val="35"/>
                <w:szCs w:val="35"/>
              </w:rPr>
              <w:t xml:space="preserve"> </w:t>
            </w:r>
            <w:r>
              <w:rPr>
                <w:rFonts w:ascii="宋体" w:hAnsi="宋体" w:eastAsia="宋体" w:cs="宋体"/>
                <w:sz w:val="35"/>
                <w:szCs w:val="35"/>
              </w:rPr>
              <w:t>目</w:t>
            </w:r>
          </w:p>
        </w:tc>
        <w:tc>
          <w:tcPr>
            <w:tcW w:w="2200" w:type="dxa"/>
            <w:tcBorders>
              <w:top w:val="nil"/>
              <w:bottom w:val="single" w:color="FFFFFF" w:sz="2" w:space="0"/>
              <w:right w:val="single" w:color="FFFFFF" w:sz="2" w:space="0"/>
            </w:tcBorders>
            <w:vAlign w:val="top"/>
          </w:tcPr>
          <w:p w14:paraId="6BF17E57">
            <w:pPr>
              <w:pStyle w:val="594"/>
              <w:spacing w:line="242" w:lineRule="auto"/>
            </w:pPr>
          </w:p>
          <w:p w14:paraId="569781B9">
            <w:pPr>
              <w:pStyle w:val="594"/>
              <w:spacing w:line="242" w:lineRule="auto"/>
            </w:pPr>
          </w:p>
          <w:p w14:paraId="4DA784D0">
            <w:pPr>
              <w:pStyle w:val="594"/>
              <w:spacing w:line="242" w:lineRule="auto"/>
            </w:pPr>
          </w:p>
          <w:p w14:paraId="07C6C000">
            <w:pPr>
              <w:pStyle w:val="594"/>
              <w:spacing w:line="242" w:lineRule="auto"/>
            </w:pPr>
          </w:p>
          <w:p w14:paraId="1F7935D8">
            <w:pPr>
              <w:pStyle w:val="594"/>
              <w:spacing w:line="243" w:lineRule="auto"/>
            </w:pPr>
          </w:p>
          <w:p w14:paraId="78F05E87">
            <w:pPr>
              <w:spacing w:before="114" w:line="197" w:lineRule="auto"/>
              <w:ind w:left="45"/>
              <w:rPr>
                <w:rFonts w:ascii="宋体" w:hAnsi="宋体" w:eastAsia="宋体" w:cs="宋体"/>
                <w:sz w:val="35"/>
                <w:szCs w:val="35"/>
              </w:rPr>
            </w:pPr>
            <w:r>
              <w:rPr>
                <w:rFonts w:ascii="宋体" w:hAnsi="宋体" w:eastAsia="宋体" w:cs="宋体"/>
                <w:spacing w:val="7"/>
                <w:sz w:val="35"/>
                <w:szCs w:val="35"/>
              </w:rPr>
              <w:t>工程</w:t>
            </w:r>
          </w:p>
        </w:tc>
      </w:tr>
      <w:tr w14:paraId="667B1BE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529" w:hRule="atLeast"/>
          <w:jc w:val="center"/>
        </w:trPr>
        <w:tc>
          <w:tcPr>
            <w:tcW w:w="10402" w:type="dxa"/>
            <w:gridSpan w:val="4"/>
            <w:tcBorders>
              <w:top w:val="single" w:color="000000" w:sz="4" w:space="0"/>
              <w:left w:val="nil"/>
              <w:right w:val="single" w:color="FFFFFF" w:sz="2" w:space="0"/>
            </w:tcBorders>
            <w:vAlign w:val="top"/>
          </w:tcPr>
          <w:p w14:paraId="30B2BF2D">
            <w:pPr>
              <w:pStyle w:val="594"/>
              <w:spacing w:line="407" w:lineRule="auto"/>
            </w:pPr>
          </w:p>
          <w:p w14:paraId="252B94F6">
            <w:pPr>
              <w:spacing w:before="140" w:line="223" w:lineRule="auto"/>
              <w:ind w:left="3960"/>
              <w:outlineLvl w:val="0"/>
              <w:rPr>
                <w:rFonts w:ascii="宋体" w:hAnsi="宋体" w:eastAsia="宋体" w:cs="宋体"/>
                <w:sz w:val="43"/>
                <w:szCs w:val="43"/>
              </w:rPr>
            </w:pPr>
            <w:r>
              <w:rPr>
                <w:rFonts w:ascii="宋体" w:hAnsi="宋体" w:eastAsia="宋体" w:cs="宋体"/>
                <w:spacing w:val="-10"/>
                <w:sz w:val="43"/>
                <w:szCs w:val="43"/>
              </w:rPr>
              <w:t>投</w:t>
            </w:r>
            <w:r>
              <w:rPr>
                <w:rFonts w:ascii="宋体" w:hAnsi="宋体" w:eastAsia="宋体" w:cs="宋体"/>
                <w:spacing w:val="56"/>
                <w:sz w:val="43"/>
                <w:szCs w:val="43"/>
              </w:rPr>
              <w:t xml:space="preserve"> </w:t>
            </w:r>
            <w:r>
              <w:rPr>
                <w:rFonts w:ascii="宋体" w:hAnsi="宋体" w:eastAsia="宋体" w:cs="宋体"/>
                <w:spacing w:val="-10"/>
                <w:sz w:val="43"/>
                <w:szCs w:val="43"/>
              </w:rPr>
              <w:t>标</w:t>
            </w:r>
            <w:r>
              <w:rPr>
                <w:rFonts w:ascii="宋体" w:hAnsi="宋体" w:eastAsia="宋体" w:cs="宋体"/>
                <w:spacing w:val="58"/>
                <w:sz w:val="43"/>
                <w:szCs w:val="43"/>
              </w:rPr>
              <w:t xml:space="preserve"> </w:t>
            </w:r>
            <w:r>
              <w:rPr>
                <w:rFonts w:ascii="宋体" w:hAnsi="宋体" w:eastAsia="宋体" w:cs="宋体"/>
                <w:spacing w:val="-10"/>
                <w:sz w:val="43"/>
                <w:szCs w:val="43"/>
              </w:rPr>
              <w:t>总</w:t>
            </w:r>
            <w:r>
              <w:rPr>
                <w:rFonts w:ascii="宋体" w:hAnsi="宋体" w:eastAsia="宋体" w:cs="宋体"/>
                <w:spacing w:val="54"/>
                <w:sz w:val="43"/>
                <w:szCs w:val="43"/>
              </w:rPr>
              <w:t xml:space="preserve"> </w:t>
            </w:r>
            <w:r>
              <w:rPr>
                <w:rFonts w:ascii="宋体" w:hAnsi="宋体" w:eastAsia="宋体" w:cs="宋体"/>
                <w:spacing w:val="-10"/>
                <w:sz w:val="43"/>
                <w:szCs w:val="43"/>
              </w:rPr>
              <w:t>价</w:t>
            </w:r>
          </w:p>
        </w:tc>
      </w:tr>
      <w:tr w14:paraId="246C156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743" w:hRule="atLeast"/>
          <w:jc w:val="center"/>
        </w:trPr>
        <w:tc>
          <w:tcPr>
            <w:tcW w:w="1961" w:type="dxa"/>
            <w:tcBorders>
              <w:left w:val="nil"/>
              <w:bottom w:val="single" w:color="FFFFFF" w:sz="2" w:space="0"/>
            </w:tcBorders>
            <w:vAlign w:val="top"/>
          </w:tcPr>
          <w:p w14:paraId="68509B06">
            <w:pPr>
              <w:pStyle w:val="594"/>
              <w:spacing w:line="401" w:lineRule="auto"/>
            </w:pPr>
          </w:p>
          <w:p w14:paraId="4F1B44C3">
            <w:pPr>
              <w:spacing w:before="75" w:line="204" w:lineRule="auto"/>
              <w:ind w:left="40"/>
              <w:rPr>
                <w:rFonts w:ascii="宋体" w:hAnsi="宋体" w:eastAsia="宋体" w:cs="宋体"/>
                <w:sz w:val="23"/>
                <w:szCs w:val="23"/>
              </w:rPr>
            </w:pPr>
            <w:r>
              <w:rPr>
                <w:rFonts w:ascii="宋体" w:hAnsi="宋体" w:eastAsia="宋体" w:cs="宋体"/>
                <w:spacing w:val="-1"/>
                <w:sz w:val="23"/>
                <w:szCs w:val="23"/>
              </w:rPr>
              <w:t>招</w:t>
            </w:r>
            <w:r>
              <w:rPr>
                <w:rFonts w:ascii="宋体" w:hAnsi="宋体" w:eastAsia="宋体" w:cs="宋体"/>
                <w:spacing w:val="31"/>
                <w:sz w:val="23"/>
                <w:szCs w:val="23"/>
              </w:rPr>
              <w:t xml:space="preserve">  </w:t>
            </w:r>
            <w:r>
              <w:rPr>
                <w:rFonts w:ascii="宋体" w:hAnsi="宋体" w:eastAsia="宋体" w:cs="宋体"/>
                <w:spacing w:val="-1"/>
                <w:sz w:val="23"/>
                <w:szCs w:val="23"/>
              </w:rPr>
              <w:t>标</w:t>
            </w:r>
            <w:r>
              <w:rPr>
                <w:rFonts w:ascii="宋体" w:hAnsi="宋体" w:eastAsia="宋体" w:cs="宋体"/>
                <w:spacing w:val="32"/>
                <w:sz w:val="23"/>
                <w:szCs w:val="23"/>
              </w:rPr>
              <w:t xml:space="preserve">  </w:t>
            </w:r>
            <w:r>
              <w:rPr>
                <w:rFonts w:ascii="宋体" w:hAnsi="宋体" w:eastAsia="宋体" w:cs="宋体"/>
                <w:spacing w:val="-1"/>
                <w:sz w:val="23"/>
                <w:szCs w:val="23"/>
              </w:rPr>
              <w:t>人：</w:t>
            </w:r>
          </w:p>
        </w:tc>
        <w:tc>
          <w:tcPr>
            <w:tcW w:w="8441" w:type="dxa"/>
            <w:gridSpan w:val="3"/>
            <w:tcBorders>
              <w:bottom w:val="single" w:color="000000" w:sz="4" w:space="0"/>
              <w:right w:val="single" w:color="FFFFFF" w:sz="2" w:space="0"/>
            </w:tcBorders>
            <w:vAlign w:val="top"/>
          </w:tcPr>
          <w:p w14:paraId="33F6D42F">
            <w:pPr>
              <w:pStyle w:val="594"/>
            </w:pPr>
          </w:p>
        </w:tc>
      </w:tr>
      <w:tr w14:paraId="3E68F51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405" w:hRule="atLeast"/>
          <w:jc w:val="center"/>
        </w:trPr>
        <w:tc>
          <w:tcPr>
            <w:tcW w:w="1961" w:type="dxa"/>
            <w:vMerge w:val="restart"/>
            <w:tcBorders>
              <w:top w:val="single" w:color="FFFFFF" w:sz="2" w:space="0"/>
              <w:left w:val="nil"/>
              <w:bottom w:val="nil"/>
            </w:tcBorders>
            <w:vAlign w:val="top"/>
          </w:tcPr>
          <w:p w14:paraId="5BFC7D51">
            <w:pPr>
              <w:pStyle w:val="594"/>
              <w:spacing w:line="270" w:lineRule="auto"/>
            </w:pPr>
          </w:p>
          <w:p w14:paraId="0CC53ADB">
            <w:pPr>
              <w:pStyle w:val="594"/>
              <w:spacing w:line="270" w:lineRule="auto"/>
            </w:pPr>
          </w:p>
          <w:p w14:paraId="43019603">
            <w:pPr>
              <w:pStyle w:val="594"/>
              <w:spacing w:line="270" w:lineRule="auto"/>
            </w:pPr>
          </w:p>
          <w:p w14:paraId="29FD5393">
            <w:pPr>
              <w:pStyle w:val="594"/>
              <w:spacing w:line="271" w:lineRule="auto"/>
            </w:pPr>
          </w:p>
          <w:p w14:paraId="776049A4">
            <w:pPr>
              <w:spacing w:before="75" w:line="210" w:lineRule="auto"/>
              <w:ind w:left="42"/>
              <w:rPr>
                <w:rFonts w:ascii="宋体" w:hAnsi="宋体" w:eastAsia="宋体" w:cs="宋体"/>
                <w:sz w:val="23"/>
                <w:szCs w:val="23"/>
              </w:rPr>
            </w:pPr>
            <w:r>
              <w:rPr>
                <w:rFonts w:ascii="宋体" w:hAnsi="宋体" w:eastAsia="宋体" w:cs="宋体"/>
                <w:spacing w:val="-1"/>
                <w:sz w:val="23"/>
                <w:szCs w:val="23"/>
              </w:rPr>
              <w:t>工</w:t>
            </w:r>
            <w:r>
              <w:rPr>
                <w:rFonts w:ascii="宋体" w:hAnsi="宋体" w:eastAsia="宋体" w:cs="宋体"/>
                <w:spacing w:val="43"/>
                <w:sz w:val="23"/>
                <w:szCs w:val="23"/>
              </w:rPr>
              <w:t xml:space="preserve"> </w:t>
            </w:r>
            <w:r>
              <w:rPr>
                <w:rFonts w:ascii="宋体" w:hAnsi="宋体" w:eastAsia="宋体" w:cs="宋体"/>
                <w:spacing w:val="-1"/>
                <w:sz w:val="23"/>
                <w:szCs w:val="23"/>
              </w:rPr>
              <w:t>程</w:t>
            </w:r>
            <w:r>
              <w:rPr>
                <w:rFonts w:ascii="宋体" w:hAnsi="宋体" w:eastAsia="宋体" w:cs="宋体"/>
                <w:spacing w:val="45"/>
                <w:sz w:val="23"/>
                <w:szCs w:val="23"/>
              </w:rPr>
              <w:t xml:space="preserve"> </w:t>
            </w:r>
            <w:r>
              <w:rPr>
                <w:rFonts w:ascii="宋体" w:hAnsi="宋体" w:eastAsia="宋体" w:cs="宋体"/>
                <w:spacing w:val="-1"/>
                <w:sz w:val="23"/>
                <w:szCs w:val="23"/>
              </w:rPr>
              <w:t>名</w:t>
            </w:r>
            <w:r>
              <w:rPr>
                <w:rFonts w:ascii="宋体" w:hAnsi="宋体" w:eastAsia="宋体" w:cs="宋体"/>
                <w:spacing w:val="42"/>
                <w:sz w:val="23"/>
                <w:szCs w:val="23"/>
              </w:rPr>
              <w:t xml:space="preserve"> </w:t>
            </w:r>
            <w:r>
              <w:rPr>
                <w:rFonts w:ascii="宋体" w:hAnsi="宋体" w:eastAsia="宋体" w:cs="宋体"/>
                <w:spacing w:val="-1"/>
                <w:sz w:val="23"/>
                <w:szCs w:val="23"/>
              </w:rPr>
              <w:t>称：</w:t>
            </w:r>
          </w:p>
        </w:tc>
        <w:tc>
          <w:tcPr>
            <w:tcW w:w="8441" w:type="dxa"/>
            <w:gridSpan w:val="3"/>
            <w:tcBorders>
              <w:top w:val="single" w:color="000000" w:sz="4" w:space="0"/>
              <w:bottom w:val="single" w:color="000000" w:sz="4" w:space="0"/>
              <w:right w:val="single" w:color="FFFFFF" w:sz="2" w:space="0"/>
            </w:tcBorders>
            <w:vAlign w:val="top"/>
          </w:tcPr>
          <w:p w14:paraId="40ABCE33">
            <w:pPr>
              <w:pStyle w:val="594"/>
              <w:spacing w:line="270" w:lineRule="auto"/>
            </w:pPr>
          </w:p>
          <w:p w14:paraId="36390B97">
            <w:pPr>
              <w:pStyle w:val="594"/>
              <w:spacing w:line="270" w:lineRule="auto"/>
            </w:pPr>
          </w:p>
          <w:p w14:paraId="1E7C6CE6">
            <w:pPr>
              <w:pStyle w:val="594"/>
              <w:spacing w:line="270" w:lineRule="auto"/>
            </w:pPr>
          </w:p>
          <w:p w14:paraId="00F28798">
            <w:pPr>
              <w:pStyle w:val="594"/>
              <w:spacing w:line="271" w:lineRule="auto"/>
            </w:pPr>
          </w:p>
          <w:p w14:paraId="74871CCE">
            <w:pPr>
              <w:spacing w:before="75" w:line="186" w:lineRule="auto"/>
              <w:ind w:left="2191"/>
              <w:rPr>
                <w:rFonts w:ascii="宋体" w:hAnsi="宋体" w:eastAsia="宋体" w:cs="宋体"/>
                <w:sz w:val="23"/>
                <w:szCs w:val="23"/>
              </w:rPr>
            </w:pPr>
            <w:r>
              <w:rPr>
                <w:rFonts w:ascii="宋体" w:hAnsi="宋体" w:eastAsia="宋体" w:cs="宋体"/>
                <w:spacing w:val="9"/>
                <w:sz w:val="23"/>
                <w:szCs w:val="23"/>
              </w:rPr>
              <w:t>沭阳县耿圩镇污水处理厂提质提标项目</w:t>
            </w:r>
          </w:p>
        </w:tc>
      </w:tr>
      <w:tr w14:paraId="536AECD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20" w:hRule="atLeast"/>
          <w:jc w:val="center"/>
        </w:trPr>
        <w:tc>
          <w:tcPr>
            <w:tcW w:w="1961" w:type="dxa"/>
            <w:vMerge w:val="continue"/>
            <w:tcBorders>
              <w:top w:val="nil"/>
              <w:left w:val="nil"/>
            </w:tcBorders>
            <w:vAlign w:val="top"/>
          </w:tcPr>
          <w:p w14:paraId="0F7A5881">
            <w:pPr>
              <w:pStyle w:val="594"/>
            </w:pPr>
          </w:p>
        </w:tc>
        <w:tc>
          <w:tcPr>
            <w:tcW w:w="1467" w:type="dxa"/>
            <w:vMerge w:val="restart"/>
            <w:tcBorders>
              <w:top w:val="single" w:color="000000" w:sz="4" w:space="0"/>
              <w:bottom w:val="nil"/>
            </w:tcBorders>
            <w:vAlign w:val="top"/>
          </w:tcPr>
          <w:p w14:paraId="3F58F529">
            <w:pPr>
              <w:pStyle w:val="594"/>
              <w:spacing w:line="281" w:lineRule="auto"/>
            </w:pPr>
          </w:p>
          <w:p w14:paraId="0E3CCF8A">
            <w:pPr>
              <w:pStyle w:val="594"/>
              <w:spacing w:line="281" w:lineRule="auto"/>
            </w:pPr>
          </w:p>
          <w:p w14:paraId="339631A2">
            <w:pPr>
              <w:pStyle w:val="594"/>
              <w:spacing w:line="282" w:lineRule="auto"/>
            </w:pPr>
          </w:p>
          <w:p w14:paraId="2E633E78">
            <w:pPr>
              <w:pStyle w:val="594"/>
              <w:spacing w:line="282" w:lineRule="auto"/>
            </w:pPr>
          </w:p>
          <w:p w14:paraId="7072B053">
            <w:pPr>
              <w:spacing w:before="68" w:line="213" w:lineRule="auto"/>
              <w:ind w:left="179"/>
              <w:rPr>
                <w:rFonts w:ascii="宋体" w:hAnsi="宋体" w:eastAsia="宋体" w:cs="宋体"/>
                <w:sz w:val="21"/>
                <w:szCs w:val="21"/>
              </w:rPr>
            </w:pPr>
            <w:r>
              <w:rPr>
                <w:rFonts w:ascii="宋体" w:hAnsi="宋体" w:eastAsia="宋体" w:cs="宋体"/>
                <w:spacing w:val="6"/>
                <w:sz w:val="21"/>
                <w:szCs w:val="21"/>
              </w:rPr>
              <w:t>（小写</w:t>
            </w:r>
            <w:r>
              <w:rPr>
                <w:rFonts w:ascii="宋体" w:hAnsi="宋体" w:eastAsia="宋体" w:cs="宋体"/>
                <w:spacing w:val="-7"/>
                <w:sz w:val="21"/>
                <w:szCs w:val="21"/>
              </w:rPr>
              <w:t>）：</w:t>
            </w:r>
          </w:p>
        </w:tc>
        <w:tc>
          <w:tcPr>
            <w:tcW w:w="6974" w:type="dxa"/>
            <w:gridSpan w:val="2"/>
            <w:vMerge w:val="restart"/>
            <w:tcBorders>
              <w:top w:val="single" w:color="000000" w:sz="4" w:space="0"/>
              <w:bottom w:val="nil"/>
              <w:right w:val="single" w:color="FFFFFF" w:sz="2" w:space="0"/>
            </w:tcBorders>
            <w:vAlign w:val="top"/>
          </w:tcPr>
          <w:p w14:paraId="40372DFE">
            <w:pPr>
              <w:pStyle w:val="594"/>
              <w:spacing w:line="286" w:lineRule="auto"/>
            </w:pPr>
          </w:p>
          <w:p w14:paraId="038F2338">
            <w:pPr>
              <w:pStyle w:val="594"/>
              <w:spacing w:line="286" w:lineRule="auto"/>
            </w:pPr>
          </w:p>
          <w:p w14:paraId="4AE60B75">
            <w:pPr>
              <w:pStyle w:val="594"/>
              <w:spacing w:line="286" w:lineRule="auto"/>
            </w:pPr>
          </w:p>
          <w:p w14:paraId="5EDFC4EB">
            <w:pPr>
              <w:pStyle w:val="594"/>
              <w:spacing w:line="287" w:lineRule="auto"/>
            </w:pPr>
          </w:p>
          <w:p w14:paraId="24FA998F">
            <w:pPr>
              <w:spacing w:before="75" w:line="174" w:lineRule="auto"/>
              <w:ind w:left="3255"/>
              <w:rPr>
                <w:rFonts w:ascii="宋体" w:hAnsi="宋体" w:eastAsia="宋体" w:cs="宋体"/>
                <w:sz w:val="23"/>
                <w:szCs w:val="23"/>
              </w:rPr>
            </w:pPr>
            <w:r>
              <w:rPr>
                <w:rFonts w:ascii="宋体" w:hAnsi="宋体" w:eastAsia="宋体" w:cs="宋体"/>
                <w:spacing w:val="1"/>
                <w:sz w:val="23"/>
                <w:szCs w:val="23"/>
              </w:rPr>
              <w:t>0.00</w:t>
            </w:r>
          </w:p>
        </w:tc>
      </w:tr>
      <w:tr w14:paraId="0526653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424" w:hRule="atLeast"/>
          <w:jc w:val="center"/>
        </w:trPr>
        <w:tc>
          <w:tcPr>
            <w:tcW w:w="1961" w:type="dxa"/>
            <w:tcBorders>
              <w:left w:val="nil"/>
              <w:bottom w:val="single" w:color="FFFFFF" w:sz="2" w:space="0"/>
            </w:tcBorders>
            <w:vAlign w:val="top"/>
          </w:tcPr>
          <w:p w14:paraId="6C030124">
            <w:pPr>
              <w:pStyle w:val="594"/>
              <w:spacing w:line="268" w:lineRule="auto"/>
            </w:pPr>
          </w:p>
          <w:p w14:paraId="76853E6C">
            <w:pPr>
              <w:pStyle w:val="594"/>
              <w:spacing w:line="268" w:lineRule="auto"/>
            </w:pPr>
          </w:p>
          <w:p w14:paraId="4E7D0486">
            <w:pPr>
              <w:pStyle w:val="594"/>
              <w:spacing w:line="269" w:lineRule="auto"/>
            </w:pPr>
          </w:p>
          <w:p w14:paraId="5AC9D856">
            <w:pPr>
              <w:pStyle w:val="594"/>
              <w:spacing w:line="269" w:lineRule="auto"/>
            </w:pPr>
          </w:p>
          <w:p w14:paraId="0188D4BE">
            <w:pPr>
              <w:spacing w:before="75" w:line="207" w:lineRule="auto"/>
              <w:ind w:left="42"/>
              <w:rPr>
                <w:rFonts w:ascii="宋体" w:hAnsi="宋体" w:eastAsia="宋体" w:cs="宋体"/>
                <w:sz w:val="23"/>
                <w:szCs w:val="23"/>
              </w:rPr>
            </w:pPr>
            <w:r>
              <w:rPr>
                <w:rFonts w:ascii="宋体" w:hAnsi="宋体" w:eastAsia="宋体" w:cs="宋体"/>
                <w:spacing w:val="17"/>
                <w:sz w:val="23"/>
                <w:szCs w:val="23"/>
              </w:rPr>
              <w:t>投标总价</w:t>
            </w:r>
          </w:p>
        </w:tc>
        <w:tc>
          <w:tcPr>
            <w:tcW w:w="1467" w:type="dxa"/>
            <w:vMerge w:val="continue"/>
            <w:tcBorders>
              <w:top w:val="nil"/>
              <w:bottom w:val="single" w:color="FFFFFF" w:sz="2" w:space="0"/>
            </w:tcBorders>
            <w:vAlign w:val="top"/>
          </w:tcPr>
          <w:p w14:paraId="5B53A888">
            <w:pPr>
              <w:pStyle w:val="594"/>
            </w:pPr>
          </w:p>
        </w:tc>
        <w:tc>
          <w:tcPr>
            <w:tcW w:w="6974" w:type="dxa"/>
            <w:gridSpan w:val="2"/>
            <w:vMerge w:val="continue"/>
            <w:tcBorders>
              <w:top w:val="nil"/>
              <w:bottom w:val="single" w:color="000000" w:sz="4" w:space="0"/>
              <w:right w:val="single" w:color="FFFFFF" w:sz="2" w:space="0"/>
            </w:tcBorders>
            <w:vAlign w:val="top"/>
          </w:tcPr>
          <w:p w14:paraId="17696953">
            <w:pPr>
              <w:pStyle w:val="594"/>
            </w:pPr>
          </w:p>
        </w:tc>
      </w:tr>
      <w:tr w14:paraId="189B2CF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81" w:hRule="atLeast"/>
          <w:jc w:val="center"/>
        </w:trPr>
        <w:tc>
          <w:tcPr>
            <w:tcW w:w="1961" w:type="dxa"/>
            <w:tcBorders>
              <w:top w:val="single" w:color="FFFFFF" w:sz="2" w:space="0"/>
              <w:left w:val="nil"/>
              <w:bottom w:val="single" w:color="FFFFFF" w:sz="2" w:space="0"/>
            </w:tcBorders>
            <w:vAlign w:val="top"/>
          </w:tcPr>
          <w:p w14:paraId="4347AFB2">
            <w:pPr>
              <w:pStyle w:val="594"/>
            </w:pPr>
          </w:p>
        </w:tc>
        <w:tc>
          <w:tcPr>
            <w:tcW w:w="1467" w:type="dxa"/>
            <w:tcBorders>
              <w:top w:val="single" w:color="FFFFFF" w:sz="2" w:space="0"/>
              <w:bottom w:val="single" w:color="FFFFFF" w:sz="2" w:space="0"/>
            </w:tcBorders>
            <w:vAlign w:val="top"/>
          </w:tcPr>
          <w:p w14:paraId="7575FE0E">
            <w:pPr>
              <w:pStyle w:val="594"/>
              <w:spacing w:line="266" w:lineRule="auto"/>
            </w:pPr>
          </w:p>
          <w:p w14:paraId="1E986DA3">
            <w:pPr>
              <w:spacing w:before="69" w:line="206" w:lineRule="auto"/>
              <w:ind w:left="179"/>
              <w:rPr>
                <w:rFonts w:ascii="宋体" w:hAnsi="宋体" w:eastAsia="宋体" w:cs="宋体"/>
                <w:sz w:val="21"/>
                <w:szCs w:val="21"/>
              </w:rPr>
            </w:pPr>
            <w:r>
              <w:rPr>
                <w:rFonts w:ascii="宋体" w:hAnsi="宋体" w:eastAsia="宋体" w:cs="宋体"/>
                <w:spacing w:val="6"/>
                <w:sz w:val="21"/>
                <w:szCs w:val="21"/>
              </w:rPr>
              <w:t>（大写</w:t>
            </w:r>
            <w:r>
              <w:rPr>
                <w:rFonts w:ascii="宋体" w:hAnsi="宋体" w:eastAsia="宋体" w:cs="宋体"/>
                <w:spacing w:val="-7"/>
                <w:sz w:val="21"/>
                <w:szCs w:val="21"/>
              </w:rPr>
              <w:t>）：</w:t>
            </w:r>
          </w:p>
        </w:tc>
        <w:tc>
          <w:tcPr>
            <w:tcW w:w="6974" w:type="dxa"/>
            <w:gridSpan w:val="2"/>
            <w:tcBorders>
              <w:top w:val="single" w:color="000000" w:sz="4" w:space="0"/>
              <w:bottom w:val="single" w:color="000000" w:sz="4" w:space="0"/>
              <w:right w:val="single" w:color="FFFFFF" w:sz="2" w:space="0"/>
            </w:tcBorders>
            <w:vAlign w:val="top"/>
          </w:tcPr>
          <w:p w14:paraId="22674CF0">
            <w:pPr>
              <w:pStyle w:val="594"/>
              <w:spacing w:line="245" w:lineRule="auto"/>
            </w:pPr>
          </w:p>
          <w:p w14:paraId="79C50198">
            <w:pPr>
              <w:spacing w:before="75" w:line="200" w:lineRule="auto"/>
              <w:ind w:left="3134"/>
              <w:rPr>
                <w:rFonts w:ascii="宋体" w:hAnsi="宋体" w:eastAsia="宋体" w:cs="宋体"/>
                <w:sz w:val="23"/>
                <w:szCs w:val="23"/>
              </w:rPr>
            </w:pPr>
            <w:r>
              <w:rPr>
                <w:rFonts w:ascii="宋体" w:hAnsi="宋体" w:eastAsia="宋体" w:cs="宋体"/>
                <w:spacing w:val="6"/>
                <w:sz w:val="23"/>
                <w:szCs w:val="23"/>
              </w:rPr>
              <w:t>零元整</w:t>
            </w:r>
          </w:p>
        </w:tc>
      </w:tr>
      <w:tr w14:paraId="03D312B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300" w:hRule="atLeast"/>
          <w:jc w:val="center"/>
        </w:trPr>
        <w:tc>
          <w:tcPr>
            <w:tcW w:w="1961" w:type="dxa"/>
            <w:tcBorders>
              <w:top w:val="single" w:color="FFFFFF" w:sz="2" w:space="0"/>
              <w:left w:val="nil"/>
              <w:bottom w:val="single" w:color="FFFFFF" w:sz="2" w:space="0"/>
            </w:tcBorders>
            <w:vAlign w:val="top"/>
          </w:tcPr>
          <w:p w14:paraId="6FD8C2AE">
            <w:pPr>
              <w:pStyle w:val="594"/>
              <w:spacing w:line="241" w:lineRule="auto"/>
            </w:pPr>
          </w:p>
          <w:p w14:paraId="18CD1B82">
            <w:pPr>
              <w:pStyle w:val="594"/>
              <w:spacing w:line="242" w:lineRule="auto"/>
            </w:pPr>
          </w:p>
          <w:p w14:paraId="7C596FB0">
            <w:pPr>
              <w:pStyle w:val="594"/>
              <w:spacing w:line="242" w:lineRule="auto"/>
            </w:pPr>
          </w:p>
          <w:p w14:paraId="71555397">
            <w:pPr>
              <w:pStyle w:val="594"/>
              <w:spacing w:line="242" w:lineRule="auto"/>
            </w:pPr>
          </w:p>
          <w:p w14:paraId="213BA122">
            <w:pPr>
              <w:spacing w:before="75" w:line="194" w:lineRule="auto"/>
              <w:ind w:left="42"/>
              <w:rPr>
                <w:rFonts w:ascii="宋体" w:hAnsi="宋体" w:eastAsia="宋体" w:cs="宋体"/>
                <w:sz w:val="23"/>
                <w:szCs w:val="23"/>
              </w:rPr>
            </w:pPr>
            <w:r>
              <w:rPr>
                <w:rFonts w:ascii="宋体" w:hAnsi="宋体" w:eastAsia="宋体" w:cs="宋体"/>
                <w:spacing w:val="11"/>
                <w:sz w:val="23"/>
                <w:szCs w:val="23"/>
              </w:rPr>
              <w:t>投标人：</w:t>
            </w:r>
          </w:p>
        </w:tc>
        <w:tc>
          <w:tcPr>
            <w:tcW w:w="8441" w:type="dxa"/>
            <w:gridSpan w:val="3"/>
            <w:tcBorders>
              <w:top w:val="single" w:color="000000" w:sz="4" w:space="0"/>
              <w:bottom w:val="single" w:color="000000" w:sz="4" w:space="0"/>
              <w:right w:val="single" w:color="FFFFFF" w:sz="2" w:space="0"/>
            </w:tcBorders>
            <w:vAlign w:val="top"/>
          </w:tcPr>
          <w:p w14:paraId="3944187E">
            <w:pPr>
              <w:pStyle w:val="594"/>
            </w:pPr>
          </w:p>
        </w:tc>
      </w:tr>
      <w:tr w14:paraId="62D9A1A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96" w:hRule="atLeast"/>
          <w:jc w:val="center"/>
        </w:trPr>
        <w:tc>
          <w:tcPr>
            <w:tcW w:w="1961" w:type="dxa"/>
            <w:tcBorders>
              <w:top w:val="single" w:color="FFFFFF" w:sz="2" w:space="0"/>
              <w:left w:val="nil"/>
            </w:tcBorders>
            <w:vAlign w:val="top"/>
          </w:tcPr>
          <w:p w14:paraId="29A06EFE">
            <w:pPr>
              <w:pStyle w:val="594"/>
            </w:pPr>
          </w:p>
        </w:tc>
        <w:tc>
          <w:tcPr>
            <w:tcW w:w="8441" w:type="dxa"/>
            <w:gridSpan w:val="3"/>
            <w:tcBorders>
              <w:top w:val="single" w:color="000000" w:sz="4" w:space="0"/>
              <w:right w:val="single" w:color="FFFFFF" w:sz="2" w:space="0"/>
            </w:tcBorders>
            <w:vAlign w:val="top"/>
          </w:tcPr>
          <w:p w14:paraId="570F81C3">
            <w:pPr>
              <w:spacing w:before="38" w:line="229" w:lineRule="auto"/>
              <w:ind w:left="3766"/>
              <w:rPr>
                <w:rFonts w:ascii="宋体" w:hAnsi="宋体" w:eastAsia="宋体" w:cs="宋体"/>
                <w:sz w:val="19"/>
                <w:szCs w:val="19"/>
              </w:rPr>
            </w:pPr>
            <w:r>
              <w:rPr>
                <w:rFonts w:ascii="宋体" w:hAnsi="宋体" w:eastAsia="宋体" w:cs="宋体"/>
                <w:spacing w:val="-2"/>
                <w:sz w:val="19"/>
                <w:szCs w:val="19"/>
              </w:rPr>
              <w:t>(单位盖章)</w:t>
            </w:r>
          </w:p>
        </w:tc>
      </w:tr>
      <w:tr w14:paraId="228FEDA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285" w:hRule="atLeast"/>
          <w:jc w:val="center"/>
        </w:trPr>
        <w:tc>
          <w:tcPr>
            <w:tcW w:w="1961" w:type="dxa"/>
            <w:vMerge w:val="restart"/>
            <w:tcBorders>
              <w:left w:val="nil"/>
              <w:bottom w:val="nil"/>
            </w:tcBorders>
            <w:vAlign w:val="top"/>
          </w:tcPr>
          <w:p w14:paraId="48B9C62C">
            <w:pPr>
              <w:pStyle w:val="594"/>
              <w:spacing w:line="248" w:lineRule="auto"/>
            </w:pPr>
          </w:p>
          <w:p w14:paraId="0E4630A3">
            <w:pPr>
              <w:pStyle w:val="594"/>
              <w:spacing w:line="249" w:lineRule="auto"/>
            </w:pPr>
          </w:p>
          <w:p w14:paraId="4BFD79B0">
            <w:pPr>
              <w:spacing w:before="74" w:line="293" w:lineRule="auto"/>
              <w:ind w:left="41" w:right="473" w:hanging="1"/>
              <w:rPr>
                <w:rFonts w:ascii="宋体" w:hAnsi="宋体" w:eastAsia="宋体" w:cs="宋体"/>
                <w:sz w:val="23"/>
                <w:szCs w:val="23"/>
              </w:rPr>
            </w:pPr>
            <w:r>
              <w:rPr>
                <w:rFonts w:ascii="宋体" w:hAnsi="宋体" w:eastAsia="宋体" w:cs="宋体"/>
                <w:spacing w:val="19"/>
                <w:sz w:val="23"/>
                <w:szCs w:val="23"/>
              </w:rPr>
              <w:t>法定代表人</w:t>
            </w:r>
            <w:r>
              <w:rPr>
                <w:rFonts w:ascii="宋体" w:hAnsi="宋体" w:eastAsia="宋体" w:cs="宋体"/>
                <w:sz w:val="23"/>
                <w:szCs w:val="23"/>
              </w:rPr>
              <w:t xml:space="preserve">  </w:t>
            </w:r>
            <w:r>
              <w:rPr>
                <w:rFonts w:ascii="宋体" w:hAnsi="宋体" w:eastAsia="宋体" w:cs="宋体"/>
                <w:spacing w:val="9"/>
                <w:sz w:val="23"/>
                <w:szCs w:val="23"/>
              </w:rPr>
              <w:t>或其授权人：</w:t>
            </w:r>
          </w:p>
        </w:tc>
        <w:tc>
          <w:tcPr>
            <w:tcW w:w="8441" w:type="dxa"/>
            <w:gridSpan w:val="3"/>
            <w:tcBorders>
              <w:bottom w:val="single" w:color="000000" w:sz="4" w:space="0"/>
              <w:right w:val="single" w:color="FFFFFF" w:sz="2" w:space="0"/>
            </w:tcBorders>
            <w:vAlign w:val="top"/>
          </w:tcPr>
          <w:p w14:paraId="42DE9243">
            <w:pPr>
              <w:pStyle w:val="594"/>
            </w:pPr>
          </w:p>
        </w:tc>
      </w:tr>
      <w:tr w14:paraId="3F1C29E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20" w:hRule="atLeast"/>
          <w:jc w:val="center"/>
        </w:trPr>
        <w:tc>
          <w:tcPr>
            <w:tcW w:w="1961" w:type="dxa"/>
            <w:vMerge w:val="continue"/>
            <w:tcBorders>
              <w:top w:val="nil"/>
              <w:left w:val="nil"/>
            </w:tcBorders>
            <w:vAlign w:val="top"/>
          </w:tcPr>
          <w:p w14:paraId="3FF8EABC">
            <w:pPr>
              <w:pStyle w:val="594"/>
            </w:pPr>
          </w:p>
        </w:tc>
        <w:tc>
          <w:tcPr>
            <w:tcW w:w="8441" w:type="dxa"/>
            <w:gridSpan w:val="3"/>
            <w:vMerge w:val="restart"/>
            <w:tcBorders>
              <w:top w:val="single" w:color="000000" w:sz="4" w:space="0"/>
              <w:bottom w:val="nil"/>
              <w:right w:val="single" w:color="FFFFFF" w:sz="2" w:space="0"/>
            </w:tcBorders>
            <w:vAlign w:val="top"/>
          </w:tcPr>
          <w:p w14:paraId="15FE9B2E">
            <w:pPr>
              <w:spacing w:before="59" w:line="229" w:lineRule="auto"/>
              <w:ind w:left="3661"/>
              <w:rPr>
                <w:rFonts w:ascii="宋体" w:hAnsi="宋体" w:eastAsia="宋体" w:cs="宋体"/>
                <w:sz w:val="19"/>
                <w:szCs w:val="19"/>
              </w:rPr>
            </w:pPr>
            <w:r>
              <w:rPr>
                <w:rFonts w:ascii="宋体" w:hAnsi="宋体" w:eastAsia="宋体" w:cs="宋体"/>
                <w:spacing w:val="-1"/>
                <w:sz w:val="19"/>
                <w:szCs w:val="19"/>
              </w:rPr>
              <w:t>(签字或盖章)</w:t>
            </w:r>
          </w:p>
        </w:tc>
      </w:tr>
      <w:tr w14:paraId="246B176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97" w:hRule="atLeast"/>
          <w:jc w:val="center"/>
        </w:trPr>
        <w:tc>
          <w:tcPr>
            <w:tcW w:w="1961" w:type="dxa"/>
            <w:tcBorders>
              <w:left w:val="nil"/>
            </w:tcBorders>
            <w:vAlign w:val="top"/>
          </w:tcPr>
          <w:p w14:paraId="5256F345">
            <w:pPr>
              <w:pStyle w:val="594"/>
            </w:pPr>
          </w:p>
        </w:tc>
        <w:tc>
          <w:tcPr>
            <w:tcW w:w="8441" w:type="dxa"/>
            <w:gridSpan w:val="3"/>
            <w:vMerge w:val="continue"/>
            <w:tcBorders>
              <w:top w:val="nil"/>
              <w:right w:val="single" w:color="FFFFFF" w:sz="2" w:space="0"/>
            </w:tcBorders>
            <w:vAlign w:val="top"/>
          </w:tcPr>
          <w:p w14:paraId="63DC29B3">
            <w:pPr>
              <w:pStyle w:val="594"/>
            </w:pPr>
          </w:p>
        </w:tc>
      </w:tr>
      <w:tr w14:paraId="3DF1053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300" w:hRule="atLeast"/>
          <w:jc w:val="center"/>
        </w:trPr>
        <w:tc>
          <w:tcPr>
            <w:tcW w:w="1961" w:type="dxa"/>
            <w:tcBorders>
              <w:left w:val="nil"/>
              <w:bottom w:val="single" w:color="FFFFFF" w:sz="2" w:space="0"/>
            </w:tcBorders>
            <w:vAlign w:val="top"/>
          </w:tcPr>
          <w:p w14:paraId="25A53BF2">
            <w:pPr>
              <w:pStyle w:val="594"/>
            </w:pPr>
          </w:p>
          <w:p w14:paraId="50A4504F">
            <w:pPr>
              <w:pStyle w:val="594"/>
              <w:spacing w:line="241" w:lineRule="auto"/>
            </w:pPr>
          </w:p>
          <w:p w14:paraId="661EC464">
            <w:pPr>
              <w:pStyle w:val="594"/>
              <w:spacing w:line="241" w:lineRule="auto"/>
            </w:pPr>
          </w:p>
          <w:p w14:paraId="2EF39FF1">
            <w:pPr>
              <w:pStyle w:val="594"/>
              <w:spacing w:line="241" w:lineRule="auto"/>
            </w:pPr>
          </w:p>
          <w:p w14:paraId="1A79E02D">
            <w:pPr>
              <w:spacing w:before="75" w:line="197" w:lineRule="auto"/>
              <w:ind w:left="41"/>
              <w:rPr>
                <w:rFonts w:ascii="宋体" w:hAnsi="宋体" w:eastAsia="宋体" w:cs="宋体"/>
                <w:sz w:val="23"/>
                <w:szCs w:val="23"/>
              </w:rPr>
            </w:pPr>
            <w:r>
              <w:rPr>
                <w:rFonts w:ascii="宋体" w:hAnsi="宋体" w:eastAsia="宋体" w:cs="宋体"/>
                <w:spacing w:val="-1"/>
                <w:sz w:val="23"/>
                <w:szCs w:val="23"/>
              </w:rPr>
              <w:t>编</w:t>
            </w:r>
            <w:r>
              <w:rPr>
                <w:rFonts w:ascii="宋体" w:hAnsi="宋体" w:eastAsia="宋体" w:cs="宋体"/>
                <w:spacing w:val="43"/>
                <w:sz w:val="23"/>
                <w:szCs w:val="23"/>
              </w:rPr>
              <w:t xml:space="preserve"> </w:t>
            </w:r>
            <w:r>
              <w:rPr>
                <w:rFonts w:ascii="宋体" w:hAnsi="宋体" w:eastAsia="宋体" w:cs="宋体"/>
                <w:spacing w:val="-1"/>
                <w:sz w:val="23"/>
                <w:szCs w:val="23"/>
              </w:rPr>
              <w:t>制</w:t>
            </w:r>
            <w:r>
              <w:rPr>
                <w:rFonts w:ascii="宋体" w:hAnsi="宋体" w:eastAsia="宋体" w:cs="宋体"/>
                <w:spacing w:val="44"/>
                <w:sz w:val="23"/>
                <w:szCs w:val="23"/>
              </w:rPr>
              <w:t xml:space="preserve"> </w:t>
            </w:r>
            <w:r>
              <w:rPr>
                <w:rFonts w:ascii="宋体" w:hAnsi="宋体" w:eastAsia="宋体" w:cs="宋体"/>
                <w:spacing w:val="-1"/>
                <w:sz w:val="23"/>
                <w:szCs w:val="23"/>
              </w:rPr>
              <w:t>人：</w:t>
            </w:r>
          </w:p>
        </w:tc>
        <w:tc>
          <w:tcPr>
            <w:tcW w:w="8441" w:type="dxa"/>
            <w:gridSpan w:val="3"/>
            <w:tcBorders>
              <w:bottom w:val="single" w:color="000000" w:sz="4" w:space="0"/>
              <w:right w:val="single" w:color="FFFFFF" w:sz="2" w:space="0"/>
            </w:tcBorders>
            <w:vAlign w:val="top"/>
          </w:tcPr>
          <w:p w14:paraId="627DD60C">
            <w:pPr>
              <w:pStyle w:val="594"/>
            </w:pPr>
          </w:p>
        </w:tc>
      </w:tr>
      <w:tr w14:paraId="3644F6D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97" w:hRule="atLeast"/>
          <w:jc w:val="center"/>
        </w:trPr>
        <w:tc>
          <w:tcPr>
            <w:tcW w:w="1961" w:type="dxa"/>
            <w:tcBorders>
              <w:top w:val="single" w:color="FFFFFF" w:sz="2" w:space="0"/>
              <w:left w:val="nil"/>
            </w:tcBorders>
            <w:vAlign w:val="top"/>
          </w:tcPr>
          <w:p w14:paraId="38B73FC9">
            <w:pPr>
              <w:pStyle w:val="594"/>
            </w:pPr>
          </w:p>
        </w:tc>
        <w:tc>
          <w:tcPr>
            <w:tcW w:w="8441" w:type="dxa"/>
            <w:gridSpan w:val="3"/>
            <w:tcBorders>
              <w:top w:val="single" w:color="000000" w:sz="4" w:space="0"/>
              <w:right w:val="single" w:color="FFFFFF" w:sz="2" w:space="0"/>
            </w:tcBorders>
            <w:vAlign w:val="top"/>
          </w:tcPr>
          <w:p w14:paraId="59A2F157">
            <w:pPr>
              <w:spacing w:before="34" w:line="228" w:lineRule="auto"/>
              <w:ind w:left="3067"/>
              <w:rPr>
                <w:rFonts w:ascii="宋体" w:hAnsi="宋体" w:eastAsia="宋体" w:cs="宋体"/>
                <w:sz w:val="19"/>
                <w:szCs w:val="19"/>
              </w:rPr>
            </w:pPr>
            <w:r>
              <w:rPr>
                <w:rFonts w:ascii="宋体" w:hAnsi="宋体" w:eastAsia="宋体" w:cs="宋体"/>
                <w:spacing w:val="3"/>
                <w:sz w:val="19"/>
                <w:szCs w:val="19"/>
              </w:rPr>
              <w:t>（造价人员签字盖专用章）</w:t>
            </w:r>
          </w:p>
        </w:tc>
      </w:tr>
      <w:tr w14:paraId="772890F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308" w:hRule="atLeast"/>
          <w:jc w:val="center"/>
        </w:trPr>
        <w:tc>
          <w:tcPr>
            <w:tcW w:w="1961" w:type="dxa"/>
            <w:tcBorders>
              <w:left w:val="nil"/>
              <w:bottom w:val="single" w:color="FFFFFF" w:sz="2" w:space="0"/>
            </w:tcBorders>
            <w:vAlign w:val="top"/>
          </w:tcPr>
          <w:p w14:paraId="6E262543">
            <w:pPr>
              <w:pStyle w:val="594"/>
              <w:spacing w:line="242" w:lineRule="auto"/>
            </w:pPr>
          </w:p>
          <w:p w14:paraId="4AA2E554">
            <w:pPr>
              <w:pStyle w:val="594"/>
              <w:spacing w:line="242" w:lineRule="auto"/>
            </w:pPr>
          </w:p>
          <w:p w14:paraId="6385C3F2">
            <w:pPr>
              <w:pStyle w:val="594"/>
              <w:spacing w:line="242" w:lineRule="auto"/>
            </w:pPr>
          </w:p>
          <w:p w14:paraId="5B1C083E">
            <w:pPr>
              <w:pStyle w:val="594"/>
              <w:spacing w:line="243" w:lineRule="auto"/>
            </w:pPr>
          </w:p>
          <w:p w14:paraId="06E3C2D9">
            <w:pPr>
              <w:spacing w:before="75" w:line="199" w:lineRule="auto"/>
              <w:ind w:left="41"/>
              <w:rPr>
                <w:rFonts w:ascii="宋体" w:hAnsi="宋体" w:eastAsia="宋体" w:cs="宋体"/>
                <w:sz w:val="23"/>
                <w:szCs w:val="23"/>
              </w:rPr>
            </w:pPr>
            <w:r>
              <w:rPr>
                <w:rFonts w:ascii="宋体" w:hAnsi="宋体" w:eastAsia="宋体" w:cs="宋体"/>
                <w:spacing w:val="14"/>
                <w:sz w:val="23"/>
                <w:szCs w:val="23"/>
              </w:rPr>
              <w:t>编制时间：</w:t>
            </w:r>
          </w:p>
        </w:tc>
        <w:tc>
          <w:tcPr>
            <w:tcW w:w="8441" w:type="dxa"/>
            <w:gridSpan w:val="3"/>
            <w:tcBorders>
              <w:bottom w:val="single" w:color="FFFFFF" w:sz="2" w:space="0"/>
              <w:right w:val="single" w:color="FFFFFF" w:sz="2" w:space="0"/>
            </w:tcBorders>
            <w:vAlign w:val="top"/>
          </w:tcPr>
          <w:p w14:paraId="3EE12B53">
            <w:pPr>
              <w:pStyle w:val="594"/>
            </w:pPr>
          </w:p>
        </w:tc>
      </w:tr>
    </w:tbl>
    <w:p w14:paraId="3E819F94">
      <w:pPr>
        <w:spacing w:before="15"/>
      </w:pPr>
    </w:p>
    <w:p w14:paraId="02837726">
      <w:pPr>
        <w:spacing w:before="15"/>
      </w:pPr>
    </w:p>
    <w:p w14:paraId="1E46F334">
      <w:pPr>
        <w:spacing w:before="15"/>
      </w:pPr>
    </w:p>
    <w:tbl>
      <w:tblPr>
        <w:tblStyle w:val="333"/>
        <w:tblW w:w="10401"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201"/>
        <w:gridCol w:w="2200"/>
      </w:tblGrid>
      <w:tr w14:paraId="2AA7689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9" w:hRule="atLeast"/>
        </w:trPr>
        <w:tc>
          <w:tcPr>
            <w:tcW w:w="8201" w:type="dxa"/>
            <w:tcBorders>
              <w:bottom w:val="single" w:color="FFFFFF" w:sz="2" w:space="0"/>
              <w:right w:val="single" w:color="FFFFFF" w:sz="4" w:space="0"/>
            </w:tcBorders>
            <w:vAlign w:val="top"/>
          </w:tcPr>
          <w:p w14:paraId="32AC3E85">
            <w:pPr>
              <w:pStyle w:val="594"/>
            </w:pPr>
            <w:r>
              <w:drawing>
                <wp:anchor distT="0" distB="0" distL="0" distR="0" simplePos="0" relativeHeight="251662336" behindDoc="1" locked="0" layoutInCell="1" allowOverlap="1">
                  <wp:simplePos x="0" y="0"/>
                  <wp:positionH relativeFrom="rightMargin">
                    <wp:posOffset>-46990</wp:posOffset>
                  </wp:positionH>
                  <wp:positionV relativeFrom="topMargin">
                    <wp:posOffset>0</wp:posOffset>
                  </wp:positionV>
                  <wp:extent cx="9525" cy="237490"/>
                  <wp:effectExtent l="0" t="0" r="9525" b="1016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0"/>
                          <a:stretch>
                            <a:fillRect/>
                          </a:stretch>
                        </pic:blipFill>
                        <pic:spPr>
                          <a:xfrm>
                            <a:off x="0" y="0"/>
                            <a:ext cx="9509" cy="237743"/>
                          </a:xfrm>
                          <a:prstGeom prst="rect">
                            <a:avLst/>
                          </a:prstGeom>
                        </pic:spPr>
                      </pic:pic>
                    </a:graphicData>
                  </a:graphic>
                </wp:anchor>
              </w:drawing>
            </w:r>
          </w:p>
        </w:tc>
        <w:tc>
          <w:tcPr>
            <w:tcW w:w="2200" w:type="dxa"/>
            <w:tcBorders>
              <w:left w:val="single" w:color="FFFFFF" w:sz="4" w:space="0"/>
              <w:bottom w:val="single" w:color="FFFFFF" w:sz="2" w:space="0"/>
              <w:right w:val="single" w:color="FFFFFF" w:sz="2" w:space="0"/>
            </w:tcBorders>
            <w:vAlign w:val="top"/>
          </w:tcPr>
          <w:p w14:paraId="48E6C3C6">
            <w:pPr>
              <w:spacing w:before="89" w:line="233" w:lineRule="auto"/>
              <w:ind w:right="23"/>
              <w:jc w:val="right"/>
              <w:rPr>
                <w:rFonts w:ascii="宋体" w:hAnsi="宋体" w:eastAsia="宋体" w:cs="宋体"/>
                <w:sz w:val="17"/>
                <w:szCs w:val="17"/>
              </w:rPr>
            </w:pPr>
            <w:r>
              <w:rPr>
                <w:rFonts w:ascii="宋体" w:hAnsi="宋体" w:eastAsia="宋体" w:cs="宋体"/>
                <w:spacing w:val="3"/>
                <w:sz w:val="17"/>
                <w:szCs w:val="17"/>
              </w:rPr>
              <w:t>扉-3</w:t>
            </w:r>
          </w:p>
        </w:tc>
      </w:tr>
    </w:tbl>
    <w:p w14:paraId="6BC87DA8">
      <w:pPr>
        <w:rPr>
          <w:rFonts w:ascii="Arial"/>
          <w:sz w:val="21"/>
        </w:rPr>
      </w:pPr>
    </w:p>
    <w:p w14:paraId="6C3F6C9A">
      <w:pPr>
        <w:rPr>
          <w:rFonts w:ascii="Arial" w:hAnsi="Arial" w:eastAsia="Arial" w:cs="Arial"/>
          <w:sz w:val="21"/>
          <w:szCs w:val="21"/>
        </w:rPr>
        <w:sectPr>
          <w:pgSz w:w="11960" w:h="16880"/>
          <w:pgMar w:top="400" w:right="821" w:bottom="0" w:left="733" w:header="0" w:footer="0" w:gutter="0"/>
          <w:cols w:space="720" w:num="1"/>
        </w:sectPr>
      </w:pPr>
    </w:p>
    <w:p w14:paraId="731ECB31">
      <w:pPr>
        <w:spacing w:before="208"/>
      </w:pPr>
    </w:p>
    <w:tbl>
      <w:tblPr>
        <w:tblStyle w:val="333"/>
        <w:tblW w:w="10402"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Grid>
        <w:gridCol w:w="7379"/>
        <w:gridCol w:w="3023"/>
      </w:tblGrid>
      <w:tr w14:paraId="2E93BED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149" w:hRule="atLeast"/>
          <w:jc w:val="center"/>
        </w:trPr>
        <w:tc>
          <w:tcPr>
            <w:tcW w:w="10402" w:type="dxa"/>
            <w:gridSpan w:val="2"/>
            <w:tcBorders>
              <w:top w:val="nil"/>
              <w:left w:val="nil"/>
              <w:right w:val="single" w:color="FFFFFF" w:sz="2" w:space="0"/>
            </w:tcBorders>
            <w:vAlign w:val="top"/>
          </w:tcPr>
          <w:p w14:paraId="30AF2704">
            <w:pPr>
              <w:spacing w:before="359" w:line="224" w:lineRule="auto"/>
              <w:ind w:left="4064"/>
              <w:outlineLvl w:val="0"/>
              <w:rPr>
                <w:rFonts w:ascii="宋体" w:hAnsi="宋体" w:eastAsia="宋体" w:cs="宋体"/>
                <w:sz w:val="43"/>
                <w:szCs w:val="43"/>
              </w:rPr>
            </w:pPr>
            <w:r>
              <w:rPr>
                <w:rFonts w:ascii="宋体" w:hAnsi="宋体" w:eastAsia="宋体" w:cs="宋体"/>
                <w:spacing w:val="-9"/>
                <w:sz w:val="43"/>
                <w:szCs w:val="43"/>
              </w:rPr>
              <w:t>总</w:t>
            </w:r>
            <w:r>
              <w:rPr>
                <w:rFonts w:ascii="宋体" w:hAnsi="宋体" w:eastAsia="宋体" w:cs="宋体"/>
                <w:spacing w:val="39"/>
                <w:sz w:val="43"/>
                <w:szCs w:val="43"/>
              </w:rPr>
              <w:t xml:space="preserve">  </w:t>
            </w:r>
            <w:r>
              <w:rPr>
                <w:rFonts w:ascii="宋体" w:hAnsi="宋体" w:eastAsia="宋体" w:cs="宋体"/>
                <w:spacing w:val="-9"/>
                <w:sz w:val="43"/>
                <w:szCs w:val="43"/>
              </w:rPr>
              <w:t>说</w:t>
            </w:r>
            <w:r>
              <w:rPr>
                <w:rFonts w:ascii="宋体" w:hAnsi="宋体" w:eastAsia="宋体" w:cs="宋体"/>
                <w:spacing w:val="58"/>
                <w:sz w:val="43"/>
                <w:szCs w:val="43"/>
              </w:rPr>
              <w:t xml:space="preserve">  </w:t>
            </w:r>
            <w:r>
              <w:rPr>
                <w:rFonts w:ascii="宋体" w:hAnsi="宋体" w:eastAsia="宋体" w:cs="宋体"/>
                <w:spacing w:val="-9"/>
                <w:sz w:val="43"/>
                <w:szCs w:val="43"/>
              </w:rPr>
              <w:t>明</w:t>
            </w:r>
          </w:p>
        </w:tc>
      </w:tr>
      <w:tr w14:paraId="1C0DEBC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71" w:hRule="atLeast"/>
          <w:jc w:val="center"/>
        </w:trPr>
        <w:tc>
          <w:tcPr>
            <w:tcW w:w="7379" w:type="dxa"/>
            <w:tcBorders>
              <w:left w:val="nil"/>
              <w:bottom w:val="single" w:color="FFFFFF" w:sz="2" w:space="0"/>
            </w:tcBorders>
            <w:vAlign w:val="top"/>
          </w:tcPr>
          <w:p w14:paraId="2D3F1F90">
            <w:pPr>
              <w:pStyle w:val="594"/>
              <w:spacing w:line="290" w:lineRule="auto"/>
            </w:pPr>
          </w:p>
          <w:p w14:paraId="550B1038">
            <w:pPr>
              <w:spacing w:before="62" w:line="201" w:lineRule="auto"/>
              <w:ind w:left="40"/>
              <w:rPr>
                <w:rFonts w:ascii="宋体" w:hAnsi="宋体" w:eastAsia="宋体" w:cs="宋体"/>
                <w:sz w:val="19"/>
                <w:szCs w:val="19"/>
              </w:rPr>
            </w:pPr>
            <w:r>
              <w:rPr>
                <w:rFonts w:ascii="宋体" w:hAnsi="宋体" w:eastAsia="宋体" w:cs="宋体"/>
                <w:spacing w:val="4"/>
                <w:sz w:val="19"/>
                <w:szCs w:val="19"/>
              </w:rPr>
              <w:t>工程名称： 沭阳县耿圩镇污水处理厂提质提标项目</w:t>
            </w:r>
          </w:p>
        </w:tc>
        <w:tc>
          <w:tcPr>
            <w:tcW w:w="3023" w:type="dxa"/>
            <w:tcBorders>
              <w:bottom w:val="single" w:color="FFFFFF" w:sz="2" w:space="0"/>
              <w:right w:val="single" w:color="FFFFFF" w:sz="2" w:space="0"/>
            </w:tcBorders>
            <w:vAlign w:val="top"/>
          </w:tcPr>
          <w:p w14:paraId="7A334BCC">
            <w:pPr>
              <w:pStyle w:val="594"/>
              <w:spacing w:line="290" w:lineRule="auto"/>
            </w:pPr>
          </w:p>
          <w:p w14:paraId="2B6BEFFF">
            <w:pPr>
              <w:spacing w:before="62" w:line="201" w:lineRule="auto"/>
              <w:ind w:right="22"/>
              <w:jc w:val="right"/>
              <w:rPr>
                <w:rFonts w:ascii="宋体" w:hAnsi="宋体" w:eastAsia="宋体" w:cs="宋体"/>
                <w:sz w:val="19"/>
                <w:szCs w:val="19"/>
              </w:rPr>
            </w:pPr>
            <w:r>
              <w:rPr>
                <w:rFonts w:ascii="宋体" w:hAnsi="宋体" w:eastAsia="宋体" w:cs="宋体"/>
                <w:spacing w:val="-6"/>
                <w:sz w:val="19"/>
                <w:szCs w:val="19"/>
              </w:rPr>
              <w:t>第</w:t>
            </w:r>
            <w:r>
              <w:rPr>
                <w:rFonts w:ascii="宋体" w:hAnsi="宋体" w:eastAsia="宋体" w:cs="宋体"/>
                <w:spacing w:val="27"/>
                <w:sz w:val="19"/>
                <w:szCs w:val="19"/>
              </w:rPr>
              <w:t xml:space="preserve"> </w:t>
            </w:r>
            <w:r>
              <w:rPr>
                <w:rFonts w:ascii="宋体" w:hAnsi="宋体" w:eastAsia="宋体" w:cs="宋体"/>
                <w:spacing w:val="-6"/>
                <w:sz w:val="19"/>
                <w:szCs w:val="19"/>
              </w:rPr>
              <w:t>1</w:t>
            </w:r>
            <w:r>
              <w:rPr>
                <w:rFonts w:ascii="宋体" w:hAnsi="宋体" w:eastAsia="宋体" w:cs="宋体"/>
                <w:spacing w:val="27"/>
                <w:sz w:val="19"/>
                <w:szCs w:val="19"/>
              </w:rPr>
              <w:t xml:space="preserve"> </w:t>
            </w:r>
            <w:r>
              <w:rPr>
                <w:rFonts w:ascii="宋体" w:hAnsi="宋体" w:eastAsia="宋体" w:cs="宋体"/>
                <w:spacing w:val="-6"/>
                <w:sz w:val="19"/>
                <w:szCs w:val="19"/>
              </w:rPr>
              <w:t>页</w:t>
            </w:r>
            <w:r>
              <w:rPr>
                <w:rFonts w:ascii="宋体" w:hAnsi="宋体" w:eastAsia="宋体" w:cs="宋体"/>
                <w:spacing w:val="9"/>
                <w:sz w:val="19"/>
                <w:szCs w:val="19"/>
              </w:rPr>
              <w:t xml:space="preserve"> </w:t>
            </w:r>
            <w:r>
              <w:rPr>
                <w:rFonts w:ascii="宋体" w:hAnsi="宋体" w:eastAsia="宋体" w:cs="宋体"/>
                <w:spacing w:val="-6"/>
                <w:sz w:val="19"/>
                <w:szCs w:val="19"/>
              </w:rPr>
              <w:t>共</w:t>
            </w:r>
            <w:r>
              <w:rPr>
                <w:rFonts w:ascii="宋体" w:hAnsi="宋体" w:eastAsia="宋体" w:cs="宋体"/>
                <w:spacing w:val="27"/>
                <w:sz w:val="19"/>
                <w:szCs w:val="19"/>
              </w:rPr>
              <w:t xml:space="preserve"> </w:t>
            </w:r>
            <w:r>
              <w:rPr>
                <w:rFonts w:ascii="宋体" w:hAnsi="宋体" w:eastAsia="宋体" w:cs="宋体"/>
                <w:spacing w:val="-6"/>
                <w:sz w:val="19"/>
                <w:szCs w:val="19"/>
              </w:rPr>
              <w:t>1</w:t>
            </w:r>
            <w:r>
              <w:rPr>
                <w:rFonts w:ascii="宋体" w:hAnsi="宋体" w:eastAsia="宋体" w:cs="宋体"/>
                <w:spacing w:val="26"/>
                <w:sz w:val="19"/>
                <w:szCs w:val="19"/>
              </w:rPr>
              <w:t xml:space="preserve"> </w:t>
            </w:r>
            <w:r>
              <w:rPr>
                <w:rFonts w:ascii="宋体" w:hAnsi="宋体" w:eastAsia="宋体" w:cs="宋体"/>
                <w:spacing w:val="-6"/>
                <w:sz w:val="19"/>
                <w:szCs w:val="19"/>
              </w:rPr>
              <w:t>页</w:t>
            </w:r>
          </w:p>
        </w:tc>
      </w:tr>
    </w:tbl>
    <w:p w14:paraId="68BC6227">
      <w:pPr>
        <w:spacing w:line="16" w:lineRule="exact"/>
      </w:pPr>
    </w:p>
    <w:tbl>
      <w:tblPr>
        <w:tblStyle w:val="333"/>
        <w:tblW w:w="104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11"/>
      </w:tblGrid>
      <w:tr w14:paraId="441DC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2" w:hRule="atLeast"/>
        </w:trPr>
        <w:tc>
          <w:tcPr>
            <w:tcW w:w="10411" w:type="dxa"/>
            <w:tcBorders>
              <w:bottom w:val="single" w:color="000000" w:sz="4" w:space="0"/>
              <w:right w:val="single" w:color="000000" w:sz="4" w:space="0"/>
            </w:tcBorders>
            <w:vAlign w:val="top"/>
          </w:tcPr>
          <w:p w14:paraId="74A1078D">
            <w:pPr>
              <w:pStyle w:val="594"/>
            </w:pPr>
          </w:p>
        </w:tc>
      </w:tr>
      <w:tr w14:paraId="613DE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10411" w:type="dxa"/>
            <w:tcBorders>
              <w:top w:val="single" w:color="000000" w:sz="4" w:space="0"/>
              <w:bottom w:val="single" w:color="FFFFFF" w:sz="2" w:space="0"/>
            </w:tcBorders>
            <w:vAlign w:val="top"/>
          </w:tcPr>
          <w:p w14:paraId="7542705D">
            <w:pPr>
              <w:pStyle w:val="594"/>
            </w:pPr>
          </w:p>
        </w:tc>
      </w:tr>
    </w:tbl>
    <w:p w14:paraId="729E0611">
      <w:pPr>
        <w:spacing w:before="47"/>
      </w:pPr>
    </w:p>
    <w:p w14:paraId="27D48281">
      <w:pPr>
        <w:spacing w:before="47"/>
      </w:pPr>
    </w:p>
    <w:p w14:paraId="207BF98F">
      <w:pPr>
        <w:spacing w:before="47"/>
      </w:pPr>
    </w:p>
    <w:p w14:paraId="5355B7C3">
      <w:pPr>
        <w:spacing w:before="46"/>
      </w:pPr>
    </w:p>
    <w:tbl>
      <w:tblPr>
        <w:tblStyle w:val="333"/>
        <w:tblW w:w="10401"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7378"/>
        <w:gridCol w:w="3023"/>
      </w:tblGrid>
      <w:tr w14:paraId="5ABA7BD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9" w:hRule="atLeast"/>
        </w:trPr>
        <w:tc>
          <w:tcPr>
            <w:tcW w:w="7378" w:type="dxa"/>
            <w:tcBorders>
              <w:bottom w:val="single" w:color="FFFFFF" w:sz="2" w:space="0"/>
              <w:right w:val="single" w:color="FFFFFF" w:sz="4" w:space="0"/>
            </w:tcBorders>
            <w:vAlign w:val="top"/>
          </w:tcPr>
          <w:p w14:paraId="7158BA45">
            <w:pPr>
              <w:pStyle w:val="594"/>
            </w:pPr>
            <w:r>
              <w:drawing>
                <wp:anchor distT="0" distB="0" distL="0" distR="0" simplePos="0" relativeHeight="251663360" behindDoc="1" locked="0" layoutInCell="1" allowOverlap="1">
                  <wp:simplePos x="0" y="0"/>
                  <wp:positionH relativeFrom="rightMargin">
                    <wp:posOffset>-46990</wp:posOffset>
                  </wp:positionH>
                  <wp:positionV relativeFrom="topMargin">
                    <wp:posOffset>0</wp:posOffset>
                  </wp:positionV>
                  <wp:extent cx="9525" cy="237490"/>
                  <wp:effectExtent l="0" t="0" r="9525" b="1016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1"/>
                          <a:stretch>
                            <a:fillRect/>
                          </a:stretch>
                        </pic:blipFill>
                        <pic:spPr>
                          <a:xfrm>
                            <a:off x="0" y="0"/>
                            <a:ext cx="9509" cy="237743"/>
                          </a:xfrm>
                          <a:prstGeom prst="rect">
                            <a:avLst/>
                          </a:prstGeom>
                        </pic:spPr>
                      </pic:pic>
                    </a:graphicData>
                  </a:graphic>
                </wp:anchor>
              </w:drawing>
            </w:r>
          </w:p>
        </w:tc>
        <w:tc>
          <w:tcPr>
            <w:tcW w:w="3023" w:type="dxa"/>
            <w:tcBorders>
              <w:left w:val="single" w:color="FFFFFF" w:sz="4" w:space="0"/>
              <w:bottom w:val="single" w:color="FFFFFF" w:sz="2" w:space="0"/>
              <w:right w:val="single" w:color="FFFFFF" w:sz="2" w:space="0"/>
            </w:tcBorders>
            <w:vAlign w:val="top"/>
          </w:tcPr>
          <w:p w14:paraId="3A1BA363">
            <w:pPr>
              <w:spacing w:before="90" w:line="232" w:lineRule="auto"/>
              <w:ind w:right="23"/>
              <w:jc w:val="right"/>
              <w:rPr>
                <w:rFonts w:ascii="宋体" w:hAnsi="宋体" w:eastAsia="宋体" w:cs="宋体"/>
                <w:sz w:val="17"/>
                <w:szCs w:val="17"/>
              </w:rPr>
            </w:pPr>
            <w:r>
              <w:rPr>
                <w:rFonts w:ascii="宋体" w:hAnsi="宋体" w:eastAsia="宋体" w:cs="宋体"/>
                <w:spacing w:val="4"/>
                <w:sz w:val="17"/>
                <w:szCs w:val="17"/>
              </w:rPr>
              <w:t>表-01</w:t>
            </w:r>
          </w:p>
        </w:tc>
      </w:tr>
    </w:tbl>
    <w:p w14:paraId="00AF7826">
      <w:pPr>
        <w:rPr>
          <w:rFonts w:ascii="Arial"/>
          <w:sz w:val="21"/>
        </w:rPr>
      </w:pPr>
    </w:p>
    <w:p w14:paraId="55CFA1AD">
      <w:pPr>
        <w:rPr>
          <w:rFonts w:ascii="Arial" w:hAnsi="Arial" w:eastAsia="Arial" w:cs="Arial"/>
          <w:sz w:val="21"/>
          <w:szCs w:val="21"/>
        </w:rPr>
        <w:sectPr>
          <w:pgSz w:w="11960" w:h="16880"/>
          <w:pgMar w:top="400" w:right="807" w:bottom="0" w:left="733" w:header="0" w:footer="0" w:gutter="0"/>
          <w:cols w:space="720" w:num="1"/>
        </w:sectPr>
      </w:pPr>
    </w:p>
    <w:p w14:paraId="7B92B93E">
      <w:pPr>
        <w:spacing w:before="208"/>
      </w:pPr>
    </w:p>
    <w:tbl>
      <w:tblPr>
        <w:tblStyle w:val="333"/>
        <w:tblW w:w="104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9"/>
        <w:gridCol w:w="3764"/>
        <w:gridCol w:w="552"/>
        <w:gridCol w:w="2032"/>
        <w:gridCol w:w="791"/>
        <w:gridCol w:w="1943"/>
      </w:tblGrid>
      <w:tr w14:paraId="0D8CA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jc w:val="center"/>
        </w:trPr>
        <w:tc>
          <w:tcPr>
            <w:tcW w:w="10411" w:type="dxa"/>
            <w:gridSpan w:val="6"/>
            <w:tcBorders>
              <w:top w:val="nil"/>
              <w:left w:val="nil"/>
              <w:bottom w:val="single" w:color="FFFFFF" w:sz="4" w:space="0"/>
              <w:right w:val="single" w:color="FFFFFF" w:sz="2" w:space="0"/>
            </w:tcBorders>
            <w:vAlign w:val="top"/>
          </w:tcPr>
          <w:p w14:paraId="7B074199">
            <w:pPr>
              <w:spacing w:before="135" w:line="223" w:lineRule="auto"/>
              <w:ind w:left="2896"/>
              <w:outlineLvl w:val="0"/>
              <w:rPr>
                <w:rFonts w:ascii="宋体" w:hAnsi="宋体" w:eastAsia="宋体" w:cs="宋体"/>
                <w:sz w:val="39"/>
                <w:szCs w:val="39"/>
              </w:rPr>
            </w:pPr>
            <w:r>
              <w:rPr>
                <w:rFonts w:ascii="宋体" w:hAnsi="宋体" w:eastAsia="宋体" w:cs="宋体"/>
                <w:spacing w:val="25"/>
                <w:sz w:val="39"/>
                <w:szCs w:val="39"/>
              </w:rPr>
              <w:t>单位工程投标报价汇总表</w:t>
            </w:r>
          </w:p>
        </w:tc>
      </w:tr>
      <w:tr w14:paraId="30101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5093" w:type="dxa"/>
            <w:gridSpan w:val="2"/>
            <w:tcBorders>
              <w:top w:val="single" w:color="FFFFFF" w:sz="4" w:space="0"/>
              <w:left w:val="nil"/>
              <w:bottom w:val="single" w:color="000000" w:sz="10" w:space="0"/>
              <w:right w:val="single" w:color="FFFFFF" w:sz="4" w:space="0"/>
            </w:tcBorders>
            <w:vAlign w:val="top"/>
          </w:tcPr>
          <w:p w14:paraId="585BBEF0">
            <w:pPr>
              <w:spacing w:before="182" w:line="230" w:lineRule="auto"/>
              <w:ind w:left="28"/>
              <w:rPr>
                <w:rFonts w:ascii="宋体" w:hAnsi="宋体" w:eastAsia="宋体" w:cs="宋体"/>
                <w:sz w:val="19"/>
                <w:szCs w:val="19"/>
              </w:rPr>
            </w:pPr>
            <w:r>
              <w:rPr>
                <w:rFonts w:ascii="宋体" w:hAnsi="宋体" w:eastAsia="宋体" w:cs="宋体"/>
                <w:spacing w:val="4"/>
                <w:sz w:val="19"/>
                <w:szCs w:val="19"/>
              </w:rPr>
              <w:t>工程名称：沭阳县耿圩镇污水处理厂提质提标项目</w:t>
            </w:r>
          </w:p>
        </w:tc>
        <w:tc>
          <w:tcPr>
            <w:tcW w:w="2584" w:type="dxa"/>
            <w:gridSpan w:val="2"/>
            <w:tcBorders>
              <w:top w:val="single" w:color="FFFFFF" w:sz="4" w:space="0"/>
              <w:left w:val="single" w:color="FFFFFF" w:sz="4" w:space="0"/>
              <w:bottom w:val="single" w:color="000000" w:sz="10" w:space="0"/>
              <w:right w:val="single" w:color="FFFFFF" w:sz="4" w:space="0"/>
            </w:tcBorders>
            <w:vAlign w:val="top"/>
          </w:tcPr>
          <w:p w14:paraId="76516357">
            <w:pPr>
              <w:spacing w:before="152" w:line="198" w:lineRule="auto"/>
              <w:ind w:left="34" w:right="13" w:hanging="1"/>
              <w:rPr>
                <w:rFonts w:ascii="宋体" w:hAnsi="宋体" w:eastAsia="宋体" w:cs="宋体"/>
                <w:sz w:val="19"/>
                <w:szCs w:val="19"/>
              </w:rPr>
            </w:pPr>
            <w:r>
              <w:rPr>
                <w:rFonts w:ascii="宋体" w:hAnsi="宋体" w:eastAsia="宋体" w:cs="宋体"/>
                <w:spacing w:val="4"/>
                <w:sz w:val="19"/>
                <w:szCs w:val="19"/>
              </w:rPr>
              <w:t xml:space="preserve">标段：沭阳县耿圩镇污水处理 </w:t>
            </w:r>
            <w:r>
              <w:rPr>
                <w:rFonts w:ascii="宋体" w:hAnsi="宋体" w:eastAsia="宋体" w:cs="宋体"/>
                <w:spacing w:val="3"/>
                <w:sz w:val="19"/>
                <w:szCs w:val="19"/>
              </w:rPr>
              <w:t>厂提质提标项目</w:t>
            </w:r>
          </w:p>
        </w:tc>
        <w:tc>
          <w:tcPr>
            <w:tcW w:w="2734" w:type="dxa"/>
            <w:gridSpan w:val="2"/>
            <w:tcBorders>
              <w:top w:val="single" w:color="FFFFFF" w:sz="4" w:space="0"/>
              <w:left w:val="single" w:color="FFFFFF" w:sz="4" w:space="0"/>
              <w:bottom w:val="single" w:color="000000" w:sz="10" w:space="0"/>
              <w:right w:val="single" w:color="FFFFFF" w:sz="2" w:space="0"/>
            </w:tcBorders>
            <w:vAlign w:val="top"/>
          </w:tcPr>
          <w:p w14:paraId="4873E1A0">
            <w:pPr>
              <w:pStyle w:val="594"/>
              <w:spacing w:line="283" w:lineRule="auto"/>
            </w:pPr>
          </w:p>
          <w:p w14:paraId="5F3F5269">
            <w:pPr>
              <w:spacing w:before="62" w:line="207" w:lineRule="auto"/>
              <w:ind w:left="1176"/>
              <w:rPr>
                <w:rFonts w:ascii="宋体" w:hAnsi="宋体" w:eastAsia="宋体" w:cs="宋体"/>
                <w:sz w:val="19"/>
                <w:szCs w:val="19"/>
              </w:rPr>
            </w:pPr>
            <w:r>
              <w:rPr>
                <w:rFonts w:ascii="宋体" w:hAnsi="宋体" w:eastAsia="宋体" w:cs="宋体"/>
                <w:spacing w:val="-6"/>
                <w:sz w:val="19"/>
                <w:szCs w:val="19"/>
              </w:rPr>
              <w:t>第</w:t>
            </w:r>
            <w:r>
              <w:rPr>
                <w:rFonts w:ascii="宋体" w:hAnsi="宋体" w:eastAsia="宋体" w:cs="宋体"/>
                <w:spacing w:val="27"/>
                <w:sz w:val="19"/>
                <w:szCs w:val="19"/>
              </w:rPr>
              <w:t xml:space="preserve"> </w:t>
            </w:r>
            <w:r>
              <w:rPr>
                <w:rFonts w:ascii="宋体" w:hAnsi="宋体" w:eastAsia="宋体" w:cs="宋体"/>
                <w:spacing w:val="-6"/>
                <w:sz w:val="19"/>
                <w:szCs w:val="19"/>
              </w:rPr>
              <w:t>1</w:t>
            </w:r>
            <w:r>
              <w:rPr>
                <w:rFonts w:ascii="宋体" w:hAnsi="宋体" w:eastAsia="宋体" w:cs="宋体"/>
                <w:spacing w:val="27"/>
                <w:sz w:val="19"/>
                <w:szCs w:val="19"/>
              </w:rPr>
              <w:t xml:space="preserve"> </w:t>
            </w:r>
            <w:r>
              <w:rPr>
                <w:rFonts w:ascii="宋体" w:hAnsi="宋体" w:eastAsia="宋体" w:cs="宋体"/>
                <w:spacing w:val="-6"/>
                <w:sz w:val="19"/>
                <w:szCs w:val="19"/>
              </w:rPr>
              <w:t>页</w:t>
            </w:r>
            <w:r>
              <w:rPr>
                <w:rFonts w:ascii="宋体" w:hAnsi="宋体" w:eastAsia="宋体" w:cs="宋体"/>
                <w:spacing w:val="9"/>
                <w:sz w:val="19"/>
                <w:szCs w:val="19"/>
              </w:rPr>
              <w:t xml:space="preserve"> </w:t>
            </w:r>
            <w:r>
              <w:rPr>
                <w:rFonts w:ascii="宋体" w:hAnsi="宋体" w:eastAsia="宋体" w:cs="宋体"/>
                <w:spacing w:val="-6"/>
                <w:sz w:val="19"/>
                <w:szCs w:val="19"/>
              </w:rPr>
              <w:t>共</w:t>
            </w:r>
            <w:r>
              <w:rPr>
                <w:rFonts w:ascii="宋体" w:hAnsi="宋体" w:eastAsia="宋体" w:cs="宋体"/>
                <w:spacing w:val="27"/>
                <w:sz w:val="19"/>
                <w:szCs w:val="19"/>
              </w:rPr>
              <w:t xml:space="preserve"> </w:t>
            </w:r>
            <w:r>
              <w:rPr>
                <w:rFonts w:ascii="宋体" w:hAnsi="宋体" w:eastAsia="宋体" w:cs="宋体"/>
                <w:spacing w:val="-6"/>
                <w:sz w:val="19"/>
                <w:szCs w:val="19"/>
              </w:rPr>
              <w:t>1</w:t>
            </w:r>
            <w:r>
              <w:rPr>
                <w:rFonts w:ascii="宋体" w:hAnsi="宋体" w:eastAsia="宋体" w:cs="宋体"/>
                <w:spacing w:val="26"/>
                <w:sz w:val="19"/>
                <w:szCs w:val="19"/>
              </w:rPr>
              <w:t xml:space="preserve"> </w:t>
            </w:r>
            <w:r>
              <w:rPr>
                <w:rFonts w:ascii="宋体" w:hAnsi="宋体" w:eastAsia="宋体" w:cs="宋体"/>
                <w:spacing w:val="-6"/>
                <w:sz w:val="19"/>
                <w:szCs w:val="19"/>
              </w:rPr>
              <w:t>页</w:t>
            </w:r>
          </w:p>
        </w:tc>
      </w:tr>
      <w:tr w14:paraId="51654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1329" w:type="dxa"/>
            <w:tcBorders>
              <w:top w:val="single" w:color="000000" w:sz="10" w:space="0"/>
              <w:left w:val="single" w:color="000000" w:sz="10" w:space="0"/>
            </w:tcBorders>
            <w:vAlign w:val="top"/>
          </w:tcPr>
          <w:p w14:paraId="41067063">
            <w:pPr>
              <w:spacing w:before="111" w:line="231" w:lineRule="auto"/>
              <w:ind w:left="461"/>
              <w:rPr>
                <w:rFonts w:ascii="宋体" w:hAnsi="宋体" w:eastAsia="宋体" w:cs="宋体"/>
                <w:sz w:val="19"/>
                <w:szCs w:val="19"/>
              </w:rPr>
            </w:pPr>
            <w:r>
              <w:rPr>
                <w:rFonts w:ascii="宋体" w:hAnsi="宋体" w:eastAsia="宋体" w:cs="宋体"/>
                <w:spacing w:val="3"/>
                <w:sz w:val="19"/>
                <w:szCs w:val="19"/>
              </w:rPr>
              <w:t>序号</w:t>
            </w:r>
          </w:p>
        </w:tc>
        <w:tc>
          <w:tcPr>
            <w:tcW w:w="4316" w:type="dxa"/>
            <w:gridSpan w:val="2"/>
            <w:tcBorders>
              <w:top w:val="single" w:color="000000" w:sz="10" w:space="0"/>
            </w:tcBorders>
            <w:vAlign w:val="top"/>
          </w:tcPr>
          <w:p w14:paraId="6268A4BF">
            <w:pPr>
              <w:spacing w:before="111" w:line="230" w:lineRule="auto"/>
              <w:ind w:left="1775"/>
              <w:rPr>
                <w:rFonts w:ascii="宋体" w:hAnsi="宋体" w:eastAsia="宋体" w:cs="宋体"/>
                <w:sz w:val="19"/>
                <w:szCs w:val="19"/>
              </w:rPr>
            </w:pPr>
            <w:r>
              <w:rPr>
                <w:rFonts w:ascii="宋体" w:hAnsi="宋体" w:eastAsia="宋体" w:cs="宋体"/>
                <w:spacing w:val="3"/>
                <w:sz w:val="19"/>
                <w:szCs w:val="19"/>
              </w:rPr>
              <w:t>汇总内容</w:t>
            </w:r>
          </w:p>
        </w:tc>
        <w:tc>
          <w:tcPr>
            <w:tcW w:w="2823" w:type="dxa"/>
            <w:gridSpan w:val="2"/>
            <w:tcBorders>
              <w:top w:val="single" w:color="000000" w:sz="10" w:space="0"/>
            </w:tcBorders>
            <w:vAlign w:val="top"/>
          </w:tcPr>
          <w:p w14:paraId="49458041">
            <w:pPr>
              <w:spacing w:before="111" w:line="230" w:lineRule="auto"/>
              <w:ind w:left="979"/>
              <w:rPr>
                <w:rFonts w:ascii="宋体" w:hAnsi="宋体" w:eastAsia="宋体" w:cs="宋体"/>
                <w:sz w:val="19"/>
                <w:szCs w:val="19"/>
              </w:rPr>
            </w:pPr>
            <w:r>
              <w:rPr>
                <w:rFonts w:ascii="宋体" w:hAnsi="宋体" w:eastAsia="宋体" w:cs="宋体"/>
                <w:spacing w:val="4"/>
                <w:sz w:val="19"/>
                <w:szCs w:val="19"/>
              </w:rPr>
              <w:t>金额:(元)</w:t>
            </w:r>
          </w:p>
        </w:tc>
        <w:tc>
          <w:tcPr>
            <w:tcW w:w="1943" w:type="dxa"/>
            <w:tcBorders>
              <w:top w:val="single" w:color="000000" w:sz="10" w:space="0"/>
              <w:right w:val="single" w:color="000000" w:sz="10" w:space="0"/>
            </w:tcBorders>
            <w:vAlign w:val="top"/>
          </w:tcPr>
          <w:p w14:paraId="46E86E3F">
            <w:pPr>
              <w:spacing w:before="112" w:line="228" w:lineRule="auto"/>
              <w:ind w:left="191"/>
              <w:rPr>
                <w:rFonts w:ascii="宋体" w:hAnsi="宋体" w:eastAsia="宋体" w:cs="宋体"/>
                <w:sz w:val="19"/>
                <w:szCs w:val="19"/>
              </w:rPr>
            </w:pPr>
            <w:r>
              <w:rPr>
                <w:rFonts w:ascii="宋体" w:hAnsi="宋体" w:eastAsia="宋体" w:cs="宋体"/>
                <w:spacing w:val="4"/>
                <w:sz w:val="19"/>
                <w:szCs w:val="19"/>
              </w:rPr>
              <w:t>其中：暂估价(元)</w:t>
            </w:r>
          </w:p>
        </w:tc>
      </w:tr>
      <w:tr w14:paraId="6AA4B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1329" w:type="dxa"/>
            <w:tcBorders>
              <w:left w:val="single" w:color="000000" w:sz="10" w:space="0"/>
            </w:tcBorders>
            <w:vAlign w:val="top"/>
          </w:tcPr>
          <w:p w14:paraId="6401D9A1">
            <w:pPr>
              <w:spacing w:before="122" w:line="188" w:lineRule="auto"/>
              <w:ind w:left="626"/>
              <w:rPr>
                <w:rFonts w:ascii="宋体" w:hAnsi="宋体" w:eastAsia="宋体" w:cs="宋体"/>
                <w:sz w:val="19"/>
                <w:szCs w:val="19"/>
              </w:rPr>
            </w:pPr>
            <w:r>
              <w:rPr>
                <w:rFonts w:ascii="宋体" w:hAnsi="宋体" w:eastAsia="宋体" w:cs="宋体"/>
                <w:sz w:val="19"/>
                <w:szCs w:val="19"/>
              </w:rPr>
              <w:t>1</w:t>
            </w:r>
          </w:p>
        </w:tc>
        <w:tc>
          <w:tcPr>
            <w:tcW w:w="4316" w:type="dxa"/>
            <w:gridSpan w:val="2"/>
            <w:vAlign w:val="top"/>
          </w:tcPr>
          <w:p w14:paraId="2DAF50FB">
            <w:pPr>
              <w:spacing w:before="88" w:line="230" w:lineRule="auto"/>
              <w:ind w:left="26"/>
              <w:rPr>
                <w:rFonts w:ascii="宋体" w:hAnsi="宋体" w:eastAsia="宋体" w:cs="宋体"/>
                <w:sz w:val="19"/>
                <w:szCs w:val="19"/>
              </w:rPr>
            </w:pPr>
            <w:r>
              <w:rPr>
                <w:rFonts w:ascii="宋体" w:hAnsi="宋体" w:eastAsia="宋体" w:cs="宋体"/>
                <w:spacing w:val="3"/>
                <w:sz w:val="19"/>
                <w:szCs w:val="19"/>
              </w:rPr>
              <w:t>分部分项工程</w:t>
            </w:r>
          </w:p>
        </w:tc>
        <w:tc>
          <w:tcPr>
            <w:tcW w:w="2823" w:type="dxa"/>
            <w:gridSpan w:val="2"/>
            <w:vAlign w:val="top"/>
          </w:tcPr>
          <w:p w14:paraId="2D43CB8A">
            <w:pPr>
              <w:pStyle w:val="594"/>
            </w:pPr>
          </w:p>
        </w:tc>
        <w:tc>
          <w:tcPr>
            <w:tcW w:w="1943" w:type="dxa"/>
            <w:tcBorders>
              <w:right w:val="single" w:color="000000" w:sz="10" w:space="0"/>
            </w:tcBorders>
            <w:vAlign w:val="top"/>
          </w:tcPr>
          <w:p w14:paraId="1B1CDB6E">
            <w:pPr>
              <w:pStyle w:val="594"/>
            </w:pPr>
          </w:p>
        </w:tc>
      </w:tr>
      <w:tr w14:paraId="7DDB7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1329" w:type="dxa"/>
            <w:tcBorders>
              <w:left w:val="single" w:color="000000" w:sz="10" w:space="0"/>
            </w:tcBorders>
            <w:vAlign w:val="top"/>
          </w:tcPr>
          <w:p w14:paraId="6AD66D6F">
            <w:pPr>
              <w:spacing w:before="121" w:line="188" w:lineRule="auto"/>
              <w:ind w:left="521"/>
              <w:rPr>
                <w:rFonts w:ascii="宋体" w:hAnsi="宋体" w:eastAsia="宋体" w:cs="宋体"/>
                <w:sz w:val="19"/>
                <w:szCs w:val="19"/>
              </w:rPr>
            </w:pPr>
            <w:r>
              <w:rPr>
                <w:rFonts w:ascii="宋体" w:hAnsi="宋体" w:eastAsia="宋体" w:cs="宋体"/>
                <w:sz w:val="19"/>
                <w:szCs w:val="19"/>
              </w:rPr>
              <w:t>1.1</w:t>
            </w:r>
          </w:p>
        </w:tc>
        <w:tc>
          <w:tcPr>
            <w:tcW w:w="4316" w:type="dxa"/>
            <w:gridSpan w:val="2"/>
            <w:vAlign w:val="top"/>
          </w:tcPr>
          <w:p w14:paraId="63182EFC">
            <w:pPr>
              <w:spacing w:before="89" w:line="230" w:lineRule="auto"/>
              <w:ind w:left="25"/>
              <w:rPr>
                <w:rFonts w:ascii="宋体" w:hAnsi="宋体" w:eastAsia="宋体" w:cs="宋体"/>
                <w:sz w:val="19"/>
                <w:szCs w:val="19"/>
              </w:rPr>
            </w:pPr>
            <w:r>
              <w:rPr>
                <w:rFonts w:ascii="宋体" w:hAnsi="宋体" w:eastAsia="宋体" w:cs="宋体"/>
                <w:spacing w:val="3"/>
                <w:sz w:val="19"/>
                <w:szCs w:val="19"/>
              </w:rPr>
              <w:t>人工费</w:t>
            </w:r>
          </w:p>
        </w:tc>
        <w:tc>
          <w:tcPr>
            <w:tcW w:w="2823" w:type="dxa"/>
            <w:gridSpan w:val="2"/>
            <w:vAlign w:val="top"/>
          </w:tcPr>
          <w:p w14:paraId="74ACA5E8">
            <w:pPr>
              <w:pStyle w:val="594"/>
            </w:pPr>
          </w:p>
        </w:tc>
        <w:tc>
          <w:tcPr>
            <w:tcW w:w="1943" w:type="dxa"/>
            <w:tcBorders>
              <w:right w:val="single" w:color="000000" w:sz="10" w:space="0"/>
            </w:tcBorders>
            <w:vAlign w:val="top"/>
          </w:tcPr>
          <w:p w14:paraId="11BCBBF0">
            <w:pPr>
              <w:pStyle w:val="594"/>
            </w:pPr>
          </w:p>
        </w:tc>
      </w:tr>
      <w:tr w14:paraId="5335C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1329" w:type="dxa"/>
            <w:tcBorders>
              <w:left w:val="single" w:color="000000" w:sz="10" w:space="0"/>
            </w:tcBorders>
            <w:vAlign w:val="top"/>
          </w:tcPr>
          <w:p w14:paraId="04318689">
            <w:pPr>
              <w:spacing w:before="123" w:line="188" w:lineRule="auto"/>
              <w:ind w:left="521"/>
              <w:rPr>
                <w:rFonts w:ascii="宋体" w:hAnsi="宋体" w:eastAsia="宋体" w:cs="宋体"/>
                <w:sz w:val="19"/>
                <w:szCs w:val="19"/>
              </w:rPr>
            </w:pPr>
            <w:r>
              <w:rPr>
                <w:rFonts w:ascii="宋体" w:hAnsi="宋体" w:eastAsia="宋体" w:cs="宋体"/>
                <w:sz w:val="19"/>
                <w:szCs w:val="19"/>
              </w:rPr>
              <w:t>1.2</w:t>
            </w:r>
          </w:p>
        </w:tc>
        <w:tc>
          <w:tcPr>
            <w:tcW w:w="4316" w:type="dxa"/>
            <w:gridSpan w:val="2"/>
            <w:vAlign w:val="top"/>
          </w:tcPr>
          <w:p w14:paraId="0E9D34C4">
            <w:pPr>
              <w:spacing w:before="89" w:line="229" w:lineRule="auto"/>
              <w:ind w:left="23"/>
              <w:rPr>
                <w:rFonts w:ascii="宋体" w:hAnsi="宋体" w:eastAsia="宋体" w:cs="宋体"/>
                <w:sz w:val="19"/>
                <w:szCs w:val="19"/>
              </w:rPr>
            </w:pPr>
            <w:r>
              <w:rPr>
                <w:rFonts w:ascii="宋体" w:hAnsi="宋体" w:eastAsia="宋体" w:cs="宋体"/>
                <w:spacing w:val="3"/>
                <w:sz w:val="19"/>
                <w:szCs w:val="19"/>
              </w:rPr>
              <w:t>材料费</w:t>
            </w:r>
          </w:p>
        </w:tc>
        <w:tc>
          <w:tcPr>
            <w:tcW w:w="2823" w:type="dxa"/>
            <w:gridSpan w:val="2"/>
            <w:vAlign w:val="top"/>
          </w:tcPr>
          <w:p w14:paraId="0967A5F2">
            <w:pPr>
              <w:pStyle w:val="594"/>
            </w:pPr>
          </w:p>
        </w:tc>
        <w:tc>
          <w:tcPr>
            <w:tcW w:w="1943" w:type="dxa"/>
            <w:tcBorders>
              <w:right w:val="single" w:color="000000" w:sz="10" w:space="0"/>
            </w:tcBorders>
            <w:vAlign w:val="top"/>
          </w:tcPr>
          <w:p w14:paraId="2C7E7CB2">
            <w:pPr>
              <w:pStyle w:val="594"/>
            </w:pPr>
          </w:p>
        </w:tc>
      </w:tr>
      <w:tr w14:paraId="1F2FA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1329" w:type="dxa"/>
            <w:tcBorders>
              <w:left w:val="single" w:color="000000" w:sz="10" w:space="0"/>
            </w:tcBorders>
            <w:vAlign w:val="top"/>
          </w:tcPr>
          <w:p w14:paraId="346C29CF">
            <w:pPr>
              <w:spacing w:before="124" w:line="188" w:lineRule="auto"/>
              <w:ind w:left="521"/>
              <w:rPr>
                <w:rFonts w:ascii="宋体" w:hAnsi="宋体" w:eastAsia="宋体" w:cs="宋体"/>
                <w:sz w:val="19"/>
                <w:szCs w:val="19"/>
              </w:rPr>
            </w:pPr>
            <w:r>
              <w:rPr>
                <w:rFonts w:ascii="宋体" w:hAnsi="宋体" w:eastAsia="宋体" w:cs="宋体"/>
                <w:sz w:val="19"/>
                <w:szCs w:val="19"/>
              </w:rPr>
              <w:t>1.3</w:t>
            </w:r>
          </w:p>
        </w:tc>
        <w:tc>
          <w:tcPr>
            <w:tcW w:w="4316" w:type="dxa"/>
            <w:gridSpan w:val="2"/>
            <w:vAlign w:val="top"/>
          </w:tcPr>
          <w:p w14:paraId="303D0383">
            <w:pPr>
              <w:spacing w:before="91" w:line="229" w:lineRule="auto"/>
              <w:ind w:left="23"/>
              <w:rPr>
                <w:rFonts w:ascii="宋体" w:hAnsi="宋体" w:eastAsia="宋体" w:cs="宋体"/>
                <w:sz w:val="19"/>
                <w:szCs w:val="19"/>
              </w:rPr>
            </w:pPr>
            <w:r>
              <w:rPr>
                <w:rFonts w:ascii="宋体" w:hAnsi="宋体" w:eastAsia="宋体" w:cs="宋体"/>
                <w:spacing w:val="4"/>
                <w:sz w:val="19"/>
                <w:szCs w:val="19"/>
              </w:rPr>
              <w:t>施工机具使用费</w:t>
            </w:r>
          </w:p>
        </w:tc>
        <w:tc>
          <w:tcPr>
            <w:tcW w:w="2823" w:type="dxa"/>
            <w:gridSpan w:val="2"/>
            <w:vAlign w:val="top"/>
          </w:tcPr>
          <w:p w14:paraId="7619B587">
            <w:pPr>
              <w:pStyle w:val="594"/>
            </w:pPr>
          </w:p>
        </w:tc>
        <w:tc>
          <w:tcPr>
            <w:tcW w:w="1943" w:type="dxa"/>
            <w:tcBorders>
              <w:right w:val="single" w:color="000000" w:sz="10" w:space="0"/>
            </w:tcBorders>
            <w:vAlign w:val="top"/>
          </w:tcPr>
          <w:p w14:paraId="0C19E876">
            <w:pPr>
              <w:pStyle w:val="594"/>
            </w:pPr>
          </w:p>
        </w:tc>
      </w:tr>
      <w:tr w14:paraId="75C29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1329" w:type="dxa"/>
            <w:tcBorders>
              <w:left w:val="single" w:color="000000" w:sz="10" w:space="0"/>
            </w:tcBorders>
            <w:vAlign w:val="top"/>
          </w:tcPr>
          <w:p w14:paraId="0F9CC680">
            <w:pPr>
              <w:spacing w:before="125" w:line="188" w:lineRule="auto"/>
              <w:ind w:left="521"/>
              <w:rPr>
                <w:rFonts w:ascii="宋体" w:hAnsi="宋体" w:eastAsia="宋体" w:cs="宋体"/>
                <w:sz w:val="19"/>
                <w:szCs w:val="19"/>
              </w:rPr>
            </w:pPr>
            <w:r>
              <w:rPr>
                <w:rFonts w:ascii="宋体" w:hAnsi="宋体" w:eastAsia="宋体" w:cs="宋体"/>
                <w:sz w:val="19"/>
                <w:szCs w:val="19"/>
              </w:rPr>
              <w:t>1.4</w:t>
            </w:r>
          </w:p>
        </w:tc>
        <w:tc>
          <w:tcPr>
            <w:tcW w:w="4316" w:type="dxa"/>
            <w:gridSpan w:val="2"/>
            <w:vAlign w:val="top"/>
          </w:tcPr>
          <w:p w14:paraId="4C13207B">
            <w:pPr>
              <w:spacing w:before="92" w:line="230" w:lineRule="auto"/>
              <w:ind w:left="27"/>
              <w:rPr>
                <w:rFonts w:ascii="宋体" w:hAnsi="宋体" w:eastAsia="宋体" w:cs="宋体"/>
                <w:sz w:val="19"/>
                <w:szCs w:val="19"/>
              </w:rPr>
            </w:pPr>
            <w:r>
              <w:rPr>
                <w:rFonts w:ascii="宋体" w:hAnsi="宋体" w:eastAsia="宋体" w:cs="宋体"/>
                <w:spacing w:val="3"/>
                <w:sz w:val="19"/>
                <w:szCs w:val="19"/>
              </w:rPr>
              <w:t>企业管理费</w:t>
            </w:r>
          </w:p>
        </w:tc>
        <w:tc>
          <w:tcPr>
            <w:tcW w:w="2823" w:type="dxa"/>
            <w:gridSpan w:val="2"/>
            <w:vAlign w:val="top"/>
          </w:tcPr>
          <w:p w14:paraId="694C7FF5">
            <w:pPr>
              <w:pStyle w:val="594"/>
            </w:pPr>
          </w:p>
        </w:tc>
        <w:tc>
          <w:tcPr>
            <w:tcW w:w="1943" w:type="dxa"/>
            <w:tcBorders>
              <w:right w:val="single" w:color="000000" w:sz="10" w:space="0"/>
            </w:tcBorders>
            <w:vAlign w:val="top"/>
          </w:tcPr>
          <w:p w14:paraId="766DF11A">
            <w:pPr>
              <w:pStyle w:val="594"/>
            </w:pPr>
          </w:p>
        </w:tc>
      </w:tr>
      <w:tr w14:paraId="75C0C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1329" w:type="dxa"/>
            <w:tcBorders>
              <w:left w:val="single" w:color="000000" w:sz="10" w:space="0"/>
            </w:tcBorders>
            <w:vAlign w:val="top"/>
          </w:tcPr>
          <w:p w14:paraId="3D4243EC">
            <w:pPr>
              <w:spacing w:before="127" w:line="188" w:lineRule="auto"/>
              <w:ind w:left="521"/>
              <w:rPr>
                <w:rFonts w:ascii="宋体" w:hAnsi="宋体" w:eastAsia="宋体" w:cs="宋体"/>
                <w:sz w:val="19"/>
                <w:szCs w:val="19"/>
              </w:rPr>
            </w:pPr>
            <w:r>
              <w:rPr>
                <w:rFonts w:ascii="宋体" w:hAnsi="宋体" w:eastAsia="宋体" w:cs="宋体"/>
                <w:sz w:val="19"/>
                <w:szCs w:val="19"/>
              </w:rPr>
              <w:t>1.5</w:t>
            </w:r>
          </w:p>
        </w:tc>
        <w:tc>
          <w:tcPr>
            <w:tcW w:w="4316" w:type="dxa"/>
            <w:gridSpan w:val="2"/>
            <w:vAlign w:val="top"/>
          </w:tcPr>
          <w:p w14:paraId="6894F279">
            <w:pPr>
              <w:spacing w:before="94" w:line="230" w:lineRule="auto"/>
              <w:ind w:left="24"/>
              <w:rPr>
                <w:rFonts w:ascii="宋体" w:hAnsi="宋体" w:eastAsia="宋体" w:cs="宋体"/>
                <w:sz w:val="19"/>
                <w:szCs w:val="19"/>
              </w:rPr>
            </w:pPr>
            <w:r>
              <w:rPr>
                <w:rFonts w:ascii="宋体" w:hAnsi="宋体" w:eastAsia="宋体" w:cs="宋体"/>
                <w:spacing w:val="2"/>
                <w:sz w:val="19"/>
                <w:szCs w:val="19"/>
              </w:rPr>
              <w:t>利润</w:t>
            </w:r>
          </w:p>
        </w:tc>
        <w:tc>
          <w:tcPr>
            <w:tcW w:w="2823" w:type="dxa"/>
            <w:gridSpan w:val="2"/>
            <w:vAlign w:val="top"/>
          </w:tcPr>
          <w:p w14:paraId="75299F6D">
            <w:pPr>
              <w:pStyle w:val="594"/>
            </w:pPr>
          </w:p>
        </w:tc>
        <w:tc>
          <w:tcPr>
            <w:tcW w:w="1943" w:type="dxa"/>
            <w:tcBorders>
              <w:right w:val="single" w:color="000000" w:sz="10" w:space="0"/>
            </w:tcBorders>
            <w:vAlign w:val="top"/>
          </w:tcPr>
          <w:p w14:paraId="51305D05">
            <w:pPr>
              <w:pStyle w:val="594"/>
            </w:pPr>
          </w:p>
        </w:tc>
      </w:tr>
      <w:tr w14:paraId="59DF1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1329" w:type="dxa"/>
            <w:tcBorders>
              <w:left w:val="single" w:color="000000" w:sz="10" w:space="0"/>
            </w:tcBorders>
            <w:vAlign w:val="top"/>
          </w:tcPr>
          <w:p w14:paraId="713406AF">
            <w:pPr>
              <w:spacing w:before="128" w:line="188" w:lineRule="auto"/>
              <w:ind w:left="614"/>
              <w:rPr>
                <w:rFonts w:ascii="宋体" w:hAnsi="宋体" w:eastAsia="宋体" w:cs="宋体"/>
                <w:sz w:val="19"/>
                <w:szCs w:val="19"/>
              </w:rPr>
            </w:pPr>
            <w:r>
              <w:rPr>
                <w:rFonts w:ascii="宋体" w:hAnsi="宋体" w:eastAsia="宋体" w:cs="宋体"/>
                <w:sz w:val="19"/>
                <w:szCs w:val="19"/>
              </w:rPr>
              <w:t>2</w:t>
            </w:r>
          </w:p>
        </w:tc>
        <w:tc>
          <w:tcPr>
            <w:tcW w:w="4316" w:type="dxa"/>
            <w:gridSpan w:val="2"/>
            <w:vAlign w:val="top"/>
          </w:tcPr>
          <w:p w14:paraId="7ABCC573">
            <w:pPr>
              <w:spacing w:before="95" w:line="230" w:lineRule="auto"/>
              <w:ind w:left="23"/>
              <w:rPr>
                <w:rFonts w:ascii="宋体" w:hAnsi="宋体" w:eastAsia="宋体" w:cs="宋体"/>
                <w:sz w:val="19"/>
                <w:szCs w:val="19"/>
              </w:rPr>
            </w:pPr>
            <w:r>
              <w:rPr>
                <w:rFonts w:ascii="宋体" w:hAnsi="宋体" w:eastAsia="宋体" w:cs="宋体"/>
                <w:spacing w:val="3"/>
                <w:sz w:val="19"/>
                <w:szCs w:val="19"/>
              </w:rPr>
              <w:t>措施项目</w:t>
            </w:r>
          </w:p>
        </w:tc>
        <w:tc>
          <w:tcPr>
            <w:tcW w:w="2823" w:type="dxa"/>
            <w:gridSpan w:val="2"/>
            <w:vAlign w:val="top"/>
          </w:tcPr>
          <w:p w14:paraId="3D00CAF9">
            <w:pPr>
              <w:pStyle w:val="594"/>
            </w:pPr>
          </w:p>
        </w:tc>
        <w:tc>
          <w:tcPr>
            <w:tcW w:w="1943" w:type="dxa"/>
            <w:tcBorders>
              <w:right w:val="single" w:color="000000" w:sz="10" w:space="0"/>
            </w:tcBorders>
            <w:vAlign w:val="top"/>
          </w:tcPr>
          <w:p w14:paraId="6129A985">
            <w:pPr>
              <w:pStyle w:val="594"/>
            </w:pPr>
          </w:p>
        </w:tc>
      </w:tr>
      <w:tr w14:paraId="49BCA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1329" w:type="dxa"/>
            <w:tcBorders>
              <w:left w:val="single" w:color="000000" w:sz="10" w:space="0"/>
            </w:tcBorders>
            <w:vAlign w:val="top"/>
          </w:tcPr>
          <w:p w14:paraId="1BBE71F1">
            <w:pPr>
              <w:spacing w:before="130" w:line="188" w:lineRule="auto"/>
              <w:ind w:left="509"/>
              <w:rPr>
                <w:rFonts w:ascii="宋体" w:hAnsi="宋体" w:eastAsia="宋体" w:cs="宋体"/>
                <w:sz w:val="19"/>
                <w:szCs w:val="19"/>
              </w:rPr>
            </w:pPr>
            <w:r>
              <w:rPr>
                <w:rFonts w:ascii="宋体" w:hAnsi="宋体" w:eastAsia="宋体" w:cs="宋体"/>
                <w:spacing w:val="4"/>
                <w:sz w:val="19"/>
                <w:szCs w:val="19"/>
              </w:rPr>
              <w:t>2.1</w:t>
            </w:r>
          </w:p>
        </w:tc>
        <w:tc>
          <w:tcPr>
            <w:tcW w:w="4316" w:type="dxa"/>
            <w:gridSpan w:val="2"/>
            <w:vAlign w:val="top"/>
          </w:tcPr>
          <w:p w14:paraId="24F21C47">
            <w:pPr>
              <w:spacing w:before="97" w:line="228" w:lineRule="auto"/>
              <w:ind w:left="129"/>
              <w:rPr>
                <w:rFonts w:ascii="宋体" w:hAnsi="宋体" w:eastAsia="宋体" w:cs="宋体"/>
                <w:sz w:val="19"/>
                <w:szCs w:val="19"/>
              </w:rPr>
            </w:pPr>
            <w:r>
              <w:rPr>
                <w:rFonts w:ascii="宋体" w:hAnsi="宋体" w:eastAsia="宋体" w:cs="宋体"/>
                <w:spacing w:val="4"/>
                <w:sz w:val="19"/>
                <w:szCs w:val="19"/>
              </w:rPr>
              <w:t>单价措施项目费</w:t>
            </w:r>
          </w:p>
        </w:tc>
        <w:tc>
          <w:tcPr>
            <w:tcW w:w="2823" w:type="dxa"/>
            <w:gridSpan w:val="2"/>
            <w:vAlign w:val="top"/>
          </w:tcPr>
          <w:p w14:paraId="6CBA5F30">
            <w:pPr>
              <w:pStyle w:val="594"/>
            </w:pPr>
          </w:p>
        </w:tc>
        <w:tc>
          <w:tcPr>
            <w:tcW w:w="1943" w:type="dxa"/>
            <w:tcBorders>
              <w:right w:val="single" w:color="000000" w:sz="10" w:space="0"/>
            </w:tcBorders>
            <w:vAlign w:val="top"/>
          </w:tcPr>
          <w:p w14:paraId="48E59015">
            <w:pPr>
              <w:pStyle w:val="594"/>
            </w:pPr>
          </w:p>
        </w:tc>
      </w:tr>
      <w:tr w14:paraId="0E969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1329" w:type="dxa"/>
            <w:tcBorders>
              <w:left w:val="single" w:color="000000" w:sz="10" w:space="0"/>
            </w:tcBorders>
            <w:vAlign w:val="top"/>
          </w:tcPr>
          <w:p w14:paraId="6F5B8D57">
            <w:pPr>
              <w:spacing w:before="131" w:line="188" w:lineRule="auto"/>
              <w:ind w:left="509"/>
              <w:rPr>
                <w:rFonts w:ascii="宋体" w:hAnsi="宋体" w:eastAsia="宋体" w:cs="宋体"/>
                <w:sz w:val="19"/>
                <w:szCs w:val="19"/>
              </w:rPr>
            </w:pPr>
            <w:r>
              <w:rPr>
                <w:rFonts w:ascii="宋体" w:hAnsi="宋体" w:eastAsia="宋体" w:cs="宋体"/>
                <w:spacing w:val="4"/>
                <w:sz w:val="19"/>
                <w:szCs w:val="19"/>
              </w:rPr>
              <w:t>2.2</w:t>
            </w:r>
          </w:p>
        </w:tc>
        <w:tc>
          <w:tcPr>
            <w:tcW w:w="4316" w:type="dxa"/>
            <w:gridSpan w:val="2"/>
            <w:vAlign w:val="top"/>
          </w:tcPr>
          <w:p w14:paraId="7865B7E8">
            <w:pPr>
              <w:spacing w:before="98" w:line="228" w:lineRule="auto"/>
              <w:ind w:left="130"/>
              <w:rPr>
                <w:rFonts w:ascii="宋体" w:hAnsi="宋体" w:eastAsia="宋体" w:cs="宋体"/>
                <w:sz w:val="19"/>
                <w:szCs w:val="19"/>
              </w:rPr>
            </w:pPr>
            <w:r>
              <w:rPr>
                <w:rFonts w:ascii="宋体" w:hAnsi="宋体" w:eastAsia="宋体" w:cs="宋体"/>
                <w:spacing w:val="3"/>
                <w:sz w:val="19"/>
                <w:szCs w:val="19"/>
              </w:rPr>
              <w:t>总价措施项目费</w:t>
            </w:r>
          </w:p>
        </w:tc>
        <w:tc>
          <w:tcPr>
            <w:tcW w:w="2823" w:type="dxa"/>
            <w:gridSpan w:val="2"/>
            <w:vAlign w:val="top"/>
          </w:tcPr>
          <w:p w14:paraId="7198BCB9">
            <w:pPr>
              <w:pStyle w:val="594"/>
            </w:pPr>
          </w:p>
        </w:tc>
        <w:tc>
          <w:tcPr>
            <w:tcW w:w="1943" w:type="dxa"/>
            <w:tcBorders>
              <w:right w:val="single" w:color="000000" w:sz="10" w:space="0"/>
            </w:tcBorders>
            <w:vAlign w:val="top"/>
          </w:tcPr>
          <w:p w14:paraId="1BFB8464">
            <w:pPr>
              <w:pStyle w:val="594"/>
            </w:pPr>
          </w:p>
        </w:tc>
      </w:tr>
      <w:tr w14:paraId="46EC5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1329" w:type="dxa"/>
            <w:tcBorders>
              <w:left w:val="single" w:color="000000" w:sz="10" w:space="0"/>
            </w:tcBorders>
            <w:vAlign w:val="top"/>
          </w:tcPr>
          <w:p w14:paraId="06C60E4C">
            <w:pPr>
              <w:spacing w:before="132" w:line="188" w:lineRule="auto"/>
              <w:ind w:left="404"/>
              <w:rPr>
                <w:rFonts w:ascii="宋体" w:hAnsi="宋体" w:eastAsia="宋体" w:cs="宋体"/>
                <w:sz w:val="19"/>
                <w:szCs w:val="19"/>
              </w:rPr>
            </w:pPr>
            <w:r>
              <w:rPr>
                <w:rFonts w:ascii="宋体" w:hAnsi="宋体" w:eastAsia="宋体" w:cs="宋体"/>
                <w:spacing w:val="6"/>
                <w:sz w:val="19"/>
                <w:szCs w:val="19"/>
              </w:rPr>
              <w:t>2.2.1</w:t>
            </w:r>
          </w:p>
        </w:tc>
        <w:tc>
          <w:tcPr>
            <w:tcW w:w="4316" w:type="dxa"/>
            <w:gridSpan w:val="2"/>
            <w:vAlign w:val="top"/>
          </w:tcPr>
          <w:p w14:paraId="38E1A8C0">
            <w:pPr>
              <w:spacing w:before="99" w:line="230" w:lineRule="auto"/>
              <w:ind w:left="24"/>
              <w:rPr>
                <w:rFonts w:ascii="宋体" w:hAnsi="宋体" w:eastAsia="宋体" w:cs="宋体"/>
                <w:sz w:val="19"/>
                <w:szCs w:val="19"/>
              </w:rPr>
            </w:pPr>
            <w:r>
              <w:rPr>
                <w:rFonts w:ascii="宋体" w:hAnsi="宋体" w:eastAsia="宋体" w:cs="宋体"/>
                <w:spacing w:val="4"/>
                <w:sz w:val="19"/>
                <w:szCs w:val="19"/>
              </w:rPr>
              <w:t>其中：安全文明施工措施费</w:t>
            </w:r>
          </w:p>
        </w:tc>
        <w:tc>
          <w:tcPr>
            <w:tcW w:w="2823" w:type="dxa"/>
            <w:gridSpan w:val="2"/>
            <w:vAlign w:val="top"/>
          </w:tcPr>
          <w:p w14:paraId="55196401">
            <w:pPr>
              <w:pStyle w:val="594"/>
            </w:pPr>
          </w:p>
        </w:tc>
        <w:tc>
          <w:tcPr>
            <w:tcW w:w="1943" w:type="dxa"/>
            <w:tcBorders>
              <w:right w:val="single" w:color="000000" w:sz="10" w:space="0"/>
            </w:tcBorders>
            <w:vAlign w:val="top"/>
          </w:tcPr>
          <w:p w14:paraId="1F705AB7">
            <w:pPr>
              <w:pStyle w:val="594"/>
            </w:pPr>
          </w:p>
        </w:tc>
      </w:tr>
      <w:tr w14:paraId="7C7A6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1329" w:type="dxa"/>
            <w:tcBorders>
              <w:left w:val="single" w:color="000000" w:sz="10" w:space="0"/>
            </w:tcBorders>
            <w:vAlign w:val="top"/>
          </w:tcPr>
          <w:p w14:paraId="0D57A324">
            <w:pPr>
              <w:spacing w:before="131" w:line="188" w:lineRule="auto"/>
              <w:ind w:left="615"/>
              <w:rPr>
                <w:rFonts w:ascii="宋体" w:hAnsi="宋体" w:eastAsia="宋体" w:cs="宋体"/>
                <w:sz w:val="19"/>
                <w:szCs w:val="19"/>
              </w:rPr>
            </w:pPr>
            <w:r>
              <w:rPr>
                <w:rFonts w:ascii="宋体" w:hAnsi="宋体" w:eastAsia="宋体" w:cs="宋体"/>
                <w:sz w:val="19"/>
                <w:szCs w:val="19"/>
              </w:rPr>
              <w:t>3</w:t>
            </w:r>
          </w:p>
        </w:tc>
        <w:tc>
          <w:tcPr>
            <w:tcW w:w="4316" w:type="dxa"/>
            <w:gridSpan w:val="2"/>
            <w:vAlign w:val="top"/>
          </w:tcPr>
          <w:p w14:paraId="067D5B41">
            <w:pPr>
              <w:spacing w:before="98" w:line="230" w:lineRule="auto"/>
              <w:ind w:left="24"/>
              <w:rPr>
                <w:rFonts w:ascii="宋体" w:hAnsi="宋体" w:eastAsia="宋体" w:cs="宋体"/>
                <w:sz w:val="19"/>
                <w:szCs w:val="19"/>
              </w:rPr>
            </w:pPr>
            <w:r>
              <w:rPr>
                <w:rFonts w:ascii="宋体" w:hAnsi="宋体" w:eastAsia="宋体" w:cs="宋体"/>
                <w:spacing w:val="3"/>
                <w:sz w:val="19"/>
                <w:szCs w:val="19"/>
              </w:rPr>
              <w:t>其他项目</w:t>
            </w:r>
          </w:p>
        </w:tc>
        <w:tc>
          <w:tcPr>
            <w:tcW w:w="2823" w:type="dxa"/>
            <w:gridSpan w:val="2"/>
            <w:vAlign w:val="top"/>
          </w:tcPr>
          <w:p w14:paraId="0FB8A886">
            <w:pPr>
              <w:pStyle w:val="594"/>
            </w:pPr>
          </w:p>
        </w:tc>
        <w:tc>
          <w:tcPr>
            <w:tcW w:w="1943" w:type="dxa"/>
            <w:tcBorders>
              <w:right w:val="single" w:color="000000" w:sz="10" w:space="0"/>
            </w:tcBorders>
            <w:vAlign w:val="top"/>
          </w:tcPr>
          <w:p w14:paraId="7AA61F43">
            <w:pPr>
              <w:spacing w:before="97" w:line="273" w:lineRule="exact"/>
              <w:ind w:left="1735"/>
              <w:rPr>
                <w:rFonts w:ascii="宋体" w:hAnsi="宋体" w:eastAsia="宋体" w:cs="宋体"/>
                <w:sz w:val="19"/>
                <w:szCs w:val="19"/>
              </w:rPr>
            </w:pPr>
            <w:r>
              <w:rPr>
                <w:rFonts w:ascii="宋体" w:hAnsi="宋体" w:eastAsia="宋体" w:cs="宋体"/>
                <w:spacing w:val="24"/>
                <w:w w:val="130"/>
                <w:position w:val="1"/>
                <w:sz w:val="19"/>
                <w:szCs w:val="19"/>
              </w:rPr>
              <w:t>-</w:t>
            </w:r>
          </w:p>
        </w:tc>
      </w:tr>
      <w:tr w14:paraId="451BC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1329" w:type="dxa"/>
            <w:tcBorders>
              <w:left w:val="single" w:color="000000" w:sz="10" w:space="0"/>
            </w:tcBorders>
            <w:vAlign w:val="top"/>
          </w:tcPr>
          <w:p w14:paraId="348938E5">
            <w:pPr>
              <w:spacing w:before="129" w:line="188" w:lineRule="auto"/>
              <w:ind w:left="511"/>
              <w:rPr>
                <w:rFonts w:ascii="宋体" w:hAnsi="宋体" w:eastAsia="宋体" w:cs="宋体"/>
                <w:sz w:val="19"/>
                <w:szCs w:val="19"/>
              </w:rPr>
            </w:pPr>
            <w:r>
              <w:rPr>
                <w:rFonts w:ascii="宋体" w:hAnsi="宋体" w:eastAsia="宋体" w:cs="宋体"/>
                <w:spacing w:val="4"/>
                <w:sz w:val="19"/>
                <w:szCs w:val="19"/>
              </w:rPr>
              <w:t>3.1</w:t>
            </w:r>
          </w:p>
        </w:tc>
        <w:tc>
          <w:tcPr>
            <w:tcW w:w="4316" w:type="dxa"/>
            <w:gridSpan w:val="2"/>
            <w:vAlign w:val="top"/>
          </w:tcPr>
          <w:p w14:paraId="542168AE">
            <w:pPr>
              <w:spacing w:before="96" w:line="230" w:lineRule="auto"/>
              <w:ind w:left="24"/>
              <w:rPr>
                <w:rFonts w:ascii="宋体" w:hAnsi="宋体" w:eastAsia="宋体" w:cs="宋体"/>
                <w:sz w:val="19"/>
                <w:szCs w:val="19"/>
              </w:rPr>
            </w:pPr>
            <w:r>
              <w:rPr>
                <w:rFonts w:ascii="宋体" w:hAnsi="宋体" w:eastAsia="宋体" w:cs="宋体"/>
                <w:spacing w:val="4"/>
                <w:sz w:val="19"/>
                <w:szCs w:val="19"/>
              </w:rPr>
              <w:t>其中：暂列金额</w:t>
            </w:r>
          </w:p>
        </w:tc>
        <w:tc>
          <w:tcPr>
            <w:tcW w:w="2823" w:type="dxa"/>
            <w:gridSpan w:val="2"/>
            <w:vAlign w:val="top"/>
          </w:tcPr>
          <w:p w14:paraId="0C0A6C97">
            <w:pPr>
              <w:pStyle w:val="594"/>
            </w:pPr>
          </w:p>
        </w:tc>
        <w:tc>
          <w:tcPr>
            <w:tcW w:w="1943" w:type="dxa"/>
            <w:tcBorders>
              <w:right w:val="single" w:color="000000" w:sz="10" w:space="0"/>
            </w:tcBorders>
            <w:vAlign w:val="top"/>
          </w:tcPr>
          <w:p w14:paraId="016B7181">
            <w:pPr>
              <w:spacing w:before="96" w:line="271" w:lineRule="exact"/>
              <w:ind w:left="1735"/>
              <w:rPr>
                <w:rFonts w:ascii="宋体" w:hAnsi="宋体" w:eastAsia="宋体" w:cs="宋体"/>
                <w:sz w:val="19"/>
                <w:szCs w:val="19"/>
              </w:rPr>
            </w:pPr>
            <w:r>
              <w:rPr>
                <w:rFonts w:ascii="宋体" w:hAnsi="宋体" w:eastAsia="宋体" w:cs="宋体"/>
                <w:spacing w:val="24"/>
                <w:w w:val="130"/>
                <w:position w:val="1"/>
                <w:sz w:val="19"/>
                <w:szCs w:val="19"/>
              </w:rPr>
              <w:t>-</w:t>
            </w:r>
          </w:p>
        </w:tc>
      </w:tr>
      <w:tr w14:paraId="02AFF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1329" w:type="dxa"/>
            <w:tcBorders>
              <w:left w:val="single" w:color="000000" w:sz="10" w:space="0"/>
            </w:tcBorders>
            <w:vAlign w:val="top"/>
          </w:tcPr>
          <w:p w14:paraId="56585300">
            <w:pPr>
              <w:spacing w:before="130" w:line="188" w:lineRule="auto"/>
              <w:ind w:left="511"/>
              <w:rPr>
                <w:rFonts w:ascii="宋体" w:hAnsi="宋体" w:eastAsia="宋体" w:cs="宋体"/>
                <w:sz w:val="19"/>
                <w:szCs w:val="19"/>
              </w:rPr>
            </w:pPr>
            <w:r>
              <w:rPr>
                <w:rFonts w:ascii="宋体" w:hAnsi="宋体" w:eastAsia="宋体" w:cs="宋体"/>
                <w:spacing w:val="4"/>
                <w:sz w:val="19"/>
                <w:szCs w:val="19"/>
              </w:rPr>
              <w:t>3.2</w:t>
            </w:r>
          </w:p>
        </w:tc>
        <w:tc>
          <w:tcPr>
            <w:tcW w:w="4316" w:type="dxa"/>
            <w:gridSpan w:val="2"/>
            <w:vAlign w:val="top"/>
          </w:tcPr>
          <w:p w14:paraId="5C1C5663">
            <w:pPr>
              <w:spacing w:before="97" w:line="228" w:lineRule="auto"/>
              <w:ind w:left="24"/>
              <w:rPr>
                <w:rFonts w:ascii="宋体" w:hAnsi="宋体" w:eastAsia="宋体" w:cs="宋体"/>
                <w:sz w:val="19"/>
                <w:szCs w:val="19"/>
              </w:rPr>
            </w:pPr>
            <w:r>
              <w:rPr>
                <w:rFonts w:ascii="宋体" w:hAnsi="宋体" w:eastAsia="宋体" w:cs="宋体"/>
                <w:spacing w:val="4"/>
                <w:sz w:val="19"/>
                <w:szCs w:val="19"/>
              </w:rPr>
              <w:t>其中：专业工程暂估价</w:t>
            </w:r>
          </w:p>
        </w:tc>
        <w:tc>
          <w:tcPr>
            <w:tcW w:w="2823" w:type="dxa"/>
            <w:gridSpan w:val="2"/>
            <w:vAlign w:val="top"/>
          </w:tcPr>
          <w:p w14:paraId="632FFFA4">
            <w:pPr>
              <w:pStyle w:val="594"/>
            </w:pPr>
          </w:p>
        </w:tc>
        <w:tc>
          <w:tcPr>
            <w:tcW w:w="1943" w:type="dxa"/>
            <w:tcBorders>
              <w:right w:val="single" w:color="000000" w:sz="10" w:space="0"/>
            </w:tcBorders>
            <w:vAlign w:val="top"/>
          </w:tcPr>
          <w:p w14:paraId="742B8FF0">
            <w:pPr>
              <w:spacing w:before="97" w:line="270" w:lineRule="exact"/>
              <w:ind w:left="1735"/>
              <w:rPr>
                <w:rFonts w:ascii="宋体" w:hAnsi="宋体" w:eastAsia="宋体" w:cs="宋体"/>
                <w:sz w:val="19"/>
                <w:szCs w:val="19"/>
              </w:rPr>
            </w:pPr>
            <w:r>
              <w:rPr>
                <w:rFonts w:ascii="宋体" w:hAnsi="宋体" w:eastAsia="宋体" w:cs="宋体"/>
                <w:spacing w:val="24"/>
                <w:w w:val="130"/>
                <w:position w:val="1"/>
                <w:sz w:val="19"/>
                <w:szCs w:val="19"/>
              </w:rPr>
              <w:t>-</w:t>
            </w:r>
          </w:p>
        </w:tc>
      </w:tr>
      <w:tr w14:paraId="533F8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1329" w:type="dxa"/>
            <w:tcBorders>
              <w:left w:val="single" w:color="000000" w:sz="10" w:space="0"/>
            </w:tcBorders>
            <w:vAlign w:val="top"/>
          </w:tcPr>
          <w:p w14:paraId="44785944">
            <w:pPr>
              <w:spacing w:before="132" w:line="188" w:lineRule="auto"/>
              <w:ind w:left="511"/>
              <w:rPr>
                <w:rFonts w:ascii="宋体" w:hAnsi="宋体" w:eastAsia="宋体" w:cs="宋体"/>
                <w:sz w:val="19"/>
                <w:szCs w:val="19"/>
              </w:rPr>
            </w:pPr>
            <w:r>
              <w:rPr>
                <w:rFonts w:ascii="宋体" w:hAnsi="宋体" w:eastAsia="宋体" w:cs="宋体"/>
                <w:spacing w:val="4"/>
                <w:sz w:val="19"/>
                <w:szCs w:val="19"/>
              </w:rPr>
              <w:t>3.3</w:t>
            </w:r>
          </w:p>
        </w:tc>
        <w:tc>
          <w:tcPr>
            <w:tcW w:w="4316" w:type="dxa"/>
            <w:gridSpan w:val="2"/>
            <w:vAlign w:val="top"/>
          </w:tcPr>
          <w:p w14:paraId="1FD67A05">
            <w:pPr>
              <w:spacing w:before="99" w:line="230" w:lineRule="auto"/>
              <w:ind w:left="24"/>
              <w:rPr>
                <w:rFonts w:ascii="宋体" w:hAnsi="宋体" w:eastAsia="宋体" w:cs="宋体"/>
                <w:sz w:val="19"/>
                <w:szCs w:val="19"/>
              </w:rPr>
            </w:pPr>
            <w:r>
              <w:rPr>
                <w:rFonts w:ascii="宋体" w:hAnsi="宋体" w:eastAsia="宋体" w:cs="宋体"/>
                <w:spacing w:val="4"/>
                <w:sz w:val="19"/>
                <w:szCs w:val="19"/>
              </w:rPr>
              <w:t>其中：计日工</w:t>
            </w:r>
          </w:p>
        </w:tc>
        <w:tc>
          <w:tcPr>
            <w:tcW w:w="2823" w:type="dxa"/>
            <w:gridSpan w:val="2"/>
            <w:vAlign w:val="top"/>
          </w:tcPr>
          <w:p w14:paraId="2C442B15">
            <w:pPr>
              <w:pStyle w:val="594"/>
            </w:pPr>
          </w:p>
        </w:tc>
        <w:tc>
          <w:tcPr>
            <w:tcW w:w="1943" w:type="dxa"/>
            <w:tcBorders>
              <w:right w:val="single" w:color="000000" w:sz="10" w:space="0"/>
            </w:tcBorders>
            <w:vAlign w:val="top"/>
          </w:tcPr>
          <w:p w14:paraId="018AF038">
            <w:pPr>
              <w:spacing w:before="99" w:line="268" w:lineRule="exact"/>
              <w:ind w:left="1735"/>
              <w:rPr>
                <w:rFonts w:ascii="宋体" w:hAnsi="宋体" w:eastAsia="宋体" w:cs="宋体"/>
                <w:sz w:val="19"/>
                <w:szCs w:val="19"/>
              </w:rPr>
            </w:pPr>
            <w:r>
              <w:rPr>
                <w:rFonts w:ascii="宋体" w:hAnsi="宋体" w:eastAsia="宋体" w:cs="宋体"/>
                <w:spacing w:val="24"/>
                <w:w w:val="130"/>
                <w:position w:val="1"/>
                <w:sz w:val="19"/>
                <w:szCs w:val="19"/>
              </w:rPr>
              <w:t>-</w:t>
            </w:r>
          </w:p>
        </w:tc>
      </w:tr>
      <w:tr w14:paraId="16051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1329" w:type="dxa"/>
            <w:tcBorders>
              <w:left w:val="single" w:color="000000" w:sz="10" w:space="0"/>
            </w:tcBorders>
            <w:vAlign w:val="top"/>
          </w:tcPr>
          <w:p w14:paraId="60B4382D">
            <w:pPr>
              <w:spacing w:before="133" w:line="188" w:lineRule="auto"/>
              <w:ind w:left="511"/>
              <w:rPr>
                <w:rFonts w:ascii="宋体" w:hAnsi="宋体" w:eastAsia="宋体" w:cs="宋体"/>
                <w:sz w:val="19"/>
                <w:szCs w:val="19"/>
              </w:rPr>
            </w:pPr>
            <w:r>
              <w:rPr>
                <w:rFonts w:ascii="宋体" w:hAnsi="宋体" w:eastAsia="宋体" w:cs="宋体"/>
                <w:spacing w:val="4"/>
                <w:sz w:val="19"/>
                <w:szCs w:val="19"/>
              </w:rPr>
              <w:t>3.4</w:t>
            </w:r>
          </w:p>
        </w:tc>
        <w:tc>
          <w:tcPr>
            <w:tcW w:w="4316" w:type="dxa"/>
            <w:gridSpan w:val="2"/>
            <w:vAlign w:val="top"/>
          </w:tcPr>
          <w:p w14:paraId="1164F9DD">
            <w:pPr>
              <w:spacing w:before="100" w:line="230" w:lineRule="auto"/>
              <w:ind w:left="24"/>
              <w:rPr>
                <w:rFonts w:ascii="宋体" w:hAnsi="宋体" w:eastAsia="宋体" w:cs="宋体"/>
                <w:sz w:val="19"/>
                <w:szCs w:val="19"/>
              </w:rPr>
            </w:pPr>
            <w:r>
              <w:rPr>
                <w:rFonts w:ascii="宋体" w:hAnsi="宋体" w:eastAsia="宋体" w:cs="宋体"/>
                <w:spacing w:val="4"/>
                <w:sz w:val="19"/>
                <w:szCs w:val="19"/>
              </w:rPr>
              <w:t>其中：总承包服务费</w:t>
            </w:r>
          </w:p>
        </w:tc>
        <w:tc>
          <w:tcPr>
            <w:tcW w:w="2823" w:type="dxa"/>
            <w:gridSpan w:val="2"/>
            <w:vAlign w:val="top"/>
          </w:tcPr>
          <w:p w14:paraId="596FE3FB">
            <w:pPr>
              <w:pStyle w:val="594"/>
            </w:pPr>
          </w:p>
        </w:tc>
        <w:tc>
          <w:tcPr>
            <w:tcW w:w="1943" w:type="dxa"/>
            <w:tcBorders>
              <w:right w:val="single" w:color="000000" w:sz="10" w:space="0"/>
            </w:tcBorders>
            <w:vAlign w:val="top"/>
          </w:tcPr>
          <w:p w14:paraId="0454E260">
            <w:pPr>
              <w:spacing w:before="100" w:line="267" w:lineRule="exact"/>
              <w:ind w:left="1735"/>
              <w:rPr>
                <w:rFonts w:ascii="宋体" w:hAnsi="宋体" w:eastAsia="宋体" w:cs="宋体"/>
                <w:sz w:val="19"/>
                <w:szCs w:val="19"/>
              </w:rPr>
            </w:pPr>
            <w:r>
              <w:rPr>
                <w:rFonts w:ascii="宋体" w:hAnsi="宋体" w:eastAsia="宋体" w:cs="宋体"/>
                <w:spacing w:val="24"/>
                <w:w w:val="130"/>
                <w:position w:val="1"/>
                <w:sz w:val="19"/>
                <w:szCs w:val="19"/>
              </w:rPr>
              <w:t>-</w:t>
            </w:r>
          </w:p>
        </w:tc>
      </w:tr>
      <w:tr w14:paraId="76552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1329" w:type="dxa"/>
            <w:tcBorders>
              <w:left w:val="single" w:color="000000" w:sz="10" w:space="0"/>
            </w:tcBorders>
            <w:vAlign w:val="top"/>
          </w:tcPr>
          <w:p w14:paraId="0739F78E">
            <w:pPr>
              <w:spacing w:before="135" w:line="188" w:lineRule="auto"/>
              <w:ind w:left="611"/>
              <w:rPr>
                <w:rFonts w:ascii="宋体" w:hAnsi="宋体" w:eastAsia="宋体" w:cs="宋体"/>
                <w:sz w:val="19"/>
                <w:szCs w:val="19"/>
              </w:rPr>
            </w:pPr>
            <w:r>
              <w:rPr>
                <w:rFonts w:ascii="宋体" w:hAnsi="宋体" w:eastAsia="宋体" w:cs="宋体"/>
                <w:sz w:val="19"/>
                <w:szCs w:val="19"/>
              </w:rPr>
              <w:t>4</w:t>
            </w:r>
          </w:p>
        </w:tc>
        <w:tc>
          <w:tcPr>
            <w:tcW w:w="4316" w:type="dxa"/>
            <w:gridSpan w:val="2"/>
            <w:vAlign w:val="top"/>
          </w:tcPr>
          <w:p w14:paraId="68684C54">
            <w:pPr>
              <w:spacing w:before="102" w:line="230" w:lineRule="auto"/>
              <w:ind w:left="24"/>
              <w:rPr>
                <w:rFonts w:ascii="宋体" w:hAnsi="宋体" w:eastAsia="宋体" w:cs="宋体"/>
                <w:sz w:val="19"/>
                <w:szCs w:val="19"/>
              </w:rPr>
            </w:pPr>
            <w:r>
              <w:rPr>
                <w:rFonts w:ascii="宋体" w:hAnsi="宋体" w:eastAsia="宋体" w:cs="宋体"/>
                <w:spacing w:val="2"/>
                <w:sz w:val="19"/>
                <w:szCs w:val="19"/>
              </w:rPr>
              <w:t>规费</w:t>
            </w:r>
          </w:p>
        </w:tc>
        <w:tc>
          <w:tcPr>
            <w:tcW w:w="2823" w:type="dxa"/>
            <w:gridSpan w:val="2"/>
            <w:vAlign w:val="top"/>
          </w:tcPr>
          <w:p w14:paraId="080EEFA5">
            <w:pPr>
              <w:pStyle w:val="594"/>
            </w:pPr>
          </w:p>
        </w:tc>
        <w:tc>
          <w:tcPr>
            <w:tcW w:w="1943" w:type="dxa"/>
            <w:tcBorders>
              <w:right w:val="single" w:color="000000" w:sz="10" w:space="0"/>
            </w:tcBorders>
            <w:vAlign w:val="top"/>
          </w:tcPr>
          <w:p w14:paraId="74B8B8CD">
            <w:pPr>
              <w:spacing w:before="102" w:line="265" w:lineRule="exact"/>
              <w:ind w:left="1735"/>
              <w:rPr>
                <w:rFonts w:ascii="宋体" w:hAnsi="宋体" w:eastAsia="宋体" w:cs="宋体"/>
                <w:sz w:val="19"/>
                <w:szCs w:val="19"/>
              </w:rPr>
            </w:pPr>
            <w:r>
              <w:rPr>
                <w:rFonts w:ascii="宋体" w:hAnsi="宋体" w:eastAsia="宋体" w:cs="宋体"/>
                <w:spacing w:val="24"/>
                <w:w w:val="130"/>
                <w:position w:val="1"/>
                <w:sz w:val="19"/>
                <w:szCs w:val="19"/>
              </w:rPr>
              <w:t>-</w:t>
            </w:r>
          </w:p>
        </w:tc>
      </w:tr>
      <w:tr w14:paraId="25336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1329" w:type="dxa"/>
            <w:tcBorders>
              <w:left w:val="single" w:color="000000" w:sz="10" w:space="0"/>
            </w:tcBorders>
            <w:vAlign w:val="top"/>
          </w:tcPr>
          <w:p w14:paraId="3B5D6052">
            <w:pPr>
              <w:spacing w:before="138" w:line="186" w:lineRule="auto"/>
              <w:ind w:left="615"/>
              <w:rPr>
                <w:rFonts w:ascii="宋体" w:hAnsi="宋体" w:eastAsia="宋体" w:cs="宋体"/>
                <w:sz w:val="19"/>
                <w:szCs w:val="19"/>
              </w:rPr>
            </w:pPr>
            <w:r>
              <w:rPr>
                <w:rFonts w:ascii="宋体" w:hAnsi="宋体" w:eastAsia="宋体" w:cs="宋体"/>
                <w:sz w:val="19"/>
                <w:szCs w:val="19"/>
              </w:rPr>
              <w:t>5</w:t>
            </w:r>
          </w:p>
        </w:tc>
        <w:tc>
          <w:tcPr>
            <w:tcW w:w="4316" w:type="dxa"/>
            <w:gridSpan w:val="2"/>
            <w:vAlign w:val="top"/>
          </w:tcPr>
          <w:p w14:paraId="5C0D55FA">
            <w:pPr>
              <w:spacing w:before="103" w:line="230" w:lineRule="auto"/>
              <w:ind w:left="23"/>
              <w:rPr>
                <w:rFonts w:ascii="宋体" w:hAnsi="宋体" w:eastAsia="宋体" w:cs="宋体"/>
                <w:sz w:val="19"/>
                <w:szCs w:val="19"/>
              </w:rPr>
            </w:pPr>
            <w:r>
              <w:rPr>
                <w:rFonts w:ascii="宋体" w:hAnsi="宋体" w:eastAsia="宋体" w:cs="宋体"/>
                <w:spacing w:val="3"/>
                <w:sz w:val="19"/>
                <w:szCs w:val="19"/>
              </w:rPr>
              <w:t>税金</w:t>
            </w:r>
          </w:p>
        </w:tc>
        <w:tc>
          <w:tcPr>
            <w:tcW w:w="2823" w:type="dxa"/>
            <w:gridSpan w:val="2"/>
            <w:vAlign w:val="top"/>
          </w:tcPr>
          <w:p w14:paraId="27F6A31F">
            <w:pPr>
              <w:pStyle w:val="594"/>
            </w:pPr>
          </w:p>
        </w:tc>
        <w:tc>
          <w:tcPr>
            <w:tcW w:w="1943" w:type="dxa"/>
            <w:tcBorders>
              <w:right w:val="single" w:color="000000" w:sz="10" w:space="0"/>
            </w:tcBorders>
            <w:vAlign w:val="top"/>
          </w:tcPr>
          <w:p w14:paraId="056764D4">
            <w:pPr>
              <w:spacing w:before="103" w:line="264" w:lineRule="exact"/>
              <w:ind w:left="1735"/>
              <w:rPr>
                <w:rFonts w:ascii="宋体" w:hAnsi="宋体" w:eastAsia="宋体" w:cs="宋体"/>
                <w:sz w:val="19"/>
                <w:szCs w:val="19"/>
              </w:rPr>
            </w:pPr>
            <w:r>
              <w:rPr>
                <w:rFonts w:ascii="宋体" w:hAnsi="宋体" w:eastAsia="宋体" w:cs="宋体"/>
                <w:spacing w:val="24"/>
                <w:w w:val="130"/>
                <w:position w:val="1"/>
                <w:sz w:val="19"/>
                <w:szCs w:val="19"/>
              </w:rPr>
              <w:t>-</w:t>
            </w:r>
          </w:p>
        </w:tc>
      </w:tr>
      <w:tr w14:paraId="1CCD1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1329" w:type="dxa"/>
            <w:tcBorders>
              <w:left w:val="single" w:color="000000" w:sz="10" w:space="0"/>
            </w:tcBorders>
            <w:vAlign w:val="top"/>
          </w:tcPr>
          <w:p w14:paraId="7E8A28D3">
            <w:pPr>
              <w:spacing w:before="137" w:line="188" w:lineRule="auto"/>
              <w:ind w:left="613"/>
              <w:rPr>
                <w:rFonts w:ascii="宋体" w:hAnsi="宋体" w:eastAsia="宋体" w:cs="宋体"/>
                <w:sz w:val="19"/>
                <w:szCs w:val="19"/>
              </w:rPr>
            </w:pPr>
            <w:r>
              <w:rPr>
                <w:rFonts w:ascii="宋体" w:hAnsi="宋体" w:eastAsia="宋体" w:cs="宋体"/>
                <w:sz w:val="19"/>
                <w:szCs w:val="19"/>
              </w:rPr>
              <w:t>6</w:t>
            </w:r>
          </w:p>
        </w:tc>
        <w:tc>
          <w:tcPr>
            <w:tcW w:w="4316" w:type="dxa"/>
            <w:gridSpan w:val="2"/>
            <w:vAlign w:val="top"/>
          </w:tcPr>
          <w:p w14:paraId="5107DB61">
            <w:pPr>
              <w:spacing w:before="105" w:line="228" w:lineRule="auto"/>
              <w:ind w:left="26"/>
              <w:rPr>
                <w:rFonts w:ascii="宋体" w:hAnsi="宋体" w:eastAsia="宋体" w:cs="宋体"/>
                <w:sz w:val="19"/>
                <w:szCs w:val="19"/>
              </w:rPr>
            </w:pPr>
            <w:r>
              <w:rPr>
                <w:rFonts w:ascii="宋体" w:hAnsi="宋体" w:eastAsia="宋体" w:cs="宋体"/>
                <w:spacing w:val="3"/>
                <w:sz w:val="19"/>
                <w:szCs w:val="19"/>
              </w:rPr>
              <w:t>工程造价</w:t>
            </w:r>
          </w:p>
        </w:tc>
        <w:tc>
          <w:tcPr>
            <w:tcW w:w="2823" w:type="dxa"/>
            <w:gridSpan w:val="2"/>
            <w:vAlign w:val="top"/>
          </w:tcPr>
          <w:p w14:paraId="5246AB5D">
            <w:pPr>
              <w:pStyle w:val="594"/>
            </w:pPr>
          </w:p>
        </w:tc>
        <w:tc>
          <w:tcPr>
            <w:tcW w:w="1943" w:type="dxa"/>
            <w:tcBorders>
              <w:right w:val="single" w:color="000000" w:sz="10" w:space="0"/>
            </w:tcBorders>
            <w:vAlign w:val="top"/>
          </w:tcPr>
          <w:p w14:paraId="3C8555D8">
            <w:pPr>
              <w:pStyle w:val="594"/>
            </w:pPr>
          </w:p>
        </w:tc>
      </w:tr>
      <w:tr w14:paraId="72D6B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1329" w:type="dxa"/>
            <w:tcBorders>
              <w:left w:val="single" w:color="000000" w:sz="10" w:space="0"/>
            </w:tcBorders>
            <w:vAlign w:val="top"/>
          </w:tcPr>
          <w:p w14:paraId="7F9BBB3A">
            <w:pPr>
              <w:pStyle w:val="594"/>
            </w:pPr>
          </w:p>
        </w:tc>
        <w:tc>
          <w:tcPr>
            <w:tcW w:w="4316" w:type="dxa"/>
            <w:gridSpan w:val="2"/>
            <w:vAlign w:val="top"/>
          </w:tcPr>
          <w:p w14:paraId="4D6D9517">
            <w:pPr>
              <w:pStyle w:val="594"/>
            </w:pPr>
          </w:p>
        </w:tc>
        <w:tc>
          <w:tcPr>
            <w:tcW w:w="2823" w:type="dxa"/>
            <w:gridSpan w:val="2"/>
            <w:vAlign w:val="top"/>
          </w:tcPr>
          <w:p w14:paraId="31072B7D">
            <w:pPr>
              <w:pStyle w:val="594"/>
            </w:pPr>
          </w:p>
        </w:tc>
        <w:tc>
          <w:tcPr>
            <w:tcW w:w="1943" w:type="dxa"/>
            <w:tcBorders>
              <w:right w:val="single" w:color="000000" w:sz="10" w:space="0"/>
            </w:tcBorders>
            <w:vAlign w:val="top"/>
          </w:tcPr>
          <w:p w14:paraId="3273C701">
            <w:pPr>
              <w:pStyle w:val="594"/>
            </w:pPr>
          </w:p>
        </w:tc>
      </w:tr>
      <w:tr w14:paraId="2302F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1329" w:type="dxa"/>
            <w:tcBorders>
              <w:left w:val="single" w:color="000000" w:sz="10" w:space="0"/>
            </w:tcBorders>
            <w:vAlign w:val="top"/>
          </w:tcPr>
          <w:p w14:paraId="1831EB10">
            <w:pPr>
              <w:pStyle w:val="594"/>
            </w:pPr>
          </w:p>
        </w:tc>
        <w:tc>
          <w:tcPr>
            <w:tcW w:w="4316" w:type="dxa"/>
            <w:gridSpan w:val="2"/>
            <w:vAlign w:val="top"/>
          </w:tcPr>
          <w:p w14:paraId="63BFFD96">
            <w:pPr>
              <w:pStyle w:val="594"/>
            </w:pPr>
          </w:p>
        </w:tc>
        <w:tc>
          <w:tcPr>
            <w:tcW w:w="2823" w:type="dxa"/>
            <w:gridSpan w:val="2"/>
            <w:vAlign w:val="top"/>
          </w:tcPr>
          <w:p w14:paraId="47B836A2">
            <w:pPr>
              <w:pStyle w:val="594"/>
            </w:pPr>
          </w:p>
        </w:tc>
        <w:tc>
          <w:tcPr>
            <w:tcW w:w="1943" w:type="dxa"/>
            <w:tcBorders>
              <w:right w:val="single" w:color="000000" w:sz="10" w:space="0"/>
            </w:tcBorders>
            <w:vAlign w:val="top"/>
          </w:tcPr>
          <w:p w14:paraId="63E7FC6C">
            <w:pPr>
              <w:pStyle w:val="594"/>
            </w:pPr>
          </w:p>
        </w:tc>
      </w:tr>
      <w:tr w14:paraId="3BB90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1329" w:type="dxa"/>
            <w:tcBorders>
              <w:left w:val="single" w:color="000000" w:sz="10" w:space="0"/>
            </w:tcBorders>
            <w:vAlign w:val="top"/>
          </w:tcPr>
          <w:p w14:paraId="40D1ACDA">
            <w:pPr>
              <w:pStyle w:val="594"/>
            </w:pPr>
          </w:p>
        </w:tc>
        <w:tc>
          <w:tcPr>
            <w:tcW w:w="4316" w:type="dxa"/>
            <w:gridSpan w:val="2"/>
            <w:vAlign w:val="top"/>
          </w:tcPr>
          <w:p w14:paraId="68D0E98F">
            <w:pPr>
              <w:pStyle w:val="594"/>
            </w:pPr>
          </w:p>
        </w:tc>
        <w:tc>
          <w:tcPr>
            <w:tcW w:w="2823" w:type="dxa"/>
            <w:gridSpan w:val="2"/>
            <w:vAlign w:val="top"/>
          </w:tcPr>
          <w:p w14:paraId="72C409AD">
            <w:pPr>
              <w:pStyle w:val="594"/>
            </w:pPr>
          </w:p>
        </w:tc>
        <w:tc>
          <w:tcPr>
            <w:tcW w:w="1943" w:type="dxa"/>
            <w:tcBorders>
              <w:right w:val="single" w:color="000000" w:sz="10" w:space="0"/>
            </w:tcBorders>
            <w:vAlign w:val="top"/>
          </w:tcPr>
          <w:p w14:paraId="546D35AC">
            <w:pPr>
              <w:pStyle w:val="594"/>
            </w:pPr>
          </w:p>
        </w:tc>
      </w:tr>
      <w:tr w14:paraId="63127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1329" w:type="dxa"/>
            <w:tcBorders>
              <w:left w:val="single" w:color="000000" w:sz="10" w:space="0"/>
            </w:tcBorders>
            <w:vAlign w:val="top"/>
          </w:tcPr>
          <w:p w14:paraId="5ADDA8F4">
            <w:pPr>
              <w:pStyle w:val="594"/>
            </w:pPr>
          </w:p>
        </w:tc>
        <w:tc>
          <w:tcPr>
            <w:tcW w:w="4316" w:type="dxa"/>
            <w:gridSpan w:val="2"/>
            <w:vAlign w:val="top"/>
          </w:tcPr>
          <w:p w14:paraId="42B7B9EE">
            <w:pPr>
              <w:pStyle w:val="594"/>
            </w:pPr>
          </w:p>
        </w:tc>
        <w:tc>
          <w:tcPr>
            <w:tcW w:w="2823" w:type="dxa"/>
            <w:gridSpan w:val="2"/>
            <w:vAlign w:val="top"/>
          </w:tcPr>
          <w:p w14:paraId="3DB60EC2">
            <w:pPr>
              <w:pStyle w:val="594"/>
            </w:pPr>
          </w:p>
        </w:tc>
        <w:tc>
          <w:tcPr>
            <w:tcW w:w="1943" w:type="dxa"/>
            <w:tcBorders>
              <w:right w:val="single" w:color="000000" w:sz="10" w:space="0"/>
            </w:tcBorders>
            <w:vAlign w:val="top"/>
          </w:tcPr>
          <w:p w14:paraId="5BF5A68D">
            <w:pPr>
              <w:pStyle w:val="594"/>
            </w:pPr>
          </w:p>
        </w:tc>
      </w:tr>
      <w:tr w14:paraId="74E42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1329" w:type="dxa"/>
            <w:tcBorders>
              <w:left w:val="single" w:color="000000" w:sz="10" w:space="0"/>
            </w:tcBorders>
            <w:vAlign w:val="top"/>
          </w:tcPr>
          <w:p w14:paraId="582164D9">
            <w:pPr>
              <w:pStyle w:val="594"/>
            </w:pPr>
          </w:p>
        </w:tc>
        <w:tc>
          <w:tcPr>
            <w:tcW w:w="4316" w:type="dxa"/>
            <w:gridSpan w:val="2"/>
            <w:vAlign w:val="top"/>
          </w:tcPr>
          <w:p w14:paraId="6BDABC7C">
            <w:pPr>
              <w:pStyle w:val="594"/>
            </w:pPr>
          </w:p>
        </w:tc>
        <w:tc>
          <w:tcPr>
            <w:tcW w:w="2823" w:type="dxa"/>
            <w:gridSpan w:val="2"/>
            <w:vAlign w:val="top"/>
          </w:tcPr>
          <w:p w14:paraId="08E28C7B">
            <w:pPr>
              <w:pStyle w:val="594"/>
            </w:pPr>
          </w:p>
        </w:tc>
        <w:tc>
          <w:tcPr>
            <w:tcW w:w="1943" w:type="dxa"/>
            <w:tcBorders>
              <w:right w:val="single" w:color="000000" w:sz="10" w:space="0"/>
            </w:tcBorders>
            <w:vAlign w:val="top"/>
          </w:tcPr>
          <w:p w14:paraId="42AE653B">
            <w:pPr>
              <w:pStyle w:val="594"/>
            </w:pPr>
          </w:p>
        </w:tc>
      </w:tr>
      <w:tr w14:paraId="49EDC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1329" w:type="dxa"/>
            <w:tcBorders>
              <w:left w:val="single" w:color="000000" w:sz="10" w:space="0"/>
            </w:tcBorders>
            <w:vAlign w:val="top"/>
          </w:tcPr>
          <w:p w14:paraId="35A73D50">
            <w:pPr>
              <w:pStyle w:val="594"/>
            </w:pPr>
          </w:p>
        </w:tc>
        <w:tc>
          <w:tcPr>
            <w:tcW w:w="4316" w:type="dxa"/>
            <w:gridSpan w:val="2"/>
            <w:vAlign w:val="top"/>
          </w:tcPr>
          <w:p w14:paraId="714D1CF6">
            <w:pPr>
              <w:pStyle w:val="594"/>
            </w:pPr>
          </w:p>
        </w:tc>
        <w:tc>
          <w:tcPr>
            <w:tcW w:w="2823" w:type="dxa"/>
            <w:gridSpan w:val="2"/>
            <w:vAlign w:val="top"/>
          </w:tcPr>
          <w:p w14:paraId="68B07747">
            <w:pPr>
              <w:pStyle w:val="594"/>
            </w:pPr>
          </w:p>
        </w:tc>
        <w:tc>
          <w:tcPr>
            <w:tcW w:w="1943" w:type="dxa"/>
            <w:tcBorders>
              <w:right w:val="single" w:color="000000" w:sz="10" w:space="0"/>
            </w:tcBorders>
            <w:vAlign w:val="top"/>
          </w:tcPr>
          <w:p w14:paraId="2F5F6F28">
            <w:pPr>
              <w:pStyle w:val="594"/>
            </w:pPr>
          </w:p>
        </w:tc>
      </w:tr>
      <w:tr w14:paraId="5D6FF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1329" w:type="dxa"/>
            <w:tcBorders>
              <w:left w:val="single" w:color="000000" w:sz="10" w:space="0"/>
            </w:tcBorders>
            <w:vAlign w:val="top"/>
          </w:tcPr>
          <w:p w14:paraId="641481E5">
            <w:pPr>
              <w:pStyle w:val="594"/>
            </w:pPr>
          </w:p>
        </w:tc>
        <w:tc>
          <w:tcPr>
            <w:tcW w:w="4316" w:type="dxa"/>
            <w:gridSpan w:val="2"/>
            <w:vAlign w:val="top"/>
          </w:tcPr>
          <w:p w14:paraId="62E71D5E">
            <w:pPr>
              <w:pStyle w:val="594"/>
            </w:pPr>
          </w:p>
        </w:tc>
        <w:tc>
          <w:tcPr>
            <w:tcW w:w="2823" w:type="dxa"/>
            <w:gridSpan w:val="2"/>
            <w:vAlign w:val="top"/>
          </w:tcPr>
          <w:p w14:paraId="0E62719D">
            <w:pPr>
              <w:pStyle w:val="594"/>
            </w:pPr>
          </w:p>
        </w:tc>
        <w:tc>
          <w:tcPr>
            <w:tcW w:w="1943" w:type="dxa"/>
            <w:tcBorders>
              <w:right w:val="single" w:color="000000" w:sz="10" w:space="0"/>
            </w:tcBorders>
            <w:vAlign w:val="top"/>
          </w:tcPr>
          <w:p w14:paraId="0FB1A8F5">
            <w:pPr>
              <w:pStyle w:val="594"/>
            </w:pPr>
          </w:p>
        </w:tc>
      </w:tr>
      <w:tr w14:paraId="2F665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1329" w:type="dxa"/>
            <w:tcBorders>
              <w:left w:val="single" w:color="000000" w:sz="10" w:space="0"/>
            </w:tcBorders>
            <w:vAlign w:val="top"/>
          </w:tcPr>
          <w:p w14:paraId="64D4C09E">
            <w:pPr>
              <w:pStyle w:val="594"/>
            </w:pPr>
          </w:p>
        </w:tc>
        <w:tc>
          <w:tcPr>
            <w:tcW w:w="4316" w:type="dxa"/>
            <w:gridSpan w:val="2"/>
            <w:vAlign w:val="top"/>
          </w:tcPr>
          <w:p w14:paraId="7ABC9809">
            <w:pPr>
              <w:pStyle w:val="594"/>
            </w:pPr>
          </w:p>
        </w:tc>
        <w:tc>
          <w:tcPr>
            <w:tcW w:w="2823" w:type="dxa"/>
            <w:gridSpan w:val="2"/>
            <w:vAlign w:val="top"/>
          </w:tcPr>
          <w:p w14:paraId="4ABB9A37">
            <w:pPr>
              <w:pStyle w:val="594"/>
            </w:pPr>
          </w:p>
        </w:tc>
        <w:tc>
          <w:tcPr>
            <w:tcW w:w="1943" w:type="dxa"/>
            <w:tcBorders>
              <w:right w:val="single" w:color="000000" w:sz="10" w:space="0"/>
            </w:tcBorders>
            <w:vAlign w:val="top"/>
          </w:tcPr>
          <w:p w14:paraId="6F83C9F7">
            <w:pPr>
              <w:pStyle w:val="594"/>
            </w:pPr>
          </w:p>
        </w:tc>
      </w:tr>
      <w:tr w14:paraId="40BD0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1329" w:type="dxa"/>
            <w:tcBorders>
              <w:left w:val="single" w:color="000000" w:sz="10" w:space="0"/>
            </w:tcBorders>
            <w:vAlign w:val="top"/>
          </w:tcPr>
          <w:p w14:paraId="19274EE9">
            <w:pPr>
              <w:pStyle w:val="594"/>
            </w:pPr>
          </w:p>
        </w:tc>
        <w:tc>
          <w:tcPr>
            <w:tcW w:w="4316" w:type="dxa"/>
            <w:gridSpan w:val="2"/>
            <w:vAlign w:val="top"/>
          </w:tcPr>
          <w:p w14:paraId="6CD7E9CB">
            <w:pPr>
              <w:pStyle w:val="594"/>
            </w:pPr>
          </w:p>
        </w:tc>
        <w:tc>
          <w:tcPr>
            <w:tcW w:w="2823" w:type="dxa"/>
            <w:gridSpan w:val="2"/>
            <w:vAlign w:val="top"/>
          </w:tcPr>
          <w:p w14:paraId="384DDFE1">
            <w:pPr>
              <w:pStyle w:val="594"/>
            </w:pPr>
          </w:p>
        </w:tc>
        <w:tc>
          <w:tcPr>
            <w:tcW w:w="1943" w:type="dxa"/>
            <w:tcBorders>
              <w:right w:val="single" w:color="000000" w:sz="10" w:space="0"/>
            </w:tcBorders>
            <w:vAlign w:val="top"/>
          </w:tcPr>
          <w:p w14:paraId="02301493">
            <w:pPr>
              <w:pStyle w:val="594"/>
            </w:pPr>
          </w:p>
        </w:tc>
      </w:tr>
      <w:tr w14:paraId="459F1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1329" w:type="dxa"/>
            <w:tcBorders>
              <w:left w:val="single" w:color="000000" w:sz="10" w:space="0"/>
            </w:tcBorders>
            <w:vAlign w:val="top"/>
          </w:tcPr>
          <w:p w14:paraId="05BFAE56">
            <w:pPr>
              <w:pStyle w:val="594"/>
            </w:pPr>
          </w:p>
        </w:tc>
        <w:tc>
          <w:tcPr>
            <w:tcW w:w="4316" w:type="dxa"/>
            <w:gridSpan w:val="2"/>
            <w:vAlign w:val="top"/>
          </w:tcPr>
          <w:p w14:paraId="47F7CC35">
            <w:pPr>
              <w:pStyle w:val="594"/>
            </w:pPr>
          </w:p>
        </w:tc>
        <w:tc>
          <w:tcPr>
            <w:tcW w:w="2823" w:type="dxa"/>
            <w:gridSpan w:val="2"/>
            <w:vAlign w:val="top"/>
          </w:tcPr>
          <w:p w14:paraId="440ACE02">
            <w:pPr>
              <w:pStyle w:val="594"/>
            </w:pPr>
          </w:p>
        </w:tc>
        <w:tc>
          <w:tcPr>
            <w:tcW w:w="1943" w:type="dxa"/>
            <w:tcBorders>
              <w:right w:val="single" w:color="000000" w:sz="10" w:space="0"/>
            </w:tcBorders>
            <w:vAlign w:val="top"/>
          </w:tcPr>
          <w:p w14:paraId="47718509">
            <w:pPr>
              <w:pStyle w:val="594"/>
            </w:pPr>
          </w:p>
        </w:tc>
      </w:tr>
      <w:tr w14:paraId="67102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1329" w:type="dxa"/>
            <w:tcBorders>
              <w:left w:val="single" w:color="000000" w:sz="10" w:space="0"/>
            </w:tcBorders>
            <w:vAlign w:val="top"/>
          </w:tcPr>
          <w:p w14:paraId="69CDA066">
            <w:pPr>
              <w:pStyle w:val="594"/>
            </w:pPr>
          </w:p>
        </w:tc>
        <w:tc>
          <w:tcPr>
            <w:tcW w:w="4316" w:type="dxa"/>
            <w:gridSpan w:val="2"/>
            <w:vAlign w:val="top"/>
          </w:tcPr>
          <w:p w14:paraId="795CF07C">
            <w:pPr>
              <w:pStyle w:val="594"/>
            </w:pPr>
          </w:p>
        </w:tc>
        <w:tc>
          <w:tcPr>
            <w:tcW w:w="2823" w:type="dxa"/>
            <w:gridSpan w:val="2"/>
            <w:vAlign w:val="top"/>
          </w:tcPr>
          <w:p w14:paraId="23A0A4D1">
            <w:pPr>
              <w:pStyle w:val="594"/>
            </w:pPr>
          </w:p>
        </w:tc>
        <w:tc>
          <w:tcPr>
            <w:tcW w:w="1943" w:type="dxa"/>
            <w:tcBorders>
              <w:right w:val="single" w:color="000000" w:sz="10" w:space="0"/>
            </w:tcBorders>
            <w:vAlign w:val="top"/>
          </w:tcPr>
          <w:p w14:paraId="265701D4">
            <w:pPr>
              <w:pStyle w:val="594"/>
            </w:pPr>
          </w:p>
        </w:tc>
      </w:tr>
      <w:tr w14:paraId="49E36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1329" w:type="dxa"/>
            <w:tcBorders>
              <w:left w:val="single" w:color="000000" w:sz="10" w:space="0"/>
            </w:tcBorders>
            <w:vAlign w:val="top"/>
          </w:tcPr>
          <w:p w14:paraId="369176C1">
            <w:pPr>
              <w:pStyle w:val="594"/>
            </w:pPr>
          </w:p>
        </w:tc>
        <w:tc>
          <w:tcPr>
            <w:tcW w:w="4316" w:type="dxa"/>
            <w:gridSpan w:val="2"/>
            <w:vAlign w:val="top"/>
          </w:tcPr>
          <w:p w14:paraId="785E3F7B">
            <w:pPr>
              <w:pStyle w:val="594"/>
            </w:pPr>
          </w:p>
        </w:tc>
        <w:tc>
          <w:tcPr>
            <w:tcW w:w="2823" w:type="dxa"/>
            <w:gridSpan w:val="2"/>
            <w:vAlign w:val="top"/>
          </w:tcPr>
          <w:p w14:paraId="7FBD160C">
            <w:pPr>
              <w:pStyle w:val="594"/>
            </w:pPr>
          </w:p>
        </w:tc>
        <w:tc>
          <w:tcPr>
            <w:tcW w:w="1943" w:type="dxa"/>
            <w:tcBorders>
              <w:right w:val="single" w:color="000000" w:sz="10" w:space="0"/>
            </w:tcBorders>
            <w:vAlign w:val="top"/>
          </w:tcPr>
          <w:p w14:paraId="7E427B20">
            <w:pPr>
              <w:pStyle w:val="594"/>
            </w:pPr>
          </w:p>
        </w:tc>
      </w:tr>
      <w:tr w14:paraId="31C60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1329" w:type="dxa"/>
            <w:tcBorders>
              <w:left w:val="single" w:color="000000" w:sz="10" w:space="0"/>
            </w:tcBorders>
            <w:vAlign w:val="top"/>
          </w:tcPr>
          <w:p w14:paraId="4E90AB14">
            <w:pPr>
              <w:pStyle w:val="594"/>
            </w:pPr>
          </w:p>
        </w:tc>
        <w:tc>
          <w:tcPr>
            <w:tcW w:w="4316" w:type="dxa"/>
            <w:gridSpan w:val="2"/>
            <w:vAlign w:val="top"/>
          </w:tcPr>
          <w:p w14:paraId="6E4BFF71">
            <w:pPr>
              <w:pStyle w:val="594"/>
            </w:pPr>
          </w:p>
        </w:tc>
        <w:tc>
          <w:tcPr>
            <w:tcW w:w="2823" w:type="dxa"/>
            <w:gridSpan w:val="2"/>
            <w:vAlign w:val="top"/>
          </w:tcPr>
          <w:p w14:paraId="2CE626DA">
            <w:pPr>
              <w:pStyle w:val="594"/>
            </w:pPr>
          </w:p>
        </w:tc>
        <w:tc>
          <w:tcPr>
            <w:tcW w:w="1943" w:type="dxa"/>
            <w:tcBorders>
              <w:right w:val="single" w:color="000000" w:sz="10" w:space="0"/>
            </w:tcBorders>
            <w:vAlign w:val="top"/>
          </w:tcPr>
          <w:p w14:paraId="1C31DB3C">
            <w:pPr>
              <w:pStyle w:val="594"/>
            </w:pPr>
          </w:p>
        </w:tc>
      </w:tr>
      <w:tr w14:paraId="32657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1329" w:type="dxa"/>
            <w:tcBorders>
              <w:left w:val="single" w:color="000000" w:sz="10" w:space="0"/>
            </w:tcBorders>
            <w:vAlign w:val="top"/>
          </w:tcPr>
          <w:p w14:paraId="7BA4FA53">
            <w:pPr>
              <w:pStyle w:val="594"/>
            </w:pPr>
          </w:p>
        </w:tc>
        <w:tc>
          <w:tcPr>
            <w:tcW w:w="4316" w:type="dxa"/>
            <w:gridSpan w:val="2"/>
            <w:vAlign w:val="top"/>
          </w:tcPr>
          <w:p w14:paraId="29F714E9">
            <w:pPr>
              <w:pStyle w:val="594"/>
            </w:pPr>
          </w:p>
        </w:tc>
        <w:tc>
          <w:tcPr>
            <w:tcW w:w="2823" w:type="dxa"/>
            <w:gridSpan w:val="2"/>
            <w:vAlign w:val="top"/>
          </w:tcPr>
          <w:p w14:paraId="32024229">
            <w:pPr>
              <w:pStyle w:val="594"/>
            </w:pPr>
          </w:p>
        </w:tc>
        <w:tc>
          <w:tcPr>
            <w:tcW w:w="1943" w:type="dxa"/>
            <w:tcBorders>
              <w:right w:val="single" w:color="000000" w:sz="10" w:space="0"/>
            </w:tcBorders>
            <w:vAlign w:val="top"/>
          </w:tcPr>
          <w:p w14:paraId="6C5DE7E8">
            <w:pPr>
              <w:pStyle w:val="594"/>
            </w:pPr>
          </w:p>
        </w:tc>
      </w:tr>
      <w:tr w14:paraId="516A4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5645" w:type="dxa"/>
            <w:gridSpan w:val="3"/>
            <w:tcBorders>
              <w:left w:val="single" w:color="000000" w:sz="10" w:space="0"/>
              <w:bottom w:val="single" w:color="000000" w:sz="10" w:space="0"/>
            </w:tcBorders>
            <w:vAlign w:val="top"/>
          </w:tcPr>
          <w:p w14:paraId="0366DD8B">
            <w:pPr>
              <w:spacing w:before="98" w:line="223" w:lineRule="auto"/>
              <w:ind w:left="569"/>
              <w:rPr>
                <w:rFonts w:ascii="宋体" w:hAnsi="宋体" w:eastAsia="宋体" w:cs="宋体"/>
                <w:sz w:val="19"/>
                <w:szCs w:val="19"/>
              </w:rPr>
            </w:pPr>
            <w:r>
              <w:rPr>
                <w:rFonts w:ascii="宋体" w:hAnsi="宋体" w:eastAsia="宋体" w:cs="宋体"/>
                <w:spacing w:val="7"/>
                <w:sz w:val="19"/>
                <w:szCs w:val="19"/>
              </w:rPr>
              <w:t>投标报价合计=1+2+3+4+5-甲供材料费_含设备</w:t>
            </w:r>
            <w:r>
              <w:rPr>
                <w:rFonts w:ascii="宋体" w:hAnsi="宋体" w:eastAsia="宋体" w:cs="宋体"/>
                <w:spacing w:val="6"/>
                <w:sz w:val="19"/>
                <w:szCs w:val="19"/>
              </w:rPr>
              <w:t>/1.01</w:t>
            </w:r>
          </w:p>
        </w:tc>
        <w:tc>
          <w:tcPr>
            <w:tcW w:w="2823" w:type="dxa"/>
            <w:gridSpan w:val="2"/>
            <w:tcBorders>
              <w:bottom w:val="single" w:color="000000" w:sz="10" w:space="0"/>
            </w:tcBorders>
            <w:vAlign w:val="top"/>
          </w:tcPr>
          <w:p w14:paraId="10B2065E">
            <w:pPr>
              <w:spacing w:before="131" w:line="188" w:lineRule="auto"/>
              <w:ind w:right="6"/>
              <w:jc w:val="right"/>
              <w:rPr>
                <w:rFonts w:ascii="宋体" w:hAnsi="宋体" w:eastAsia="宋体" w:cs="宋体"/>
                <w:sz w:val="19"/>
                <w:szCs w:val="19"/>
              </w:rPr>
            </w:pPr>
            <w:r>
              <w:rPr>
                <w:rFonts w:ascii="宋体" w:hAnsi="宋体" w:eastAsia="宋体" w:cs="宋体"/>
                <w:spacing w:val="6"/>
                <w:sz w:val="19"/>
                <w:szCs w:val="19"/>
              </w:rPr>
              <w:t>0.00</w:t>
            </w:r>
          </w:p>
        </w:tc>
        <w:tc>
          <w:tcPr>
            <w:tcW w:w="1943" w:type="dxa"/>
            <w:tcBorders>
              <w:bottom w:val="single" w:color="000000" w:sz="10" w:space="0"/>
              <w:right w:val="single" w:color="000000" w:sz="10" w:space="0"/>
            </w:tcBorders>
            <w:vAlign w:val="top"/>
          </w:tcPr>
          <w:p w14:paraId="578E9A69">
            <w:pPr>
              <w:spacing w:before="131" w:line="188" w:lineRule="auto"/>
              <w:ind w:right="21"/>
              <w:jc w:val="right"/>
              <w:rPr>
                <w:rFonts w:ascii="宋体" w:hAnsi="宋体" w:eastAsia="宋体" w:cs="宋体"/>
                <w:sz w:val="19"/>
                <w:szCs w:val="19"/>
              </w:rPr>
            </w:pPr>
            <w:r>
              <w:rPr>
                <w:rFonts w:ascii="宋体" w:hAnsi="宋体" w:eastAsia="宋体" w:cs="宋体"/>
                <w:sz w:val="19"/>
                <w:szCs w:val="19"/>
              </w:rPr>
              <w:t>0</w:t>
            </w:r>
          </w:p>
        </w:tc>
      </w:tr>
    </w:tbl>
    <w:p w14:paraId="4E66BC46">
      <w:pPr>
        <w:spacing w:line="177" w:lineRule="exact"/>
      </w:pPr>
    </w:p>
    <w:tbl>
      <w:tblPr>
        <w:tblStyle w:val="333"/>
        <w:tblW w:w="10401"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7692"/>
        <w:gridCol w:w="2709"/>
      </w:tblGrid>
      <w:tr w14:paraId="0FD7AEC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9" w:hRule="atLeast"/>
        </w:trPr>
        <w:tc>
          <w:tcPr>
            <w:tcW w:w="7692" w:type="dxa"/>
            <w:tcBorders>
              <w:bottom w:val="single" w:color="FFFFFF" w:sz="2" w:space="0"/>
              <w:right w:val="single" w:color="FFFFFF" w:sz="4" w:space="0"/>
            </w:tcBorders>
            <w:vAlign w:val="top"/>
          </w:tcPr>
          <w:p w14:paraId="58B30288">
            <w:pPr>
              <w:pStyle w:val="594"/>
            </w:pPr>
            <w:r>
              <w:drawing>
                <wp:anchor distT="0" distB="0" distL="0" distR="0" simplePos="0" relativeHeight="251664384" behindDoc="1" locked="0" layoutInCell="1" allowOverlap="1">
                  <wp:simplePos x="0" y="0"/>
                  <wp:positionH relativeFrom="rightMargin">
                    <wp:posOffset>-46990</wp:posOffset>
                  </wp:positionH>
                  <wp:positionV relativeFrom="topMargin">
                    <wp:posOffset>0</wp:posOffset>
                  </wp:positionV>
                  <wp:extent cx="9525" cy="237490"/>
                  <wp:effectExtent l="0" t="0" r="9525" b="1016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2"/>
                          <a:stretch>
                            <a:fillRect/>
                          </a:stretch>
                        </pic:blipFill>
                        <pic:spPr>
                          <a:xfrm>
                            <a:off x="0" y="0"/>
                            <a:ext cx="9509" cy="237743"/>
                          </a:xfrm>
                          <a:prstGeom prst="rect">
                            <a:avLst/>
                          </a:prstGeom>
                        </pic:spPr>
                      </pic:pic>
                    </a:graphicData>
                  </a:graphic>
                </wp:anchor>
              </w:drawing>
            </w:r>
          </w:p>
        </w:tc>
        <w:tc>
          <w:tcPr>
            <w:tcW w:w="2709" w:type="dxa"/>
            <w:tcBorders>
              <w:left w:val="single" w:color="FFFFFF" w:sz="4" w:space="0"/>
              <w:bottom w:val="single" w:color="FFFFFF" w:sz="2" w:space="0"/>
              <w:right w:val="single" w:color="FFFFFF" w:sz="2" w:space="0"/>
            </w:tcBorders>
            <w:vAlign w:val="top"/>
          </w:tcPr>
          <w:p w14:paraId="7D2276B9">
            <w:pPr>
              <w:spacing w:before="164" w:line="211" w:lineRule="auto"/>
              <w:ind w:right="23"/>
              <w:jc w:val="right"/>
              <w:rPr>
                <w:rFonts w:ascii="宋体" w:hAnsi="宋体" w:eastAsia="宋体" w:cs="宋体"/>
                <w:sz w:val="17"/>
                <w:szCs w:val="17"/>
              </w:rPr>
            </w:pPr>
            <w:r>
              <w:rPr>
                <w:rFonts w:ascii="宋体" w:hAnsi="宋体" w:eastAsia="宋体" w:cs="宋体"/>
                <w:spacing w:val="3"/>
                <w:sz w:val="17"/>
                <w:szCs w:val="17"/>
              </w:rPr>
              <w:t>表</w:t>
            </w:r>
            <w:r>
              <w:rPr>
                <w:rFonts w:ascii="宋体" w:hAnsi="宋体" w:eastAsia="宋体" w:cs="宋体"/>
                <w:spacing w:val="-5"/>
                <w:w w:val="55"/>
                <w:sz w:val="17"/>
                <w:szCs w:val="17"/>
              </w:rPr>
              <w:t>—</w:t>
            </w:r>
            <w:r>
              <w:rPr>
                <w:rFonts w:ascii="宋体" w:hAnsi="宋体" w:eastAsia="宋体" w:cs="宋体"/>
                <w:spacing w:val="9"/>
                <w:sz w:val="17"/>
                <w:szCs w:val="17"/>
              </w:rPr>
              <w:t xml:space="preserve"> </w:t>
            </w:r>
            <w:r>
              <w:rPr>
                <w:rFonts w:ascii="宋体" w:hAnsi="宋体" w:eastAsia="宋体" w:cs="宋体"/>
                <w:spacing w:val="3"/>
                <w:sz w:val="17"/>
                <w:szCs w:val="17"/>
              </w:rPr>
              <w:t>04</w:t>
            </w:r>
          </w:p>
        </w:tc>
      </w:tr>
    </w:tbl>
    <w:p w14:paraId="237B854C">
      <w:pPr>
        <w:rPr>
          <w:rFonts w:ascii="Arial"/>
          <w:sz w:val="21"/>
        </w:rPr>
      </w:pPr>
    </w:p>
    <w:p w14:paraId="6B9E96D5">
      <w:pPr>
        <w:rPr>
          <w:rFonts w:ascii="Arial" w:hAnsi="Arial" w:eastAsia="Arial" w:cs="Arial"/>
          <w:sz w:val="21"/>
          <w:szCs w:val="21"/>
        </w:rPr>
        <w:sectPr>
          <w:pgSz w:w="11960" w:h="16880"/>
          <w:pgMar w:top="400" w:right="790" w:bottom="0" w:left="733" w:header="0" w:footer="0" w:gutter="0"/>
          <w:cols w:space="720" w:num="1"/>
        </w:sectPr>
      </w:pPr>
    </w:p>
    <w:p w14:paraId="56077AAD">
      <w:pPr>
        <w:spacing w:before="208"/>
      </w:pPr>
    </w:p>
    <w:tbl>
      <w:tblPr>
        <w:tblStyle w:val="333"/>
        <w:tblW w:w="104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1403"/>
        <w:gridCol w:w="1448"/>
        <w:gridCol w:w="1508"/>
        <w:gridCol w:w="538"/>
        <w:gridCol w:w="271"/>
        <w:gridCol w:w="684"/>
        <w:gridCol w:w="1106"/>
        <w:gridCol w:w="1270"/>
        <w:gridCol w:w="1360"/>
      </w:tblGrid>
      <w:tr w14:paraId="515A7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jc w:val="center"/>
        </w:trPr>
        <w:tc>
          <w:tcPr>
            <w:tcW w:w="10411" w:type="dxa"/>
            <w:gridSpan w:val="10"/>
            <w:tcBorders>
              <w:top w:val="nil"/>
              <w:left w:val="nil"/>
              <w:bottom w:val="single" w:color="FFFFFF" w:sz="4" w:space="0"/>
              <w:right w:val="single" w:color="FFFFFF" w:sz="2" w:space="0"/>
            </w:tcBorders>
            <w:vAlign w:val="top"/>
          </w:tcPr>
          <w:p w14:paraId="41F9B4C7">
            <w:pPr>
              <w:spacing w:before="195" w:line="223" w:lineRule="auto"/>
              <w:ind w:left="1220"/>
              <w:outlineLvl w:val="0"/>
              <w:rPr>
                <w:rFonts w:ascii="宋体" w:hAnsi="宋体" w:eastAsia="宋体" w:cs="宋体"/>
                <w:sz w:val="39"/>
                <w:szCs w:val="39"/>
              </w:rPr>
            </w:pPr>
            <w:r>
              <w:rPr>
                <w:rFonts w:ascii="宋体" w:hAnsi="宋体" w:eastAsia="宋体" w:cs="宋体"/>
                <w:spacing w:val="26"/>
                <w:sz w:val="39"/>
                <w:szCs w:val="39"/>
              </w:rPr>
              <w:t>分部分项工程和单价措施项目清单与计价表</w:t>
            </w:r>
          </w:p>
        </w:tc>
      </w:tr>
      <w:tr w14:paraId="3EBDD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jc w:val="center"/>
        </w:trPr>
        <w:tc>
          <w:tcPr>
            <w:tcW w:w="5991" w:type="dxa"/>
            <w:gridSpan w:val="6"/>
            <w:tcBorders>
              <w:top w:val="single" w:color="FFFFFF" w:sz="4" w:space="0"/>
              <w:left w:val="nil"/>
              <w:bottom w:val="single" w:color="000000" w:sz="10" w:space="0"/>
              <w:right w:val="single" w:color="FFFFFF" w:sz="4" w:space="0"/>
            </w:tcBorders>
            <w:vAlign w:val="top"/>
          </w:tcPr>
          <w:p w14:paraId="75F48DFF">
            <w:pPr>
              <w:pStyle w:val="594"/>
              <w:spacing w:line="268" w:lineRule="auto"/>
            </w:pPr>
          </w:p>
          <w:p w14:paraId="65809B16">
            <w:pPr>
              <w:pStyle w:val="594"/>
              <w:spacing w:line="269" w:lineRule="auto"/>
            </w:pPr>
          </w:p>
          <w:p w14:paraId="0DA220B9">
            <w:pPr>
              <w:spacing w:before="62" w:line="205" w:lineRule="auto"/>
              <w:ind w:left="28"/>
              <w:rPr>
                <w:rFonts w:ascii="宋体" w:hAnsi="宋体" w:eastAsia="宋体" w:cs="宋体"/>
                <w:sz w:val="19"/>
                <w:szCs w:val="19"/>
              </w:rPr>
            </w:pPr>
            <w:r>
              <w:rPr>
                <w:rFonts w:ascii="宋体" w:hAnsi="宋体" w:eastAsia="宋体" w:cs="宋体"/>
                <w:spacing w:val="4"/>
                <w:sz w:val="19"/>
                <w:szCs w:val="19"/>
              </w:rPr>
              <w:t>工程名称：沭阳县耿圩镇污水处理厂提质提标项目</w:t>
            </w:r>
          </w:p>
        </w:tc>
        <w:tc>
          <w:tcPr>
            <w:tcW w:w="1790" w:type="dxa"/>
            <w:gridSpan w:val="2"/>
            <w:tcBorders>
              <w:top w:val="single" w:color="FFFFFF" w:sz="4" w:space="0"/>
              <w:left w:val="single" w:color="FFFFFF" w:sz="4" w:space="0"/>
              <w:bottom w:val="single" w:color="000000" w:sz="10" w:space="0"/>
              <w:right w:val="single" w:color="FFFFFF" w:sz="2" w:space="0"/>
            </w:tcBorders>
            <w:vAlign w:val="top"/>
          </w:tcPr>
          <w:p w14:paraId="05BAFCEE">
            <w:pPr>
              <w:spacing w:before="211" w:line="195" w:lineRule="auto"/>
              <w:ind w:left="33"/>
              <w:jc w:val="both"/>
              <w:rPr>
                <w:rFonts w:ascii="宋体" w:hAnsi="宋体" w:eastAsia="宋体" w:cs="宋体"/>
                <w:sz w:val="19"/>
                <w:szCs w:val="19"/>
              </w:rPr>
            </w:pPr>
            <w:r>
              <w:rPr>
                <w:rFonts w:ascii="宋体" w:hAnsi="宋体" w:eastAsia="宋体" w:cs="宋体"/>
                <w:spacing w:val="4"/>
                <w:sz w:val="19"/>
                <w:szCs w:val="19"/>
              </w:rPr>
              <w:t>标段：沭阳县耿圩镇</w:t>
            </w:r>
            <w:r>
              <w:rPr>
                <w:rFonts w:ascii="宋体" w:hAnsi="宋体" w:eastAsia="宋体" w:cs="宋体"/>
                <w:spacing w:val="1"/>
                <w:sz w:val="19"/>
                <w:szCs w:val="19"/>
              </w:rPr>
              <w:t xml:space="preserve"> </w:t>
            </w:r>
            <w:r>
              <w:rPr>
                <w:rFonts w:ascii="宋体" w:hAnsi="宋体" w:eastAsia="宋体" w:cs="宋体"/>
                <w:spacing w:val="4"/>
                <w:sz w:val="19"/>
                <w:szCs w:val="19"/>
              </w:rPr>
              <w:t>污水处理厂提质提标</w:t>
            </w:r>
            <w:r>
              <w:rPr>
                <w:rFonts w:ascii="宋体" w:hAnsi="宋体" w:eastAsia="宋体" w:cs="宋体"/>
                <w:sz w:val="19"/>
                <w:szCs w:val="19"/>
              </w:rPr>
              <w:t xml:space="preserve"> </w:t>
            </w:r>
            <w:r>
              <w:rPr>
                <w:rFonts w:ascii="宋体" w:hAnsi="宋体" w:eastAsia="宋体" w:cs="宋体"/>
                <w:spacing w:val="2"/>
                <w:sz w:val="19"/>
                <w:szCs w:val="19"/>
              </w:rPr>
              <w:t>项目</w:t>
            </w:r>
          </w:p>
        </w:tc>
        <w:tc>
          <w:tcPr>
            <w:tcW w:w="2630" w:type="dxa"/>
            <w:gridSpan w:val="2"/>
            <w:tcBorders>
              <w:top w:val="single" w:color="FFFFFF" w:sz="4" w:space="0"/>
              <w:left w:val="single" w:color="FFFFFF" w:sz="2" w:space="0"/>
              <w:bottom w:val="single" w:color="000000" w:sz="10" w:space="0"/>
              <w:right w:val="single" w:color="FFFFFF" w:sz="2" w:space="0"/>
            </w:tcBorders>
            <w:vAlign w:val="top"/>
          </w:tcPr>
          <w:p w14:paraId="2A80A6C9">
            <w:pPr>
              <w:pStyle w:val="594"/>
              <w:spacing w:line="268" w:lineRule="auto"/>
            </w:pPr>
          </w:p>
          <w:p w14:paraId="7C955B09">
            <w:pPr>
              <w:pStyle w:val="594"/>
              <w:spacing w:line="269" w:lineRule="auto"/>
            </w:pPr>
          </w:p>
          <w:p w14:paraId="4BE88EFC">
            <w:pPr>
              <w:spacing w:before="62" w:line="205" w:lineRule="auto"/>
              <w:ind w:left="969"/>
              <w:rPr>
                <w:rFonts w:ascii="宋体" w:hAnsi="宋体" w:eastAsia="宋体" w:cs="宋体"/>
                <w:sz w:val="19"/>
                <w:szCs w:val="19"/>
              </w:rPr>
            </w:pPr>
            <w:r>
              <w:rPr>
                <w:rFonts w:ascii="宋体" w:hAnsi="宋体" w:eastAsia="宋体" w:cs="宋体"/>
                <w:spacing w:val="-6"/>
                <w:sz w:val="19"/>
                <w:szCs w:val="19"/>
              </w:rPr>
              <w:t>第</w:t>
            </w:r>
            <w:r>
              <w:rPr>
                <w:rFonts w:ascii="宋体" w:hAnsi="宋体" w:eastAsia="宋体" w:cs="宋体"/>
                <w:spacing w:val="27"/>
                <w:sz w:val="19"/>
                <w:szCs w:val="19"/>
              </w:rPr>
              <w:t xml:space="preserve"> </w:t>
            </w:r>
            <w:r>
              <w:rPr>
                <w:rFonts w:ascii="宋体" w:hAnsi="宋体" w:eastAsia="宋体" w:cs="宋体"/>
                <w:spacing w:val="-6"/>
                <w:sz w:val="19"/>
                <w:szCs w:val="19"/>
              </w:rPr>
              <w:t>1</w:t>
            </w:r>
            <w:r>
              <w:rPr>
                <w:rFonts w:ascii="宋体" w:hAnsi="宋体" w:eastAsia="宋体" w:cs="宋体"/>
                <w:spacing w:val="27"/>
                <w:sz w:val="19"/>
                <w:szCs w:val="19"/>
              </w:rPr>
              <w:t xml:space="preserve"> </w:t>
            </w:r>
            <w:r>
              <w:rPr>
                <w:rFonts w:ascii="宋体" w:hAnsi="宋体" w:eastAsia="宋体" w:cs="宋体"/>
                <w:spacing w:val="-6"/>
                <w:sz w:val="19"/>
                <w:szCs w:val="19"/>
              </w:rPr>
              <w:t>页</w:t>
            </w:r>
            <w:r>
              <w:rPr>
                <w:rFonts w:ascii="宋体" w:hAnsi="宋体" w:eastAsia="宋体" w:cs="宋体"/>
                <w:spacing w:val="10"/>
                <w:sz w:val="19"/>
                <w:szCs w:val="19"/>
              </w:rPr>
              <w:t xml:space="preserve">  </w:t>
            </w:r>
            <w:r>
              <w:rPr>
                <w:rFonts w:ascii="宋体" w:hAnsi="宋体" w:eastAsia="宋体" w:cs="宋体"/>
                <w:spacing w:val="-6"/>
                <w:sz w:val="19"/>
                <w:szCs w:val="19"/>
              </w:rPr>
              <w:t>共</w:t>
            </w:r>
            <w:r>
              <w:rPr>
                <w:rFonts w:ascii="宋体" w:hAnsi="宋体" w:eastAsia="宋体" w:cs="宋体"/>
                <w:spacing w:val="27"/>
                <w:sz w:val="19"/>
                <w:szCs w:val="19"/>
              </w:rPr>
              <w:t xml:space="preserve"> </w:t>
            </w:r>
            <w:r>
              <w:rPr>
                <w:rFonts w:ascii="宋体" w:hAnsi="宋体" w:eastAsia="宋体" w:cs="宋体"/>
                <w:spacing w:val="-6"/>
                <w:sz w:val="19"/>
                <w:szCs w:val="19"/>
              </w:rPr>
              <w:t>1</w:t>
            </w:r>
            <w:r>
              <w:rPr>
                <w:rFonts w:ascii="宋体" w:hAnsi="宋体" w:eastAsia="宋体" w:cs="宋体"/>
                <w:spacing w:val="26"/>
                <w:sz w:val="19"/>
                <w:szCs w:val="19"/>
              </w:rPr>
              <w:t xml:space="preserve"> </w:t>
            </w:r>
            <w:r>
              <w:rPr>
                <w:rFonts w:ascii="宋体" w:hAnsi="宋体" w:eastAsia="宋体" w:cs="宋体"/>
                <w:spacing w:val="-6"/>
                <w:sz w:val="19"/>
                <w:szCs w:val="19"/>
              </w:rPr>
              <w:t>页</w:t>
            </w:r>
          </w:p>
        </w:tc>
      </w:tr>
      <w:tr w14:paraId="182F0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823" w:type="dxa"/>
            <w:vMerge w:val="restart"/>
            <w:tcBorders>
              <w:top w:val="single" w:color="000000" w:sz="10" w:space="0"/>
              <w:left w:val="single" w:color="000000" w:sz="10" w:space="0"/>
              <w:bottom w:val="nil"/>
            </w:tcBorders>
            <w:vAlign w:val="top"/>
          </w:tcPr>
          <w:p w14:paraId="69EF369E">
            <w:pPr>
              <w:spacing w:before="293" w:line="231" w:lineRule="auto"/>
              <w:ind w:left="206"/>
              <w:rPr>
                <w:rFonts w:ascii="宋体" w:hAnsi="宋体" w:eastAsia="宋体" w:cs="宋体"/>
                <w:sz w:val="19"/>
                <w:szCs w:val="19"/>
              </w:rPr>
            </w:pPr>
            <w:r>
              <w:rPr>
                <w:rFonts w:ascii="宋体" w:hAnsi="宋体" w:eastAsia="宋体" w:cs="宋体"/>
                <w:spacing w:val="3"/>
                <w:sz w:val="19"/>
                <w:szCs w:val="19"/>
              </w:rPr>
              <w:t>序号</w:t>
            </w:r>
          </w:p>
        </w:tc>
        <w:tc>
          <w:tcPr>
            <w:tcW w:w="1403" w:type="dxa"/>
            <w:vMerge w:val="restart"/>
            <w:tcBorders>
              <w:top w:val="single" w:color="000000" w:sz="10" w:space="0"/>
              <w:bottom w:val="nil"/>
            </w:tcBorders>
            <w:vAlign w:val="top"/>
          </w:tcPr>
          <w:p w14:paraId="2508B0C0">
            <w:pPr>
              <w:spacing w:before="292" w:line="230" w:lineRule="auto"/>
              <w:ind w:left="308"/>
              <w:rPr>
                <w:rFonts w:ascii="宋体" w:hAnsi="宋体" w:eastAsia="宋体" w:cs="宋体"/>
                <w:sz w:val="19"/>
                <w:szCs w:val="19"/>
              </w:rPr>
            </w:pPr>
            <w:r>
              <w:rPr>
                <w:rFonts w:ascii="宋体" w:hAnsi="宋体" w:eastAsia="宋体" w:cs="宋体"/>
                <w:spacing w:val="3"/>
                <w:sz w:val="19"/>
                <w:szCs w:val="19"/>
              </w:rPr>
              <w:t>项目编码</w:t>
            </w:r>
          </w:p>
        </w:tc>
        <w:tc>
          <w:tcPr>
            <w:tcW w:w="1448" w:type="dxa"/>
            <w:vMerge w:val="restart"/>
            <w:tcBorders>
              <w:top w:val="single" w:color="000000" w:sz="10" w:space="0"/>
              <w:bottom w:val="nil"/>
            </w:tcBorders>
            <w:vAlign w:val="top"/>
          </w:tcPr>
          <w:p w14:paraId="4E3024EB">
            <w:pPr>
              <w:spacing w:before="293" w:line="230" w:lineRule="auto"/>
              <w:ind w:left="342"/>
              <w:rPr>
                <w:rFonts w:ascii="宋体" w:hAnsi="宋体" w:eastAsia="宋体" w:cs="宋体"/>
                <w:sz w:val="19"/>
                <w:szCs w:val="19"/>
              </w:rPr>
            </w:pPr>
            <w:r>
              <w:rPr>
                <w:rFonts w:ascii="宋体" w:hAnsi="宋体" w:eastAsia="宋体" w:cs="宋体"/>
                <w:spacing w:val="3"/>
                <w:sz w:val="19"/>
                <w:szCs w:val="19"/>
              </w:rPr>
              <w:t>项目名称</w:t>
            </w:r>
          </w:p>
        </w:tc>
        <w:tc>
          <w:tcPr>
            <w:tcW w:w="1508" w:type="dxa"/>
            <w:vMerge w:val="restart"/>
            <w:tcBorders>
              <w:top w:val="single" w:color="000000" w:sz="10" w:space="0"/>
              <w:bottom w:val="nil"/>
            </w:tcBorders>
            <w:vAlign w:val="top"/>
          </w:tcPr>
          <w:p w14:paraId="6F3E00C3">
            <w:pPr>
              <w:spacing w:before="292" w:line="230" w:lineRule="auto"/>
              <w:ind w:left="182"/>
              <w:rPr>
                <w:rFonts w:ascii="宋体" w:hAnsi="宋体" w:eastAsia="宋体" w:cs="宋体"/>
                <w:sz w:val="19"/>
                <w:szCs w:val="19"/>
              </w:rPr>
            </w:pPr>
            <w:r>
              <w:rPr>
                <w:rFonts w:ascii="宋体" w:hAnsi="宋体" w:eastAsia="宋体" w:cs="宋体"/>
                <w:spacing w:val="3"/>
                <w:sz w:val="19"/>
                <w:szCs w:val="19"/>
              </w:rPr>
              <w:t>项目特征描述</w:t>
            </w:r>
          </w:p>
        </w:tc>
        <w:tc>
          <w:tcPr>
            <w:tcW w:w="538" w:type="dxa"/>
            <w:vMerge w:val="restart"/>
            <w:tcBorders>
              <w:top w:val="single" w:color="000000" w:sz="10" w:space="0"/>
              <w:bottom w:val="nil"/>
            </w:tcBorders>
            <w:vAlign w:val="top"/>
          </w:tcPr>
          <w:p w14:paraId="0AD34FE3">
            <w:pPr>
              <w:spacing w:before="187" w:line="210" w:lineRule="auto"/>
              <w:ind w:left="79" w:right="63" w:hanging="1"/>
              <w:rPr>
                <w:rFonts w:ascii="宋体" w:hAnsi="宋体" w:eastAsia="宋体" w:cs="宋体"/>
                <w:sz w:val="19"/>
                <w:szCs w:val="19"/>
              </w:rPr>
            </w:pPr>
            <w:r>
              <w:rPr>
                <w:rFonts w:ascii="宋体" w:hAnsi="宋体" w:eastAsia="宋体" w:cs="宋体"/>
                <w:spacing w:val="3"/>
                <w:sz w:val="19"/>
                <w:szCs w:val="19"/>
              </w:rPr>
              <w:t>计量</w:t>
            </w:r>
            <w:r>
              <w:rPr>
                <w:rFonts w:ascii="宋体" w:hAnsi="宋体" w:eastAsia="宋体" w:cs="宋体"/>
                <w:sz w:val="19"/>
                <w:szCs w:val="19"/>
              </w:rPr>
              <w:t xml:space="preserve"> </w:t>
            </w:r>
            <w:r>
              <w:rPr>
                <w:rFonts w:ascii="宋体" w:hAnsi="宋体" w:eastAsia="宋体" w:cs="宋体"/>
                <w:spacing w:val="2"/>
                <w:sz w:val="19"/>
                <w:szCs w:val="19"/>
              </w:rPr>
              <w:t>单位</w:t>
            </w:r>
          </w:p>
        </w:tc>
        <w:tc>
          <w:tcPr>
            <w:tcW w:w="955" w:type="dxa"/>
            <w:gridSpan w:val="2"/>
            <w:vMerge w:val="restart"/>
            <w:tcBorders>
              <w:top w:val="single" w:color="000000" w:sz="10" w:space="0"/>
              <w:bottom w:val="nil"/>
            </w:tcBorders>
            <w:vAlign w:val="top"/>
          </w:tcPr>
          <w:p w14:paraId="7A6BA6F7">
            <w:pPr>
              <w:spacing w:before="293" w:line="230" w:lineRule="auto"/>
              <w:ind w:left="201"/>
              <w:rPr>
                <w:rFonts w:ascii="宋体" w:hAnsi="宋体" w:eastAsia="宋体" w:cs="宋体"/>
                <w:sz w:val="19"/>
                <w:szCs w:val="19"/>
              </w:rPr>
            </w:pPr>
            <w:r>
              <w:rPr>
                <w:rFonts w:ascii="宋体" w:hAnsi="宋体" w:eastAsia="宋体" w:cs="宋体"/>
                <w:spacing w:val="2"/>
                <w:sz w:val="19"/>
                <w:szCs w:val="19"/>
              </w:rPr>
              <w:t>工程量</w:t>
            </w:r>
          </w:p>
        </w:tc>
        <w:tc>
          <w:tcPr>
            <w:tcW w:w="3736" w:type="dxa"/>
            <w:gridSpan w:val="3"/>
            <w:tcBorders>
              <w:top w:val="single" w:color="000000" w:sz="10" w:space="0"/>
              <w:right w:val="single" w:color="000000" w:sz="10" w:space="0"/>
            </w:tcBorders>
            <w:vAlign w:val="top"/>
          </w:tcPr>
          <w:p w14:paraId="353AFCED">
            <w:pPr>
              <w:spacing w:before="97" w:line="230" w:lineRule="auto"/>
              <w:ind w:left="1386"/>
              <w:rPr>
                <w:rFonts w:ascii="宋体" w:hAnsi="宋体" w:eastAsia="宋体" w:cs="宋体"/>
                <w:sz w:val="19"/>
                <w:szCs w:val="19"/>
              </w:rPr>
            </w:pPr>
            <w:r>
              <w:rPr>
                <w:rFonts w:ascii="宋体" w:hAnsi="宋体" w:eastAsia="宋体" w:cs="宋体"/>
                <w:spacing w:val="2"/>
                <w:sz w:val="19"/>
                <w:szCs w:val="19"/>
              </w:rPr>
              <w:t>金额（元）</w:t>
            </w:r>
          </w:p>
        </w:tc>
      </w:tr>
      <w:tr w14:paraId="47576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823" w:type="dxa"/>
            <w:vMerge w:val="continue"/>
            <w:tcBorders>
              <w:top w:val="nil"/>
              <w:left w:val="single" w:color="000000" w:sz="10" w:space="0"/>
            </w:tcBorders>
            <w:vAlign w:val="top"/>
          </w:tcPr>
          <w:p w14:paraId="50B5737A">
            <w:pPr>
              <w:pStyle w:val="594"/>
            </w:pPr>
          </w:p>
        </w:tc>
        <w:tc>
          <w:tcPr>
            <w:tcW w:w="1403" w:type="dxa"/>
            <w:vMerge w:val="continue"/>
            <w:tcBorders>
              <w:top w:val="nil"/>
            </w:tcBorders>
            <w:vAlign w:val="top"/>
          </w:tcPr>
          <w:p w14:paraId="4EDF2732">
            <w:pPr>
              <w:pStyle w:val="594"/>
            </w:pPr>
          </w:p>
        </w:tc>
        <w:tc>
          <w:tcPr>
            <w:tcW w:w="1448" w:type="dxa"/>
            <w:vMerge w:val="continue"/>
            <w:tcBorders>
              <w:top w:val="nil"/>
            </w:tcBorders>
            <w:vAlign w:val="top"/>
          </w:tcPr>
          <w:p w14:paraId="62879802">
            <w:pPr>
              <w:pStyle w:val="594"/>
            </w:pPr>
          </w:p>
        </w:tc>
        <w:tc>
          <w:tcPr>
            <w:tcW w:w="1508" w:type="dxa"/>
            <w:vMerge w:val="continue"/>
            <w:tcBorders>
              <w:top w:val="nil"/>
            </w:tcBorders>
            <w:vAlign w:val="top"/>
          </w:tcPr>
          <w:p w14:paraId="5FCFA602">
            <w:pPr>
              <w:pStyle w:val="594"/>
            </w:pPr>
          </w:p>
        </w:tc>
        <w:tc>
          <w:tcPr>
            <w:tcW w:w="538" w:type="dxa"/>
            <w:vMerge w:val="continue"/>
            <w:tcBorders>
              <w:top w:val="nil"/>
            </w:tcBorders>
            <w:vAlign w:val="top"/>
          </w:tcPr>
          <w:p w14:paraId="6B544F3A">
            <w:pPr>
              <w:pStyle w:val="594"/>
            </w:pPr>
          </w:p>
        </w:tc>
        <w:tc>
          <w:tcPr>
            <w:tcW w:w="955" w:type="dxa"/>
            <w:gridSpan w:val="2"/>
            <w:vMerge w:val="continue"/>
            <w:tcBorders>
              <w:top w:val="nil"/>
            </w:tcBorders>
            <w:vAlign w:val="top"/>
          </w:tcPr>
          <w:p w14:paraId="6C5E3CFA">
            <w:pPr>
              <w:pStyle w:val="594"/>
            </w:pPr>
          </w:p>
        </w:tc>
        <w:tc>
          <w:tcPr>
            <w:tcW w:w="1106" w:type="dxa"/>
            <w:vAlign w:val="top"/>
          </w:tcPr>
          <w:p w14:paraId="3F9A54D4">
            <w:pPr>
              <w:spacing w:before="76" w:line="228" w:lineRule="auto"/>
              <w:ind w:left="174"/>
              <w:rPr>
                <w:rFonts w:ascii="宋体" w:hAnsi="宋体" w:eastAsia="宋体" w:cs="宋体"/>
                <w:sz w:val="19"/>
                <w:szCs w:val="19"/>
              </w:rPr>
            </w:pPr>
            <w:r>
              <w:rPr>
                <w:rFonts w:ascii="宋体" w:hAnsi="宋体" w:eastAsia="宋体" w:cs="宋体"/>
                <w:spacing w:val="3"/>
                <w:sz w:val="19"/>
                <w:szCs w:val="19"/>
              </w:rPr>
              <w:t>综合单价</w:t>
            </w:r>
          </w:p>
        </w:tc>
        <w:tc>
          <w:tcPr>
            <w:tcW w:w="1270" w:type="dxa"/>
            <w:vAlign w:val="top"/>
          </w:tcPr>
          <w:p w14:paraId="2912BED9">
            <w:pPr>
              <w:spacing w:before="76" w:line="228" w:lineRule="auto"/>
              <w:ind w:left="266"/>
              <w:rPr>
                <w:rFonts w:ascii="宋体" w:hAnsi="宋体" w:eastAsia="宋体" w:cs="宋体"/>
                <w:sz w:val="19"/>
                <w:szCs w:val="19"/>
              </w:rPr>
            </w:pPr>
            <w:r>
              <w:rPr>
                <w:rFonts w:ascii="宋体" w:hAnsi="宋体" w:eastAsia="宋体" w:cs="宋体"/>
                <w:spacing w:val="3"/>
                <w:sz w:val="19"/>
                <w:szCs w:val="19"/>
              </w:rPr>
              <w:t>综合合价</w:t>
            </w:r>
          </w:p>
        </w:tc>
        <w:tc>
          <w:tcPr>
            <w:tcW w:w="1360" w:type="dxa"/>
            <w:tcBorders>
              <w:right w:val="single" w:color="000000" w:sz="10" w:space="0"/>
            </w:tcBorders>
            <w:vAlign w:val="top"/>
          </w:tcPr>
          <w:p w14:paraId="4434A1F7">
            <w:pPr>
              <w:spacing w:before="76" w:line="228" w:lineRule="auto"/>
              <w:ind w:left="102"/>
              <w:rPr>
                <w:rFonts w:ascii="宋体" w:hAnsi="宋体" w:eastAsia="宋体" w:cs="宋体"/>
                <w:sz w:val="19"/>
                <w:szCs w:val="19"/>
              </w:rPr>
            </w:pPr>
            <w:r>
              <w:rPr>
                <w:rFonts w:ascii="宋体" w:hAnsi="宋体" w:eastAsia="宋体" w:cs="宋体"/>
                <w:spacing w:val="4"/>
                <w:sz w:val="19"/>
                <w:szCs w:val="19"/>
              </w:rPr>
              <w:t>其中：暂估价</w:t>
            </w:r>
          </w:p>
        </w:tc>
      </w:tr>
      <w:tr w14:paraId="6ECD1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823" w:type="dxa"/>
            <w:tcBorders>
              <w:left w:val="single" w:color="000000" w:sz="10" w:space="0"/>
            </w:tcBorders>
            <w:vAlign w:val="top"/>
          </w:tcPr>
          <w:p w14:paraId="7E144583">
            <w:pPr>
              <w:pStyle w:val="594"/>
            </w:pPr>
          </w:p>
        </w:tc>
        <w:tc>
          <w:tcPr>
            <w:tcW w:w="1403" w:type="dxa"/>
            <w:vAlign w:val="top"/>
          </w:tcPr>
          <w:p w14:paraId="09B694DA">
            <w:pPr>
              <w:pStyle w:val="594"/>
            </w:pPr>
          </w:p>
        </w:tc>
        <w:tc>
          <w:tcPr>
            <w:tcW w:w="1448" w:type="dxa"/>
            <w:vAlign w:val="top"/>
          </w:tcPr>
          <w:p w14:paraId="747C61A6">
            <w:pPr>
              <w:spacing w:before="80" w:line="230" w:lineRule="auto"/>
              <w:ind w:left="26"/>
              <w:rPr>
                <w:rFonts w:ascii="宋体" w:hAnsi="宋体" w:eastAsia="宋体" w:cs="宋体"/>
                <w:sz w:val="19"/>
                <w:szCs w:val="19"/>
              </w:rPr>
            </w:pPr>
            <w:r>
              <w:rPr>
                <w:rFonts w:ascii="宋体" w:hAnsi="宋体" w:eastAsia="宋体" w:cs="宋体"/>
                <w:spacing w:val="3"/>
                <w:sz w:val="19"/>
                <w:szCs w:val="19"/>
              </w:rPr>
              <w:t>整个项目</w:t>
            </w:r>
          </w:p>
        </w:tc>
        <w:tc>
          <w:tcPr>
            <w:tcW w:w="1508" w:type="dxa"/>
            <w:vAlign w:val="top"/>
          </w:tcPr>
          <w:p w14:paraId="7B263093">
            <w:pPr>
              <w:pStyle w:val="594"/>
            </w:pPr>
          </w:p>
        </w:tc>
        <w:tc>
          <w:tcPr>
            <w:tcW w:w="538" w:type="dxa"/>
            <w:vAlign w:val="top"/>
          </w:tcPr>
          <w:p w14:paraId="2BFB3196">
            <w:pPr>
              <w:pStyle w:val="594"/>
            </w:pPr>
          </w:p>
        </w:tc>
        <w:tc>
          <w:tcPr>
            <w:tcW w:w="955" w:type="dxa"/>
            <w:gridSpan w:val="2"/>
            <w:vAlign w:val="top"/>
          </w:tcPr>
          <w:p w14:paraId="6463DD5D">
            <w:pPr>
              <w:pStyle w:val="594"/>
            </w:pPr>
          </w:p>
        </w:tc>
        <w:tc>
          <w:tcPr>
            <w:tcW w:w="1106" w:type="dxa"/>
            <w:vAlign w:val="top"/>
          </w:tcPr>
          <w:p w14:paraId="53DFA4B2">
            <w:pPr>
              <w:pStyle w:val="594"/>
            </w:pPr>
          </w:p>
        </w:tc>
        <w:tc>
          <w:tcPr>
            <w:tcW w:w="1270" w:type="dxa"/>
            <w:vAlign w:val="top"/>
          </w:tcPr>
          <w:p w14:paraId="1341563A">
            <w:pPr>
              <w:pStyle w:val="594"/>
            </w:pPr>
          </w:p>
        </w:tc>
        <w:tc>
          <w:tcPr>
            <w:tcW w:w="1360" w:type="dxa"/>
            <w:tcBorders>
              <w:right w:val="single" w:color="000000" w:sz="10" w:space="0"/>
            </w:tcBorders>
            <w:vAlign w:val="top"/>
          </w:tcPr>
          <w:p w14:paraId="42A9C4DB">
            <w:pPr>
              <w:pStyle w:val="594"/>
            </w:pPr>
          </w:p>
        </w:tc>
      </w:tr>
      <w:tr w14:paraId="0779F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jc w:val="center"/>
        </w:trPr>
        <w:tc>
          <w:tcPr>
            <w:tcW w:w="823" w:type="dxa"/>
            <w:tcBorders>
              <w:left w:val="single" w:color="000000" w:sz="10" w:space="0"/>
            </w:tcBorders>
            <w:vAlign w:val="top"/>
          </w:tcPr>
          <w:p w14:paraId="15DDB139">
            <w:pPr>
              <w:pStyle w:val="594"/>
            </w:pPr>
          </w:p>
        </w:tc>
        <w:tc>
          <w:tcPr>
            <w:tcW w:w="1403" w:type="dxa"/>
            <w:vAlign w:val="top"/>
          </w:tcPr>
          <w:p w14:paraId="7EA30A28">
            <w:pPr>
              <w:pStyle w:val="594"/>
            </w:pPr>
          </w:p>
        </w:tc>
        <w:tc>
          <w:tcPr>
            <w:tcW w:w="1448" w:type="dxa"/>
            <w:vAlign w:val="top"/>
          </w:tcPr>
          <w:p w14:paraId="46645264">
            <w:pPr>
              <w:spacing w:before="81" w:line="230" w:lineRule="auto"/>
              <w:ind w:left="27"/>
              <w:rPr>
                <w:rFonts w:ascii="宋体" w:hAnsi="宋体" w:eastAsia="宋体" w:cs="宋体"/>
                <w:sz w:val="19"/>
                <w:szCs w:val="19"/>
              </w:rPr>
            </w:pPr>
            <w:r>
              <w:rPr>
                <w:rFonts w:ascii="宋体" w:hAnsi="宋体" w:eastAsia="宋体" w:cs="宋体"/>
                <w:spacing w:val="3"/>
                <w:sz w:val="19"/>
                <w:szCs w:val="19"/>
              </w:rPr>
              <w:t>分部分项合计</w:t>
            </w:r>
          </w:p>
        </w:tc>
        <w:tc>
          <w:tcPr>
            <w:tcW w:w="1508" w:type="dxa"/>
            <w:vAlign w:val="top"/>
          </w:tcPr>
          <w:p w14:paraId="3CC70C6A">
            <w:pPr>
              <w:pStyle w:val="594"/>
            </w:pPr>
          </w:p>
        </w:tc>
        <w:tc>
          <w:tcPr>
            <w:tcW w:w="538" w:type="dxa"/>
            <w:vAlign w:val="top"/>
          </w:tcPr>
          <w:p w14:paraId="34383FCD">
            <w:pPr>
              <w:pStyle w:val="594"/>
            </w:pPr>
          </w:p>
        </w:tc>
        <w:tc>
          <w:tcPr>
            <w:tcW w:w="955" w:type="dxa"/>
            <w:gridSpan w:val="2"/>
            <w:vAlign w:val="top"/>
          </w:tcPr>
          <w:p w14:paraId="42F7F97C">
            <w:pPr>
              <w:pStyle w:val="594"/>
            </w:pPr>
          </w:p>
        </w:tc>
        <w:tc>
          <w:tcPr>
            <w:tcW w:w="1106" w:type="dxa"/>
            <w:vAlign w:val="top"/>
          </w:tcPr>
          <w:p w14:paraId="145B2975">
            <w:pPr>
              <w:pStyle w:val="594"/>
            </w:pPr>
          </w:p>
        </w:tc>
        <w:tc>
          <w:tcPr>
            <w:tcW w:w="1270" w:type="dxa"/>
            <w:vAlign w:val="top"/>
          </w:tcPr>
          <w:p w14:paraId="65AD7DA8">
            <w:pPr>
              <w:pStyle w:val="594"/>
            </w:pPr>
          </w:p>
        </w:tc>
        <w:tc>
          <w:tcPr>
            <w:tcW w:w="1360" w:type="dxa"/>
            <w:tcBorders>
              <w:right w:val="single" w:color="000000" w:sz="10" w:space="0"/>
            </w:tcBorders>
            <w:vAlign w:val="top"/>
          </w:tcPr>
          <w:p w14:paraId="19DED2E0">
            <w:pPr>
              <w:pStyle w:val="594"/>
            </w:pPr>
          </w:p>
        </w:tc>
      </w:tr>
      <w:tr w14:paraId="716EB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jc w:val="center"/>
        </w:trPr>
        <w:tc>
          <w:tcPr>
            <w:tcW w:w="823" w:type="dxa"/>
            <w:tcBorders>
              <w:left w:val="single" w:color="000000" w:sz="10" w:space="0"/>
            </w:tcBorders>
            <w:vAlign w:val="top"/>
          </w:tcPr>
          <w:p w14:paraId="416A5095">
            <w:pPr>
              <w:pStyle w:val="594"/>
            </w:pPr>
          </w:p>
        </w:tc>
        <w:tc>
          <w:tcPr>
            <w:tcW w:w="1403" w:type="dxa"/>
            <w:vAlign w:val="top"/>
          </w:tcPr>
          <w:p w14:paraId="2F04A41F">
            <w:pPr>
              <w:pStyle w:val="594"/>
            </w:pPr>
          </w:p>
        </w:tc>
        <w:tc>
          <w:tcPr>
            <w:tcW w:w="1448" w:type="dxa"/>
            <w:vAlign w:val="top"/>
          </w:tcPr>
          <w:p w14:paraId="68B47FB2">
            <w:pPr>
              <w:spacing w:before="81" w:line="230" w:lineRule="auto"/>
              <w:ind w:left="25"/>
              <w:rPr>
                <w:rFonts w:ascii="宋体" w:hAnsi="宋体" w:eastAsia="宋体" w:cs="宋体"/>
                <w:sz w:val="19"/>
                <w:szCs w:val="19"/>
              </w:rPr>
            </w:pPr>
            <w:r>
              <w:rPr>
                <w:rFonts w:ascii="宋体" w:hAnsi="宋体" w:eastAsia="宋体" w:cs="宋体"/>
                <w:spacing w:val="3"/>
                <w:sz w:val="19"/>
                <w:szCs w:val="19"/>
              </w:rPr>
              <w:t>措施项目</w:t>
            </w:r>
          </w:p>
        </w:tc>
        <w:tc>
          <w:tcPr>
            <w:tcW w:w="1508" w:type="dxa"/>
            <w:vAlign w:val="top"/>
          </w:tcPr>
          <w:p w14:paraId="4D94D296">
            <w:pPr>
              <w:pStyle w:val="594"/>
            </w:pPr>
          </w:p>
        </w:tc>
        <w:tc>
          <w:tcPr>
            <w:tcW w:w="538" w:type="dxa"/>
            <w:vAlign w:val="top"/>
          </w:tcPr>
          <w:p w14:paraId="0E8B25F4">
            <w:pPr>
              <w:pStyle w:val="594"/>
            </w:pPr>
          </w:p>
        </w:tc>
        <w:tc>
          <w:tcPr>
            <w:tcW w:w="955" w:type="dxa"/>
            <w:gridSpan w:val="2"/>
            <w:vAlign w:val="top"/>
          </w:tcPr>
          <w:p w14:paraId="3B1AF267">
            <w:pPr>
              <w:pStyle w:val="594"/>
            </w:pPr>
          </w:p>
        </w:tc>
        <w:tc>
          <w:tcPr>
            <w:tcW w:w="1106" w:type="dxa"/>
            <w:vAlign w:val="top"/>
          </w:tcPr>
          <w:p w14:paraId="7E871A91">
            <w:pPr>
              <w:pStyle w:val="594"/>
            </w:pPr>
          </w:p>
        </w:tc>
        <w:tc>
          <w:tcPr>
            <w:tcW w:w="1270" w:type="dxa"/>
            <w:vAlign w:val="top"/>
          </w:tcPr>
          <w:p w14:paraId="60523239">
            <w:pPr>
              <w:pStyle w:val="594"/>
            </w:pPr>
          </w:p>
        </w:tc>
        <w:tc>
          <w:tcPr>
            <w:tcW w:w="1360" w:type="dxa"/>
            <w:tcBorders>
              <w:right w:val="single" w:color="000000" w:sz="10" w:space="0"/>
            </w:tcBorders>
            <w:vAlign w:val="top"/>
          </w:tcPr>
          <w:p w14:paraId="6F0A5E93">
            <w:pPr>
              <w:pStyle w:val="594"/>
            </w:pPr>
          </w:p>
        </w:tc>
      </w:tr>
      <w:tr w14:paraId="35A3C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823" w:type="dxa"/>
            <w:tcBorders>
              <w:left w:val="single" w:color="000000" w:sz="10" w:space="0"/>
            </w:tcBorders>
            <w:vAlign w:val="top"/>
          </w:tcPr>
          <w:p w14:paraId="7DC3B4E9">
            <w:pPr>
              <w:pStyle w:val="594"/>
            </w:pPr>
          </w:p>
        </w:tc>
        <w:tc>
          <w:tcPr>
            <w:tcW w:w="1403" w:type="dxa"/>
            <w:vAlign w:val="top"/>
          </w:tcPr>
          <w:p w14:paraId="603B72F4">
            <w:pPr>
              <w:pStyle w:val="594"/>
            </w:pPr>
          </w:p>
        </w:tc>
        <w:tc>
          <w:tcPr>
            <w:tcW w:w="1448" w:type="dxa"/>
            <w:vAlign w:val="top"/>
          </w:tcPr>
          <w:p w14:paraId="1ECAA137">
            <w:pPr>
              <w:spacing w:before="82" w:line="228" w:lineRule="auto"/>
              <w:ind w:left="26"/>
              <w:rPr>
                <w:rFonts w:ascii="宋体" w:hAnsi="宋体" w:eastAsia="宋体" w:cs="宋体"/>
                <w:sz w:val="19"/>
                <w:szCs w:val="19"/>
              </w:rPr>
            </w:pPr>
            <w:r>
              <w:rPr>
                <w:rFonts w:ascii="宋体" w:hAnsi="宋体" w:eastAsia="宋体" w:cs="宋体"/>
                <w:spacing w:val="3"/>
                <w:sz w:val="19"/>
                <w:szCs w:val="19"/>
              </w:rPr>
              <w:t>单价措施合计</w:t>
            </w:r>
          </w:p>
        </w:tc>
        <w:tc>
          <w:tcPr>
            <w:tcW w:w="1508" w:type="dxa"/>
            <w:vAlign w:val="top"/>
          </w:tcPr>
          <w:p w14:paraId="47AC0615">
            <w:pPr>
              <w:pStyle w:val="594"/>
            </w:pPr>
          </w:p>
        </w:tc>
        <w:tc>
          <w:tcPr>
            <w:tcW w:w="538" w:type="dxa"/>
            <w:vAlign w:val="top"/>
          </w:tcPr>
          <w:p w14:paraId="1DE192AD">
            <w:pPr>
              <w:pStyle w:val="594"/>
            </w:pPr>
          </w:p>
        </w:tc>
        <w:tc>
          <w:tcPr>
            <w:tcW w:w="955" w:type="dxa"/>
            <w:gridSpan w:val="2"/>
            <w:vAlign w:val="top"/>
          </w:tcPr>
          <w:p w14:paraId="23C7208F">
            <w:pPr>
              <w:pStyle w:val="594"/>
            </w:pPr>
          </w:p>
        </w:tc>
        <w:tc>
          <w:tcPr>
            <w:tcW w:w="1106" w:type="dxa"/>
            <w:vAlign w:val="top"/>
          </w:tcPr>
          <w:p w14:paraId="4D8CCFBE">
            <w:pPr>
              <w:pStyle w:val="594"/>
            </w:pPr>
          </w:p>
        </w:tc>
        <w:tc>
          <w:tcPr>
            <w:tcW w:w="1270" w:type="dxa"/>
            <w:vAlign w:val="top"/>
          </w:tcPr>
          <w:p w14:paraId="6645690C">
            <w:pPr>
              <w:pStyle w:val="594"/>
            </w:pPr>
          </w:p>
        </w:tc>
        <w:tc>
          <w:tcPr>
            <w:tcW w:w="1360" w:type="dxa"/>
            <w:tcBorders>
              <w:right w:val="single" w:color="000000" w:sz="10" w:space="0"/>
            </w:tcBorders>
            <w:vAlign w:val="top"/>
          </w:tcPr>
          <w:p w14:paraId="6EF662BD">
            <w:pPr>
              <w:pStyle w:val="594"/>
            </w:pPr>
          </w:p>
        </w:tc>
      </w:tr>
      <w:tr w14:paraId="23553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jc w:val="center"/>
        </w:trPr>
        <w:tc>
          <w:tcPr>
            <w:tcW w:w="823" w:type="dxa"/>
            <w:tcBorders>
              <w:left w:val="single" w:color="000000" w:sz="10" w:space="0"/>
            </w:tcBorders>
            <w:vAlign w:val="top"/>
          </w:tcPr>
          <w:p w14:paraId="2761FB69">
            <w:pPr>
              <w:pStyle w:val="594"/>
            </w:pPr>
          </w:p>
        </w:tc>
        <w:tc>
          <w:tcPr>
            <w:tcW w:w="1403" w:type="dxa"/>
            <w:vAlign w:val="top"/>
          </w:tcPr>
          <w:p w14:paraId="126BDD41">
            <w:pPr>
              <w:pStyle w:val="594"/>
            </w:pPr>
          </w:p>
        </w:tc>
        <w:tc>
          <w:tcPr>
            <w:tcW w:w="1448" w:type="dxa"/>
            <w:vAlign w:val="top"/>
          </w:tcPr>
          <w:p w14:paraId="36CB0CDC">
            <w:pPr>
              <w:pStyle w:val="594"/>
            </w:pPr>
          </w:p>
        </w:tc>
        <w:tc>
          <w:tcPr>
            <w:tcW w:w="1508" w:type="dxa"/>
            <w:vAlign w:val="top"/>
          </w:tcPr>
          <w:p w14:paraId="16E68119">
            <w:pPr>
              <w:pStyle w:val="594"/>
            </w:pPr>
          </w:p>
        </w:tc>
        <w:tc>
          <w:tcPr>
            <w:tcW w:w="538" w:type="dxa"/>
            <w:vAlign w:val="top"/>
          </w:tcPr>
          <w:p w14:paraId="531E8E0A">
            <w:pPr>
              <w:pStyle w:val="594"/>
            </w:pPr>
          </w:p>
        </w:tc>
        <w:tc>
          <w:tcPr>
            <w:tcW w:w="955" w:type="dxa"/>
            <w:gridSpan w:val="2"/>
            <w:vAlign w:val="top"/>
          </w:tcPr>
          <w:p w14:paraId="08DB27DF">
            <w:pPr>
              <w:pStyle w:val="594"/>
            </w:pPr>
          </w:p>
        </w:tc>
        <w:tc>
          <w:tcPr>
            <w:tcW w:w="1106" w:type="dxa"/>
            <w:vAlign w:val="top"/>
          </w:tcPr>
          <w:p w14:paraId="0118199C">
            <w:pPr>
              <w:pStyle w:val="594"/>
            </w:pPr>
          </w:p>
        </w:tc>
        <w:tc>
          <w:tcPr>
            <w:tcW w:w="1270" w:type="dxa"/>
            <w:vAlign w:val="top"/>
          </w:tcPr>
          <w:p w14:paraId="37938E68">
            <w:pPr>
              <w:pStyle w:val="594"/>
            </w:pPr>
          </w:p>
        </w:tc>
        <w:tc>
          <w:tcPr>
            <w:tcW w:w="1360" w:type="dxa"/>
            <w:tcBorders>
              <w:right w:val="single" w:color="000000" w:sz="10" w:space="0"/>
            </w:tcBorders>
            <w:vAlign w:val="top"/>
          </w:tcPr>
          <w:p w14:paraId="3AD95398">
            <w:pPr>
              <w:pStyle w:val="594"/>
            </w:pPr>
          </w:p>
        </w:tc>
      </w:tr>
      <w:tr w14:paraId="7AD8D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jc w:val="center"/>
        </w:trPr>
        <w:tc>
          <w:tcPr>
            <w:tcW w:w="823" w:type="dxa"/>
            <w:tcBorders>
              <w:left w:val="single" w:color="000000" w:sz="10" w:space="0"/>
            </w:tcBorders>
            <w:vAlign w:val="top"/>
          </w:tcPr>
          <w:p w14:paraId="1B6C14E6">
            <w:pPr>
              <w:pStyle w:val="594"/>
            </w:pPr>
          </w:p>
        </w:tc>
        <w:tc>
          <w:tcPr>
            <w:tcW w:w="1403" w:type="dxa"/>
            <w:vAlign w:val="top"/>
          </w:tcPr>
          <w:p w14:paraId="109DFA9E">
            <w:pPr>
              <w:pStyle w:val="594"/>
            </w:pPr>
          </w:p>
        </w:tc>
        <w:tc>
          <w:tcPr>
            <w:tcW w:w="1448" w:type="dxa"/>
            <w:vAlign w:val="top"/>
          </w:tcPr>
          <w:p w14:paraId="1A4BB8CB">
            <w:pPr>
              <w:pStyle w:val="594"/>
            </w:pPr>
          </w:p>
        </w:tc>
        <w:tc>
          <w:tcPr>
            <w:tcW w:w="1508" w:type="dxa"/>
            <w:vAlign w:val="top"/>
          </w:tcPr>
          <w:p w14:paraId="1631E65B">
            <w:pPr>
              <w:pStyle w:val="594"/>
            </w:pPr>
          </w:p>
        </w:tc>
        <w:tc>
          <w:tcPr>
            <w:tcW w:w="538" w:type="dxa"/>
            <w:vAlign w:val="top"/>
          </w:tcPr>
          <w:p w14:paraId="1A04D778">
            <w:pPr>
              <w:pStyle w:val="594"/>
            </w:pPr>
          </w:p>
        </w:tc>
        <w:tc>
          <w:tcPr>
            <w:tcW w:w="955" w:type="dxa"/>
            <w:gridSpan w:val="2"/>
            <w:vAlign w:val="top"/>
          </w:tcPr>
          <w:p w14:paraId="240AAA9E">
            <w:pPr>
              <w:pStyle w:val="594"/>
            </w:pPr>
          </w:p>
        </w:tc>
        <w:tc>
          <w:tcPr>
            <w:tcW w:w="1106" w:type="dxa"/>
            <w:vAlign w:val="top"/>
          </w:tcPr>
          <w:p w14:paraId="0705FCF4">
            <w:pPr>
              <w:pStyle w:val="594"/>
            </w:pPr>
          </w:p>
        </w:tc>
        <w:tc>
          <w:tcPr>
            <w:tcW w:w="1270" w:type="dxa"/>
            <w:vAlign w:val="top"/>
          </w:tcPr>
          <w:p w14:paraId="613698DA">
            <w:pPr>
              <w:pStyle w:val="594"/>
            </w:pPr>
          </w:p>
        </w:tc>
        <w:tc>
          <w:tcPr>
            <w:tcW w:w="1360" w:type="dxa"/>
            <w:tcBorders>
              <w:right w:val="single" w:color="000000" w:sz="10" w:space="0"/>
            </w:tcBorders>
            <w:vAlign w:val="top"/>
          </w:tcPr>
          <w:p w14:paraId="2CA60E12">
            <w:pPr>
              <w:pStyle w:val="594"/>
            </w:pPr>
          </w:p>
        </w:tc>
      </w:tr>
      <w:tr w14:paraId="7BC43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823" w:type="dxa"/>
            <w:tcBorders>
              <w:left w:val="single" w:color="000000" w:sz="10" w:space="0"/>
            </w:tcBorders>
            <w:vAlign w:val="top"/>
          </w:tcPr>
          <w:p w14:paraId="2AD663FC">
            <w:pPr>
              <w:pStyle w:val="594"/>
            </w:pPr>
          </w:p>
        </w:tc>
        <w:tc>
          <w:tcPr>
            <w:tcW w:w="1403" w:type="dxa"/>
            <w:vAlign w:val="top"/>
          </w:tcPr>
          <w:p w14:paraId="06F76D7A">
            <w:pPr>
              <w:pStyle w:val="594"/>
            </w:pPr>
          </w:p>
        </w:tc>
        <w:tc>
          <w:tcPr>
            <w:tcW w:w="1448" w:type="dxa"/>
            <w:vAlign w:val="top"/>
          </w:tcPr>
          <w:p w14:paraId="39EA2E5E">
            <w:pPr>
              <w:pStyle w:val="594"/>
            </w:pPr>
          </w:p>
        </w:tc>
        <w:tc>
          <w:tcPr>
            <w:tcW w:w="1508" w:type="dxa"/>
            <w:vAlign w:val="top"/>
          </w:tcPr>
          <w:p w14:paraId="547B401C">
            <w:pPr>
              <w:pStyle w:val="594"/>
            </w:pPr>
          </w:p>
        </w:tc>
        <w:tc>
          <w:tcPr>
            <w:tcW w:w="538" w:type="dxa"/>
            <w:vAlign w:val="top"/>
          </w:tcPr>
          <w:p w14:paraId="0F01B64E">
            <w:pPr>
              <w:pStyle w:val="594"/>
            </w:pPr>
          </w:p>
        </w:tc>
        <w:tc>
          <w:tcPr>
            <w:tcW w:w="955" w:type="dxa"/>
            <w:gridSpan w:val="2"/>
            <w:vAlign w:val="top"/>
          </w:tcPr>
          <w:p w14:paraId="351B03E9">
            <w:pPr>
              <w:pStyle w:val="594"/>
            </w:pPr>
          </w:p>
        </w:tc>
        <w:tc>
          <w:tcPr>
            <w:tcW w:w="1106" w:type="dxa"/>
            <w:vAlign w:val="top"/>
          </w:tcPr>
          <w:p w14:paraId="4F8ABA1E">
            <w:pPr>
              <w:pStyle w:val="594"/>
            </w:pPr>
          </w:p>
        </w:tc>
        <w:tc>
          <w:tcPr>
            <w:tcW w:w="1270" w:type="dxa"/>
            <w:vAlign w:val="top"/>
          </w:tcPr>
          <w:p w14:paraId="4F450843">
            <w:pPr>
              <w:pStyle w:val="594"/>
            </w:pPr>
          </w:p>
        </w:tc>
        <w:tc>
          <w:tcPr>
            <w:tcW w:w="1360" w:type="dxa"/>
            <w:tcBorders>
              <w:right w:val="single" w:color="000000" w:sz="10" w:space="0"/>
            </w:tcBorders>
            <w:vAlign w:val="top"/>
          </w:tcPr>
          <w:p w14:paraId="54F359D2">
            <w:pPr>
              <w:pStyle w:val="594"/>
            </w:pPr>
          </w:p>
        </w:tc>
      </w:tr>
      <w:tr w14:paraId="4D9B7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823" w:type="dxa"/>
            <w:tcBorders>
              <w:left w:val="single" w:color="000000" w:sz="10" w:space="0"/>
            </w:tcBorders>
            <w:vAlign w:val="top"/>
          </w:tcPr>
          <w:p w14:paraId="52FDC3D5">
            <w:pPr>
              <w:pStyle w:val="594"/>
            </w:pPr>
          </w:p>
        </w:tc>
        <w:tc>
          <w:tcPr>
            <w:tcW w:w="1403" w:type="dxa"/>
            <w:vAlign w:val="top"/>
          </w:tcPr>
          <w:p w14:paraId="020D6966">
            <w:pPr>
              <w:pStyle w:val="594"/>
            </w:pPr>
          </w:p>
        </w:tc>
        <w:tc>
          <w:tcPr>
            <w:tcW w:w="1448" w:type="dxa"/>
            <w:vAlign w:val="top"/>
          </w:tcPr>
          <w:p w14:paraId="3669DAFE">
            <w:pPr>
              <w:pStyle w:val="594"/>
            </w:pPr>
          </w:p>
        </w:tc>
        <w:tc>
          <w:tcPr>
            <w:tcW w:w="1508" w:type="dxa"/>
            <w:vAlign w:val="top"/>
          </w:tcPr>
          <w:p w14:paraId="02E17555">
            <w:pPr>
              <w:pStyle w:val="594"/>
            </w:pPr>
          </w:p>
        </w:tc>
        <w:tc>
          <w:tcPr>
            <w:tcW w:w="538" w:type="dxa"/>
            <w:vAlign w:val="top"/>
          </w:tcPr>
          <w:p w14:paraId="7B9A0DF1">
            <w:pPr>
              <w:pStyle w:val="594"/>
            </w:pPr>
          </w:p>
        </w:tc>
        <w:tc>
          <w:tcPr>
            <w:tcW w:w="955" w:type="dxa"/>
            <w:gridSpan w:val="2"/>
            <w:vAlign w:val="top"/>
          </w:tcPr>
          <w:p w14:paraId="15F05068">
            <w:pPr>
              <w:pStyle w:val="594"/>
            </w:pPr>
          </w:p>
        </w:tc>
        <w:tc>
          <w:tcPr>
            <w:tcW w:w="1106" w:type="dxa"/>
            <w:vAlign w:val="top"/>
          </w:tcPr>
          <w:p w14:paraId="6533008F">
            <w:pPr>
              <w:pStyle w:val="594"/>
            </w:pPr>
          </w:p>
        </w:tc>
        <w:tc>
          <w:tcPr>
            <w:tcW w:w="1270" w:type="dxa"/>
            <w:vAlign w:val="top"/>
          </w:tcPr>
          <w:p w14:paraId="386930EB">
            <w:pPr>
              <w:pStyle w:val="594"/>
            </w:pPr>
          </w:p>
        </w:tc>
        <w:tc>
          <w:tcPr>
            <w:tcW w:w="1360" w:type="dxa"/>
            <w:tcBorders>
              <w:right w:val="single" w:color="000000" w:sz="10" w:space="0"/>
            </w:tcBorders>
            <w:vAlign w:val="top"/>
          </w:tcPr>
          <w:p w14:paraId="7D04FFDB">
            <w:pPr>
              <w:pStyle w:val="594"/>
            </w:pPr>
          </w:p>
        </w:tc>
      </w:tr>
      <w:tr w14:paraId="00C05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jc w:val="center"/>
        </w:trPr>
        <w:tc>
          <w:tcPr>
            <w:tcW w:w="823" w:type="dxa"/>
            <w:tcBorders>
              <w:left w:val="single" w:color="000000" w:sz="10" w:space="0"/>
            </w:tcBorders>
            <w:vAlign w:val="top"/>
          </w:tcPr>
          <w:p w14:paraId="4F2BCC12">
            <w:pPr>
              <w:pStyle w:val="594"/>
            </w:pPr>
          </w:p>
        </w:tc>
        <w:tc>
          <w:tcPr>
            <w:tcW w:w="1403" w:type="dxa"/>
            <w:vAlign w:val="top"/>
          </w:tcPr>
          <w:p w14:paraId="4B8FCC62">
            <w:pPr>
              <w:pStyle w:val="594"/>
            </w:pPr>
          </w:p>
        </w:tc>
        <w:tc>
          <w:tcPr>
            <w:tcW w:w="1448" w:type="dxa"/>
            <w:vAlign w:val="top"/>
          </w:tcPr>
          <w:p w14:paraId="5A9C5E30">
            <w:pPr>
              <w:pStyle w:val="594"/>
            </w:pPr>
          </w:p>
        </w:tc>
        <w:tc>
          <w:tcPr>
            <w:tcW w:w="1508" w:type="dxa"/>
            <w:vAlign w:val="top"/>
          </w:tcPr>
          <w:p w14:paraId="75E1295C">
            <w:pPr>
              <w:pStyle w:val="594"/>
            </w:pPr>
          </w:p>
        </w:tc>
        <w:tc>
          <w:tcPr>
            <w:tcW w:w="538" w:type="dxa"/>
            <w:vAlign w:val="top"/>
          </w:tcPr>
          <w:p w14:paraId="5C297BE7">
            <w:pPr>
              <w:pStyle w:val="594"/>
            </w:pPr>
          </w:p>
        </w:tc>
        <w:tc>
          <w:tcPr>
            <w:tcW w:w="955" w:type="dxa"/>
            <w:gridSpan w:val="2"/>
            <w:vAlign w:val="top"/>
          </w:tcPr>
          <w:p w14:paraId="5235E72E">
            <w:pPr>
              <w:pStyle w:val="594"/>
            </w:pPr>
          </w:p>
        </w:tc>
        <w:tc>
          <w:tcPr>
            <w:tcW w:w="1106" w:type="dxa"/>
            <w:vAlign w:val="top"/>
          </w:tcPr>
          <w:p w14:paraId="132E6CAA">
            <w:pPr>
              <w:pStyle w:val="594"/>
            </w:pPr>
          </w:p>
        </w:tc>
        <w:tc>
          <w:tcPr>
            <w:tcW w:w="1270" w:type="dxa"/>
            <w:vAlign w:val="top"/>
          </w:tcPr>
          <w:p w14:paraId="51FDEB72">
            <w:pPr>
              <w:pStyle w:val="594"/>
            </w:pPr>
          </w:p>
        </w:tc>
        <w:tc>
          <w:tcPr>
            <w:tcW w:w="1360" w:type="dxa"/>
            <w:tcBorders>
              <w:right w:val="single" w:color="000000" w:sz="10" w:space="0"/>
            </w:tcBorders>
            <w:vAlign w:val="top"/>
          </w:tcPr>
          <w:p w14:paraId="12C9ABCC">
            <w:pPr>
              <w:pStyle w:val="594"/>
            </w:pPr>
          </w:p>
        </w:tc>
      </w:tr>
      <w:tr w14:paraId="34A9F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jc w:val="center"/>
        </w:trPr>
        <w:tc>
          <w:tcPr>
            <w:tcW w:w="823" w:type="dxa"/>
            <w:tcBorders>
              <w:left w:val="single" w:color="000000" w:sz="10" w:space="0"/>
            </w:tcBorders>
            <w:vAlign w:val="top"/>
          </w:tcPr>
          <w:p w14:paraId="07CD95ED">
            <w:pPr>
              <w:pStyle w:val="594"/>
            </w:pPr>
          </w:p>
        </w:tc>
        <w:tc>
          <w:tcPr>
            <w:tcW w:w="1403" w:type="dxa"/>
            <w:vAlign w:val="top"/>
          </w:tcPr>
          <w:p w14:paraId="52A15751">
            <w:pPr>
              <w:pStyle w:val="594"/>
            </w:pPr>
          </w:p>
        </w:tc>
        <w:tc>
          <w:tcPr>
            <w:tcW w:w="1448" w:type="dxa"/>
            <w:vAlign w:val="top"/>
          </w:tcPr>
          <w:p w14:paraId="01E2B30E">
            <w:pPr>
              <w:pStyle w:val="594"/>
            </w:pPr>
          </w:p>
        </w:tc>
        <w:tc>
          <w:tcPr>
            <w:tcW w:w="1508" w:type="dxa"/>
            <w:vAlign w:val="top"/>
          </w:tcPr>
          <w:p w14:paraId="75301A10">
            <w:pPr>
              <w:pStyle w:val="594"/>
            </w:pPr>
          </w:p>
        </w:tc>
        <w:tc>
          <w:tcPr>
            <w:tcW w:w="538" w:type="dxa"/>
            <w:vAlign w:val="top"/>
          </w:tcPr>
          <w:p w14:paraId="73955079">
            <w:pPr>
              <w:pStyle w:val="594"/>
            </w:pPr>
          </w:p>
        </w:tc>
        <w:tc>
          <w:tcPr>
            <w:tcW w:w="955" w:type="dxa"/>
            <w:gridSpan w:val="2"/>
            <w:vAlign w:val="top"/>
          </w:tcPr>
          <w:p w14:paraId="46B122B3">
            <w:pPr>
              <w:pStyle w:val="594"/>
            </w:pPr>
          </w:p>
        </w:tc>
        <w:tc>
          <w:tcPr>
            <w:tcW w:w="1106" w:type="dxa"/>
            <w:vAlign w:val="top"/>
          </w:tcPr>
          <w:p w14:paraId="511DA722">
            <w:pPr>
              <w:pStyle w:val="594"/>
            </w:pPr>
          </w:p>
        </w:tc>
        <w:tc>
          <w:tcPr>
            <w:tcW w:w="1270" w:type="dxa"/>
            <w:vAlign w:val="top"/>
          </w:tcPr>
          <w:p w14:paraId="23CA4D70">
            <w:pPr>
              <w:pStyle w:val="594"/>
            </w:pPr>
          </w:p>
        </w:tc>
        <w:tc>
          <w:tcPr>
            <w:tcW w:w="1360" w:type="dxa"/>
            <w:tcBorders>
              <w:right w:val="single" w:color="000000" w:sz="10" w:space="0"/>
            </w:tcBorders>
            <w:vAlign w:val="top"/>
          </w:tcPr>
          <w:p w14:paraId="38112486">
            <w:pPr>
              <w:pStyle w:val="594"/>
            </w:pPr>
          </w:p>
        </w:tc>
      </w:tr>
      <w:tr w14:paraId="4DA53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jc w:val="center"/>
        </w:trPr>
        <w:tc>
          <w:tcPr>
            <w:tcW w:w="823" w:type="dxa"/>
            <w:tcBorders>
              <w:left w:val="single" w:color="000000" w:sz="10" w:space="0"/>
            </w:tcBorders>
            <w:vAlign w:val="top"/>
          </w:tcPr>
          <w:p w14:paraId="5278E47D">
            <w:pPr>
              <w:pStyle w:val="594"/>
            </w:pPr>
          </w:p>
        </w:tc>
        <w:tc>
          <w:tcPr>
            <w:tcW w:w="1403" w:type="dxa"/>
            <w:vAlign w:val="top"/>
          </w:tcPr>
          <w:p w14:paraId="45DA8D74">
            <w:pPr>
              <w:pStyle w:val="594"/>
            </w:pPr>
          </w:p>
        </w:tc>
        <w:tc>
          <w:tcPr>
            <w:tcW w:w="1448" w:type="dxa"/>
            <w:vAlign w:val="top"/>
          </w:tcPr>
          <w:p w14:paraId="0F2E6CB9">
            <w:pPr>
              <w:pStyle w:val="594"/>
            </w:pPr>
          </w:p>
        </w:tc>
        <w:tc>
          <w:tcPr>
            <w:tcW w:w="1508" w:type="dxa"/>
            <w:vAlign w:val="top"/>
          </w:tcPr>
          <w:p w14:paraId="28AF8065">
            <w:pPr>
              <w:pStyle w:val="594"/>
            </w:pPr>
          </w:p>
        </w:tc>
        <w:tc>
          <w:tcPr>
            <w:tcW w:w="538" w:type="dxa"/>
            <w:vAlign w:val="top"/>
          </w:tcPr>
          <w:p w14:paraId="2A1DD0C9">
            <w:pPr>
              <w:pStyle w:val="594"/>
            </w:pPr>
          </w:p>
        </w:tc>
        <w:tc>
          <w:tcPr>
            <w:tcW w:w="955" w:type="dxa"/>
            <w:gridSpan w:val="2"/>
            <w:vAlign w:val="top"/>
          </w:tcPr>
          <w:p w14:paraId="1D4B7D4B">
            <w:pPr>
              <w:pStyle w:val="594"/>
            </w:pPr>
          </w:p>
        </w:tc>
        <w:tc>
          <w:tcPr>
            <w:tcW w:w="1106" w:type="dxa"/>
            <w:vAlign w:val="top"/>
          </w:tcPr>
          <w:p w14:paraId="09BB28D8">
            <w:pPr>
              <w:pStyle w:val="594"/>
            </w:pPr>
          </w:p>
        </w:tc>
        <w:tc>
          <w:tcPr>
            <w:tcW w:w="1270" w:type="dxa"/>
            <w:vAlign w:val="top"/>
          </w:tcPr>
          <w:p w14:paraId="30D8544F">
            <w:pPr>
              <w:pStyle w:val="594"/>
            </w:pPr>
          </w:p>
        </w:tc>
        <w:tc>
          <w:tcPr>
            <w:tcW w:w="1360" w:type="dxa"/>
            <w:tcBorders>
              <w:right w:val="single" w:color="000000" w:sz="10" w:space="0"/>
            </w:tcBorders>
            <w:vAlign w:val="top"/>
          </w:tcPr>
          <w:p w14:paraId="20609077">
            <w:pPr>
              <w:pStyle w:val="594"/>
            </w:pPr>
          </w:p>
        </w:tc>
      </w:tr>
      <w:tr w14:paraId="3D9E0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jc w:val="center"/>
        </w:trPr>
        <w:tc>
          <w:tcPr>
            <w:tcW w:w="823" w:type="dxa"/>
            <w:tcBorders>
              <w:left w:val="single" w:color="000000" w:sz="10" w:space="0"/>
            </w:tcBorders>
            <w:vAlign w:val="top"/>
          </w:tcPr>
          <w:p w14:paraId="10C897A3">
            <w:pPr>
              <w:pStyle w:val="594"/>
            </w:pPr>
          </w:p>
        </w:tc>
        <w:tc>
          <w:tcPr>
            <w:tcW w:w="1403" w:type="dxa"/>
            <w:vAlign w:val="top"/>
          </w:tcPr>
          <w:p w14:paraId="04FCDF43">
            <w:pPr>
              <w:pStyle w:val="594"/>
            </w:pPr>
          </w:p>
        </w:tc>
        <w:tc>
          <w:tcPr>
            <w:tcW w:w="1448" w:type="dxa"/>
            <w:vAlign w:val="top"/>
          </w:tcPr>
          <w:p w14:paraId="651E26CC">
            <w:pPr>
              <w:pStyle w:val="594"/>
            </w:pPr>
          </w:p>
        </w:tc>
        <w:tc>
          <w:tcPr>
            <w:tcW w:w="1508" w:type="dxa"/>
            <w:vAlign w:val="top"/>
          </w:tcPr>
          <w:p w14:paraId="77FD8FE5">
            <w:pPr>
              <w:pStyle w:val="594"/>
            </w:pPr>
          </w:p>
        </w:tc>
        <w:tc>
          <w:tcPr>
            <w:tcW w:w="538" w:type="dxa"/>
            <w:vAlign w:val="top"/>
          </w:tcPr>
          <w:p w14:paraId="7C483F6B">
            <w:pPr>
              <w:pStyle w:val="594"/>
            </w:pPr>
          </w:p>
        </w:tc>
        <w:tc>
          <w:tcPr>
            <w:tcW w:w="955" w:type="dxa"/>
            <w:gridSpan w:val="2"/>
            <w:vAlign w:val="top"/>
          </w:tcPr>
          <w:p w14:paraId="2712F95F">
            <w:pPr>
              <w:pStyle w:val="594"/>
            </w:pPr>
          </w:p>
        </w:tc>
        <w:tc>
          <w:tcPr>
            <w:tcW w:w="1106" w:type="dxa"/>
            <w:vAlign w:val="top"/>
          </w:tcPr>
          <w:p w14:paraId="26136C18">
            <w:pPr>
              <w:pStyle w:val="594"/>
            </w:pPr>
          </w:p>
        </w:tc>
        <w:tc>
          <w:tcPr>
            <w:tcW w:w="1270" w:type="dxa"/>
            <w:vAlign w:val="top"/>
          </w:tcPr>
          <w:p w14:paraId="4B6D1C53">
            <w:pPr>
              <w:pStyle w:val="594"/>
            </w:pPr>
          </w:p>
        </w:tc>
        <w:tc>
          <w:tcPr>
            <w:tcW w:w="1360" w:type="dxa"/>
            <w:tcBorders>
              <w:right w:val="single" w:color="000000" w:sz="10" w:space="0"/>
            </w:tcBorders>
            <w:vAlign w:val="top"/>
          </w:tcPr>
          <w:p w14:paraId="5EEFE66D">
            <w:pPr>
              <w:pStyle w:val="594"/>
            </w:pPr>
          </w:p>
        </w:tc>
      </w:tr>
      <w:tr w14:paraId="6E8CD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823" w:type="dxa"/>
            <w:tcBorders>
              <w:left w:val="single" w:color="000000" w:sz="10" w:space="0"/>
            </w:tcBorders>
            <w:vAlign w:val="top"/>
          </w:tcPr>
          <w:p w14:paraId="3E2DD849">
            <w:pPr>
              <w:pStyle w:val="594"/>
            </w:pPr>
          </w:p>
        </w:tc>
        <w:tc>
          <w:tcPr>
            <w:tcW w:w="1403" w:type="dxa"/>
            <w:vAlign w:val="top"/>
          </w:tcPr>
          <w:p w14:paraId="502D10F0">
            <w:pPr>
              <w:pStyle w:val="594"/>
            </w:pPr>
          </w:p>
        </w:tc>
        <w:tc>
          <w:tcPr>
            <w:tcW w:w="1448" w:type="dxa"/>
            <w:vAlign w:val="top"/>
          </w:tcPr>
          <w:p w14:paraId="77EC1147">
            <w:pPr>
              <w:pStyle w:val="594"/>
            </w:pPr>
          </w:p>
        </w:tc>
        <w:tc>
          <w:tcPr>
            <w:tcW w:w="1508" w:type="dxa"/>
            <w:vAlign w:val="top"/>
          </w:tcPr>
          <w:p w14:paraId="1B998046">
            <w:pPr>
              <w:pStyle w:val="594"/>
            </w:pPr>
          </w:p>
        </w:tc>
        <w:tc>
          <w:tcPr>
            <w:tcW w:w="538" w:type="dxa"/>
            <w:vAlign w:val="top"/>
          </w:tcPr>
          <w:p w14:paraId="550C47C3">
            <w:pPr>
              <w:pStyle w:val="594"/>
            </w:pPr>
          </w:p>
        </w:tc>
        <w:tc>
          <w:tcPr>
            <w:tcW w:w="955" w:type="dxa"/>
            <w:gridSpan w:val="2"/>
            <w:vAlign w:val="top"/>
          </w:tcPr>
          <w:p w14:paraId="7B1B383B">
            <w:pPr>
              <w:pStyle w:val="594"/>
            </w:pPr>
          </w:p>
        </w:tc>
        <w:tc>
          <w:tcPr>
            <w:tcW w:w="1106" w:type="dxa"/>
            <w:vAlign w:val="top"/>
          </w:tcPr>
          <w:p w14:paraId="2D68A6C1">
            <w:pPr>
              <w:pStyle w:val="594"/>
            </w:pPr>
          </w:p>
        </w:tc>
        <w:tc>
          <w:tcPr>
            <w:tcW w:w="1270" w:type="dxa"/>
            <w:vAlign w:val="top"/>
          </w:tcPr>
          <w:p w14:paraId="32A9197A">
            <w:pPr>
              <w:pStyle w:val="594"/>
            </w:pPr>
          </w:p>
        </w:tc>
        <w:tc>
          <w:tcPr>
            <w:tcW w:w="1360" w:type="dxa"/>
            <w:tcBorders>
              <w:right w:val="single" w:color="000000" w:sz="10" w:space="0"/>
            </w:tcBorders>
            <w:vAlign w:val="top"/>
          </w:tcPr>
          <w:p w14:paraId="3F173B26">
            <w:pPr>
              <w:pStyle w:val="594"/>
            </w:pPr>
          </w:p>
        </w:tc>
      </w:tr>
      <w:tr w14:paraId="78FA4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jc w:val="center"/>
        </w:trPr>
        <w:tc>
          <w:tcPr>
            <w:tcW w:w="823" w:type="dxa"/>
            <w:tcBorders>
              <w:left w:val="single" w:color="000000" w:sz="10" w:space="0"/>
            </w:tcBorders>
            <w:vAlign w:val="top"/>
          </w:tcPr>
          <w:p w14:paraId="084FF7A9">
            <w:pPr>
              <w:pStyle w:val="594"/>
            </w:pPr>
          </w:p>
        </w:tc>
        <w:tc>
          <w:tcPr>
            <w:tcW w:w="1403" w:type="dxa"/>
            <w:vAlign w:val="top"/>
          </w:tcPr>
          <w:p w14:paraId="5486AC5F">
            <w:pPr>
              <w:pStyle w:val="594"/>
            </w:pPr>
          </w:p>
        </w:tc>
        <w:tc>
          <w:tcPr>
            <w:tcW w:w="1448" w:type="dxa"/>
            <w:vAlign w:val="top"/>
          </w:tcPr>
          <w:p w14:paraId="104197AC">
            <w:pPr>
              <w:pStyle w:val="594"/>
            </w:pPr>
          </w:p>
        </w:tc>
        <w:tc>
          <w:tcPr>
            <w:tcW w:w="1508" w:type="dxa"/>
            <w:vAlign w:val="top"/>
          </w:tcPr>
          <w:p w14:paraId="7B919AFC">
            <w:pPr>
              <w:pStyle w:val="594"/>
            </w:pPr>
          </w:p>
        </w:tc>
        <w:tc>
          <w:tcPr>
            <w:tcW w:w="538" w:type="dxa"/>
            <w:vAlign w:val="top"/>
          </w:tcPr>
          <w:p w14:paraId="5765FF92">
            <w:pPr>
              <w:pStyle w:val="594"/>
            </w:pPr>
          </w:p>
        </w:tc>
        <w:tc>
          <w:tcPr>
            <w:tcW w:w="955" w:type="dxa"/>
            <w:gridSpan w:val="2"/>
            <w:vAlign w:val="top"/>
          </w:tcPr>
          <w:p w14:paraId="30DB1605">
            <w:pPr>
              <w:pStyle w:val="594"/>
            </w:pPr>
          </w:p>
        </w:tc>
        <w:tc>
          <w:tcPr>
            <w:tcW w:w="1106" w:type="dxa"/>
            <w:vAlign w:val="top"/>
          </w:tcPr>
          <w:p w14:paraId="620C7266">
            <w:pPr>
              <w:pStyle w:val="594"/>
            </w:pPr>
          </w:p>
        </w:tc>
        <w:tc>
          <w:tcPr>
            <w:tcW w:w="1270" w:type="dxa"/>
            <w:vAlign w:val="top"/>
          </w:tcPr>
          <w:p w14:paraId="58D7AB7F">
            <w:pPr>
              <w:pStyle w:val="594"/>
            </w:pPr>
          </w:p>
        </w:tc>
        <w:tc>
          <w:tcPr>
            <w:tcW w:w="1360" w:type="dxa"/>
            <w:tcBorders>
              <w:right w:val="single" w:color="000000" w:sz="10" w:space="0"/>
            </w:tcBorders>
            <w:vAlign w:val="top"/>
          </w:tcPr>
          <w:p w14:paraId="21CE2869">
            <w:pPr>
              <w:pStyle w:val="594"/>
            </w:pPr>
          </w:p>
        </w:tc>
      </w:tr>
      <w:tr w14:paraId="095F6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823" w:type="dxa"/>
            <w:tcBorders>
              <w:left w:val="single" w:color="000000" w:sz="10" w:space="0"/>
            </w:tcBorders>
            <w:vAlign w:val="top"/>
          </w:tcPr>
          <w:p w14:paraId="7281CA2B">
            <w:pPr>
              <w:pStyle w:val="594"/>
            </w:pPr>
          </w:p>
        </w:tc>
        <w:tc>
          <w:tcPr>
            <w:tcW w:w="1403" w:type="dxa"/>
            <w:vAlign w:val="top"/>
          </w:tcPr>
          <w:p w14:paraId="352B2593">
            <w:pPr>
              <w:pStyle w:val="594"/>
            </w:pPr>
          </w:p>
        </w:tc>
        <w:tc>
          <w:tcPr>
            <w:tcW w:w="1448" w:type="dxa"/>
            <w:vAlign w:val="top"/>
          </w:tcPr>
          <w:p w14:paraId="19C639DB">
            <w:pPr>
              <w:pStyle w:val="594"/>
            </w:pPr>
          </w:p>
        </w:tc>
        <w:tc>
          <w:tcPr>
            <w:tcW w:w="1508" w:type="dxa"/>
            <w:vAlign w:val="top"/>
          </w:tcPr>
          <w:p w14:paraId="5394935B">
            <w:pPr>
              <w:pStyle w:val="594"/>
            </w:pPr>
          </w:p>
        </w:tc>
        <w:tc>
          <w:tcPr>
            <w:tcW w:w="538" w:type="dxa"/>
            <w:vAlign w:val="top"/>
          </w:tcPr>
          <w:p w14:paraId="5A5B9608">
            <w:pPr>
              <w:pStyle w:val="594"/>
            </w:pPr>
          </w:p>
        </w:tc>
        <w:tc>
          <w:tcPr>
            <w:tcW w:w="955" w:type="dxa"/>
            <w:gridSpan w:val="2"/>
            <w:vAlign w:val="top"/>
          </w:tcPr>
          <w:p w14:paraId="5D3BD92B">
            <w:pPr>
              <w:pStyle w:val="594"/>
            </w:pPr>
          </w:p>
        </w:tc>
        <w:tc>
          <w:tcPr>
            <w:tcW w:w="1106" w:type="dxa"/>
            <w:vAlign w:val="top"/>
          </w:tcPr>
          <w:p w14:paraId="4C962926">
            <w:pPr>
              <w:pStyle w:val="594"/>
            </w:pPr>
          </w:p>
        </w:tc>
        <w:tc>
          <w:tcPr>
            <w:tcW w:w="1270" w:type="dxa"/>
            <w:vAlign w:val="top"/>
          </w:tcPr>
          <w:p w14:paraId="520FAFF2">
            <w:pPr>
              <w:pStyle w:val="594"/>
            </w:pPr>
          </w:p>
        </w:tc>
        <w:tc>
          <w:tcPr>
            <w:tcW w:w="1360" w:type="dxa"/>
            <w:tcBorders>
              <w:right w:val="single" w:color="000000" w:sz="10" w:space="0"/>
            </w:tcBorders>
            <w:vAlign w:val="top"/>
          </w:tcPr>
          <w:p w14:paraId="313AE28D">
            <w:pPr>
              <w:pStyle w:val="594"/>
            </w:pPr>
          </w:p>
        </w:tc>
      </w:tr>
      <w:tr w14:paraId="620EC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jc w:val="center"/>
        </w:trPr>
        <w:tc>
          <w:tcPr>
            <w:tcW w:w="823" w:type="dxa"/>
            <w:tcBorders>
              <w:left w:val="single" w:color="000000" w:sz="10" w:space="0"/>
            </w:tcBorders>
            <w:vAlign w:val="top"/>
          </w:tcPr>
          <w:p w14:paraId="7FCFE83F">
            <w:pPr>
              <w:pStyle w:val="594"/>
            </w:pPr>
          </w:p>
        </w:tc>
        <w:tc>
          <w:tcPr>
            <w:tcW w:w="1403" w:type="dxa"/>
            <w:vAlign w:val="top"/>
          </w:tcPr>
          <w:p w14:paraId="19A13737">
            <w:pPr>
              <w:pStyle w:val="594"/>
            </w:pPr>
          </w:p>
        </w:tc>
        <w:tc>
          <w:tcPr>
            <w:tcW w:w="1448" w:type="dxa"/>
            <w:vAlign w:val="top"/>
          </w:tcPr>
          <w:p w14:paraId="38443A1C">
            <w:pPr>
              <w:pStyle w:val="594"/>
            </w:pPr>
          </w:p>
        </w:tc>
        <w:tc>
          <w:tcPr>
            <w:tcW w:w="1508" w:type="dxa"/>
            <w:vAlign w:val="top"/>
          </w:tcPr>
          <w:p w14:paraId="7A2282C0">
            <w:pPr>
              <w:pStyle w:val="594"/>
            </w:pPr>
          </w:p>
        </w:tc>
        <w:tc>
          <w:tcPr>
            <w:tcW w:w="538" w:type="dxa"/>
            <w:vAlign w:val="top"/>
          </w:tcPr>
          <w:p w14:paraId="1770468A">
            <w:pPr>
              <w:pStyle w:val="594"/>
            </w:pPr>
          </w:p>
        </w:tc>
        <w:tc>
          <w:tcPr>
            <w:tcW w:w="955" w:type="dxa"/>
            <w:gridSpan w:val="2"/>
            <w:vAlign w:val="top"/>
          </w:tcPr>
          <w:p w14:paraId="0DFC94DB">
            <w:pPr>
              <w:pStyle w:val="594"/>
            </w:pPr>
          </w:p>
        </w:tc>
        <w:tc>
          <w:tcPr>
            <w:tcW w:w="1106" w:type="dxa"/>
            <w:vAlign w:val="top"/>
          </w:tcPr>
          <w:p w14:paraId="237420FF">
            <w:pPr>
              <w:pStyle w:val="594"/>
            </w:pPr>
          </w:p>
        </w:tc>
        <w:tc>
          <w:tcPr>
            <w:tcW w:w="1270" w:type="dxa"/>
            <w:vAlign w:val="top"/>
          </w:tcPr>
          <w:p w14:paraId="35FDC3F6">
            <w:pPr>
              <w:pStyle w:val="594"/>
            </w:pPr>
          </w:p>
        </w:tc>
        <w:tc>
          <w:tcPr>
            <w:tcW w:w="1360" w:type="dxa"/>
            <w:tcBorders>
              <w:right w:val="single" w:color="000000" w:sz="10" w:space="0"/>
            </w:tcBorders>
            <w:vAlign w:val="top"/>
          </w:tcPr>
          <w:p w14:paraId="66559CDA">
            <w:pPr>
              <w:pStyle w:val="594"/>
            </w:pPr>
          </w:p>
        </w:tc>
      </w:tr>
      <w:tr w14:paraId="4D01E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jc w:val="center"/>
        </w:trPr>
        <w:tc>
          <w:tcPr>
            <w:tcW w:w="823" w:type="dxa"/>
            <w:tcBorders>
              <w:left w:val="single" w:color="000000" w:sz="10" w:space="0"/>
            </w:tcBorders>
            <w:vAlign w:val="top"/>
          </w:tcPr>
          <w:p w14:paraId="070A8D9C">
            <w:pPr>
              <w:pStyle w:val="594"/>
            </w:pPr>
          </w:p>
        </w:tc>
        <w:tc>
          <w:tcPr>
            <w:tcW w:w="1403" w:type="dxa"/>
            <w:vAlign w:val="top"/>
          </w:tcPr>
          <w:p w14:paraId="4F4F10E6">
            <w:pPr>
              <w:pStyle w:val="594"/>
            </w:pPr>
          </w:p>
        </w:tc>
        <w:tc>
          <w:tcPr>
            <w:tcW w:w="1448" w:type="dxa"/>
            <w:vAlign w:val="top"/>
          </w:tcPr>
          <w:p w14:paraId="74773B0C">
            <w:pPr>
              <w:pStyle w:val="594"/>
            </w:pPr>
          </w:p>
        </w:tc>
        <w:tc>
          <w:tcPr>
            <w:tcW w:w="1508" w:type="dxa"/>
            <w:vAlign w:val="top"/>
          </w:tcPr>
          <w:p w14:paraId="58B26ECE">
            <w:pPr>
              <w:pStyle w:val="594"/>
            </w:pPr>
          </w:p>
        </w:tc>
        <w:tc>
          <w:tcPr>
            <w:tcW w:w="538" w:type="dxa"/>
            <w:vAlign w:val="top"/>
          </w:tcPr>
          <w:p w14:paraId="215EEEF0">
            <w:pPr>
              <w:pStyle w:val="594"/>
            </w:pPr>
          </w:p>
        </w:tc>
        <w:tc>
          <w:tcPr>
            <w:tcW w:w="955" w:type="dxa"/>
            <w:gridSpan w:val="2"/>
            <w:vAlign w:val="top"/>
          </w:tcPr>
          <w:p w14:paraId="2827B00E">
            <w:pPr>
              <w:pStyle w:val="594"/>
            </w:pPr>
          </w:p>
        </w:tc>
        <w:tc>
          <w:tcPr>
            <w:tcW w:w="1106" w:type="dxa"/>
            <w:vAlign w:val="top"/>
          </w:tcPr>
          <w:p w14:paraId="14A79387">
            <w:pPr>
              <w:pStyle w:val="594"/>
            </w:pPr>
          </w:p>
        </w:tc>
        <w:tc>
          <w:tcPr>
            <w:tcW w:w="1270" w:type="dxa"/>
            <w:vAlign w:val="top"/>
          </w:tcPr>
          <w:p w14:paraId="3CCB365B">
            <w:pPr>
              <w:pStyle w:val="594"/>
            </w:pPr>
          </w:p>
        </w:tc>
        <w:tc>
          <w:tcPr>
            <w:tcW w:w="1360" w:type="dxa"/>
            <w:tcBorders>
              <w:right w:val="single" w:color="000000" w:sz="10" w:space="0"/>
            </w:tcBorders>
            <w:vAlign w:val="top"/>
          </w:tcPr>
          <w:p w14:paraId="6F4FDAC1">
            <w:pPr>
              <w:pStyle w:val="594"/>
            </w:pPr>
          </w:p>
        </w:tc>
      </w:tr>
      <w:tr w14:paraId="7B5EA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jc w:val="center"/>
        </w:trPr>
        <w:tc>
          <w:tcPr>
            <w:tcW w:w="823" w:type="dxa"/>
            <w:tcBorders>
              <w:left w:val="single" w:color="000000" w:sz="10" w:space="0"/>
            </w:tcBorders>
            <w:vAlign w:val="top"/>
          </w:tcPr>
          <w:p w14:paraId="63C2FFE0">
            <w:pPr>
              <w:pStyle w:val="594"/>
            </w:pPr>
          </w:p>
        </w:tc>
        <w:tc>
          <w:tcPr>
            <w:tcW w:w="1403" w:type="dxa"/>
            <w:vAlign w:val="top"/>
          </w:tcPr>
          <w:p w14:paraId="7C8B8B3A">
            <w:pPr>
              <w:pStyle w:val="594"/>
            </w:pPr>
          </w:p>
        </w:tc>
        <w:tc>
          <w:tcPr>
            <w:tcW w:w="1448" w:type="dxa"/>
            <w:vAlign w:val="top"/>
          </w:tcPr>
          <w:p w14:paraId="539CDDCC">
            <w:pPr>
              <w:pStyle w:val="594"/>
            </w:pPr>
          </w:p>
        </w:tc>
        <w:tc>
          <w:tcPr>
            <w:tcW w:w="1508" w:type="dxa"/>
            <w:vAlign w:val="top"/>
          </w:tcPr>
          <w:p w14:paraId="303C789D">
            <w:pPr>
              <w:pStyle w:val="594"/>
            </w:pPr>
          </w:p>
        </w:tc>
        <w:tc>
          <w:tcPr>
            <w:tcW w:w="538" w:type="dxa"/>
            <w:vAlign w:val="top"/>
          </w:tcPr>
          <w:p w14:paraId="212D15DB">
            <w:pPr>
              <w:pStyle w:val="594"/>
            </w:pPr>
          </w:p>
        </w:tc>
        <w:tc>
          <w:tcPr>
            <w:tcW w:w="955" w:type="dxa"/>
            <w:gridSpan w:val="2"/>
            <w:vAlign w:val="top"/>
          </w:tcPr>
          <w:p w14:paraId="657E09CA">
            <w:pPr>
              <w:pStyle w:val="594"/>
            </w:pPr>
          </w:p>
        </w:tc>
        <w:tc>
          <w:tcPr>
            <w:tcW w:w="1106" w:type="dxa"/>
            <w:vAlign w:val="top"/>
          </w:tcPr>
          <w:p w14:paraId="7922F069">
            <w:pPr>
              <w:pStyle w:val="594"/>
            </w:pPr>
          </w:p>
        </w:tc>
        <w:tc>
          <w:tcPr>
            <w:tcW w:w="1270" w:type="dxa"/>
            <w:vAlign w:val="top"/>
          </w:tcPr>
          <w:p w14:paraId="0411D602">
            <w:pPr>
              <w:pStyle w:val="594"/>
            </w:pPr>
          </w:p>
        </w:tc>
        <w:tc>
          <w:tcPr>
            <w:tcW w:w="1360" w:type="dxa"/>
            <w:tcBorders>
              <w:right w:val="single" w:color="000000" w:sz="10" w:space="0"/>
            </w:tcBorders>
            <w:vAlign w:val="top"/>
          </w:tcPr>
          <w:p w14:paraId="1F23F585">
            <w:pPr>
              <w:pStyle w:val="594"/>
            </w:pPr>
          </w:p>
        </w:tc>
      </w:tr>
      <w:tr w14:paraId="017E4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jc w:val="center"/>
        </w:trPr>
        <w:tc>
          <w:tcPr>
            <w:tcW w:w="823" w:type="dxa"/>
            <w:tcBorders>
              <w:left w:val="single" w:color="000000" w:sz="10" w:space="0"/>
            </w:tcBorders>
            <w:vAlign w:val="top"/>
          </w:tcPr>
          <w:p w14:paraId="1AB5A37E">
            <w:pPr>
              <w:pStyle w:val="594"/>
            </w:pPr>
          </w:p>
        </w:tc>
        <w:tc>
          <w:tcPr>
            <w:tcW w:w="1403" w:type="dxa"/>
            <w:vAlign w:val="top"/>
          </w:tcPr>
          <w:p w14:paraId="7D3F6143">
            <w:pPr>
              <w:pStyle w:val="594"/>
            </w:pPr>
          </w:p>
        </w:tc>
        <w:tc>
          <w:tcPr>
            <w:tcW w:w="1448" w:type="dxa"/>
            <w:vAlign w:val="top"/>
          </w:tcPr>
          <w:p w14:paraId="75963A4A">
            <w:pPr>
              <w:pStyle w:val="594"/>
            </w:pPr>
          </w:p>
        </w:tc>
        <w:tc>
          <w:tcPr>
            <w:tcW w:w="1508" w:type="dxa"/>
            <w:vAlign w:val="top"/>
          </w:tcPr>
          <w:p w14:paraId="7A2BF73C">
            <w:pPr>
              <w:pStyle w:val="594"/>
            </w:pPr>
          </w:p>
        </w:tc>
        <w:tc>
          <w:tcPr>
            <w:tcW w:w="538" w:type="dxa"/>
            <w:vAlign w:val="top"/>
          </w:tcPr>
          <w:p w14:paraId="2217FA7B">
            <w:pPr>
              <w:pStyle w:val="594"/>
            </w:pPr>
          </w:p>
        </w:tc>
        <w:tc>
          <w:tcPr>
            <w:tcW w:w="955" w:type="dxa"/>
            <w:gridSpan w:val="2"/>
            <w:vAlign w:val="top"/>
          </w:tcPr>
          <w:p w14:paraId="768633C5">
            <w:pPr>
              <w:pStyle w:val="594"/>
            </w:pPr>
          </w:p>
        </w:tc>
        <w:tc>
          <w:tcPr>
            <w:tcW w:w="1106" w:type="dxa"/>
            <w:vAlign w:val="top"/>
          </w:tcPr>
          <w:p w14:paraId="417D8058">
            <w:pPr>
              <w:pStyle w:val="594"/>
            </w:pPr>
          </w:p>
        </w:tc>
        <w:tc>
          <w:tcPr>
            <w:tcW w:w="1270" w:type="dxa"/>
            <w:vAlign w:val="top"/>
          </w:tcPr>
          <w:p w14:paraId="13A4599A">
            <w:pPr>
              <w:pStyle w:val="594"/>
            </w:pPr>
          </w:p>
        </w:tc>
        <w:tc>
          <w:tcPr>
            <w:tcW w:w="1360" w:type="dxa"/>
            <w:tcBorders>
              <w:right w:val="single" w:color="000000" w:sz="10" w:space="0"/>
            </w:tcBorders>
            <w:vAlign w:val="top"/>
          </w:tcPr>
          <w:p w14:paraId="0D1ADB74">
            <w:pPr>
              <w:pStyle w:val="594"/>
            </w:pPr>
          </w:p>
        </w:tc>
      </w:tr>
      <w:tr w14:paraId="0879F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823" w:type="dxa"/>
            <w:tcBorders>
              <w:left w:val="single" w:color="000000" w:sz="10" w:space="0"/>
            </w:tcBorders>
            <w:vAlign w:val="top"/>
          </w:tcPr>
          <w:p w14:paraId="5D03E2A6">
            <w:pPr>
              <w:pStyle w:val="594"/>
            </w:pPr>
          </w:p>
        </w:tc>
        <w:tc>
          <w:tcPr>
            <w:tcW w:w="1403" w:type="dxa"/>
            <w:vAlign w:val="top"/>
          </w:tcPr>
          <w:p w14:paraId="1FA9C6A3">
            <w:pPr>
              <w:pStyle w:val="594"/>
            </w:pPr>
          </w:p>
        </w:tc>
        <w:tc>
          <w:tcPr>
            <w:tcW w:w="1448" w:type="dxa"/>
            <w:vAlign w:val="top"/>
          </w:tcPr>
          <w:p w14:paraId="10B6F6D9">
            <w:pPr>
              <w:pStyle w:val="594"/>
            </w:pPr>
          </w:p>
        </w:tc>
        <w:tc>
          <w:tcPr>
            <w:tcW w:w="1508" w:type="dxa"/>
            <w:vAlign w:val="top"/>
          </w:tcPr>
          <w:p w14:paraId="3B489A82">
            <w:pPr>
              <w:pStyle w:val="594"/>
            </w:pPr>
          </w:p>
        </w:tc>
        <w:tc>
          <w:tcPr>
            <w:tcW w:w="538" w:type="dxa"/>
            <w:vAlign w:val="top"/>
          </w:tcPr>
          <w:p w14:paraId="792AF493">
            <w:pPr>
              <w:pStyle w:val="594"/>
            </w:pPr>
          </w:p>
        </w:tc>
        <w:tc>
          <w:tcPr>
            <w:tcW w:w="955" w:type="dxa"/>
            <w:gridSpan w:val="2"/>
            <w:vAlign w:val="top"/>
          </w:tcPr>
          <w:p w14:paraId="092E1C23">
            <w:pPr>
              <w:pStyle w:val="594"/>
            </w:pPr>
          </w:p>
        </w:tc>
        <w:tc>
          <w:tcPr>
            <w:tcW w:w="1106" w:type="dxa"/>
            <w:vAlign w:val="top"/>
          </w:tcPr>
          <w:p w14:paraId="040F5EE0">
            <w:pPr>
              <w:pStyle w:val="594"/>
            </w:pPr>
          </w:p>
        </w:tc>
        <w:tc>
          <w:tcPr>
            <w:tcW w:w="1270" w:type="dxa"/>
            <w:vAlign w:val="top"/>
          </w:tcPr>
          <w:p w14:paraId="49406B66">
            <w:pPr>
              <w:pStyle w:val="594"/>
            </w:pPr>
          </w:p>
        </w:tc>
        <w:tc>
          <w:tcPr>
            <w:tcW w:w="1360" w:type="dxa"/>
            <w:tcBorders>
              <w:right w:val="single" w:color="000000" w:sz="10" w:space="0"/>
            </w:tcBorders>
            <w:vAlign w:val="top"/>
          </w:tcPr>
          <w:p w14:paraId="585201FD">
            <w:pPr>
              <w:pStyle w:val="594"/>
            </w:pPr>
          </w:p>
        </w:tc>
      </w:tr>
      <w:tr w14:paraId="561A5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823" w:type="dxa"/>
            <w:tcBorders>
              <w:left w:val="single" w:color="000000" w:sz="10" w:space="0"/>
            </w:tcBorders>
            <w:vAlign w:val="top"/>
          </w:tcPr>
          <w:p w14:paraId="739D279E">
            <w:pPr>
              <w:pStyle w:val="594"/>
            </w:pPr>
          </w:p>
        </w:tc>
        <w:tc>
          <w:tcPr>
            <w:tcW w:w="1403" w:type="dxa"/>
            <w:vAlign w:val="top"/>
          </w:tcPr>
          <w:p w14:paraId="76FB4679">
            <w:pPr>
              <w:pStyle w:val="594"/>
            </w:pPr>
          </w:p>
        </w:tc>
        <w:tc>
          <w:tcPr>
            <w:tcW w:w="1448" w:type="dxa"/>
            <w:vAlign w:val="top"/>
          </w:tcPr>
          <w:p w14:paraId="0FE71D39">
            <w:pPr>
              <w:pStyle w:val="594"/>
            </w:pPr>
          </w:p>
        </w:tc>
        <w:tc>
          <w:tcPr>
            <w:tcW w:w="1508" w:type="dxa"/>
            <w:vAlign w:val="top"/>
          </w:tcPr>
          <w:p w14:paraId="2AC9FEE3">
            <w:pPr>
              <w:pStyle w:val="594"/>
            </w:pPr>
          </w:p>
        </w:tc>
        <w:tc>
          <w:tcPr>
            <w:tcW w:w="538" w:type="dxa"/>
            <w:vAlign w:val="top"/>
          </w:tcPr>
          <w:p w14:paraId="23D9D870">
            <w:pPr>
              <w:pStyle w:val="594"/>
            </w:pPr>
          </w:p>
        </w:tc>
        <w:tc>
          <w:tcPr>
            <w:tcW w:w="955" w:type="dxa"/>
            <w:gridSpan w:val="2"/>
            <w:vAlign w:val="top"/>
          </w:tcPr>
          <w:p w14:paraId="0AB0DF3F">
            <w:pPr>
              <w:pStyle w:val="594"/>
            </w:pPr>
          </w:p>
        </w:tc>
        <w:tc>
          <w:tcPr>
            <w:tcW w:w="1106" w:type="dxa"/>
            <w:vAlign w:val="top"/>
          </w:tcPr>
          <w:p w14:paraId="22FD2CB6">
            <w:pPr>
              <w:pStyle w:val="594"/>
            </w:pPr>
          </w:p>
        </w:tc>
        <w:tc>
          <w:tcPr>
            <w:tcW w:w="1270" w:type="dxa"/>
            <w:vAlign w:val="top"/>
          </w:tcPr>
          <w:p w14:paraId="7532331E">
            <w:pPr>
              <w:pStyle w:val="594"/>
            </w:pPr>
          </w:p>
        </w:tc>
        <w:tc>
          <w:tcPr>
            <w:tcW w:w="1360" w:type="dxa"/>
            <w:tcBorders>
              <w:right w:val="single" w:color="000000" w:sz="10" w:space="0"/>
            </w:tcBorders>
            <w:vAlign w:val="top"/>
          </w:tcPr>
          <w:p w14:paraId="5ECA0DCE">
            <w:pPr>
              <w:pStyle w:val="594"/>
            </w:pPr>
          </w:p>
        </w:tc>
      </w:tr>
      <w:tr w14:paraId="69B5D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jc w:val="center"/>
        </w:trPr>
        <w:tc>
          <w:tcPr>
            <w:tcW w:w="823" w:type="dxa"/>
            <w:tcBorders>
              <w:left w:val="single" w:color="000000" w:sz="10" w:space="0"/>
            </w:tcBorders>
            <w:vAlign w:val="top"/>
          </w:tcPr>
          <w:p w14:paraId="2A065E0A">
            <w:pPr>
              <w:pStyle w:val="594"/>
            </w:pPr>
          </w:p>
        </w:tc>
        <w:tc>
          <w:tcPr>
            <w:tcW w:w="1403" w:type="dxa"/>
            <w:vAlign w:val="top"/>
          </w:tcPr>
          <w:p w14:paraId="7F349769">
            <w:pPr>
              <w:pStyle w:val="594"/>
            </w:pPr>
          </w:p>
        </w:tc>
        <w:tc>
          <w:tcPr>
            <w:tcW w:w="1448" w:type="dxa"/>
            <w:vAlign w:val="top"/>
          </w:tcPr>
          <w:p w14:paraId="15FA7728">
            <w:pPr>
              <w:pStyle w:val="594"/>
            </w:pPr>
          </w:p>
        </w:tc>
        <w:tc>
          <w:tcPr>
            <w:tcW w:w="1508" w:type="dxa"/>
            <w:vAlign w:val="top"/>
          </w:tcPr>
          <w:p w14:paraId="6556BAE8">
            <w:pPr>
              <w:pStyle w:val="594"/>
            </w:pPr>
          </w:p>
        </w:tc>
        <w:tc>
          <w:tcPr>
            <w:tcW w:w="538" w:type="dxa"/>
            <w:vAlign w:val="top"/>
          </w:tcPr>
          <w:p w14:paraId="02E9E613">
            <w:pPr>
              <w:pStyle w:val="594"/>
            </w:pPr>
          </w:p>
        </w:tc>
        <w:tc>
          <w:tcPr>
            <w:tcW w:w="955" w:type="dxa"/>
            <w:gridSpan w:val="2"/>
            <w:vAlign w:val="top"/>
          </w:tcPr>
          <w:p w14:paraId="5E32F6C0">
            <w:pPr>
              <w:pStyle w:val="594"/>
            </w:pPr>
          </w:p>
        </w:tc>
        <w:tc>
          <w:tcPr>
            <w:tcW w:w="1106" w:type="dxa"/>
            <w:vAlign w:val="top"/>
          </w:tcPr>
          <w:p w14:paraId="6FEDEC41">
            <w:pPr>
              <w:pStyle w:val="594"/>
            </w:pPr>
          </w:p>
        </w:tc>
        <w:tc>
          <w:tcPr>
            <w:tcW w:w="1270" w:type="dxa"/>
            <w:vAlign w:val="top"/>
          </w:tcPr>
          <w:p w14:paraId="3F74B897">
            <w:pPr>
              <w:pStyle w:val="594"/>
            </w:pPr>
          </w:p>
        </w:tc>
        <w:tc>
          <w:tcPr>
            <w:tcW w:w="1360" w:type="dxa"/>
            <w:tcBorders>
              <w:right w:val="single" w:color="000000" w:sz="10" w:space="0"/>
            </w:tcBorders>
            <w:vAlign w:val="top"/>
          </w:tcPr>
          <w:p w14:paraId="01B99138">
            <w:pPr>
              <w:pStyle w:val="594"/>
            </w:pPr>
          </w:p>
        </w:tc>
      </w:tr>
      <w:tr w14:paraId="1C33E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823" w:type="dxa"/>
            <w:tcBorders>
              <w:left w:val="single" w:color="000000" w:sz="10" w:space="0"/>
            </w:tcBorders>
            <w:vAlign w:val="top"/>
          </w:tcPr>
          <w:p w14:paraId="688F4845">
            <w:pPr>
              <w:pStyle w:val="594"/>
            </w:pPr>
          </w:p>
        </w:tc>
        <w:tc>
          <w:tcPr>
            <w:tcW w:w="1403" w:type="dxa"/>
            <w:vAlign w:val="top"/>
          </w:tcPr>
          <w:p w14:paraId="5D15314F">
            <w:pPr>
              <w:pStyle w:val="594"/>
            </w:pPr>
          </w:p>
        </w:tc>
        <w:tc>
          <w:tcPr>
            <w:tcW w:w="1448" w:type="dxa"/>
            <w:vAlign w:val="top"/>
          </w:tcPr>
          <w:p w14:paraId="0E7F93B0">
            <w:pPr>
              <w:pStyle w:val="594"/>
            </w:pPr>
          </w:p>
        </w:tc>
        <w:tc>
          <w:tcPr>
            <w:tcW w:w="1508" w:type="dxa"/>
            <w:vAlign w:val="top"/>
          </w:tcPr>
          <w:p w14:paraId="6B99FF78">
            <w:pPr>
              <w:pStyle w:val="594"/>
            </w:pPr>
          </w:p>
        </w:tc>
        <w:tc>
          <w:tcPr>
            <w:tcW w:w="538" w:type="dxa"/>
            <w:vAlign w:val="top"/>
          </w:tcPr>
          <w:p w14:paraId="3234B684">
            <w:pPr>
              <w:pStyle w:val="594"/>
            </w:pPr>
          </w:p>
        </w:tc>
        <w:tc>
          <w:tcPr>
            <w:tcW w:w="955" w:type="dxa"/>
            <w:gridSpan w:val="2"/>
            <w:vAlign w:val="top"/>
          </w:tcPr>
          <w:p w14:paraId="21CC7DE6">
            <w:pPr>
              <w:pStyle w:val="594"/>
            </w:pPr>
          </w:p>
        </w:tc>
        <w:tc>
          <w:tcPr>
            <w:tcW w:w="1106" w:type="dxa"/>
            <w:vAlign w:val="top"/>
          </w:tcPr>
          <w:p w14:paraId="31089724">
            <w:pPr>
              <w:pStyle w:val="594"/>
            </w:pPr>
          </w:p>
        </w:tc>
        <w:tc>
          <w:tcPr>
            <w:tcW w:w="1270" w:type="dxa"/>
            <w:vAlign w:val="top"/>
          </w:tcPr>
          <w:p w14:paraId="4267E704">
            <w:pPr>
              <w:pStyle w:val="594"/>
            </w:pPr>
          </w:p>
        </w:tc>
        <w:tc>
          <w:tcPr>
            <w:tcW w:w="1360" w:type="dxa"/>
            <w:tcBorders>
              <w:right w:val="single" w:color="000000" w:sz="10" w:space="0"/>
            </w:tcBorders>
            <w:vAlign w:val="top"/>
          </w:tcPr>
          <w:p w14:paraId="2DB372B5">
            <w:pPr>
              <w:pStyle w:val="594"/>
            </w:pPr>
          </w:p>
        </w:tc>
      </w:tr>
      <w:tr w14:paraId="105BE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823" w:type="dxa"/>
            <w:tcBorders>
              <w:left w:val="single" w:color="000000" w:sz="10" w:space="0"/>
            </w:tcBorders>
            <w:vAlign w:val="top"/>
          </w:tcPr>
          <w:p w14:paraId="0AE6893C">
            <w:pPr>
              <w:pStyle w:val="594"/>
            </w:pPr>
          </w:p>
        </w:tc>
        <w:tc>
          <w:tcPr>
            <w:tcW w:w="1403" w:type="dxa"/>
            <w:vAlign w:val="top"/>
          </w:tcPr>
          <w:p w14:paraId="651C12FE">
            <w:pPr>
              <w:pStyle w:val="594"/>
            </w:pPr>
          </w:p>
        </w:tc>
        <w:tc>
          <w:tcPr>
            <w:tcW w:w="1448" w:type="dxa"/>
            <w:vAlign w:val="top"/>
          </w:tcPr>
          <w:p w14:paraId="6C675F80">
            <w:pPr>
              <w:pStyle w:val="594"/>
            </w:pPr>
          </w:p>
        </w:tc>
        <w:tc>
          <w:tcPr>
            <w:tcW w:w="1508" w:type="dxa"/>
            <w:vAlign w:val="top"/>
          </w:tcPr>
          <w:p w14:paraId="0A500492">
            <w:pPr>
              <w:pStyle w:val="594"/>
            </w:pPr>
          </w:p>
        </w:tc>
        <w:tc>
          <w:tcPr>
            <w:tcW w:w="538" w:type="dxa"/>
            <w:vAlign w:val="top"/>
          </w:tcPr>
          <w:p w14:paraId="32D57AC3">
            <w:pPr>
              <w:pStyle w:val="594"/>
            </w:pPr>
          </w:p>
        </w:tc>
        <w:tc>
          <w:tcPr>
            <w:tcW w:w="955" w:type="dxa"/>
            <w:gridSpan w:val="2"/>
            <w:vAlign w:val="top"/>
          </w:tcPr>
          <w:p w14:paraId="4429264E">
            <w:pPr>
              <w:pStyle w:val="594"/>
            </w:pPr>
          </w:p>
        </w:tc>
        <w:tc>
          <w:tcPr>
            <w:tcW w:w="1106" w:type="dxa"/>
            <w:vAlign w:val="top"/>
          </w:tcPr>
          <w:p w14:paraId="0DBFAB01">
            <w:pPr>
              <w:pStyle w:val="594"/>
            </w:pPr>
          </w:p>
        </w:tc>
        <w:tc>
          <w:tcPr>
            <w:tcW w:w="1270" w:type="dxa"/>
            <w:vAlign w:val="top"/>
          </w:tcPr>
          <w:p w14:paraId="32E2608F">
            <w:pPr>
              <w:pStyle w:val="594"/>
            </w:pPr>
          </w:p>
        </w:tc>
        <w:tc>
          <w:tcPr>
            <w:tcW w:w="1360" w:type="dxa"/>
            <w:tcBorders>
              <w:right w:val="single" w:color="000000" w:sz="10" w:space="0"/>
            </w:tcBorders>
            <w:vAlign w:val="top"/>
          </w:tcPr>
          <w:p w14:paraId="030BDBEF">
            <w:pPr>
              <w:pStyle w:val="594"/>
            </w:pPr>
          </w:p>
        </w:tc>
      </w:tr>
      <w:tr w14:paraId="55CD5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823" w:type="dxa"/>
            <w:tcBorders>
              <w:left w:val="single" w:color="000000" w:sz="10" w:space="0"/>
            </w:tcBorders>
            <w:vAlign w:val="top"/>
          </w:tcPr>
          <w:p w14:paraId="1BC68EF5">
            <w:pPr>
              <w:pStyle w:val="594"/>
            </w:pPr>
          </w:p>
        </w:tc>
        <w:tc>
          <w:tcPr>
            <w:tcW w:w="1403" w:type="dxa"/>
            <w:vAlign w:val="top"/>
          </w:tcPr>
          <w:p w14:paraId="0B85F816">
            <w:pPr>
              <w:pStyle w:val="594"/>
            </w:pPr>
          </w:p>
        </w:tc>
        <w:tc>
          <w:tcPr>
            <w:tcW w:w="1448" w:type="dxa"/>
            <w:vAlign w:val="top"/>
          </w:tcPr>
          <w:p w14:paraId="4E7285A2">
            <w:pPr>
              <w:pStyle w:val="594"/>
            </w:pPr>
          </w:p>
        </w:tc>
        <w:tc>
          <w:tcPr>
            <w:tcW w:w="1508" w:type="dxa"/>
            <w:vAlign w:val="top"/>
          </w:tcPr>
          <w:p w14:paraId="16D8A283">
            <w:pPr>
              <w:pStyle w:val="594"/>
            </w:pPr>
          </w:p>
        </w:tc>
        <w:tc>
          <w:tcPr>
            <w:tcW w:w="538" w:type="dxa"/>
            <w:vAlign w:val="top"/>
          </w:tcPr>
          <w:p w14:paraId="6394FAE3">
            <w:pPr>
              <w:pStyle w:val="594"/>
            </w:pPr>
          </w:p>
        </w:tc>
        <w:tc>
          <w:tcPr>
            <w:tcW w:w="955" w:type="dxa"/>
            <w:gridSpan w:val="2"/>
            <w:vAlign w:val="top"/>
          </w:tcPr>
          <w:p w14:paraId="5DDC7C3D">
            <w:pPr>
              <w:pStyle w:val="594"/>
            </w:pPr>
          </w:p>
        </w:tc>
        <w:tc>
          <w:tcPr>
            <w:tcW w:w="1106" w:type="dxa"/>
            <w:vAlign w:val="top"/>
          </w:tcPr>
          <w:p w14:paraId="09351684">
            <w:pPr>
              <w:pStyle w:val="594"/>
            </w:pPr>
          </w:p>
        </w:tc>
        <w:tc>
          <w:tcPr>
            <w:tcW w:w="1270" w:type="dxa"/>
            <w:vAlign w:val="top"/>
          </w:tcPr>
          <w:p w14:paraId="1E348F2F">
            <w:pPr>
              <w:pStyle w:val="594"/>
            </w:pPr>
          </w:p>
        </w:tc>
        <w:tc>
          <w:tcPr>
            <w:tcW w:w="1360" w:type="dxa"/>
            <w:tcBorders>
              <w:right w:val="single" w:color="000000" w:sz="10" w:space="0"/>
            </w:tcBorders>
            <w:vAlign w:val="top"/>
          </w:tcPr>
          <w:p w14:paraId="18D4869A">
            <w:pPr>
              <w:pStyle w:val="594"/>
            </w:pPr>
          </w:p>
        </w:tc>
      </w:tr>
      <w:tr w14:paraId="1BF0F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jc w:val="center"/>
        </w:trPr>
        <w:tc>
          <w:tcPr>
            <w:tcW w:w="823" w:type="dxa"/>
            <w:tcBorders>
              <w:left w:val="single" w:color="000000" w:sz="10" w:space="0"/>
            </w:tcBorders>
            <w:vAlign w:val="top"/>
          </w:tcPr>
          <w:p w14:paraId="4E6080F5">
            <w:pPr>
              <w:pStyle w:val="594"/>
            </w:pPr>
          </w:p>
        </w:tc>
        <w:tc>
          <w:tcPr>
            <w:tcW w:w="1403" w:type="dxa"/>
            <w:vAlign w:val="top"/>
          </w:tcPr>
          <w:p w14:paraId="761CEBA2">
            <w:pPr>
              <w:pStyle w:val="594"/>
            </w:pPr>
          </w:p>
        </w:tc>
        <w:tc>
          <w:tcPr>
            <w:tcW w:w="1448" w:type="dxa"/>
            <w:vAlign w:val="top"/>
          </w:tcPr>
          <w:p w14:paraId="305870AB">
            <w:pPr>
              <w:pStyle w:val="594"/>
            </w:pPr>
          </w:p>
        </w:tc>
        <w:tc>
          <w:tcPr>
            <w:tcW w:w="1508" w:type="dxa"/>
            <w:vAlign w:val="top"/>
          </w:tcPr>
          <w:p w14:paraId="2031BC63">
            <w:pPr>
              <w:pStyle w:val="594"/>
            </w:pPr>
          </w:p>
        </w:tc>
        <w:tc>
          <w:tcPr>
            <w:tcW w:w="538" w:type="dxa"/>
            <w:vAlign w:val="top"/>
          </w:tcPr>
          <w:p w14:paraId="33F8BC0E">
            <w:pPr>
              <w:pStyle w:val="594"/>
            </w:pPr>
          </w:p>
        </w:tc>
        <w:tc>
          <w:tcPr>
            <w:tcW w:w="955" w:type="dxa"/>
            <w:gridSpan w:val="2"/>
            <w:vAlign w:val="top"/>
          </w:tcPr>
          <w:p w14:paraId="4C450506">
            <w:pPr>
              <w:pStyle w:val="594"/>
            </w:pPr>
          </w:p>
        </w:tc>
        <w:tc>
          <w:tcPr>
            <w:tcW w:w="1106" w:type="dxa"/>
            <w:vAlign w:val="top"/>
          </w:tcPr>
          <w:p w14:paraId="2B4A7F7D">
            <w:pPr>
              <w:pStyle w:val="594"/>
            </w:pPr>
          </w:p>
        </w:tc>
        <w:tc>
          <w:tcPr>
            <w:tcW w:w="1270" w:type="dxa"/>
            <w:vAlign w:val="top"/>
          </w:tcPr>
          <w:p w14:paraId="71617F77">
            <w:pPr>
              <w:pStyle w:val="594"/>
            </w:pPr>
          </w:p>
        </w:tc>
        <w:tc>
          <w:tcPr>
            <w:tcW w:w="1360" w:type="dxa"/>
            <w:tcBorders>
              <w:right w:val="single" w:color="000000" w:sz="10" w:space="0"/>
            </w:tcBorders>
            <w:vAlign w:val="top"/>
          </w:tcPr>
          <w:p w14:paraId="07BF212F">
            <w:pPr>
              <w:pStyle w:val="594"/>
            </w:pPr>
          </w:p>
        </w:tc>
      </w:tr>
      <w:tr w14:paraId="29661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823" w:type="dxa"/>
            <w:tcBorders>
              <w:left w:val="single" w:color="000000" w:sz="10" w:space="0"/>
            </w:tcBorders>
            <w:vAlign w:val="top"/>
          </w:tcPr>
          <w:p w14:paraId="04B86565">
            <w:pPr>
              <w:pStyle w:val="594"/>
            </w:pPr>
          </w:p>
        </w:tc>
        <w:tc>
          <w:tcPr>
            <w:tcW w:w="1403" w:type="dxa"/>
            <w:vAlign w:val="top"/>
          </w:tcPr>
          <w:p w14:paraId="77EF943C">
            <w:pPr>
              <w:pStyle w:val="594"/>
            </w:pPr>
          </w:p>
        </w:tc>
        <w:tc>
          <w:tcPr>
            <w:tcW w:w="1448" w:type="dxa"/>
            <w:vAlign w:val="top"/>
          </w:tcPr>
          <w:p w14:paraId="35102887">
            <w:pPr>
              <w:pStyle w:val="594"/>
            </w:pPr>
          </w:p>
        </w:tc>
        <w:tc>
          <w:tcPr>
            <w:tcW w:w="1508" w:type="dxa"/>
            <w:vAlign w:val="top"/>
          </w:tcPr>
          <w:p w14:paraId="12ECFEA2">
            <w:pPr>
              <w:pStyle w:val="594"/>
            </w:pPr>
          </w:p>
        </w:tc>
        <w:tc>
          <w:tcPr>
            <w:tcW w:w="538" w:type="dxa"/>
            <w:vAlign w:val="top"/>
          </w:tcPr>
          <w:p w14:paraId="171E4C37">
            <w:pPr>
              <w:pStyle w:val="594"/>
            </w:pPr>
          </w:p>
        </w:tc>
        <w:tc>
          <w:tcPr>
            <w:tcW w:w="955" w:type="dxa"/>
            <w:gridSpan w:val="2"/>
            <w:vAlign w:val="top"/>
          </w:tcPr>
          <w:p w14:paraId="0123DB25">
            <w:pPr>
              <w:pStyle w:val="594"/>
            </w:pPr>
          </w:p>
        </w:tc>
        <w:tc>
          <w:tcPr>
            <w:tcW w:w="1106" w:type="dxa"/>
            <w:vAlign w:val="top"/>
          </w:tcPr>
          <w:p w14:paraId="0B33091F">
            <w:pPr>
              <w:pStyle w:val="594"/>
            </w:pPr>
          </w:p>
        </w:tc>
        <w:tc>
          <w:tcPr>
            <w:tcW w:w="1270" w:type="dxa"/>
            <w:vAlign w:val="top"/>
          </w:tcPr>
          <w:p w14:paraId="588DCF18">
            <w:pPr>
              <w:pStyle w:val="594"/>
            </w:pPr>
          </w:p>
        </w:tc>
        <w:tc>
          <w:tcPr>
            <w:tcW w:w="1360" w:type="dxa"/>
            <w:tcBorders>
              <w:right w:val="single" w:color="000000" w:sz="10" w:space="0"/>
            </w:tcBorders>
            <w:vAlign w:val="top"/>
          </w:tcPr>
          <w:p w14:paraId="2E1ABDCC">
            <w:pPr>
              <w:pStyle w:val="594"/>
            </w:pPr>
          </w:p>
        </w:tc>
      </w:tr>
      <w:tr w14:paraId="196D8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823" w:type="dxa"/>
            <w:tcBorders>
              <w:left w:val="single" w:color="000000" w:sz="10" w:space="0"/>
            </w:tcBorders>
            <w:vAlign w:val="top"/>
          </w:tcPr>
          <w:p w14:paraId="127F1B03">
            <w:pPr>
              <w:pStyle w:val="594"/>
            </w:pPr>
          </w:p>
        </w:tc>
        <w:tc>
          <w:tcPr>
            <w:tcW w:w="1403" w:type="dxa"/>
            <w:vAlign w:val="top"/>
          </w:tcPr>
          <w:p w14:paraId="3869B528">
            <w:pPr>
              <w:pStyle w:val="594"/>
            </w:pPr>
          </w:p>
        </w:tc>
        <w:tc>
          <w:tcPr>
            <w:tcW w:w="1448" w:type="dxa"/>
            <w:vAlign w:val="top"/>
          </w:tcPr>
          <w:p w14:paraId="731B2EBA">
            <w:pPr>
              <w:pStyle w:val="594"/>
            </w:pPr>
          </w:p>
        </w:tc>
        <w:tc>
          <w:tcPr>
            <w:tcW w:w="1508" w:type="dxa"/>
            <w:vAlign w:val="top"/>
          </w:tcPr>
          <w:p w14:paraId="5D789498">
            <w:pPr>
              <w:pStyle w:val="594"/>
            </w:pPr>
          </w:p>
        </w:tc>
        <w:tc>
          <w:tcPr>
            <w:tcW w:w="538" w:type="dxa"/>
            <w:vAlign w:val="top"/>
          </w:tcPr>
          <w:p w14:paraId="33D2740F">
            <w:pPr>
              <w:pStyle w:val="594"/>
            </w:pPr>
          </w:p>
        </w:tc>
        <w:tc>
          <w:tcPr>
            <w:tcW w:w="955" w:type="dxa"/>
            <w:gridSpan w:val="2"/>
            <w:vAlign w:val="top"/>
          </w:tcPr>
          <w:p w14:paraId="0B3C5C44">
            <w:pPr>
              <w:pStyle w:val="594"/>
            </w:pPr>
          </w:p>
        </w:tc>
        <w:tc>
          <w:tcPr>
            <w:tcW w:w="1106" w:type="dxa"/>
            <w:vAlign w:val="top"/>
          </w:tcPr>
          <w:p w14:paraId="4913DB13">
            <w:pPr>
              <w:pStyle w:val="594"/>
            </w:pPr>
          </w:p>
        </w:tc>
        <w:tc>
          <w:tcPr>
            <w:tcW w:w="1270" w:type="dxa"/>
            <w:vAlign w:val="top"/>
          </w:tcPr>
          <w:p w14:paraId="21941F75">
            <w:pPr>
              <w:pStyle w:val="594"/>
            </w:pPr>
          </w:p>
        </w:tc>
        <w:tc>
          <w:tcPr>
            <w:tcW w:w="1360" w:type="dxa"/>
            <w:tcBorders>
              <w:right w:val="single" w:color="000000" w:sz="10" w:space="0"/>
            </w:tcBorders>
            <w:vAlign w:val="top"/>
          </w:tcPr>
          <w:p w14:paraId="440B0758">
            <w:pPr>
              <w:pStyle w:val="594"/>
            </w:pPr>
          </w:p>
        </w:tc>
      </w:tr>
      <w:tr w14:paraId="648F5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823" w:type="dxa"/>
            <w:tcBorders>
              <w:left w:val="single" w:color="000000" w:sz="10" w:space="0"/>
            </w:tcBorders>
            <w:vAlign w:val="top"/>
          </w:tcPr>
          <w:p w14:paraId="2889A0C0">
            <w:pPr>
              <w:pStyle w:val="594"/>
            </w:pPr>
          </w:p>
        </w:tc>
        <w:tc>
          <w:tcPr>
            <w:tcW w:w="1403" w:type="dxa"/>
            <w:vAlign w:val="top"/>
          </w:tcPr>
          <w:p w14:paraId="70476A49">
            <w:pPr>
              <w:pStyle w:val="594"/>
            </w:pPr>
          </w:p>
        </w:tc>
        <w:tc>
          <w:tcPr>
            <w:tcW w:w="1448" w:type="dxa"/>
            <w:vAlign w:val="top"/>
          </w:tcPr>
          <w:p w14:paraId="20688A03">
            <w:pPr>
              <w:pStyle w:val="594"/>
            </w:pPr>
          </w:p>
        </w:tc>
        <w:tc>
          <w:tcPr>
            <w:tcW w:w="1508" w:type="dxa"/>
            <w:vAlign w:val="top"/>
          </w:tcPr>
          <w:p w14:paraId="6FC85D51">
            <w:pPr>
              <w:pStyle w:val="594"/>
            </w:pPr>
          </w:p>
        </w:tc>
        <w:tc>
          <w:tcPr>
            <w:tcW w:w="538" w:type="dxa"/>
            <w:vAlign w:val="top"/>
          </w:tcPr>
          <w:p w14:paraId="27D7BFDD">
            <w:pPr>
              <w:pStyle w:val="594"/>
            </w:pPr>
          </w:p>
        </w:tc>
        <w:tc>
          <w:tcPr>
            <w:tcW w:w="955" w:type="dxa"/>
            <w:gridSpan w:val="2"/>
            <w:vAlign w:val="top"/>
          </w:tcPr>
          <w:p w14:paraId="2E58184C">
            <w:pPr>
              <w:pStyle w:val="594"/>
            </w:pPr>
          </w:p>
        </w:tc>
        <w:tc>
          <w:tcPr>
            <w:tcW w:w="1106" w:type="dxa"/>
            <w:vAlign w:val="top"/>
          </w:tcPr>
          <w:p w14:paraId="0DF35C9A">
            <w:pPr>
              <w:pStyle w:val="594"/>
            </w:pPr>
          </w:p>
        </w:tc>
        <w:tc>
          <w:tcPr>
            <w:tcW w:w="1270" w:type="dxa"/>
            <w:vAlign w:val="top"/>
          </w:tcPr>
          <w:p w14:paraId="42713676">
            <w:pPr>
              <w:pStyle w:val="594"/>
            </w:pPr>
          </w:p>
        </w:tc>
        <w:tc>
          <w:tcPr>
            <w:tcW w:w="1360" w:type="dxa"/>
            <w:tcBorders>
              <w:right w:val="single" w:color="000000" w:sz="10" w:space="0"/>
            </w:tcBorders>
            <w:vAlign w:val="top"/>
          </w:tcPr>
          <w:p w14:paraId="5B8775B1">
            <w:pPr>
              <w:pStyle w:val="594"/>
            </w:pPr>
          </w:p>
        </w:tc>
      </w:tr>
      <w:tr w14:paraId="56EDF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jc w:val="center"/>
        </w:trPr>
        <w:tc>
          <w:tcPr>
            <w:tcW w:w="7781" w:type="dxa"/>
            <w:gridSpan w:val="8"/>
            <w:tcBorders>
              <w:left w:val="single" w:color="000000" w:sz="10" w:space="0"/>
            </w:tcBorders>
            <w:vAlign w:val="top"/>
          </w:tcPr>
          <w:p w14:paraId="2644B31E">
            <w:pPr>
              <w:spacing w:before="93" w:line="229" w:lineRule="auto"/>
              <w:ind w:left="3501"/>
              <w:rPr>
                <w:rFonts w:ascii="宋体" w:hAnsi="宋体" w:eastAsia="宋体" w:cs="宋体"/>
                <w:sz w:val="19"/>
                <w:szCs w:val="19"/>
              </w:rPr>
            </w:pPr>
            <w:r>
              <w:rPr>
                <w:rFonts w:ascii="宋体" w:hAnsi="宋体" w:eastAsia="宋体" w:cs="宋体"/>
                <w:spacing w:val="3"/>
                <w:sz w:val="19"/>
                <w:szCs w:val="19"/>
              </w:rPr>
              <w:t>本页小计</w:t>
            </w:r>
          </w:p>
        </w:tc>
        <w:tc>
          <w:tcPr>
            <w:tcW w:w="1270" w:type="dxa"/>
            <w:vAlign w:val="top"/>
          </w:tcPr>
          <w:p w14:paraId="0050FA4A">
            <w:pPr>
              <w:pStyle w:val="594"/>
            </w:pPr>
          </w:p>
        </w:tc>
        <w:tc>
          <w:tcPr>
            <w:tcW w:w="1360" w:type="dxa"/>
            <w:tcBorders>
              <w:right w:val="single" w:color="000000" w:sz="10" w:space="0"/>
            </w:tcBorders>
            <w:vAlign w:val="top"/>
          </w:tcPr>
          <w:p w14:paraId="52238201">
            <w:pPr>
              <w:pStyle w:val="594"/>
            </w:pPr>
          </w:p>
        </w:tc>
      </w:tr>
      <w:tr w14:paraId="43CAD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7781" w:type="dxa"/>
            <w:gridSpan w:val="8"/>
            <w:tcBorders>
              <w:left w:val="single" w:color="000000" w:sz="10" w:space="0"/>
              <w:bottom w:val="single" w:color="000000" w:sz="10" w:space="0"/>
            </w:tcBorders>
            <w:vAlign w:val="top"/>
          </w:tcPr>
          <w:p w14:paraId="45AA7A09">
            <w:pPr>
              <w:spacing w:before="93" w:line="231" w:lineRule="auto"/>
              <w:ind w:left="3546"/>
              <w:rPr>
                <w:rFonts w:ascii="宋体" w:hAnsi="宋体" w:eastAsia="宋体" w:cs="宋体"/>
                <w:sz w:val="19"/>
                <w:szCs w:val="19"/>
              </w:rPr>
            </w:pPr>
            <w:r>
              <w:rPr>
                <w:rFonts w:ascii="宋体" w:hAnsi="宋体" w:eastAsia="宋体" w:cs="宋体"/>
                <w:spacing w:val="1"/>
                <w:sz w:val="19"/>
                <w:szCs w:val="19"/>
              </w:rPr>
              <w:t>合</w:t>
            </w:r>
            <w:r>
              <w:rPr>
                <w:rFonts w:ascii="宋体" w:hAnsi="宋体" w:eastAsia="宋体" w:cs="宋体"/>
                <w:spacing w:val="10"/>
                <w:sz w:val="19"/>
                <w:szCs w:val="19"/>
              </w:rPr>
              <w:t xml:space="preserve">   </w:t>
            </w:r>
            <w:r>
              <w:rPr>
                <w:rFonts w:ascii="宋体" w:hAnsi="宋体" w:eastAsia="宋体" w:cs="宋体"/>
                <w:spacing w:val="1"/>
                <w:sz w:val="19"/>
                <w:szCs w:val="19"/>
              </w:rPr>
              <w:t>计</w:t>
            </w:r>
          </w:p>
        </w:tc>
        <w:tc>
          <w:tcPr>
            <w:tcW w:w="1270" w:type="dxa"/>
            <w:tcBorders>
              <w:bottom w:val="single" w:color="000000" w:sz="10" w:space="0"/>
            </w:tcBorders>
            <w:vAlign w:val="top"/>
          </w:tcPr>
          <w:p w14:paraId="7E753A10">
            <w:pPr>
              <w:pStyle w:val="594"/>
            </w:pPr>
          </w:p>
        </w:tc>
        <w:tc>
          <w:tcPr>
            <w:tcW w:w="1360" w:type="dxa"/>
            <w:tcBorders>
              <w:bottom w:val="single" w:color="000000" w:sz="10" w:space="0"/>
              <w:right w:val="single" w:color="000000" w:sz="10" w:space="0"/>
            </w:tcBorders>
            <w:vAlign w:val="top"/>
          </w:tcPr>
          <w:p w14:paraId="5115FE57">
            <w:pPr>
              <w:pStyle w:val="594"/>
            </w:pPr>
          </w:p>
        </w:tc>
      </w:tr>
    </w:tbl>
    <w:p w14:paraId="3A590F5A">
      <w:pPr>
        <w:spacing w:before="106"/>
      </w:pPr>
    </w:p>
    <w:tbl>
      <w:tblPr>
        <w:tblStyle w:val="333"/>
        <w:tblW w:w="10402" w:type="dxa"/>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Grid>
        <w:gridCol w:w="7766"/>
        <w:gridCol w:w="2636"/>
      </w:tblGrid>
      <w:tr w14:paraId="5B524EB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56" w:hRule="atLeast"/>
        </w:trPr>
        <w:tc>
          <w:tcPr>
            <w:tcW w:w="10402" w:type="dxa"/>
            <w:gridSpan w:val="2"/>
            <w:tcBorders>
              <w:top w:val="nil"/>
              <w:left w:val="nil"/>
              <w:right w:val="single" w:color="FFFFFF" w:sz="2" w:space="0"/>
            </w:tcBorders>
            <w:vAlign w:val="top"/>
          </w:tcPr>
          <w:p w14:paraId="3AD639FC">
            <w:pPr>
              <w:spacing w:before="29" w:line="231" w:lineRule="auto"/>
              <w:ind w:left="37"/>
              <w:rPr>
                <w:rFonts w:ascii="宋体" w:hAnsi="宋体" w:eastAsia="宋体" w:cs="宋体"/>
                <w:sz w:val="17"/>
                <w:szCs w:val="17"/>
              </w:rPr>
            </w:pPr>
            <w:r>
              <w:rPr>
                <w:rFonts w:ascii="宋体" w:hAnsi="宋体" w:eastAsia="宋体" w:cs="宋体"/>
                <w:spacing w:val="7"/>
                <w:sz w:val="17"/>
                <w:szCs w:val="17"/>
              </w:rPr>
              <w:t>注：为计取规费等的使用，可在表中增设其中：“</w:t>
            </w:r>
            <w:r>
              <w:rPr>
                <w:rFonts w:ascii="宋体" w:hAnsi="宋体" w:eastAsia="宋体" w:cs="宋体"/>
                <w:spacing w:val="-50"/>
                <w:sz w:val="17"/>
                <w:szCs w:val="17"/>
              </w:rPr>
              <w:t xml:space="preserve"> </w:t>
            </w:r>
            <w:r>
              <w:rPr>
                <w:rFonts w:ascii="宋体" w:hAnsi="宋体" w:eastAsia="宋体" w:cs="宋体"/>
                <w:spacing w:val="7"/>
                <w:sz w:val="17"/>
                <w:szCs w:val="17"/>
              </w:rPr>
              <w:t>定额人工</w:t>
            </w:r>
            <w:r>
              <w:rPr>
                <w:rFonts w:ascii="宋体" w:hAnsi="宋体" w:eastAsia="宋体" w:cs="宋体"/>
                <w:spacing w:val="6"/>
                <w:sz w:val="17"/>
                <w:szCs w:val="17"/>
              </w:rPr>
              <w:t>费</w:t>
            </w:r>
            <w:r>
              <w:rPr>
                <w:rFonts w:ascii="宋体" w:hAnsi="宋体" w:eastAsia="宋体" w:cs="宋体"/>
                <w:spacing w:val="-62"/>
                <w:sz w:val="17"/>
                <w:szCs w:val="17"/>
              </w:rPr>
              <w:t xml:space="preserve"> </w:t>
            </w:r>
            <w:r>
              <w:rPr>
                <w:rFonts w:ascii="宋体" w:hAnsi="宋体" w:eastAsia="宋体" w:cs="宋体"/>
                <w:spacing w:val="6"/>
                <w:sz w:val="17"/>
                <w:szCs w:val="17"/>
              </w:rPr>
              <w:t>”。</w:t>
            </w:r>
          </w:p>
        </w:tc>
      </w:tr>
      <w:tr w14:paraId="1C49A67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41" w:hRule="atLeast"/>
        </w:trPr>
        <w:tc>
          <w:tcPr>
            <w:tcW w:w="7766" w:type="dxa"/>
            <w:tcBorders>
              <w:left w:val="nil"/>
              <w:bottom w:val="single" w:color="FFFFFF" w:sz="2" w:space="0"/>
            </w:tcBorders>
            <w:vAlign w:val="top"/>
          </w:tcPr>
          <w:p w14:paraId="24D39529">
            <w:pPr>
              <w:pStyle w:val="594"/>
            </w:pPr>
          </w:p>
        </w:tc>
        <w:tc>
          <w:tcPr>
            <w:tcW w:w="2636" w:type="dxa"/>
            <w:tcBorders>
              <w:bottom w:val="single" w:color="FFFFFF" w:sz="2" w:space="0"/>
              <w:right w:val="single" w:color="FFFFFF" w:sz="2" w:space="0"/>
            </w:tcBorders>
            <w:vAlign w:val="top"/>
          </w:tcPr>
          <w:p w14:paraId="3174DD5E">
            <w:pPr>
              <w:spacing w:before="23" w:line="232" w:lineRule="auto"/>
              <w:ind w:right="24"/>
              <w:jc w:val="right"/>
              <w:rPr>
                <w:rFonts w:ascii="宋体" w:hAnsi="宋体" w:eastAsia="宋体" w:cs="宋体"/>
                <w:sz w:val="17"/>
                <w:szCs w:val="17"/>
              </w:rPr>
            </w:pPr>
            <w:r>
              <w:rPr>
                <w:rFonts w:ascii="宋体" w:hAnsi="宋体" w:eastAsia="宋体" w:cs="宋体"/>
                <w:spacing w:val="3"/>
                <w:sz w:val="17"/>
                <w:szCs w:val="17"/>
              </w:rPr>
              <w:t>表</w:t>
            </w:r>
            <w:r>
              <w:rPr>
                <w:rFonts w:ascii="宋体" w:hAnsi="宋体" w:eastAsia="宋体" w:cs="宋体"/>
                <w:spacing w:val="-5"/>
                <w:w w:val="55"/>
                <w:sz w:val="17"/>
                <w:szCs w:val="17"/>
              </w:rPr>
              <w:t>—</w:t>
            </w:r>
            <w:r>
              <w:rPr>
                <w:rFonts w:ascii="宋体" w:hAnsi="宋体" w:eastAsia="宋体" w:cs="宋体"/>
                <w:spacing w:val="9"/>
                <w:sz w:val="17"/>
                <w:szCs w:val="17"/>
              </w:rPr>
              <w:t xml:space="preserve"> </w:t>
            </w:r>
            <w:r>
              <w:rPr>
                <w:rFonts w:ascii="宋体" w:hAnsi="宋体" w:eastAsia="宋体" w:cs="宋体"/>
                <w:spacing w:val="3"/>
                <w:sz w:val="17"/>
                <w:szCs w:val="17"/>
              </w:rPr>
              <w:t>08</w:t>
            </w:r>
          </w:p>
        </w:tc>
      </w:tr>
    </w:tbl>
    <w:p w14:paraId="53E59C88">
      <w:pPr>
        <w:rPr>
          <w:rFonts w:ascii="Arial"/>
          <w:sz w:val="21"/>
        </w:rPr>
      </w:pPr>
    </w:p>
    <w:p w14:paraId="5EFC5D9F">
      <w:pPr>
        <w:rPr>
          <w:rFonts w:ascii="Arial" w:hAnsi="Arial" w:eastAsia="Arial" w:cs="Arial"/>
          <w:sz w:val="21"/>
          <w:szCs w:val="21"/>
        </w:rPr>
        <w:sectPr>
          <w:pgSz w:w="11960" w:h="16880"/>
          <w:pgMar w:top="400" w:right="790" w:bottom="0" w:left="733" w:header="0" w:footer="0" w:gutter="0"/>
          <w:cols w:space="720" w:num="1"/>
        </w:sectPr>
      </w:pPr>
    </w:p>
    <w:p w14:paraId="134246E3">
      <w:pPr>
        <w:spacing w:before="208"/>
      </w:pPr>
    </w:p>
    <w:tbl>
      <w:tblPr>
        <w:tblStyle w:val="333"/>
        <w:tblW w:w="104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8"/>
        <w:gridCol w:w="1390"/>
        <w:gridCol w:w="1838"/>
        <w:gridCol w:w="1076"/>
        <w:gridCol w:w="536"/>
        <w:gridCol w:w="596"/>
        <w:gridCol w:w="1224"/>
        <w:gridCol w:w="199"/>
        <w:gridCol w:w="666"/>
        <w:gridCol w:w="1194"/>
        <w:gridCol w:w="1094"/>
      </w:tblGrid>
      <w:tr w14:paraId="1D536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jc w:val="center"/>
        </w:trPr>
        <w:tc>
          <w:tcPr>
            <w:tcW w:w="10411" w:type="dxa"/>
            <w:gridSpan w:val="11"/>
            <w:tcBorders>
              <w:top w:val="nil"/>
              <w:left w:val="nil"/>
              <w:bottom w:val="single" w:color="FFFFFF" w:sz="4" w:space="0"/>
              <w:right w:val="single" w:color="FFFFFF" w:sz="2" w:space="0"/>
            </w:tcBorders>
            <w:vAlign w:val="top"/>
          </w:tcPr>
          <w:p w14:paraId="203BCF1A">
            <w:pPr>
              <w:spacing w:before="135" w:line="223" w:lineRule="auto"/>
              <w:ind w:left="2687"/>
              <w:outlineLvl w:val="0"/>
              <w:rPr>
                <w:rFonts w:ascii="宋体" w:hAnsi="宋体" w:eastAsia="宋体" w:cs="宋体"/>
                <w:sz w:val="39"/>
                <w:szCs w:val="39"/>
              </w:rPr>
            </w:pPr>
            <w:r>
              <w:rPr>
                <w:rFonts w:ascii="宋体" w:hAnsi="宋体" w:eastAsia="宋体" w:cs="宋体"/>
                <w:spacing w:val="25"/>
                <w:sz w:val="39"/>
                <w:szCs w:val="39"/>
              </w:rPr>
              <w:t>总价措施项目清单与计价表</w:t>
            </w:r>
          </w:p>
        </w:tc>
      </w:tr>
      <w:tr w14:paraId="64304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4902" w:type="dxa"/>
            <w:gridSpan w:val="4"/>
            <w:tcBorders>
              <w:top w:val="single" w:color="FFFFFF" w:sz="4" w:space="0"/>
              <w:left w:val="nil"/>
              <w:bottom w:val="single" w:color="000000" w:sz="10" w:space="0"/>
              <w:right w:val="single" w:color="FFFFFF" w:sz="4" w:space="0"/>
            </w:tcBorders>
            <w:vAlign w:val="top"/>
          </w:tcPr>
          <w:p w14:paraId="1C00D774">
            <w:pPr>
              <w:pStyle w:val="594"/>
              <w:spacing w:line="285" w:lineRule="auto"/>
            </w:pPr>
          </w:p>
          <w:p w14:paraId="4DA0E9A8">
            <w:pPr>
              <w:spacing w:before="62" w:line="203" w:lineRule="auto"/>
              <w:ind w:left="28"/>
              <w:rPr>
                <w:rFonts w:ascii="宋体" w:hAnsi="宋体" w:eastAsia="宋体" w:cs="宋体"/>
                <w:sz w:val="19"/>
                <w:szCs w:val="19"/>
              </w:rPr>
            </w:pPr>
            <w:r>
              <w:rPr>
                <w:rFonts w:ascii="宋体" w:hAnsi="宋体" w:eastAsia="宋体" w:cs="宋体"/>
                <w:spacing w:val="4"/>
                <w:sz w:val="19"/>
                <w:szCs w:val="19"/>
              </w:rPr>
              <w:t>工程名称：沭阳县耿圩镇污水处理厂提质提标项目</w:t>
            </w:r>
          </w:p>
        </w:tc>
        <w:tc>
          <w:tcPr>
            <w:tcW w:w="2555" w:type="dxa"/>
            <w:gridSpan w:val="4"/>
            <w:tcBorders>
              <w:top w:val="single" w:color="FFFFFF" w:sz="4" w:space="0"/>
              <w:left w:val="single" w:color="FFFFFF" w:sz="4" w:space="0"/>
              <w:bottom w:val="single" w:color="000000" w:sz="10" w:space="0"/>
              <w:right w:val="single" w:color="FFFFFF" w:sz="4" w:space="0"/>
            </w:tcBorders>
            <w:vAlign w:val="top"/>
          </w:tcPr>
          <w:p w14:paraId="04ED8728">
            <w:pPr>
              <w:spacing w:before="154" w:line="196" w:lineRule="auto"/>
              <w:ind w:left="30" w:right="182" w:hanging="1"/>
              <w:rPr>
                <w:rFonts w:ascii="宋体" w:hAnsi="宋体" w:eastAsia="宋体" w:cs="宋体"/>
                <w:sz w:val="19"/>
                <w:szCs w:val="19"/>
              </w:rPr>
            </w:pPr>
            <w:r>
              <w:rPr>
                <w:rFonts w:ascii="宋体" w:hAnsi="宋体" w:eastAsia="宋体" w:cs="宋体"/>
                <w:spacing w:val="4"/>
                <w:sz w:val="19"/>
                <w:szCs w:val="19"/>
              </w:rPr>
              <w:t>标段：沭阳县耿圩镇污水处</w:t>
            </w:r>
            <w:r>
              <w:rPr>
                <w:rFonts w:ascii="宋体" w:hAnsi="宋体" w:eastAsia="宋体" w:cs="宋体"/>
                <w:spacing w:val="3"/>
                <w:sz w:val="19"/>
                <w:szCs w:val="19"/>
              </w:rPr>
              <w:t xml:space="preserve"> </w:t>
            </w:r>
            <w:r>
              <w:rPr>
                <w:rFonts w:ascii="宋体" w:hAnsi="宋体" w:eastAsia="宋体" w:cs="宋体"/>
                <w:spacing w:val="4"/>
                <w:sz w:val="19"/>
                <w:szCs w:val="19"/>
              </w:rPr>
              <w:t>理厂提质提标项目</w:t>
            </w:r>
          </w:p>
        </w:tc>
        <w:tc>
          <w:tcPr>
            <w:tcW w:w="2954" w:type="dxa"/>
            <w:gridSpan w:val="3"/>
            <w:tcBorders>
              <w:top w:val="single" w:color="FFFFFF" w:sz="4" w:space="0"/>
              <w:left w:val="single" w:color="FFFFFF" w:sz="4" w:space="0"/>
              <w:bottom w:val="single" w:color="000000" w:sz="10" w:space="0"/>
              <w:right w:val="single" w:color="FFFFFF" w:sz="2" w:space="0"/>
            </w:tcBorders>
            <w:vAlign w:val="top"/>
          </w:tcPr>
          <w:p w14:paraId="1B4AA244">
            <w:pPr>
              <w:pStyle w:val="594"/>
              <w:spacing w:line="285" w:lineRule="auto"/>
            </w:pPr>
          </w:p>
          <w:p w14:paraId="23C1E373">
            <w:pPr>
              <w:spacing w:before="62" w:line="203" w:lineRule="auto"/>
              <w:ind w:left="1291"/>
              <w:rPr>
                <w:rFonts w:ascii="宋体" w:hAnsi="宋体" w:eastAsia="宋体" w:cs="宋体"/>
                <w:sz w:val="19"/>
                <w:szCs w:val="19"/>
              </w:rPr>
            </w:pPr>
            <w:r>
              <w:rPr>
                <w:rFonts w:ascii="宋体" w:hAnsi="宋体" w:eastAsia="宋体" w:cs="宋体"/>
                <w:spacing w:val="-4"/>
                <w:sz w:val="19"/>
                <w:szCs w:val="19"/>
              </w:rPr>
              <w:t>第</w:t>
            </w:r>
            <w:r>
              <w:rPr>
                <w:rFonts w:ascii="宋体" w:hAnsi="宋体" w:eastAsia="宋体" w:cs="宋体"/>
                <w:spacing w:val="26"/>
                <w:sz w:val="19"/>
                <w:szCs w:val="19"/>
              </w:rPr>
              <w:t xml:space="preserve"> </w:t>
            </w:r>
            <w:r>
              <w:rPr>
                <w:rFonts w:ascii="宋体" w:hAnsi="宋体" w:eastAsia="宋体" w:cs="宋体"/>
                <w:spacing w:val="-4"/>
                <w:sz w:val="19"/>
                <w:szCs w:val="19"/>
              </w:rPr>
              <w:t>1</w:t>
            </w:r>
            <w:r>
              <w:rPr>
                <w:rFonts w:ascii="宋体" w:hAnsi="宋体" w:eastAsia="宋体" w:cs="宋体"/>
                <w:spacing w:val="26"/>
                <w:sz w:val="19"/>
                <w:szCs w:val="19"/>
              </w:rPr>
              <w:t xml:space="preserve"> </w:t>
            </w:r>
            <w:r>
              <w:rPr>
                <w:rFonts w:ascii="宋体" w:hAnsi="宋体" w:eastAsia="宋体" w:cs="宋体"/>
                <w:spacing w:val="-4"/>
                <w:sz w:val="19"/>
                <w:szCs w:val="19"/>
              </w:rPr>
              <w:t>页</w:t>
            </w:r>
            <w:r>
              <w:rPr>
                <w:rFonts w:ascii="宋体" w:hAnsi="宋体" w:eastAsia="宋体" w:cs="宋体"/>
                <w:spacing w:val="10"/>
                <w:sz w:val="19"/>
                <w:szCs w:val="19"/>
              </w:rPr>
              <w:t xml:space="preserve">  </w:t>
            </w:r>
            <w:r>
              <w:rPr>
                <w:rFonts w:ascii="宋体" w:hAnsi="宋体" w:eastAsia="宋体" w:cs="宋体"/>
                <w:spacing w:val="-4"/>
                <w:sz w:val="19"/>
                <w:szCs w:val="19"/>
              </w:rPr>
              <w:t>共</w:t>
            </w:r>
            <w:r>
              <w:rPr>
                <w:rFonts w:ascii="宋体" w:hAnsi="宋体" w:eastAsia="宋体" w:cs="宋体"/>
                <w:spacing w:val="17"/>
                <w:sz w:val="19"/>
                <w:szCs w:val="19"/>
              </w:rPr>
              <w:t xml:space="preserve"> </w:t>
            </w:r>
            <w:r>
              <w:rPr>
                <w:rFonts w:ascii="宋体" w:hAnsi="宋体" w:eastAsia="宋体" w:cs="宋体"/>
                <w:spacing w:val="-4"/>
                <w:sz w:val="19"/>
                <w:szCs w:val="19"/>
              </w:rPr>
              <w:t>3</w:t>
            </w:r>
            <w:r>
              <w:rPr>
                <w:rFonts w:ascii="宋体" w:hAnsi="宋体" w:eastAsia="宋体" w:cs="宋体"/>
                <w:spacing w:val="26"/>
                <w:sz w:val="19"/>
                <w:szCs w:val="19"/>
              </w:rPr>
              <w:t xml:space="preserve"> </w:t>
            </w:r>
            <w:r>
              <w:rPr>
                <w:rFonts w:ascii="宋体" w:hAnsi="宋体" w:eastAsia="宋体" w:cs="宋体"/>
                <w:spacing w:val="-4"/>
                <w:sz w:val="19"/>
                <w:szCs w:val="19"/>
              </w:rPr>
              <w:t>页</w:t>
            </w:r>
          </w:p>
        </w:tc>
      </w:tr>
      <w:tr w14:paraId="1863B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hRule="atLeast"/>
          <w:jc w:val="center"/>
        </w:trPr>
        <w:tc>
          <w:tcPr>
            <w:tcW w:w="598" w:type="dxa"/>
            <w:tcBorders>
              <w:top w:val="single" w:color="000000" w:sz="10" w:space="0"/>
              <w:left w:val="single" w:color="000000" w:sz="10" w:space="0"/>
            </w:tcBorders>
            <w:vAlign w:val="top"/>
          </w:tcPr>
          <w:p w14:paraId="078A27F4">
            <w:pPr>
              <w:spacing w:before="205" w:line="231" w:lineRule="auto"/>
              <w:ind w:left="102"/>
              <w:rPr>
                <w:rFonts w:ascii="宋体" w:hAnsi="宋体" w:eastAsia="宋体" w:cs="宋体"/>
                <w:sz w:val="19"/>
                <w:szCs w:val="19"/>
              </w:rPr>
            </w:pPr>
            <w:r>
              <w:rPr>
                <w:rFonts w:ascii="宋体" w:hAnsi="宋体" w:eastAsia="宋体" w:cs="宋体"/>
                <w:spacing w:val="3"/>
                <w:sz w:val="19"/>
                <w:szCs w:val="19"/>
              </w:rPr>
              <w:t>序号</w:t>
            </w:r>
          </w:p>
        </w:tc>
        <w:tc>
          <w:tcPr>
            <w:tcW w:w="1390" w:type="dxa"/>
            <w:tcBorders>
              <w:top w:val="single" w:color="000000" w:sz="10" w:space="0"/>
            </w:tcBorders>
            <w:vAlign w:val="top"/>
          </w:tcPr>
          <w:p w14:paraId="393EEB5D">
            <w:pPr>
              <w:spacing w:before="205" w:line="230" w:lineRule="auto"/>
              <w:ind w:left="309"/>
              <w:rPr>
                <w:rFonts w:ascii="宋体" w:hAnsi="宋体" w:eastAsia="宋体" w:cs="宋体"/>
                <w:sz w:val="19"/>
                <w:szCs w:val="19"/>
              </w:rPr>
            </w:pPr>
            <w:r>
              <w:rPr>
                <w:rFonts w:ascii="宋体" w:hAnsi="宋体" w:eastAsia="宋体" w:cs="宋体"/>
                <w:spacing w:val="3"/>
                <w:sz w:val="19"/>
                <w:szCs w:val="19"/>
              </w:rPr>
              <w:t>项目编码</w:t>
            </w:r>
          </w:p>
        </w:tc>
        <w:tc>
          <w:tcPr>
            <w:tcW w:w="1838" w:type="dxa"/>
            <w:tcBorders>
              <w:top w:val="single" w:color="000000" w:sz="10" w:space="0"/>
            </w:tcBorders>
            <w:vAlign w:val="top"/>
          </w:tcPr>
          <w:p w14:paraId="69DA6296">
            <w:pPr>
              <w:spacing w:before="206" w:line="230" w:lineRule="auto"/>
              <w:ind w:left="535"/>
              <w:rPr>
                <w:rFonts w:ascii="宋体" w:hAnsi="宋体" w:eastAsia="宋体" w:cs="宋体"/>
                <w:sz w:val="19"/>
                <w:szCs w:val="19"/>
              </w:rPr>
            </w:pPr>
            <w:r>
              <w:rPr>
                <w:rFonts w:ascii="宋体" w:hAnsi="宋体" w:eastAsia="宋体" w:cs="宋体"/>
                <w:spacing w:val="3"/>
                <w:sz w:val="19"/>
                <w:szCs w:val="19"/>
              </w:rPr>
              <w:t>项目名称</w:t>
            </w:r>
          </w:p>
        </w:tc>
        <w:tc>
          <w:tcPr>
            <w:tcW w:w="1612" w:type="dxa"/>
            <w:gridSpan w:val="2"/>
            <w:tcBorders>
              <w:top w:val="single" w:color="000000" w:sz="10" w:space="0"/>
            </w:tcBorders>
            <w:vAlign w:val="top"/>
          </w:tcPr>
          <w:p w14:paraId="48794BC6">
            <w:pPr>
              <w:spacing w:before="205" w:line="230" w:lineRule="auto"/>
              <w:ind w:left="416"/>
              <w:rPr>
                <w:rFonts w:ascii="宋体" w:hAnsi="宋体" w:eastAsia="宋体" w:cs="宋体"/>
                <w:sz w:val="19"/>
                <w:szCs w:val="19"/>
              </w:rPr>
            </w:pPr>
            <w:r>
              <w:rPr>
                <w:rFonts w:ascii="宋体" w:hAnsi="宋体" w:eastAsia="宋体" w:cs="宋体"/>
                <w:spacing w:val="3"/>
                <w:sz w:val="19"/>
                <w:szCs w:val="19"/>
              </w:rPr>
              <w:t>基数说明</w:t>
            </w:r>
          </w:p>
        </w:tc>
        <w:tc>
          <w:tcPr>
            <w:tcW w:w="596" w:type="dxa"/>
            <w:tcBorders>
              <w:top w:val="single" w:color="000000" w:sz="10" w:space="0"/>
            </w:tcBorders>
            <w:vAlign w:val="top"/>
          </w:tcPr>
          <w:p w14:paraId="1ADD3DE3">
            <w:pPr>
              <w:spacing w:before="115" w:line="211" w:lineRule="auto"/>
              <w:ind w:left="186" w:right="92" w:hanging="69"/>
              <w:rPr>
                <w:rFonts w:ascii="宋体" w:hAnsi="宋体" w:eastAsia="宋体" w:cs="宋体"/>
                <w:sz w:val="19"/>
                <w:szCs w:val="19"/>
              </w:rPr>
            </w:pPr>
            <w:r>
              <w:rPr>
                <w:rFonts w:ascii="宋体" w:hAnsi="宋体" w:eastAsia="宋体" w:cs="宋体"/>
                <w:spacing w:val="-3"/>
                <w:sz w:val="19"/>
                <w:szCs w:val="19"/>
              </w:rPr>
              <w:t>费率</w:t>
            </w:r>
            <w:r>
              <w:rPr>
                <w:rFonts w:ascii="宋体" w:hAnsi="宋体" w:eastAsia="宋体" w:cs="宋体"/>
                <w:sz w:val="19"/>
                <w:szCs w:val="19"/>
              </w:rPr>
              <w:t xml:space="preserve"> </w:t>
            </w:r>
            <w:r>
              <w:rPr>
                <w:rFonts w:ascii="宋体" w:hAnsi="宋体" w:eastAsia="宋体" w:cs="宋体"/>
                <w:spacing w:val="-5"/>
                <w:sz w:val="19"/>
                <w:szCs w:val="19"/>
              </w:rPr>
              <w:t>(%)</w:t>
            </w:r>
          </w:p>
        </w:tc>
        <w:tc>
          <w:tcPr>
            <w:tcW w:w="1224" w:type="dxa"/>
            <w:tcBorders>
              <w:top w:val="single" w:color="000000" w:sz="10" w:space="0"/>
            </w:tcBorders>
            <w:vAlign w:val="top"/>
          </w:tcPr>
          <w:p w14:paraId="657C0239">
            <w:pPr>
              <w:spacing w:before="115" w:line="210" w:lineRule="auto"/>
              <w:ind w:left="458" w:right="400" w:hanging="33"/>
              <w:rPr>
                <w:rFonts w:ascii="宋体" w:hAnsi="宋体" w:eastAsia="宋体" w:cs="宋体"/>
                <w:sz w:val="19"/>
                <w:szCs w:val="19"/>
              </w:rPr>
            </w:pPr>
            <w:r>
              <w:rPr>
                <w:rFonts w:ascii="宋体" w:hAnsi="宋体" w:eastAsia="宋体" w:cs="宋体"/>
                <w:spacing w:val="2"/>
                <w:sz w:val="19"/>
                <w:szCs w:val="19"/>
              </w:rPr>
              <w:t>金额</w:t>
            </w:r>
            <w:r>
              <w:rPr>
                <w:rFonts w:ascii="宋体" w:hAnsi="宋体" w:eastAsia="宋体" w:cs="宋体"/>
                <w:sz w:val="19"/>
                <w:szCs w:val="19"/>
              </w:rPr>
              <w:t xml:space="preserve"> </w:t>
            </w:r>
            <w:r>
              <w:rPr>
                <w:rFonts w:ascii="宋体" w:hAnsi="宋体" w:eastAsia="宋体" w:cs="宋体"/>
                <w:spacing w:val="-9"/>
                <w:sz w:val="19"/>
                <w:szCs w:val="19"/>
              </w:rPr>
              <w:t>(元)</w:t>
            </w:r>
          </w:p>
        </w:tc>
        <w:tc>
          <w:tcPr>
            <w:tcW w:w="865" w:type="dxa"/>
            <w:gridSpan w:val="2"/>
            <w:tcBorders>
              <w:top w:val="single" w:color="000000" w:sz="10" w:space="0"/>
            </w:tcBorders>
            <w:vAlign w:val="top"/>
          </w:tcPr>
          <w:p w14:paraId="21A34A38">
            <w:pPr>
              <w:spacing w:before="116" w:line="209" w:lineRule="auto"/>
              <w:ind w:left="109" w:right="65" w:firstLine="140"/>
              <w:rPr>
                <w:rFonts w:ascii="宋体" w:hAnsi="宋体" w:eastAsia="宋体" w:cs="宋体"/>
                <w:sz w:val="19"/>
                <w:szCs w:val="19"/>
              </w:rPr>
            </w:pPr>
            <w:r>
              <w:rPr>
                <w:rFonts w:ascii="宋体" w:hAnsi="宋体" w:eastAsia="宋体" w:cs="宋体"/>
                <w:spacing w:val="2"/>
                <w:sz w:val="19"/>
                <w:szCs w:val="19"/>
              </w:rPr>
              <w:t>调整</w:t>
            </w:r>
            <w:r>
              <w:rPr>
                <w:rFonts w:ascii="宋体" w:hAnsi="宋体" w:eastAsia="宋体" w:cs="宋体"/>
                <w:sz w:val="19"/>
                <w:szCs w:val="19"/>
              </w:rPr>
              <w:t xml:space="preserve">  </w:t>
            </w:r>
            <w:r>
              <w:rPr>
                <w:rFonts w:ascii="宋体" w:hAnsi="宋体" w:eastAsia="宋体" w:cs="宋体"/>
                <w:spacing w:val="3"/>
                <w:sz w:val="19"/>
                <w:szCs w:val="19"/>
              </w:rPr>
              <w:t>费率(%)</w:t>
            </w:r>
          </w:p>
        </w:tc>
        <w:tc>
          <w:tcPr>
            <w:tcW w:w="1194" w:type="dxa"/>
            <w:tcBorders>
              <w:top w:val="single" w:color="000000" w:sz="10" w:space="0"/>
            </w:tcBorders>
            <w:vAlign w:val="top"/>
          </w:tcPr>
          <w:p w14:paraId="0619E8F6">
            <w:pPr>
              <w:spacing w:before="116" w:line="209" w:lineRule="auto"/>
              <w:ind w:left="222" w:right="183" w:firstLine="104"/>
              <w:rPr>
                <w:rFonts w:ascii="宋体" w:hAnsi="宋体" w:eastAsia="宋体" w:cs="宋体"/>
                <w:sz w:val="19"/>
                <w:szCs w:val="19"/>
              </w:rPr>
            </w:pPr>
            <w:r>
              <w:rPr>
                <w:rFonts w:ascii="宋体" w:hAnsi="宋体" w:eastAsia="宋体" w:cs="宋体"/>
                <w:spacing w:val="3"/>
                <w:sz w:val="19"/>
                <w:szCs w:val="19"/>
              </w:rPr>
              <w:t>调整后</w:t>
            </w:r>
            <w:r>
              <w:rPr>
                <w:rFonts w:ascii="宋体" w:hAnsi="宋体" w:eastAsia="宋体" w:cs="宋体"/>
                <w:sz w:val="19"/>
                <w:szCs w:val="19"/>
              </w:rPr>
              <w:t xml:space="preserve">  </w:t>
            </w:r>
            <w:r>
              <w:rPr>
                <w:rFonts w:ascii="宋体" w:hAnsi="宋体" w:eastAsia="宋体" w:cs="宋体"/>
                <w:spacing w:val="3"/>
                <w:sz w:val="19"/>
                <w:szCs w:val="19"/>
              </w:rPr>
              <w:t>金额(元)</w:t>
            </w:r>
          </w:p>
        </w:tc>
        <w:tc>
          <w:tcPr>
            <w:tcW w:w="1094" w:type="dxa"/>
            <w:tcBorders>
              <w:top w:val="single" w:color="000000" w:sz="10" w:space="0"/>
              <w:right w:val="single" w:color="000000" w:sz="10" w:space="0"/>
            </w:tcBorders>
            <w:vAlign w:val="top"/>
          </w:tcPr>
          <w:p w14:paraId="548CB538">
            <w:pPr>
              <w:spacing w:before="205" w:line="231" w:lineRule="auto"/>
              <w:ind w:left="361"/>
              <w:rPr>
                <w:rFonts w:ascii="宋体" w:hAnsi="宋体" w:eastAsia="宋体" w:cs="宋体"/>
                <w:sz w:val="19"/>
                <w:szCs w:val="19"/>
              </w:rPr>
            </w:pPr>
            <w:r>
              <w:rPr>
                <w:rFonts w:ascii="宋体" w:hAnsi="宋体" w:eastAsia="宋体" w:cs="宋体"/>
                <w:spacing w:val="2"/>
                <w:sz w:val="19"/>
                <w:szCs w:val="19"/>
              </w:rPr>
              <w:t>备注</w:t>
            </w:r>
          </w:p>
        </w:tc>
      </w:tr>
      <w:tr w14:paraId="6360D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jc w:val="center"/>
        </w:trPr>
        <w:tc>
          <w:tcPr>
            <w:tcW w:w="598" w:type="dxa"/>
            <w:tcBorders>
              <w:left w:val="single" w:color="000000" w:sz="10" w:space="0"/>
            </w:tcBorders>
            <w:vAlign w:val="top"/>
          </w:tcPr>
          <w:p w14:paraId="72C72BFE">
            <w:pPr>
              <w:spacing w:before="111" w:line="188" w:lineRule="auto"/>
              <w:ind w:left="252"/>
              <w:rPr>
                <w:rFonts w:ascii="宋体" w:hAnsi="宋体" w:eastAsia="宋体" w:cs="宋体"/>
                <w:sz w:val="19"/>
                <w:szCs w:val="19"/>
              </w:rPr>
            </w:pPr>
            <w:r>
              <w:rPr>
                <w:rFonts w:ascii="宋体" w:hAnsi="宋体" w:eastAsia="宋体" w:cs="宋体"/>
                <w:sz w:val="19"/>
                <w:szCs w:val="19"/>
              </w:rPr>
              <w:t>1</w:t>
            </w:r>
          </w:p>
        </w:tc>
        <w:tc>
          <w:tcPr>
            <w:tcW w:w="1390" w:type="dxa"/>
            <w:vAlign w:val="top"/>
          </w:tcPr>
          <w:p w14:paraId="6711BCD6">
            <w:pPr>
              <w:spacing w:before="112" w:line="188" w:lineRule="auto"/>
              <w:ind w:left="67"/>
              <w:rPr>
                <w:rFonts w:ascii="宋体" w:hAnsi="宋体" w:eastAsia="宋体" w:cs="宋体"/>
                <w:sz w:val="19"/>
                <w:szCs w:val="19"/>
              </w:rPr>
            </w:pPr>
            <w:r>
              <w:rPr>
                <w:rFonts w:ascii="宋体" w:hAnsi="宋体" w:eastAsia="宋体" w:cs="宋体"/>
                <w:spacing w:val="8"/>
                <w:sz w:val="19"/>
                <w:szCs w:val="19"/>
              </w:rPr>
              <w:t>011707001001</w:t>
            </w:r>
          </w:p>
        </w:tc>
        <w:tc>
          <w:tcPr>
            <w:tcW w:w="1838" w:type="dxa"/>
            <w:vAlign w:val="top"/>
          </w:tcPr>
          <w:p w14:paraId="24441C92">
            <w:pPr>
              <w:spacing w:before="78" w:line="230" w:lineRule="auto"/>
              <w:ind w:left="27"/>
              <w:rPr>
                <w:rFonts w:ascii="宋体" w:hAnsi="宋体" w:eastAsia="宋体" w:cs="宋体"/>
                <w:sz w:val="19"/>
                <w:szCs w:val="19"/>
              </w:rPr>
            </w:pPr>
            <w:r>
              <w:rPr>
                <w:rFonts w:ascii="宋体" w:hAnsi="宋体" w:eastAsia="宋体" w:cs="宋体"/>
                <w:spacing w:val="3"/>
                <w:sz w:val="19"/>
                <w:szCs w:val="19"/>
              </w:rPr>
              <w:t>安全文明施工费</w:t>
            </w:r>
          </w:p>
        </w:tc>
        <w:tc>
          <w:tcPr>
            <w:tcW w:w="1612" w:type="dxa"/>
            <w:gridSpan w:val="2"/>
            <w:vAlign w:val="top"/>
          </w:tcPr>
          <w:p w14:paraId="055191CE">
            <w:pPr>
              <w:pStyle w:val="594"/>
            </w:pPr>
          </w:p>
        </w:tc>
        <w:tc>
          <w:tcPr>
            <w:tcW w:w="596" w:type="dxa"/>
            <w:vAlign w:val="top"/>
          </w:tcPr>
          <w:p w14:paraId="52CF969C">
            <w:pPr>
              <w:pStyle w:val="594"/>
            </w:pPr>
          </w:p>
        </w:tc>
        <w:tc>
          <w:tcPr>
            <w:tcW w:w="1224" w:type="dxa"/>
            <w:vAlign w:val="top"/>
          </w:tcPr>
          <w:p w14:paraId="4F152F8F">
            <w:pPr>
              <w:pStyle w:val="594"/>
            </w:pPr>
          </w:p>
        </w:tc>
        <w:tc>
          <w:tcPr>
            <w:tcW w:w="865" w:type="dxa"/>
            <w:gridSpan w:val="2"/>
            <w:vAlign w:val="top"/>
          </w:tcPr>
          <w:p w14:paraId="2445BCFB">
            <w:pPr>
              <w:pStyle w:val="594"/>
            </w:pPr>
          </w:p>
        </w:tc>
        <w:tc>
          <w:tcPr>
            <w:tcW w:w="1194" w:type="dxa"/>
            <w:vAlign w:val="top"/>
          </w:tcPr>
          <w:p w14:paraId="4698396C">
            <w:pPr>
              <w:pStyle w:val="594"/>
            </w:pPr>
          </w:p>
        </w:tc>
        <w:tc>
          <w:tcPr>
            <w:tcW w:w="1094" w:type="dxa"/>
            <w:tcBorders>
              <w:right w:val="single" w:color="000000" w:sz="10" w:space="0"/>
            </w:tcBorders>
            <w:vAlign w:val="top"/>
          </w:tcPr>
          <w:p w14:paraId="1C000838">
            <w:pPr>
              <w:pStyle w:val="594"/>
            </w:pPr>
          </w:p>
        </w:tc>
      </w:tr>
      <w:tr w14:paraId="326EE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7" w:hRule="atLeast"/>
          <w:jc w:val="center"/>
        </w:trPr>
        <w:tc>
          <w:tcPr>
            <w:tcW w:w="598" w:type="dxa"/>
            <w:tcBorders>
              <w:left w:val="single" w:color="000000" w:sz="10" w:space="0"/>
            </w:tcBorders>
            <w:vAlign w:val="top"/>
          </w:tcPr>
          <w:p w14:paraId="39706F10">
            <w:pPr>
              <w:pStyle w:val="594"/>
              <w:spacing w:line="271" w:lineRule="auto"/>
            </w:pPr>
          </w:p>
          <w:p w14:paraId="7F594BA6">
            <w:pPr>
              <w:pStyle w:val="594"/>
              <w:spacing w:line="271" w:lineRule="auto"/>
            </w:pPr>
          </w:p>
          <w:p w14:paraId="31DEAFF4">
            <w:pPr>
              <w:spacing w:before="62" w:line="188" w:lineRule="auto"/>
              <w:ind w:left="147"/>
              <w:rPr>
                <w:rFonts w:ascii="宋体" w:hAnsi="宋体" w:eastAsia="宋体" w:cs="宋体"/>
                <w:sz w:val="19"/>
                <w:szCs w:val="19"/>
              </w:rPr>
            </w:pPr>
            <w:r>
              <w:rPr>
                <w:rFonts w:ascii="宋体" w:hAnsi="宋体" w:eastAsia="宋体" w:cs="宋体"/>
                <w:sz w:val="19"/>
                <w:szCs w:val="19"/>
              </w:rPr>
              <w:t>1.1</w:t>
            </w:r>
          </w:p>
        </w:tc>
        <w:tc>
          <w:tcPr>
            <w:tcW w:w="1390" w:type="dxa"/>
            <w:vAlign w:val="top"/>
          </w:tcPr>
          <w:p w14:paraId="3418C2EE">
            <w:pPr>
              <w:pStyle w:val="594"/>
              <w:spacing w:line="271" w:lineRule="auto"/>
            </w:pPr>
          </w:p>
          <w:p w14:paraId="1EEC3660">
            <w:pPr>
              <w:pStyle w:val="594"/>
              <w:spacing w:line="271" w:lineRule="auto"/>
            </w:pPr>
          </w:p>
          <w:p w14:paraId="2FC79F6D">
            <w:pPr>
              <w:spacing w:before="62" w:line="188" w:lineRule="auto"/>
              <w:ind w:left="545"/>
              <w:rPr>
                <w:rFonts w:ascii="宋体" w:hAnsi="宋体" w:eastAsia="宋体" w:cs="宋体"/>
                <w:sz w:val="19"/>
                <w:szCs w:val="19"/>
              </w:rPr>
            </w:pPr>
            <w:r>
              <w:rPr>
                <w:rFonts w:ascii="宋体" w:hAnsi="宋体" w:eastAsia="宋体" w:cs="宋体"/>
                <w:sz w:val="19"/>
                <w:szCs w:val="19"/>
              </w:rPr>
              <w:t>1.1</w:t>
            </w:r>
          </w:p>
        </w:tc>
        <w:tc>
          <w:tcPr>
            <w:tcW w:w="1838" w:type="dxa"/>
            <w:vAlign w:val="top"/>
          </w:tcPr>
          <w:p w14:paraId="66201424">
            <w:pPr>
              <w:pStyle w:val="594"/>
              <w:spacing w:line="254" w:lineRule="auto"/>
            </w:pPr>
          </w:p>
          <w:p w14:paraId="6E276806">
            <w:pPr>
              <w:pStyle w:val="594"/>
              <w:spacing w:line="255" w:lineRule="auto"/>
            </w:pPr>
          </w:p>
          <w:p w14:paraId="6D6231A1">
            <w:pPr>
              <w:spacing w:before="62" w:line="229" w:lineRule="auto"/>
              <w:ind w:left="23"/>
              <w:rPr>
                <w:rFonts w:ascii="宋体" w:hAnsi="宋体" w:eastAsia="宋体" w:cs="宋体"/>
                <w:sz w:val="19"/>
                <w:szCs w:val="19"/>
              </w:rPr>
            </w:pPr>
            <w:r>
              <w:rPr>
                <w:rFonts w:ascii="宋体" w:hAnsi="宋体" w:eastAsia="宋体" w:cs="宋体"/>
                <w:spacing w:val="3"/>
                <w:sz w:val="19"/>
                <w:szCs w:val="19"/>
              </w:rPr>
              <w:t>基本费</w:t>
            </w:r>
          </w:p>
        </w:tc>
        <w:tc>
          <w:tcPr>
            <w:tcW w:w="1612" w:type="dxa"/>
            <w:gridSpan w:val="2"/>
            <w:vAlign w:val="top"/>
          </w:tcPr>
          <w:p w14:paraId="43E123F5">
            <w:pPr>
              <w:spacing w:before="187" w:line="197" w:lineRule="auto"/>
              <w:ind w:left="27" w:right="20" w:firstLine="1"/>
              <w:rPr>
                <w:rFonts w:ascii="宋体" w:hAnsi="宋体" w:eastAsia="宋体" w:cs="宋体"/>
                <w:sz w:val="19"/>
                <w:szCs w:val="19"/>
              </w:rPr>
            </w:pPr>
            <w:r>
              <w:rPr>
                <w:rFonts w:ascii="宋体" w:hAnsi="宋体" w:eastAsia="宋体" w:cs="宋体"/>
                <w:spacing w:val="4"/>
                <w:sz w:val="19"/>
                <w:szCs w:val="19"/>
              </w:rPr>
              <w:t>分部分项合计+技</w:t>
            </w:r>
            <w:r>
              <w:rPr>
                <w:rFonts w:ascii="宋体" w:hAnsi="宋体" w:eastAsia="宋体" w:cs="宋体"/>
                <w:spacing w:val="1"/>
                <w:sz w:val="19"/>
                <w:szCs w:val="19"/>
              </w:rPr>
              <w:t xml:space="preserve">  </w:t>
            </w:r>
            <w:r>
              <w:rPr>
                <w:rFonts w:ascii="宋体" w:hAnsi="宋体" w:eastAsia="宋体" w:cs="宋体"/>
                <w:spacing w:val="3"/>
                <w:sz w:val="19"/>
                <w:szCs w:val="19"/>
              </w:rPr>
              <w:t>术措施项目合计-</w:t>
            </w:r>
            <w:r>
              <w:rPr>
                <w:rFonts w:ascii="宋体" w:hAnsi="宋体" w:eastAsia="宋体" w:cs="宋体"/>
                <w:spacing w:val="1"/>
                <w:sz w:val="19"/>
                <w:szCs w:val="19"/>
              </w:rPr>
              <w:t xml:space="preserve">  </w:t>
            </w:r>
            <w:r>
              <w:rPr>
                <w:rFonts w:ascii="宋体" w:hAnsi="宋体" w:eastAsia="宋体" w:cs="宋体"/>
                <w:spacing w:val="3"/>
                <w:sz w:val="19"/>
                <w:szCs w:val="19"/>
              </w:rPr>
              <w:t>分部分项设备费-</w:t>
            </w:r>
            <w:r>
              <w:rPr>
                <w:rFonts w:ascii="宋体" w:hAnsi="宋体" w:eastAsia="宋体" w:cs="宋体"/>
                <w:spacing w:val="1"/>
                <w:sz w:val="19"/>
                <w:szCs w:val="19"/>
              </w:rPr>
              <w:t xml:space="preserve">  </w:t>
            </w:r>
            <w:r>
              <w:rPr>
                <w:rFonts w:ascii="宋体" w:hAnsi="宋体" w:eastAsia="宋体" w:cs="宋体"/>
                <w:spacing w:val="4"/>
                <w:sz w:val="19"/>
                <w:szCs w:val="19"/>
              </w:rPr>
              <w:t>技术措施项目设备</w:t>
            </w:r>
            <w:r>
              <w:rPr>
                <w:rFonts w:ascii="宋体" w:hAnsi="宋体" w:eastAsia="宋体" w:cs="宋体"/>
                <w:sz w:val="19"/>
                <w:szCs w:val="19"/>
              </w:rPr>
              <w:t xml:space="preserve"> </w:t>
            </w:r>
            <w:r>
              <w:rPr>
                <w:rFonts w:ascii="宋体" w:hAnsi="宋体" w:eastAsia="宋体" w:cs="宋体"/>
                <w:spacing w:val="1"/>
                <w:sz w:val="19"/>
                <w:szCs w:val="19"/>
              </w:rPr>
              <w:t>费</w:t>
            </w:r>
          </w:p>
        </w:tc>
        <w:tc>
          <w:tcPr>
            <w:tcW w:w="596" w:type="dxa"/>
            <w:vAlign w:val="top"/>
          </w:tcPr>
          <w:p w14:paraId="2ACC8997">
            <w:pPr>
              <w:pStyle w:val="594"/>
              <w:spacing w:line="271" w:lineRule="auto"/>
            </w:pPr>
          </w:p>
          <w:p w14:paraId="15D4DE8D">
            <w:pPr>
              <w:pStyle w:val="594"/>
              <w:spacing w:line="271" w:lineRule="auto"/>
            </w:pPr>
          </w:p>
          <w:p w14:paraId="5542443D">
            <w:pPr>
              <w:spacing w:before="62" w:line="188" w:lineRule="auto"/>
              <w:ind w:left="155"/>
              <w:rPr>
                <w:rFonts w:ascii="宋体" w:hAnsi="宋体" w:eastAsia="宋体" w:cs="宋体"/>
                <w:sz w:val="19"/>
                <w:szCs w:val="19"/>
              </w:rPr>
            </w:pPr>
            <w:r>
              <w:rPr>
                <w:rFonts w:ascii="宋体" w:hAnsi="宋体" w:eastAsia="宋体" w:cs="宋体"/>
                <w:spacing w:val="4"/>
                <w:sz w:val="19"/>
                <w:szCs w:val="19"/>
              </w:rPr>
              <w:t>3.1</w:t>
            </w:r>
          </w:p>
        </w:tc>
        <w:tc>
          <w:tcPr>
            <w:tcW w:w="1224" w:type="dxa"/>
            <w:vAlign w:val="top"/>
          </w:tcPr>
          <w:p w14:paraId="4674A8F8">
            <w:pPr>
              <w:pStyle w:val="594"/>
            </w:pPr>
          </w:p>
        </w:tc>
        <w:tc>
          <w:tcPr>
            <w:tcW w:w="865" w:type="dxa"/>
            <w:gridSpan w:val="2"/>
            <w:vAlign w:val="top"/>
          </w:tcPr>
          <w:p w14:paraId="610103FF">
            <w:pPr>
              <w:pStyle w:val="594"/>
            </w:pPr>
          </w:p>
        </w:tc>
        <w:tc>
          <w:tcPr>
            <w:tcW w:w="1194" w:type="dxa"/>
            <w:vAlign w:val="top"/>
          </w:tcPr>
          <w:p w14:paraId="78DABAD7">
            <w:pPr>
              <w:pStyle w:val="594"/>
            </w:pPr>
          </w:p>
        </w:tc>
        <w:tc>
          <w:tcPr>
            <w:tcW w:w="1094" w:type="dxa"/>
            <w:tcBorders>
              <w:right w:val="single" w:color="000000" w:sz="10" w:space="0"/>
            </w:tcBorders>
            <w:vAlign w:val="top"/>
          </w:tcPr>
          <w:p w14:paraId="594A7BF7">
            <w:pPr>
              <w:pStyle w:val="594"/>
            </w:pPr>
          </w:p>
        </w:tc>
      </w:tr>
      <w:tr w14:paraId="6961D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4" w:hRule="atLeast"/>
          <w:jc w:val="center"/>
        </w:trPr>
        <w:tc>
          <w:tcPr>
            <w:tcW w:w="598" w:type="dxa"/>
            <w:tcBorders>
              <w:left w:val="single" w:color="000000" w:sz="10" w:space="0"/>
            </w:tcBorders>
            <w:vAlign w:val="top"/>
          </w:tcPr>
          <w:p w14:paraId="463DE717">
            <w:pPr>
              <w:pStyle w:val="594"/>
              <w:spacing w:line="271" w:lineRule="auto"/>
            </w:pPr>
          </w:p>
          <w:p w14:paraId="0E5BF131">
            <w:pPr>
              <w:pStyle w:val="594"/>
              <w:spacing w:line="271" w:lineRule="auto"/>
            </w:pPr>
          </w:p>
          <w:p w14:paraId="2E707374">
            <w:pPr>
              <w:spacing w:before="62" w:line="188" w:lineRule="auto"/>
              <w:ind w:left="147"/>
              <w:rPr>
                <w:rFonts w:ascii="宋体" w:hAnsi="宋体" w:eastAsia="宋体" w:cs="宋体"/>
                <w:sz w:val="19"/>
                <w:szCs w:val="19"/>
              </w:rPr>
            </w:pPr>
            <w:r>
              <w:rPr>
                <w:rFonts w:ascii="宋体" w:hAnsi="宋体" w:eastAsia="宋体" w:cs="宋体"/>
                <w:sz w:val="19"/>
                <w:szCs w:val="19"/>
              </w:rPr>
              <w:t>1.2</w:t>
            </w:r>
          </w:p>
        </w:tc>
        <w:tc>
          <w:tcPr>
            <w:tcW w:w="1390" w:type="dxa"/>
            <w:vAlign w:val="top"/>
          </w:tcPr>
          <w:p w14:paraId="377E5930">
            <w:pPr>
              <w:pStyle w:val="594"/>
              <w:spacing w:line="271" w:lineRule="auto"/>
            </w:pPr>
          </w:p>
          <w:p w14:paraId="38217691">
            <w:pPr>
              <w:pStyle w:val="594"/>
              <w:spacing w:line="271" w:lineRule="auto"/>
            </w:pPr>
          </w:p>
          <w:p w14:paraId="77811E87">
            <w:pPr>
              <w:spacing w:before="62" w:line="188" w:lineRule="auto"/>
              <w:ind w:left="545"/>
              <w:rPr>
                <w:rFonts w:ascii="宋体" w:hAnsi="宋体" w:eastAsia="宋体" w:cs="宋体"/>
                <w:sz w:val="19"/>
                <w:szCs w:val="19"/>
              </w:rPr>
            </w:pPr>
            <w:r>
              <w:rPr>
                <w:rFonts w:ascii="宋体" w:hAnsi="宋体" w:eastAsia="宋体" w:cs="宋体"/>
                <w:sz w:val="19"/>
                <w:szCs w:val="19"/>
              </w:rPr>
              <w:t>1.2</w:t>
            </w:r>
          </w:p>
        </w:tc>
        <w:tc>
          <w:tcPr>
            <w:tcW w:w="1838" w:type="dxa"/>
            <w:vAlign w:val="top"/>
          </w:tcPr>
          <w:p w14:paraId="379D5160">
            <w:pPr>
              <w:pStyle w:val="594"/>
              <w:spacing w:line="254" w:lineRule="auto"/>
            </w:pPr>
          </w:p>
          <w:p w14:paraId="4C264317">
            <w:pPr>
              <w:pStyle w:val="594"/>
              <w:spacing w:line="255" w:lineRule="auto"/>
            </w:pPr>
          </w:p>
          <w:p w14:paraId="10BDDBB5">
            <w:pPr>
              <w:spacing w:before="62" w:line="230" w:lineRule="auto"/>
              <w:ind w:left="24"/>
              <w:rPr>
                <w:rFonts w:ascii="宋体" w:hAnsi="宋体" w:eastAsia="宋体" w:cs="宋体"/>
                <w:sz w:val="19"/>
                <w:szCs w:val="19"/>
              </w:rPr>
            </w:pPr>
            <w:r>
              <w:rPr>
                <w:rFonts w:ascii="宋体" w:hAnsi="宋体" w:eastAsia="宋体" w:cs="宋体"/>
                <w:spacing w:val="3"/>
                <w:sz w:val="19"/>
                <w:szCs w:val="19"/>
              </w:rPr>
              <w:t>增加费</w:t>
            </w:r>
          </w:p>
        </w:tc>
        <w:tc>
          <w:tcPr>
            <w:tcW w:w="1612" w:type="dxa"/>
            <w:gridSpan w:val="2"/>
            <w:vAlign w:val="top"/>
          </w:tcPr>
          <w:p w14:paraId="0609E0A8">
            <w:pPr>
              <w:spacing w:before="187" w:line="197" w:lineRule="auto"/>
              <w:ind w:left="27" w:right="20" w:firstLine="1"/>
              <w:rPr>
                <w:rFonts w:ascii="宋体" w:hAnsi="宋体" w:eastAsia="宋体" w:cs="宋体"/>
                <w:sz w:val="19"/>
                <w:szCs w:val="19"/>
              </w:rPr>
            </w:pPr>
            <w:r>
              <w:rPr>
                <w:rFonts w:ascii="宋体" w:hAnsi="宋体" w:eastAsia="宋体" w:cs="宋体"/>
                <w:spacing w:val="4"/>
                <w:sz w:val="19"/>
                <w:szCs w:val="19"/>
              </w:rPr>
              <w:t>分部分项合计+技</w:t>
            </w:r>
            <w:r>
              <w:rPr>
                <w:rFonts w:ascii="宋体" w:hAnsi="宋体" w:eastAsia="宋体" w:cs="宋体"/>
                <w:spacing w:val="1"/>
                <w:sz w:val="19"/>
                <w:szCs w:val="19"/>
              </w:rPr>
              <w:t xml:space="preserve">  </w:t>
            </w:r>
            <w:r>
              <w:rPr>
                <w:rFonts w:ascii="宋体" w:hAnsi="宋体" w:eastAsia="宋体" w:cs="宋体"/>
                <w:spacing w:val="3"/>
                <w:sz w:val="19"/>
                <w:szCs w:val="19"/>
              </w:rPr>
              <w:t>术措施项目合计-</w:t>
            </w:r>
            <w:r>
              <w:rPr>
                <w:rFonts w:ascii="宋体" w:hAnsi="宋体" w:eastAsia="宋体" w:cs="宋体"/>
                <w:spacing w:val="1"/>
                <w:sz w:val="19"/>
                <w:szCs w:val="19"/>
              </w:rPr>
              <w:t xml:space="preserve">  </w:t>
            </w:r>
            <w:r>
              <w:rPr>
                <w:rFonts w:ascii="宋体" w:hAnsi="宋体" w:eastAsia="宋体" w:cs="宋体"/>
                <w:spacing w:val="3"/>
                <w:sz w:val="19"/>
                <w:szCs w:val="19"/>
              </w:rPr>
              <w:t>分部分项设备费-</w:t>
            </w:r>
            <w:r>
              <w:rPr>
                <w:rFonts w:ascii="宋体" w:hAnsi="宋体" w:eastAsia="宋体" w:cs="宋体"/>
                <w:spacing w:val="1"/>
                <w:sz w:val="19"/>
                <w:szCs w:val="19"/>
              </w:rPr>
              <w:t xml:space="preserve">  </w:t>
            </w:r>
            <w:r>
              <w:rPr>
                <w:rFonts w:ascii="宋体" w:hAnsi="宋体" w:eastAsia="宋体" w:cs="宋体"/>
                <w:spacing w:val="4"/>
                <w:sz w:val="19"/>
                <w:szCs w:val="19"/>
              </w:rPr>
              <w:t>技术措施项目设备</w:t>
            </w:r>
            <w:r>
              <w:rPr>
                <w:rFonts w:ascii="宋体" w:hAnsi="宋体" w:eastAsia="宋体" w:cs="宋体"/>
                <w:sz w:val="19"/>
                <w:szCs w:val="19"/>
              </w:rPr>
              <w:t xml:space="preserve"> </w:t>
            </w:r>
            <w:r>
              <w:rPr>
                <w:rFonts w:ascii="宋体" w:hAnsi="宋体" w:eastAsia="宋体" w:cs="宋体"/>
                <w:spacing w:val="1"/>
                <w:sz w:val="19"/>
                <w:szCs w:val="19"/>
              </w:rPr>
              <w:t>费</w:t>
            </w:r>
          </w:p>
        </w:tc>
        <w:tc>
          <w:tcPr>
            <w:tcW w:w="596" w:type="dxa"/>
            <w:vAlign w:val="top"/>
          </w:tcPr>
          <w:p w14:paraId="7D2DDA8C">
            <w:pPr>
              <w:pStyle w:val="594"/>
              <w:spacing w:line="271" w:lineRule="auto"/>
            </w:pPr>
          </w:p>
          <w:p w14:paraId="391D6A02">
            <w:pPr>
              <w:pStyle w:val="594"/>
              <w:spacing w:line="271" w:lineRule="auto"/>
            </w:pPr>
          </w:p>
          <w:p w14:paraId="16F3B19E">
            <w:pPr>
              <w:spacing w:before="62" w:line="188" w:lineRule="auto"/>
              <w:ind w:left="258"/>
              <w:rPr>
                <w:rFonts w:ascii="宋体" w:hAnsi="宋体" w:eastAsia="宋体" w:cs="宋体"/>
                <w:sz w:val="19"/>
                <w:szCs w:val="19"/>
              </w:rPr>
            </w:pPr>
            <w:r>
              <w:rPr>
                <w:rFonts w:ascii="宋体" w:hAnsi="宋体" w:eastAsia="宋体" w:cs="宋体"/>
                <w:sz w:val="19"/>
                <w:szCs w:val="19"/>
              </w:rPr>
              <w:t>0</w:t>
            </w:r>
          </w:p>
        </w:tc>
        <w:tc>
          <w:tcPr>
            <w:tcW w:w="1224" w:type="dxa"/>
            <w:vAlign w:val="top"/>
          </w:tcPr>
          <w:p w14:paraId="5622B619">
            <w:pPr>
              <w:pStyle w:val="594"/>
            </w:pPr>
          </w:p>
        </w:tc>
        <w:tc>
          <w:tcPr>
            <w:tcW w:w="865" w:type="dxa"/>
            <w:gridSpan w:val="2"/>
            <w:vAlign w:val="top"/>
          </w:tcPr>
          <w:p w14:paraId="152124BF">
            <w:pPr>
              <w:pStyle w:val="594"/>
            </w:pPr>
          </w:p>
        </w:tc>
        <w:tc>
          <w:tcPr>
            <w:tcW w:w="1194" w:type="dxa"/>
            <w:vAlign w:val="top"/>
          </w:tcPr>
          <w:p w14:paraId="62BC4020">
            <w:pPr>
              <w:pStyle w:val="594"/>
            </w:pPr>
          </w:p>
        </w:tc>
        <w:tc>
          <w:tcPr>
            <w:tcW w:w="1094" w:type="dxa"/>
            <w:tcBorders>
              <w:right w:val="single" w:color="000000" w:sz="10" w:space="0"/>
            </w:tcBorders>
            <w:vAlign w:val="top"/>
          </w:tcPr>
          <w:p w14:paraId="4DF9251C">
            <w:pPr>
              <w:pStyle w:val="594"/>
            </w:pPr>
          </w:p>
        </w:tc>
      </w:tr>
      <w:tr w14:paraId="6A09B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0" w:hRule="atLeast"/>
          <w:jc w:val="center"/>
        </w:trPr>
        <w:tc>
          <w:tcPr>
            <w:tcW w:w="598" w:type="dxa"/>
            <w:tcBorders>
              <w:left w:val="single" w:color="000000" w:sz="10" w:space="0"/>
            </w:tcBorders>
            <w:vAlign w:val="top"/>
          </w:tcPr>
          <w:p w14:paraId="14564C20">
            <w:pPr>
              <w:pStyle w:val="594"/>
              <w:spacing w:line="271" w:lineRule="auto"/>
            </w:pPr>
          </w:p>
          <w:p w14:paraId="606BB9D5">
            <w:pPr>
              <w:pStyle w:val="594"/>
              <w:spacing w:line="271" w:lineRule="auto"/>
            </w:pPr>
          </w:p>
          <w:p w14:paraId="29CDF197">
            <w:pPr>
              <w:spacing w:before="62" w:line="188" w:lineRule="auto"/>
              <w:ind w:left="147"/>
              <w:rPr>
                <w:rFonts w:ascii="宋体" w:hAnsi="宋体" w:eastAsia="宋体" w:cs="宋体"/>
                <w:sz w:val="19"/>
                <w:szCs w:val="19"/>
              </w:rPr>
            </w:pPr>
            <w:r>
              <w:rPr>
                <w:rFonts w:ascii="宋体" w:hAnsi="宋体" w:eastAsia="宋体" w:cs="宋体"/>
                <w:sz w:val="19"/>
                <w:szCs w:val="19"/>
              </w:rPr>
              <w:t>1.3</w:t>
            </w:r>
          </w:p>
        </w:tc>
        <w:tc>
          <w:tcPr>
            <w:tcW w:w="1390" w:type="dxa"/>
            <w:vAlign w:val="top"/>
          </w:tcPr>
          <w:p w14:paraId="2E74B90F">
            <w:pPr>
              <w:pStyle w:val="594"/>
              <w:spacing w:line="271" w:lineRule="auto"/>
            </w:pPr>
          </w:p>
          <w:p w14:paraId="64B77968">
            <w:pPr>
              <w:pStyle w:val="594"/>
              <w:spacing w:line="271" w:lineRule="auto"/>
            </w:pPr>
          </w:p>
          <w:p w14:paraId="03E8513B">
            <w:pPr>
              <w:spacing w:before="62" w:line="188" w:lineRule="auto"/>
              <w:ind w:left="545"/>
              <w:rPr>
                <w:rFonts w:ascii="宋体" w:hAnsi="宋体" w:eastAsia="宋体" w:cs="宋体"/>
                <w:sz w:val="19"/>
                <w:szCs w:val="19"/>
              </w:rPr>
            </w:pPr>
            <w:r>
              <w:rPr>
                <w:rFonts w:ascii="宋体" w:hAnsi="宋体" w:eastAsia="宋体" w:cs="宋体"/>
                <w:sz w:val="19"/>
                <w:szCs w:val="19"/>
              </w:rPr>
              <w:t>1.3</w:t>
            </w:r>
          </w:p>
        </w:tc>
        <w:tc>
          <w:tcPr>
            <w:tcW w:w="1838" w:type="dxa"/>
            <w:vAlign w:val="top"/>
          </w:tcPr>
          <w:p w14:paraId="0B8C677E">
            <w:pPr>
              <w:pStyle w:val="594"/>
              <w:spacing w:line="254" w:lineRule="auto"/>
            </w:pPr>
          </w:p>
          <w:p w14:paraId="506D2FC7">
            <w:pPr>
              <w:pStyle w:val="594"/>
              <w:spacing w:line="255" w:lineRule="auto"/>
            </w:pPr>
          </w:p>
          <w:p w14:paraId="40B38B6E">
            <w:pPr>
              <w:spacing w:before="62" w:line="230" w:lineRule="auto"/>
              <w:ind w:left="22"/>
              <w:rPr>
                <w:rFonts w:ascii="宋体" w:hAnsi="宋体" w:eastAsia="宋体" w:cs="宋体"/>
                <w:sz w:val="19"/>
                <w:szCs w:val="19"/>
              </w:rPr>
            </w:pPr>
            <w:r>
              <w:rPr>
                <w:rFonts w:ascii="宋体" w:hAnsi="宋体" w:eastAsia="宋体" w:cs="宋体"/>
                <w:spacing w:val="4"/>
                <w:sz w:val="19"/>
                <w:szCs w:val="19"/>
              </w:rPr>
              <w:t>扬尘污染防治增加费</w:t>
            </w:r>
          </w:p>
        </w:tc>
        <w:tc>
          <w:tcPr>
            <w:tcW w:w="1612" w:type="dxa"/>
            <w:gridSpan w:val="2"/>
            <w:vAlign w:val="top"/>
          </w:tcPr>
          <w:p w14:paraId="5D061EBA">
            <w:pPr>
              <w:spacing w:before="186" w:line="197" w:lineRule="auto"/>
              <w:ind w:left="27" w:right="20" w:firstLine="1"/>
              <w:rPr>
                <w:rFonts w:ascii="宋体" w:hAnsi="宋体" w:eastAsia="宋体" w:cs="宋体"/>
                <w:sz w:val="19"/>
                <w:szCs w:val="19"/>
              </w:rPr>
            </w:pPr>
            <w:r>
              <w:rPr>
                <w:rFonts w:ascii="宋体" w:hAnsi="宋体" w:eastAsia="宋体" w:cs="宋体"/>
                <w:spacing w:val="4"/>
                <w:sz w:val="19"/>
                <w:szCs w:val="19"/>
              </w:rPr>
              <w:t>分部分项合计+技</w:t>
            </w:r>
            <w:r>
              <w:rPr>
                <w:rFonts w:ascii="宋体" w:hAnsi="宋体" w:eastAsia="宋体" w:cs="宋体"/>
                <w:spacing w:val="1"/>
                <w:sz w:val="19"/>
                <w:szCs w:val="19"/>
              </w:rPr>
              <w:t xml:space="preserve">  </w:t>
            </w:r>
            <w:r>
              <w:rPr>
                <w:rFonts w:ascii="宋体" w:hAnsi="宋体" w:eastAsia="宋体" w:cs="宋体"/>
                <w:spacing w:val="3"/>
                <w:sz w:val="19"/>
                <w:szCs w:val="19"/>
              </w:rPr>
              <w:t>术措施项目合计-</w:t>
            </w:r>
            <w:r>
              <w:rPr>
                <w:rFonts w:ascii="宋体" w:hAnsi="宋体" w:eastAsia="宋体" w:cs="宋体"/>
                <w:spacing w:val="1"/>
                <w:sz w:val="19"/>
                <w:szCs w:val="19"/>
              </w:rPr>
              <w:t xml:space="preserve">  </w:t>
            </w:r>
            <w:r>
              <w:rPr>
                <w:rFonts w:ascii="宋体" w:hAnsi="宋体" w:eastAsia="宋体" w:cs="宋体"/>
                <w:spacing w:val="3"/>
                <w:sz w:val="19"/>
                <w:szCs w:val="19"/>
              </w:rPr>
              <w:t>分部分项设备费-</w:t>
            </w:r>
            <w:r>
              <w:rPr>
                <w:rFonts w:ascii="宋体" w:hAnsi="宋体" w:eastAsia="宋体" w:cs="宋体"/>
                <w:spacing w:val="1"/>
                <w:sz w:val="19"/>
                <w:szCs w:val="19"/>
              </w:rPr>
              <w:t xml:space="preserve">  </w:t>
            </w:r>
            <w:r>
              <w:rPr>
                <w:rFonts w:ascii="宋体" w:hAnsi="宋体" w:eastAsia="宋体" w:cs="宋体"/>
                <w:spacing w:val="4"/>
                <w:sz w:val="19"/>
                <w:szCs w:val="19"/>
              </w:rPr>
              <w:t>技术措施项目设备</w:t>
            </w:r>
            <w:r>
              <w:rPr>
                <w:rFonts w:ascii="宋体" w:hAnsi="宋体" w:eastAsia="宋体" w:cs="宋体"/>
                <w:sz w:val="19"/>
                <w:szCs w:val="19"/>
              </w:rPr>
              <w:t xml:space="preserve"> </w:t>
            </w:r>
            <w:r>
              <w:rPr>
                <w:rFonts w:ascii="宋体" w:hAnsi="宋体" w:eastAsia="宋体" w:cs="宋体"/>
                <w:spacing w:val="1"/>
                <w:sz w:val="19"/>
                <w:szCs w:val="19"/>
              </w:rPr>
              <w:t>费</w:t>
            </w:r>
          </w:p>
        </w:tc>
        <w:tc>
          <w:tcPr>
            <w:tcW w:w="596" w:type="dxa"/>
            <w:vAlign w:val="top"/>
          </w:tcPr>
          <w:p w14:paraId="3B1B2B15">
            <w:pPr>
              <w:pStyle w:val="594"/>
              <w:spacing w:line="271" w:lineRule="auto"/>
            </w:pPr>
          </w:p>
          <w:p w14:paraId="373E040F">
            <w:pPr>
              <w:pStyle w:val="594"/>
              <w:spacing w:line="271" w:lineRule="auto"/>
            </w:pPr>
          </w:p>
          <w:p w14:paraId="721926BA">
            <w:pPr>
              <w:spacing w:before="62" w:line="188" w:lineRule="auto"/>
              <w:ind w:left="93"/>
              <w:rPr>
                <w:rFonts w:ascii="宋体" w:hAnsi="宋体" w:eastAsia="宋体" w:cs="宋体"/>
                <w:sz w:val="19"/>
                <w:szCs w:val="19"/>
              </w:rPr>
            </w:pPr>
            <w:r>
              <w:rPr>
                <w:rFonts w:ascii="宋体" w:hAnsi="宋体" w:eastAsia="宋体" w:cs="宋体"/>
                <w:spacing w:val="6"/>
                <w:sz w:val="19"/>
                <w:szCs w:val="19"/>
              </w:rPr>
              <w:t>0.31</w:t>
            </w:r>
          </w:p>
        </w:tc>
        <w:tc>
          <w:tcPr>
            <w:tcW w:w="1224" w:type="dxa"/>
            <w:vAlign w:val="top"/>
          </w:tcPr>
          <w:p w14:paraId="69256ADE">
            <w:pPr>
              <w:pStyle w:val="594"/>
            </w:pPr>
          </w:p>
        </w:tc>
        <w:tc>
          <w:tcPr>
            <w:tcW w:w="865" w:type="dxa"/>
            <w:gridSpan w:val="2"/>
            <w:vAlign w:val="top"/>
          </w:tcPr>
          <w:p w14:paraId="7145A0D4">
            <w:pPr>
              <w:pStyle w:val="594"/>
            </w:pPr>
          </w:p>
        </w:tc>
        <w:tc>
          <w:tcPr>
            <w:tcW w:w="1194" w:type="dxa"/>
            <w:vAlign w:val="top"/>
          </w:tcPr>
          <w:p w14:paraId="583A0DCC">
            <w:pPr>
              <w:pStyle w:val="594"/>
            </w:pPr>
          </w:p>
        </w:tc>
        <w:tc>
          <w:tcPr>
            <w:tcW w:w="1094" w:type="dxa"/>
            <w:tcBorders>
              <w:right w:val="single" w:color="000000" w:sz="10" w:space="0"/>
            </w:tcBorders>
            <w:vAlign w:val="top"/>
          </w:tcPr>
          <w:p w14:paraId="0B6BC3A2">
            <w:pPr>
              <w:pStyle w:val="594"/>
            </w:pPr>
          </w:p>
        </w:tc>
      </w:tr>
      <w:tr w14:paraId="7C092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jc w:val="center"/>
        </w:trPr>
        <w:tc>
          <w:tcPr>
            <w:tcW w:w="598" w:type="dxa"/>
            <w:tcBorders>
              <w:left w:val="single" w:color="000000" w:sz="10" w:space="0"/>
            </w:tcBorders>
            <w:vAlign w:val="top"/>
          </w:tcPr>
          <w:p w14:paraId="2BA384CE">
            <w:pPr>
              <w:pStyle w:val="594"/>
              <w:spacing w:line="271" w:lineRule="auto"/>
            </w:pPr>
          </w:p>
          <w:p w14:paraId="7C285800">
            <w:pPr>
              <w:pStyle w:val="594"/>
              <w:spacing w:line="272" w:lineRule="auto"/>
            </w:pPr>
          </w:p>
          <w:p w14:paraId="6975B1BD">
            <w:pPr>
              <w:spacing w:before="61" w:line="188" w:lineRule="auto"/>
              <w:ind w:left="239"/>
              <w:rPr>
                <w:rFonts w:ascii="宋体" w:hAnsi="宋体" w:eastAsia="宋体" w:cs="宋体"/>
                <w:sz w:val="19"/>
                <w:szCs w:val="19"/>
              </w:rPr>
            </w:pPr>
            <w:r>
              <w:rPr>
                <w:rFonts w:ascii="宋体" w:hAnsi="宋体" w:eastAsia="宋体" w:cs="宋体"/>
                <w:sz w:val="19"/>
                <w:szCs w:val="19"/>
              </w:rPr>
              <w:t>2</w:t>
            </w:r>
          </w:p>
        </w:tc>
        <w:tc>
          <w:tcPr>
            <w:tcW w:w="1390" w:type="dxa"/>
            <w:vAlign w:val="top"/>
          </w:tcPr>
          <w:p w14:paraId="012E00EC">
            <w:pPr>
              <w:pStyle w:val="594"/>
              <w:spacing w:line="271" w:lineRule="auto"/>
            </w:pPr>
          </w:p>
          <w:p w14:paraId="04FDDA54">
            <w:pPr>
              <w:pStyle w:val="594"/>
              <w:spacing w:line="272" w:lineRule="auto"/>
            </w:pPr>
          </w:p>
          <w:p w14:paraId="07750112">
            <w:pPr>
              <w:spacing w:before="62" w:line="188" w:lineRule="auto"/>
              <w:ind w:left="67"/>
              <w:rPr>
                <w:rFonts w:ascii="宋体" w:hAnsi="宋体" w:eastAsia="宋体" w:cs="宋体"/>
                <w:sz w:val="19"/>
                <w:szCs w:val="19"/>
              </w:rPr>
            </w:pPr>
            <w:r>
              <w:rPr>
                <w:rFonts w:ascii="宋体" w:hAnsi="宋体" w:eastAsia="宋体" w:cs="宋体"/>
                <w:spacing w:val="8"/>
                <w:sz w:val="19"/>
                <w:szCs w:val="19"/>
              </w:rPr>
              <w:t>011707010001</w:t>
            </w:r>
          </w:p>
        </w:tc>
        <w:tc>
          <w:tcPr>
            <w:tcW w:w="1838" w:type="dxa"/>
            <w:vAlign w:val="top"/>
          </w:tcPr>
          <w:p w14:paraId="7835D5D0">
            <w:pPr>
              <w:pStyle w:val="594"/>
              <w:spacing w:line="255" w:lineRule="auto"/>
            </w:pPr>
          </w:p>
          <w:p w14:paraId="42599BBF">
            <w:pPr>
              <w:pStyle w:val="594"/>
              <w:spacing w:line="255" w:lineRule="auto"/>
            </w:pPr>
          </w:p>
          <w:p w14:paraId="0DF6B705">
            <w:pPr>
              <w:spacing w:before="62" w:line="228" w:lineRule="auto"/>
              <w:ind w:left="25"/>
              <w:rPr>
                <w:rFonts w:ascii="宋体" w:hAnsi="宋体" w:eastAsia="宋体" w:cs="宋体"/>
                <w:sz w:val="19"/>
                <w:szCs w:val="19"/>
              </w:rPr>
            </w:pPr>
            <w:r>
              <w:rPr>
                <w:rFonts w:ascii="宋体" w:hAnsi="宋体" w:eastAsia="宋体" w:cs="宋体"/>
                <w:spacing w:val="3"/>
                <w:sz w:val="19"/>
                <w:szCs w:val="19"/>
              </w:rPr>
              <w:t>按质论价</w:t>
            </w:r>
          </w:p>
        </w:tc>
        <w:tc>
          <w:tcPr>
            <w:tcW w:w="1612" w:type="dxa"/>
            <w:gridSpan w:val="2"/>
            <w:vAlign w:val="top"/>
          </w:tcPr>
          <w:p w14:paraId="0EB3C159">
            <w:pPr>
              <w:spacing w:before="188" w:line="197" w:lineRule="auto"/>
              <w:ind w:left="27" w:right="20" w:firstLine="1"/>
              <w:rPr>
                <w:rFonts w:ascii="宋体" w:hAnsi="宋体" w:eastAsia="宋体" w:cs="宋体"/>
                <w:sz w:val="19"/>
                <w:szCs w:val="19"/>
              </w:rPr>
            </w:pPr>
            <w:r>
              <w:rPr>
                <w:rFonts w:ascii="宋体" w:hAnsi="宋体" w:eastAsia="宋体" w:cs="宋体"/>
                <w:spacing w:val="4"/>
                <w:sz w:val="19"/>
                <w:szCs w:val="19"/>
              </w:rPr>
              <w:t>分部分项合计+技</w:t>
            </w:r>
            <w:r>
              <w:rPr>
                <w:rFonts w:ascii="宋体" w:hAnsi="宋体" w:eastAsia="宋体" w:cs="宋体"/>
                <w:spacing w:val="1"/>
                <w:sz w:val="19"/>
                <w:szCs w:val="19"/>
              </w:rPr>
              <w:t xml:space="preserve">  </w:t>
            </w:r>
            <w:r>
              <w:rPr>
                <w:rFonts w:ascii="宋体" w:hAnsi="宋体" w:eastAsia="宋体" w:cs="宋体"/>
                <w:spacing w:val="3"/>
                <w:sz w:val="19"/>
                <w:szCs w:val="19"/>
              </w:rPr>
              <w:t>术措施项目合计-</w:t>
            </w:r>
            <w:r>
              <w:rPr>
                <w:rFonts w:ascii="宋体" w:hAnsi="宋体" w:eastAsia="宋体" w:cs="宋体"/>
                <w:spacing w:val="1"/>
                <w:sz w:val="19"/>
                <w:szCs w:val="19"/>
              </w:rPr>
              <w:t xml:space="preserve">  </w:t>
            </w:r>
            <w:r>
              <w:rPr>
                <w:rFonts w:ascii="宋体" w:hAnsi="宋体" w:eastAsia="宋体" w:cs="宋体"/>
                <w:spacing w:val="3"/>
                <w:sz w:val="19"/>
                <w:szCs w:val="19"/>
              </w:rPr>
              <w:t>分部分项设备费-</w:t>
            </w:r>
            <w:r>
              <w:rPr>
                <w:rFonts w:ascii="宋体" w:hAnsi="宋体" w:eastAsia="宋体" w:cs="宋体"/>
                <w:spacing w:val="1"/>
                <w:sz w:val="19"/>
                <w:szCs w:val="19"/>
              </w:rPr>
              <w:t xml:space="preserve">  </w:t>
            </w:r>
            <w:r>
              <w:rPr>
                <w:rFonts w:ascii="宋体" w:hAnsi="宋体" w:eastAsia="宋体" w:cs="宋体"/>
                <w:spacing w:val="4"/>
                <w:sz w:val="19"/>
                <w:szCs w:val="19"/>
              </w:rPr>
              <w:t>技术措施项目设备</w:t>
            </w:r>
            <w:r>
              <w:rPr>
                <w:rFonts w:ascii="宋体" w:hAnsi="宋体" w:eastAsia="宋体" w:cs="宋体"/>
                <w:sz w:val="19"/>
                <w:szCs w:val="19"/>
              </w:rPr>
              <w:t xml:space="preserve"> </w:t>
            </w:r>
            <w:r>
              <w:rPr>
                <w:rFonts w:ascii="宋体" w:hAnsi="宋体" w:eastAsia="宋体" w:cs="宋体"/>
                <w:spacing w:val="1"/>
                <w:sz w:val="19"/>
                <w:szCs w:val="19"/>
              </w:rPr>
              <w:t>费</w:t>
            </w:r>
          </w:p>
        </w:tc>
        <w:tc>
          <w:tcPr>
            <w:tcW w:w="596" w:type="dxa"/>
            <w:vAlign w:val="top"/>
          </w:tcPr>
          <w:p w14:paraId="508448D0">
            <w:pPr>
              <w:pStyle w:val="594"/>
              <w:spacing w:line="271" w:lineRule="auto"/>
            </w:pPr>
          </w:p>
          <w:p w14:paraId="3D63A0AA">
            <w:pPr>
              <w:pStyle w:val="594"/>
              <w:spacing w:line="272" w:lineRule="auto"/>
            </w:pPr>
          </w:p>
          <w:p w14:paraId="57C93E5E">
            <w:pPr>
              <w:spacing w:before="62" w:line="188" w:lineRule="auto"/>
              <w:ind w:left="258"/>
              <w:rPr>
                <w:rFonts w:ascii="宋体" w:hAnsi="宋体" w:eastAsia="宋体" w:cs="宋体"/>
                <w:sz w:val="19"/>
                <w:szCs w:val="19"/>
              </w:rPr>
            </w:pPr>
            <w:r>
              <w:rPr>
                <w:rFonts w:ascii="宋体" w:hAnsi="宋体" w:eastAsia="宋体" w:cs="宋体"/>
                <w:sz w:val="19"/>
                <w:szCs w:val="19"/>
              </w:rPr>
              <w:t>0</w:t>
            </w:r>
          </w:p>
        </w:tc>
        <w:tc>
          <w:tcPr>
            <w:tcW w:w="1224" w:type="dxa"/>
            <w:vAlign w:val="top"/>
          </w:tcPr>
          <w:p w14:paraId="54D41D69">
            <w:pPr>
              <w:pStyle w:val="594"/>
            </w:pPr>
          </w:p>
        </w:tc>
        <w:tc>
          <w:tcPr>
            <w:tcW w:w="865" w:type="dxa"/>
            <w:gridSpan w:val="2"/>
            <w:vAlign w:val="top"/>
          </w:tcPr>
          <w:p w14:paraId="6081F320">
            <w:pPr>
              <w:pStyle w:val="594"/>
            </w:pPr>
          </w:p>
        </w:tc>
        <w:tc>
          <w:tcPr>
            <w:tcW w:w="1194" w:type="dxa"/>
            <w:vAlign w:val="top"/>
          </w:tcPr>
          <w:p w14:paraId="1FC0C779">
            <w:pPr>
              <w:pStyle w:val="594"/>
            </w:pPr>
          </w:p>
        </w:tc>
        <w:tc>
          <w:tcPr>
            <w:tcW w:w="1094" w:type="dxa"/>
            <w:tcBorders>
              <w:right w:val="single" w:color="000000" w:sz="10" w:space="0"/>
            </w:tcBorders>
            <w:vAlign w:val="top"/>
          </w:tcPr>
          <w:p w14:paraId="33FE7DC1">
            <w:pPr>
              <w:pStyle w:val="594"/>
            </w:pPr>
          </w:p>
        </w:tc>
      </w:tr>
      <w:tr w14:paraId="67D92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6" w:hRule="atLeast"/>
          <w:jc w:val="center"/>
        </w:trPr>
        <w:tc>
          <w:tcPr>
            <w:tcW w:w="598" w:type="dxa"/>
            <w:tcBorders>
              <w:left w:val="single" w:color="000000" w:sz="10" w:space="0"/>
            </w:tcBorders>
            <w:vAlign w:val="top"/>
          </w:tcPr>
          <w:p w14:paraId="0AAA41B3">
            <w:pPr>
              <w:pStyle w:val="594"/>
              <w:spacing w:line="272" w:lineRule="auto"/>
            </w:pPr>
          </w:p>
          <w:p w14:paraId="668A517B">
            <w:pPr>
              <w:pStyle w:val="594"/>
              <w:spacing w:line="272" w:lineRule="auto"/>
            </w:pPr>
          </w:p>
          <w:p w14:paraId="74C368F8">
            <w:pPr>
              <w:spacing w:before="61" w:line="188" w:lineRule="auto"/>
              <w:ind w:left="241"/>
              <w:rPr>
                <w:rFonts w:ascii="宋体" w:hAnsi="宋体" w:eastAsia="宋体" w:cs="宋体"/>
                <w:sz w:val="19"/>
                <w:szCs w:val="19"/>
              </w:rPr>
            </w:pPr>
            <w:r>
              <w:rPr>
                <w:rFonts w:ascii="宋体" w:hAnsi="宋体" w:eastAsia="宋体" w:cs="宋体"/>
                <w:sz w:val="19"/>
                <w:szCs w:val="19"/>
              </w:rPr>
              <w:t>3</w:t>
            </w:r>
          </w:p>
        </w:tc>
        <w:tc>
          <w:tcPr>
            <w:tcW w:w="1390" w:type="dxa"/>
            <w:vAlign w:val="top"/>
          </w:tcPr>
          <w:p w14:paraId="7548162A">
            <w:pPr>
              <w:pStyle w:val="594"/>
              <w:spacing w:line="272" w:lineRule="auto"/>
            </w:pPr>
          </w:p>
          <w:p w14:paraId="01A71A36">
            <w:pPr>
              <w:pStyle w:val="594"/>
              <w:spacing w:line="272" w:lineRule="auto"/>
            </w:pPr>
          </w:p>
          <w:p w14:paraId="49E58D7B">
            <w:pPr>
              <w:spacing w:before="61" w:line="188" w:lineRule="auto"/>
              <w:ind w:left="67"/>
              <w:rPr>
                <w:rFonts w:ascii="宋体" w:hAnsi="宋体" w:eastAsia="宋体" w:cs="宋体"/>
                <w:sz w:val="19"/>
                <w:szCs w:val="19"/>
              </w:rPr>
            </w:pPr>
            <w:r>
              <w:rPr>
                <w:rFonts w:ascii="宋体" w:hAnsi="宋体" w:eastAsia="宋体" w:cs="宋体"/>
                <w:spacing w:val="8"/>
                <w:sz w:val="19"/>
                <w:szCs w:val="19"/>
              </w:rPr>
              <w:t>011707002001</w:t>
            </w:r>
          </w:p>
        </w:tc>
        <w:tc>
          <w:tcPr>
            <w:tcW w:w="1838" w:type="dxa"/>
            <w:vAlign w:val="top"/>
          </w:tcPr>
          <w:p w14:paraId="2D6E52DE">
            <w:pPr>
              <w:pStyle w:val="594"/>
              <w:spacing w:line="255" w:lineRule="auto"/>
            </w:pPr>
          </w:p>
          <w:p w14:paraId="1E77187F">
            <w:pPr>
              <w:pStyle w:val="594"/>
              <w:spacing w:line="255" w:lineRule="auto"/>
            </w:pPr>
          </w:p>
          <w:p w14:paraId="3EEAF09E">
            <w:pPr>
              <w:spacing w:before="62" w:line="230" w:lineRule="auto"/>
              <w:ind w:left="26"/>
              <w:rPr>
                <w:rFonts w:ascii="宋体" w:hAnsi="宋体" w:eastAsia="宋体" w:cs="宋体"/>
                <w:sz w:val="19"/>
                <w:szCs w:val="19"/>
              </w:rPr>
            </w:pPr>
            <w:r>
              <w:rPr>
                <w:rFonts w:ascii="宋体" w:hAnsi="宋体" w:eastAsia="宋体" w:cs="宋体"/>
                <w:spacing w:val="3"/>
                <w:sz w:val="19"/>
                <w:szCs w:val="19"/>
              </w:rPr>
              <w:t>夜间施工</w:t>
            </w:r>
          </w:p>
        </w:tc>
        <w:tc>
          <w:tcPr>
            <w:tcW w:w="1612" w:type="dxa"/>
            <w:gridSpan w:val="2"/>
            <w:vAlign w:val="top"/>
          </w:tcPr>
          <w:p w14:paraId="36B29C3D">
            <w:pPr>
              <w:spacing w:before="188" w:line="197" w:lineRule="auto"/>
              <w:ind w:left="27" w:right="20" w:firstLine="1"/>
              <w:rPr>
                <w:rFonts w:ascii="宋体" w:hAnsi="宋体" w:eastAsia="宋体" w:cs="宋体"/>
                <w:sz w:val="19"/>
                <w:szCs w:val="19"/>
              </w:rPr>
            </w:pPr>
            <w:r>
              <w:rPr>
                <w:rFonts w:ascii="宋体" w:hAnsi="宋体" w:eastAsia="宋体" w:cs="宋体"/>
                <w:spacing w:val="4"/>
                <w:sz w:val="19"/>
                <w:szCs w:val="19"/>
              </w:rPr>
              <w:t>分部分项合计+技</w:t>
            </w:r>
            <w:r>
              <w:rPr>
                <w:rFonts w:ascii="宋体" w:hAnsi="宋体" w:eastAsia="宋体" w:cs="宋体"/>
                <w:spacing w:val="1"/>
                <w:sz w:val="19"/>
                <w:szCs w:val="19"/>
              </w:rPr>
              <w:t xml:space="preserve">  </w:t>
            </w:r>
            <w:r>
              <w:rPr>
                <w:rFonts w:ascii="宋体" w:hAnsi="宋体" w:eastAsia="宋体" w:cs="宋体"/>
                <w:spacing w:val="3"/>
                <w:sz w:val="19"/>
                <w:szCs w:val="19"/>
              </w:rPr>
              <w:t>术措施项目合计-</w:t>
            </w:r>
            <w:r>
              <w:rPr>
                <w:rFonts w:ascii="宋体" w:hAnsi="宋体" w:eastAsia="宋体" w:cs="宋体"/>
                <w:spacing w:val="1"/>
                <w:sz w:val="19"/>
                <w:szCs w:val="19"/>
              </w:rPr>
              <w:t xml:space="preserve">  </w:t>
            </w:r>
            <w:r>
              <w:rPr>
                <w:rFonts w:ascii="宋体" w:hAnsi="宋体" w:eastAsia="宋体" w:cs="宋体"/>
                <w:spacing w:val="3"/>
                <w:sz w:val="19"/>
                <w:szCs w:val="19"/>
              </w:rPr>
              <w:t>分部分项设备费-</w:t>
            </w:r>
            <w:r>
              <w:rPr>
                <w:rFonts w:ascii="宋体" w:hAnsi="宋体" w:eastAsia="宋体" w:cs="宋体"/>
                <w:spacing w:val="1"/>
                <w:sz w:val="19"/>
                <w:szCs w:val="19"/>
              </w:rPr>
              <w:t xml:space="preserve">  </w:t>
            </w:r>
            <w:r>
              <w:rPr>
                <w:rFonts w:ascii="宋体" w:hAnsi="宋体" w:eastAsia="宋体" w:cs="宋体"/>
                <w:spacing w:val="4"/>
                <w:sz w:val="19"/>
                <w:szCs w:val="19"/>
              </w:rPr>
              <w:t>技术措施项目设备</w:t>
            </w:r>
            <w:r>
              <w:rPr>
                <w:rFonts w:ascii="宋体" w:hAnsi="宋体" w:eastAsia="宋体" w:cs="宋体"/>
                <w:sz w:val="19"/>
                <w:szCs w:val="19"/>
              </w:rPr>
              <w:t xml:space="preserve"> </w:t>
            </w:r>
            <w:r>
              <w:rPr>
                <w:rFonts w:ascii="宋体" w:hAnsi="宋体" w:eastAsia="宋体" w:cs="宋体"/>
                <w:spacing w:val="1"/>
                <w:sz w:val="19"/>
                <w:szCs w:val="19"/>
              </w:rPr>
              <w:t>费</w:t>
            </w:r>
          </w:p>
        </w:tc>
        <w:tc>
          <w:tcPr>
            <w:tcW w:w="596" w:type="dxa"/>
            <w:vAlign w:val="top"/>
          </w:tcPr>
          <w:p w14:paraId="0BC3A93C">
            <w:pPr>
              <w:pStyle w:val="594"/>
              <w:spacing w:line="272" w:lineRule="auto"/>
            </w:pPr>
          </w:p>
          <w:p w14:paraId="13D8C074">
            <w:pPr>
              <w:pStyle w:val="594"/>
              <w:spacing w:line="272" w:lineRule="auto"/>
            </w:pPr>
          </w:p>
          <w:p w14:paraId="64918594">
            <w:pPr>
              <w:spacing w:before="61" w:line="188" w:lineRule="auto"/>
              <w:ind w:left="258"/>
              <w:rPr>
                <w:rFonts w:ascii="宋体" w:hAnsi="宋体" w:eastAsia="宋体" w:cs="宋体"/>
                <w:sz w:val="19"/>
                <w:szCs w:val="19"/>
              </w:rPr>
            </w:pPr>
            <w:r>
              <w:rPr>
                <w:rFonts w:ascii="宋体" w:hAnsi="宋体" w:eastAsia="宋体" w:cs="宋体"/>
                <w:sz w:val="19"/>
                <w:szCs w:val="19"/>
              </w:rPr>
              <w:t>0</w:t>
            </w:r>
          </w:p>
        </w:tc>
        <w:tc>
          <w:tcPr>
            <w:tcW w:w="1224" w:type="dxa"/>
            <w:vAlign w:val="top"/>
          </w:tcPr>
          <w:p w14:paraId="67C236F0">
            <w:pPr>
              <w:pStyle w:val="594"/>
            </w:pPr>
          </w:p>
        </w:tc>
        <w:tc>
          <w:tcPr>
            <w:tcW w:w="865" w:type="dxa"/>
            <w:gridSpan w:val="2"/>
            <w:vAlign w:val="top"/>
          </w:tcPr>
          <w:p w14:paraId="5F1326D6">
            <w:pPr>
              <w:pStyle w:val="594"/>
            </w:pPr>
          </w:p>
        </w:tc>
        <w:tc>
          <w:tcPr>
            <w:tcW w:w="1194" w:type="dxa"/>
            <w:vAlign w:val="top"/>
          </w:tcPr>
          <w:p w14:paraId="3211119A">
            <w:pPr>
              <w:pStyle w:val="594"/>
            </w:pPr>
          </w:p>
        </w:tc>
        <w:tc>
          <w:tcPr>
            <w:tcW w:w="1094" w:type="dxa"/>
            <w:tcBorders>
              <w:right w:val="single" w:color="000000" w:sz="10" w:space="0"/>
            </w:tcBorders>
            <w:vAlign w:val="top"/>
          </w:tcPr>
          <w:p w14:paraId="18571CCE">
            <w:pPr>
              <w:pStyle w:val="594"/>
            </w:pPr>
          </w:p>
        </w:tc>
      </w:tr>
      <w:tr w14:paraId="1D145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8" w:hRule="atLeast"/>
          <w:jc w:val="center"/>
        </w:trPr>
        <w:tc>
          <w:tcPr>
            <w:tcW w:w="598" w:type="dxa"/>
            <w:tcBorders>
              <w:left w:val="single" w:color="000000" w:sz="10" w:space="0"/>
            </w:tcBorders>
            <w:vAlign w:val="top"/>
          </w:tcPr>
          <w:p w14:paraId="1F3E947B">
            <w:pPr>
              <w:pStyle w:val="594"/>
              <w:spacing w:line="257" w:lineRule="auto"/>
            </w:pPr>
          </w:p>
          <w:p w14:paraId="17418660">
            <w:pPr>
              <w:pStyle w:val="594"/>
              <w:spacing w:line="258" w:lineRule="auto"/>
            </w:pPr>
          </w:p>
          <w:p w14:paraId="373F37BE">
            <w:pPr>
              <w:pStyle w:val="594"/>
              <w:spacing w:line="258" w:lineRule="auto"/>
            </w:pPr>
          </w:p>
          <w:p w14:paraId="125F9171">
            <w:pPr>
              <w:pStyle w:val="594"/>
              <w:spacing w:line="258" w:lineRule="auto"/>
            </w:pPr>
          </w:p>
          <w:p w14:paraId="40448F8A">
            <w:pPr>
              <w:pStyle w:val="594"/>
              <w:spacing w:line="258" w:lineRule="auto"/>
            </w:pPr>
          </w:p>
          <w:p w14:paraId="34B7F86F">
            <w:pPr>
              <w:pStyle w:val="594"/>
              <w:spacing w:line="258" w:lineRule="auto"/>
            </w:pPr>
          </w:p>
          <w:p w14:paraId="6C304487">
            <w:pPr>
              <w:pStyle w:val="594"/>
              <w:spacing w:line="258" w:lineRule="auto"/>
            </w:pPr>
          </w:p>
          <w:p w14:paraId="7476184B">
            <w:pPr>
              <w:pStyle w:val="594"/>
              <w:spacing w:line="258" w:lineRule="auto"/>
            </w:pPr>
          </w:p>
          <w:p w14:paraId="164236B1">
            <w:pPr>
              <w:spacing w:before="61" w:line="188" w:lineRule="auto"/>
              <w:ind w:left="236"/>
              <w:rPr>
                <w:rFonts w:ascii="宋体" w:hAnsi="宋体" w:eastAsia="宋体" w:cs="宋体"/>
                <w:sz w:val="19"/>
                <w:szCs w:val="19"/>
              </w:rPr>
            </w:pPr>
            <w:r>
              <w:rPr>
                <w:rFonts w:ascii="宋体" w:hAnsi="宋体" w:eastAsia="宋体" w:cs="宋体"/>
                <w:sz w:val="19"/>
                <w:szCs w:val="19"/>
              </w:rPr>
              <w:t>4</w:t>
            </w:r>
          </w:p>
        </w:tc>
        <w:tc>
          <w:tcPr>
            <w:tcW w:w="1390" w:type="dxa"/>
            <w:vAlign w:val="top"/>
          </w:tcPr>
          <w:p w14:paraId="6A4B99FD">
            <w:pPr>
              <w:pStyle w:val="594"/>
              <w:spacing w:line="257" w:lineRule="auto"/>
            </w:pPr>
          </w:p>
          <w:p w14:paraId="459AB2AA">
            <w:pPr>
              <w:pStyle w:val="594"/>
              <w:spacing w:line="258" w:lineRule="auto"/>
            </w:pPr>
          </w:p>
          <w:p w14:paraId="29359B64">
            <w:pPr>
              <w:pStyle w:val="594"/>
              <w:spacing w:line="258" w:lineRule="auto"/>
            </w:pPr>
          </w:p>
          <w:p w14:paraId="08AEA2EF">
            <w:pPr>
              <w:pStyle w:val="594"/>
              <w:spacing w:line="258" w:lineRule="auto"/>
            </w:pPr>
          </w:p>
          <w:p w14:paraId="01A713F0">
            <w:pPr>
              <w:pStyle w:val="594"/>
              <w:spacing w:line="258" w:lineRule="auto"/>
            </w:pPr>
          </w:p>
          <w:p w14:paraId="50E3CA3A">
            <w:pPr>
              <w:pStyle w:val="594"/>
              <w:spacing w:line="258" w:lineRule="auto"/>
            </w:pPr>
          </w:p>
          <w:p w14:paraId="32CD0BBE">
            <w:pPr>
              <w:pStyle w:val="594"/>
              <w:spacing w:line="258" w:lineRule="auto"/>
            </w:pPr>
          </w:p>
          <w:p w14:paraId="0A82831D">
            <w:pPr>
              <w:pStyle w:val="594"/>
              <w:spacing w:line="258" w:lineRule="auto"/>
            </w:pPr>
          </w:p>
          <w:p w14:paraId="5EC69DC3">
            <w:pPr>
              <w:spacing w:before="61" w:line="188" w:lineRule="auto"/>
              <w:ind w:left="67"/>
              <w:rPr>
                <w:rFonts w:ascii="宋体" w:hAnsi="宋体" w:eastAsia="宋体" w:cs="宋体"/>
                <w:sz w:val="19"/>
                <w:szCs w:val="19"/>
              </w:rPr>
            </w:pPr>
            <w:r>
              <w:rPr>
                <w:rFonts w:ascii="宋体" w:hAnsi="宋体" w:eastAsia="宋体" w:cs="宋体"/>
                <w:spacing w:val="8"/>
                <w:sz w:val="19"/>
                <w:szCs w:val="19"/>
              </w:rPr>
              <w:t>011707003001</w:t>
            </w:r>
          </w:p>
        </w:tc>
        <w:tc>
          <w:tcPr>
            <w:tcW w:w="1838" w:type="dxa"/>
            <w:vAlign w:val="top"/>
          </w:tcPr>
          <w:p w14:paraId="410312DA">
            <w:pPr>
              <w:pStyle w:val="594"/>
              <w:spacing w:line="253" w:lineRule="auto"/>
            </w:pPr>
          </w:p>
          <w:p w14:paraId="13340BBC">
            <w:pPr>
              <w:pStyle w:val="594"/>
              <w:spacing w:line="253" w:lineRule="auto"/>
            </w:pPr>
          </w:p>
          <w:p w14:paraId="61CF393A">
            <w:pPr>
              <w:pStyle w:val="594"/>
              <w:spacing w:line="253" w:lineRule="auto"/>
            </w:pPr>
          </w:p>
          <w:p w14:paraId="56B19A7C">
            <w:pPr>
              <w:pStyle w:val="594"/>
              <w:spacing w:line="254" w:lineRule="auto"/>
            </w:pPr>
          </w:p>
          <w:p w14:paraId="338D0D14">
            <w:pPr>
              <w:pStyle w:val="594"/>
              <w:spacing w:line="254" w:lineRule="auto"/>
            </w:pPr>
          </w:p>
          <w:p w14:paraId="7F13F0E7">
            <w:pPr>
              <w:pStyle w:val="594"/>
              <w:spacing w:line="254" w:lineRule="auto"/>
            </w:pPr>
          </w:p>
          <w:p w14:paraId="20595466">
            <w:pPr>
              <w:pStyle w:val="594"/>
              <w:spacing w:line="254" w:lineRule="auto"/>
            </w:pPr>
          </w:p>
          <w:p w14:paraId="5E6939DB">
            <w:pPr>
              <w:pStyle w:val="594"/>
              <w:spacing w:line="254" w:lineRule="auto"/>
            </w:pPr>
          </w:p>
          <w:p w14:paraId="5682CB0B">
            <w:pPr>
              <w:spacing w:before="62" w:line="230" w:lineRule="auto"/>
              <w:ind w:left="26"/>
              <w:rPr>
                <w:rFonts w:ascii="宋体" w:hAnsi="宋体" w:eastAsia="宋体" w:cs="宋体"/>
                <w:sz w:val="19"/>
                <w:szCs w:val="19"/>
              </w:rPr>
            </w:pPr>
            <w:r>
              <w:rPr>
                <w:rFonts w:ascii="宋体" w:hAnsi="宋体" w:eastAsia="宋体" w:cs="宋体"/>
                <w:spacing w:val="3"/>
                <w:sz w:val="19"/>
                <w:szCs w:val="19"/>
              </w:rPr>
              <w:t>非夜间施工照明</w:t>
            </w:r>
          </w:p>
        </w:tc>
        <w:tc>
          <w:tcPr>
            <w:tcW w:w="1612" w:type="dxa"/>
            <w:gridSpan w:val="2"/>
            <w:vAlign w:val="top"/>
          </w:tcPr>
          <w:p w14:paraId="4B473218">
            <w:pPr>
              <w:pStyle w:val="594"/>
              <w:spacing w:line="274" w:lineRule="auto"/>
            </w:pPr>
          </w:p>
          <w:p w14:paraId="4E4F09E3">
            <w:pPr>
              <w:pStyle w:val="594"/>
              <w:spacing w:line="274" w:lineRule="auto"/>
            </w:pPr>
          </w:p>
          <w:p w14:paraId="00E4DF6F">
            <w:pPr>
              <w:pStyle w:val="594"/>
              <w:spacing w:line="274" w:lineRule="auto"/>
            </w:pPr>
          </w:p>
          <w:p w14:paraId="771F48FB">
            <w:pPr>
              <w:pStyle w:val="594"/>
              <w:spacing w:line="274" w:lineRule="auto"/>
            </w:pPr>
          </w:p>
          <w:p w14:paraId="1112951C">
            <w:pPr>
              <w:pStyle w:val="594"/>
              <w:spacing w:line="274" w:lineRule="auto"/>
            </w:pPr>
          </w:p>
          <w:p w14:paraId="68EE01EA">
            <w:pPr>
              <w:pStyle w:val="594"/>
              <w:spacing w:line="275" w:lineRule="auto"/>
            </w:pPr>
          </w:p>
          <w:p w14:paraId="619A5E84">
            <w:pPr>
              <w:spacing w:before="62" w:line="197" w:lineRule="auto"/>
              <w:ind w:left="27" w:right="20" w:firstLine="1"/>
              <w:rPr>
                <w:rFonts w:ascii="宋体" w:hAnsi="宋体" w:eastAsia="宋体" w:cs="宋体"/>
                <w:sz w:val="19"/>
                <w:szCs w:val="19"/>
              </w:rPr>
            </w:pPr>
            <w:r>
              <w:rPr>
                <w:rFonts w:ascii="宋体" w:hAnsi="宋体" w:eastAsia="宋体" w:cs="宋体"/>
                <w:spacing w:val="4"/>
                <w:sz w:val="19"/>
                <w:szCs w:val="19"/>
              </w:rPr>
              <w:t>分部分项合计+技</w:t>
            </w:r>
            <w:r>
              <w:rPr>
                <w:rFonts w:ascii="宋体" w:hAnsi="宋体" w:eastAsia="宋体" w:cs="宋体"/>
                <w:spacing w:val="1"/>
                <w:sz w:val="19"/>
                <w:szCs w:val="19"/>
              </w:rPr>
              <w:t xml:space="preserve">  </w:t>
            </w:r>
            <w:r>
              <w:rPr>
                <w:rFonts w:ascii="宋体" w:hAnsi="宋体" w:eastAsia="宋体" w:cs="宋体"/>
                <w:spacing w:val="3"/>
                <w:sz w:val="19"/>
                <w:szCs w:val="19"/>
              </w:rPr>
              <w:t>术措施项目合计-</w:t>
            </w:r>
            <w:r>
              <w:rPr>
                <w:rFonts w:ascii="宋体" w:hAnsi="宋体" w:eastAsia="宋体" w:cs="宋体"/>
                <w:spacing w:val="1"/>
                <w:sz w:val="19"/>
                <w:szCs w:val="19"/>
              </w:rPr>
              <w:t xml:space="preserve">  </w:t>
            </w:r>
            <w:r>
              <w:rPr>
                <w:rFonts w:ascii="宋体" w:hAnsi="宋体" w:eastAsia="宋体" w:cs="宋体"/>
                <w:spacing w:val="3"/>
                <w:sz w:val="19"/>
                <w:szCs w:val="19"/>
              </w:rPr>
              <w:t>分部分项设备费-</w:t>
            </w:r>
            <w:r>
              <w:rPr>
                <w:rFonts w:ascii="宋体" w:hAnsi="宋体" w:eastAsia="宋体" w:cs="宋体"/>
                <w:spacing w:val="1"/>
                <w:sz w:val="19"/>
                <w:szCs w:val="19"/>
              </w:rPr>
              <w:t xml:space="preserve">  </w:t>
            </w:r>
            <w:r>
              <w:rPr>
                <w:rFonts w:ascii="宋体" w:hAnsi="宋体" w:eastAsia="宋体" w:cs="宋体"/>
                <w:spacing w:val="4"/>
                <w:sz w:val="19"/>
                <w:szCs w:val="19"/>
              </w:rPr>
              <w:t>技术措施项目设备</w:t>
            </w:r>
            <w:r>
              <w:rPr>
                <w:rFonts w:ascii="宋体" w:hAnsi="宋体" w:eastAsia="宋体" w:cs="宋体"/>
                <w:sz w:val="19"/>
                <w:szCs w:val="19"/>
              </w:rPr>
              <w:t xml:space="preserve"> </w:t>
            </w:r>
            <w:r>
              <w:rPr>
                <w:rFonts w:ascii="宋体" w:hAnsi="宋体" w:eastAsia="宋体" w:cs="宋体"/>
                <w:spacing w:val="1"/>
                <w:sz w:val="19"/>
                <w:szCs w:val="19"/>
              </w:rPr>
              <w:t>费</w:t>
            </w:r>
          </w:p>
        </w:tc>
        <w:tc>
          <w:tcPr>
            <w:tcW w:w="596" w:type="dxa"/>
            <w:vAlign w:val="top"/>
          </w:tcPr>
          <w:p w14:paraId="5658381A">
            <w:pPr>
              <w:pStyle w:val="594"/>
              <w:spacing w:line="257" w:lineRule="auto"/>
            </w:pPr>
          </w:p>
          <w:p w14:paraId="171F448C">
            <w:pPr>
              <w:pStyle w:val="594"/>
              <w:spacing w:line="258" w:lineRule="auto"/>
            </w:pPr>
          </w:p>
          <w:p w14:paraId="2F7E89CB">
            <w:pPr>
              <w:pStyle w:val="594"/>
              <w:spacing w:line="258" w:lineRule="auto"/>
            </w:pPr>
          </w:p>
          <w:p w14:paraId="551F1251">
            <w:pPr>
              <w:pStyle w:val="594"/>
              <w:spacing w:line="258" w:lineRule="auto"/>
            </w:pPr>
          </w:p>
          <w:p w14:paraId="61CC4296">
            <w:pPr>
              <w:pStyle w:val="594"/>
              <w:spacing w:line="258" w:lineRule="auto"/>
            </w:pPr>
          </w:p>
          <w:p w14:paraId="417C71EB">
            <w:pPr>
              <w:pStyle w:val="594"/>
              <w:spacing w:line="258" w:lineRule="auto"/>
            </w:pPr>
          </w:p>
          <w:p w14:paraId="6FB6B4DE">
            <w:pPr>
              <w:pStyle w:val="594"/>
              <w:spacing w:line="258" w:lineRule="auto"/>
            </w:pPr>
          </w:p>
          <w:p w14:paraId="0CFCA077">
            <w:pPr>
              <w:pStyle w:val="594"/>
              <w:spacing w:line="258" w:lineRule="auto"/>
            </w:pPr>
          </w:p>
          <w:p w14:paraId="52FB55E0">
            <w:pPr>
              <w:spacing w:before="61" w:line="188" w:lineRule="auto"/>
              <w:ind w:left="258"/>
              <w:rPr>
                <w:rFonts w:ascii="宋体" w:hAnsi="宋体" w:eastAsia="宋体" w:cs="宋体"/>
                <w:sz w:val="19"/>
                <w:szCs w:val="19"/>
              </w:rPr>
            </w:pPr>
            <w:r>
              <w:rPr>
                <w:rFonts w:ascii="宋体" w:hAnsi="宋体" w:eastAsia="宋体" w:cs="宋体"/>
                <w:sz w:val="19"/>
                <w:szCs w:val="19"/>
              </w:rPr>
              <w:t>0</w:t>
            </w:r>
          </w:p>
        </w:tc>
        <w:tc>
          <w:tcPr>
            <w:tcW w:w="1224" w:type="dxa"/>
            <w:vAlign w:val="top"/>
          </w:tcPr>
          <w:p w14:paraId="06715C96">
            <w:pPr>
              <w:pStyle w:val="594"/>
            </w:pPr>
          </w:p>
        </w:tc>
        <w:tc>
          <w:tcPr>
            <w:tcW w:w="865" w:type="dxa"/>
            <w:gridSpan w:val="2"/>
            <w:vAlign w:val="top"/>
          </w:tcPr>
          <w:p w14:paraId="453716DD">
            <w:pPr>
              <w:pStyle w:val="594"/>
            </w:pPr>
          </w:p>
        </w:tc>
        <w:tc>
          <w:tcPr>
            <w:tcW w:w="1194" w:type="dxa"/>
            <w:vAlign w:val="top"/>
          </w:tcPr>
          <w:p w14:paraId="55B4CA66">
            <w:pPr>
              <w:pStyle w:val="594"/>
            </w:pPr>
          </w:p>
        </w:tc>
        <w:tc>
          <w:tcPr>
            <w:tcW w:w="1094" w:type="dxa"/>
            <w:tcBorders>
              <w:right w:val="single" w:color="000000" w:sz="10" w:space="0"/>
            </w:tcBorders>
            <w:vAlign w:val="top"/>
          </w:tcPr>
          <w:p w14:paraId="2BABC328">
            <w:pPr>
              <w:pStyle w:val="594"/>
              <w:spacing w:line="243" w:lineRule="auto"/>
            </w:pPr>
          </w:p>
          <w:p w14:paraId="7E311E54">
            <w:pPr>
              <w:pStyle w:val="594"/>
              <w:spacing w:line="244" w:lineRule="auto"/>
            </w:pPr>
          </w:p>
          <w:p w14:paraId="3957084F">
            <w:pPr>
              <w:spacing w:before="62" w:line="189" w:lineRule="auto"/>
              <w:ind w:left="59" w:right="45"/>
              <w:rPr>
                <w:rFonts w:ascii="宋体" w:hAnsi="宋体" w:eastAsia="宋体" w:cs="宋体"/>
                <w:sz w:val="19"/>
                <w:szCs w:val="19"/>
              </w:rPr>
            </w:pPr>
            <w:r>
              <w:rPr>
                <w:rFonts w:ascii="宋体" w:hAnsi="宋体" w:eastAsia="宋体" w:cs="宋体"/>
                <w:spacing w:val="4"/>
                <w:sz w:val="19"/>
                <w:szCs w:val="19"/>
              </w:rPr>
              <w:t>在计取非夜</w:t>
            </w:r>
            <w:r>
              <w:rPr>
                <w:rFonts w:ascii="宋体" w:hAnsi="宋体" w:eastAsia="宋体" w:cs="宋体"/>
                <w:sz w:val="19"/>
                <w:szCs w:val="19"/>
              </w:rPr>
              <w:t xml:space="preserve"> </w:t>
            </w:r>
            <w:r>
              <w:rPr>
                <w:rFonts w:ascii="宋体" w:hAnsi="宋体" w:eastAsia="宋体" w:cs="宋体"/>
                <w:spacing w:val="4"/>
                <w:sz w:val="19"/>
                <w:szCs w:val="19"/>
              </w:rPr>
              <w:t>间施工照明</w:t>
            </w:r>
            <w:r>
              <w:rPr>
                <w:rFonts w:ascii="宋体" w:hAnsi="宋体" w:eastAsia="宋体" w:cs="宋体"/>
                <w:sz w:val="19"/>
                <w:szCs w:val="19"/>
              </w:rPr>
              <w:t xml:space="preserve"> </w:t>
            </w:r>
            <w:r>
              <w:rPr>
                <w:rFonts w:ascii="宋体" w:hAnsi="宋体" w:eastAsia="宋体" w:cs="宋体"/>
                <w:spacing w:val="4"/>
                <w:sz w:val="19"/>
                <w:szCs w:val="19"/>
              </w:rPr>
              <w:t>费时，建筑</w:t>
            </w:r>
            <w:r>
              <w:rPr>
                <w:rFonts w:ascii="宋体" w:hAnsi="宋体" w:eastAsia="宋体" w:cs="宋体"/>
                <w:sz w:val="19"/>
                <w:szCs w:val="19"/>
              </w:rPr>
              <w:t xml:space="preserve"> </w:t>
            </w:r>
            <w:r>
              <w:rPr>
                <w:rFonts w:ascii="宋体" w:hAnsi="宋体" w:eastAsia="宋体" w:cs="宋体"/>
                <w:spacing w:val="4"/>
                <w:sz w:val="19"/>
                <w:szCs w:val="19"/>
              </w:rPr>
              <w:t>工程、仿古</w:t>
            </w:r>
            <w:r>
              <w:rPr>
                <w:rFonts w:ascii="宋体" w:hAnsi="宋体" w:eastAsia="宋体" w:cs="宋体"/>
                <w:sz w:val="19"/>
                <w:szCs w:val="19"/>
              </w:rPr>
              <w:t xml:space="preserve"> </w:t>
            </w:r>
            <w:r>
              <w:rPr>
                <w:rFonts w:ascii="宋体" w:hAnsi="宋体" w:eastAsia="宋体" w:cs="宋体"/>
                <w:spacing w:val="4"/>
                <w:sz w:val="19"/>
                <w:szCs w:val="19"/>
              </w:rPr>
              <w:t>工程、修缮</w:t>
            </w:r>
            <w:r>
              <w:rPr>
                <w:rFonts w:ascii="宋体" w:hAnsi="宋体" w:eastAsia="宋体" w:cs="宋体"/>
                <w:sz w:val="19"/>
                <w:szCs w:val="19"/>
              </w:rPr>
              <w:t xml:space="preserve"> </w:t>
            </w:r>
            <w:r>
              <w:rPr>
                <w:rFonts w:ascii="宋体" w:hAnsi="宋体" w:eastAsia="宋体" w:cs="宋体"/>
                <w:spacing w:val="4"/>
                <w:sz w:val="19"/>
                <w:szCs w:val="19"/>
              </w:rPr>
              <w:t>土建部分仅</w:t>
            </w:r>
            <w:r>
              <w:rPr>
                <w:rFonts w:ascii="宋体" w:hAnsi="宋体" w:eastAsia="宋体" w:cs="宋体"/>
                <w:sz w:val="19"/>
                <w:szCs w:val="19"/>
              </w:rPr>
              <w:t xml:space="preserve"> </w:t>
            </w:r>
            <w:r>
              <w:rPr>
                <w:rFonts w:ascii="宋体" w:hAnsi="宋体" w:eastAsia="宋体" w:cs="宋体"/>
                <w:spacing w:val="4"/>
                <w:sz w:val="19"/>
                <w:szCs w:val="19"/>
              </w:rPr>
              <w:t>地下室（地</w:t>
            </w:r>
            <w:r>
              <w:rPr>
                <w:rFonts w:ascii="宋体" w:hAnsi="宋体" w:eastAsia="宋体" w:cs="宋体"/>
                <w:sz w:val="19"/>
                <w:szCs w:val="19"/>
              </w:rPr>
              <w:t xml:space="preserve"> </w:t>
            </w:r>
            <w:r>
              <w:rPr>
                <w:rFonts w:ascii="宋体" w:hAnsi="宋体" w:eastAsia="宋体" w:cs="宋体"/>
                <w:spacing w:val="4"/>
                <w:sz w:val="19"/>
                <w:szCs w:val="19"/>
              </w:rPr>
              <w:t>宫）部分可</w:t>
            </w:r>
            <w:r>
              <w:rPr>
                <w:rFonts w:ascii="宋体" w:hAnsi="宋体" w:eastAsia="宋体" w:cs="宋体"/>
                <w:sz w:val="19"/>
                <w:szCs w:val="19"/>
              </w:rPr>
              <w:t xml:space="preserve"> </w:t>
            </w:r>
            <w:r>
              <w:rPr>
                <w:rFonts w:ascii="宋体" w:hAnsi="宋体" w:eastAsia="宋体" w:cs="宋体"/>
                <w:spacing w:val="4"/>
                <w:sz w:val="19"/>
                <w:szCs w:val="19"/>
              </w:rPr>
              <w:t>计取；单独</w:t>
            </w:r>
            <w:r>
              <w:rPr>
                <w:rFonts w:ascii="宋体" w:hAnsi="宋体" w:eastAsia="宋体" w:cs="宋体"/>
                <w:sz w:val="19"/>
                <w:szCs w:val="19"/>
              </w:rPr>
              <w:t xml:space="preserve"> </w:t>
            </w:r>
            <w:r>
              <w:rPr>
                <w:rFonts w:ascii="宋体" w:hAnsi="宋体" w:eastAsia="宋体" w:cs="宋体"/>
                <w:spacing w:val="4"/>
                <w:sz w:val="19"/>
                <w:szCs w:val="19"/>
              </w:rPr>
              <w:t>装饰、安装</w:t>
            </w:r>
            <w:r>
              <w:rPr>
                <w:rFonts w:ascii="宋体" w:hAnsi="宋体" w:eastAsia="宋体" w:cs="宋体"/>
                <w:sz w:val="19"/>
                <w:szCs w:val="19"/>
              </w:rPr>
              <w:t xml:space="preserve"> </w:t>
            </w:r>
            <w:r>
              <w:rPr>
                <w:rFonts w:ascii="宋体" w:hAnsi="宋体" w:eastAsia="宋体" w:cs="宋体"/>
                <w:spacing w:val="4"/>
                <w:sz w:val="19"/>
                <w:szCs w:val="19"/>
              </w:rPr>
              <w:t>工程、园林</w:t>
            </w:r>
            <w:r>
              <w:rPr>
                <w:rFonts w:ascii="宋体" w:hAnsi="宋体" w:eastAsia="宋体" w:cs="宋体"/>
                <w:sz w:val="19"/>
                <w:szCs w:val="19"/>
              </w:rPr>
              <w:t xml:space="preserve"> </w:t>
            </w:r>
            <w:r>
              <w:rPr>
                <w:rFonts w:ascii="宋体" w:hAnsi="宋体" w:eastAsia="宋体" w:cs="宋体"/>
                <w:spacing w:val="4"/>
                <w:sz w:val="19"/>
                <w:szCs w:val="19"/>
              </w:rPr>
              <w:t>绿化工程、</w:t>
            </w:r>
            <w:r>
              <w:rPr>
                <w:rFonts w:ascii="宋体" w:hAnsi="宋体" w:eastAsia="宋体" w:cs="宋体"/>
                <w:sz w:val="19"/>
                <w:szCs w:val="19"/>
              </w:rPr>
              <w:t xml:space="preserve"> </w:t>
            </w:r>
            <w:r>
              <w:rPr>
                <w:rFonts w:ascii="宋体" w:hAnsi="宋体" w:eastAsia="宋体" w:cs="宋体"/>
                <w:spacing w:val="4"/>
                <w:sz w:val="19"/>
                <w:szCs w:val="19"/>
              </w:rPr>
              <w:t>修缮安装部</w:t>
            </w:r>
            <w:r>
              <w:rPr>
                <w:rFonts w:ascii="宋体" w:hAnsi="宋体" w:eastAsia="宋体" w:cs="宋体"/>
                <w:sz w:val="19"/>
                <w:szCs w:val="19"/>
              </w:rPr>
              <w:t xml:space="preserve"> </w:t>
            </w:r>
            <w:r>
              <w:rPr>
                <w:rFonts w:ascii="宋体" w:hAnsi="宋体" w:eastAsia="宋体" w:cs="宋体"/>
                <w:spacing w:val="4"/>
                <w:sz w:val="19"/>
                <w:szCs w:val="19"/>
              </w:rPr>
              <w:t>分仅特殊施</w:t>
            </w:r>
            <w:r>
              <w:rPr>
                <w:rFonts w:ascii="宋体" w:hAnsi="宋体" w:eastAsia="宋体" w:cs="宋体"/>
                <w:sz w:val="19"/>
                <w:szCs w:val="19"/>
              </w:rPr>
              <w:t xml:space="preserve"> </w:t>
            </w:r>
            <w:r>
              <w:rPr>
                <w:rFonts w:ascii="宋体" w:hAnsi="宋体" w:eastAsia="宋体" w:cs="宋体"/>
                <w:spacing w:val="4"/>
                <w:sz w:val="19"/>
                <w:szCs w:val="19"/>
              </w:rPr>
              <w:t>工部位内施</w:t>
            </w:r>
            <w:r>
              <w:rPr>
                <w:rFonts w:ascii="宋体" w:hAnsi="宋体" w:eastAsia="宋体" w:cs="宋体"/>
                <w:sz w:val="19"/>
                <w:szCs w:val="19"/>
              </w:rPr>
              <w:t xml:space="preserve"> </w:t>
            </w:r>
            <w:r>
              <w:rPr>
                <w:rFonts w:ascii="宋体" w:hAnsi="宋体" w:eastAsia="宋体" w:cs="宋体"/>
                <w:spacing w:val="4"/>
                <w:sz w:val="19"/>
                <w:szCs w:val="19"/>
              </w:rPr>
              <w:t>工项目可计</w:t>
            </w:r>
          </w:p>
          <w:p w14:paraId="2E202175">
            <w:pPr>
              <w:spacing w:line="229" w:lineRule="auto"/>
              <w:ind w:left="451"/>
              <w:rPr>
                <w:rFonts w:ascii="宋体" w:hAnsi="宋体" w:eastAsia="宋体" w:cs="宋体"/>
                <w:sz w:val="19"/>
                <w:szCs w:val="19"/>
              </w:rPr>
            </w:pPr>
            <w:r>
              <w:rPr>
                <w:rFonts w:ascii="宋体" w:hAnsi="宋体" w:eastAsia="宋体" w:cs="宋体"/>
                <w:sz w:val="19"/>
                <w:szCs w:val="19"/>
              </w:rPr>
              <w:t>取</w:t>
            </w:r>
          </w:p>
        </w:tc>
      </w:tr>
      <w:tr w14:paraId="054D7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jc w:val="center"/>
        </w:trPr>
        <w:tc>
          <w:tcPr>
            <w:tcW w:w="598" w:type="dxa"/>
            <w:tcBorders>
              <w:left w:val="single" w:color="000000" w:sz="10" w:space="0"/>
              <w:bottom w:val="single" w:color="000000" w:sz="8" w:space="0"/>
            </w:tcBorders>
            <w:vAlign w:val="top"/>
          </w:tcPr>
          <w:p w14:paraId="396B1F4C">
            <w:pPr>
              <w:pStyle w:val="594"/>
              <w:spacing w:line="336" w:lineRule="auto"/>
            </w:pPr>
          </w:p>
          <w:p w14:paraId="12D436FF">
            <w:pPr>
              <w:spacing w:before="62" w:line="186" w:lineRule="auto"/>
              <w:ind w:left="241"/>
              <w:rPr>
                <w:rFonts w:ascii="宋体" w:hAnsi="宋体" w:eastAsia="宋体" w:cs="宋体"/>
                <w:sz w:val="19"/>
                <w:szCs w:val="19"/>
              </w:rPr>
            </w:pPr>
            <w:r>
              <w:rPr>
                <w:rFonts w:ascii="宋体" w:hAnsi="宋体" w:eastAsia="宋体" w:cs="宋体"/>
                <w:sz w:val="19"/>
                <w:szCs w:val="19"/>
              </w:rPr>
              <w:t>5</w:t>
            </w:r>
          </w:p>
        </w:tc>
        <w:tc>
          <w:tcPr>
            <w:tcW w:w="1390" w:type="dxa"/>
            <w:tcBorders>
              <w:bottom w:val="single" w:color="000000" w:sz="8" w:space="0"/>
            </w:tcBorders>
            <w:vAlign w:val="top"/>
          </w:tcPr>
          <w:p w14:paraId="72E2F7FA">
            <w:pPr>
              <w:pStyle w:val="594"/>
              <w:spacing w:line="334" w:lineRule="auto"/>
            </w:pPr>
          </w:p>
          <w:p w14:paraId="37C7DB93">
            <w:pPr>
              <w:spacing w:before="62" w:line="188" w:lineRule="auto"/>
              <w:ind w:left="67"/>
              <w:rPr>
                <w:rFonts w:ascii="宋体" w:hAnsi="宋体" w:eastAsia="宋体" w:cs="宋体"/>
                <w:sz w:val="19"/>
                <w:szCs w:val="19"/>
              </w:rPr>
            </w:pPr>
            <w:r>
              <w:rPr>
                <w:rFonts w:ascii="宋体" w:hAnsi="宋体" w:eastAsia="宋体" w:cs="宋体"/>
                <w:spacing w:val="8"/>
                <w:sz w:val="19"/>
                <w:szCs w:val="19"/>
              </w:rPr>
              <w:t>011707004001</w:t>
            </w:r>
          </w:p>
        </w:tc>
        <w:tc>
          <w:tcPr>
            <w:tcW w:w="1838" w:type="dxa"/>
            <w:tcBorders>
              <w:bottom w:val="single" w:color="000000" w:sz="8" w:space="0"/>
            </w:tcBorders>
            <w:vAlign w:val="top"/>
          </w:tcPr>
          <w:p w14:paraId="10F9B690">
            <w:pPr>
              <w:pStyle w:val="594"/>
              <w:spacing w:line="301" w:lineRule="auto"/>
            </w:pPr>
          </w:p>
          <w:p w14:paraId="0649196B">
            <w:pPr>
              <w:spacing w:before="62" w:line="230" w:lineRule="auto"/>
              <w:ind w:left="26"/>
              <w:rPr>
                <w:rFonts w:ascii="宋体" w:hAnsi="宋体" w:eastAsia="宋体" w:cs="宋体"/>
                <w:sz w:val="19"/>
                <w:szCs w:val="19"/>
              </w:rPr>
            </w:pPr>
            <w:r>
              <w:rPr>
                <w:rFonts w:ascii="宋体" w:hAnsi="宋体" w:eastAsia="宋体" w:cs="宋体"/>
                <w:spacing w:val="3"/>
                <w:sz w:val="19"/>
                <w:szCs w:val="19"/>
              </w:rPr>
              <w:t>二次搬运</w:t>
            </w:r>
          </w:p>
        </w:tc>
        <w:tc>
          <w:tcPr>
            <w:tcW w:w="1612" w:type="dxa"/>
            <w:gridSpan w:val="2"/>
            <w:tcBorders>
              <w:bottom w:val="single" w:color="000000" w:sz="8" w:space="0"/>
            </w:tcBorders>
            <w:vAlign w:val="top"/>
          </w:tcPr>
          <w:p w14:paraId="4243E23C">
            <w:pPr>
              <w:spacing w:before="169" w:line="203" w:lineRule="auto"/>
              <w:ind w:left="28" w:right="111"/>
              <w:jc w:val="both"/>
              <w:rPr>
                <w:rFonts w:ascii="宋体" w:hAnsi="宋体" w:eastAsia="宋体" w:cs="宋体"/>
                <w:sz w:val="19"/>
                <w:szCs w:val="19"/>
              </w:rPr>
            </w:pPr>
            <w:r>
              <w:rPr>
                <w:rFonts w:ascii="宋体" w:hAnsi="宋体" w:eastAsia="宋体" w:cs="宋体"/>
                <w:spacing w:val="4"/>
                <w:sz w:val="19"/>
                <w:szCs w:val="19"/>
              </w:rPr>
              <w:t>分部分项合计+技</w:t>
            </w:r>
            <w:r>
              <w:rPr>
                <w:rFonts w:ascii="宋体" w:hAnsi="宋体" w:eastAsia="宋体" w:cs="宋体"/>
                <w:spacing w:val="3"/>
                <w:sz w:val="19"/>
                <w:szCs w:val="19"/>
              </w:rPr>
              <w:t xml:space="preserve"> 术措施项目合计-</w:t>
            </w:r>
            <w:r>
              <w:rPr>
                <w:rFonts w:ascii="宋体" w:hAnsi="宋体" w:eastAsia="宋体" w:cs="宋体"/>
                <w:spacing w:val="2"/>
                <w:sz w:val="19"/>
                <w:szCs w:val="19"/>
              </w:rPr>
              <w:t xml:space="preserve"> </w:t>
            </w:r>
            <w:r>
              <w:rPr>
                <w:rFonts w:ascii="宋体" w:hAnsi="宋体" w:eastAsia="宋体" w:cs="宋体"/>
                <w:spacing w:val="3"/>
                <w:sz w:val="19"/>
                <w:szCs w:val="19"/>
              </w:rPr>
              <w:t>分部分项设备费-</w:t>
            </w:r>
          </w:p>
        </w:tc>
        <w:tc>
          <w:tcPr>
            <w:tcW w:w="596" w:type="dxa"/>
            <w:tcBorders>
              <w:bottom w:val="single" w:color="000000" w:sz="8" w:space="0"/>
            </w:tcBorders>
            <w:vAlign w:val="top"/>
          </w:tcPr>
          <w:p w14:paraId="173F7B34">
            <w:pPr>
              <w:pStyle w:val="594"/>
              <w:spacing w:line="334" w:lineRule="auto"/>
            </w:pPr>
          </w:p>
          <w:p w14:paraId="6E3C2830">
            <w:pPr>
              <w:spacing w:before="62" w:line="188" w:lineRule="auto"/>
              <w:ind w:left="258"/>
              <w:rPr>
                <w:rFonts w:ascii="宋体" w:hAnsi="宋体" w:eastAsia="宋体" w:cs="宋体"/>
                <w:sz w:val="19"/>
                <w:szCs w:val="19"/>
              </w:rPr>
            </w:pPr>
            <w:r>
              <w:rPr>
                <w:rFonts w:ascii="宋体" w:hAnsi="宋体" w:eastAsia="宋体" w:cs="宋体"/>
                <w:sz w:val="19"/>
                <w:szCs w:val="19"/>
              </w:rPr>
              <w:t>0</w:t>
            </w:r>
          </w:p>
        </w:tc>
        <w:tc>
          <w:tcPr>
            <w:tcW w:w="1224" w:type="dxa"/>
            <w:tcBorders>
              <w:bottom w:val="single" w:color="000000" w:sz="8" w:space="0"/>
            </w:tcBorders>
            <w:vAlign w:val="top"/>
          </w:tcPr>
          <w:p w14:paraId="792FBE37">
            <w:pPr>
              <w:pStyle w:val="594"/>
            </w:pPr>
          </w:p>
        </w:tc>
        <w:tc>
          <w:tcPr>
            <w:tcW w:w="865" w:type="dxa"/>
            <w:gridSpan w:val="2"/>
            <w:tcBorders>
              <w:bottom w:val="single" w:color="000000" w:sz="8" w:space="0"/>
            </w:tcBorders>
            <w:vAlign w:val="top"/>
          </w:tcPr>
          <w:p w14:paraId="6BC0B9D1">
            <w:pPr>
              <w:pStyle w:val="594"/>
            </w:pPr>
          </w:p>
        </w:tc>
        <w:tc>
          <w:tcPr>
            <w:tcW w:w="1194" w:type="dxa"/>
            <w:tcBorders>
              <w:bottom w:val="single" w:color="000000" w:sz="8" w:space="0"/>
            </w:tcBorders>
            <w:vAlign w:val="top"/>
          </w:tcPr>
          <w:p w14:paraId="587E4495">
            <w:pPr>
              <w:pStyle w:val="594"/>
            </w:pPr>
          </w:p>
        </w:tc>
        <w:tc>
          <w:tcPr>
            <w:tcW w:w="1094" w:type="dxa"/>
            <w:tcBorders>
              <w:bottom w:val="single" w:color="000000" w:sz="8" w:space="0"/>
              <w:right w:val="single" w:color="000000" w:sz="10" w:space="0"/>
            </w:tcBorders>
            <w:vAlign w:val="top"/>
          </w:tcPr>
          <w:p w14:paraId="3A5C8B51">
            <w:pPr>
              <w:pStyle w:val="594"/>
            </w:pPr>
          </w:p>
        </w:tc>
      </w:tr>
      <w:tr w14:paraId="551F7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jc w:val="center"/>
        </w:trPr>
        <w:tc>
          <w:tcPr>
            <w:tcW w:w="4902" w:type="dxa"/>
            <w:gridSpan w:val="4"/>
            <w:tcBorders>
              <w:top w:val="single" w:color="000000" w:sz="8" w:space="0"/>
              <w:left w:val="nil"/>
              <w:bottom w:val="single" w:color="FFFFFF" w:sz="4" w:space="0"/>
              <w:right w:val="single" w:color="FFFFFF" w:sz="4" w:space="0"/>
            </w:tcBorders>
            <w:vAlign w:val="top"/>
          </w:tcPr>
          <w:p w14:paraId="49CCEE8A">
            <w:pPr>
              <w:spacing w:before="74" w:line="229" w:lineRule="auto"/>
              <w:ind w:left="26"/>
              <w:rPr>
                <w:rFonts w:ascii="宋体" w:hAnsi="宋体" w:eastAsia="宋体" w:cs="宋体"/>
                <w:sz w:val="17"/>
                <w:szCs w:val="17"/>
              </w:rPr>
            </w:pPr>
            <w:r>
              <w:rPr>
                <w:rFonts w:ascii="宋体" w:hAnsi="宋体" w:eastAsia="宋体" w:cs="宋体"/>
                <w:spacing w:val="8"/>
                <w:sz w:val="17"/>
                <w:szCs w:val="17"/>
              </w:rPr>
              <w:t>编制人（造价人员</w:t>
            </w:r>
            <w:r>
              <w:rPr>
                <w:rFonts w:ascii="宋体" w:hAnsi="宋体" w:eastAsia="宋体" w:cs="宋体"/>
                <w:spacing w:val="-5"/>
                <w:sz w:val="17"/>
                <w:szCs w:val="17"/>
              </w:rPr>
              <w:t>）：</w:t>
            </w:r>
          </w:p>
        </w:tc>
        <w:tc>
          <w:tcPr>
            <w:tcW w:w="2555" w:type="dxa"/>
            <w:gridSpan w:val="4"/>
            <w:tcBorders>
              <w:top w:val="single" w:color="000000" w:sz="8" w:space="0"/>
              <w:left w:val="single" w:color="FFFFFF" w:sz="4" w:space="0"/>
              <w:bottom w:val="single" w:color="FFFFFF" w:sz="4" w:space="0"/>
              <w:right w:val="single" w:color="FFFFFF" w:sz="4" w:space="0"/>
            </w:tcBorders>
            <w:vAlign w:val="top"/>
          </w:tcPr>
          <w:p w14:paraId="69566036">
            <w:pPr>
              <w:spacing w:before="74" w:line="229" w:lineRule="auto"/>
              <w:ind w:left="556"/>
              <w:rPr>
                <w:rFonts w:ascii="宋体" w:hAnsi="宋体" w:eastAsia="宋体" w:cs="宋体"/>
                <w:sz w:val="17"/>
                <w:szCs w:val="17"/>
              </w:rPr>
            </w:pPr>
            <w:r>
              <w:rPr>
                <w:rFonts w:ascii="宋体" w:hAnsi="宋体" w:eastAsia="宋体" w:cs="宋体"/>
                <w:spacing w:val="8"/>
                <w:sz w:val="17"/>
                <w:szCs w:val="17"/>
              </w:rPr>
              <w:t>复核人（造价工程师</w:t>
            </w:r>
            <w:r>
              <w:rPr>
                <w:rFonts w:ascii="宋体" w:hAnsi="宋体" w:eastAsia="宋体" w:cs="宋体"/>
                <w:spacing w:val="-6"/>
                <w:sz w:val="17"/>
                <w:szCs w:val="17"/>
              </w:rPr>
              <w:t>）：</w:t>
            </w:r>
          </w:p>
        </w:tc>
        <w:tc>
          <w:tcPr>
            <w:tcW w:w="2954" w:type="dxa"/>
            <w:gridSpan w:val="3"/>
            <w:tcBorders>
              <w:top w:val="single" w:color="000000" w:sz="8" w:space="0"/>
              <w:left w:val="single" w:color="FFFFFF" w:sz="4" w:space="0"/>
              <w:bottom w:val="single" w:color="FFFFFF" w:sz="4" w:space="0"/>
              <w:right w:val="single" w:color="000000" w:sz="2" w:space="0"/>
            </w:tcBorders>
            <w:vAlign w:val="top"/>
          </w:tcPr>
          <w:p w14:paraId="3852CD1B">
            <w:pPr>
              <w:pStyle w:val="594"/>
            </w:pPr>
          </w:p>
        </w:tc>
      </w:tr>
      <w:tr w14:paraId="5B242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jc w:val="center"/>
        </w:trPr>
        <w:tc>
          <w:tcPr>
            <w:tcW w:w="4902" w:type="dxa"/>
            <w:gridSpan w:val="4"/>
            <w:tcBorders>
              <w:top w:val="single" w:color="FFFFFF" w:sz="4" w:space="0"/>
              <w:left w:val="nil"/>
              <w:bottom w:val="single" w:color="FFFFFF" w:sz="2" w:space="0"/>
              <w:right w:val="single" w:color="FFFFFF" w:sz="4" w:space="0"/>
            </w:tcBorders>
            <w:vAlign w:val="top"/>
          </w:tcPr>
          <w:p w14:paraId="5FCA69E0">
            <w:pPr>
              <w:pStyle w:val="594"/>
            </w:pPr>
          </w:p>
        </w:tc>
        <w:tc>
          <w:tcPr>
            <w:tcW w:w="2555" w:type="dxa"/>
            <w:gridSpan w:val="4"/>
            <w:tcBorders>
              <w:top w:val="single" w:color="FFFFFF" w:sz="4" w:space="0"/>
              <w:left w:val="single" w:color="FFFFFF" w:sz="4" w:space="0"/>
              <w:bottom w:val="single" w:color="FFFFFF" w:sz="2" w:space="0"/>
              <w:right w:val="single" w:color="FFFFFF" w:sz="4" w:space="0"/>
            </w:tcBorders>
            <w:vAlign w:val="top"/>
          </w:tcPr>
          <w:p w14:paraId="152C9BA2">
            <w:pPr>
              <w:pStyle w:val="594"/>
            </w:pPr>
          </w:p>
        </w:tc>
        <w:tc>
          <w:tcPr>
            <w:tcW w:w="2954" w:type="dxa"/>
            <w:gridSpan w:val="3"/>
            <w:tcBorders>
              <w:top w:val="single" w:color="FFFFFF" w:sz="4" w:space="0"/>
              <w:left w:val="single" w:color="FFFFFF" w:sz="4" w:space="0"/>
              <w:bottom w:val="single" w:color="FFFFFF" w:sz="2" w:space="0"/>
              <w:right w:val="single" w:color="FFFFFF" w:sz="2" w:space="0"/>
            </w:tcBorders>
            <w:vAlign w:val="top"/>
          </w:tcPr>
          <w:p w14:paraId="1F275359">
            <w:pPr>
              <w:spacing w:before="160" w:line="205" w:lineRule="auto"/>
              <w:ind w:left="2457"/>
              <w:rPr>
                <w:rFonts w:ascii="宋体" w:hAnsi="宋体" w:eastAsia="宋体" w:cs="宋体"/>
                <w:sz w:val="17"/>
                <w:szCs w:val="17"/>
              </w:rPr>
            </w:pPr>
            <w:r>
              <w:rPr>
                <w:rFonts w:ascii="宋体" w:hAnsi="宋体" w:eastAsia="宋体" w:cs="宋体"/>
                <w:spacing w:val="4"/>
                <w:sz w:val="17"/>
                <w:szCs w:val="17"/>
              </w:rPr>
              <w:t>表-11</w:t>
            </w:r>
          </w:p>
        </w:tc>
      </w:tr>
    </w:tbl>
    <w:p w14:paraId="62CCE73C">
      <w:pPr>
        <w:pStyle w:val="14"/>
        <w:rPr>
          <w:sz w:val="0"/>
        </w:rPr>
      </w:pPr>
    </w:p>
    <w:p w14:paraId="3B418F95">
      <w:pPr>
        <w:rPr>
          <w:sz w:val="21"/>
          <w:szCs w:val="21"/>
        </w:rPr>
        <w:sectPr>
          <w:pgSz w:w="11960" w:h="16880"/>
          <w:pgMar w:top="400" w:right="790" w:bottom="0" w:left="733" w:header="0" w:footer="0" w:gutter="0"/>
          <w:cols w:space="720" w:num="1"/>
        </w:sectPr>
      </w:pPr>
    </w:p>
    <w:p w14:paraId="134847B0">
      <w:pPr>
        <w:spacing w:before="208"/>
      </w:pPr>
      <w:r>
        <w:drawing>
          <wp:anchor distT="0" distB="0" distL="0" distR="0" simplePos="0" relativeHeight="251665408" behindDoc="1" locked="0" layoutInCell="0" allowOverlap="1">
            <wp:simplePos x="0" y="0"/>
            <wp:positionH relativeFrom="page">
              <wp:posOffset>465455</wp:posOffset>
            </wp:positionH>
            <wp:positionV relativeFrom="page">
              <wp:posOffset>9598025</wp:posOffset>
            </wp:positionV>
            <wp:extent cx="24130" cy="8255"/>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3"/>
                    <a:stretch>
                      <a:fillRect/>
                    </a:stretch>
                  </pic:blipFill>
                  <pic:spPr>
                    <a:xfrm>
                      <a:off x="0" y="0"/>
                      <a:ext cx="24038" cy="8453"/>
                    </a:xfrm>
                    <a:prstGeom prst="rect">
                      <a:avLst/>
                    </a:prstGeom>
                  </pic:spPr>
                </pic:pic>
              </a:graphicData>
            </a:graphic>
          </wp:anchor>
        </w:drawing>
      </w:r>
    </w:p>
    <w:tbl>
      <w:tblPr>
        <w:tblStyle w:val="333"/>
        <w:tblW w:w="104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8"/>
        <w:gridCol w:w="1390"/>
        <w:gridCol w:w="1839"/>
        <w:gridCol w:w="1076"/>
        <w:gridCol w:w="536"/>
        <w:gridCol w:w="596"/>
        <w:gridCol w:w="1224"/>
        <w:gridCol w:w="199"/>
        <w:gridCol w:w="666"/>
        <w:gridCol w:w="1194"/>
        <w:gridCol w:w="1093"/>
      </w:tblGrid>
      <w:tr w14:paraId="055A2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0411" w:type="dxa"/>
            <w:gridSpan w:val="11"/>
            <w:tcBorders>
              <w:top w:val="nil"/>
              <w:left w:val="nil"/>
              <w:bottom w:val="single" w:color="FFFFFF" w:sz="4" w:space="0"/>
              <w:right w:val="single" w:color="FFFFFF" w:sz="2" w:space="0"/>
            </w:tcBorders>
            <w:vAlign w:val="top"/>
          </w:tcPr>
          <w:p w14:paraId="1CD7E4FB">
            <w:pPr>
              <w:spacing w:before="135" w:line="223" w:lineRule="auto"/>
              <w:ind w:left="2687"/>
              <w:rPr>
                <w:rFonts w:ascii="宋体" w:hAnsi="宋体" w:eastAsia="宋体" w:cs="宋体"/>
                <w:sz w:val="39"/>
                <w:szCs w:val="39"/>
              </w:rPr>
            </w:pPr>
            <w:r>
              <w:rPr>
                <w:rFonts w:ascii="宋体" w:hAnsi="宋体" w:eastAsia="宋体" w:cs="宋体"/>
                <w:spacing w:val="25"/>
                <w:sz w:val="39"/>
                <w:szCs w:val="39"/>
              </w:rPr>
              <w:t>总价措施项目清单与计价表</w:t>
            </w:r>
          </w:p>
        </w:tc>
      </w:tr>
      <w:tr w14:paraId="0CCF5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903" w:type="dxa"/>
            <w:gridSpan w:val="4"/>
            <w:tcBorders>
              <w:top w:val="single" w:color="FFFFFF" w:sz="4" w:space="0"/>
              <w:left w:val="nil"/>
              <w:bottom w:val="single" w:color="000000" w:sz="10" w:space="0"/>
              <w:right w:val="single" w:color="FFFFFF" w:sz="4" w:space="0"/>
            </w:tcBorders>
            <w:vAlign w:val="top"/>
          </w:tcPr>
          <w:p w14:paraId="123526F8">
            <w:pPr>
              <w:pStyle w:val="594"/>
              <w:spacing w:line="286" w:lineRule="auto"/>
            </w:pPr>
          </w:p>
          <w:p w14:paraId="7741B96B">
            <w:pPr>
              <w:spacing w:before="62" w:line="201" w:lineRule="auto"/>
              <w:ind w:left="28"/>
              <w:rPr>
                <w:rFonts w:ascii="宋体" w:hAnsi="宋体" w:eastAsia="宋体" w:cs="宋体"/>
                <w:sz w:val="19"/>
                <w:szCs w:val="19"/>
              </w:rPr>
            </w:pPr>
            <w:r>
              <w:rPr>
                <w:rFonts w:ascii="宋体" w:hAnsi="宋体" w:eastAsia="宋体" w:cs="宋体"/>
                <w:spacing w:val="4"/>
                <w:sz w:val="19"/>
                <w:szCs w:val="19"/>
              </w:rPr>
              <w:t>工程名称：沭阳县耿圩镇污水处理厂提质提标项目</w:t>
            </w:r>
          </w:p>
        </w:tc>
        <w:tc>
          <w:tcPr>
            <w:tcW w:w="2555" w:type="dxa"/>
            <w:gridSpan w:val="4"/>
            <w:tcBorders>
              <w:top w:val="single" w:color="FFFFFF" w:sz="4" w:space="0"/>
              <w:left w:val="single" w:color="FFFFFF" w:sz="4" w:space="0"/>
              <w:bottom w:val="single" w:color="000000" w:sz="10" w:space="0"/>
              <w:right w:val="single" w:color="FFFFFF" w:sz="4" w:space="0"/>
            </w:tcBorders>
            <w:vAlign w:val="top"/>
          </w:tcPr>
          <w:p w14:paraId="19EE513A">
            <w:pPr>
              <w:spacing w:before="155" w:line="195" w:lineRule="auto"/>
              <w:ind w:left="29" w:right="183" w:hanging="1"/>
              <w:rPr>
                <w:rFonts w:ascii="宋体" w:hAnsi="宋体" w:eastAsia="宋体" w:cs="宋体"/>
                <w:sz w:val="19"/>
                <w:szCs w:val="19"/>
              </w:rPr>
            </w:pPr>
            <w:r>
              <w:rPr>
                <w:rFonts w:ascii="宋体" w:hAnsi="宋体" w:eastAsia="宋体" w:cs="宋体"/>
                <w:spacing w:val="4"/>
                <w:sz w:val="19"/>
                <w:szCs w:val="19"/>
              </w:rPr>
              <w:t>标段：沭阳县耿圩镇污水处</w:t>
            </w:r>
            <w:r>
              <w:rPr>
                <w:rFonts w:ascii="宋体" w:hAnsi="宋体" w:eastAsia="宋体" w:cs="宋体"/>
                <w:spacing w:val="3"/>
                <w:sz w:val="19"/>
                <w:szCs w:val="19"/>
              </w:rPr>
              <w:t xml:space="preserve"> </w:t>
            </w:r>
            <w:r>
              <w:rPr>
                <w:rFonts w:ascii="宋体" w:hAnsi="宋体" w:eastAsia="宋体" w:cs="宋体"/>
                <w:spacing w:val="4"/>
                <w:sz w:val="19"/>
                <w:szCs w:val="19"/>
              </w:rPr>
              <w:t>理厂提质提标项目</w:t>
            </w:r>
          </w:p>
        </w:tc>
        <w:tc>
          <w:tcPr>
            <w:tcW w:w="2953" w:type="dxa"/>
            <w:gridSpan w:val="3"/>
            <w:tcBorders>
              <w:top w:val="single" w:color="FFFFFF" w:sz="4" w:space="0"/>
              <w:left w:val="single" w:color="FFFFFF" w:sz="4" w:space="0"/>
              <w:bottom w:val="single" w:color="000000" w:sz="10" w:space="0"/>
              <w:right w:val="single" w:color="FFFFFF" w:sz="2" w:space="0"/>
            </w:tcBorders>
            <w:vAlign w:val="top"/>
          </w:tcPr>
          <w:p w14:paraId="6B11FF3C">
            <w:pPr>
              <w:pStyle w:val="594"/>
              <w:spacing w:line="286" w:lineRule="auto"/>
            </w:pPr>
          </w:p>
          <w:p w14:paraId="3FE0DA95">
            <w:pPr>
              <w:spacing w:before="62" w:line="201" w:lineRule="auto"/>
              <w:ind w:left="1290"/>
              <w:rPr>
                <w:rFonts w:ascii="宋体" w:hAnsi="宋体" w:eastAsia="宋体" w:cs="宋体"/>
                <w:sz w:val="19"/>
                <w:szCs w:val="19"/>
              </w:rPr>
            </w:pPr>
            <w:r>
              <w:rPr>
                <w:rFonts w:ascii="宋体" w:hAnsi="宋体" w:eastAsia="宋体" w:cs="宋体"/>
                <w:spacing w:val="-2"/>
                <w:sz w:val="19"/>
                <w:szCs w:val="19"/>
              </w:rPr>
              <w:t>第</w:t>
            </w:r>
            <w:r>
              <w:rPr>
                <w:rFonts w:ascii="宋体" w:hAnsi="宋体" w:eastAsia="宋体" w:cs="宋体"/>
                <w:spacing w:val="14"/>
                <w:sz w:val="19"/>
                <w:szCs w:val="19"/>
              </w:rPr>
              <w:t xml:space="preserve"> </w:t>
            </w:r>
            <w:r>
              <w:rPr>
                <w:rFonts w:ascii="宋体" w:hAnsi="宋体" w:eastAsia="宋体" w:cs="宋体"/>
                <w:spacing w:val="-2"/>
                <w:sz w:val="19"/>
                <w:szCs w:val="19"/>
              </w:rPr>
              <w:t>2</w:t>
            </w:r>
            <w:r>
              <w:rPr>
                <w:rFonts w:ascii="宋体" w:hAnsi="宋体" w:eastAsia="宋体" w:cs="宋体"/>
                <w:spacing w:val="26"/>
                <w:sz w:val="19"/>
                <w:szCs w:val="19"/>
              </w:rPr>
              <w:t xml:space="preserve"> </w:t>
            </w:r>
            <w:r>
              <w:rPr>
                <w:rFonts w:ascii="宋体" w:hAnsi="宋体" w:eastAsia="宋体" w:cs="宋体"/>
                <w:spacing w:val="-2"/>
                <w:sz w:val="19"/>
                <w:szCs w:val="19"/>
              </w:rPr>
              <w:t>页</w:t>
            </w:r>
            <w:r>
              <w:rPr>
                <w:rFonts w:ascii="宋体" w:hAnsi="宋体" w:eastAsia="宋体" w:cs="宋体"/>
                <w:spacing w:val="10"/>
                <w:sz w:val="19"/>
                <w:szCs w:val="19"/>
              </w:rPr>
              <w:t xml:space="preserve">  </w:t>
            </w:r>
            <w:r>
              <w:rPr>
                <w:rFonts w:ascii="宋体" w:hAnsi="宋体" w:eastAsia="宋体" w:cs="宋体"/>
                <w:spacing w:val="-2"/>
                <w:sz w:val="19"/>
                <w:szCs w:val="19"/>
              </w:rPr>
              <w:t>共</w:t>
            </w:r>
            <w:r>
              <w:rPr>
                <w:rFonts w:ascii="宋体" w:hAnsi="宋体" w:eastAsia="宋体" w:cs="宋体"/>
                <w:spacing w:val="17"/>
                <w:sz w:val="19"/>
                <w:szCs w:val="19"/>
              </w:rPr>
              <w:t xml:space="preserve"> </w:t>
            </w:r>
            <w:r>
              <w:rPr>
                <w:rFonts w:ascii="宋体" w:hAnsi="宋体" w:eastAsia="宋体" w:cs="宋体"/>
                <w:spacing w:val="-2"/>
                <w:sz w:val="19"/>
                <w:szCs w:val="19"/>
              </w:rPr>
              <w:t>3</w:t>
            </w:r>
            <w:r>
              <w:rPr>
                <w:rFonts w:ascii="宋体" w:hAnsi="宋体" w:eastAsia="宋体" w:cs="宋体"/>
                <w:spacing w:val="26"/>
                <w:sz w:val="19"/>
                <w:szCs w:val="19"/>
              </w:rPr>
              <w:t xml:space="preserve"> </w:t>
            </w:r>
            <w:r>
              <w:rPr>
                <w:rFonts w:ascii="宋体" w:hAnsi="宋体" w:eastAsia="宋体" w:cs="宋体"/>
                <w:spacing w:val="-2"/>
                <w:sz w:val="19"/>
                <w:szCs w:val="19"/>
              </w:rPr>
              <w:t>页</w:t>
            </w:r>
          </w:p>
        </w:tc>
      </w:tr>
      <w:tr w14:paraId="790EA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598" w:type="dxa"/>
            <w:tcBorders>
              <w:top w:val="single" w:color="000000" w:sz="10" w:space="0"/>
              <w:left w:val="single" w:color="000000" w:sz="10" w:space="0"/>
            </w:tcBorders>
            <w:vAlign w:val="top"/>
          </w:tcPr>
          <w:p w14:paraId="0A9F0C57">
            <w:pPr>
              <w:spacing w:before="207" w:line="231" w:lineRule="auto"/>
              <w:ind w:left="102"/>
              <w:rPr>
                <w:rFonts w:ascii="宋体" w:hAnsi="宋体" w:eastAsia="宋体" w:cs="宋体"/>
                <w:sz w:val="19"/>
                <w:szCs w:val="19"/>
              </w:rPr>
            </w:pPr>
            <w:r>
              <w:rPr>
                <w:rFonts w:ascii="宋体" w:hAnsi="宋体" w:eastAsia="宋体" w:cs="宋体"/>
                <w:spacing w:val="3"/>
                <w:sz w:val="19"/>
                <w:szCs w:val="19"/>
              </w:rPr>
              <w:t>序号</w:t>
            </w:r>
          </w:p>
        </w:tc>
        <w:tc>
          <w:tcPr>
            <w:tcW w:w="1390" w:type="dxa"/>
            <w:tcBorders>
              <w:top w:val="single" w:color="000000" w:sz="10" w:space="0"/>
            </w:tcBorders>
            <w:vAlign w:val="top"/>
          </w:tcPr>
          <w:p w14:paraId="0D5DA1B2">
            <w:pPr>
              <w:spacing w:before="207" w:line="230" w:lineRule="auto"/>
              <w:ind w:left="309"/>
              <w:rPr>
                <w:rFonts w:ascii="宋体" w:hAnsi="宋体" w:eastAsia="宋体" w:cs="宋体"/>
                <w:sz w:val="19"/>
                <w:szCs w:val="19"/>
              </w:rPr>
            </w:pPr>
            <w:r>
              <w:rPr>
                <w:rFonts w:ascii="宋体" w:hAnsi="宋体" w:eastAsia="宋体" w:cs="宋体"/>
                <w:spacing w:val="3"/>
                <w:sz w:val="19"/>
                <w:szCs w:val="19"/>
              </w:rPr>
              <w:t>项目编码</w:t>
            </w:r>
          </w:p>
        </w:tc>
        <w:tc>
          <w:tcPr>
            <w:tcW w:w="1839" w:type="dxa"/>
            <w:tcBorders>
              <w:top w:val="single" w:color="000000" w:sz="10" w:space="0"/>
            </w:tcBorders>
            <w:vAlign w:val="top"/>
          </w:tcPr>
          <w:p w14:paraId="00F3A576">
            <w:pPr>
              <w:spacing w:before="208" w:line="230" w:lineRule="auto"/>
              <w:ind w:left="535"/>
              <w:rPr>
                <w:rFonts w:ascii="宋体" w:hAnsi="宋体" w:eastAsia="宋体" w:cs="宋体"/>
                <w:sz w:val="19"/>
                <w:szCs w:val="19"/>
              </w:rPr>
            </w:pPr>
            <w:r>
              <w:rPr>
                <w:rFonts w:ascii="宋体" w:hAnsi="宋体" w:eastAsia="宋体" w:cs="宋体"/>
                <w:spacing w:val="3"/>
                <w:sz w:val="19"/>
                <w:szCs w:val="19"/>
              </w:rPr>
              <w:t>项目名称</w:t>
            </w:r>
          </w:p>
        </w:tc>
        <w:tc>
          <w:tcPr>
            <w:tcW w:w="1612" w:type="dxa"/>
            <w:gridSpan w:val="2"/>
            <w:tcBorders>
              <w:top w:val="single" w:color="000000" w:sz="10" w:space="0"/>
            </w:tcBorders>
            <w:vAlign w:val="top"/>
          </w:tcPr>
          <w:p w14:paraId="7517A167">
            <w:pPr>
              <w:spacing w:before="207" w:line="230" w:lineRule="auto"/>
              <w:ind w:left="415"/>
              <w:rPr>
                <w:rFonts w:ascii="宋体" w:hAnsi="宋体" w:eastAsia="宋体" w:cs="宋体"/>
                <w:sz w:val="19"/>
                <w:szCs w:val="19"/>
              </w:rPr>
            </w:pPr>
            <w:r>
              <w:rPr>
                <w:rFonts w:ascii="宋体" w:hAnsi="宋体" w:eastAsia="宋体" w:cs="宋体"/>
                <w:spacing w:val="3"/>
                <w:sz w:val="19"/>
                <w:szCs w:val="19"/>
              </w:rPr>
              <w:t>基数说明</w:t>
            </w:r>
          </w:p>
        </w:tc>
        <w:tc>
          <w:tcPr>
            <w:tcW w:w="596" w:type="dxa"/>
            <w:tcBorders>
              <w:top w:val="single" w:color="000000" w:sz="10" w:space="0"/>
            </w:tcBorders>
            <w:vAlign w:val="top"/>
          </w:tcPr>
          <w:p w14:paraId="0EAE51B2">
            <w:pPr>
              <w:spacing w:before="117" w:line="211" w:lineRule="auto"/>
              <w:ind w:left="185" w:right="93" w:hanging="69"/>
              <w:rPr>
                <w:rFonts w:ascii="宋体" w:hAnsi="宋体" w:eastAsia="宋体" w:cs="宋体"/>
                <w:sz w:val="19"/>
                <w:szCs w:val="19"/>
              </w:rPr>
            </w:pPr>
            <w:r>
              <w:rPr>
                <w:rFonts w:ascii="宋体" w:hAnsi="宋体" w:eastAsia="宋体" w:cs="宋体"/>
                <w:spacing w:val="-3"/>
                <w:sz w:val="19"/>
                <w:szCs w:val="19"/>
              </w:rPr>
              <w:t>费率</w:t>
            </w:r>
            <w:r>
              <w:rPr>
                <w:rFonts w:ascii="宋体" w:hAnsi="宋体" w:eastAsia="宋体" w:cs="宋体"/>
                <w:sz w:val="19"/>
                <w:szCs w:val="19"/>
              </w:rPr>
              <w:t xml:space="preserve"> </w:t>
            </w:r>
            <w:r>
              <w:rPr>
                <w:rFonts w:ascii="宋体" w:hAnsi="宋体" w:eastAsia="宋体" w:cs="宋体"/>
                <w:spacing w:val="-5"/>
                <w:sz w:val="19"/>
                <w:szCs w:val="19"/>
              </w:rPr>
              <w:t>(%)</w:t>
            </w:r>
          </w:p>
        </w:tc>
        <w:tc>
          <w:tcPr>
            <w:tcW w:w="1224" w:type="dxa"/>
            <w:tcBorders>
              <w:top w:val="single" w:color="000000" w:sz="10" w:space="0"/>
            </w:tcBorders>
            <w:vAlign w:val="top"/>
          </w:tcPr>
          <w:p w14:paraId="704B865D">
            <w:pPr>
              <w:spacing w:before="117" w:line="210" w:lineRule="auto"/>
              <w:ind w:left="457" w:right="401" w:hanging="33"/>
              <w:rPr>
                <w:rFonts w:ascii="宋体" w:hAnsi="宋体" w:eastAsia="宋体" w:cs="宋体"/>
                <w:sz w:val="19"/>
                <w:szCs w:val="19"/>
              </w:rPr>
            </w:pPr>
            <w:r>
              <w:rPr>
                <w:rFonts w:ascii="宋体" w:hAnsi="宋体" w:eastAsia="宋体" w:cs="宋体"/>
                <w:spacing w:val="2"/>
                <w:sz w:val="19"/>
                <w:szCs w:val="19"/>
              </w:rPr>
              <w:t>金额</w:t>
            </w:r>
            <w:r>
              <w:rPr>
                <w:rFonts w:ascii="宋体" w:hAnsi="宋体" w:eastAsia="宋体" w:cs="宋体"/>
                <w:sz w:val="19"/>
                <w:szCs w:val="19"/>
              </w:rPr>
              <w:t xml:space="preserve"> </w:t>
            </w:r>
            <w:r>
              <w:rPr>
                <w:rFonts w:ascii="宋体" w:hAnsi="宋体" w:eastAsia="宋体" w:cs="宋体"/>
                <w:spacing w:val="-9"/>
                <w:sz w:val="19"/>
                <w:szCs w:val="19"/>
              </w:rPr>
              <w:t>(元)</w:t>
            </w:r>
          </w:p>
        </w:tc>
        <w:tc>
          <w:tcPr>
            <w:tcW w:w="865" w:type="dxa"/>
            <w:gridSpan w:val="2"/>
            <w:tcBorders>
              <w:top w:val="single" w:color="000000" w:sz="10" w:space="0"/>
            </w:tcBorders>
            <w:vAlign w:val="top"/>
          </w:tcPr>
          <w:p w14:paraId="54762EEA">
            <w:pPr>
              <w:spacing w:before="118" w:line="209" w:lineRule="auto"/>
              <w:ind w:left="108" w:right="66" w:firstLine="140"/>
              <w:rPr>
                <w:rFonts w:ascii="宋体" w:hAnsi="宋体" w:eastAsia="宋体" w:cs="宋体"/>
                <w:sz w:val="19"/>
                <w:szCs w:val="19"/>
              </w:rPr>
            </w:pPr>
            <w:r>
              <w:rPr>
                <w:rFonts w:ascii="宋体" w:hAnsi="宋体" w:eastAsia="宋体" w:cs="宋体"/>
                <w:spacing w:val="2"/>
                <w:sz w:val="19"/>
                <w:szCs w:val="19"/>
              </w:rPr>
              <w:t>调整</w:t>
            </w:r>
            <w:r>
              <w:rPr>
                <w:rFonts w:ascii="宋体" w:hAnsi="宋体" w:eastAsia="宋体" w:cs="宋体"/>
                <w:sz w:val="19"/>
                <w:szCs w:val="19"/>
              </w:rPr>
              <w:t xml:space="preserve">  </w:t>
            </w:r>
            <w:r>
              <w:rPr>
                <w:rFonts w:ascii="宋体" w:hAnsi="宋体" w:eastAsia="宋体" w:cs="宋体"/>
                <w:spacing w:val="3"/>
                <w:sz w:val="19"/>
                <w:szCs w:val="19"/>
              </w:rPr>
              <w:t>费率(%)</w:t>
            </w:r>
          </w:p>
        </w:tc>
        <w:tc>
          <w:tcPr>
            <w:tcW w:w="1194" w:type="dxa"/>
            <w:tcBorders>
              <w:top w:val="single" w:color="000000" w:sz="10" w:space="0"/>
            </w:tcBorders>
            <w:vAlign w:val="top"/>
          </w:tcPr>
          <w:p w14:paraId="39D52E9A">
            <w:pPr>
              <w:spacing w:before="118" w:line="209" w:lineRule="auto"/>
              <w:ind w:left="221" w:right="184" w:firstLine="104"/>
              <w:rPr>
                <w:rFonts w:ascii="宋体" w:hAnsi="宋体" w:eastAsia="宋体" w:cs="宋体"/>
                <w:sz w:val="19"/>
                <w:szCs w:val="19"/>
              </w:rPr>
            </w:pPr>
            <w:r>
              <w:rPr>
                <w:rFonts w:ascii="宋体" w:hAnsi="宋体" w:eastAsia="宋体" w:cs="宋体"/>
                <w:spacing w:val="3"/>
                <w:sz w:val="19"/>
                <w:szCs w:val="19"/>
              </w:rPr>
              <w:t>调整后</w:t>
            </w:r>
            <w:r>
              <w:rPr>
                <w:rFonts w:ascii="宋体" w:hAnsi="宋体" w:eastAsia="宋体" w:cs="宋体"/>
                <w:sz w:val="19"/>
                <w:szCs w:val="19"/>
              </w:rPr>
              <w:t xml:space="preserve">  </w:t>
            </w:r>
            <w:r>
              <w:rPr>
                <w:rFonts w:ascii="宋体" w:hAnsi="宋体" w:eastAsia="宋体" w:cs="宋体"/>
                <w:spacing w:val="3"/>
                <w:sz w:val="19"/>
                <w:szCs w:val="19"/>
              </w:rPr>
              <w:t>金额(元)</w:t>
            </w:r>
          </w:p>
        </w:tc>
        <w:tc>
          <w:tcPr>
            <w:tcW w:w="1093" w:type="dxa"/>
            <w:tcBorders>
              <w:top w:val="single" w:color="000000" w:sz="10" w:space="0"/>
              <w:right w:val="single" w:color="000000" w:sz="10" w:space="0"/>
            </w:tcBorders>
            <w:vAlign w:val="top"/>
          </w:tcPr>
          <w:p w14:paraId="40CC29B9">
            <w:pPr>
              <w:spacing w:before="207" w:line="231" w:lineRule="auto"/>
              <w:ind w:left="360"/>
              <w:rPr>
                <w:rFonts w:ascii="宋体" w:hAnsi="宋体" w:eastAsia="宋体" w:cs="宋体"/>
                <w:sz w:val="19"/>
                <w:szCs w:val="19"/>
              </w:rPr>
            </w:pPr>
            <w:r>
              <w:rPr>
                <w:rFonts w:ascii="宋体" w:hAnsi="宋体" w:eastAsia="宋体" w:cs="宋体"/>
                <w:spacing w:val="2"/>
                <w:sz w:val="19"/>
                <w:szCs w:val="19"/>
              </w:rPr>
              <w:t>备注</w:t>
            </w:r>
          </w:p>
        </w:tc>
      </w:tr>
      <w:tr w14:paraId="61E22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jc w:val="center"/>
        </w:trPr>
        <w:tc>
          <w:tcPr>
            <w:tcW w:w="598" w:type="dxa"/>
            <w:tcBorders>
              <w:left w:val="single" w:color="000000" w:sz="10" w:space="0"/>
            </w:tcBorders>
            <w:vAlign w:val="top"/>
          </w:tcPr>
          <w:p w14:paraId="1E53962E">
            <w:pPr>
              <w:pStyle w:val="594"/>
            </w:pPr>
          </w:p>
        </w:tc>
        <w:tc>
          <w:tcPr>
            <w:tcW w:w="1390" w:type="dxa"/>
            <w:vAlign w:val="top"/>
          </w:tcPr>
          <w:p w14:paraId="14ADC025">
            <w:pPr>
              <w:pStyle w:val="594"/>
            </w:pPr>
          </w:p>
        </w:tc>
        <w:tc>
          <w:tcPr>
            <w:tcW w:w="1839" w:type="dxa"/>
            <w:vAlign w:val="top"/>
          </w:tcPr>
          <w:p w14:paraId="58221AB4">
            <w:pPr>
              <w:pStyle w:val="594"/>
            </w:pPr>
          </w:p>
        </w:tc>
        <w:tc>
          <w:tcPr>
            <w:tcW w:w="1612" w:type="dxa"/>
            <w:gridSpan w:val="2"/>
            <w:vAlign w:val="top"/>
          </w:tcPr>
          <w:p w14:paraId="770385CF">
            <w:pPr>
              <w:spacing w:before="126" w:line="210" w:lineRule="auto"/>
              <w:ind w:left="36" w:right="21" w:hanging="10"/>
              <w:rPr>
                <w:rFonts w:ascii="宋体" w:hAnsi="宋体" w:eastAsia="宋体" w:cs="宋体"/>
                <w:sz w:val="19"/>
                <w:szCs w:val="19"/>
              </w:rPr>
            </w:pPr>
            <w:r>
              <w:rPr>
                <w:rFonts w:ascii="宋体" w:hAnsi="宋体" w:eastAsia="宋体" w:cs="宋体"/>
                <w:spacing w:val="4"/>
                <w:sz w:val="19"/>
                <w:szCs w:val="19"/>
              </w:rPr>
              <w:t>技术措施项目设备</w:t>
            </w:r>
            <w:r>
              <w:rPr>
                <w:rFonts w:ascii="宋体" w:hAnsi="宋体" w:eastAsia="宋体" w:cs="宋体"/>
                <w:sz w:val="19"/>
                <w:szCs w:val="19"/>
              </w:rPr>
              <w:t xml:space="preserve"> 费</w:t>
            </w:r>
          </w:p>
        </w:tc>
        <w:tc>
          <w:tcPr>
            <w:tcW w:w="596" w:type="dxa"/>
            <w:vAlign w:val="top"/>
          </w:tcPr>
          <w:p w14:paraId="7C34DA5B">
            <w:pPr>
              <w:pStyle w:val="594"/>
            </w:pPr>
          </w:p>
        </w:tc>
        <w:tc>
          <w:tcPr>
            <w:tcW w:w="1224" w:type="dxa"/>
            <w:vAlign w:val="top"/>
          </w:tcPr>
          <w:p w14:paraId="1E395D69">
            <w:pPr>
              <w:pStyle w:val="594"/>
            </w:pPr>
          </w:p>
        </w:tc>
        <w:tc>
          <w:tcPr>
            <w:tcW w:w="865" w:type="dxa"/>
            <w:gridSpan w:val="2"/>
            <w:vAlign w:val="top"/>
          </w:tcPr>
          <w:p w14:paraId="40833C8F">
            <w:pPr>
              <w:pStyle w:val="594"/>
            </w:pPr>
          </w:p>
        </w:tc>
        <w:tc>
          <w:tcPr>
            <w:tcW w:w="1194" w:type="dxa"/>
            <w:vAlign w:val="top"/>
          </w:tcPr>
          <w:p w14:paraId="54728268">
            <w:pPr>
              <w:pStyle w:val="594"/>
            </w:pPr>
          </w:p>
        </w:tc>
        <w:tc>
          <w:tcPr>
            <w:tcW w:w="1093" w:type="dxa"/>
            <w:tcBorders>
              <w:right w:val="single" w:color="000000" w:sz="10" w:space="0"/>
            </w:tcBorders>
            <w:vAlign w:val="top"/>
          </w:tcPr>
          <w:p w14:paraId="3490DBC3">
            <w:pPr>
              <w:pStyle w:val="594"/>
            </w:pPr>
          </w:p>
        </w:tc>
      </w:tr>
      <w:tr w14:paraId="7D514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5" w:hRule="atLeast"/>
          <w:jc w:val="center"/>
        </w:trPr>
        <w:tc>
          <w:tcPr>
            <w:tcW w:w="598" w:type="dxa"/>
            <w:tcBorders>
              <w:left w:val="single" w:color="000000" w:sz="10" w:space="0"/>
            </w:tcBorders>
            <w:vAlign w:val="top"/>
          </w:tcPr>
          <w:p w14:paraId="3E63B5F6">
            <w:pPr>
              <w:pStyle w:val="594"/>
              <w:spacing w:line="273" w:lineRule="auto"/>
            </w:pPr>
          </w:p>
          <w:p w14:paraId="0BB08C39">
            <w:pPr>
              <w:pStyle w:val="594"/>
              <w:spacing w:line="273" w:lineRule="auto"/>
            </w:pPr>
          </w:p>
          <w:p w14:paraId="7C263EF2">
            <w:pPr>
              <w:spacing w:before="61" w:line="188" w:lineRule="auto"/>
              <w:ind w:left="239"/>
              <w:rPr>
                <w:rFonts w:ascii="宋体" w:hAnsi="宋体" w:eastAsia="宋体" w:cs="宋体"/>
                <w:sz w:val="19"/>
                <w:szCs w:val="19"/>
              </w:rPr>
            </w:pPr>
            <w:r>
              <w:rPr>
                <w:rFonts w:ascii="宋体" w:hAnsi="宋体" w:eastAsia="宋体" w:cs="宋体"/>
                <w:sz w:val="19"/>
                <w:szCs w:val="19"/>
              </w:rPr>
              <w:t>6</w:t>
            </w:r>
          </w:p>
        </w:tc>
        <w:tc>
          <w:tcPr>
            <w:tcW w:w="1390" w:type="dxa"/>
            <w:vAlign w:val="top"/>
          </w:tcPr>
          <w:p w14:paraId="4CE98D8C">
            <w:pPr>
              <w:pStyle w:val="594"/>
              <w:spacing w:line="273" w:lineRule="auto"/>
            </w:pPr>
          </w:p>
          <w:p w14:paraId="34B3D5BE">
            <w:pPr>
              <w:pStyle w:val="594"/>
              <w:spacing w:line="273" w:lineRule="auto"/>
            </w:pPr>
          </w:p>
          <w:p w14:paraId="486FCE8E">
            <w:pPr>
              <w:spacing w:before="61" w:line="188" w:lineRule="auto"/>
              <w:ind w:left="67"/>
              <w:rPr>
                <w:rFonts w:ascii="宋体" w:hAnsi="宋体" w:eastAsia="宋体" w:cs="宋体"/>
                <w:sz w:val="19"/>
                <w:szCs w:val="19"/>
              </w:rPr>
            </w:pPr>
            <w:r>
              <w:rPr>
                <w:rFonts w:ascii="宋体" w:hAnsi="宋体" w:eastAsia="宋体" w:cs="宋体"/>
                <w:spacing w:val="8"/>
                <w:sz w:val="19"/>
                <w:szCs w:val="19"/>
              </w:rPr>
              <w:t>011707005001</w:t>
            </w:r>
          </w:p>
        </w:tc>
        <w:tc>
          <w:tcPr>
            <w:tcW w:w="1839" w:type="dxa"/>
            <w:vAlign w:val="top"/>
          </w:tcPr>
          <w:p w14:paraId="45F2B1D4">
            <w:pPr>
              <w:pStyle w:val="594"/>
              <w:spacing w:line="256" w:lineRule="auto"/>
            </w:pPr>
          </w:p>
          <w:p w14:paraId="19D672B7">
            <w:pPr>
              <w:pStyle w:val="594"/>
              <w:spacing w:line="256" w:lineRule="auto"/>
            </w:pPr>
          </w:p>
          <w:p w14:paraId="72755778">
            <w:pPr>
              <w:spacing w:before="62" w:line="230" w:lineRule="auto"/>
              <w:ind w:left="28"/>
              <w:rPr>
                <w:rFonts w:ascii="宋体" w:hAnsi="宋体" w:eastAsia="宋体" w:cs="宋体"/>
                <w:sz w:val="19"/>
                <w:szCs w:val="19"/>
              </w:rPr>
            </w:pPr>
            <w:r>
              <w:rPr>
                <w:rFonts w:ascii="宋体" w:hAnsi="宋体" w:eastAsia="宋体" w:cs="宋体"/>
                <w:spacing w:val="3"/>
                <w:sz w:val="19"/>
                <w:szCs w:val="19"/>
              </w:rPr>
              <w:t>冬雨季施工</w:t>
            </w:r>
          </w:p>
        </w:tc>
        <w:tc>
          <w:tcPr>
            <w:tcW w:w="1612" w:type="dxa"/>
            <w:gridSpan w:val="2"/>
            <w:vAlign w:val="top"/>
          </w:tcPr>
          <w:p w14:paraId="63B8785E">
            <w:pPr>
              <w:spacing w:before="190" w:line="197" w:lineRule="auto"/>
              <w:ind w:left="26" w:right="21" w:firstLine="1"/>
              <w:rPr>
                <w:rFonts w:ascii="宋体" w:hAnsi="宋体" w:eastAsia="宋体" w:cs="宋体"/>
                <w:sz w:val="19"/>
                <w:szCs w:val="19"/>
              </w:rPr>
            </w:pPr>
            <w:r>
              <w:rPr>
                <w:rFonts w:ascii="宋体" w:hAnsi="宋体" w:eastAsia="宋体" w:cs="宋体"/>
                <w:spacing w:val="4"/>
                <w:sz w:val="19"/>
                <w:szCs w:val="19"/>
              </w:rPr>
              <w:t>分部分项合计+技</w:t>
            </w:r>
            <w:r>
              <w:rPr>
                <w:rFonts w:ascii="宋体" w:hAnsi="宋体" w:eastAsia="宋体" w:cs="宋体"/>
                <w:spacing w:val="1"/>
                <w:sz w:val="19"/>
                <w:szCs w:val="19"/>
              </w:rPr>
              <w:t xml:space="preserve">  </w:t>
            </w:r>
            <w:r>
              <w:rPr>
                <w:rFonts w:ascii="宋体" w:hAnsi="宋体" w:eastAsia="宋体" w:cs="宋体"/>
                <w:spacing w:val="3"/>
                <w:sz w:val="19"/>
                <w:szCs w:val="19"/>
              </w:rPr>
              <w:t>术措施项目合计-</w:t>
            </w:r>
            <w:r>
              <w:rPr>
                <w:rFonts w:ascii="宋体" w:hAnsi="宋体" w:eastAsia="宋体" w:cs="宋体"/>
                <w:spacing w:val="1"/>
                <w:sz w:val="19"/>
                <w:szCs w:val="19"/>
              </w:rPr>
              <w:t xml:space="preserve">  </w:t>
            </w:r>
            <w:r>
              <w:rPr>
                <w:rFonts w:ascii="宋体" w:hAnsi="宋体" w:eastAsia="宋体" w:cs="宋体"/>
                <w:spacing w:val="3"/>
                <w:sz w:val="19"/>
                <w:szCs w:val="19"/>
              </w:rPr>
              <w:t>分部分项设备费-</w:t>
            </w:r>
            <w:r>
              <w:rPr>
                <w:rFonts w:ascii="宋体" w:hAnsi="宋体" w:eastAsia="宋体" w:cs="宋体"/>
                <w:spacing w:val="1"/>
                <w:sz w:val="19"/>
                <w:szCs w:val="19"/>
              </w:rPr>
              <w:t xml:space="preserve">  </w:t>
            </w:r>
            <w:r>
              <w:rPr>
                <w:rFonts w:ascii="宋体" w:hAnsi="宋体" w:eastAsia="宋体" w:cs="宋体"/>
                <w:spacing w:val="4"/>
                <w:sz w:val="19"/>
                <w:szCs w:val="19"/>
              </w:rPr>
              <w:t>技术措施项目设备</w:t>
            </w:r>
            <w:r>
              <w:rPr>
                <w:rFonts w:ascii="宋体" w:hAnsi="宋体" w:eastAsia="宋体" w:cs="宋体"/>
                <w:sz w:val="19"/>
                <w:szCs w:val="19"/>
              </w:rPr>
              <w:t xml:space="preserve"> </w:t>
            </w:r>
            <w:r>
              <w:rPr>
                <w:rFonts w:ascii="宋体" w:hAnsi="宋体" w:eastAsia="宋体" w:cs="宋体"/>
                <w:spacing w:val="1"/>
                <w:sz w:val="19"/>
                <w:szCs w:val="19"/>
              </w:rPr>
              <w:t>费</w:t>
            </w:r>
          </w:p>
        </w:tc>
        <w:tc>
          <w:tcPr>
            <w:tcW w:w="596" w:type="dxa"/>
            <w:vAlign w:val="top"/>
          </w:tcPr>
          <w:p w14:paraId="56AF8C19">
            <w:pPr>
              <w:pStyle w:val="594"/>
              <w:spacing w:line="273" w:lineRule="auto"/>
            </w:pPr>
          </w:p>
          <w:p w14:paraId="443B6CD4">
            <w:pPr>
              <w:pStyle w:val="594"/>
              <w:spacing w:line="273" w:lineRule="auto"/>
            </w:pPr>
          </w:p>
          <w:p w14:paraId="6E7E5C88">
            <w:pPr>
              <w:spacing w:before="61" w:line="188" w:lineRule="auto"/>
              <w:ind w:left="257"/>
              <w:rPr>
                <w:rFonts w:ascii="宋体" w:hAnsi="宋体" w:eastAsia="宋体" w:cs="宋体"/>
                <w:sz w:val="19"/>
                <w:szCs w:val="19"/>
              </w:rPr>
            </w:pPr>
            <w:r>
              <w:rPr>
                <w:rFonts w:ascii="宋体" w:hAnsi="宋体" w:eastAsia="宋体" w:cs="宋体"/>
                <w:sz w:val="19"/>
                <w:szCs w:val="19"/>
              </w:rPr>
              <w:t>0</w:t>
            </w:r>
          </w:p>
        </w:tc>
        <w:tc>
          <w:tcPr>
            <w:tcW w:w="1224" w:type="dxa"/>
            <w:vAlign w:val="top"/>
          </w:tcPr>
          <w:p w14:paraId="0284EFE0">
            <w:pPr>
              <w:pStyle w:val="594"/>
            </w:pPr>
          </w:p>
        </w:tc>
        <w:tc>
          <w:tcPr>
            <w:tcW w:w="865" w:type="dxa"/>
            <w:gridSpan w:val="2"/>
            <w:vAlign w:val="top"/>
          </w:tcPr>
          <w:p w14:paraId="2EE85DB0">
            <w:pPr>
              <w:pStyle w:val="594"/>
            </w:pPr>
          </w:p>
        </w:tc>
        <w:tc>
          <w:tcPr>
            <w:tcW w:w="1194" w:type="dxa"/>
            <w:vAlign w:val="top"/>
          </w:tcPr>
          <w:p w14:paraId="6B81B8EF">
            <w:pPr>
              <w:pStyle w:val="594"/>
            </w:pPr>
          </w:p>
        </w:tc>
        <w:tc>
          <w:tcPr>
            <w:tcW w:w="1093" w:type="dxa"/>
            <w:tcBorders>
              <w:right w:val="single" w:color="000000" w:sz="10" w:space="0"/>
            </w:tcBorders>
            <w:vAlign w:val="top"/>
          </w:tcPr>
          <w:p w14:paraId="0D2E7368">
            <w:pPr>
              <w:pStyle w:val="594"/>
            </w:pPr>
          </w:p>
        </w:tc>
      </w:tr>
      <w:tr w14:paraId="15F63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5" w:hRule="atLeast"/>
          <w:jc w:val="center"/>
        </w:trPr>
        <w:tc>
          <w:tcPr>
            <w:tcW w:w="598" w:type="dxa"/>
            <w:tcBorders>
              <w:left w:val="single" w:color="000000" w:sz="10" w:space="0"/>
            </w:tcBorders>
            <w:vAlign w:val="top"/>
          </w:tcPr>
          <w:p w14:paraId="32F41D0A">
            <w:pPr>
              <w:pStyle w:val="594"/>
              <w:spacing w:line="275" w:lineRule="auto"/>
            </w:pPr>
          </w:p>
          <w:p w14:paraId="36248F58">
            <w:pPr>
              <w:pStyle w:val="594"/>
              <w:spacing w:line="275" w:lineRule="auto"/>
            </w:pPr>
          </w:p>
          <w:p w14:paraId="42BE25E3">
            <w:pPr>
              <w:spacing w:before="62" w:line="186" w:lineRule="auto"/>
              <w:ind w:left="242"/>
              <w:rPr>
                <w:rFonts w:ascii="宋体" w:hAnsi="宋体" w:eastAsia="宋体" w:cs="宋体"/>
                <w:sz w:val="19"/>
                <w:szCs w:val="19"/>
              </w:rPr>
            </w:pPr>
            <w:r>
              <w:rPr>
                <w:rFonts w:ascii="宋体" w:hAnsi="宋体" w:eastAsia="宋体" w:cs="宋体"/>
                <w:sz w:val="19"/>
                <w:szCs w:val="19"/>
              </w:rPr>
              <w:t>7</w:t>
            </w:r>
          </w:p>
        </w:tc>
        <w:tc>
          <w:tcPr>
            <w:tcW w:w="1390" w:type="dxa"/>
            <w:vAlign w:val="top"/>
          </w:tcPr>
          <w:p w14:paraId="46788188">
            <w:pPr>
              <w:pStyle w:val="594"/>
              <w:spacing w:line="274" w:lineRule="auto"/>
            </w:pPr>
          </w:p>
          <w:p w14:paraId="51D91DAF">
            <w:pPr>
              <w:pStyle w:val="594"/>
              <w:spacing w:line="274" w:lineRule="auto"/>
            </w:pPr>
          </w:p>
          <w:p w14:paraId="2EB3F3B7">
            <w:pPr>
              <w:spacing w:before="62" w:line="188" w:lineRule="auto"/>
              <w:ind w:left="67"/>
              <w:rPr>
                <w:rFonts w:ascii="宋体" w:hAnsi="宋体" w:eastAsia="宋体" w:cs="宋体"/>
                <w:sz w:val="19"/>
                <w:szCs w:val="19"/>
              </w:rPr>
            </w:pPr>
            <w:r>
              <w:rPr>
                <w:rFonts w:ascii="宋体" w:hAnsi="宋体" w:eastAsia="宋体" w:cs="宋体"/>
                <w:spacing w:val="8"/>
                <w:sz w:val="19"/>
                <w:szCs w:val="19"/>
              </w:rPr>
              <w:t>011707006001</w:t>
            </w:r>
          </w:p>
        </w:tc>
        <w:tc>
          <w:tcPr>
            <w:tcW w:w="1839" w:type="dxa"/>
            <w:vAlign w:val="top"/>
          </w:tcPr>
          <w:p w14:paraId="70E8DC56">
            <w:pPr>
              <w:pStyle w:val="594"/>
              <w:spacing w:line="412" w:lineRule="auto"/>
            </w:pPr>
          </w:p>
          <w:p w14:paraId="3F0A6779">
            <w:pPr>
              <w:spacing w:before="62" w:line="209" w:lineRule="auto"/>
              <w:ind w:left="24" w:right="55" w:hanging="1"/>
              <w:rPr>
                <w:rFonts w:ascii="宋体" w:hAnsi="宋体" w:eastAsia="宋体" w:cs="宋体"/>
                <w:sz w:val="19"/>
                <w:szCs w:val="19"/>
              </w:rPr>
            </w:pPr>
            <w:r>
              <w:rPr>
                <w:rFonts w:ascii="宋体" w:hAnsi="宋体" w:eastAsia="宋体" w:cs="宋体"/>
                <w:spacing w:val="4"/>
                <w:sz w:val="19"/>
                <w:szCs w:val="19"/>
              </w:rPr>
              <w:t>地上、地下设施、建</w:t>
            </w:r>
            <w:r>
              <w:rPr>
                <w:rFonts w:ascii="宋体" w:hAnsi="宋体" w:eastAsia="宋体" w:cs="宋体"/>
                <w:spacing w:val="1"/>
                <w:sz w:val="19"/>
                <w:szCs w:val="19"/>
              </w:rPr>
              <w:t xml:space="preserve"> </w:t>
            </w:r>
            <w:r>
              <w:rPr>
                <w:rFonts w:ascii="宋体" w:hAnsi="宋体" w:eastAsia="宋体" w:cs="宋体"/>
                <w:spacing w:val="4"/>
                <w:sz w:val="19"/>
                <w:szCs w:val="19"/>
              </w:rPr>
              <w:t>筑物的临时保护设施</w:t>
            </w:r>
          </w:p>
        </w:tc>
        <w:tc>
          <w:tcPr>
            <w:tcW w:w="1612" w:type="dxa"/>
            <w:gridSpan w:val="2"/>
            <w:vAlign w:val="top"/>
          </w:tcPr>
          <w:p w14:paraId="1CADB11A">
            <w:pPr>
              <w:spacing w:before="193" w:line="197" w:lineRule="auto"/>
              <w:ind w:left="26" w:right="21" w:firstLine="1"/>
              <w:rPr>
                <w:rFonts w:ascii="宋体" w:hAnsi="宋体" w:eastAsia="宋体" w:cs="宋体"/>
                <w:sz w:val="19"/>
                <w:szCs w:val="19"/>
              </w:rPr>
            </w:pPr>
            <w:r>
              <w:rPr>
                <w:rFonts w:ascii="宋体" w:hAnsi="宋体" w:eastAsia="宋体" w:cs="宋体"/>
                <w:spacing w:val="4"/>
                <w:sz w:val="19"/>
                <w:szCs w:val="19"/>
              </w:rPr>
              <w:t>分部分项合计+技</w:t>
            </w:r>
            <w:r>
              <w:rPr>
                <w:rFonts w:ascii="宋体" w:hAnsi="宋体" w:eastAsia="宋体" w:cs="宋体"/>
                <w:spacing w:val="1"/>
                <w:sz w:val="19"/>
                <w:szCs w:val="19"/>
              </w:rPr>
              <w:t xml:space="preserve">  </w:t>
            </w:r>
            <w:r>
              <w:rPr>
                <w:rFonts w:ascii="宋体" w:hAnsi="宋体" w:eastAsia="宋体" w:cs="宋体"/>
                <w:spacing w:val="3"/>
                <w:sz w:val="19"/>
                <w:szCs w:val="19"/>
              </w:rPr>
              <w:t>术措施项目合计-</w:t>
            </w:r>
            <w:r>
              <w:rPr>
                <w:rFonts w:ascii="宋体" w:hAnsi="宋体" w:eastAsia="宋体" w:cs="宋体"/>
                <w:spacing w:val="1"/>
                <w:sz w:val="19"/>
                <w:szCs w:val="19"/>
              </w:rPr>
              <w:t xml:space="preserve">  </w:t>
            </w:r>
            <w:r>
              <w:rPr>
                <w:rFonts w:ascii="宋体" w:hAnsi="宋体" w:eastAsia="宋体" w:cs="宋体"/>
                <w:spacing w:val="3"/>
                <w:sz w:val="19"/>
                <w:szCs w:val="19"/>
              </w:rPr>
              <w:t>分部分项设备费-</w:t>
            </w:r>
            <w:r>
              <w:rPr>
                <w:rFonts w:ascii="宋体" w:hAnsi="宋体" w:eastAsia="宋体" w:cs="宋体"/>
                <w:spacing w:val="1"/>
                <w:sz w:val="19"/>
                <w:szCs w:val="19"/>
              </w:rPr>
              <w:t xml:space="preserve">  </w:t>
            </w:r>
            <w:r>
              <w:rPr>
                <w:rFonts w:ascii="宋体" w:hAnsi="宋体" w:eastAsia="宋体" w:cs="宋体"/>
                <w:spacing w:val="4"/>
                <w:sz w:val="19"/>
                <w:szCs w:val="19"/>
              </w:rPr>
              <w:t>技术措施项目设备</w:t>
            </w:r>
            <w:r>
              <w:rPr>
                <w:rFonts w:ascii="宋体" w:hAnsi="宋体" w:eastAsia="宋体" w:cs="宋体"/>
                <w:sz w:val="19"/>
                <w:szCs w:val="19"/>
              </w:rPr>
              <w:t xml:space="preserve"> </w:t>
            </w:r>
            <w:r>
              <w:rPr>
                <w:rFonts w:ascii="宋体" w:hAnsi="宋体" w:eastAsia="宋体" w:cs="宋体"/>
                <w:spacing w:val="1"/>
                <w:sz w:val="19"/>
                <w:szCs w:val="19"/>
              </w:rPr>
              <w:t>费</w:t>
            </w:r>
          </w:p>
        </w:tc>
        <w:tc>
          <w:tcPr>
            <w:tcW w:w="596" w:type="dxa"/>
            <w:vAlign w:val="top"/>
          </w:tcPr>
          <w:p w14:paraId="0E3FFE1E">
            <w:pPr>
              <w:pStyle w:val="594"/>
              <w:spacing w:line="274" w:lineRule="auto"/>
            </w:pPr>
          </w:p>
          <w:p w14:paraId="1F496F85">
            <w:pPr>
              <w:pStyle w:val="594"/>
              <w:spacing w:line="274" w:lineRule="auto"/>
            </w:pPr>
          </w:p>
          <w:p w14:paraId="3BBD47D0">
            <w:pPr>
              <w:spacing w:before="62" w:line="188" w:lineRule="auto"/>
              <w:ind w:left="257"/>
              <w:rPr>
                <w:rFonts w:ascii="宋体" w:hAnsi="宋体" w:eastAsia="宋体" w:cs="宋体"/>
                <w:sz w:val="19"/>
                <w:szCs w:val="19"/>
              </w:rPr>
            </w:pPr>
            <w:r>
              <w:rPr>
                <w:rFonts w:ascii="宋体" w:hAnsi="宋体" w:eastAsia="宋体" w:cs="宋体"/>
                <w:sz w:val="19"/>
                <w:szCs w:val="19"/>
              </w:rPr>
              <w:t>0</w:t>
            </w:r>
          </w:p>
        </w:tc>
        <w:tc>
          <w:tcPr>
            <w:tcW w:w="1224" w:type="dxa"/>
            <w:vAlign w:val="top"/>
          </w:tcPr>
          <w:p w14:paraId="28B3DC1B">
            <w:pPr>
              <w:pStyle w:val="594"/>
            </w:pPr>
          </w:p>
        </w:tc>
        <w:tc>
          <w:tcPr>
            <w:tcW w:w="865" w:type="dxa"/>
            <w:gridSpan w:val="2"/>
            <w:vAlign w:val="top"/>
          </w:tcPr>
          <w:p w14:paraId="1D8D1616">
            <w:pPr>
              <w:pStyle w:val="594"/>
            </w:pPr>
          </w:p>
        </w:tc>
        <w:tc>
          <w:tcPr>
            <w:tcW w:w="1194" w:type="dxa"/>
            <w:vAlign w:val="top"/>
          </w:tcPr>
          <w:p w14:paraId="1DA5A000">
            <w:pPr>
              <w:pStyle w:val="594"/>
            </w:pPr>
          </w:p>
        </w:tc>
        <w:tc>
          <w:tcPr>
            <w:tcW w:w="1093" w:type="dxa"/>
            <w:tcBorders>
              <w:right w:val="single" w:color="000000" w:sz="10" w:space="0"/>
            </w:tcBorders>
            <w:vAlign w:val="top"/>
          </w:tcPr>
          <w:p w14:paraId="09CDCD4A">
            <w:pPr>
              <w:pStyle w:val="594"/>
            </w:pPr>
          </w:p>
        </w:tc>
      </w:tr>
      <w:tr w14:paraId="52583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5" w:hRule="atLeast"/>
          <w:jc w:val="center"/>
        </w:trPr>
        <w:tc>
          <w:tcPr>
            <w:tcW w:w="598" w:type="dxa"/>
            <w:tcBorders>
              <w:left w:val="single" w:color="000000" w:sz="10" w:space="0"/>
            </w:tcBorders>
            <w:vAlign w:val="top"/>
          </w:tcPr>
          <w:p w14:paraId="4CDF1264">
            <w:pPr>
              <w:pStyle w:val="594"/>
              <w:spacing w:line="275" w:lineRule="auto"/>
            </w:pPr>
          </w:p>
          <w:p w14:paraId="2246A8A8">
            <w:pPr>
              <w:pStyle w:val="594"/>
              <w:spacing w:line="276" w:lineRule="auto"/>
            </w:pPr>
          </w:p>
          <w:p w14:paraId="294CC63C">
            <w:pPr>
              <w:spacing w:before="62" w:line="188" w:lineRule="auto"/>
              <w:ind w:left="238"/>
              <w:rPr>
                <w:rFonts w:ascii="宋体" w:hAnsi="宋体" w:eastAsia="宋体" w:cs="宋体"/>
                <w:sz w:val="19"/>
                <w:szCs w:val="19"/>
              </w:rPr>
            </w:pPr>
            <w:r>
              <w:rPr>
                <w:rFonts w:ascii="宋体" w:hAnsi="宋体" w:eastAsia="宋体" w:cs="宋体"/>
                <w:sz w:val="19"/>
                <w:szCs w:val="19"/>
              </w:rPr>
              <w:t>8</w:t>
            </w:r>
          </w:p>
        </w:tc>
        <w:tc>
          <w:tcPr>
            <w:tcW w:w="1390" w:type="dxa"/>
            <w:vAlign w:val="top"/>
          </w:tcPr>
          <w:p w14:paraId="7C753865">
            <w:pPr>
              <w:pStyle w:val="594"/>
              <w:spacing w:line="275" w:lineRule="auto"/>
            </w:pPr>
          </w:p>
          <w:p w14:paraId="686B4DA5">
            <w:pPr>
              <w:pStyle w:val="594"/>
              <w:spacing w:line="276" w:lineRule="auto"/>
            </w:pPr>
          </w:p>
          <w:p w14:paraId="263C855F">
            <w:pPr>
              <w:spacing w:before="62" w:line="188" w:lineRule="auto"/>
              <w:ind w:left="67"/>
              <w:rPr>
                <w:rFonts w:ascii="宋体" w:hAnsi="宋体" w:eastAsia="宋体" w:cs="宋体"/>
                <w:sz w:val="19"/>
                <w:szCs w:val="19"/>
              </w:rPr>
            </w:pPr>
            <w:r>
              <w:rPr>
                <w:rFonts w:ascii="宋体" w:hAnsi="宋体" w:eastAsia="宋体" w:cs="宋体"/>
                <w:spacing w:val="8"/>
                <w:sz w:val="19"/>
                <w:szCs w:val="19"/>
              </w:rPr>
              <w:t>011707007001</w:t>
            </w:r>
          </w:p>
        </w:tc>
        <w:tc>
          <w:tcPr>
            <w:tcW w:w="1839" w:type="dxa"/>
            <w:vAlign w:val="top"/>
          </w:tcPr>
          <w:p w14:paraId="3D9F25C5">
            <w:pPr>
              <w:pStyle w:val="594"/>
              <w:spacing w:line="259" w:lineRule="auto"/>
            </w:pPr>
          </w:p>
          <w:p w14:paraId="09AF2CD6">
            <w:pPr>
              <w:pStyle w:val="594"/>
              <w:spacing w:line="259" w:lineRule="auto"/>
            </w:pPr>
          </w:p>
          <w:p w14:paraId="6AB9F899">
            <w:pPr>
              <w:spacing w:before="62" w:line="230" w:lineRule="auto"/>
              <w:ind w:left="45"/>
              <w:rPr>
                <w:rFonts w:ascii="宋体" w:hAnsi="宋体" w:eastAsia="宋体" w:cs="宋体"/>
                <w:sz w:val="19"/>
                <w:szCs w:val="19"/>
              </w:rPr>
            </w:pPr>
            <w:r>
              <w:rPr>
                <w:rFonts w:ascii="宋体" w:hAnsi="宋体" w:eastAsia="宋体" w:cs="宋体"/>
                <w:spacing w:val="1"/>
                <w:sz w:val="19"/>
                <w:szCs w:val="19"/>
              </w:rPr>
              <w:t>已完工程及设备保护</w:t>
            </w:r>
          </w:p>
        </w:tc>
        <w:tc>
          <w:tcPr>
            <w:tcW w:w="1612" w:type="dxa"/>
            <w:gridSpan w:val="2"/>
            <w:vAlign w:val="top"/>
          </w:tcPr>
          <w:p w14:paraId="2EF576E3">
            <w:pPr>
              <w:spacing w:before="196" w:line="197" w:lineRule="auto"/>
              <w:ind w:left="26" w:right="21" w:firstLine="1"/>
              <w:rPr>
                <w:rFonts w:ascii="宋体" w:hAnsi="宋体" w:eastAsia="宋体" w:cs="宋体"/>
                <w:sz w:val="19"/>
                <w:szCs w:val="19"/>
              </w:rPr>
            </w:pPr>
            <w:r>
              <w:rPr>
                <w:rFonts w:ascii="宋体" w:hAnsi="宋体" w:eastAsia="宋体" w:cs="宋体"/>
                <w:spacing w:val="4"/>
                <w:sz w:val="19"/>
                <w:szCs w:val="19"/>
              </w:rPr>
              <w:t>分部分项合计+技</w:t>
            </w:r>
            <w:r>
              <w:rPr>
                <w:rFonts w:ascii="宋体" w:hAnsi="宋体" w:eastAsia="宋体" w:cs="宋体"/>
                <w:spacing w:val="1"/>
                <w:sz w:val="19"/>
                <w:szCs w:val="19"/>
              </w:rPr>
              <w:t xml:space="preserve">  </w:t>
            </w:r>
            <w:r>
              <w:rPr>
                <w:rFonts w:ascii="宋体" w:hAnsi="宋体" w:eastAsia="宋体" w:cs="宋体"/>
                <w:spacing w:val="3"/>
                <w:sz w:val="19"/>
                <w:szCs w:val="19"/>
              </w:rPr>
              <w:t>术措施项目合计-</w:t>
            </w:r>
            <w:r>
              <w:rPr>
                <w:rFonts w:ascii="宋体" w:hAnsi="宋体" w:eastAsia="宋体" w:cs="宋体"/>
                <w:spacing w:val="1"/>
                <w:sz w:val="19"/>
                <w:szCs w:val="19"/>
              </w:rPr>
              <w:t xml:space="preserve">  </w:t>
            </w:r>
            <w:r>
              <w:rPr>
                <w:rFonts w:ascii="宋体" w:hAnsi="宋体" w:eastAsia="宋体" w:cs="宋体"/>
                <w:spacing w:val="3"/>
                <w:sz w:val="19"/>
                <w:szCs w:val="19"/>
              </w:rPr>
              <w:t>分部分项设备费-</w:t>
            </w:r>
            <w:r>
              <w:rPr>
                <w:rFonts w:ascii="宋体" w:hAnsi="宋体" w:eastAsia="宋体" w:cs="宋体"/>
                <w:spacing w:val="1"/>
                <w:sz w:val="19"/>
                <w:szCs w:val="19"/>
              </w:rPr>
              <w:t xml:space="preserve">  </w:t>
            </w:r>
            <w:r>
              <w:rPr>
                <w:rFonts w:ascii="宋体" w:hAnsi="宋体" w:eastAsia="宋体" w:cs="宋体"/>
                <w:spacing w:val="4"/>
                <w:sz w:val="19"/>
                <w:szCs w:val="19"/>
              </w:rPr>
              <w:t>技术措施项目设备</w:t>
            </w:r>
            <w:r>
              <w:rPr>
                <w:rFonts w:ascii="宋体" w:hAnsi="宋体" w:eastAsia="宋体" w:cs="宋体"/>
                <w:sz w:val="19"/>
                <w:szCs w:val="19"/>
              </w:rPr>
              <w:t xml:space="preserve"> </w:t>
            </w:r>
            <w:r>
              <w:rPr>
                <w:rFonts w:ascii="宋体" w:hAnsi="宋体" w:eastAsia="宋体" w:cs="宋体"/>
                <w:spacing w:val="1"/>
                <w:sz w:val="19"/>
                <w:szCs w:val="19"/>
              </w:rPr>
              <w:t>费</w:t>
            </w:r>
          </w:p>
        </w:tc>
        <w:tc>
          <w:tcPr>
            <w:tcW w:w="596" w:type="dxa"/>
            <w:vAlign w:val="top"/>
          </w:tcPr>
          <w:p w14:paraId="57C4126D">
            <w:pPr>
              <w:pStyle w:val="594"/>
              <w:spacing w:line="275" w:lineRule="auto"/>
            </w:pPr>
          </w:p>
          <w:p w14:paraId="2F537283">
            <w:pPr>
              <w:pStyle w:val="594"/>
              <w:spacing w:line="276" w:lineRule="auto"/>
            </w:pPr>
          </w:p>
          <w:p w14:paraId="04010963">
            <w:pPr>
              <w:spacing w:before="62" w:line="188" w:lineRule="auto"/>
              <w:ind w:left="257"/>
              <w:rPr>
                <w:rFonts w:ascii="宋体" w:hAnsi="宋体" w:eastAsia="宋体" w:cs="宋体"/>
                <w:sz w:val="19"/>
                <w:szCs w:val="19"/>
              </w:rPr>
            </w:pPr>
            <w:r>
              <w:rPr>
                <w:rFonts w:ascii="宋体" w:hAnsi="宋体" w:eastAsia="宋体" w:cs="宋体"/>
                <w:sz w:val="19"/>
                <w:szCs w:val="19"/>
              </w:rPr>
              <w:t>0</w:t>
            </w:r>
          </w:p>
        </w:tc>
        <w:tc>
          <w:tcPr>
            <w:tcW w:w="1224" w:type="dxa"/>
            <w:vAlign w:val="top"/>
          </w:tcPr>
          <w:p w14:paraId="3EB3C4D0">
            <w:pPr>
              <w:pStyle w:val="594"/>
            </w:pPr>
          </w:p>
        </w:tc>
        <w:tc>
          <w:tcPr>
            <w:tcW w:w="865" w:type="dxa"/>
            <w:gridSpan w:val="2"/>
            <w:vAlign w:val="top"/>
          </w:tcPr>
          <w:p w14:paraId="6CA78656">
            <w:pPr>
              <w:pStyle w:val="594"/>
            </w:pPr>
          </w:p>
        </w:tc>
        <w:tc>
          <w:tcPr>
            <w:tcW w:w="1194" w:type="dxa"/>
            <w:vAlign w:val="top"/>
          </w:tcPr>
          <w:p w14:paraId="6060BBCC">
            <w:pPr>
              <w:pStyle w:val="594"/>
            </w:pPr>
          </w:p>
        </w:tc>
        <w:tc>
          <w:tcPr>
            <w:tcW w:w="1093" w:type="dxa"/>
            <w:tcBorders>
              <w:right w:val="single" w:color="000000" w:sz="10" w:space="0"/>
            </w:tcBorders>
            <w:vAlign w:val="top"/>
          </w:tcPr>
          <w:p w14:paraId="0C3222E2">
            <w:pPr>
              <w:pStyle w:val="594"/>
            </w:pPr>
          </w:p>
        </w:tc>
      </w:tr>
      <w:tr w14:paraId="46E9F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5" w:hRule="atLeast"/>
          <w:jc w:val="center"/>
        </w:trPr>
        <w:tc>
          <w:tcPr>
            <w:tcW w:w="598" w:type="dxa"/>
            <w:tcBorders>
              <w:left w:val="single" w:color="000000" w:sz="10" w:space="0"/>
            </w:tcBorders>
            <w:vAlign w:val="top"/>
          </w:tcPr>
          <w:p w14:paraId="1E5062A5">
            <w:pPr>
              <w:pStyle w:val="594"/>
              <w:spacing w:line="277" w:lineRule="auto"/>
            </w:pPr>
          </w:p>
          <w:p w14:paraId="0F4771F4">
            <w:pPr>
              <w:pStyle w:val="594"/>
              <w:spacing w:line="277" w:lineRule="auto"/>
            </w:pPr>
          </w:p>
          <w:p w14:paraId="4C823733">
            <w:pPr>
              <w:spacing w:before="62" w:line="188" w:lineRule="auto"/>
              <w:ind w:left="238"/>
              <w:rPr>
                <w:rFonts w:ascii="宋体" w:hAnsi="宋体" w:eastAsia="宋体" w:cs="宋体"/>
                <w:sz w:val="19"/>
                <w:szCs w:val="19"/>
              </w:rPr>
            </w:pPr>
            <w:r>
              <w:rPr>
                <w:rFonts w:ascii="宋体" w:hAnsi="宋体" w:eastAsia="宋体" w:cs="宋体"/>
                <w:sz w:val="19"/>
                <w:szCs w:val="19"/>
              </w:rPr>
              <w:t>9</w:t>
            </w:r>
          </w:p>
        </w:tc>
        <w:tc>
          <w:tcPr>
            <w:tcW w:w="1390" w:type="dxa"/>
            <w:vAlign w:val="top"/>
          </w:tcPr>
          <w:p w14:paraId="4408A34C">
            <w:pPr>
              <w:pStyle w:val="594"/>
              <w:spacing w:line="277" w:lineRule="auto"/>
            </w:pPr>
          </w:p>
          <w:p w14:paraId="1EECABA3">
            <w:pPr>
              <w:pStyle w:val="594"/>
              <w:spacing w:line="277" w:lineRule="auto"/>
            </w:pPr>
          </w:p>
          <w:p w14:paraId="6FB0A7D2">
            <w:pPr>
              <w:spacing w:before="62" w:line="188" w:lineRule="auto"/>
              <w:ind w:left="67"/>
              <w:rPr>
                <w:rFonts w:ascii="宋体" w:hAnsi="宋体" w:eastAsia="宋体" w:cs="宋体"/>
                <w:sz w:val="19"/>
                <w:szCs w:val="19"/>
              </w:rPr>
            </w:pPr>
            <w:r>
              <w:rPr>
                <w:rFonts w:ascii="宋体" w:hAnsi="宋体" w:eastAsia="宋体" w:cs="宋体"/>
                <w:spacing w:val="8"/>
                <w:sz w:val="19"/>
                <w:szCs w:val="19"/>
              </w:rPr>
              <w:t>011707008001</w:t>
            </w:r>
          </w:p>
        </w:tc>
        <w:tc>
          <w:tcPr>
            <w:tcW w:w="1839" w:type="dxa"/>
            <w:vAlign w:val="top"/>
          </w:tcPr>
          <w:p w14:paraId="30B01442">
            <w:pPr>
              <w:pStyle w:val="594"/>
              <w:spacing w:line="260" w:lineRule="auto"/>
            </w:pPr>
          </w:p>
          <w:p w14:paraId="3EE2D5F4">
            <w:pPr>
              <w:pStyle w:val="594"/>
              <w:spacing w:line="261" w:lineRule="auto"/>
            </w:pPr>
          </w:p>
          <w:p w14:paraId="712C9A94">
            <w:pPr>
              <w:spacing w:before="62" w:line="230" w:lineRule="auto"/>
              <w:ind w:left="34"/>
              <w:rPr>
                <w:rFonts w:ascii="宋体" w:hAnsi="宋体" w:eastAsia="宋体" w:cs="宋体"/>
                <w:sz w:val="19"/>
                <w:szCs w:val="19"/>
              </w:rPr>
            </w:pPr>
            <w:r>
              <w:rPr>
                <w:rFonts w:ascii="宋体" w:hAnsi="宋体" w:eastAsia="宋体" w:cs="宋体"/>
                <w:spacing w:val="1"/>
                <w:sz w:val="19"/>
                <w:szCs w:val="19"/>
              </w:rPr>
              <w:t>临时设施</w:t>
            </w:r>
          </w:p>
        </w:tc>
        <w:tc>
          <w:tcPr>
            <w:tcW w:w="1612" w:type="dxa"/>
            <w:gridSpan w:val="2"/>
            <w:vAlign w:val="top"/>
          </w:tcPr>
          <w:p w14:paraId="49BAE306">
            <w:pPr>
              <w:spacing w:before="199" w:line="197" w:lineRule="auto"/>
              <w:ind w:left="26" w:right="21" w:firstLine="1"/>
              <w:rPr>
                <w:rFonts w:ascii="宋体" w:hAnsi="宋体" w:eastAsia="宋体" w:cs="宋体"/>
                <w:sz w:val="19"/>
                <w:szCs w:val="19"/>
              </w:rPr>
            </w:pPr>
            <w:r>
              <w:rPr>
                <w:rFonts w:ascii="宋体" w:hAnsi="宋体" w:eastAsia="宋体" w:cs="宋体"/>
                <w:spacing w:val="4"/>
                <w:sz w:val="19"/>
                <w:szCs w:val="19"/>
              </w:rPr>
              <w:t>分部分项合计+技</w:t>
            </w:r>
            <w:r>
              <w:rPr>
                <w:rFonts w:ascii="宋体" w:hAnsi="宋体" w:eastAsia="宋体" w:cs="宋体"/>
                <w:spacing w:val="1"/>
                <w:sz w:val="19"/>
                <w:szCs w:val="19"/>
              </w:rPr>
              <w:t xml:space="preserve">  </w:t>
            </w:r>
            <w:r>
              <w:rPr>
                <w:rFonts w:ascii="宋体" w:hAnsi="宋体" w:eastAsia="宋体" w:cs="宋体"/>
                <w:spacing w:val="3"/>
                <w:sz w:val="19"/>
                <w:szCs w:val="19"/>
              </w:rPr>
              <w:t>术措施项目合计-</w:t>
            </w:r>
            <w:r>
              <w:rPr>
                <w:rFonts w:ascii="宋体" w:hAnsi="宋体" w:eastAsia="宋体" w:cs="宋体"/>
                <w:spacing w:val="1"/>
                <w:sz w:val="19"/>
                <w:szCs w:val="19"/>
              </w:rPr>
              <w:t xml:space="preserve">  </w:t>
            </w:r>
            <w:r>
              <w:rPr>
                <w:rFonts w:ascii="宋体" w:hAnsi="宋体" w:eastAsia="宋体" w:cs="宋体"/>
                <w:spacing w:val="3"/>
                <w:sz w:val="19"/>
                <w:szCs w:val="19"/>
              </w:rPr>
              <w:t>分部分项设备费-</w:t>
            </w:r>
            <w:r>
              <w:rPr>
                <w:rFonts w:ascii="宋体" w:hAnsi="宋体" w:eastAsia="宋体" w:cs="宋体"/>
                <w:spacing w:val="1"/>
                <w:sz w:val="19"/>
                <w:szCs w:val="19"/>
              </w:rPr>
              <w:t xml:space="preserve">  </w:t>
            </w:r>
            <w:r>
              <w:rPr>
                <w:rFonts w:ascii="宋体" w:hAnsi="宋体" w:eastAsia="宋体" w:cs="宋体"/>
                <w:spacing w:val="4"/>
                <w:sz w:val="19"/>
                <w:szCs w:val="19"/>
              </w:rPr>
              <w:t>技术措施项目设备</w:t>
            </w:r>
            <w:r>
              <w:rPr>
                <w:rFonts w:ascii="宋体" w:hAnsi="宋体" w:eastAsia="宋体" w:cs="宋体"/>
                <w:sz w:val="19"/>
                <w:szCs w:val="19"/>
              </w:rPr>
              <w:t xml:space="preserve"> </w:t>
            </w:r>
            <w:r>
              <w:rPr>
                <w:rFonts w:ascii="宋体" w:hAnsi="宋体" w:eastAsia="宋体" w:cs="宋体"/>
                <w:spacing w:val="1"/>
                <w:sz w:val="19"/>
                <w:szCs w:val="19"/>
              </w:rPr>
              <w:t>费</w:t>
            </w:r>
          </w:p>
        </w:tc>
        <w:tc>
          <w:tcPr>
            <w:tcW w:w="596" w:type="dxa"/>
            <w:vAlign w:val="top"/>
          </w:tcPr>
          <w:p w14:paraId="0562558D">
            <w:pPr>
              <w:pStyle w:val="594"/>
              <w:spacing w:line="277" w:lineRule="auto"/>
            </w:pPr>
          </w:p>
          <w:p w14:paraId="63E45366">
            <w:pPr>
              <w:pStyle w:val="594"/>
              <w:spacing w:line="277" w:lineRule="auto"/>
            </w:pPr>
          </w:p>
          <w:p w14:paraId="05DFA654">
            <w:pPr>
              <w:spacing w:before="62" w:line="188" w:lineRule="auto"/>
              <w:ind w:left="257"/>
              <w:rPr>
                <w:rFonts w:ascii="宋体" w:hAnsi="宋体" w:eastAsia="宋体" w:cs="宋体"/>
                <w:sz w:val="19"/>
                <w:szCs w:val="19"/>
              </w:rPr>
            </w:pPr>
            <w:r>
              <w:rPr>
                <w:rFonts w:ascii="宋体" w:hAnsi="宋体" w:eastAsia="宋体" w:cs="宋体"/>
                <w:sz w:val="19"/>
                <w:szCs w:val="19"/>
              </w:rPr>
              <w:t>0</w:t>
            </w:r>
          </w:p>
        </w:tc>
        <w:tc>
          <w:tcPr>
            <w:tcW w:w="1224" w:type="dxa"/>
            <w:vAlign w:val="top"/>
          </w:tcPr>
          <w:p w14:paraId="254C4724">
            <w:pPr>
              <w:pStyle w:val="594"/>
            </w:pPr>
          </w:p>
        </w:tc>
        <w:tc>
          <w:tcPr>
            <w:tcW w:w="865" w:type="dxa"/>
            <w:gridSpan w:val="2"/>
            <w:vAlign w:val="top"/>
          </w:tcPr>
          <w:p w14:paraId="64D752B7">
            <w:pPr>
              <w:pStyle w:val="594"/>
            </w:pPr>
          </w:p>
        </w:tc>
        <w:tc>
          <w:tcPr>
            <w:tcW w:w="1194" w:type="dxa"/>
            <w:vAlign w:val="top"/>
          </w:tcPr>
          <w:p w14:paraId="2466202C">
            <w:pPr>
              <w:pStyle w:val="594"/>
            </w:pPr>
          </w:p>
        </w:tc>
        <w:tc>
          <w:tcPr>
            <w:tcW w:w="1093" w:type="dxa"/>
            <w:tcBorders>
              <w:right w:val="single" w:color="000000" w:sz="10" w:space="0"/>
            </w:tcBorders>
            <w:vAlign w:val="top"/>
          </w:tcPr>
          <w:p w14:paraId="41C9FE0D">
            <w:pPr>
              <w:pStyle w:val="594"/>
            </w:pPr>
          </w:p>
        </w:tc>
      </w:tr>
      <w:tr w14:paraId="2DA94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5" w:hRule="atLeast"/>
          <w:jc w:val="center"/>
        </w:trPr>
        <w:tc>
          <w:tcPr>
            <w:tcW w:w="598" w:type="dxa"/>
            <w:tcBorders>
              <w:left w:val="single" w:color="000000" w:sz="10" w:space="0"/>
            </w:tcBorders>
            <w:vAlign w:val="top"/>
          </w:tcPr>
          <w:p w14:paraId="76AA0EE1">
            <w:pPr>
              <w:pStyle w:val="594"/>
              <w:spacing w:line="278" w:lineRule="auto"/>
            </w:pPr>
          </w:p>
          <w:p w14:paraId="741BB135">
            <w:pPr>
              <w:pStyle w:val="594"/>
              <w:spacing w:line="279" w:lineRule="auto"/>
            </w:pPr>
          </w:p>
          <w:p w14:paraId="0FAFD553">
            <w:pPr>
              <w:spacing w:before="62" w:line="188" w:lineRule="auto"/>
              <w:ind w:left="207"/>
              <w:rPr>
                <w:rFonts w:ascii="宋体" w:hAnsi="宋体" w:eastAsia="宋体" w:cs="宋体"/>
                <w:sz w:val="19"/>
                <w:szCs w:val="19"/>
              </w:rPr>
            </w:pPr>
            <w:r>
              <w:rPr>
                <w:rFonts w:ascii="宋体" w:hAnsi="宋体" w:eastAsia="宋体" w:cs="宋体"/>
                <w:spacing w:val="-2"/>
                <w:sz w:val="19"/>
                <w:szCs w:val="19"/>
              </w:rPr>
              <w:t>10</w:t>
            </w:r>
          </w:p>
        </w:tc>
        <w:tc>
          <w:tcPr>
            <w:tcW w:w="1390" w:type="dxa"/>
            <w:vAlign w:val="top"/>
          </w:tcPr>
          <w:p w14:paraId="0EA8218D">
            <w:pPr>
              <w:pStyle w:val="594"/>
              <w:spacing w:line="278" w:lineRule="auto"/>
            </w:pPr>
          </w:p>
          <w:p w14:paraId="3342D330">
            <w:pPr>
              <w:pStyle w:val="594"/>
              <w:spacing w:line="279" w:lineRule="auto"/>
            </w:pPr>
          </w:p>
          <w:p w14:paraId="59DBA237">
            <w:pPr>
              <w:spacing w:before="62" w:line="188" w:lineRule="auto"/>
              <w:ind w:left="67"/>
              <w:rPr>
                <w:rFonts w:ascii="宋体" w:hAnsi="宋体" w:eastAsia="宋体" w:cs="宋体"/>
                <w:sz w:val="19"/>
                <w:szCs w:val="19"/>
              </w:rPr>
            </w:pPr>
            <w:r>
              <w:rPr>
                <w:rFonts w:ascii="宋体" w:hAnsi="宋体" w:eastAsia="宋体" w:cs="宋体"/>
                <w:spacing w:val="8"/>
                <w:sz w:val="19"/>
                <w:szCs w:val="19"/>
              </w:rPr>
              <w:t>011707009001</w:t>
            </w:r>
          </w:p>
        </w:tc>
        <w:tc>
          <w:tcPr>
            <w:tcW w:w="1839" w:type="dxa"/>
            <w:vAlign w:val="top"/>
          </w:tcPr>
          <w:p w14:paraId="303390A4">
            <w:pPr>
              <w:pStyle w:val="594"/>
              <w:spacing w:line="262" w:lineRule="auto"/>
            </w:pPr>
          </w:p>
          <w:p w14:paraId="2A227FC5">
            <w:pPr>
              <w:pStyle w:val="594"/>
              <w:spacing w:line="263" w:lineRule="auto"/>
            </w:pPr>
          </w:p>
          <w:p w14:paraId="65E3B15C">
            <w:pPr>
              <w:spacing w:before="61" w:line="230" w:lineRule="auto"/>
              <w:ind w:left="22"/>
              <w:rPr>
                <w:rFonts w:ascii="宋体" w:hAnsi="宋体" w:eastAsia="宋体" w:cs="宋体"/>
                <w:sz w:val="19"/>
                <w:szCs w:val="19"/>
              </w:rPr>
            </w:pPr>
            <w:r>
              <w:rPr>
                <w:rFonts w:ascii="宋体" w:hAnsi="宋体" w:eastAsia="宋体" w:cs="宋体"/>
                <w:spacing w:val="4"/>
                <w:sz w:val="19"/>
                <w:szCs w:val="19"/>
              </w:rPr>
              <w:t>赶工措施</w:t>
            </w:r>
          </w:p>
        </w:tc>
        <w:tc>
          <w:tcPr>
            <w:tcW w:w="1612" w:type="dxa"/>
            <w:gridSpan w:val="2"/>
            <w:vAlign w:val="top"/>
          </w:tcPr>
          <w:p w14:paraId="211F781D">
            <w:pPr>
              <w:spacing w:before="202" w:line="197" w:lineRule="auto"/>
              <w:ind w:left="26" w:right="21" w:firstLine="1"/>
              <w:rPr>
                <w:rFonts w:ascii="宋体" w:hAnsi="宋体" w:eastAsia="宋体" w:cs="宋体"/>
                <w:sz w:val="19"/>
                <w:szCs w:val="19"/>
              </w:rPr>
            </w:pPr>
            <w:r>
              <w:rPr>
                <w:rFonts w:ascii="宋体" w:hAnsi="宋体" w:eastAsia="宋体" w:cs="宋体"/>
                <w:spacing w:val="4"/>
                <w:sz w:val="19"/>
                <w:szCs w:val="19"/>
              </w:rPr>
              <w:t>分部分项合计+技</w:t>
            </w:r>
            <w:r>
              <w:rPr>
                <w:rFonts w:ascii="宋体" w:hAnsi="宋体" w:eastAsia="宋体" w:cs="宋体"/>
                <w:spacing w:val="1"/>
                <w:sz w:val="19"/>
                <w:szCs w:val="19"/>
              </w:rPr>
              <w:t xml:space="preserve">  </w:t>
            </w:r>
            <w:r>
              <w:rPr>
                <w:rFonts w:ascii="宋体" w:hAnsi="宋体" w:eastAsia="宋体" w:cs="宋体"/>
                <w:spacing w:val="3"/>
                <w:sz w:val="19"/>
                <w:szCs w:val="19"/>
              </w:rPr>
              <w:t>术措施项目合计-</w:t>
            </w:r>
            <w:r>
              <w:rPr>
                <w:rFonts w:ascii="宋体" w:hAnsi="宋体" w:eastAsia="宋体" w:cs="宋体"/>
                <w:spacing w:val="1"/>
                <w:sz w:val="19"/>
                <w:szCs w:val="19"/>
              </w:rPr>
              <w:t xml:space="preserve">  </w:t>
            </w:r>
            <w:r>
              <w:rPr>
                <w:rFonts w:ascii="宋体" w:hAnsi="宋体" w:eastAsia="宋体" w:cs="宋体"/>
                <w:spacing w:val="3"/>
                <w:sz w:val="19"/>
                <w:szCs w:val="19"/>
              </w:rPr>
              <w:t>分部分项设备费-</w:t>
            </w:r>
            <w:r>
              <w:rPr>
                <w:rFonts w:ascii="宋体" w:hAnsi="宋体" w:eastAsia="宋体" w:cs="宋体"/>
                <w:spacing w:val="1"/>
                <w:sz w:val="19"/>
                <w:szCs w:val="19"/>
              </w:rPr>
              <w:t xml:space="preserve">  </w:t>
            </w:r>
            <w:r>
              <w:rPr>
                <w:rFonts w:ascii="宋体" w:hAnsi="宋体" w:eastAsia="宋体" w:cs="宋体"/>
                <w:spacing w:val="4"/>
                <w:sz w:val="19"/>
                <w:szCs w:val="19"/>
              </w:rPr>
              <w:t>技术措施项目设备</w:t>
            </w:r>
            <w:r>
              <w:rPr>
                <w:rFonts w:ascii="宋体" w:hAnsi="宋体" w:eastAsia="宋体" w:cs="宋体"/>
                <w:sz w:val="19"/>
                <w:szCs w:val="19"/>
              </w:rPr>
              <w:t xml:space="preserve"> </w:t>
            </w:r>
            <w:r>
              <w:rPr>
                <w:rFonts w:ascii="宋体" w:hAnsi="宋体" w:eastAsia="宋体" w:cs="宋体"/>
                <w:spacing w:val="1"/>
                <w:sz w:val="19"/>
                <w:szCs w:val="19"/>
              </w:rPr>
              <w:t>费</w:t>
            </w:r>
          </w:p>
        </w:tc>
        <w:tc>
          <w:tcPr>
            <w:tcW w:w="596" w:type="dxa"/>
            <w:vAlign w:val="top"/>
          </w:tcPr>
          <w:p w14:paraId="2BFCEB72">
            <w:pPr>
              <w:pStyle w:val="594"/>
              <w:spacing w:line="278" w:lineRule="auto"/>
            </w:pPr>
          </w:p>
          <w:p w14:paraId="708ABB0D">
            <w:pPr>
              <w:pStyle w:val="594"/>
              <w:spacing w:line="279" w:lineRule="auto"/>
            </w:pPr>
          </w:p>
          <w:p w14:paraId="77615351">
            <w:pPr>
              <w:spacing w:before="62" w:line="188" w:lineRule="auto"/>
              <w:ind w:left="257"/>
              <w:rPr>
                <w:rFonts w:ascii="宋体" w:hAnsi="宋体" w:eastAsia="宋体" w:cs="宋体"/>
                <w:sz w:val="19"/>
                <w:szCs w:val="19"/>
              </w:rPr>
            </w:pPr>
            <w:r>
              <w:rPr>
                <w:rFonts w:ascii="宋体" w:hAnsi="宋体" w:eastAsia="宋体" w:cs="宋体"/>
                <w:sz w:val="19"/>
                <w:szCs w:val="19"/>
              </w:rPr>
              <w:t>0</w:t>
            </w:r>
          </w:p>
        </w:tc>
        <w:tc>
          <w:tcPr>
            <w:tcW w:w="1224" w:type="dxa"/>
            <w:vAlign w:val="top"/>
          </w:tcPr>
          <w:p w14:paraId="17CEFF1C">
            <w:pPr>
              <w:pStyle w:val="594"/>
            </w:pPr>
          </w:p>
        </w:tc>
        <w:tc>
          <w:tcPr>
            <w:tcW w:w="865" w:type="dxa"/>
            <w:gridSpan w:val="2"/>
            <w:vAlign w:val="top"/>
          </w:tcPr>
          <w:p w14:paraId="1CA16444">
            <w:pPr>
              <w:pStyle w:val="594"/>
            </w:pPr>
          </w:p>
        </w:tc>
        <w:tc>
          <w:tcPr>
            <w:tcW w:w="1194" w:type="dxa"/>
            <w:vAlign w:val="top"/>
          </w:tcPr>
          <w:p w14:paraId="5B217DF4">
            <w:pPr>
              <w:pStyle w:val="594"/>
            </w:pPr>
          </w:p>
        </w:tc>
        <w:tc>
          <w:tcPr>
            <w:tcW w:w="1093" w:type="dxa"/>
            <w:tcBorders>
              <w:right w:val="single" w:color="000000" w:sz="10" w:space="0"/>
            </w:tcBorders>
            <w:vAlign w:val="top"/>
          </w:tcPr>
          <w:p w14:paraId="7112E85A">
            <w:pPr>
              <w:pStyle w:val="594"/>
            </w:pPr>
          </w:p>
        </w:tc>
      </w:tr>
      <w:tr w14:paraId="3A4EB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8" w:hRule="atLeast"/>
          <w:jc w:val="center"/>
        </w:trPr>
        <w:tc>
          <w:tcPr>
            <w:tcW w:w="598" w:type="dxa"/>
            <w:tcBorders>
              <w:left w:val="single" w:color="000000" w:sz="10" w:space="0"/>
            </w:tcBorders>
            <w:vAlign w:val="top"/>
          </w:tcPr>
          <w:p w14:paraId="32EECC86">
            <w:pPr>
              <w:pStyle w:val="594"/>
              <w:spacing w:line="310" w:lineRule="auto"/>
            </w:pPr>
          </w:p>
          <w:p w14:paraId="005C0A5F">
            <w:pPr>
              <w:pStyle w:val="594"/>
              <w:spacing w:line="311" w:lineRule="auto"/>
            </w:pPr>
          </w:p>
          <w:p w14:paraId="7B4C4D0D">
            <w:pPr>
              <w:pStyle w:val="594"/>
              <w:spacing w:line="311" w:lineRule="auto"/>
            </w:pPr>
          </w:p>
          <w:p w14:paraId="2B1820E3">
            <w:pPr>
              <w:spacing w:before="62" w:line="188" w:lineRule="auto"/>
              <w:ind w:left="207"/>
              <w:rPr>
                <w:rFonts w:ascii="宋体" w:hAnsi="宋体" w:eastAsia="宋体" w:cs="宋体"/>
                <w:sz w:val="19"/>
                <w:szCs w:val="19"/>
              </w:rPr>
            </w:pPr>
            <w:r>
              <w:rPr>
                <w:rFonts w:ascii="宋体" w:hAnsi="宋体" w:eastAsia="宋体" w:cs="宋体"/>
                <w:spacing w:val="-2"/>
                <w:sz w:val="19"/>
                <w:szCs w:val="19"/>
              </w:rPr>
              <w:t>11</w:t>
            </w:r>
          </w:p>
        </w:tc>
        <w:tc>
          <w:tcPr>
            <w:tcW w:w="1390" w:type="dxa"/>
            <w:vAlign w:val="top"/>
          </w:tcPr>
          <w:p w14:paraId="714BE30B">
            <w:pPr>
              <w:pStyle w:val="594"/>
              <w:spacing w:line="310" w:lineRule="auto"/>
            </w:pPr>
          </w:p>
          <w:p w14:paraId="3F3610F6">
            <w:pPr>
              <w:pStyle w:val="594"/>
              <w:spacing w:line="311" w:lineRule="auto"/>
            </w:pPr>
          </w:p>
          <w:p w14:paraId="41ABD49B">
            <w:pPr>
              <w:pStyle w:val="594"/>
              <w:spacing w:line="311" w:lineRule="auto"/>
            </w:pPr>
          </w:p>
          <w:p w14:paraId="71FE6CE2">
            <w:pPr>
              <w:spacing w:before="62" w:line="188" w:lineRule="auto"/>
              <w:ind w:left="67"/>
              <w:rPr>
                <w:rFonts w:ascii="宋体" w:hAnsi="宋体" w:eastAsia="宋体" w:cs="宋体"/>
                <w:sz w:val="19"/>
                <w:szCs w:val="19"/>
              </w:rPr>
            </w:pPr>
            <w:r>
              <w:rPr>
                <w:rFonts w:ascii="宋体" w:hAnsi="宋体" w:eastAsia="宋体" w:cs="宋体"/>
                <w:spacing w:val="8"/>
                <w:sz w:val="19"/>
                <w:szCs w:val="19"/>
              </w:rPr>
              <w:t>011707011001</w:t>
            </w:r>
          </w:p>
        </w:tc>
        <w:tc>
          <w:tcPr>
            <w:tcW w:w="1839" w:type="dxa"/>
            <w:vAlign w:val="top"/>
          </w:tcPr>
          <w:p w14:paraId="1208FFE0">
            <w:pPr>
              <w:pStyle w:val="594"/>
              <w:spacing w:line="299" w:lineRule="auto"/>
            </w:pPr>
          </w:p>
          <w:p w14:paraId="4ACB5A84">
            <w:pPr>
              <w:pStyle w:val="594"/>
              <w:spacing w:line="300" w:lineRule="auto"/>
            </w:pPr>
          </w:p>
          <w:p w14:paraId="3B5C133C">
            <w:pPr>
              <w:pStyle w:val="594"/>
              <w:spacing w:line="300" w:lineRule="auto"/>
            </w:pPr>
          </w:p>
          <w:p w14:paraId="1D854A7C">
            <w:pPr>
              <w:spacing w:before="62" w:line="230" w:lineRule="auto"/>
              <w:ind w:left="22"/>
              <w:rPr>
                <w:rFonts w:ascii="宋体" w:hAnsi="宋体" w:eastAsia="宋体" w:cs="宋体"/>
                <w:sz w:val="19"/>
                <w:szCs w:val="19"/>
              </w:rPr>
            </w:pPr>
            <w:r>
              <w:rPr>
                <w:rFonts w:ascii="宋体" w:hAnsi="宋体" w:eastAsia="宋体" w:cs="宋体"/>
                <w:spacing w:val="4"/>
                <w:sz w:val="19"/>
                <w:szCs w:val="19"/>
              </w:rPr>
              <w:t>住宅分户验收</w:t>
            </w:r>
          </w:p>
        </w:tc>
        <w:tc>
          <w:tcPr>
            <w:tcW w:w="1612" w:type="dxa"/>
            <w:gridSpan w:val="2"/>
            <w:vAlign w:val="top"/>
          </w:tcPr>
          <w:p w14:paraId="5392D1A3">
            <w:pPr>
              <w:pStyle w:val="594"/>
              <w:spacing w:line="257" w:lineRule="auto"/>
            </w:pPr>
          </w:p>
          <w:p w14:paraId="666559DC">
            <w:pPr>
              <w:pStyle w:val="594"/>
              <w:spacing w:line="257" w:lineRule="auto"/>
            </w:pPr>
          </w:p>
          <w:p w14:paraId="3BE6AC14">
            <w:pPr>
              <w:spacing w:before="62" w:line="197" w:lineRule="auto"/>
              <w:ind w:left="26" w:right="21" w:firstLine="1"/>
              <w:rPr>
                <w:rFonts w:ascii="宋体" w:hAnsi="宋体" w:eastAsia="宋体" w:cs="宋体"/>
                <w:sz w:val="19"/>
                <w:szCs w:val="19"/>
              </w:rPr>
            </w:pPr>
            <w:r>
              <w:rPr>
                <w:rFonts w:ascii="宋体" w:hAnsi="宋体" w:eastAsia="宋体" w:cs="宋体"/>
                <w:spacing w:val="4"/>
                <w:sz w:val="19"/>
                <w:szCs w:val="19"/>
              </w:rPr>
              <w:t>分部分项合计+技</w:t>
            </w:r>
            <w:r>
              <w:rPr>
                <w:rFonts w:ascii="宋体" w:hAnsi="宋体" w:eastAsia="宋体" w:cs="宋体"/>
                <w:spacing w:val="1"/>
                <w:sz w:val="19"/>
                <w:szCs w:val="19"/>
              </w:rPr>
              <w:t xml:space="preserve">  </w:t>
            </w:r>
            <w:r>
              <w:rPr>
                <w:rFonts w:ascii="宋体" w:hAnsi="宋体" w:eastAsia="宋体" w:cs="宋体"/>
                <w:spacing w:val="3"/>
                <w:sz w:val="19"/>
                <w:szCs w:val="19"/>
              </w:rPr>
              <w:t>术措施项目合计-</w:t>
            </w:r>
            <w:r>
              <w:rPr>
                <w:rFonts w:ascii="宋体" w:hAnsi="宋体" w:eastAsia="宋体" w:cs="宋体"/>
                <w:spacing w:val="1"/>
                <w:sz w:val="19"/>
                <w:szCs w:val="19"/>
              </w:rPr>
              <w:t xml:space="preserve">  </w:t>
            </w:r>
            <w:r>
              <w:rPr>
                <w:rFonts w:ascii="宋体" w:hAnsi="宋体" w:eastAsia="宋体" w:cs="宋体"/>
                <w:spacing w:val="3"/>
                <w:sz w:val="19"/>
                <w:szCs w:val="19"/>
              </w:rPr>
              <w:t>分部分项设备费-</w:t>
            </w:r>
            <w:r>
              <w:rPr>
                <w:rFonts w:ascii="宋体" w:hAnsi="宋体" w:eastAsia="宋体" w:cs="宋体"/>
                <w:spacing w:val="1"/>
                <w:sz w:val="19"/>
                <w:szCs w:val="19"/>
              </w:rPr>
              <w:t xml:space="preserve">  </w:t>
            </w:r>
            <w:r>
              <w:rPr>
                <w:rFonts w:ascii="宋体" w:hAnsi="宋体" w:eastAsia="宋体" w:cs="宋体"/>
                <w:spacing w:val="4"/>
                <w:sz w:val="19"/>
                <w:szCs w:val="19"/>
              </w:rPr>
              <w:t>技术措施项目设备</w:t>
            </w:r>
            <w:r>
              <w:rPr>
                <w:rFonts w:ascii="宋体" w:hAnsi="宋体" w:eastAsia="宋体" w:cs="宋体"/>
                <w:sz w:val="19"/>
                <w:szCs w:val="19"/>
              </w:rPr>
              <w:t xml:space="preserve"> </w:t>
            </w:r>
            <w:r>
              <w:rPr>
                <w:rFonts w:ascii="宋体" w:hAnsi="宋体" w:eastAsia="宋体" w:cs="宋体"/>
                <w:spacing w:val="1"/>
                <w:sz w:val="19"/>
                <w:szCs w:val="19"/>
              </w:rPr>
              <w:t>费</w:t>
            </w:r>
          </w:p>
        </w:tc>
        <w:tc>
          <w:tcPr>
            <w:tcW w:w="596" w:type="dxa"/>
            <w:vAlign w:val="top"/>
          </w:tcPr>
          <w:p w14:paraId="532FE6F6">
            <w:pPr>
              <w:pStyle w:val="594"/>
              <w:spacing w:line="310" w:lineRule="auto"/>
            </w:pPr>
          </w:p>
          <w:p w14:paraId="455B3BF1">
            <w:pPr>
              <w:pStyle w:val="594"/>
              <w:spacing w:line="311" w:lineRule="auto"/>
            </w:pPr>
          </w:p>
          <w:p w14:paraId="6911796F">
            <w:pPr>
              <w:pStyle w:val="594"/>
              <w:spacing w:line="311" w:lineRule="auto"/>
            </w:pPr>
          </w:p>
          <w:p w14:paraId="78C2BB0A">
            <w:pPr>
              <w:spacing w:before="62" w:line="188" w:lineRule="auto"/>
              <w:ind w:left="257"/>
              <w:rPr>
                <w:rFonts w:ascii="宋体" w:hAnsi="宋体" w:eastAsia="宋体" w:cs="宋体"/>
                <w:sz w:val="19"/>
                <w:szCs w:val="19"/>
              </w:rPr>
            </w:pPr>
            <w:r>
              <w:rPr>
                <w:rFonts w:ascii="宋体" w:hAnsi="宋体" w:eastAsia="宋体" w:cs="宋体"/>
                <w:sz w:val="19"/>
                <w:szCs w:val="19"/>
              </w:rPr>
              <w:t>0</w:t>
            </w:r>
          </w:p>
        </w:tc>
        <w:tc>
          <w:tcPr>
            <w:tcW w:w="1224" w:type="dxa"/>
            <w:vAlign w:val="top"/>
          </w:tcPr>
          <w:p w14:paraId="54EEB56C">
            <w:pPr>
              <w:pStyle w:val="594"/>
            </w:pPr>
          </w:p>
        </w:tc>
        <w:tc>
          <w:tcPr>
            <w:tcW w:w="865" w:type="dxa"/>
            <w:gridSpan w:val="2"/>
            <w:vAlign w:val="top"/>
          </w:tcPr>
          <w:p w14:paraId="58E70539">
            <w:pPr>
              <w:pStyle w:val="594"/>
            </w:pPr>
          </w:p>
        </w:tc>
        <w:tc>
          <w:tcPr>
            <w:tcW w:w="1194" w:type="dxa"/>
            <w:vAlign w:val="top"/>
          </w:tcPr>
          <w:p w14:paraId="7DB0AEFC">
            <w:pPr>
              <w:pStyle w:val="594"/>
            </w:pPr>
          </w:p>
        </w:tc>
        <w:tc>
          <w:tcPr>
            <w:tcW w:w="1093" w:type="dxa"/>
            <w:tcBorders>
              <w:right w:val="single" w:color="000000" w:sz="10" w:space="0"/>
            </w:tcBorders>
            <w:vAlign w:val="top"/>
          </w:tcPr>
          <w:p w14:paraId="7E63DD37">
            <w:pPr>
              <w:spacing w:before="292" w:line="192" w:lineRule="auto"/>
              <w:ind w:left="58"/>
              <w:rPr>
                <w:rFonts w:ascii="宋体" w:hAnsi="宋体" w:eastAsia="宋体" w:cs="宋体"/>
                <w:sz w:val="19"/>
                <w:szCs w:val="19"/>
              </w:rPr>
            </w:pPr>
            <w:r>
              <w:rPr>
                <w:rFonts w:ascii="宋体" w:hAnsi="宋体" w:eastAsia="宋体" w:cs="宋体"/>
                <w:spacing w:val="4"/>
                <w:sz w:val="19"/>
                <w:szCs w:val="19"/>
              </w:rPr>
              <w:t>在计取住宅</w:t>
            </w:r>
          </w:p>
          <w:p w14:paraId="6D98616E">
            <w:pPr>
              <w:spacing w:line="189" w:lineRule="auto"/>
              <w:ind w:left="61"/>
              <w:rPr>
                <w:rFonts w:ascii="宋体" w:hAnsi="宋体" w:eastAsia="宋体" w:cs="宋体"/>
                <w:sz w:val="19"/>
                <w:szCs w:val="19"/>
              </w:rPr>
            </w:pPr>
            <w:r>
              <w:rPr>
                <w:rFonts w:ascii="宋体" w:hAnsi="宋体" w:eastAsia="宋体" w:cs="宋体"/>
                <w:spacing w:val="3"/>
                <w:sz w:val="19"/>
                <w:szCs w:val="19"/>
              </w:rPr>
              <w:t>分户验收时</w:t>
            </w:r>
          </w:p>
          <w:p w14:paraId="29250682">
            <w:pPr>
              <w:spacing w:line="189" w:lineRule="auto"/>
              <w:ind w:left="73"/>
              <w:rPr>
                <w:rFonts w:ascii="宋体" w:hAnsi="宋体" w:eastAsia="宋体" w:cs="宋体"/>
                <w:sz w:val="19"/>
                <w:szCs w:val="19"/>
              </w:rPr>
            </w:pPr>
            <w:r>
              <w:rPr>
                <w:rFonts w:ascii="宋体" w:hAnsi="宋体" w:eastAsia="宋体" w:cs="宋体"/>
                <w:spacing w:val="-10"/>
                <w:sz w:val="19"/>
                <w:szCs w:val="19"/>
              </w:rPr>
              <w:t>,</w:t>
            </w:r>
            <w:r>
              <w:rPr>
                <w:rFonts w:ascii="宋体" w:hAnsi="宋体" w:eastAsia="宋体" w:cs="宋体"/>
                <w:spacing w:val="55"/>
                <w:sz w:val="19"/>
                <w:szCs w:val="19"/>
              </w:rPr>
              <w:t xml:space="preserve"> </w:t>
            </w:r>
            <w:r>
              <w:rPr>
                <w:rFonts w:ascii="宋体" w:hAnsi="宋体" w:eastAsia="宋体" w:cs="宋体"/>
                <w:spacing w:val="-10"/>
                <w:sz w:val="19"/>
                <w:szCs w:val="19"/>
              </w:rPr>
              <w:t>大型土石</w:t>
            </w:r>
          </w:p>
          <w:p w14:paraId="0A4690E6">
            <w:pPr>
              <w:spacing w:line="189" w:lineRule="auto"/>
              <w:ind w:left="59"/>
              <w:rPr>
                <w:rFonts w:ascii="宋体" w:hAnsi="宋体" w:eastAsia="宋体" w:cs="宋体"/>
                <w:sz w:val="19"/>
                <w:szCs w:val="19"/>
              </w:rPr>
            </w:pPr>
            <w:r>
              <w:rPr>
                <w:rFonts w:ascii="宋体" w:hAnsi="宋体" w:eastAsia="宋体" w:cs="宋体"/>
                <w:spacing w:val="3"/>
                <w:sz w:val="19"/>
                <w:szCs w:val="19"/>
              </w:rPr>
              <w:t>方工程、桩</w:t>
            </w:r>
          </w:p>
          <w:p w14:paraId="52FCFCB8">
            <w:pPr>
              <w:spacing w:line="189" w:lineRule="auto"/>
              <w:ind w:left="59"/>
              <w:rPr>
                <w:rFonts w:ascii="宋体" w:hAnsi="宋体" w:eastAsia="宋体" w:cs="宋体"/>
                <w:sz w:val="19"/>
                <w:szCs w:val="19"/>
              </w:rPr>
            </w:pPr>
            <w:r>
              <w:rPr>
                <w:rFonts w:ascii="宋体" w:hAnsi="宋体" w:eastAsia="宋体" w:cs="宋体"/>
                <w:spacing w:val="4"/>
                <w:sz w:val="19"/>
                <w:szCs w:val="19"/>
              </w:rPr>
              <w:t>基工程和地</w:t>
            </w:r>
          </w:p>
          <w:p w14:paraId="27A712AC">
            <w:pPr>
              <w:spacing w:line="189" w:lineRule="auto"/>
              <w:ind w:left="65"/>
              <w:rPr>
                <w:rFonts w:ascii="宋体" w:hAnsi="宋体" w:eastAsia="宋体" w:cs="宋体"/>
                <w:sz w:val="19"/>
                <w:szCs w:val="19"/>
              </w:rPr>
            </w:pPr>
            <w:r>
              <w:rPr>
                <w:rFonts w:ascii="宋体" w:hAnsi="宋体" w:eastAsia="宋体" w:cs="宋体"/>
                <w:spacing w:val="2"/>
                <w:sz w:val="19"/>
                <w:szCs w:val="19"/>
              </w:rPr>
              <w:t>下室部分不</w:t>
            </w:r>
          </w:p>
          <w:p w14:paraId="4ED183CE">
            <w:pPr>
              <w:spacing w:line="189" w:lineRule="auto"/>
              <w:ind w:left="59"/>
              <w:rPr>
                <w:rFonts w:ascii="宋体" w:hAnsi="宋体" w:eastAsia="宋体" w:cs="宋体"/>
                <w:sz w:val="19"/>
                <w:szCs w:val="19"/>
              </w:rPr>
            </w:pPr>
            <w:r>
              <w:rPr>
                <w:rFonts w:ascii="宋体" w:hAnsi="宋体" w:eastAsia="宋体" w:cs="宋体"/>
                <w:spacing w:val="4"/>
                <w:sz w:val="19"/>
                <w:szCs w:val="19"/>
              </w:rPr>
              <w:t>计入计费基</w:t>
            </w:r>
          </w:p>
          <w:p w14:paraId="32836C8F">
            <w:pPr>
              <w:spacing w:line="232" w:lineRule="auto"/>
              <w:ind w:left="447"/>
              <w:rPr>
                <w:rFonts w:ascii="宋体" w:hAnsi="宋体" w:eastAsia="宋体" w:cs="宋体"/>
                <w:sz w:val="19"/>
                <w:szCs w:val="19"/>
              </w:rPr>
            </w:pPr>
            <w:r>
              <w:rPr>
                <w:rFonts w:ascii="宋体" w:hAnsi="宋体" w:eastAsia="宋体" w:cs="宋体"/>
                <w:spacing w:val="2"/>
                <w:sz w:val="19"/>
                <w:szCs w:val="19"/>
              </w:rPr>
              <w:t>础</w:t>
            </w:r>
          </w:p>
        </w:tc>
      </w:tr>
      <w:tr w14:paraId="3A43C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3" w:hRule="atLeast"/>
          <w:jc w:val="center"/>
        </w:trPr>
        <w:tc>
          <w:tcPr>
            <w:tcW w:w="598" w:type="dxa"/>
            <w:tcBorders>
              <w:left w:val="single" w:color="000000" w:sz="10" w:space="0"/>
              <w:bottom w:val="single" w:color="000000" w:sz="10" w:space="0"/>
            </w:tcBorders>
            <w:vAlign w:val="top"/>
          </w:tcPr>
          <w:p w14:paraId="2687E811">
            <w:pPr>
              <w:pStyle w:val="594"/>
              <w:spacing w:line="261" w:lineRule="auto"/>
            </w:pPr>
          </w:p>
          <w:p w14:paraId="5E47DF3A">
            <w:pPr>
              <w:pStyle w:val="594"/>
              <w:spacing w:line="261" w:lineRule="auto"/>
            </w:pPr>
          </w:p>
          <w:p w14:paraId="7AF85A32">
            <w:pPr>
              <w:pStyle w:val="594"/>
              <w:spacing w:line="262" w:lineRule="auto"/>
            </w:pPr>
          </w:p>
          <w:p w14:paraId="4D15F9CE">
            <w:pPr>
              <w:pStyle w:val="594"/>
              <w:spacing w:line="262" w:lineRule="auto"/>
            </w:pPr>
          </w:p>
          <w:p w14:paraId="08AAF8DE">
            <w:pPr>
              <w:pStyle w:val="594"/>
              <w:spacing w:line="262" w:lineRule="auto"/>
            </w:pPr>
          </w:p>
          <w:p w14:paraId="4C0022C2">
            <w:pPr>
              <w:spacing w:before="61" w:line="188" w:lineRule="auto"/>
              <w:ind w:left="207"/>
              <w:rPr>
                <w:rFonts w:ascii="宋体" w:hAnsi="宋体" w:eastAsia="宋体" w:cs="宋体"/>
                <w:sz w:val="19"/>
                <w:szCs w:val="19"/>
              </w:rPr>
            </w:pPr>
            <w:r>
              <w:rPr>
                <w:rFonts w:ascii="宋体" w:hAnsi="宋体" w:eastAsia="宋体" w:cs="宋体"/>
                <w:spacing w:val="-2"/>
                <w:sz w:val="19"/>
                <w:szCs w:val="19"/>
              </w:rPr>
              <w:t>12</w:t>
            </w:r>
          </w:p>
        </w:tc>
        <w:tc>
          <w:tcPr>
            <w:tcW w:w="1390" w:type="dxa"/>
            <w:tcBorders>
              <w:bottom w:val="single" w:color="000000" w:sz="10" w:space="0"/>
            </w:tcBorders>
            <w:vAlign w:val="top"/>
          </w:tcPr>
          <w:p w14:paraId="70E70FF8">
            <w:pPr>
              <w:pStyle w:val="594"/>
              <w:spacing w:line="261" w:lineRule="auto"/>
            </w:pPr>
          </w:p>
          <w:p w14:paraId="012C2E50">
            <w:pPr>
              <w:pStyle w:val="594"/>
              <w:spacing w:line="261" w:lineRule="auto"/>
            </w:pPr>
          </w:p>
          <w:p w14:paraId="4625409D">
            <w:pPr>
              <w:pStyle w:val="594"/>
              <w:spacing w:line="262" w:lineRule="auto"/>
            </w:pPr>
          </w:p>
          <w:p w14:paraId="3C0160F9">
            <w:pPr>
              <w:pStyle w:val="594"/>
              <w:spacing w:line="262" w:lineRule="auto"/>
            </w:pPr>
          </w:p>
          <w:p w14:paraId="367A9B93">
            <w:pPr>
              <w:pStyle w:val="594"/>
              <w:spacing w:line="262" w:lineRule="auto"/>
            </w:pPr>
          </w:p>
          <w:p w14:paraId="7E598C41">
            <w:pPr>
              <w:spacing w:before="61" w:line="188" w:lineRule="auto"/>
              <w:ind w:left="67"/>
              <w:rPr>
                <w:rFonts w:ascii="宋体" w:hAnsi="宋体" w:eastAsia="宋体" w:cs="宋体"/>
                <w:sz w:val="19"/>
                <w:szCs w:val="19"/>
              </w:rPr>
            </w:pPr>
            <w:r>
              <w:rPr>
                <w:rFonts w:ascii="宋体" w:hAnsi="宋体" w:eastAsia="宋体" w:cs="宋体"/>
                <w:spacing w:val="8"/>
                <w:sz w:val="19"/>
                <w:szCs w:val="19"/>
              </w:rPr>
              <w:t>011707012001</w:t>
            </w:r>
          </w:p>
        </w:tc>
        <w:tc>
          <w:tcPr>
            <w:tcW w:w="1839" w:type="dxa"/>
            <w:tcBorders>
              <w:bottom w:val="single" w:color="000000" w:sz="10" w:space="0"/>
            </w:tcBorders>
            <w:vAlign w:val="top"/>
          </w:tcPr>
          <w:p w14:paraId="3BED06E6">
            <w:pPr>
              <w:pStyle w:val="594"/>
              <w:spacing w:line="255" w:lineRule="auto"/>
            </w:pPr>
          </w:p>
          <w:p w14:paraId="410B0895">
            <w:pPr>
              <w:pStyle w:val="594"/>
              <w:spacing w:line="255" w:lineRule="auto"/>
            </w:pPr>
          </w:p>
          <w:p w14:paraId="309F0389">
            <w:pPr>
              <w:pStyle w:val="594"/>
              <w:spacing w:line="255" w:lineRule="auto"/>
            </w:pPr>
          </w:p>
          <w:p w14:paraId="24F23EE8">
            <w:pPr>
              <w:pStyle w:val="594"/>
              <w:spacing w:line="255" w:lineRule="auto"/>
            </w:pPr>
          </w:p>
          <w:p w14:paraId="477E2D67">
            <w:pPr>
              <w:pStyle w:val="594"/>
              <w:spacing w:line="255" w:lineRule="auto"/>
            </w:pPr>
          </w:p>
          <w:p w14:paraId="36EB0439">
            <w:pPr>
              <w:spacing w:before="62" w:line="230" w:lineRule="auto"/>
              <w:ind w:left="26"/>
              <w:rPr>
                <w:rFonts w:ascii="宋体" w:hAnsi="宋体" w:eastAsia="宋体" w:cs="宋体"/>
                <w:sz w:val="19"/>
                <w:szCs w:val="19"/>
              </w:rPr>
            </w:pPr>
            <w:r>
              <w:rPr>
                <w:rFonts w:ascii="宋体" w:hAnsi="宋体" w:eastAsia="宋体" w:cs="宋体"/>
                <w:spacing w:val="3"/>
                <w:sz w:val="19"/>
                <w:szCs w:val="19"/>
              </w:rPr>
              <w:t>建筑工人实名制</w:t>
            </w:r>
          </w:p>
        </w:tc>
        <w:tc>
          <w:tcPr>
            <w:tcW w:w="1612" w:type="dxa"/>
            <w:gridSpan w:val="2"/>
            <w:tcBorders>
              <w:bottom w:val="single" w:color="000000" w:sz="10" w:space="0"/>
            </w:tcBorders>
            <w:vAlign w:val="top"/>
          </w:tcPr>
          <w:p w14:paraId="13F94447">
            <w:pPr>
              <w:pStyle w:val="594"/>
              <w:spacing w:line="296" w:lineRule="auto"/>
            </w:pPr>
          </w:p>
          <w:p w14:paraId="4F09A947">
            <w:pPr>
              <w:pStyle w:val="594"/>
              <w:spacing w:line="297" w:lineRule="auto"/>
            </w:pPr>
          </w:p>
          <w:p w14:paraId="031B79D7">
            <w:pPr>
              <w:pStyle w:val="594"/>
              <w:spacing w:line="297" w:lineRule="auto"/>
            </w:pPr>
          </w:p>
          <w:p w14:paraId="0B5241EE">
            <w:pPr>
              <w:spacing w:before="62" w:line="197" w:lineRule="auto"/>
              <w:ind w:left="26" w:right="21" w:firstLine="1"/>
              <w:rPr>
                <w:rFonts w:ascii="宋体" w:hAnsi="宋体" w:eastAsia="宋体" w:cs="宋体"/>
                <w:sz w:val="19"/>
                <w:szCs w:val="19"/>
              </w:rPr>
            </w:pPr>
            <w:r>
              <w:rPr>
                <w:rFonts w:ascii="宋体" w:hAnsi="宋体" w:eastAsia="宋体" w:cs="宋体"/>
                <w:spacing w:val="4"/>
                <w:sz w:val="19"/>
                <w:szCs w:val="19"/>
              </w:rPr>
              <w:t>分部分项合计+技</w:t>
            </w:r>
            <w:r>
              <w:rPr>
                <w:rFonts w:ascii="宋体" w:hAnsi="宋体" w:eastAsia="宋体" w:cs="宋体"/>
                <w:spacing w:val="1"/>
                <w:sz w:val="19"/>
                <w:szCs w:val="19"/>
              </w:rPr>
              <w:t xml:space="preserve">  </w:t>
            </w:r>
            <w:r>
              <w:rPr>
                <w:rFonts w:ascii="宋体" w:hAnsi="宋体" w:eastAsia="宋体" w:cs="宋体"/>
                <w:spacing w:val="3"/>
                <w:sz w:val="19"/>
                <w:szCs w:val="19"/>
              </w:rPr>
              <w:t>术措施项目合计-</w:t>
            </w:r>
            <w:r>
              <w:rPr>
                <w:rFonts w:ascii="宋体" w:hAnsi="宋体" w:eastAsia="宋体" w:cs="宋体"/>
                <w:spacing w:val="1"/>
                <w:sz w:val="19"/>
                <w:szCs w:val="19"/>
              </w:rPr>
              <w:t xml:space="preserve">  </w:t>
            </w:r>
            <w:r>
              <w:rPr>
                <w:rFonts w:ascii="宋体" w:hAnsi="宋体" w:eastAsia="宋体" w:cs="宋体"/>
                <w:spacing w:val="3"/>
                <w:sz w:val="19"/>
                <w:szCs w:val="19"/>
              </w:rPr>
              <w:t>分部分项设备费-</w:t>
            </w:r>
            <w:r>
              <w:rPr>
                <w:rFonts w:ascii="宋体" w:hAnsi="宋体" w:eastAsia="宋体" w:cs="宋体"/>
                <w:spacing w:val="1"/>
                <w:sz w:val="19"/>
                <w:szCs w:val="19"/>
              </w:rPr>
              <w:t xml:space="preserve">  </w:t>
            </w:r>
            <w:r>
              <w:rPr>
                <w:rFonts w:ascii="宋体" w:hAnsi="宋体" w:eastAsia="宋体" w:cs="宋体"/>
                <w:spacing w:val="4"/>
                <w:sz w:val="19"/>
                <w:szCs w:val="19"/>
              </w:rPr>
              <w:t>技术措施项目设备</w:t>
            </w:r>
            <w:r>
              <w:rPr>
                <w:rFonts w:ascii="宋体" w:hAnsi="宋体" w:eastAsia="宋体" w:cs="宋体"/>
                <w:sz w:val="19"/>
                <w:szCs w:val="19"/>
              </w:rPr>
              <w:t xml:space="preserve"> </w:t>
            </w:r>
            <w:r>
              <w:rPr>
                <w:rFonts w:ascii="宋体" w:hAnsi="宋体" w:eastAsia="宋体" w:cs="宋体"/>
                <w:spacing w:val="1"/>
                <w:sz w:val="19"/>
                <w:szCs w:val="19"/>
              </w:rPr>
              <w:t>费</w:t>
            </w:r>
          </w:p>
        </w:tc>
        <w:tc>
          <w:tcPr>
            <w:tcW w:w="596" w:type="dxa"/>
            <w:tcBorders>
              <w:bottom w:val="single" w:color="000000" w:sz="10" w:space="0"/>
            </w:tcBorders>
            <w:vAlign w:val="top"/>
          </w:tcPr>
          <w:p w14:paraId="504E50A5">
            <w:pPr>
              <w:pStyle w:val="594"/>
              <w:spacing w:line="261" w:lineRule="auto"/>
            </w:pPr>
          </w:p>
          <w:p w14:paraId="765557B4">
            <w:pPr>
              <w:pStyle w:val="594"/>
              <w:spacing w:line="261" w:lineRule="auto"/>
            </w:pPr>
          </w:p>
          <w:p w14:paraId="6D3C8199">
            <w:pPr>
              <w:pStyle w:val="594"/>
              <w:spacing w:line="262" w:lineRule="auto"/>
            </w:pPr>
          </w:p>
          <w:p w14:paraId="6A5D71F6">
            <w:pPr>
              <w:pStyle w:val="594"/>
              <w:spacing w:line="262" w:lineRule="auto"/>
            </w:pPr>
          </w:p>
          <w:p w14:paraId="07D3E22E">
            <w:pPr>
              <w:pStyle w:val="594"/>
              <w:spacing w:line="262" w:lineRule="auto"/>
            </w:pPr>
          </w:p>
          <w:p w14:paraId="33502A62">
            <w:pPr>
              <w:spacing w:before="61" w:line="188" w:lineRule="auto"/>
              <w:ind w:left="257"/>
              <w:rPr>
                <w:rFonts w:ascii="宋体" w:hAnsi="宋体" w:eastAsia="宋体" w:cs="宋体"/>
                <w:sz w:val="19"/>
                <w:szCs w:val="19"/>
              </w:rPr>
            </w:pPr>
            <w:r>
              <w:rPr>
                <w:rFonts w:ascii="宋体" w:hAnsi="宋体" w:eastAsia="宋体" w:cs="宋体"/>
                <w:sz w:val="19"/>
                <w:szCs w:val="19"/>
              </w:rPr>
              <w:t>0</w:t>
            </w:r>
          </w:p>
        </w:tc>
        <w:tc>
          <w:tcPr>
            <w:tcW w:w="1224" w:type="dxa"/>
            <w:tcBorders>
              <w:bottom w:val="single" w:color="000000" w:sz="10" w:space="0"/>
            </w:tcBorders>
            <w:vAlign w:val="top"/>
          </w:tcPr>
          <w:p w14:paraId="623EBB06">
            <w:pPr>
              <w:pStyle w:val="594"/>
            </w:pPr>
          </w:p>
        </w:tc>
        <w:tc>
          <w:tcPr>
            <w:tcW w:w="865" w:type="dxa"/>
            <w:gridSpan w:val="2"/>
            <w:tcBorders>
              <w:bottom w:val="single" w:color="000000" w:sz="10" w:space="0"/>
            </w:tcBorders>
            <w:vAlign w:val="top"/>
          </w:tcPr>
          <w:p w14:paraId="016BE08F">
            <w:pPr>
              <w:pStyle w:val="594"/>
            </w:pPr>
          </w:p>
        </w:tc>
        <w:tc>
          <w:tcPr>
            <w:tcW w:w="1194" w:type="dxa"/>
            <w:tcBorders>
              <w:bottom w:val="single" w:color="000000" w:sz="10" w:space="0"/>
            </w:tcBorders>
            <w:vAlign w:val="top"/>
          </w:tcPr>
          <w:p w14:paraId="62BE0335">
            <w:pPr>
              <w:pStyle w:val="594"/>
            </w:pPr>
          </w:p>
        </w:tc>
        <w:tc>
          <w:tcPr>
            <w:tcW w:w="1093" w:type="dxa"/>
            <w:tcBorders>
              <w:bottom w:val="single" w:color="000000" w:sz="10" w:space="0"/>
              <w:right w:val="single" w:color="000000" w:sz="10" w:space="0"/>
            </w:tcBorders>
            <w:vAlign w:val="top"/>
          </w:tcPr>
          <w:p w14:paraId="6005847E">
            <w:pPr>
              <w:pStyle w:val="594"/>
              <w:spacing w:line="310" w:lineRule="auto"/>
            </w:pPr>
          </w:p>
          <w:p w14:paraId="0BC14388">
            <w:pPr>
              <w:spacing w:before="61" w:line="193" w:lineRule="auto"/>
              <w:ind w:left="59" w:right="40" w:firstLine="2"/>
              <w:jc w:val="both"/>
              <w:rPr>
                <w:rFonts w:ascii="宋体" w:hAnsi="宋体" w:eastAsia="宋体" w:cs="宋体"/>
                <w:sz w:val="19"/>
                <w:szCs w:val="19"/>
              </w:rPr>
            </w:pPr>
            <w:r>
              <w:rPr>
                <w:rFonts w:ascii="宋体" w:hAnsi="宋体" w:eastAsia="宋体" w:cs="宋体"/>
                <w:spacing w:val="3"/>
                <w:sz w:val="19"/>
                <w:szCs w:val="19"/>
              </w:rPr>
              <w:t>建筑工人实</w:t>
            </w:r>
            <w:r>
              <w:rPr>
                <w:rFonts w:ascii="宋体" w:hAnsi="宋体" w:eastAsia="宋体" w:cs="宋体"/>
                <w:spacing w:val="2"/>
                <w:sz w:val="19"/>
                <w:szCs w:val="19"/>
              </w:rPr>
              <w:t xml:space="preserve"> </w:t>
            </w:r>
            <w:r>
              <w:rPr>
                <w:rFonts w:ascii="宋体" w:hAnsi="宋体" w:eastAsia="宋体" w:cs="宋体"/>
                <w:spacing w:val="4"/>
                <w:sz w:val="19"/>
                <w:szCs w:val="19"/>
              </w:rPr>
              <w:t>名制设备由</w:t>
            </w:r>
            <w:r>
              <w:rPr>
                <w:rFonts w:ascii="宋体" w:hAnsi="宋体" w:eastAsia="宋体" w:cs="宋体"/>
                <w:sz w:val="19"/>
                <w:szCs w:val="19"/>
              </w:rPr>
              <w:t xml:space="preserve"> </w:t>
            </w:r>
            <w:r>
              <w:rPr>
                <w:rFonts w:ascii="宋体" w:hAnsi="宋体" w:eastAsia="宋体" w:cs="宋体"/>
                <w:spacing w:val="4"/>
                <w:sz w:val="19"/>
                <w:szCs w:val="19"/>
              </w:rPr>
              <w:t>建筑工人工</w:t>
            </w:r>
            <w:r>
              <w:rPr>
                <w:rFonts w:ascii="宋体" w:hAnsi="宋体" w:eastAsia="宋体" w:cs="宋体"/>
                <w:sz w:val="19"/>
                <w:szCs w:val="19"/>
              </w:rPr>
              <w:t xml:space="preserve"> </w:t>
            </w:r>
            <w:r>
              <w:rPr>
                <w:rFonts w:ascii="宋体" w:hAnsi="宋体" w:eastAsia="宋体" w:cs="宋体"/>
                <w:spacing w:val="4"/>
                <w:sz w:val="19"/>
                <w:szCs w:val="19"/>
              </w:rPr>
              <w:t>资专用账户</w:t>
            </w:r>
            <w:r>
              <w:rPr>
                <w:rFonts w:ascii="宋体" w:hAnsi="宋体" w:eastAsia="宋体" w:cs="宋体"/>
                <w:sz w:val="19"/>
                <w:szCs w:val="19"/>
              </w:rPr>
              <w:t xml:space="preserve"> </w:t>
            </w:r>
            <w:r>
              <w:rPr>
                <w:rFonts w:ascii="宋体" w:hAnsi="宋体" w:eastAsia="宋体" w:cs="宋体"/>
                <w:spacing w:val="4"/>
                <w:sz w:val="19"/>
                <w:szCs w:val="19"/>
              </w:rPr>
              <w:t>开户银行提</w:t>
            </w:r>
            <w:r>
              <w:rPr>
                <w:rFonts w:ascii="宋体" w:hAnsi="宋体" w:eastAsia="宋体" w:cs="宋体"/>
                <w:sz w:val="19"/>
                <w:szCs w:val="19"/>
              </w:rPr>
              <w:t xml:space="preserve"> </w:t>
            </w:r>
            <w:r>
              <w:rPr>
                <w:rFonts w:ascii="宋体" w:hAnsi="宋体" w:eastAsia="宋体" w:cs="宋体"/>
                <w:spacing w:val="4"/>
                <w:sz w:val="19"/>
                <w:szCs w:val="19"/>
              </w:rPr>
              <w:t>供的，建筑</w:t>
            </w:r>
            <w:r>
              <w:rPr>
                <w:rFonts w:ascii="宋体" w:hAnsi="宋体" w:eastAsia="宋体" w:cs="宋体"/>
                <w:sz w:val="19"/>
                <w:szCs w:val="19"/>
              </w:rPr>
              <w:t xml:space="preserve"> </w:t>
            </w:r>
            <w:r>
              <w:rPr>
                <w:rFonts w:ascii="宋体" w:hAnsi="宋体" w:eastAsia="宋体" w:cs="宋体"/>
                <w:spacing w:val="4"/>
                <w:sz w:val="19"/>
                <w:szCs w:val="19"/>
              </w:rPr>
              <w:t>工人实名制</w:t>
            </w:r>
            <w:r>
              <w:rPr>
                <w:rFonts w:ascii="宋体" w:hAnsi="宋体" w:eastAsia="宋体" w:cs="宋体"/>
                <w:sz w:val="19"/>
                <w:szCs w:val="19"/>
              </w:rPr>
              <w:t xml:space="preserve"> </w:t>
            </w:r>
            <w:r>
              <w:rPr>
                <w:rFonts w:ascii="宋体" w:hAnsi="宋体" w:eastAsia="宋体" w:cs="宋体"/>
                <w:spacing w:val="4"/>
                <w:sz w:val="19"/>
                <w:szCs w:val="19"/>
              </w:rPr>
              <w:t>费用按表中</w:t>
            </w:r>
            <w:r>
              <w:rPr>
                <w:rFonts w:ascii="宋体" w:hAnsi="宋体" w:eastAsia="宋体" w:cs="宋体"/>
                <w:sz w:val="19"/>
                <w:szCs w:val="19"/>
              </w:rPr>
              <w:t xml:space="preserve"> </w:t>
            </w:r>
            <w:r>
              <w:rPr>
                <w:rFonts w:ascii="宋体" w:hAnsi="宋体" w:eastAsia="宋体" w:cs="宋体"/>
                <w:spacing w:val="4"/>
                <w:sz w:val="19"/>
                <w:szCs w:val="19"/>
              </w:rPr>
              <w:t>费率乘以0.</w:t>
            </w:r>
            <w:r>
              <w:rPr>
                <w:rFonts w:ascii="宋体" w:hAnsi="宋体" w:eastAsia="宋体" w:cs="宋体"/>
                <w:sz w:val="19"/>
                <w:szCs w:val="19"/>
              </w:rPr>
              <w:t xml:space="preserve"> </w:t>
            </w:r>
            <w:r>
              <w:rPr>
                <w:rFonts w:ascii="宋体" w:hAnsi="宋体" w:eastAsia="宋体" w:cs="宋体"/>
                <w:spacing w:val="13"/>
                <w:sz w:val="19"/>
                <w:szCs w:val="19"/>
              </w:rPr>
              <w:t>5系数计取</w:t>
            </w:r>
          </w:p>
        </w:tc>
      </w:tr>
    </w:tbl>
    <w:p w14:paraId="659B9C6C">
      <w:pPr>
        <w:spacing w:line="78" w:lineRule="exact"/>
      </w:pPr>
    </w:p>
    <w:tbl>
      <w:tblPr>
        <w:tblStyle w:val="333"/>
        <w:tblW w:w="10402" w:type="dxa"/>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Grid>
        <w:gridCol w:w="4909"/>
        <w:gridCol w:w="2559"/>
        <w:gridCol w:w="2934"/>
      </w:tblGrid>
      <w:tr w14:paraId="200C1DB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77" w:hRule="atLeast"/>
        </w:trPr>
        <w:tc>
          <w:tcPr>
            <w:tcW w:w="4909" w:type="dxa"/>
            <w:tcBorders>
              <w:top w:val="nil"/>
              <w:left w:val="nil"/>
            </w:tcBorders>
            <w:vAlign w:val="top"/>
          </w:tcPr>
          <w:p w14:paraId="2B708FE7">
            <w:pPr>
              <w:spacing w:before="96" w:line="229" w:lineRule="auto"/>
              <w:ind w:left="38"/>
              <w:rPr>
                <w:rFonts w:ascii="宋体" w:hAnsi="宋体" w:eastAsia="宋体" w:cs="宋体"/>
                <w:sz w:val="17"/>
                <w:szCs w:val="17"/>
              </w:rPr>
            </w:pPr>
            <w:r>
              <w:rPr>
                <w:rFonts w:ascii="宋体" w:hAnsi="宋体" w:eastAsia="宋体" w:cs="宋体"/>
                <w:spacing w:val="8"/>
                <w:sz w:val="17"/>
                <w:szCs w:val="17"/>
              </w:rPr>
              <w:t>编制人（造价人员</w:t>
            </w:r>
            <w:r>
              <w:rPr>
                <w:rFonts w:ascii="宋体" w:hAnsi="宋体" w:eastAsia="宋体" w:cs="宋体"/>
                <w:spacing w:val="-5"/>
                <w:sz w:val="17"/>
                <w:szCs w:val="17"/>
              </w:rPr>
              <w:t>）：</w:t>
            </w:r>
          </w:p>
        </w:tc>
        <w:tc>
          <w:tcPr>
            <w:tcW w:w="2559" w:type="dxa"/>
            <w:tcBorders>
              <w:top w:val="nil"/>
            </w:tcBorders>
            <w:vAlign w:val="top"/>
          </w:tcPr>
          <w:p w14:paraId="2D86505C">
            <w:pPr>
              <w:spacing w:before="96" w:line="229" w:lineRule="auto"/>
              <w:ind w:left="562"/>
              <w:rPr>
                <w:rFonts w:ascii="宋体" w:hAnsi="宋体" w:eastAsia="宋体" w:cs="宋体"/>
                <w:sz w:val="17"/>
                <w:szCs w:val="17"/>
              </w:rPr>
            </w:pPr>
            <w:r>
              <w:rPr>
                <w:rFonts w:ascii="宋体" w:hAnsi="宋体" w:eastAsia="宋体" w:cs="宋体"/>
                <w:spacing w:val="8"/>
                <w:sz w:val="17"/>
                <w:szCs w:val="17"/>
              </w:rPr>
              <w:t>复核人（造价工程师</w:t>
            </w:r>
            <w:r>
              <w:rPr>
                <w:rFonts w:ascii="宋体" w:hAnsi="宋体" w:eastAsia="宋体" w:cs="宋体"/>
                <w:spacing w:val="-6"/>
                <w:sz w:val="17"/>
                <w:szCs w:val="17"/>
              </w:rPr>
              <w:t>）：</w:t>
            </w:r>
          </w:p>
        </w:tc>
        <w:tc>
          <w:tcPr>
            <w:tcW w:w="2934" w:type="dxa"/>
            <w:tcBorders>
              <w:top w:val="nil"/>
              <w:right w:val="single" w:color="FFFFFF" w:sz="2" w:space="0"/>
            </w:tcBorders>
            <w:vAlign w:val="top"/>
          </w:tcPr>
          <w:p w14:paraId="7CD0C366">
            <w:pPr>
              <w:pStyle w:val="594"/>
            </w:pPr>
          </w:p>
        </w:tc>
      </w:tr>
      <w:tr w14:paraId="1AE7AD4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56" w:hRule="atLeast"/>
        </w:trPr>
        <w:tc>
          <w:tcPr>
            <w:tcW w:w="4909" w:type="dxa"/>
            <w:tcBorders>
              <w:left w:val="nil"/>
              <w:bottom w:val="single" w:color="FFFFFF" w:sz="2" w:space="0"/>
            </w:tcBorders>
            <w:vAlign w:val="top"/>
          </w:tcPr>
          <w:p w14:paraId="1D6B9D1D">
            <w:pPr>
              <w:pStyle w:val="594"/>
            </w:pPr>
          </w:p>
        </w:tc>
        <w:tc>
          <w:tcPr>
            <w:tcW w:w="2559" w:type="dxa"/>
            <w:tcBorders>
              <w:bottom w:val="single" w:color="FFFFFF" w:sz="2" w:space="0"/>
            </w:tcBorders>
            <w:vAlign w:val="top"/>
          </w:tcPr>
          <w:p w14:paraId="05046221">
            <w:pPr>
              <w:pStyle w:val="594"/>
            </w:pPr>
          </w:p>
        </w:tc>
        <w:tc>
          <w:tcPr>
            <w:tcW w:w="2934" w:type="dxa"/>
            <w:tcBorders>
              <w:bottom w:val="single" w:color="FFFFFF" w:sz="2" w:space="0"/>
              <w:right w:val="single" w:color="FFFFFF" w:sz="2" w:space="0"/>
            </w:tcBorders>
            <w:vAlign w:val="top"/>
          </w:tcPr>
          <w:p w14:paraId="5983B945">
            <w:pPr>
              <w:spacing w:before="158" w:line="204" w:lineRule="auto"/>
              <w:ind w:right="24"/>
              <w:jc w:val="right"/>
              <w:rPr>
                <w:rFonts w:ascii="宋体" w:hAnsi="宋体" w:eastAsia="宋体" w:cs="宋体"/>
                <w:sz w:val="17"/>
                <w:szCs w:val="17"/>
              </w:rPr>
            </w:pPr>
            <w:r>
              <w:rPr>
                <w:rFonts w:ascii="宋体" w:hAnsi="宋体" w:eastAsia="宋体" w:cs="宋体"/>
                <w:spacing w:val="4"/>
                <w:sz w:val="17"/>
                <w:szCs w:val="17"/>
              </w:rPr>
              <w:t>表-11</w:t>
            </w:r>
          </w:p>
        </w:tc>
      </w:tr>
    </w:tbl>
    <w:p w14:paraId="7F778540">
      <w:pPr>
        <w:pStyle w:val="14"/>
        <w:rPr>
          <w:sz w:val="21"/>
        </w:rPr>
      </w:pPr>
    </w:p>
    <w:p w14:paraId="6C1912FA">
      <w:pPr>
        <w:rPr>
          <w:sz w:val="21"/>
          <w:szCs w:val="21"/>
        </w:rPr>
        <w:sectPr>
          <w:pgSz w:w="11960" w:h="16880"/>
          <w:pgMar w:top="400" w:right="790" w:bottom="0" w:left="733" w:header="0" w:footer="0" w:gutter="0"/>
          <w:cols w:space="720" w:num="1"/>
        </w:sectPr>
      </w:pPr>
    </w:p>
    <w:p w14:paraId="2297906F">
      <w:pPr>
        <w:spacing w:before="208"/>
      </w:pPr>
    </w:p>
    <w:tbl>
      <w:tblPr>
        <w:tblStyle w:val="333"/>
        <w:tblW w:w="104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8"/>
        <w:gridCol w:w="1389"/>
        <w:gridCol w:w="1837"/>
        <w:gridCol w:w="1076"/>
        <w:gridCol w:w="537"/>
        <w:gridCol w:w="597"/>
        <w:gridCol w:w="1224"/>
        <w:gridCol w:w="196"/>
        <w:gridCol w:w="670"/>
        <w:gridCol w:w="1195"/>
        <w:gridCol w:w="1092"/>
      </w:tblGrid>
      <w:tr w14:paraId="1AC66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10411" w:type="dxa"/>
            <w:gridSpan w:val="11"/>
            <w:tcBorders>
              <w:top w:val="nil"/>
              <w:left w:val="nil"/>
              <w:bottom w:val="single" w:color="FFFFFF" w:sz="4" w:space="0"/>
              <w:right w:val="single" w:color="FFFFFF" w:sz="2" w:space="0"/>
            </w:tcBorders>
            <w:vAlign w:val="top"/>
          </w:tcPr>
          <w:p w14:paraId="6C6D2129">
            <w:pPr>
              <w:spacing w:before="135" w:line="223" w:lineRule="auto"/>
              <w:ind w:left="2687"/>
              <w:rPr>
                <w:rFonts w:ascii="宋体" w:hAnsi="宋体" w:eastAsia="宋体" w:cs="宋体"/>
                <w:sz w:val="39"/>
                <w:szCs w:val="39"/>
              </w:rPr>
            </w:pPr>
            <w:r>
              <w:rPr>
                <w:rFonts w:ascii="宋体" w:hAnsi="宋体" w:eastAsia="宋体" w:cs="宋体"/>
                <w:spacing w:val="25"/>
                <w:sz w:val="39"/>
                <w:szCs w:val="39"/>
              </w:rPr>
              <w:t>总价措施项目清单与计价表</w:t>
            </w:r>
          </w:p>
        </w:tc>
      </w:tr>
      <w:tr w14:paraId="50D6F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4900" w:type="dxa"/>
            <w:gridSpan w:val="4"/>
            <w:tcBorders>
              <w:top w:val="single" w:color="FFFFFF" w:sz="4" w:space="0"/>
              <w:left w:val="nil"/>
              <w:bottom w:val="single" w:color="000000" w:sz="10" w:space="0"/>
              <w:right w:val="single" w:color="FFFFFF" w:sz="4" w:space="0"/>
            </w:tcBorders>
            <w:vAlign w:val="top"/>
          </w:tcPr>
          <w:p w14:paraId="4105BB2F">
            <w:pPr>
              <w:pStyle w:val="594"/>
              <w:spacing w:line="284" w:lineRule="auto"/>
            </w:pPr>
          </w:p>
          <w:p w14:paraId="6FD9EB1B">
            <w:pPr>
              <w:spacing w:before="62" w:line="205" w:lineRule="auto"/>
              <w:ind w:left="28"/>
              <w:rPr>
                <w:rFonts w:ascii="宋体" w:hAnsi="宋体" w:eastAsia="宋体" w:cs="宋体"/>
                <w:sz w:val="19"/>
                <w:szCs w:val="19"/>
              </w:rPr>
            </w:pPr>
            <w:r>
              <w:rPr>
                <w:rFonts w:ascii="宋体" w:hAnsi="宋体" w:eastAsia="宋体" w:cs="宋体"/>
                <w:spacing w:val="4"/>
                <w:sz w:val="19"/>
                <w:szCs w:val="19"/>
              </w:rPr>
              <w:t>工程名称：沭阳县耿圩镇污水处理厂提质提标项目</w:t>
            </w:r>
          </w:p>
        </w:tc>
        <w:tc>
          <w:tcPr>
            <w:tcW w:w="2554" w:type="dxa"/>
            <w:gridSpan w:val="4"/>
            <w:tcBorders>
              <w:top w:val="single" w:color="FFFFFF" w:sz="4" w:space="0"/>
              <w:left w:val="single" w:color="FFFFFF" w:sz="4" w:space="0"/>
              <w:bottom w:val="single" w:color="000000" w:sz="10" w:space="0"/>
              <w:right w:val="single" w:color="FFFFFF" w:sz="4" w:space="0"/>
            </w:tcBorders>
            <w:vAlign w:val="top"/>
          </w:tcPr>
          <w:p w14:paraId="5E91C7E9">
            <w:pPr>
              <w:spacing w:before="153" w:line="197" w:lineRule="auto"/>
              <w:ind w:left="32" w:right="179" w:hanging="1"/>
              <w:rPr>
                <w:rFonts w:ascii="宋体" w:hAnsi="宋体" w:eastAsia="宋体" w:cs="宋体"/>
                <w:sz w:val="19"/>
                <w:szCs w:val="19"/>
              </w:rPr>
            </w:pPr>
            <w:r>
              <w:rPr>
                <w:rFonts w:ascii="宋体" w:hAnsi="宋体" w:eastAsia="宋体" w:cs="宋体"/>
                <w:spacing w:val="4"/>
                <w:sz w:val="19"/>
                <w:szCs w:val="19"/>
              </w:rPr>
              <w:t>标段：沭阳县耿圩镇污水处</w:t>
            </w:r>
            <w:r>
              <w:rPr>
                <w:rFonts w:ascii="宋体" w:hAnsi="宋体" w:eastAsia="宋体" w:cs="宋体"/>
                <w:spacing w:val="3"/>
                <w:sz w:val="19"/>
                <w:szCs w:val="19"/>
              </w:rPr>
              <w:t xml:space="preserve"> </w:t>
            </w:r>
            <w:r>
              <w:rPr>
                <w:rFonts w:ascii="宋体" w:hAnsi="宋体" w:eastAsia="宋体" w:cs="宋体"/>
                <w:spacing w:val="4"/>
                <w:sz w:val="19"/>
                <w:szCs w:val="19"/>
              </w:rPr>
              <w:t>理厂提质提标项目</w:t>
            </w:r>
          </w:p>
        </w:tc>
        <w:tc>
          <w:tcPr>
            <w:tcW w:w="2957" w:type="dxa"/>
            <w:gridSpan w:val="3"/>
            <w:tcBorders>
              <w:top w:val="single" w:color="FFFFFF" w:sz="4" w:space="0"/>
              <w:left w:val="single" w:color="FFFFFF" w:sz="4" w:space="0"/>
              <w:bottom w:val="single" w:color="000000" w:sz="10" w:space="0"/>
              <w:right w:val="single" w:color="FFFFFF" w:sz="2" w:space="0"/>
            </w:tcBorders>
            <w:vAlign w:val="top"/>
          </w:tcPr>
          <w:p w14:paraId="5EEAA2B9">
            <w:pPr>
              <w:pStyle w:val="594"/>
              <w:spacing w:line="284" w:lineRule="auto"/>
            </w:pPr>
          </w:p>
          <w:p w14:paraId="1DEE0B9A">
            <w:pPr>
              <w:spacing w:before="62" w:line="205" w:lineRule="auto"/>
              <w:ind w:left="1294"/>
              <w:rPr>
                <w:rFonts w:ascii="宋体" w:hAnsi="宋体" w:eastAsia="宋体" w:cs="宋体"/>
                <w:sz w:val="19"/>
                <w:szCs w:val="19"/>
              </w:rPr>
            </w:pPr>
            <w:r>
              <w:rPr>
                <w:rFonts w:ascii="宋体" w:hAnsi="宋体" w:eastAsia="宋体" w:cs="宋体"/>
                <w:spacing w:val="-3"/>
                <w:sz w:val="19"/>
                <w:szCs w:val="19"/>
              </w:rPr>
              <w:t>第</w:t>
            </w:r>
            <w:r>
              <w:rPr>
                <w:rFonts w:ascii="宋体" w:hAnsi="宋体" w:eastAsia="宋体" w:cs="宋体"/>
                <w:spacing w:val="20"/>
                <w:sz w:val="19"/>
                <w:szCs w:val="19"/>
              </w:rPr>
              <w:t xml:space="preserve"> </w:t>
            </w:r>
            <w:r>
              <w:rPr>
                <w:rFonts w:ascii="宋体" w:hAnsi="宋体" w:eastAsia="宋体" w:cs="宋体"/>
                <w:spacing w:val="-3"/>
                <w:sz w:val="19"/>
                <w:szCs w:val="19"/>
              </w:rPr>
              <w:t>3</w:t>
            </w:r>
            <w:r>
              <w:rPr>
                <w:rFonts w:ascii="宋体" w:hAnsi="宋体" w:eastAsia="宋体" w:cs="宋体"/>
                <w:spacing w:val="26"/>
                <w:sz w:val="19"/>
                <w:szCs w:val="19"/>
              </w:rPr>
              <w:t xml:space="preserve"> </w:t>
            </w:r>
            <w:r>
              <w:rPr>
                <w:rFonts w:ascii="宋体" w:hAnsi="宋体" w:eastAsia="宋体" w:cs="宋体"/>
                <w:spacing w:val="-3"/>
                <w:sz w:val="19"/>
                <w:szCs w:val="19"/>
              </w:rPr>
              <w:t>页</w:t>
            </w:r>
            <w:r>
              <w:rPr>
                <w:rFonts w:ascii="宋体" w:hAnsi="宋体" w:eastAsia="宋体" w:cs="宋体"/>
                <w:spacing w:val="10"/>
                <w:sz w:val="19"/>
                <w:szCs w:val="19"/>
              </w:rPr>
              <w:t xml:space="preserve">  </w:t>
            </w:r>
            <w:r>
              <w:rPr>
                <w:rFonts w:ascii="宋体" w:hAnsi="宋体" w:eastAsia="宋体" w:cs="宋体"/>
                <w:spacing w:val="-3"/>
                <w:sz w:val="19"/>
                <w:szCs w:val="19"/>
              </w:rPr>
              <w:t>共</w:t>
            </w:r>
            <w:r>
              <w:rPr>
                <w:rFonts w:ascii="宋体" w:hAnsi="宋体" w:eastAsia="宋体" w:cs="宋体"/>
                <w:spacing w:val="17"/>
                <w:sz w:val="19"/>
                <w:szCs w:val="19"/>
              </w:rPr>
              <w:t xml:space="preserve"> </w:t>
            </w:r>
            <w:r>
              <w:rPr>
                <w:rFonts w:ascii="宋体" w:hAnsi="宋体" w:eastAsia="宋体" w:cs="宋体"/>
                <w:spacing w:val="-3"/>
                <w:sz w:val="19"/>
                <w:szCs w:val="19"/>
              </w:rPr>
              <w:t>3</w:t>
            </w:r>
            <w:r>
              <w:rPr>
                <w:rFonts w:ascii="宋体" w:hAnsi="宋体" w:eastAsia="宋体" w:cs="宋体"/>
                <w:spacing w:val="26"/>
                <w:sz w:val="19"/>
                <w:szCs w:val="19"/>
              </w:rPr>
              <w:t xml:space="preserve"> </w:t>
            </w:r>
            <w:r>
              <w:rPr>
                <w:rFonts w:ascii="宋体" w:hAnsi="宋体" w:eastAsia="宋体" w:cs="宋体"/>
                <w:spacing w:val="-3"/>
                <w:sz w:val="19"/>
                <w:szCs w:val="19"/>
              </w:rPr>
              <w:t>页</w:t>
            </w:r>
          </w:p>
        </w:tc>
      </w:tr>
      <w:tr w14:paraId="4752F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jc w:val="center"/>
        </w:trPr>
        <w:tc>
          <w:tcPr>
            <w:tcW w:w="598" w:type="dxa"/>
            <w:tcBorders>
              <w:top w:val="single" w:color="000000" w:sz="10" w:space="0"/>
              <w:left w:val="single" w:color="000000" w:sz="10" w:space="0"/>
            </w:tcBorders>
            <w:vAlign w:val="top"/>
          </w:tcPr>
          <w:p w14:paraId="190458E2">
            <w:pPr>
              <w:spacing w:before="203" w:line="231" w:lineRule="auto"/>
              <w:ind w:left="102"/>
              <w:rPr>
                <w:rFonts w:ascii="宋体" w:hAnsi="宋体" w:eastAsia="宋体" w:cs="宋体"/>
                <w:sz w:val="19"/>
                <w:szCs w:val="19"/>
              </w:rPr>
            </w:pPr>
            <w:r>
              <w:rPr>
                <w:rFonts w:ascii="宋体" w:hAnsi="宋体" w:eastAsia="宋体" w:cs="宋体"/>
                <w:spacing w:val="3"/>
                <w:sz w:val="19"/>
                <w:szCs w:val="19"/>
              </w:rPr>
              <w:t>序号</w:t>
            </w:r>
          </w:p>
        </w:tc>
        <w:tc>
          <w:tcPr>
            <w:tcW w:w="1389" w:type="dxa"/>
            <w:tcBorders>
              <w:top w:val="single" w:color="000000" w:sz="10" w:space="0"/>
            </w:tcBorders>
            <w:vAlign w:val="top"/>
          </w:tcPr>
          <w:p w14:paraId="7559F7DC">
            <w:pPr>
              <w:spacing w:before="203" w:line="230" w:lineRule="auto"/>
              <w:ind w:left="309"/>
              <w:rPr>
                <w:rFonts w:ascii="宋体" w:hAnsi="宋体" w:eastAsia="宋体" w:cs="宋体"/>
                <w:sz w:val="19"/>
                <w:szCs w:val="19"/>
              </w:rPr>
            </w:pPr>
            <w:r>
              <w:rPr>
                <w:rFonts w:ascii="宋体" w:hAnsi="宋体" w:eastAsia="宋体" w:cs="宋体"/>
                <w:spacing w:val="3"/>
                <w:sz w:val="19"/>
                <w:szCs w:val="19"/>
              </w:rPr>
              <w:t>项目编码</w:t>
            </w:r>
          </w:p>
        </w:tc>
        <w:tc>
          <w:tcPr>
            <w:tcW w:w="1837" w:type="dxa"/>
            <w:tcBorders>
              <w:top w:val="single" w:color="000000" w:sz="10" w:space="0"/>
            </w:tcBorders>
            <w:vAlign w:val="top"/>
          </w:tcPr>
          <w:p w14:paraId="013FC502">
            <w:pPr>
              <w:spacing w:before="204" w:line="230" w:lineRule="auto"/>
              <w:ind w:left="536"/>
              <w:rPr>
                <w:rFonts w:ascii="宋体" w:hAnsi="宋体" w:eastAsia="宋体" w:cs="宋体"/>
                <w:sz w:val="19"/>
                <w:szCs w:val="19"/>
              </w:rPr>
            </w:pPr>
            <w:r>
              <w:rPr>
                <w:rFonts w:ascii="宋体" w:hAnsi="宋体" w:eastAsia="宋体" w:cs="宋体"/>
                <w:spacing w:val="3"/>
                <w:sz w:val="19"/>
                <w:szCs w:val="19"/>
              </w:rPr>
              <w:t>项目名称</w:t>
            </w:r>
          </w:p>
        </w:tc>
        <w:tc>
          <w:tcPr>
            <w:tcW w:w="1613" w:type="dxa"/>
            <w:gridSpan w:val="2"/>
            <w:tcBorders>
              <w:top w:val="single" w:color="000000" w:sz="10" w:space="0"/>
            </w:tcBorders>
            <w:vAlign w:val="top"/>
          </w:tcPr>
          <w:p w14:paraId="533EA311">
            <w:pPr>
              <w:spacing w:before="203" w:line="230" w:lineRule="auto"/>
              <w:ind w:left="418"/>
              <w:rPr>
                <w:rFonts w:ascii="宋体" w:hAnsi="宋体" w:eastAsia="宋体" w:cs="宋体"/>
                <w:sz w:val="19"/>
                <w:szCs w:val="19"/>
              </w:rPr>
            </w:pPr>
            <w:r>
              <w:rPr>
                <w:rFonts w:ascii="宋体" w:hAnsi="宋体" w:eastAsia="宋体" w:cs="宋体"/>
                <w:spacing w:val="3"/>
                <w:sz w:val="19"/>
                <w:szCs w:val="19"/>
              </w:rPr>
              <w:t>基数说明</w:t>
            </w:r>
          </w:p>
        </w:tc>
        <w:tc>
          <w:tcPr>
            <w:tcW w:w="597" w:type="dxa"/>
            <w:tcBorders>
              <w:top w:val="single" w:color="000000" w:sz="10" w:space="0"/>
            </w:tcBorders>
            <w:vAlign w:val="top"/>
          </w:tcPr>
          <w:p w14:paraId="3FD45164">
            <w:pPr>
              <w:spacing w:before="113" w:line="211" w:lineRule="auto"/>
              <w:ind w:left="187" w:right="92" w:hanging="69"/>
              <w:rPr>
                <w:rFonts w:ascii="宋体" w:hAnsi="宋体" w:eastAsia="宋体" w:cs="宋体"/>
                <w:sz w:val="19"/>
                <w:szCs w:val="19"/>
              </w:rPr>
            </w:pPr>
            <w:r>
              <w:rPr>
                <w:rFonts w:ascii="宋体" w:hAnsi="宋体" w:eastAsia="宋体" w:cs="宋体"/>
                <w:spacing w:val="-3"/>
                <w:sz w:val="19"/>
                <w:szCs w:val="19"/>
              </w:rPr>
              <w:t>费率</w:t>
            </w:r>
            <w:r>
              <w:rPr>
                <w:rFonts w:ascii="宋体" w:hAnsi="宋体" w:eastAsia="宋体" w:cs="宋体"/>
                <w:sz w:val="19"/>
                <w:szCs w:val="19"/>
              </w:rPr>
              <w:t xml:space="preserve"> </w:t>
            </w:r>
            <w:r>
              <w:rPr>
                <w:rFonts w:ascii="宋体" w:hAnsi="宋体" w:eastAsia="宋体" w:cs="宋体"/>
                <w:spacing w:val="-5"/>
                <w:sz w:val="19"/>
                <w:szCs w:val="19"/>
              </w:rPr>
              <w:t>(%)</w:t>
            </w:r>
          </w:p>
        </w:tc>
        <w:tc>
          <w:tcPr>
            <w:tcW w:w="1224" w:type="dxa"/>
            <w:tcBorders>
              <w:top w:val="single" w:color="000000" w:sz="10" w:space="0"/>
            </w:tcBorders>
            <w:vAlign w:val="top"/>
          </w:tcPr>
          <w:p w14:paraId="5DAC8CB6">
            <w:pPr>
              <w:spacing w:before="113" w:line="210" w:lineRule="auto"/>
              <w:ind w:left="458" w:right="400" w:hanging="33"/>
              <w:rPr>
                <w:rFonts w:ascii="宋体" w:hAnsi="宋体" w:eastAsia="宋体" w:cs="宋体"/>
                <w:sz w:val="19"/>
                <w:szCs w:val="19"/>
              </w:rPr>
            </w:pPr>
            <w:r>
              <w:rPr>
                <w:rFonts w:ascii="宋体" w:hAnsi="宋体" w:eastAsia="宋体" w:cs="宋体"/>
                <w:spacing w:val="2"/>
                <w:sz w:val="19"/>
                <w:szCs w:val="19"/>
              </w:rPr>
              <w:t>金额</w:t>
            </w:r>
            <w:r>
              <w:rPr>
                <w:rFonts w:ascii="宋体" w:hAnsi="宋体" w:eastAsia="宋体" w:cs="宋体"/>
                <w:sz w:val="19"/>
                <w:szCs w:val="19"/>
              </w:rPr>
              <w:t xml:space="preserve"> </w:t>
            </w:r>
            <w:r>
              <w:rPr>
                <w:rFonts w:ascii="宋体" w:hAnsi="宋体" w:eastAsia="宋体" w:cs="宋体"/>
                <w:spacing w:val="-9"/>
                <w:sz w:val="19"/>
                <w:szCs w:val="19"/>
              </w:rPr>
              <w:t>(元)</w:t>
            </w:r>
          </w:p>
        </w:tc>
        <w:tc>
          <w:tcPr>
            <w:tcW w:w="866" w:type="dxa"/>
            <w:gridSpan w:val="2"/>
            <w:tcBorders>
              <w:top w:val="single" w:color="000000" w:sz="10" w:space="0"/>
            </w:tcBorders>
            <w:vAlign w:val="top"/>
          </w:tcPr>
          <w:p w14:paraId="287FAE9D">
            <w:pPr>
              <w:spacing w:before="114" w:line="209" w:lineRule="auto"/>
              <w:ind w:left="109" w:right="66" w:firstLine="140"/>
              <w:rPr>
                <w:rFonts w:ascii="宋体" w:hAnsi="宋体" w:eastAsia="宋体" w:cs="宋体"/>
                <w:sz w:val="19"/>
                <w:szCs w:val="19"/>
              </w:rPr>
            </w:pPr>
            <w:r>
              <w:rPr>
                <w:rFonts w:ascii="宋体" w:hAnsi="宋体" w:eastAsia="宋体" w:cs="宋体"/>
                <w:spacing w:val="2"/>
                <w:sz w:val="19"/>
                <w:szCs w:val="19"/>
              </w:rPr>
              <w:t>调整</w:t>
            </w:r>
            <w:r>
              <w:rPr>
                <w:rFonts w:ascii="宋体" w:hAnsi="宋体" w:eastAsia="宋体" w:cs="宋体"/>
                <w:sz w:val="19"/>
                <w:szCs w:val="19"/>
              </w:rPr>
              <w:t xml:space="preserve">  </w:t>
            </w:r>
            <w:r>
              <w:rPr>
                <w:rFonts w:ascii="宋体" w:hAnsi="宋体" w:eastAsia="宋体" w:cs="宋体"/>
                <w:spacing w:val="3"/>
                <w:sz w:val="19"/>
                <w:szCs w:val="19"/>
              </w:rPr>
              <w:t>费率(%)</w:t>
            </w:r>
          </w:p>
        </w:tc>
        <w:tc>
          <w:tcPr>
            <w:tcW w:w="1195" w:type="dxa"/>
            <w:tcBorders>
              <w:top w:val="single" w:color="000000" w:sz="10" w:space="0"/>
            </w:tcBorders>
            <w:vAlign w:val="top"/>
          </w:tcPr>
          <w:p w14:paraId="62A16CB7">
            <w:pPr>
              <w:spacing w:before="114" w:line="209" w:lineRule="auto"/>
              <w:ind w:left="221" w:right="185" w:firstLine="104"/>
              <w:rPr>
                <w:rFonts w:ascii="宋体" w:hAnsi="宋体" w:eastAsia="宋体" w:cs="宋体"/>
                <w:sz w:val="19"/>
                <w:szCs w:val="19"/>
              </w:rPr>
            </w:pPr>
            <w:r>
              <w:rPr>
                <w:rFonts w:ascii="宋体" w:hAnsi="宋体" w:eastAsia="宋体" w:cs="宋体"/>
                <w:spacing w:val="3"/>
                <w:sz w:val="19"/>
                <w:szCs w:val="19"/>
              </w:rPr>
              <w:t>调整后</w:t>
            </w:r>
            <w:r>
              <w:rPr>
                <w:rFonts w:ascii="宋体" w:hAnsi="宋体" w:eastAsia="宋体" w:cs="宋体"/>
                <w:sz w:val="19"/>
                <w:szCs w:val="19"/>
              </w:rPr>
              <w:t xml:space="preserve">  </w:t>
            </w:r>
            <w:r>
              <w:rPr>
                <w:rFonts w:ascii="宋体" w:hAnsi="宋体" w:eastAsia="宋体" w:cs="宋体"/>
                <w:spacing w:val="3"/>
                <w:sz w:val="19"/>
                <w:szCs w:val="19"/>
              </w:rPr>
              <w:t>金额(元)</w:t>
            </w:r>
          </w:p>
        </w:tc>
        <w:tc>
          <w:tcPr>
            <w:tcW w:w="1092" w:type="dxa"/>
            <w:tcBorders>
              <w:top w:val="single" w:color="000000" w:sz="10" w:space="0"/>
              <w:right w:val="single" w:color="000000" w:sz="10" w:space="0"/>
            </w:tcBorders>
            <w:vAlign w:val="top"/>
          </w:tcPr>
          <w:p w14:paraId="262BD69F">
            <w:pPr>
              <w:spacing w:before="203" w:line="231" w:lineRule="auto"/>
              <w:ind w:left="359"/>
              <w:rPr>
                <w:rFonts w:ascii="宋体" w:hAnsi="宋体" w:eastAsia="宋体" w:cs="宋体"/>
                <w:sz w:val="19"/>
                <w:szCs w:val="19"/>
              </w:rPr>
            </w:pPr>
            <w:r>
              <w:rPr>
                <w:rFonts w:ascii="宋体" w:hAnsi="宋体" w:eastAsia="宋体" w:cs="宋体"/>
                <w:spacing w:val="2"/>
                <w:sz w:val="19"/>
                <w:szCs w:val="19"/>
              </w:rPr>
              <w:t>备注</w:t>
            </w:r>
          </w:p>
        </w:tc>
      </w:tr>
      <w:tr w14:paraId="036E2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8" w:hRule="atLeast"/>
          <w:jc w:val="center"/>
        </w:trPr>
        <w:tc>
          <w:tcPr>
            <w:tcW w:w="598" w:type="dxa"/>
            <w:tcBorders>
              <w:left w:val="single" w:color="000000" w:sz="10" w:space="0"/>
            </w:tcBorders>
            <w:vAlign w:val="top"/>
          </w:tcPr>
          <w:p w14:paraId="0B758B3A">
            <w:pPr>
              <w:pStyle w:val="594"/>
              <w:spacing w:line="269" w:lineRule="auto"/>
            </w:pPr>
          </w:p>
          <w:p w14:paraId="4EE9EA01">
            <w:pPr>
              <w:pStyle w:val="594"/>
              <w:spacing w:line="270" w:lineRule="auto"/>
            </w:pPr>
          </w:p>
          <w:p w14:paraId="588D5A61">
            <w:pPr>
              <w:spacing w:before="61" w:line="188" w:lineRule="auto"/>
              <w:ind w:left="207"/>
              <w:rPr>
                <w:rFonts w:ascii="宋体" w:hAnsi="宋体" w:eastAsia="宋体" w:cs="宋体"/>
                <w:sz w:val="19"/>
                <w:szCs w:val="19"/>
              </w:rPr>
            </w:pPr>
            <w:r>
              <w:rPr>
                <w:rFonts w:ascii="宋体" w:hAnsi="宋体" w:eastAsia="宋体" w:cs="宋体"/>
                <w:spacing w:val="-2"/>
                <w:sz w:val="19"/>
                <w:szCs w:val="19"/>
              </w:rPr>
              <w:t>13</w:t>
            </w:r>
          </w:p>
        </w:tc>
        <w:tc>
          <w:tcPr>
            <w:tcW w:w="1389" w:type="dxa"/>
            <w:vAlign w:val="top"/>
          </w:tcPr>
          <w:p w14:paraId="5A05C0A9">
            <w:pPr>
              <w:pStyle w:val="594"/>
              <w:spacing w:line="269" w:lineRule="auto"/>
            </w:pPr>
          </w:p>
          <w:p w14:paraId="1CAE4A1E">
            <w:pPr>
              <w:pStyle w:val="594"/>
              <w:spacing w:line="270" w:lineRule="auto"/>
            </w:pPr>
          </w:p>
          <w:p w14:paraId="2E93E01D">
            <w:pPr>
              <w:spacing w:before="61" w:line="188" w:lineRule="auto"/>
              <w:ind w:left="67"/>
              <w:rPr>
                <w:rFonts w:ascii="宋体" w:hAnsi="宋体" w:eastAsia="宋体" w:cs="宋体"/>
                <w:sz w:val="19"/>
                <w:szCs w:val="19"/>
              </w:rPr>
            </w:pPr>
            <w:r>
              <w:rPr>
                <w:rFonts w:ascii="宋体" w:hAnsi="宋体" w:eastAsia="宋体" w:cs="宋体"/>
                <w:spacing w:val="8"/>
                <w:sz w:val="19"/>
                <w:szCs w:val="19"/>
              </w:rPr>
              <w:t>011707015001</w:t>
            </w:r>
          </w:p>
        </w:tc>
        <w:tc>
          <w:tcPr>
            <w:tcW w:w="1837" w:type="dxa"/>
            <w:vAlign w:val="top"/>
          </w:tcPr>
          <w:p w14:paraId="4B5AE782">
            <w:pPr>
              <w:pStyle w:val="594"/>
              <w:spacing w:line="253" w:lineRule="auto"/>
            </w:pPr>
          </w:p>
          <w:p w14:paraId="32000F51">
            <w:pPr>
              <w:pStyle w:val="594"/>
              <w:spacing w:line="253" w:lineRule="auto"/>
            </w:pPr>
          </w:p>
          <w:p w14:paraId="3BFBB9AD">
            <w:pPr>
              <w:spacing w:before="62" w:line="230" w:lineRule="auto"/>
              <w:ind w:left="29"/>
              <w:rPr>
                <w:rFonts w:ascii="宋体" w:hAnsi="宋体" w:eastAsia="宋体" w:cs="宋体"/>
                <w:sz w:val="19"/>
                <w:szCs w:val="19"/>
              </w:rPr>
            </w:pPr>
            <w:r>
              <w:rPr>
                <w:rFonts w:ascii="宋体" w:hAnsi="宋体" w:eastAsia="宋体" w:cs="宋体"/>
                <w:spacing w:val="3"/>
                <w:sz w:val="19"/>
                <w:szCs w:val="19"/>
              </w:rPr>
              <w:t>智慧工地费用</w:t>
            </w:r>
          </w:p>
        </w:tc>
        <w:tc>
          <w:tcPr>
            <w:tcW w:w="1613" w:type="dxa"/>
            <w:gridSpan w:val="2"/>
            <w:vAlign w:val="top"/>
          </w:tcPr>
          <w:p w14:paraId="2D3F809B">
            <w:pPr>
              <w:spacing w:before="183" w:line="197" w:lineRule="auto"/>
              <w:ind w:left="29" w:right="19" w:firstLine="1"/>
              <w:rPr>
                <w:rFonts w:ascii="宋体" w:hAnsi="宋体" w:eastAsia="宋体" w:cs="宋体"/>
                <w:sz w:val="19"/>
                <w:szCs w:val="19"/>
              </w:rPr>
            </w:pPr>
            <w:r>
              <w:rPr>
                <w:rFonts w:ascii="宋体" w:hAnsi="宋体" w:eastAsia="宋体" w:cs="宋体"/>
                <w:spacing w:val="4"/>
                <w:sz w:val="19"/>
                <w:szCs w:val="19"/>
              </w:rPr>
              <w:t>分部分项合计+技</w:t>
            </w:r>
            <w:r>
              <w:rPr>
                <w:rFonts w:ascii="宋体" w:hAnsi="宋体" w:eastAsia="宋体" w:cs="宋体"/>
                <w:spacing w:val="1"/>
                <w:sz w:val="19"/>
                <w:szCs w:val="19"/>
              </w:rPr>
              <w:t xml:space="preserve">  </w:t>
            </w:r>
            <w:r>
              <w:rPr>
                <w:rFonts w:ascii="宋体" w:hAnsi="宋体" w:eastAsia="宋体" w:cs="宋体"/>
                <w:spacing w:val="3"/>
                <w:sz w:val="19"/>
                <w:szCs w:val="19"/>
              </w:rPr>
              <w:t>术措施项目合计-</w:t>
            </w:r>
            <w:r>
              <w:rPr>
                <w:rFonts w:ascii="宋体" w:hAnsi="宋体" w:eastAsia="宋体" w:cs="宋体"/>
                <w:spacing w:val="1"/>
                <w:sz w:val="19"/>
                <w:szCs w:val="19"/>
              </w:rPr>
              <w:t xml:space="preserve">  </w:t>
            </w:r>
            <w:r>
              <w:rPr>
                <w:rFonts w:ascii="宋体" w:hAnsi="宋体" w:eastAsia="宋体" w:cs="宋体"/>
                <w:spacing w:val="3"/>
                <w:sz w:val="19"/>
                <w:szCs w:val="19"/>
              </w:rPr>
              <w:t>分部分项设备费-</w:t>
            </w:r>
            <w:r>
              <w:rPr>
                <w:rFonts w:ascii="宋体" w:hAnsi="宋体" w:eastAsia="宋体" w:cs="宋体"/>
                <w:spacing w:val="1"/>
                <w:sz w:val="19"/>
                <w:szCs w:val="19"/>
              </w:rPr>
              <w:t xml:space="preserve">  </w:t>
            </w:r>
            <w:r>
              <w:rPr>
                <w:rFonts w:ascii="宋体" w:hAnsi="宋体" w:eastAsia="宋体" w:cs="宋体"/>
                <w:spacing w:val="4"/>
                <w:sz w:val="19"/>
                <w:szCs w:val="19"/>
              </w:rPr>
              <w:t>技术措施项目设备</w:t>
            </w:r>
            <w:r>
              <w:rPr>
                <w:rFonts w:ascii="宋体" w:hAnsi="宋体" w:eastAsia="宋体" w:cs="宋体"/>
                <w:sz w:val="19"/>
                <w:szCs w:val="19"/>
              </w:rPr>
              <w:t xml:space="preserve"> </w:t>
            </w:r>
            <w:r>
              <w:rPr>
                <w:rFonts w:ascii="宋体" w:hAnsi="宋体" w:eastAsia="宋体" w:cs="宋体"/>
                <w:spacing w:val="1"/>
                <w:sz w:val="19"/>
                <w:szCs w:val="19"/>
              </w:rPr>
              <w:t>费</w:t>
            </w:r>
          </w:p>
        </w:tc>
        <w:tc>
          <w:tcPr>
            <w:tcW w:w="597" w:type="dxa"/>
            <w:vAlign w:val="top"/>
          </w:tcPr>
          <w:p w14:paraId="5F430AD4">
            <w:pPr>
              <w:pStyle w:val="594"/>
              <w:spacing w:line="269" w:lineRule="auto"/>
            </w:pPr>
          </w:p>
          <w:p w14:paraId="5FC6A63D">
            <w:pPr>
              <w:pStyle w:val="594"/>
              <w:spacing w:line="270" w:lineRule="auto"/>
            </w:pPr>
          </w:p>
          <w:p w14:paraId="61D756D0">
            <w:pPr>
              <w:spacing w:before="61" w:line="188" w:lineRule="auto"/>
              <w:ind w:left="94"/>
              <w:rPr>
                <w:rFonts w:ascii="宋体" w:hAnsi="宋体" w:eastAsia="宋体" w:cs="宋体"/>
                <w:sz w:val="19"/>
                <w:szCs w:val="19"/>
              </w:rPr>
            </w:pPr>
            <w:r>
              <w:rPr>
                <w:rFonts w:ascii="宋体" w:hAnsi="宋体" w:eastAsia="宋体" w:cs="宋体"/>
                <w:spacing w:val="6"/>
                <w:sz w:val="19"/>
                <w:szCs w:val="19"/>
              </w:rPr>
              <w:t>0.08</w:t>
            </w:r>
          </w:p>
        </w:tc>
        <w:tc>
          <w:tcPr>
            <w:tcW w:w="1224" w:type="dxa"/>
            <w:vAlign w:val="top"/>
          </w:tcPr>
          <w:p w14:paraId="204C89E8">
            <w:pPr>
              <w:pStyle w:val="594"/>
            </w:pPr>
          </w:p>
        </w:tc>
        <w:tc>
          <w:tcPr>
            <w:tcW w:w="866" w:type="dxa"/>
            <w:gridSpan w:val="2"/>
            <w:vAlign w:val="top"/>
          </w:tcPr>
          <w:p w14:paraId="23E737C4">
            <w:pPr>
              <w:pStyle w:val="594"/>
            </w:pPr>
          </w:p>
        </w:tc>
        <w:tc>
          <w:tcPr>
            <w:tcW w:w="1195" w:type="dxa"/>
            <w:vAlign w:val="top"/>
          </w:tcPr>
          <w:p w14:paraId="6A524E4A">
            <w:pPr>
              <w:pStyle w:val="594"/>
            </w:pPr>
          </w:p>
        </w:tc>
        <w:tc>
          <w:tcPr>
            <w:tcW w:w="1092" w:type="dxa"/>
            <w:tcBorders>
              <w:right w:val="single" w:color="000000" w:sz="10" w:space="0"/>
            </w:tcBorders>
            <w:vAlign w:val="top"/>
          </w:tcPr>
          <w:p w14:paraId="205BF13E">
            <w:pPr>
              <w:pStyle w:val="594"/>
            </w:pPr>
          </w:p>
        </w:tc>
      </w:tr>
      <w:tr w14:paraId="23917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8" w:hRule="atLeast"/>
          <w:jc w:val="center"/>
        </w:trPr>
        <w:tc>
          <w:tcPr>
            <w:tcW w:w="598" w:type="dxa"/>
            <w:tcBorders>
              <w:left w:val="single" w:color="000000" w:sz="10" w:space="0"/>
            </w:tcBorders>
            <w:vAlign w:val="top"/>
          </w:tcPr>
          <w:p w14:paraId="6513811A">
            <w:pPr>
              <w:pStyle w:val="594"/>
              <w:spacing w:line="269" w:lineRule="auto"/>
            </w:pPr>
          </w:p>
          <w:p w14:paraId="55D4A269">
            <w:pPr>
              <w:pStyle w:val="594"/>
              <w:spacing w:line="269" w:lineRule="auto"/>
            </w:pPr>
          </w:p>
          <w:p w14:paraId="0E7FB032">
            <w:pPr>
              <w:spacing w:before="62" w:line="188" w:lineRule="auto"/>
              <w:ind w:left="207"/>
              <w:rPr>
                <w:rFonts w:ascii="宋体" w:hAnsi="宋体" w:eastAsia="宋体" w:cs="宋体"/>
                <w:sz w:val="19"/>
                <w:szCs w:val="19"/>
              </w:rPr>
            </w:pPr>
            <w:r>
              <w:rPr>
                <w:rFonts w:ascii="宋体" w:hAnsi="宋体" w:eastAsia="宋体" w:cs="宋体"/>
                <w:spacing w:val="-2"/>
                <w:sz w:val="19"/>
                <w:szCs w:val="19"/>
              </w:rPr>
              <w:t>14</w:t>
            </w:r>
          </w:p>
        </w:tc>
        <w:tc>
          <w:tcPr>
            <w:tcW w:w="1389" w:type="dxa"/>
            <w:vAlign w:val="top"/>
          </w:tcPr>
          <w:p w14:paraId="639681D4">
            <w:pPr>
              <w:pStyle w:val="594"/>
              <w:spacing w:line="269" w:lineRule="auto"/>
            </w:pPr>
          </w:p>
          <w:p w14:paraId="4E2039DC">
            <w:pPr>
              <w:pStyle w:val="594"/>
              <w:spacing w:line="270" w:lineRule="auto"/>
            </w:pPr>
          </w:p>
          <w:p w14:paraId="689A6B77">
            <w:pPr>
              <w:spacing w:before="61" w:line="188" w:lineRule="auto"/>
              <w:ind w:left="67"/>
              <w:rPr>
                <w:rFonts w:ascii="宋体" w:hAnsi="宋体" w:eastAsia="宋体" w:cs="宋体"/>
                <w:sz w:val="19"/>
                <w:szCs w:val="19"/>
              </w:rPr>
            </w:pPr>
            <w:r>
              <w:rPr>
                <w:rFonts w:ascii="宋体" w:hAnsi="宋体" w:eastAsia="宋体" w:cs="宋体"/>
                <w:spacing w:val="8"/>
                <w:sz w:val="19"/>
                <w:szCs w:val="19"/>
              </w:rPr>
              <w:t>011707013001</w:t>
            </w:r>
          </w:p>
        </w:tc>
        <w:tc>
          <w:tcPr>
            <w:tcW w:w="1837" w:type="dxa"/>
            <w:vAlign w:val="top"/>
          </w:tcPr>
          <w:p w14:paraId="52CF3918">
            <w:pPr>
              <w:pStyle w:val="594"/>
              <w:spacing w:line="252" w:lineRule="auto"/>
            </w:pPr>
          </w:p>
          <w:p w14:paraId="252AF2D5">
            <w:pPr>
              <w:pStyle w:val="594"/>
              <w:spacing w:line="253" w:lineRule="auto"/>
            </w:pPr>
          </w:p>
          <w:p w14:paraId="35C9EA6C">
            <w:pPr>
              <w:spacing w:before="62" w:line="230" w:lineRule="auto"/>
              <w:ind w:left="24"/>
              <w:rPr>
                <w:rFonts w:ascii="宋体" w:hAnsi="宋体" w:eastAsia="宋体" w:cs="宋体"/>
                <w:sz w:val="19"/>
                <w:szCs w:val="19"/>
              </w:rPr>
            </w:pPr>
            <w:r>
              <w:rPr>
                <w:rFonts w:ascii="宋体" w:hAnsi="宋体" w:eastAsia="宋体" w:cs="宋体"/>
                <w:spacing w:val="4"/>
                <w:sz w:val="19"/>
                <w:szCs w:val="19"/>
              </w:rPr>
              <w:t>特殊施工降效</w:t>
            </w:r>
          </w:p>
        </w:tc>
        <w:tc>
          <w:tcPr>
            <w:tcW w:w="1613" w:type="dxa"/>
            <w:gridSpan w:val="2"/>
            <w:vAlign w:val="top"/>
          </w:tcPr>
          <w:p w14:paraId="6A36BABF">
            <w:pPr>
              <w:spacing w:before="183" w:line="197" w:lineRule="auto"/>
              <w:ind w:left="29" w:right="19" w:firstLine="1"/>
              <w:rPr>
                <w:rFonts w:ascii="宋体" w:hAnsi="宋体" w:eastAsia="宋体" w:cs="宋体"/>
                <w:sz w:val="19"/>
                <w:szCs w:val="19"/>
              </w:rPr>
            </w:pPr>
            <w:r>
              <w:rPr>
                <w:rFonts w:ascii="宋体" w:hAnsi="宋体" w:eastAsia="宋体" w:cs="宋体"/>
                <w:spacing w:val="4"/>
                <w:sz w:val="19"/>
                <w:szCs w:val="19"/>
              </w:rPr>
              <w:t>分部分项合计+技</w:t>
            </w:r>
            <w:r>
              <w:rPr>
                <w:rFonts w:ascii="宋体" w:hAnsi="宋体" w:eastAsia="宋体" w:cs="宋体"/>
                <w:spacing w:val="1"/>
                <w:sz w:val="19"/>
                <w:szCs w:val="19"/>
              </w:rPr>
              <w:t xml:space="preserve">  </w:t>
            </w:r>
            <w:r>
              <w:rPr>
                <w:rFonts w:ascii="宋体" w:hAnsi="宋体" w:eastAsia="宋体" w:cs="宋体"/>
                <w:spacing w:val="3"/>
                <w:sz w:val="19"/>
                <w:szCs w:val="19"/>
              </w:rPr>
              <w:t>术措施项目合计-</w:t>
            </w:r>
            <w:r>
              <w:rPr>
                <w:rFonts w:ascii="宋体" w:hAnsi="宋体" w:eastAsia="宋体" w:cs="宋体"/>
                <w:spacing w:val="1"/>
                <w:sz w:val="19"/>
                <w:szCs w:val="19"/>
              </w:rPr>
              <w:t xml:space="preserve">  </w:t>
            </w:r>
            <w:r>
              <w:rPr>
                <w:rFonts w:ascii="宋体" w:hAnsi="宋体" w:eastAsia="宋体" w:cs="宋体"/>
                <w:spacing w:val="3"/>
                <w:sz w:val="19"/>
                <w:szCs w:val="19"/>
              </w:rPr>
              <w:t>分部分项设备费-</w:t>
            </w:r>
            <w:r>
              <w:rPr>
                <w:rFonts w:ascii="宋体" w:hAnsi="宋体" w:eastAsia="宋体" w:cs="宋体"/>
                <w:spacing w:val="1"/>
                <w:sz w:val="19"/>
                <w:szCs w:val="19"/>
              </w:rPr>
              <w:t xml:space="preserve">  </w:t>
            </w:r>
            <w:r>
              <w:rPr>
                <w:rFonts w:ascii="宋体" w:hAnsi="宋体" w:eastAsia="宋体" w:cs="宋体"/>
                <w:spacing w:val="4"/>
                <w:sz w:val="19"/>
                <w:szCs w:val="19"/>
              </w:rPr>
              <w:t>技术措施项目设备</w:t>
            </w:r>
            <w:r>
              <w:rPr>
                <w:rFonts w:ascii="宋体" w:hAnsi="宋体" w:eastAsia="宋体" w:cs="宋体"/>
                <w:sz w:val="19"/>
                <w:szCs w:val="19"/>
              </w:rPr>
              <w:t xml:space="preserve"> </w:t>
            </w:r>
            <w:r>
              <w:rPr>
                <w:rFonts w:ascii="宋体" w:hAnsi="宋体" w:eastAsia="宋体" w:cs="宋体"/>
                <w:spacing w:val="1"/>
                <w:sz w:val="19"/>
                <w:szCs w:val="19"/>
              </w:rPr>
              <w:t>费</w:t>
            </w:r>
          </w:p>
        </w:tc>
        <w:tc>
          <w:tcPr>
            <w:tcW w:w="597" w:type="dxa"/>
            <w:vAlign w:val="top"/>
          </w:tcPr>
          <w:p w14:paraId="24685673">
            <w:pPr>
              <w:pStyle w:val="594"/>
              <w:spacing w:line="269" w:lineRule="auto"/>
            </w:pPr>
          </w:p>
          <w:p w14:paraId="534F88A4">
            <w:pPr>
              <w:pStyle w:val="594"/>
              <w:spacing w:line="270" w:lineRule="auto"/>
            </w:pPr>
          </w:p>
          <w:p w14:paraId="0CD56469">
            <w:pPr>
              <w:spacing w:before="61" w:line="188" w:lineRule="auto"/>
              <w:ind w:left="259"/>
              <w:rPr>
                <w:rFonts w:ascii="宋体" w:hAnsi="宋体" w:eastAsia="宋体" w:cs="宋体"/>
                <w:sz w:val="19"/>
                <w:szCs w:val="19"/>
              </w:rPr>
            </w:pPr>
            <w:r>
              <w:rPr>
                <w:rFonts w:ascii="宋体" w:hAnsi="宋体" w:eastAsia="宋体" w:cs="宋体"/>
                <w:sz w:val="19"/>
                <w:szCs w:val="19"/>
              </w:rPr>
              <w:t>0</w:t>
            </w:r>
          </w:p>
        </w:tc>
        <w:tc>
          <w:tcPr>
            <w:tcW w:w="1224" w:type="dxa"/>
            <w:vAlign w:val="top"/>
          </w:tcPr>
          <w:p w14:paraId="1F825C12">
            <w:pPr>
              <w:pStyle w:val="594"/>
            </w:pPr>
          </w:p>
        </w:tc>
        <w:tc>
          <w:tcPr>
            <w:tcW w:w="866" w:type="dxa"/>
            <w:gridSpan w:val="2"/>
            <w:vAlign w:val="top"/>
          </w:tcPr>
          <w:p w14:paraId="7CEC8270">
            <w:pPr>
              <w:pStyle w:val="594"/>
            </w:pPr>
          </w:p>
        </w:tc>
        <w:tc>
          <w:tcPr>
            <w:tcW w:w="1195" w:type="dxa"/>
            <w:vAlign w:val="top"/>
          </w:tcPr>
          <w:p w14:paraId="322C0667">
            <w:pPr>
              <w:pStyle w:val="594"/>
            </w:pPr>
          </w:p>
        </w:tc>
        <w:tc>
          <w:tcPr>
            <w:tcW w:w="1092" w:type="dxa"/>
            <w:tcBorders>
              <w:right w:val="single" w:color="000000" w:sz="10" w:space="0"/>
            </w:tcBorders>
            <w:vAlign w:val="top"/>
          </w:tcPr>
          <w:p w14:paraId="30ED19E3">
            <w:pPr>
              <w:pStyle w:val="594"/>
            </w:pPr>
          </w:p>
        </w:tc>
      </w:tr>
      <w:tr w14:paraId="2EF91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8" w:hRule="atLeast"/>
          <w:jc w:val="center"/>
        </w:trPr>
        <w:tc>
          <w:tcPr>
            <w:tcW w:w="598" w:type="dxa"/>
            <w:tcBorders>
              <w:left w:val="single" w:color="000000" w:sz="10" w:space="0"/>
            </w:tcBorders>
            <w:vAlign w:val="top"/>
          </w:tcPr>
          <w:p w14:paraId="70174B70">
            <w:pPr>
              <w:pStyle w:val="594"/>
              <w:spacing w:line="269" w:lineRule="auto"/>
            </w:pPr>
          </w:p>
          <w:p w14:paraId="1A2E0FAC">
            <w:pPr>
              <w:pStyle w:val="594"/>
              <w:spacing w:line="269" w:lineRule="auto"/>
            </w:pPr>
          </w:p>
          <w:p w14:paraId="6C0C2CCD">
            <w:pPr>
              <w:spacing w:before="62" w:line="188" w:lineRule="auto"/>
              <w:ind w:left="207"/>
              <w:rPr>
                <w:rFonts w:ascii="宋体" w:hAnsi="宋体" w:eastAsia="宋体" w:cs="宋体"/>
                <w:sz w:val="19"/>
                <w:szCs w:val="19"/>
              </w:rPr>
            </w:pPr>
            <w:r>
              <w:rPr>
                <w:rFonts w:ascii="宋体" w:hAnsi="宋体" w:eastAsia="宋体" w:cs="宋体"/>
                <w:spacing w:val="-2"/>
                <w:sz w:val="19"/>
                <w:szCs w:val="19"/>
              </w:rPr>
              <w:t>15</w:t>
            </w:r>
          </w:p>
        </w:tc>
        <w:tc>
          <w:tcPr>
            <w:tcW w:w="1389" w:type="dxa"/>
            <w:vAlign w:val="top"/>
          </w:tcPr>
          <w:p w14:paraId="42C0C667">
            <w:pPr>
              <w:pStyle w:val="594"/>
              <w:spacing w:line="269" w:lineRule="auto"/>
            </w:pPr>
          </w:p>
          <w:p w14:paraId="043BD9F1">
            <w:pPr>
              <w:pStyle w:val="594"/>
              <w:spacing w:line="269" w:lineRule="auto"/>
            </w:pPr>
          </w:p>
          <w:p w14:paraId="7CC13781">
            <w:pPr>
              <w:spacing w:before="62" w:line="188" w:lineRule="auto"/>
              <w:ind w:left="67"/>
              <w:rPr>
                <w:rFonts w:ascii="宋体" w:hAnsi="宋体" w:eastAsia="宋体" w:cs="宋体"/>
                <w:sz w:val="19"/>
                <w:szCs w:val="19"/>
              </w:rPr>
            </w:pPr>
            <w:r>
              <w:rPr>
                <w:rFonts w:ascii="宋体" w:hAnsi="宋体" w:eastAsia="宋体" w:cs="宋体"/>
                <w:spacing w:val="8"/>
                <w:sz w:val="19"/>
                <w:szCs w:val="19"/>
              </w:rPr>
              <w:t>011707014001</w:t>
            </w:r>
          </w:p>
        </w:tc>
        <w:tc>
          <w:tcPr>
            <w:tcW w:w="1837" w:type="dxa"/>
            <w:vAlign w:val="top"/>
          </w:tcPr>
          <w:p w14:paraId="101938A1">
            <w:pPr>
              <w:pStyle w:val="594"/>
              <w:spacing w:line="252" w:lineRule="auto"/>
            </w:pPr>
          </w:p>
          <w:p w14:paraId="6934706A">
            <w:pPr>
              <w:pStyle w:val="594"/>
              <w:spacing w:line="253" w:lineRule="auto"/>
            </w:pPr>
          </w:p>
          <w:p w14:paraId="1C298939">
            <w:pPr>
              <w:spacing w:before="62" w:line="230" w:lineRule="auto"/>
              <w:ind w:left="25"/>
              <w:rPr>
                <w:rFonts w:ascii="宋体" w:hAnsi="宋体" w:eastAsia="宋体" w:cs="宋体"/>
                <w:sz w:val="19"/>
                <w:szCs w:val="19"/>
              </w:rPr>
            </w:pPr>
            <w:r>
              <w:rPr>
                <w:rFonts w:ascii="宋体" w:hAnsi="宋体" w:eastAsia="宋体" w:cs="宋体"/>
                <w:spacing w:val="3"/>
                <w:sz w:val="19"/>
                <w:szCs w:val="19"/>
              </w:rPr>
              <w:t>协管费</w:t>
            </w:r>
          </w:p>
        </w:tc>
        <w:tc>
          <w:tcPr>
            <w:tcW w:w="1613" w:type="dxa"/>
            <w:gridSpan w:val="2"/>
            <w:vAlign w:val="top"/>
          </w:tcPr>
          <w:p w14:paraId="14C4A402">
            <w:pPr>
              <w:spacing w:before="183" w:line="197" w:lineRule="auto"/>
              <w:ind w:left="29" w:right="19" w:firstLine="1"/>
              <w:rPr>
                <w:rFonts w:ascii="宋体" w:hAnsi="宋体" w:eastAsia="宋体" w:cs="宋体"/>
                <w:sz w:val="19"/>
                <w:szCs w:val="19"/>
              </w:rPr>
            </w:pPr>
            <w:r>
              <w:rPr>
                <w:rFonts w:ascii="宋体" w:hAnsi="宋体" w:eastAsia="宋体" w:cs="宋体"/>
                <w:spacing w:val="4"/>
                <w:sz w:val="19"/>
                <w:szCs w:val="19"/>
              </w:rPr>
              <w:t>分部分项合计+技</w:t>
            </w:r>
            <w:r>
              <w:rPr>
                <w:rFonts w:ascii="宋体" w:hAnsi="宋体" w:eastAsia="宋体" w:cs="宋体"/>
                <w:spacing w:val="1"/>
                <w:sz w:val="19"/>
                <w:szCs w:val="19"/>
              </w:rPr>
              <w:t xml:space="preserve">  </w:t>
            </w:r>
            <w:r>
              <w:rPr>
                <w:rFonts w:ascii="宋体" w:hAnsi="宋体" w:eastAsia="宋体" w:cs="宋体"/>
                <w:spacing w:val="3"/>
                <w:sz w:val="19"/>
                <w:szCs w:val="19"/>
              </w:rPr>
              <w:t>术措施项目合计-</w:t>
            </w:r>
            <w:r>
              <w:rPr>
                <w:rFonts w:ascii="宋体" w:hAnsi="宋体" w:eastAsia="宋体" w:cs="宋体"/>
                <w:spacing w:val="1"/>
                <w:sz w:val="19"/>
                <w:szCs w:val="19"/>
              </w:rPr>
              <w:t xml:space="preserve">  </w:t>
            </w:r>
            <w:r>
              <w:rPr>
                <w:rFonts w:ascii="宋体" w:hAnsi="宋体" w:eastAsia="宋体" w:cs="宋体"/>
                <w:spacing w:val="3"/>
                <w:sz w:val="19"/>
                <w:szCs w:val="19"/>
              </w:rPr>
              <w:t>分部分项设备费-</w:t>
            </w:r>
            <w:r>
              <w:rPr>
                <w:rFonts w:ascii="宋体" w:hAnsi="宋体" w:eastAsia="宋体" w:cs="宋体"/>
                <w:spacing w:val="1"/>
                <w:sz w:val="19"/>
                <w:szCs w:val="19"/>
              </w:rPr>
              <w:t xml:space="preserve">  </w:t>
            </w:r>
            <w:r>
              <w:rPr>
                <w:rFonts w:ascii="宋体" w:hAnsi="宋体" w:eastAsia="宋体" w:cs="宋体"/>
                <w:spacing w:val="4"/>
                <w:sz w:val="19"/>
                <w:szCs w:val="19"/>
              </w:rPr>
              <w:t>技术措施项目设备</w:t>
            </w:r>
            <w:r>
              <w:rPr>
                <w:rFonts w:ascii="宋体" w:hAnsi="宋体" w:eastAsia="宋体" w:cs="宋体"/>
                <w:sz w:val="19"/>
                <w:szCs w:val="19"/>
              </w:rPr>
              <w:t xml:space="preserve"> </w:t>
            </w:r>
            <w:r>
              <w:rPr>
                <w:rFonts w:ascii="宋体" w:hAnsi="宋体" w:eastAsia="宋体" w:cs="宋体"/>
                <w:spacing w:val="1"/>
                <w:sz w:val="19"/>
                <w:szCs w:val="19"/>
              </w:rPr>
              <w:t>费</w:t>
            </w:r>
          </w:p>
        </w:tc>
        <w:tc>
          <w:tcPr>
            <w:tcW w:w="597" w:type="dxa"/>
            <w:vAlign w:val="top"/>
          </w:tcPr>
          <w:p w14:paraId="272C8498">
            <w:pPr>
              <w:pStyle w:val="594"/>
              <w:spacing w:line="269" w:lineRule="auto"/>
            </w:pPr>
          </w:p>
          <w:p w14:paraId="3A8617AB">
            <w:pPr>
              <w:pStyle w:val="594"/>
              <w:spacing w:line="269" w:lineRule="auto"/>
            </w:pPr>
          </w:p>
          <w:p w14:paraId="212299B5">
            <w:pPr>
              <w:spacing w:before="62" w:line="188" w:lineRule="auto"/>
              <w:ind w:left="259"/>
              <w:rPr>
                <w:rFonts w:ascii="宋体" w:hAnsi="宋体" w:eastAsia="宋体" w:cs="宋体"/>
                <w:sz w:val="19"/>
                <w:szCs w:val="19"/>
              </w:rPr>
            </w:pPr>
            <w:r>
              <w:rPr>
                <w:rFonts w:ascii="宋体" w:hAnsi="宋体" w:eastAsia="宋体" w:cs="宋体"/>
                <w:sz w:val="19"/>
                <w:szCs w:val="19"/>
              </w:rPr>
              <w:t>0</w:t>
            </w:r>
          </w:p>
        </w:tc>
        <w:tc>
          <w:tcPr>
            <w:tcW w:w="1224" w:type="dxa"/>
            <w:vAlign w:val="top"/>
          </w:tcPr>
          <w:p w14:paraId="252279CF">
            <w:pPr>
              <w:pStyle w:val="594"/>
            </w:pPr>
          </w:p>
        </w:tc>
        <w:tc>
          <w:tcPr>
            <w:tcW w:w="866" w:type="dxa"/>
            <w:gridSpan w:val="2"/>
            <w:vAlign w:val="top"/>
          </w:tcPr>
          <w:p w14:paraId="7CA3B051">
            <w:pPr>
              <w:pStyle w:val="594"/>
            </w:pPr>
          </w:p>
        </w:tc>
        <w:tc>
          <w:tcPr>
            <w:tcW w:w="1195" w:type="dxa"/>
            <w:vAlign w:val="top"/>
          </w:tcPr>
          <w:p w14:paraId="78E7D11D">
            <w:pPr>
              <w:pStyle w:val="594"/>
            </w:pPr>
          </w:p>
        </w:tc>
        <w:tc>
          <w:tcPr>
            <w:tcW w:w="1092" w:type="dxa"/>
            <w:tcBorders>
              <w:right w:val="single" w:color="000000" w:sz="10" w:space="0"/>
            </w:tcBorders>
            <w:vAlign w:val="top"/>
          </w:tcPr>
          <w:p w14:paraId="46A40FBE">
            <w:pPr>
              <w:pStyle w:val="594"/>
            </w:pPr>
          </w:p>
        </w:tc>
      </w:tr>
      <w:tr w14:paraId="46595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jc w:val="center"/>
        </w:trPr>
        <w:tc>
          <w:tcPr>
            <w:tcW w:w="598" w:type="dxa"/>
            <w:tcBorders>
              <w:left w:val="single" w:color="000000" w:sz="10" w:space="0"/>
            </w:tcBorders>
            <w:vAlign w:val="top"/>
          </w:tcPr>
          <w:p w14:paraId="58A43478">
            <w:pPr>
              <w:pStyle w:val="594"/>
            </w:pPr>
          </w:p>
        </w:tc>
        <w:tc>
          <w:tcPr>
            <w:tcW w:w="1389" w:type="dxa"/>
            <w:vAlign w:val="top"/>
          </w:tcPr>
          <w:p w14:paraId="6E1B854D">
            <w:pPr>
              <w:pStyle w:val="594"/>
            </w:pPr>
          </w:p>
        </w:tc>
        <w:tc>
          <w:tcPr>
            <w:tcW w:w="1837" w:type="dxa"/>
            <w:vAlign w:val="top"/>
          </w:tcPr>
          <w:p w14:paraId="7E56EE64">
            <w:pPr>
              <w:pStyle w:val="594"/>
            </w:pPr>
          </w:p>
        </w:tc>
        <w:tc>
          <w:tcPr>
            <w:tcW w:w="1613" w:type="dxa"/>
            <w:gridSpan w:val="2"/>
            <w:vAlign w:val="top"/>
          </w:tcPr>
          <w:p w14:paraId="4C4DD20C">
            <w:pPr>
              <w:pStyle w:val="594"/>
            </w:pPr>
          </w:p>
        </w:tc>
        <w:tc>
          <w:tcPr>
            <w:tcW w:w="597" w:type="dxa"/>
            <w:vAlign w:val="top"/>
          </w:tcPr>
          <w:p w14:paraId="25607F9E">
            <w:pPr>
              <w:pStyle w:val="594"/>
            </w:pPr>
          </w:p>
        </w:tc>
        <w:tc>
          <w:tcPr>
            <w:tcW w:w="1224" w:type="dxa"/>
            <w:vAlign w:val="top"/>
          </w:tcPr>
          <w:p w14:paraId="7992AFBB">
            <w:pPr>
              <w:pStyle w:val="594"/>
            </w:pPr>
          </w:p>
        </w:tc>
        <w:tc>
          <w:tcPr>
            <w:tcW w:w="866" w:type="dxa"/>
            <w:gridSpan w:val="2"/>
            <w:vAlign w:val="top"/>
          </w:tcPr>
          <w:p w14:paraId="6D0B079D">
            <w:pPr>
              <w:pStyle w:val="594"/>
            </w:pPr>
          </w:p>
        </w:tc>
        <w:tc>
          <w:tcPr>
            <w:tcW w:w="1195" w:type="dxa"/>
            <w:vAlign w:val="top"/>
          </w:tcPr>
          <w:p w14:paraId="06F2A8C4">
            <w:pPr>
              <w:pStyle w:val="594"/>
            </w:pPr>
          </w:p>
        </w:tc>
        <w:tc>
          <w:tcPr>
            <w:tcW w:w="1092" w:type="dxa"/>
            <w:tcBorders>
              <w:right w:val="single" w:color="000000" w:sz="10" w:space="0"/>
            </w:tcBorders>
            <w:vAlign w:val="top"/>
          </w:tcPr>
          <w:p w14:paraId="12944B1A">
            <w:pPr>
              <w:pStyle w:val="594"/>
            </w:pPr>
          </w:p>
        </w:tc>
      </w:tr>
      <w:tr w14:paraId="6CEE2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jc w:val="center"/>
        </w:trPr>
        <w:tc>
          <w:tcPr>
            <w:tcW w:w="598" w:type="dxa"/>
            <w:tcBorders>
              <w:left w:val="single" w:color="000000" w:sz="10" w:space="0"/>
            </w:tcBorders>
            <w:vAlign w:val="top"/>
          </w:tcPr>
          <w:p w14:paraId="6281EB09">
            <w:pPr>
              <w:pStyle w:val="594"/>
            </w:pPr>
          </w:p>
        </w:tc>
        <w:tc>
          <w:tcPr>
            <w:tcW w:w="1389" w:type="dxa"/>
            <w:vAlign w:val="top"/>
          </w:tcPr>
          <w:p w14:paraId="37FF9F6F">
            <w:pPr>
              <w:pStyle w:val="594"/>
            </w:pPr>
          </w:p>
        </w:tc>
        <w:tc>
          <w:tcPr>
            <w:tcW w:w="1837" w:type="dxa"/>
            <w:vAlign w:val="top"/>
          </w:tcPr>
          <w:p w14:paraId="7719DD96">
            <w:pPr>
              <w:pStyle w:val="594"/>
            </w:pPr>
          </w:p>
        </w:tc>
        <w:tc>
          <w:tcPr>
            <w:tcW w:w="1613" w:type="dxa"/>
            <w:gridSpan w:val="2"/>
            <w:vAlign w:val="top"/>
          </w:tcPr>
          <w:p w14:paraId="35AADDC5">
            <w:pPr>
              <w:pStyle w:val="594"/>
            </w:pPr>
          </w:p>
        </w:tc>
        <w:tc>
          <w:tcPr>
            <w:tcW w:w="597" w:type="dxa"/>
            <w:vAlign w:val="top"/>
          </w:tcPr>
          <w:p w14:paraId="0B47F34A">
            <w:pPr>
              <w:pStyle w:val="594"/>
            </w:pPr>
          </w:p>
        </w:tc>
        <w:tc>
          <w:tcPr>
            <w:tcW w:w="1224" w:type="dxa"/>
            <w:vAlign w:val="top"/>
          </w:tcPr>
          <w:p w14:paraId="0C89211E">
            <w:pPr>
              <w:pStyle w:val="594"/>
            </w:pPr>
          </w:p>
        </w:tc>
        <w:tc>
          <w:tcPr>
            <w:tcW w:w="866" w:type="dxa"/>
            <w:gridSpan w:val="2"/>
            <w:vAlign w:val="top"/>
          </w:tcPr>
          <w:p w14:paraId="7F3F8FD5">
            <w:pPr>
              <w:pStyle w:val="594"/>
            </w:pPr>
          </w:p>
        </w:tc>
        <w:tc>
          <w:tcPr>
            <w:tcW w:w="1195" w:type="dxa"/>
            <w:vAlign w:val="top"/>
          </w:tcPr>
          <w:p w14:paraId="518273C7">
            <w:pPr>
              <w:pStyle w:val="594"/>
            </w:pPr>
          </w:p>
        </w:tc>
        <w:tc>
          <w:tcPr>
            <w:tcW w:w="1092" w:type="dxa"/>
            <w:tcBorders>
              <w:right w:val="single" w:color="000000" w:sz="10" w:space="0"/>
            </w:tcBorders>
            <w:vAlign w:val="top"/>
          </w:tcPr>
          <w:p w14:paraId="47B0C88D">
            <w:pPr>
              <w:pStyle w:val="594"/>
            </w:pPr>
          </w:p>
        </w:tc>
      </w:tr>
      <w:tr w14:paraId="080C7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jc w:val="center"/>
        </w:trPr>
        <w:tc>
          <w:tcPr>
            <w:tcW w:w="598" w:type="dxa"/>
            <w:tcBorders>
              <w:left w:val="single" w:color="000000" w:sz="10" w:space="0"/>
            </w:tcBorders>
            <w:vAlign w:val="top"/>
          </w:tcPr>
          <w:p w14:paraId="413D1BED">
            <w:pPr>
              <w:pStyle w:val="594"/>
            </w:pPr>
          </w:p>
        </w:tc>
        <w:tc>
          <w:tcPr>
            <w:tcW w:w="1389" w:type="dxa"/>
            <w:vAlign w:val="top"/>
          </w:tcPr>
          <w:p w14:paraId="0F9BC2DD">
            <w:pPr>
              <w:pStyle w:val="594"/>
            </w:pPr>
          </w:p>
        </w:tc>
        <w:tc>
          <w:tcPr>
            <w:tcW w:w="1837" w:type="dxa"/>
            <w:vAlign w:val="top"/>
          </w:tcPr>
          <w:p w14:paraId="3E2D7490">
            <w:pPr>
              <w:pStyle w:val="594"/>
            </w:pPr>
          </w:p>
        </w:tc>
        <w:tc>
          <w:tcPr>
            <w:tcW w:w="1613" w:type="dxa"/>
            <w:gridSpan w:val="2"/>
            <w:vAlign w:val="top"/>
          </w:tcPr>
          <w:p w14:paraId="2F63CDEF">
            <w:pPr>
              <w:pStyle w:val="594"/>
            </w:pPr>
          </w:p>
        </w:tc>
        <w:tc>
          <w:tcPr>
            <w:tcW w:w="597" w:type="dxa"/>
            <w:vAlign w:val="top"/>
          </w:tcPr>
          <w:p w14:paraId="6EE4DD04">
            <w:pPr>
              <w:pStyle w:val="594"/>
            </w:pPr>
          </w:p>
        </w:tc>
        <w:tc>
          <w:tcPr>
            <w:tcW w:w="1224" w:type="dxa"/>
            <w:vAlign w:val="top"/>
          </w:tcPr>
          <w:p w14:paraId="74C7382E">
            <w:pPr>
              <w:pStyle w:val="594"/>
            </w:pPr>
          </w:p>
        </w:tc>
        <w:tc>
          <w:tcPr>
            <w:tcW w:w="866" w:type="dxa"/>
            <w:gridSpan w:val="2"/>
            <w:vAlign w:val="top"/>
          </w:tcPr>
          <w:p w14:paraId="3F148BD3">
            <w:pPr>
              <w:pStyle w:val="594"/>
            </w:pPr>
          </w:p>
        </w:tc>
        <w:tc>
          <w:tcPr>
            <w:tcW w:w="1195" w:type="dxa"/>
            <w:vAlign w:val="top"/>
          </w:tcPr>
          <w:p w14:paraId="19C54721">
            <w:pPr>
              <w:pStyle w:val="594"/>
            </w:pPr>
          </w:p>
        </w:tc>
        <w:tc>
          <w:tcPr>
            <w:tcW w:w="1092" w:type="dxa"/>
            <w:tcBorders>
              <w:right w:val="single" w:color="000000" w:sz="10" w:space="0"/>
            </w:tcBorders>
            <w:vAlign w:val="top"/>
          </w:tcPr>
          <w:p w14:paraId="27A57FBD">
            <w:pPr>
              <w:pStyle w:val="594"/>
            </w:pPr>
          </w:p>
        </w:tc>
      </w:tr>
      <w:tr w14:paraId="1A900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jc w:val="center"/>
        </w:trPr>
        <w:tc>
          <w:tcPr>
            <w:tcW w:w="598" w:type="dxa"/>
            <w:tcBorders>
              <w:left w:val="single" w:color="000000" w:sz="10" w:space="0"/>
            </w:tcBorders>
            <w:vAlign w:val="top"/>
          </w:tcPr>
          <w:p w14:paraId="2F451C5D">
            <w:pPr>
              <w:pStyle w:val="594"/>
            </w:pPr>
          </w:p>
        </w:tc>
        <w:tc>
          <w:tcPr>
            <w:tcW w:w="1389" w:type="dxa"/>
            <w:vAlign w:val="top"/>
          </w:tcPr>
          <w:p w14:paraId="574FB18F">
            <w:pPr>
              <w:pStyle w:val="594"/>
            </w:pPr>
          </w:p>
        </w:tc>
        <w:tc>
          <w:tcPr>
            <w:tcW w:w="1837" w:type="dxa"/>
            <w:vAlign w:val="top"/>
          </w:tcPr>
          <w:p w14:paraId="3D1F0B8C">
            <w:pPr>
              <w:pStyle w:val="594"/>
            </w:pPr>
          </w:p>
        </w:tc>
        <w:tc>
          <w:tcPr>
            <w:tcW w:w="1613" w:type="dxa"/>
            <w:gridSpan w:val="2"/>
            <w:vAlign w:val="top"/>
          </w:tcPr>
          <w:p w14:paraId="0A17749E">
            <w:pPr>
              <w:pStyle w:val="594"/>
            </w:pPr>
          </w:p>
        </w:tc>
        <w:tc>
          <w:tcPr>
            <w:tcW w:w="597" w:type="dxa"/>
            <w:vAlign w:val="top"/>
          </w:tcPr>
          <w:p w14:paraId="35DA6276">
            <w:pPr>
              <w:pStyle w:val="594"/>
            </w:pPr>
          </w:p>
        </w:tc>
        <w:tc>
          <w:tcPr>
            <w:tcW w:w="1224" w:type="dxa"/>
            <w:vAlign w:val="top"/>
          </w:tcPr>
          <w:p w14:paraId="5FF80DC9">
            <w:pPr>
              <w:pStyle w:val="594"/>
            </w:pPr>
          </w:p>
        </w:tc>
        <w:tc>
          <w:tcPr>
            <w:tcW w:w="866" w:type="dxa"/>
            <w:gridSpan w:val="2"/>
            <w:vAlign w:val="top"/>
          </w:tcPr>
          <w:p w14:paraId="0AB0FD9B">
            <w:pPr>
              <w:pStyle w:val="594"/>
            </w:pPr>
          </w:p>
        </w:tc>
        <w:tc>
          <w:tcPr>
            <w:tcW w:w="1195" w:type="dxa"/>
            <w:vAlign w:val="top"/>
          </w:tcPr>
          <w:p w14:paraId="2E75D345">
            <w:pPr>
              <w:pStyle w:val="594"/>
            </w:pPr>
          </w:p>
        </w:tc>
        <w:tc>
          <w:tcPr>
            <w:tcW w:w="1092" w:type="dxa"/>
            <w:tcBorders>
              <w:right w:val="single" w:color="000000" w:sz="10" w:space="0"/>
            </w:tcBorders>
            <w:vAlign w:val="top"/>
          </w:tcPr>
          <w:p w14:paraId="70E52BC5">
            <w:pPr>
              <w:pStyle w:val="594"/>
            </w:pPr>
          </w:p>
        </w:tc>
      </w:tr>
      <w:tr w14:paraId="24F80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jc w:val="center"/>
        </w:trPr>
        <w:tc>
          <w:tcPr>
            <w:tcW w:w="598" w:type="dxa"/>
            <w:tcBorders>
              <w:left w:val="single" w:color="000000" w:sz="10" w:space="0"/>
            </w:tcBorders>
            <w:vAlign w:val="top"/>
          </w:tcPr>
          <w:p w14:paraId="3A56CB36">
            <w:pPr>
              <w:pStyle w:val="594"/>
            </w:pPr>
          </w:p>
        </w:tc>
        <w:tc>
          <w:tcPr>
            <w:tcW w:w="1389" w:type="dxa"/>
            <w:vAlign w:val="top"/>
          </w:tcPr>
          <w:p w14:paraId="57BD721D">
            <w:pPr>
              <w:pStyle w:val="594"/>
            </w:pPr>
          </w:p>
        </w:tc>
        <w:tc>
          <w:tcPr>
            <w:tcW w:w="1837" w:type="dxa"/>
            <w:vAlign w:val="top"/>
          </w:tcPr>
          <w:p w14:paraId="77C14679">
            <w:pPr>
              <w:pStyle w:val="594"/>
            </w:pPr>
          </w:p>
        </w:tc>
        <w:tc>
          <w:tcPr>
            <w:tcW w:w="1613" w:type="dxa"/>
            <w:gridSpan w:val="2"/>
            <w:vAlign w:val="top"/>
          </w:tcPr>
          <w:p w14:paraId="245CD230">
            <w:pPr>
              <w:pStyle w:val="594"/>
            </w:pPr>
          </w:p>
        </w:tc>
        <w:tc>
          <w:tcPr>
            <w:tcW w:w="597" w:type="dxa"/>
            <w:vAlign w:val="top"/>
          </w:tcPr>
          <w:p w14:paraId="0758BDC1">
            <w:pPr>
              <w:pStyle w:val="594"/>
            </w:pPr>
          </w:p>
        </w:tc>
        <w:tc>
          <w:tcPr>
            <w:tcW w:w="1224" w:type="dxa"/>
            <w:vAlign w:val="top"/>
          </w:tcPr>
          <w:p w14:paraId="575C7519">
            <w:pPr>
              <w:pStyle w:val="594"/>
            </w:pPr>
          </w:p>
        </w:tc>
        <w:tc>
          <w:tcPr>
            <w:tcW w:w="866" w:type="dxa"/>
            <w:gridSpan w:val="2"/>
            <w:vAlign w:val="top"/>
          </w:tcPr>
          <w:p w14:paraId="262AC5B8">
            <w:pPr>
              <w:pStyle w:val="594"/>
            </w:pPr>
          </w:p>
        </w:tc>
        <w:tc>
          <w:tcPr>
            <w:tcW w:w="1195" w:type="dxa"/>
            <w:vAlign w:val="top"/>
          </w:tcPr>
          <w:p w14:paraId="58160671">
            <w:pPr>
              <w:pStyle w:val="594"/>
            </w:pPr>
          </w:p>
        </w:tc>
        <w:tc>
          <w:tcPr>
            <w:tcW w:w="1092" w:type="dxa"/>
            <w:tcBorders>
              <w:right w:val="single" w:color="000000" w:sz="10" w:space="0"/>
            </w:tcBorders>
            <w:vAlign w:val="top"/>
          </w:tcPr>
          <w:p w14:paraId="31A94E7F">
            <w:pPr>
              <w:pStyle w:val="594"/>
            </w:pPr>
          </w:p>
        </w:tc>
      </w:tr>
      <w:tr w14:paraId="3BE69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598" w:type="dxa"/>
            <w:tcBorders>
              <w:left w:val="single" w:color="000000" w:sz="10" w:space="0"/>
            </w:tcBorders>
            <w:vAlign w:val="top"/>
          </w:tcPr>
          <w:p w14:paraId="7CBAFF61">
            <w:pPr>
              <w:pStyle w:val="594"/>
            </w:pPr>
          </w:p>
        </w:tc>
        <w:tc>
          <w:tcPr>
            <w:tcW w:w="1389" w:type="dxa"/>
            <w:vAlign w:val="top"/>
          </w:tcPr>
          <w:p w14:paraId="673D655F">
            <w:pPr>
              <w:pStyle w:val="594"/>
            </w:pPr>
          </w:p>
        </w:tc>
        <w:tc>
          <w:tcPr>
            <w:tcW w:w="1837" w:type="dxa"/>
            <w:vAlign w:val="top"/>
          </w:tcPr>
          <w:p w14:paraId="20348194">
            <w:pPr>
              <w:pStyle w:val="594"/>
            </w:pPr>
          </w:p>
        </w:tc>
        <w:tc>
          <w:tcPr>
            <w:tcW w:w="1613" w:type="dxa"/>
            <w:gridSpan w:val="2"/>
            <w:vAlign w:val="top"/>
          </w:tcPr>
          <w:p w14:paraId="6AB5862E">
            <w:pPr>
              <w:pStyle w:val="594"/>
            </w:pPr>
          </w:p>
        </w:tc>
        <w:tc>
          <w:tcPr>
            <w:tcW w:w="597" w:type="dxa"/>
            <w:vAlign w:val="top"/>
          </w:tcPr>
          <w:p w14:paraId="3FCB350C">
            <w:pPr>
              <w:pStyle w:val="594"/>
            </w:pPr>
          </w:p>
        </w:tc>
        <w:tc>
          <w:tcPr>
            <w:tcW w:w="1224" w:type="dxa"/>
            <w:vAlign w:val="top"/>
          </w:tcPr>
          <w:p w14:paraId="35EC686D">
            <w:pPr>
              <w:pStyle w:val="594"/>
            </w:pPr>
          </w:p>
        </w:tc>
        <w:tc>
          <w:tcPr>
            <w:tcW w:w="866" w:type="dxa"/>
            <w:gridSpan w:val="2"/>
            <w:vAlign w:val="top"/>
          </w:tcPr>
          <w:p w14:paraId="01EAADD7">
            <w:pPr>
              <w:pStyle w:val="594"/>
            </w:pPr>
          </w:p>
        </w:tc>
        <w:tc>
          <w:tcPr>
            <w:tcW w:w="1195" w:type="dxa"/>
            <w:vAlign w:val="top"/>
          </w:tcPr>
          <w:p w14:paraId="7DC5AC9D">
            <w:pPr>
              <w:pStyle w:val="594"/>
            </w:pPr>
          </w:p>
        </w:tc>
        <w:tc>
          <w:tcPr>
            <w:tcW w:w="1092" w:type="dxa"/>
            <w:tcBorders>
              <w:right w:val="single" w:color="000000" w:sz="10" w:space="0"/>
            </w:tcBorders>
            <w:vAlign w:val="top"/>
          </w:tcPr>
          <w:p w14:paraId="0DEF2C30">
            <w:pPr>
              <w:pStyle w:val="594"/>
            </w:pPr>
          </w:p>
        </w:tc>
      </w:tr>
      <w:tr w14:paraId="11178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jc w:val="center"/>
        </w:trPr>
        <w:tc>
          <w:tcPr>
            <w:tcW w:w="598" w:type="dxa"/>
            <w:tcBorders>
              <w:left w:val="single" w:color="000000" w:sz="10" w:space="0"/>
            </w:tcBorders>
            <w:vAlign w:val="top"/>
          </w:tcPr>
          <w:p w14:paraId="1E1D1891">
            <w:pPr>
              <w:pStyle w:val="594"/>
            </w:pPr>
          </w:p>
        </w:tc>
        <w:tc>
          <w:tcPr>
            <w:tcW w:w="1389" w:type="dxa"/>
            <w:vAlign w:val="top"/>
          </w:tcPr>
          <w:p w14:paraId="0AB0D2FD">
            <w:pPr>
              <w:pStyle w:val="594"/>
            </w:pPr>
          </w:p>
        </w:tc>
        <w:tc>
          <w:tcPr>
            <w:tcW w:w="1837" w:type="dxa"/>
            <w:vAlign w:val="top"/>
          </w:tcPr>
          <w:p w14:paraId="321C9D1B">
            <w:pPr>
              <w:pStyle w:val="594"/>
            </w:pPr>
          </w:p>
        </w:tc>
        <w:tc>
          <w:tcPr>
            <w:tcW w:w="1613" w:type="dxa"/>
            <w:gridSpan w:val="2"/>
            <w:vAlign w:val="top"/>
          </w:tcPr>
          <w:p w14:paraId="57CA960A">
            <w:pPr>
              <w:pStyle w:val="594"/>
            </w:pPr>
          </w:p>
        </w:tc>
        <w:tc>
          <w:tcPr>
            <w:tcW w:w="597" w:type="dxa"/>
            <w:vAlign w:val="top"/>
          </w:tcPr>
          <w:p w14:paraId="4D195FC5">
            <w:pPr>
              <w:pStyle w:val="594"/>
            </w:pPr>
          </w:p>
        </w:tc>
        <w:tc>
          <w:tcPr>
            <w:tcW w:w="1224" w:type="dxa"/>
            <w:vAlign w:val="top"/>
          </w:tcPr>
          <w:p w14:paraId="0940A274">
            <w:pPr>
              <w:pStyle w:val="594"/>
            </w:pPr>
          </w:p>
        </w:tc>
        <w:tc>
          <w:tcPr>
            <w:tcW w:w="866" w:type="dxa"/>
            <w:gridSpan w:val="2"/>
            <w:vAlign w:val="top"/>
          </w:tcPr>
          <w:p w14:paraId="04959BE2">
            <w:pPr>
              <w:pStyle w:val="594"/>
            </w:pPr>
          </w:p>
        </w:tc>
        <w:tc>
          <w:tcPr>
            <w:tcW w:w="1195" w:type="dxa"/>
            <w:vAlign w:val="top"/>
          </w:tcPr>
          <w:p w14:paraId="7FBC2CC2">
            <w:pPr>
              <w:pStyle w:val="594"/>
            </w:pPr>
          </w:p>
        </w:tc>
        <w:tc>
          <w:tcPr>
            <w:tcW w:w="1092" w:type="dxa"/>
            <w:tcBorders>
              <w:right w:val="single" w:color="000000" w:sz="10" w:space="0"/>
            </w:tcBorders>
            <w:vAlign w:val="top"/>
          </w:tcPr>
          <w:p w14:paraId="053427DB">
            <w:pPr>
              <w:pStyle w:val="594"/>
            </w:pPr>
          </w:p>
        </w:tc>
      </w:tr>
      <w:tr w14:paraId="6FBAA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598" w:type="dxa"/>
            <w:tcBorders>
              <w:left w:val="single" w:color="000000" w:sz="10" w:space="0"/>
            </w:tcBorders>
            <w:vAlign w:val="top"/>
          </w:tcPr>
          <w:p w14:paraId="2807ED13">
            <w:pPr>
              <w:pStyle w:val="594"/>
            </w:pPr>
          </w:p>
        </w:tc>
        <w:tc>
          <w:tcPr>
            <w:tcW w:w="1389" w:type="dxa"/>
            <w:vAlign w:val="top"/>
          </w:tcPr>
          <w:p w14:paraId="76DF20BD">
            <w:pPr>
              <w:pStyle w:val="594"/>
            </w:pPr>
          </w:p>
        </w:tc>
        <w:tc>
          <w:tcPr>
            <w:tcW w:w="1837" w:type="dxa"/>
            <w:vAlign w:val="top"/>
          </w:tcPr>
          <w:p w14:paraId="3E7BE1E2">
            <w:pPr>
              <w:pStyle w:val="594"/>
            </w:pPr>
          </w:p>
        </w:tc>
        <w:tc>
          <w:tcPr>
            <w:tcW w:w="1613" w:type="dxa"/>
            <w:gridSpan w:val="2"/>
            <w:vAlign w:val="top"/>
          </w:tcPr>
          <w:p w14:paraId="3F75E661">
            <w:pPr>
              <w:pStyle w:val="594"/>
            </w:pPr>
          </w:p>
        </w:tc>
        <w:tc>
          <w:tcPr>
            <w:tcW w:w="597" w:type="dxa"/>
            <w:vAlign w:val="top"/>
          </w:tcPr>
          <w:p w14:paraId="58BE4E9D">
            <w:pPr>
              <w:pStyle w:val="594"/>
            </w:pPr>
          </w:p>
        </w:tc>
        <w:tc>
          <w:tcPr>
            <w:tcW w:w="1224" w:type="dxa"/>
            <w:vAlign w:val="top"/>
          </w:tcPr>
          <w:p w14:paraId="2D5B7B83">
            <w:pPr>
              <w:pStyle w:val="594"/>
            </w:pPr>
          </w:p>
        </w:tc>
        <w:tc>
          <w:tcPr>
            <w:tcW w:w="866" w:type="dxa"/>
            <w:gridSpan w:val="2"/>
            <w:vAlign w:val="top"/>
          </w:tcPr>
          <w:p w14:paraId="3D8F3A41">
            <w:pPr>
              <w:pStyle w:val="594"/>
            </w:pPr>
          </w:p>
        </w:tc>
        <w:tc>
          <w:tcPr>
            <w:tcW w:w="1195" w:type="dxa"/>
            <w:vAlign w:val="top"/>
          </w:tcPr>
          <w:p w14:paraId="5C278E44">
            <w:pPr>
              <w:pStyle w:val="594"/>
            </w:pPr>
          </w:p>
        </w:tc>
        <w:tc>
          <w:tcPr>
            <w:tcW w:w="1092" w:type="dxa"/>
            <w:tcBorders>
              <w:right w:val="single" w:color="000000" w:sz="10" w:space="0"/>
            </w:tcBorders>
            <w:vAlign w:val="top"/>
          </w:tcPr>
          <w:p w14:paraId="0289230E">
            <w:pPr>
              <w:pStyle w:val="594"/>
            </w:pPr>
          </w:p>
        </w:tc>
      </w:tr>
      <w:tr w14:paraId="24580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jc w:val="center"/>
        </w:trPr>
        <w:tc>
          <w:tcPr>
            <w:tcW w:w="598" w:type="dxa"/>
            <w:tcBorders>
              <w:left w:val="single" w:color="000000" w:sz="10" w:space="0"/>
            </w:tcBorders>
            <w:vAlign w:val="top"/>
          </w:tcPr>
          <w:p w14:paraId="34CE5E3C">
            <w:pPr>
              <w:pStyle w:val="594"/>
            </w:pPr>
          </w:p>
        </w:tc>
        <w:tc>
          <w:tcPr>
            <w:tcW w:w="1389" w:type="dxa"/>
            <w:vAlign w:val="top"/>
          </w:tcPr>
          <w:p w14:paraId="64A57F07">
            <w:pPr>
              <w:pStyle w:val="594"/>
            </w:pPr>
          </w:p>
        </w:tc>
        <w:tc>
          <w:tcPr>
            <w:tcW w:w="1837" w:type="dxa"/>
            <w:vAlign w:val="top"/>
          </w:tcPr>
          <w:p w14:paraId="745A8E59">
            <w:pPr>
              <w:pStyle w:val="594"/>
            </w:pPr>
          </w:p>
        </w:tc>
        <w:tc>
          <w:tcPr>
            <w:tcW w:w="1613" w:type="dxa"/>
            <w:gridSpan w:val="2"/>
            <w:vAlign w:val="top"/>
          </w:tcPr>
          <w:p w14:paraId="118E415B">
            <w:pPr>
              <w:pStyle w:val="594"/>
            </w:pPr>
          </w:p>
        </w:tc>
        <w:tc>
          <w:tcPr>
            <w:tcW w:w="597" w:type="dxa"/>
            <w:vAlign w:val="top"/>
          </w:tcPr>
          <w:p w14:paraId="48CC8048">
            <w:pPr>
              <w:pStyle w:val="594"/>
            </w:pPr>
          </w:p>
        </w:tc>
        <w:tc>
          <w:tcPr>
            <w:tcW w:w="1224" w:type="dxa"/>
            <w:vAlign w:val="top"/>
          </w:tcPr>
          <w:p w14:paraId="5E075779">
            <w:pPr>
              <w:pStyle w:val="594"/>
            </w:pPr>
          </w:p>
        </w:tc>
        <w:tc>
          <w:tcPr>
            <w:tcW w:w="866" w:type="dxa"/>
            <w:gridSpan w:val="2"/>
            <w:vAlign w:val="top"/>
          </w:tcPr>
          <w:p w14:paraId="7E916D16">
            <w:pPr>
              <w:pStyle w:val="594"/>
            </w:pPr>
          </w:p>
        </w:tc>
        <w:tc>
          <w:tcPr>
            <w:tcW w:w="1195" w:type="dxa"/>
            <w:vAlign w:val="top"/>
          </w:tcPr>
          <w:p w14:paraId="5FAF5BF9">
            <w:pPr>
              <w:pStyle w:val="594"/>
            </w:pPr>
          </w:p>
        </w:tc>
        <w:tc>
          <w:tcPr>
            <w:tcW w:w="1092" w:type="dxa"/>
            <w:tcBorders>
              <w:right w:val="single" w:color="000000" w:sz="10" w:space="0"/>
            </w:tcBorders>
            <w:vAlign w:val="top"/>
          </w:tcPr>
          <w:p w14:paraId="22C98591">
            <w:pPr>
              <w:pStyle w:val="594"/>
            </w:pPr>
          </w:p>
        </w:tc>
      </w:tr>
      <w:tr w14:paraId="04527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598" w:type="dxa"/>
            <w:tcBorders>
              <w:left w:val="single" w:color="000000" w:sz="10" w:space="0"/>
            </w:tcBorders>
            <w:vAlign w:val="top"/>
          </w:tcPr>
          <w:p w14:paraId="1D054658">
            <w:pPr>
              <w:pStyle w:val="594"/>
            </w:pPr>
          </w:p>
        </w:tc>
        <w:tc>
          <w:tcPr>
            <w:tcW w:w="1389" w:type="dxa"/>
            <w:vAlign w:val="top"/>
          </w:tcPr>
          <w:p w14:paraId="79940F4B">
            <w:pPr>
              <w:pStyle w:val="594"/>
            </w:pPr>
          </w:p>
        </w:tc>
        <w:tc>
          <w:tcPr>
            <w:tcW w:w="1837" w:type="dxa"/>
            <w:vAlign w:val="top"/>
          </w:tcPr>
          <w:p w14:paraId="561FCE3B">
            <w:pPr>
              <w:pStyle w:val="594"/>
            </w:pPr>
          </w:p>
        </w:tc>
        <w:tc>
          <w:tcPr>
            <w:tcW w:w="1613" w:type="dxa"/>
            <w:gridSpan w:val="2"/>
            <w:vAlign w:val="top"/>
          </w:tcPr>
          <w:p w14:paraId="1105A4B5">
            <w:pPr>
              <w:pStyle w:val="594"/>
            </w:pPr>
          </w:p>
        </w:tc>
        <w:tc>
          <w:tcPr>
            <w:tcW w:w="597" w:type="dxa"/>
            <w:vAlign w:val="top"/>
          </w:tcPr>
          <w:p w14:paraId="59C13BD8">
            <w:pPr>
              <w:pStyle w:val="594"/>
            </w:pPr>
          </w:p>
        </w:tc>
        <w:tc>
          <w:tcPr>
            <w:tcW w:w="1224" w:type="dxa"/>
            <w:vAlign w:val="top"/>
          </w:tcPr>
          <w:p w14:paraId="6CE077A7">
            <w:pPr>
              <w:pStyle w:val="594"/>
            </w:pPr>
          </w:p>
        </w:tc>
        <w:tc>
          <w:tcPr>
            <w:tcW w:w="866" w:type="dxa"/>
            <w:gridSpan w:val="2"/>
            <w:vAlign w:val="top"/>
          </w:tcPr>
          <w:p w14:paraId="3CB9817E">
            <w:pPr>
              <w:pStyle w:val="594"/>
            </w:pPr>
          </w:p>
        </w:tc>
        <w:tc>
          <w:tcPr>
            <w:tcW w:w="1195" w:type="dxa"/>
            <w:vAlign w:val="top"/>
          </w:tcPr>
          <w:p w14:paraId="7FCA45F5">
            <w:pPr>
              <w:pStyle w:val="594"/>
            </w:pPr>
          </w:p>
        </w:tc>
        <w:tc>
          <w:tcPr>
            <w:tcW w:w="1092" w:type="dxa"/>
            <w:tcBorders>
              <w:right w:val="single" w:color="000000" w:sz="10" w:space="0"/>
            </w:tcBorders>
            <w:vAlign w:val="top"/>
          </w:tcPr>
          <w:p w14:paraId="6271F511">
            <w:pPr>
              <w:pStyle w:val="594"/>
            </w:pPr>
          </w:p>
        </w:tc>
      </w:tr>
      <w:tr w14:paraId="53932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jc w:val="center"/>
        </w:trPr>
        <w:tc>
          <w:tcPr>
            <w:tcW w:w="598" w:type="dxa"/>
            <w:tcBorders>
              <w:left w:val="single" w:color="000000" w:sz="10" w:space="0"/>
            </w:tcBorders>
            <w:vAlign w:val="top"/>
          </w:tcPr>
          <w:p w14:paraId="1668A82D">
            <w:pPr>
              <w:pStyle w:val="594"/>
            </w:pPr>
          </w:p>
        </w:tc>
        <w:tc>
          <w:tcPr>
            <w:tcW w:w="1389" w:type="dxa"/>
            <w:vAlign w:val="top"/>
          </w:tcPr>
          <w:p w14:paraId="7F8C596A">
            <w:pPr>
              <w:pStyle w:val="594"/>
            </w:pPr>
          </w:p>
        </w:tc>
        <w:tc>
          <w:tcPr>
            <w:tcW w:w="1837" w:type="dxa"/>
            <w:vAlign w:val="top"/>
          </w:tcPr>
          <w:p w14:paraId="6FC552DB">
            <w:pPr>
              <w:pStyle w:val="594"/>
            </w:pPr>
          </w:p>
        </w:tc>
        <w:tc>
          <w:tcPr>
            <w:tcW w:w="1613" w:type="dxa"/>
            <w:gridSpan w:val="2"/>
            <w:vAlign w:val="top"/>
          </w:tcPr>
          <w:p w14:paraId="77F5BEF4">
            <w:pPr>
              <w:pStyle w:val="594"/>
            </w:pPr>
          </w:p>
        </w:tc>
        <w:tc>
          <w:tcPr>
            <w:tcW w:w="597" w:type="dxa"/>
            <w:vAlign w:val="top"/>
          </w:tcPr>
          <w:p w14:paraId="45DDDABF">
            <w:pPr>
              <w:pStyle w:val="594"/>
            </w:pPr>
          </w:p>
        </w:tc>
        <w:tc>
          <w:tcPr>
            <w:tcW w:w="1224" w:type="dxa"/>
            <w:vAlign w:val="top"/>
          </w:tcPr>
          <w:p w14:paraId="0884FECB">
            <w:pPr>
              <w:pStyle w:val="594"/>
            </w:pPr>
          </w:p>
        </w:tc>
        <w:tc>
          <w:tcPr>
            <w:tcW w:w="866" w:type="dxa"/>
            <w:gridSpan w:val="2"/>
            <w:vAlign w:val="top"/>
          </w:tcPr>
          <w:p w14:paraId="49E8D604">
            <w:pPr>
              <w:pStyle w:val="594"/>
            </w:pPr>
          </w:p>
        </w:tc>
        <w:tc>
          <w:tcPr>
            <w:tcW w:w="1195" w:type="dxa"/>
            <w:vAlign w:val="top"/>
          </w:tcPr>
          <w:p w14:paraId="004BD5FD">
            <w:pPr>
              <w:pStyle w:val="594"/>
            </w:pPr>
          </w:p>
        </w:tc>
        <w:tc>
          <w:tcPr>
            <w:tcW w:w="1092" w:type="dxa"/>
            <w:tcBorders>
              <w:right w:val="single" w:color="000000" w:sz="10" w:space="0"/>
            </w:tcBorders>
            <w:vAlign w:val="top"/>
          </w:tcPr>
          <w:p w14:paraId="6FA3A017">
            <w:pPr>
              <w:pStyle w:val="594"/>
            </w:pPr>
          </w:p>
        </w:tc>
      </w:tr>
      <w:tr w14:paraId="12BC4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598" w:type="dxa"/>
            <w:tcBorders>
              <w:left w:val="single" w:color="000000" w:sz="10" w:space="0"/>
            </w:tcBorders>
            <w:vAlign w:val="top"/>
          </w:tcPr>
          <w:p w14:paraId="6FA21D7C">
            <w:pPr>
              <w:pStyle w:val="594"/>
            </w:pPr>
          </w:p>
        </w:tc>
        <w:tc>
          <w:tcPr>
            <w:tcW w:w="1389" w:type="dxa"/>
            <w:vAlign w:val="top"/>
          </w:tcPr>
          <w:p w14:paraId="61AC5E98">
            <w:pPr>
              <w:pStyle w:val="594"/>
            </w:pPr>
          </w:p>
        </w:tc>
        <w:tc>
          <w:tcPr>
            <w:tcW w:w="1837" w:type="dxa"/>
            <w:vAlign w:val="top"/>
          </w:tcPr>
          <w:p w14:paraId="5913CD09">
            <w:pPr>
              <w:pStyle w:val="594"/>
            </w:pPr>
          </w:p>
        </w:tc>
        <w:tc>
          <w:tcPr>
            <w:tcW w:w="1613" w:type="dxa"/>
            <w:gridSpan w:val="2"/>
            <w:vAlign w:val="top"/>
          </w:tcPr>
          <w:p w14:paraId="1E97D2B3">
            <w:pPr>
              <w:pStyle w:val="594"/>
            </w:pPr>
          </w:p>
        </w:tc>
        <w:tc>
          <w:tcPr>
            <w:tcW w:w="597" w:type="dxa"/>
            <w:vAlign w:val="top"/>
          </w:tcPr>
          <w:p w14:paraId="2F532400">
            <w:pPr>
              <w:pStyle w:val="594"/>
            </w:pPr>
          </w:p>
        </w:tc>
        <w:tc>
          <w:tcPr>
            <w:tcW w:w="1224" w:type="dxa"/>
            <w:vAlign w:val="top"/>
          </w:tcPr>
          <w:p w14:paraId="298B811E">
            <w:pPr>
              <w:pStyle w:val="594"/>
            </w:pPr>
          </w:p>
        </w:tc>
        <w:tc>
          <w:tcPr>
            <w:tcW w:w="866" w:type="dxa"/>
            <w:gridSpan w:val="2"/>
            <w:vAlign w:val="top"/>
          </w:tcPr>
          <w:p w14:paraId="1FA2F47B">
            <w:pPr>
              <w:pStyle w:val="594"/>
            </w:pPr>
          </w:p>
        </w:tc>
        <w:tc>
          <w:tcPr>
            <w:tcW w:w="1195" w:type="dxa"/>
            <w:vAlign w:val="top"/>
          </w:tcPr>
          <w:p w14:paraId="59157909">
            <w:pPr>
              <w:pStyle w:val="594"/>
            </w:pPr>
          </w:p>
        </w:tc>
        <w:tc>
          <w:tcPr>
            <w:tcW w:w="1092" w:type="dxa"/>
            <w:tcBorders>
              <w:right w:val="single" w:color="000000" w:sz="10" w:space="0"/>
            </w:tcBorders>
            <w:vAlign w:val="top"/>
          </w:tcPr>
          <w:p w14:paraId="01E0BD15">
            <w:pPr>
              <w:pStyle w:val="594"/>
            </w:pPr>
          </w:p>
        </w:tc>
      </w:tr>
      <w:tr w14:paraId="6BDB6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jc w:val="center"/>
        </w:trPr>
        <w:tc>
          <w:tcPr>
            <w:tcW w:w="598" w:type="dxa"/>
            <w:tcBorders>
              <w:left w:val="single" w:color="000000" w:sz="10" w:space="0"/>
            </w:tcBorders>
            <w:vAlign w:val="top"/>
          </w:tcPr>
          <w:p w14:paraId="53B8A3A4">
            <w:pPr>
              <w:pStyle w:val="594"/>
            </w:pPr>
          </w:p>
        </w:tc>
        <w:tc>
          <w:tcPr>
            <w:tcW w:w="1389" w:type="dxa"/>
            <w:vAlign w:val="top"/>
          </w:tcPr>
          <w:p w14:paraId="138EEF24">
            <w:pPr>
              <w:pStyle w:val="594"/>
            </w:pPr>
          </w:p>
        </w:tc>
        <w:tc>
          <w:tcPr>
            <w:tcW w:w="1837" w:type="dxa"/>
            <w:vAlign w:val="top"/>
          </w:tcPr>
          <w:p w14:paraId="48AB527D">
            <w:pPr>
              <w:pStyle w:val="594"/>
            </w:pPr>
          </w:p>
        </w:tc>
        <w:tc>
          <w:tcPr>
            <w:tcW w:w="1613" w:type="dxa"/>
            <w:gridSpan w:val="2"/>
            <w:vAlign w:val="top"/>
          </w:tcPr>
          <w:p w14:paraId="36052C87">
            <w:pPr>
              <w:pStyle w:val="594"/>
            </w:pPr>
          </w:p>
        </w:tc>
        <w:tc>
          <w:tcPr>
            <w:tcW w:w="597" w:type="dxa"/>
            <w:vAlign w:val="top"/>
          </w:tcPr>
          <w:p w14:paraId="6E4A231A">
            <w:pPr>
              <w:pStyle w:val="594"/>
            </w:pPr>
          </w:p>
        </w:tc>
        <w:tc>
          <w:tcPr>
            <w:tcW w:w="1224" w:type="dxa"/>
            <w:vAlign w:val="top"/>
          </w:tcPr>
          <w:p w14:paraId="17A317E8">
            <w:pPr>
              <w:pStyle w:val="594"/>
            </w:pPr>
          </w:p>
        </w:tc>
        <w:tc>
          <w:tcPr>
            <w:tcW w:w="866" w:type="dxa"/>
            <w:gridSpan w:val="2"/>
            <w:vAlign w:val="top"/>
          </w:tcPr>
          <w:p w14:paraId="3D8C5460">
            <w:pPr>
              <w:pStyle w:val="594"/>
            </w:pPr>
          </w:p>
        </w:tc>
        <w:tc>
          <w:tcPr>
            <w:tcW w:w="1195" w:type="dxa"/>
            <w:vAlign w:val="top"/>
          </w:tcPr>
          <w:p w14:paraId="0E26935B">
            <w:pPr>
              <w:pStyle w:val="594"/>
            </w:pPr>
          </w:p>
        </w:tc>
        <w:tc>
          <w:tcPr>
            <w:tcW w:w="1092" w:type="dxa"/>
            <w:tcBorders>
              <w:right w:val="single" w:color="000000" w:sz="10" w:space="0"/>
            </w:tcBorders>
            <w:vAlign w:val="top"/>
          </w:tcPr>
          <w:p w14:paraId="29535AD5">
            <w:pPr>
              <w:pStyle w:val="594"/>
            </w:pPr>
          </w:p>
        </w:tc>
      </w:tr>
      <w:tr w14:paraId="58A38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jc w:val="center"/>
        </w:trPr>
        <w:tc>
          <w:tcPr>
            <w:tcW w:w="598" w:type="dxa"/>
            <w:tcBorders>
              <w:left w:val="single" w:color="000000" w:sz="10" w:space="0"/>
            </w:tcBorders>
            <w:vAlign w:val="top"/>
          </w:tcPr>
          <w:p w14:paraId="11A71920">
            <w:pPr>
              <w:pStyle w:val="594"/>
            </w:pPr>
          </w:p>
        </w:tc>
        <w:tc>
          <w:tcPr>
            <w:tcW w:w="1389" w:type="dxa"/>
            <w:vAlign w:val="top"/>
          </w:tcPr>
          <w:p w14:paraId="6ECA53E5">
            <w:pPr>
              <w:pStyle w:val="594"/>
            </w:pPr>
          </w:p>
        </w:tc>
        <w:tc>
          <w:tcPr>
            <w:tcW w:w="1837" w:type="dxa"/>
            <w:vAlign w:val="top"/>
          </w:tcPr>
          <w:p w14:paraId="7B637A0C">
            <w:pPr>
              <w:pStyle w:val="594"/>
            </w:pPr>
          </w:p>
        </w:tc>
        <w:tc>
          <w:tcPr>
            <w:tcW w:w="1613" w:type="dxa"/>
            <w:gridSpan w:val="2"/>
            <w:vAlign w:val="top"/>
          </w:tcPr>
          <w:p w14:paraId="7CEFCAA9">
            <w:pPr>
              <w:pStyle w:val="594"/>
            </w:pPr>
          </w:p>
        </w:tc>
        <w:tc>
          <w:tcPr>
            <w:tcW w:w="597" w:type="dxa"/>
            <w:vAlign w:val="top"/>
          </w:tcPr>
          <w:p w14:paraId="2DC3CD7A">
            <w:pPr>
              <w:pStyle w:val="594"/>
            </w:pPr>
          </w:p>
        </w:tc>
        <w:tc>
          <w:tcPr>
            <w:tcW w:w="1224" w:type="dxa"/>
            <w:vAlign w:val="top"/>
          </w:tcPr>
          <w:p w14:paraId="3CEAAEBC">
            <w:pPr>
              <w:pStyle w:val="594"/>
            </w:pPr>
          </w:p>
        </w:tc>
        <w:tc>
          <w:tcPr>
            <w:tcW w:w="866" w:type="dxa"/>
            <w:gridSpan w:val="2"/>
            <w:vAlign w:val="top"/>
          </w:tcPr>
          <w:p w14:paraId="1A820999">
            <w:pPr>
              <w:pStyle w:val="594"/>
            </w:pPr>
          </w:p>
        </w:tc>
        <w:tc>
          <w:tcPr>
            <w:tcW w:w="1195" w:type="dxa"/>
            <w:vAlign w:val="top"/>
          </w:tcPr>
          <w:p w14:paraId="2F79E6D8">
            <w:pPr>
              <w:pStyle w:val="594"/>
            </w:pPr>
          </w:p>
        </w:tc>
        <w:tc>
          <w:tcPr>
            <w:tcW w:w="1092" w:type="dxa"/>
            <w:tcBorders>
              <w:right w:val="single" w:color="000000" w:sz="10" w:space="0"/>
            </w:tcBorders>
            <w:vAlign w:val="top"/>
          </w:tcPr>
          <w:p w14:paraId="3E900198">
            <w:pPr>
              <w:pStyle w:val="594"/>
            </w:pPr>
          </w:p>
        </w:tc>
      </w:tr>
      <w:tr w14:paraId="0D630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jc w:val="center"/>
        </w:trPr>
        <w:tc>
          <w:tcPr>
            <w:tcW w:w="598" w:type="dxa"/>
            <w:tcBorders>
              <w:left w:val="single" w:color="000000" w:sz="10" w:space="0"/>
            </w:tcBorders>
            <w:vAlign w:val="top"/>
          </w:tcPr>
          <w:p w14:paraId="27D52260">
            <w:pPr>
              <w:pStyle w:val="594"/>
            </w:pPr>
          </w:p>
        </w:tc>
        <w:tc>
          <w:tcPr>
            <w:tcW w:w="1389" w:type="dxa"/>
            <w:vAlign w:val="top"/>
          </w:tcPr>
          <w:p w14:paraId="713C5DE5">
            <w:pPr>
              <w:pStyle w:val="594"/>
            </w:pPr>
          </w:p>
        </w:tc>
        <w:tc>
          <w:tcPr>
            <w:tcW w:w="1837" w:type="dxa"/>
            <w:vAlign w:val="top"/>
          </w:tcPr>
          <w:p w14:paraId="01FF092A">
            <w:pPr>
              <w:pStyle w:val="594"/>
            </w:pPr>
          </w:p>
        </w:tc>
        <w:tc>
          <w:tcPr>
            <w:tcW w:w="1613" w:type="dxa"/>
            <w:gridSpan w:val="2"/>
            <w:vAlign w:val="top"/>
          </w:tcPr>
          <w:p w14:paraId="5F96F51E">
            <w:pPr>
              <w:pStyle w:val="594"/>
            </w:pPr>
          </w:p>
        </w:tc>
        <w:tc>
          <w:tcPr>
            <w:tcW w:w="597" w:type="dxa"/>
            <w:vAlign w:val="top"/>
          </w:tcPr>
          <w:p w14:paraId="66A1369A">
            <w:pPr>
              <w:pStyle w:val="594"/>
            </w:pPr>
          </w:p>
        </w:tc>
        <w:tc>
          <w:tcPr>
            <w:tcW w:w="1224" w:type="dxa"/>
            <w:vAlign w:val="top"/>
          </w:tcPr>
          <w:p w14:paraId="2F6C2515">
            <w:pPr>
              <w:pStyle w:val="594"/>
            </w:pPr>
          </w:p>
        </w:tc>
        <w:tc>
          <w:tcPr>
            <w:tcW w:w="866" w:type="dxa"/>
            <w:gridSpan w:val="2"/>
            <w:vAlign w:val="top"/>
          </w:tcPr>
          <w:p w14:paraId="1D404BB1">
            <w:pPr>
              <w:pStyle w:val="594"/>
            </w:pPr>
          </w:p>
        </w:tc>
        <w:tc>
          <w:tcPr>
            <w:tcW w:w="1195" w:type="dxa"/>
            <w:vAlign w:val="top"/>
          </w:tcPr>
          <w:p w14:paraId="2F801048">
            <w:pPr>
              <w:pStyle w:val="594"/>
            </w:pPr>
          </w:p>
        </w:tc>
        <w:tc>
          <w:tcPr>
            <w:tcW w:w="1092" w:type="dxa"/>
            <w:tcBorders>
              <w:right w:val="single" w:color="000000" w:sz="10" w:space="0"/>
            </w:tcBorders>
            <w:vAlign w:val="top"/>
          </w:tcPr>
          <w:p w14:paraId="4978F7B5">
            <w:pPr>
              <w:pStyle w:val="594"/>
            </w:pPr>
          </w:p>
        </w:tc>
      </w:tr>
      <w:tr w14:paraId="59091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jc w:val="center"/>
        </w:trPr>
        <w:tc>
          <w:tcPr>
            <w:tcW w:w="598" w:type="dxa"/>
            <w:tcBorders>
              <w:left w:val="single" w:color="000000" w:sz="10" w:space="0"/>
            </w:tcBorders>
            <w:vAlign w:val="top"/>
          </w:tcPr>
          <w:p w14:paraId="4F8005E3">
            <w:pPr>
              <w:pStyle w:val="594"/>
            </w:pPr>
          </w:p>
        </w:tc>
        <w:tc>
          <w:tcPr>
            <w:tcW w:w="1389" w:type="dxa"/>
            <w:vAlign w:val="top"/>
          </w:tcPr>
          <w:p w14:paraId="01715078">
            <w:pPr>
              <w:pStyle w:val="594"/>
            </w:pPr>
          </w:p>
        </w:tc>
        <w:tc>
          <w:tcPr>
            <w:tcW w:w="1837" w:type="dxa"/>
            <w:vAlign w:val="top"/>
          </w:tcPr>
          <w:p w14:paraId="596EC564">
            <w:pPr>
              <w:pStyle w:val="594"/>
            </w:pPr>
          </w:p>
        </w:tc>
        <w:tc>
          <w:tcPr>
            <w:tcW w:w="1613" w:type="dxa"/>
            <w:gridSpan w:val="2"/>
            <w:vAlign w:val="top"/>
          </w:tcPr>
          <w:p w14:paraId="240D4615">
            <w:pPr>
              <w:pStyle w:val="594"/>
            </w:pPr>
          </w:p>
        </w:tc>
        <w:tc>
          <w:tcPr>
            <w:tcW w:w="597" w:type="dxa"/>
            <w:vAlign w:val="top"/>
          </w:tcPr>
          <w:p w14:paraId="43E148FA">
            <w:pPr>
              <w:pStyle w:val="594"/>
            </w:pPr>
          </w:p>
        </w:tc>
        <w:tc>
          <w:tcPr>
            <w:tcW w:w="1224" w:type="dxa"/>
            <w:vAlign w:val="top"/>
          </w:tcPr>
          <w:p w14:paraId="23CD5BDC">
            <w:pPr>
              <w:pStyle w:val="594"/>
            </w:pPr>
          </w:p>
        </w:tc>
        <w:tc>
          <w:tcPr>
            <w:tcW w:w="866" w:type="dxa"/>
            <w:gridSpan w:val="2"/>
            <w:vAlign w:val="top"/>
          </w:tcPr>
          <w:p w14:paraId="6BDE4A78">
            <w:pPr>
              <w:pStyle w:val="594"/>
            </w:pPr>
          </w:p>
        </w:tc>
        <w:tc>
          <w:tcPr>
            <w:tcW w:w="1195" w:type="dxa"/>
            <w:vAlign w:val="top"/>
          </w:tcPr>
          <w:p w14:paraId="1850CE98">
            <w:pPr>
              <w:pStyle w:val="594"/>
            </w:pPr>
          </w:p>
        </w:tc>
        <w:tc>
          <w:tcPr>
            <w:tcW w:w="1092" w:type="dxa"/>
            <w:tcBorders>
              <w:right w:val="single" w:color="000000" w:sz="10" w:space="0"/>
            </w:tcBorders>
            <w:vAlign w:val="top"/>
          </w:tcPr>
          <w:p w14:paraId="733DA61D">
            <w:pPr>
              <w:pStyle w:val="594"/>
            </w:pPr>
          </w:p>
        </w:tc>
      </w:tr>
      <w:tr w14:paraId="3C47E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jc w:val="center"/>
        </w:trPr>
        <w:tc>
          <w:tcPr>
            <w:tcW w:w="598" w:type="dxa"/>
            <w:tcBorders>
              <w:left w:val="single" w:color="000000" w:sz="10" w:space="0"/>
            </w:tcBorders>
            <w:vAlign w:val="top"/>
          </w:tcPr>
          <w:p w14:paraId="54FE97FB">
            <w:pPr>
              <w:pStyle w:val="594"/>
            </w:pPr>
          </w:p>
        </w:tc>
        <w:tc>
          <w:tcPr>
            <w:tcW w:w="1389" w:type="dxa"/>
            <w:vAlign w:val="top"/>
          </w:tcPr>
          <w:p w14:paraId="4BDBA0B6">
            <w:pPr>
              <w:pStyle w:val="594"/>
            </w:pPr>
          </w:p>
        </w:tc>
        <w:tc>
          <w:tcPr>
            <w:tcW w:w="1837" w:type="dxa"/>
            <w:vAlign w:val="top"/>
          </w:tcPr>
          <w:p w14:paraId="7FA24199">
            <w:pPr>
              <w:pStyle w:val="594"/>
            </w:pPr>
          </w:p>
        </w:tc>
        <w:tc>
          <w:tcPr>
            <w:tcW w:w="1613" w:type="dxa"/>
            <w:gridSpan w:val="2"/>
            <w:vAlign w:val="top"/>
          </w:tcPr>
          <w:p w14:paraId="44B7B2B7">
            <w:pPr>
              <w:pStyle w:val="594"/>
            </w:pPr>
          </w:p>
        </w:tc>
        <w:tc>
          <w:tcPr>
            <w:tcW w:w="597" w:type="dxa"/>
            <w:vAlign w:val="top"/>
          </w:tcPr>
          <w:p w14:paraId="355485D6">
            <w:pPr>
              <w:pStyle w:val="594"/>
            </w:pPr>
          </w:p>
        </w:tc>
        <w:tc>
          <w:tcPr>
            <w:tcW w:w="1224" w:type="dxa"/>
            <w:vAlign w:val="top"/>
          </w:tcPr>
          <w:p w14:paraId="61C668C4">
            <w:pPr>
              <w:pStyle w:val="594"/>
            </w:pPr>
          </w:p>
        </w:tc>
        <w:tc>
          <w:tcPr>
            <w:tcW w:w="866" w:type="dxa"/>
            <w:gridSpan w:val="2"/>
            <w:vAlign w:val="top"/>
          </w:tcPr>
          <w:p w14:paraId="4F987852">
            <w:pPr>
              <w:pStyle w:val="594"/>
            </w:pPr>
          </w:p>
        </w:tc>
        <w:tc>
          <w:tcPr>
            <w:tcW w:w="1195" w:type="dxa"/>
            <w:vAlign w:val="top"/>
          </w:tcPr>
          <w:p w14:paraId="664199E0">
            <w:pPr>
              <w:pStyle w:val="594"/>
            </w:pPr>
          </w:p>
        </w:tc>
        <w:tc>
          <w:tcPr>
            <w:tcW w:w="1092" w:type="dxa"/>
            <w:tcBorders>
              <w:right w:val="single" w:color="000000" w:sz="10" w:space="0"/>
            </w:tcBorders>
            <w:vAlign w:val="top"/>
          </w:tcPr>
          <w:p w14:paraId="0DD4182E">
            <w:pPr>
              <w:pStyle w:val="594"/>
            </w:pPr>
          </w:p>
        </w:tc>
      </w:tr>
      <w:tr w14:paraId="2C67D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598" w:type="dxa"/>
            <w:tcBorders>
              <w:left w:val="single" w:color="000000" w:sz="10" w:space="0"/>
            </w:tcBorders>
            <w:vAlign w:val="top"/>
          </w:tcPr>
          <w:p w14:paraId="1F26A749">
            <w:pPr>
              <w:pStyle w:val="594"/>
            </w:pPr>
          </w:p>
        </w:tc>
        <w:tc>
          <w:tcPr>
            <w:tcW w:w="1389" w:type="dxa"/>
            <w:vAlign w:val="top"/>
          </w:tcPr>
          <w:p w14:paraId="5146DCA8">
            <w:pPr>
              <w:pStyle w:val="594"/>
            </w:pPr>
          </w:p>
        </w:tc>
        <w:tc>
          <w:tcPr>
            <w:tcW w:w="1837" w:type="dxa"/>
            <w:vAlign w:val="top"/>
          </w:tcPr>
          <w:p w14:paraId="1893A3A1">
            <w:pPr>
              <w:pStyle w:val="594"/>
            </w:pPr>
          </w:p>
        </w:tc>
        <w:tc>
          <w:tcPr>
            <w:tcW w:w="1613" w:type="dxa"/>
            <w:gridSpan w:val="2"/>
            <w:vAlign w:val="top"/>
          </w:tcPr>
          <w:p w14:paraId="10947488">
            <w:pPr>
              <w:pStyle w:val="594"/>
            </w:pPr>
          </w:p>
        </w:tc>
        <w:tc>
          <w:tcPr>
            <w:tcW w:w="597" w:type="dxa"/>
            <w:vAlign w:val="top"/>
          </w:tcPr>
          <w:p w14:paraId="5C296BC1">
            <w:pPr>
              <w:pStyle w:val="594"/>
            </w:pPr>
          </w:p>
        </w:tc>
        <w:tc>
          <w:tcPr>
            <w:tcW w:w="1224" w:type="dxa"/>
            <w:vAlign w:val="top"/>
          </w:tcPr>
          <w:p w14:paraId="0F4FFF81">
            <w:pPr>
              <w:pStyle w:val="594"/>
            </w:pPr>
          </w:p>
        </w:tc>
        <w:tc>
          <w:tcPr>
            <w:tcW w:w="866" w:type="dxa"/>
            <w:gridSpan w:val="2"/>
            <w:vAlign w:val="top"/>
          </w:tcPr>
          <w:p w14:paraId="7ED702B8">
            <w:pPr>
              <w:pStyle w:val="594"/>
            </w:pPr>
          </w:p>
        </w:tc>
        <w:tc>
          <w:tcPr>
            <w:tcW w:w="1195" w:type="dxa"/>
            <w:vAlign w:val="top"/>
          </w:tcPr>
          <w:p w14:paraId="35DFE807">
            <w:pPr>
              <w:pStyle w:val="594"/>
            </w:pPr>
          </w:p>
        </w:tc>
        <w:tc>
          <w:tcPr>
            <w:tcW w:w="1092" w:type="dxa"/>
            <w:tcBorders>
              <w:right w:val="single" w:color="000000" w:sz="10" w:space="0"/>
            </w:tcBorders>
            <w:vAlign w:val="top"/>
          </w:tcPr>
          <w:p w14:paraId="5F6B6DD0">
            <w:pPr>
              <w:pStyle w:val="594"/>
            </w:pPr>
          </w:p>
        </w:tc>
      </w:tr>
      <w:tr w14:paraId="49390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598" w:type="dxa"/>
            <w:tcBorders>
              <w:left w:val="single" w:color="000000" w:sz="10" w:space="0"/>
            </w:tcBorders>
            <w:vAlign w:val="top"/>
          </w:tcPr>
          <w:p w14:paraId="7C9A25EE">
            <w:pPr>
              <w:pStyle w:val="594"/>
            </w:pPr>
          </w:p>
        </w:tc>
        <w:tc>
          <w:tcPr>
            <w:tcW w:w="1389" w:type="dxa"/>
            <w:vAlign w:val="top"/>
          </w:tcPr>
          <w:p w14:paraId="232B9B44">
            <w:pPr>
              <w:pStyle w:val="594"/>
            </w:pPr>
          </w:p>
        </w:tc>
        <w:tc>
          <w:tcPr>
            <w:tcW w:w="1837" w:type="dxa"/>
            <w:vAlign w:val="top"/>
          </w:tcPr>
          <w:p w14:paraId="4D44A188">
            <w:pPr>
              <w:pStyle w:val="594"/>
            </w:pPr>
          </w:p>
        </w:tc>
        <w:tc>
          <w:tcPr>
            <w:tcW w:w="1613" w:type="dxa"/>
            <w:gridSpan w:val="2"/>
            <w:vAlign w:val="top"/>
          </w:tcPr>
          <w:p w14:paraId="034E6085">
            <w:pPr>
              <w:pStyle w:val="594"/>
            </w:pPr>
          </w:p>
        </w:tc>
        <w:tc>
          <w:tcPr>
            <w:tcW w:w="597" w:type="dxa"/>
            <w:vAlign w:val="top"/>
          </w:tcPr>
          <w:p w14:paraId="0109EDC4">
            <w:pPr>
              <w:pStyle w:val="594"/>
            </w:pPr>
          </w:p>
        </w:tc>
        <w:tc>
          <w:tcPr>
            <w:tcW w:w="1224" w:type="dxa"/>
            <w:vAlign w:val="top"/>
          </w:tcPr>
          <w:p w14:paraId="654F4603">
            <w:pPr>
              <w:pStyle w:val="594"/>
            </w:pPr>
          </w:p>
        </w:tc>
        <w:tc>
          <w:tcPr>
            <w:tcW w:w="866" w:type="dxa"/>
            <w:gridSpan w:val="2"/>
            <w:vAlign w:val="top"/>
          </w:tcPr>
          <w:p w14:paraId="655A0D8B">
            <w:pPr>
              <w:pStyle w:val="594"/>
            </w:pPr>
          </w:p>
        </w:tc>
        <w:tc>
          <w:tcPr>
            <w:tcW w:w="1195" w:type="dxa"/>
            <w:vAlign w:val="top"/>
          </w:tcPr>
          <w:p w14:paraId="1762EC3B">
            <w:pPr>
              <w:pStyle w:val="594"/>
            </w:pPr>
          </w:p>
        </w:tc>
        <w:tc>
          <w:tcPr>
            <w:tcW w:w="1092" w:type="dxa"/>
            <w:tcBorders>
              <w:right w:val="single" w:color="000000" w:sz="10" w:space="0"/>
            </w:tcBorders>
            <w:vAlign w:val="top"/>
          </w:tcPr>
          <w:p w14:paraId="5D7DA611">
            <w:pPr>
              <w:pStyle w:val="594"/>
            </w:pPr>
          </w:p>
        </w:tc>
      </w:tr>
      <w:tr w14:paraId="5368F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598" w:type="dxa"/>
            <w:tcBorders>
              <w:left w:val="single" w:color="000000" w:sz="10" w:space="0"/>
            </w:tcBorders>
            <w:vAlign w:val="top"/>
          </w:tcPr>
          <w:p w14:paraId="11249211">
            <w:pPr>
              <w:pStyle w:val="594"/>
            </w:pPr>
          </w:p>
        </w:tc>
        <w:tc>
          <w:tcPr>
            <w:tcW w:w="1389" w:type="dxa"/>
            <w:vAlign w:val="top"/>
          </w:tcPr>
          <w:p w14:paraId="4230D5F4">
            <w:pPr>
              <w:pStyle w:val="594"/>
            </w:pPr>
          </w:p>
        </w:tc>
        <w:tc>
          <w:tcPr>
            <w:tcW w:w="1837" w:type="dxa"/>
            <w:vAlign w:val="top"/>
          </w:tcPr>
          <w:p w14:paraId="0C3B8FF4">
            <w:pPr>
              <w:pStyle w:val="594"/>
            </w:pPr>
          </w:p>
        </w:tc>
        <w:tc>
          <w:tcPr>
            <w:tcW w:w="1613" w:type="dxa"/>
            <w:gridSpan w:val="2"/>
            <w:vAlign w:val="top"/>
          </w:tcPr>
          <w:p w14:paraId="10E94F89">
            <w:pPr>
              <w:pStyle w:val="594"/>
            </w:pPr>
          </w:p>
        </w:tc>
        <w:tc>
          <w:tcPr>
            <w:tcW w:w="597" w:type="dxa"/>
            <w:vAlign w:val="top"/>
          </w:tcPr>
          <w:p w14:paraId="7E431472">
            <w:pPr>
              <w:pStyle w:val="594"/>
            </w:pPr>
          </w:p>
        </w:tc>
        <w:tc>
          <w:tcPr>
            <w:tcW w:w="1224" w:type="dxa"/>
            <w:vAlign w:val="top"/>
          </w:tcPr>
          <w:p w14:paraId="37DC32CA">
            <w:pPr>
              <w:pStyle w:val="594"/>
            </w:pPr>
          </w:p>
        </w:tc>
        <w:tc>
          <w:tcPr>
            <w:tcW w:w="866" w:type="dxa"/>
            <w:gridSpan w:val="2"/>
            <w:vAlign w:val="top"/>
          </w:tcPr>
          <w:p w14:paraId="626D5C1D">
            <w:pPr>
              <w:pStyle w:val="594"/>
            </w:pPr>
          </w:p>
        </w:tc>
        <w:tc>
          <w:tcPr>
            <w:tcW w:w="1195" w:type="dxa"/>
            <w:vAlign w:val="top"/>
          </w:tcPr>
          <w:p w14:paraId="38D927AC">
            <w:pPr>
              <w:pStyle w:val="594"/>
            </w:pPr>
          </w:p>
        </w:tc>
        <w:tc>
          <w:tcPr>
            <w:tcW w:w="1092" w:type="dxa"/>
            <w:tcBorders>
              <w:right w:val="single" w:color="000000" w:sz="10" w:space="0"/>
            </w:tcBorders>
            <w:vAlign w:val="top"/>
          </w:tcPr>
          <w:p w14:paraId="4FCDED0C">
            <w:pPr>
              <w:pStyle w:val="594"/>
            </w:pPr>
          </w:p>
        </w:tc>
      </w:tr>
      <w:tr w14:paraId="4FF23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598" w:type="dxa"/>
            <w:tcBorders>
              <w:left w:val="single" w:color="000000" w:sz="10" w:space="0"/>
            </w:tcBorders>
            <w:vAlign w:val="top"/>
          </w:tcPr>
          <w:p w14:paraId="0EFC8482">
            <w:pPr>
              <w:pStyle w:val="594"/>
            </w:pPr>
          </w:p>
        </w:tc>
        <w:tc>
          <w:tcPr>
            <w:tcW w:w="1389" w:type="dxa"/>
            <w:vAlign w:val="top"/>
          </w:tcPr>
          <w:p w14:paraId="1A5CE88A">
            <w:pPr>
              <w:pStyle w:val="594"/>
            </w:pPr>
          </w:p>
        </w:tc>
        <w:tc>
          <w:tcPr>
            <w:tcW w:w="1837" w:type="dxa"/>
            <w:vAlign w:val="top"/>
          </w:tcPr>
          <w:p w14:paraId="594A07C9">
            <w:pPr>
              <w:pStyle w:val="594"/>
            </w:pPr>
          </w:p>
        </w:tc>
        <w:tc>
          <w:tcPr>
            <w:tcW w:w="1613" w:type="dxa"/>
            <w:gridSpan w:val="2"/>
            <w:vAlign w:val="top"/>
          </w:tcPr>
          <w:p w14:paraId="7BE9BE61">
            <w:pPr>
              <w:pStyle w:val="594"/>
            </w:pPr>
          </w:p>
        </w:tc>
        <w:tc>
          <w:tcPr>
            <w:tcW w:w="597" w:type="dxa"/>
            <w:vAlign w:val="top"/>
          </w:tcPr>
          <w:p w14:paraId="79E7ACB0">
            <w:pPr>
              <w:pStyle w:val="594"/>
            </w:pPr>
          </w:p>
        </w:tc>
        <w:tc>
          <w:tcPr>
            <w:tcW w:w="1224" w:type="dxa"/>
            <w:vAlign w:val="top"/>
          </w:tcPr>
          <w:p w14:paraId="293A0B39">
            <w:pPr>
              <w:pStyle w:val="594"/>
            </w:pPr>
          </w:p>
        </w:tc>
        <w:tc>
          <w:tcPr>
            <w:tcW w:w="866" w:type="dxa"/>
            <w:gridSpan w:val="2"/>
            <w:vAlign w:val="top"/>
          </w:tcPr>
          <w:p w14:paraId="47DA0ADC">
            <w:pPr>
              <w:pStyle w:val="594"/>
            </w:pPr>
          </w:p>
        </w:tc>
        <w:tc>
          <w:tcPr>
            <w:tcW w:w="1195" w:type="dxa"/>
            <w:vAlign w:val="top"/>
          </w:tcPr>
          <w:p w14:paraId="7B46C51D">
            <w:pPr>
              <w:pStyle w:val="594"/>
            </w:pPr>
          </w:p>
        </w:tc>
        <w:tc>
          <w:tcPr>
            <w:tcW w:w="1092" w:type="dxa"/>
            <w:tcBorders>
              <w:right w:val="single" w:color="000000" w:sz="10" w:space="0"/>
            </w:tcBorders>
            <w:vAlign w:val="top"/>
          </w:tcPr>
          <w:p w14:paraId="12B9599E">
            <w:pPr>
              <w:pStyle w:val="594"/>
            </w:pPr>
          </w:p>
        </w:tc>
      </w:tr>
      <w:tr w14:paraId="7BD88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6034" w:type="dxa"/>
            <w:gridSpan w:val="6"/>
            <w:tcBorders>
              <w:left w:val="single" w:color="000000" w:sz="10" w:space="0"/>
              <w:bottom w:val="single" w:color="000000" w:sz="10" w:space="0"/>
            </w:tcBorders>
            <w:vAlign w:val="top"/>
          </w:tcPr>
          <w:p w14:paraId="512CCB71">
            <w:pPr>
              <w:spacing w:before="98" w:line="231" w:lineRule="auto"/>
              <w:ind w:left="2618"/>
              <w:rPr>
                <w:rFonts w:ascii="宋体" w:hAnsi="宋体" w:eastAsia="宋体" w:cs="宋体"/>
                <w:sz w:val="19"/>
                <w:szCs w:val="19"/>
              </w:rPr>
            </w:pPr>
            <w:r>
              <w:rPr>
                <w:rFonts w:ascii="宋体" w:hAnsi="宋体" w:eastAsia="宋体" w:cs="宋体"/>
                <w:spacing w:val="1"/>
                <w:sz w:val="19"/>
                <w:szCs w:val="19"/>
              </w:rPr>
              <w:t>合</w:t>
            </w:r>
            <w:r>
              <w:rPr>
                <w:rFonts w:ascii="宋体" w:hAnsi="宋体" w:eastAsia="宋体" w:cs="宋体"/>
                <w:spacing w:val="10"/>
                <w:sz w:val="19"/>
                <w:szCs w:val="19"/>
              </w:rPr>
              <w:t xml:space="preserve">    </w:t>
            </w:r>
            <w:r>
              <w:rPr>
                <w:rFonts w:ascii="宋体" w:hAnsi="宋体" w:eastAsia="宋体" w:cs="宋体"/>
                <w:spacing w:val="1"/>
                <w:sz w:val="19"/>
                <w:szCs w:val="19"/>
              </w:rPr>
              <w:t>计</w:t>
            </w:r>
          </w:p>
        </w:tc>
        <w:tc>
          <w:tcPr>
            <w:tcW w:w="1224" w:type="dxa"/>
            <w:tcBorders>
              <w:bottom w:val="single" w:color="000000" w:sz="10" w:space="0"/>
            </w:tcBorders>
            <w:vAlign w:val="top"/>
          </w:tcPr>
          <w:p w14:paraId="5583A059">
            <w:pPr>
              <w:pStyle w:val="594"/>
            </w:pPr>
          </w:p>
        </w:tc>
        <w:tc>
          <w:tcPr>
            <w:tcW w:w="866" w:type="dxa"/>
            <w:gridSpan w:val="2"/>
            <w:tcBorders>
              <w:bottom w:val="single" w:color="000000" w:sz="10" w:space="0"/>
            </w:tcBorders>
            <w:vAlign w:val="top"/>
          </w:tcPr>
          <w:p w14:paraId="0C7D5374">
            <w:pPr>
              <w:pStyle w:val="594"/>
            </w:pPr>
          </w:p>
        </w:tc>
        <w:tc>
          <w:tcPr>
            <w:tcW w:w="1195" w:type="dxa"/>
            <w:tcBorders>
              <w:bottom w:val="single" w:color="000000" w:sz="10" w:space="0"/>
            </w:tcBorders>
            <w:vAlign w:val="top"/>
          </w:tcPr>
          <w:p w14:paraId="38975CDF">
            <w:pPr>
              <w:pStyle w:val="594"/>
            </w:pPr>
          </w:p>
        </w:tc>
        <w:tc>
          <w:tcPr>
            <w:tcW w:w="1092" w:type="dxa"/>
            <w:tcBorders>
              <w:bottom w:val="single" w:color="000000" w:sz="10" w:space="0"/>
              <w:right w:val="single" w:color="000000" w:sz="10" w:space="0"/>
            </w:tcBorders>
            <w:vAlign w:val="top"/>
          </w:tcPr>
          <w:p w14:paraId="7F6E527C">
            <w:pPr>
              <w:pStyle w:val="594"/>
            </w:pPr>
          </w:p>
        </w:tc>
      </w:tr>
    </w:tbl>
    <w:p w14:paraId="23AB4075">
      <w:pPr>
        <w:spacing w:line="171" w:lineRule="exact"/>
      </w:pPr>
    </w:p>
    <w:tbl>
      <w:tblPr>
        <w:tblStyle w:val="333"/>
        <w:tblW w:w="10402" w:type="dxa"/>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Grid>
        <w:gridCol w:w="4909"/>
        <w:gridCol w:w="2559"/>
        <w:gridCol w:w="2934"/>
      </w:tblGrid>
      <w:tr w14:paraId="4C627E0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77" w:hRule="atLeast"/>
        </w:trPr>
        <w:tc>
          <w:tcPr>
            <w:tcW w:w="4909" w:type="dxa"/>
            <w:tcBorders>
              <w:top w:val="nil"/>
              <w:left w:val="nil"/>
            </w:tcBorders>
            <w:vAlign w:val="top"/>
          </w:tcPr>
          <w:p w14:paraId="494E6944">
            <w:pPr>
              <w:spacing w:before="96" w:line="229" w:lineRule="auto"/>
              <w:ind w:left="38"/>
              <w:rPr>
                <w:rFonts w:ascii="宋体" w:hAnsi="宋体" w:eastAsia="宋体" w:cs="宋体"/>
                <w:sz w:val="17"/>
                <w:szCs w:val="17"/>
              </w:rPr>
            </w:pPr>
            <w:r>
              <w:rPr>
                <w:rFonts w:ascii="宋体" w:hAnsi="宋体" w:eastAsia="宋体" w:cs="宋体"/>
                <w:spacing w:val="8"/>
                <w:sz w:val="17"/>
                <w:szCs w:val="17"/>
              </w:rPr>
              <w:t>编制人（造价人员</w:t>
            </w:r>
            <w:r>
              <w:rPr>
                <w:rFonts w:ascii="宋体" w:hAnsi="宋体" w:eastAsia="宋体" w:cs="宋体"/>
                <w:spacing w:val="-5"/>
                <w:sz w:val="17"/>
                <w:szCs w:val="17"/>
              </w:rPr>
              <w:t>）：</w:t>
            </w:r>
          </w:p>
        </w:tc>
        <w:tc>
          <w:tcPr>
            <w:tcW w:w="2559" w:type="dxa"/>
            <w:tcBorders>
              <w:top w:val="nil"/>
            </w:tcBorders>
            <w:vAlign w:val="top"/>
          </w:tcPr>
          <w:p w14:paraId="6EAA288C">
            <w:pPr>
              <w:spacing w:before="96" w:line="229" w:lineRule="auto"/>
              <w:ind w:left="562"/>
              <w:rPr>
                <w:rFonts w:ascii="宋体" w:hAnsi="宋体" w:eastAsia="宋体" w:cs="宋体"/>
                <w:sz w:val="17"/>
                <w:szCs w:val="17"/>
              </w:rPr>
            </w:pPr>
            <w:r>
              <w:rPr>
                <w:rFonts w:ascii="宋体" w:hAnsi="宋体" w:eastAsia="宋体" w:cs="宋体"/>
                <w:spacing w:val="8"/>
                <w:sz w:val="17"/>
                <w:szCs w:val="17"/>
              </w:rPr>
              <w:t>复核人（造价工程师</w:t>
            </w:r>
            <w:r>
              <w:rPr>
                <w:rFonts w:ascii="宋体" w:hAnsi="宋体" w:eastAsia="宋体" w:cs="宋体"/>
                <w:spacing w:val="-6"/>
                <w:sz w:val="17"/>
                <w:szCs w:val="17"/>
              </w:rPr>
              <w:t>）：</w:t>
            </w:r>
          </w:p>
        </w:tc>
        <w:tc>
          <w:tcPr>
            <w:tcW w:w="2934" w:type="dxa"/>
            <w:tcBorders>
              <w:top w:val="nil"/>
              <w:right w:val="single" w:color="FFFFFF" w:sz="2" w:space="0"/>
            </w:tcBorders>
            <w:vAlign w:val="top"/>
          </w:tcPr>
          <w:p w14:paraId="594C87E2">
            <w:pPr>
              <w:pStyle w:val="594"/>
            </w:pPr>
          </w:p>
        </w:tc>
      </w:tr>
      <w:tr w14:paraId="11703FA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56" w:hRule="atLeast"/>
        </w:trPr>
        <w:tc>
          <w:tcPr>
            <w:tcW w:w="4909" w:type="dxa"/>
            <w:tcBorders>
              <w:left w:val="nil"/>
              <w:bottom w:val="single" w:color="FFFFFF" w:sz="2" w:space="0"/>
            </w:tcBorders>
            <w:vAlign w:val="top"/>
          </w:tcPr>
          <w:p w14:paraId="6D169811">
            <w:pPr>
              <w:pStyle w:val="594"/>
            </w:pPr>
          </w:p>
        </w:tc>
        <w:tc>
          <w:tcPr>
            <w:tcW w:w="2559" w:type="dxa"/>
            <w:tcBorders>
              <w:bottom w:val="single" w:color="FFFFFF" w:sz="2" w:space="0"/>
            </w:tcBorders>
            <w:vAlign w:val="top"/>
          </w:tcPr>
          <w:p w14:paraId="16649F8A">
            <w:pPr>
              <w:pStyle w:val="594"/>
            </w:pPr>
          </w:p>
        </w:tc>
        <w:tc>
          <w:tcPr>
            <w:tcW w:w="2934" w:type="dxa"/>
            <w:tcBorders>
              <w:bottom w:val="single" w:color="FFFFFF" w:sz="2" w:space="0"/>
              <w:right w:val="single" w:color="FFFFFF" w:sz="2" w:space="0"/>
            </w:tcBorders>
            <w:vAlign w:val="top"/>
          </w:tcPr>
          <w:p w14:paraId="0746843F">
            <w:pPr>
              <w:spacing w:before="158" w:line="204" w:lineRule="auto"/>
              <w:ind w:right="24"/>
              <w:jc w:val="right"/>
              <w:rPr>
                <w:rFonts w:ascii="宋体" w:hAnsi="宋体" w:eastAsia="宋体" w:cs="宋体"/>
                <w:sz w:val="17"/>
                <w:szCs w:val="17"/>
              </w:rPr>
            </w:pPr>
            <w:r>
              <w:rPr>
                <w:rFonts w:ascii="宋体" w:hAnsi="宋体" w:eastAsia="宋体" w:cs="宋体"/>
                <w:spacing w:val="4"/>
                <w:sz w:val="17"/>
                <w:szCs w:val="17"/>
              </w:rPr>
              <w:t>表-11</w:t>
            </w:r>
          </w:p>
        </w:tc>
      </w:tr>
    </w:tbl>
    <w:p w14:paraId="16E177E7">
      <w:pPr>
        <w:pStyle w:val="14"/>
        <w:rPr>
          <w:sz w:val="21"/>
        </w:rPr>
      </w:pPr>
    </w:p>
    <w:p w14:paraId="1E564FA3">
      <w:pPr>
        <w:rPr>
          <w:sz w:val="21"/>
          <w:szCs w:val="21"/>
        </w:rPr>
        <w:sectPr>
          <w:pgSz w:w="11960" w:h="16880"/>
          <w:pgMar w:top="400" w:right="790" w:bottom="0" w:left="733" w:header="0" w:footer="0" w:gutter="0"/>
          <w:cols w:space="720" w:num="1"/>
        </w:sectPr>
      </w:pPr>
    </w:p>
    <w:p w14:paraId="5E7ED2C6">
      <w:pPr>
        <w:spacing w:before="41"/>
      </w:pPr>
      <w:r>
        <w:drawing>
          <wp:anchor distT="0" distB="0" distL="0" distR="0" simplePos="0" relativeHeight="251666432" behindDoc="1" locked="0" layoutInCell="0" allowOverlap="1">
            <wp:simplePos x="0" y="0"/>
            <wp:positionH relativeFrom="page">
              <wp:posOffset>5394325</wp:posOffset>
            </wp:positionH>
            <wp:positionV relativeFrom="page">
              <wp:posOffset>539750</wp:posOffset>
            </wp:positionV>
            <wp:extent cx="9525" cy="261620"/>
            <wp:effectExtent l="0" t="0" r="9525" b="508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4"/>
                    <a:stretch>
                      <a:fillRect/>
                    </a:stretch>
                  </pic:blipFill>
                  <pic:spPr>
                    <a:xfrm>
                      <a:off x="0" y="0"/>
                      <a:ext cx="9509" cy="261518"/>
                    </a:xfrm>
                    <a:prstGeom prst="rect">
                      <a:avLst/>
                    </a:prstGeom>
                  </pic:spPr>
                </pic:pic>
              </a:graphicData>
            </a:graphic>
          </wp:anchor>
        </w:drawing>
      </w:r>
      <w:r>
        <w:drawing>
          <wp:anchor distT="0" distB="0" distL="0" distR="0" simplePos="0" relativeHeight="251667456" behindDoc="0" locked="0" layoutInCell="0" allowOverlap="1">
            <wp:simplePos x="0" y="0"/>
            <wp:positionH relativeFrom="page">
              <wp:posOffset>7066915</wp:posOffset>
            </wp:positionH>
            <wp:positionV relativeFrom="page">
              <wp:posOffset>539750</wp:posOffset>
            </wp:positionV>
            <wp:extent cx="6350" cy="261620"/>
            <wp:effectExtent l="0" t="0" r="12700" b="508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5"/>
                    <a:stretch>
                      <a:fillRect/>
                    </a:stretch>
                  </pic:blipFill>
                  <pic:spPr>
                    <a:xfrm>
                      <a:off x="0" y="0"/>
                      <a:ext cx="6350" cy="261518"/>
                    </a:xfrm>
                    <a:prstGeom prst="rect">
                      <a:avLst/>
                    </a:prstGeom>
                  </pic:spPr>
                </pic:pic>
              </a:graphicData>
            </a:graphic>
          </wp:anchor>
        </w:drawing>
      </w:r>
    </w:p>
    <w:p w14:paraId="480A259B">
      <w:pPr>
        <w:spacing w:before="41"/>
      </w:pPr>
    </w:p>
    <w:p w14:paraId="0FC74DC7">
      <w:pPr>
        <w:spacing w:before="40"/>
      </w:pPr>
    </w:p>
    <w:tbl>
      <w:tblPr>
        <w:tblStyle w:val="333"/>
        <w:tblW w:w="104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0"/>
        <w:gridCol w:w="3510"/>
        <w:gridCol w:w="239"/>
        <w:gridCol w:w="1851"/>
        <w:gridCol w:w="852"/>
        <w:gridCol w:w="791"/>
        <w:gridCol w:w="1868"/>
      </w:tblGrid>
      <w:tr w14:paraId="42C83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jc w:val="center"/>
        </w:trPr>
        <w:tc>
          <w:tcPr>
            <w:tcW w:w="10411" w:type="dxa"/>
            <w:gridSpan w:val="7"/>
            <w:tcBorders>
              <w:top w:val="single" w:color="FFFFFF" w:sz="4" w:space="0"/>
              <w:left w:val="nil"/>
              <w:bottom w:val="single" w:color="FFFFFF" w:sz="4" w:space="0"/>
              <w:right w:val="single" w:color="FFFFFF" w:sz="2" w:space="0"/>
            </w:tcBorders>
            <w:vAlign w:val="top"/>
          </w:tcPr>
          <w:p w14:paraId="68DE6E50">
            <w:pPr>
              <w:spacing w:before="192" w:line="223" w:lineRule="auto"/>
              <w:ind w:left="2684"/>
              <w:outlineLvl w:val="0"/>
              <w:rPr>
                <w:rFonts w:ascii="宋体" w:hAnsi="宋体" w:eastAsia="宋体" w:cs="宋体"/>
                <w:sz w:val="39"/>
                <w:szCs w:val="39"/>
              </w:rPr>
            </w:pPr>
            <w:r>
              <w:rPr>
                <w:rFonts w:ascii="宋体" w:hAnsi="宋体" w:eastAsia="宋体" w:cs="宋体"/>
                <w:spacing w:val="26"/>
                <w:sz w:val="39"/>
                <w:szCs w:val="39"/>
              </w:rPr>
              <w:t>其他项目清单与计价汇总表</w:t>
            </w:r>
          </w:p>
        </w:tc>
      </w:tr>
      <w:tr w14:paraId="1CDFE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jc w:val="center"/>
        </w:trPr>
        <w:tc>
          <w:tcPr>
            <w:tcW w:w="4810" w:type="dxa"/>
            <w:gridSpan w:val="2"/>
            <w:tcBorders>
              <w:top w:val="single" w:color="FFFFFF" w:sz="4" w:space="0"/>
              <w:left w:val="nil"/>
              <w:bottom w:val="single" w:color="000000" w:sz="10" w:space="0"/>
              <w:right w:val="single" w:color="FFFFFF" w:sz="4" w:space="0"/>
            </w:tcBorders>
            <w:vAlign w:val="top"/>
          </w:tcPr>
          <w:p w14:paraId="2EE0B87B">
            <w:pPr>
              <w:pStyle w:val="594"/>
              <w:spacing w:line="267" w:lineRule="auto"/>
            </w:pPr>
          </w:p>
          <w:p w14:paraId="0ECF5DCB">
            <w:pPr>
              <w:pStyle w:val="594"/>
              <w:spacing w:line="268" w:lineRule="auto"/>
            </w:pPr>
          </w:p>
          <w:p w14:paraId="13D446E9">
            <w:pPr>
              <w:spacing w:before="62" w:line="209" w:lineRule="auto"/>
              <w:ind w:left="28"/>
              <w:rPr>
                <w:rFonts w:ascii="宋体" w:hAnsi="宋体" w:eastAsia="宋体" w:cs="宋体"/>
                <w:sz w:val="19"/>
                <w:szCs w:val="19"/>
              </w:rPr>
            </w:pPr>
            <w:r>
              <w:rPr>
                <w:rFonts w:ascii="宋体" w:hAnsi="宋体" w:eastAsia="宋体" w:cs="宋体"/>
                <w:spacing w:val="4"/>
                <w:sz w:val="19"/>
                <w:szCs w:val="19"/>
              </w:rPr>
              <w:t>工程名称：沭阳县耿圩镇污水处理厂提质提标项目</w:t>
            </w:r>
          </w:p>
        </w:tc>
        <w:tc>
          <w:tcPr>
            <w:tcW w:w="2942" w:type="dxa"/>
            <w:gridSpan w:val="3"/>
            <w:tcBorders>
              <w:top w:val="single" w:color="FFFFFF" w:sz="4" w:space="0"/>
              <w:left w:val="single" w:color="FFFFFF" w:sz="4" w:space="0"/>
              <w:bottom w:val="single" w:color="000000" w:sz="10" w:space="0"/>
              <w:right w:val="single" w:color="FFFFFF" w:sz="4" w:space="0"/>
            </w:tcBorders>
            <w:vAlign w:val="top"/>
          </w:tcPr>
          <w:p w14:paraId="78100B74">
            <w:pPr>
              <w:pStyle w:val="594"/>
              <w:spacing w:line="342" w:lineRule="auto"/>
            </w:pPr>
          </w:p>
          <w:p w14:paraId="033B4CF4">
            <w:pPr>
              <w:spacing w:before="62" w:line="199" w:lineRule="auto"/>
              <w:ind w:left="31" w:right="178"/>
              <w:rPr>
                <w:rFonts w:ascii="宋体" w:hAnsi="宋体" w:eastAsia="宋体" w:cs="宋体"/>
                <w:sz w:val="19"/>
                <w:szCs w:val="19"/>
              </w:rPr>
            </w:pPr>
            <w:r>
              <w:rPr>
                <w:rFonts w:ascii="宋体" w:hAnsi="宋体" w:eastAsia="宋体" w:cs="宋体"/>
                <w:spacing w:val="4"/>
                <w:sz w:val="19"/>
                <w:szCs w:val="19"/>
              </w:rPr>
              <w:t>标段：沭阳县耿圩镇污水处理厂 提质提标项目</w:t>
            </w:r>
          </w:p>
        </w:tc>
        <w:tc>
          <w:tcPr>
            <w:tcW w:w="2659" w:type="dxa"/>
            <w:gridSpan w:val="2"/>
            <w:tcBorders>
              <w:top w:val="single" w:color="FFFFFF" w:sz="4" w:space="0"/>
              <w:left w:val="single" w:color="FFFFFF" w:sz="4" w:space="0"/>
              <w:bottom w:val="single" w:color="000000" w:sz="10" w:space="0"/>
              <w:right w:val="single" w:color="FFFFFF" w:sz="2" w:space="0"/>
            </w:tcBorders>
            <w:vAlign w:val="top"/>
          </w:tcPr>
          <w:p w14:paraId="2673F113">
            <w:pPr>
              <w:pStyle w:val="594"/>
              <w:spacing w:line="267" w:lineRule="auto"/>
            </w:pPr>
          </w:p>
          <w:p w14:paraId="6C37E1EA">
            <w:pPr>
              <w:pStyle w:val="594"/>
              <w:spacing w:line="268" w:lineRule="auto"/>
            </w:pPr>
          </w:p>
          <w:p w14:paraId="432A627F">
            <w:pPr>
              <w:spacing w:before="62" w:line="209" w:lineRule="auto"/>
              <w:ind w:left="1101"/>
              <w:rPr>
                <w:rFonts w:ascii="宋体" w:hAnsi="宋体" w:eastAsia="宋体" w:cs="宋体"/>
                <w:sz w:val="19"/>
                <w:szCs w:val="19"/>
              </w:rPr>
            </w:pPr>
            <w:r>
              <w:rPr>
                <w:rFonts w:ascii="宋体" w:hAnsi="宋体" w:eastAsia="宋体" w:cs="宋体"/>
                <w:spacing w:val="-6"/>
                <w:sz w:val="19"/>
                <w:szCs w:val="19"/>
              </w:rPr>
              <w:t>第</w:t>
            </w:r>
            <w:r>
              <w:rPr>
                <w:rFonts w:ascii="宋体" w:hAnsi="宋体" w:eastAsia="宋体" w:cs="宋体"/>
                <w:spacing w:val="27"/>
                <w:sz w:val="19"/>
                <w:szCs w:val="19"/>
              </w:rPr>
              <w:t xml:space="preserve"> </w:t>
            </w:r>
            <w:r>
              <w:rPr>
                <w:rFonts w:ascii="宋体" w:hAnsi="宋体" w:eastAsia="宋体" w:cs="宋体"/>
                <w:spacing w:val="-6"/>
                <w:sz w:val="19"/>
                <w:szCs w:val="19"/>
              </w:rPr>
              <w:t>1</w:t>
            </w:r>
            <w:r>
              <w:rPr>
                <w:rFonts w:ascii="宋体" w:hAnsi="宋体" w:eastAsia="宋体" w:cs="宋体"/>
                <w:spacing w:val="27"/>
                <w:sz w:val="19"/>
                <w:szCs w:val="19"/>
              </w:rPr>
              <w:t xml:space="preserve"> </w:t>
            </w:r>
            <w:r>
              <w:rPr>
                <w:rFonts w:ascii="宋体" w:hAnsi="宋体" w:eastAsia="宋体" w:cs="宋体"/>
                <w:spacing w:val="-6"/>
                <w:sz w:val="19"/>
                <w:szCs w:val="19"/>
              </w:rPr>
              <w:t>页</w:t>
            </w:r>
            <w:r>
              <w:rPr>
                <w:rFonts w:ascii="宋体" w:hAnsi="宋体" w:eastAsia="宋体" w:cs="宋体"/>
                <w:spacing w:val="9"/>
                <w:sz w:val="19"/>
                <w:szCs w:val="19"/>
              </w:rPr>
              <w:t xml:space="preserve"> </w:t>
            </w:r>
            <w:r>
              <w:rPr>
                <w:rFonts w:ascii="宋体" w:hAnsi="宋体" w:eastAsia="宋体" w:cs="宋体"/>
                <w:spacing w:val="-6"/>
                <w:sz w:val="19"/>
                <w:szCs w:val="19"/>
              </w:rPr>
              <w:t>共</w:t>
            </w:r>
            <w:r>
              <w:rPr>
                <w:rFonts w:ascii="宋体" w:hAnsi="宋体" w:eastAsia="宋体" w:cs="宋体"/>
                <w:spacing w:val="27"/>
                <w:sz w:val="19"/>
                <w:szCs w:val="19"/>
              </w:rPr>
              <w:t xml:space="preserve"> </w:t>
            </w:r>
            <w:r>
              <w:rPr>
                <w:rFonts w:ascii="宋体" w:hAnsi="宋体" w:eastAsia="宋体" w:cs="宋体"/>
                <w:spacing w:val="-6"/>
                <w:sz w:val="19"/>
                <w:szCs w:val="19"/>
              </w:rPr>
              <w:t>1</w:t>
            </w:r>
            <w:r>
              <w:rPr>
                <w:rFonts w:ascii="宋体" w:hAnsi="宋体" w:eastAsia="宋体" w:cs="宋体"/>
                <w:spacing w:val="26"/>
                <w:sz w:val="19"/>
                <w:szCs w:val="19"/>
              </w:rPr>
              <w:t xml:space="preserve"> </w:t>
            </w:r>
            <w:r>
              <w:rPr>
                <w:rFonts w:ascii="宋体" w:hAnsi="宋体" w:eastAsia="宋体" w:cs="宋体"/>
                <w:spacing w:val="-6"/>
                <w:sz w:val="19"/>
                <w:szCs w:val="19"/>
              </w:rPr>
              <w:t>页</w:t>
            </w:r>
          </w:p>
        </w:tc>
      </w:tr>
      <w:tr w14:paraId="0E1FC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1300" w:type="dxa"/>
            <w:tcBorders>
              <w:top w:val="single" w:color="000000" w:sz="10" w:space="0"/>
              <w:left w:val="single" w:color="000000" w:sz="10" w:space="0"/>
            </w:tcBorders>
            <w:vAlign w:val="top"/>
          </w:tcPr>
          <w:p w14:paraId="14E11F55">
            <w:pPr>
              <w:spacing w:before="109" w:line="231" w:lineRule="auto"/>
              <w:ind w:left="446"/>
              <w:rPr>
                <w:rFonts w:ascii="宋体" w:hAnsi="宋体" w:eastAsia="宋体" w:cs="宋体"/>
                <w:sz w:val="19"/>
                <w:szCs w:val="19"/>
              </w:rPr>
            </w:pPr>
            <w:r>
              <w:rPr>
                <w:rFonts w:ascii="宋体" w:hAnsi="宋体" w:eastAsia="宋体" w:cs="宋体"/>
                <w:spacing w:val="3"/>
                <w:sz w:val="19"/>
                <w:szCs w:val="19"/>
              </w:rPr>
              <w:t>序号</w:t>
            </w:r>
          </w:p>
        </w:tc>
        <w:tc>
          <w:tcPr>
            <w:tcW w:w="3749" w:type="dxa"/>
            <w:gridSpan w:val="2"/>
            <w:tcBorders>
              <w:top w:val="single" w:color="000000" w:sz="10" w:space="0"/>
            </w:tcBorders>
            <w:vAlign w:val="top"/>
          </w:tcPr>
          <w:p w14:paraId="7E060B82">
            <w:pPr>
              <w:spacing w:before="110" w:line="230" w:lineRule="auto"/>
              <w:ind w:left="1493"/>
              <w:rPr>
                <w:rFonts w:ascii="宋体" w:hAnsi="宋体" w:eastAsia="宋体" w:cs="宋体"/>
                <w:sz w:val="19"/>
                <w:szCs w:val="19"/>
              </w:rPr>
            </w:pPr>
            <w:r>
              <w:rPr>
                <w:rFonts w:ascii="宋体" w:hAnsi="宋体" w:eastAsia="宋体" w:cs="宋体"/>
                <w:spacing w:val="3"/>
                <w:sz w:val="19"/>
                <w:szCs w:val="19"/>
              </w:rPr>
              <w:t>项目名称</w:t>
            </w:r>
          </w:p>
        </w:tc>
        <w:tc>
          <w:tcPr>
            <w:tcW w:w="1851" w:type="dxa"/>
            <w:tcBorders>
              <w:top w:val="single" w:color="000000" w:sz="10" w:space="0"/>
            </w:tcBorders>
            <w:vAlign w:val="top"/>
          </w:tcPr>
          <w:p w14:paraId="3E24CBBA">
            <w:pPr>
              <w:spacing w:before="109" w:line="230" w:lineRule="auto"/>
              <w:ind w:left="452"/>
              <w:rPr>
                <w:rFonts w:ascii="宋体" w:hAnsi="宋体" w:eastAsia="宋体" w:cs="宋体"/>
                <w:sz w:val="19"/>
                <w:szCs w:val="19"/>
              </w:rPr>
            </w:pPr>
            <w:r>
              <w:rPr>
                <w:rFonts w:ascii="宋体" w:hAnsi="宋体" w:eastAsia="宋体" w:cs="宋体"/>
                <w:spacing w:val="2"/>
                <w:sz w:val="19"/>
                <w:szCs w:val="19"/>
              </w:rPr>
              <w:t>金额（元）</w:t>
            </w:r>
          </w:p>
        </w:tc>
        <w:tc>
          <w:tcPr>
            <w:tcW w:w="1643" w:type="dxa"/>
            <w:gridSpan w:val="2"/>
            <w:tcBorders>
              <w:top w:val="single" w:color="000000" w:sz="10" w:space="0"/>
            </w:tcBorders>
            <w:vAlign w:val="top"/>
          </w:tcPr>
          <w:p w14:paraId="01A3039E">
            <w:pPr>
              <w:spacing w:before="109" w:line="230" w:lineRule="auto"/>
              <w:ind w:left="161"/>
              <w:rPr>
                <w:rFonts w:ascii="宋体" w:hAnsi="宋体" w:eastAsia="宋体" w:cs="宋体"/>
                <w:sz w:val="19"/>
                <w:szCs w:val="19"/>
              </w:rPr>
            </w:pPr>
            <w:r>
              <w:rPr>
                <w:rFonts w:ascii="宋体" w:hAnsi="宋体" w:eastAsia="宋体" w:cs="宋体"/>
                <w:spacing w:val="2"/>
                <w:sz w:val="19"/>
                <w:szCs w:val="19"/>
              </w:rPr>
              <w:t>结算金额（元）</w:t>
            </w:r>
          </w:p>
        </w:tc>
        <w:tc>
          <w:tcPr>
            <w:tcW w:w="1868" w:type="dxa"/>
            <w:tcBorders>
              <w:top w:val="single" w:color="000000" w:sz="10" w:space="0"/>
              <w:right w:val="single" w:color="000000" w:sz="10" w:space="0"/>
            </w:tcBorders>
            <w:vAlign w:val="top"/>
          </w:tcPr>
          <w:p w14:paraId="31F35B2A">
            <w:pPr>
              <w:spacing w:before="109" w:line="231" w:lineRule="auto"/>
              <w:ind w:left="746"/>
              <w:rPr>
                <w:rFonts w:ascii="宋体" w:hAnsi="宋体" w:eastAsia="宋体" w:cs="宋体"/>
                <w:sz w:val="19"/>
                <w:szCs w:val="19"/>
              </w:rPr>
            </w:pPr>
            <w:r>
              <w:rPr>
                <w:rFonts w:ascii="宋体" w:hAnsi="宋体" w:eastAsia="宋体" w:cs="宋体"/>
                <w:spacing w:val="2"/>
                <w:sz w:val="19"/>
                <w:szCs w:val="19"/>
              </w:rPr>
              <w:t>备注</w:t>
            </w:r>
          </w:p>
        </w:tc>
      </w:tr>
      <w:tr w14:paraId="62AAB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1300" w:type="dxa"/>
            <w:tcBorders>
              <w:left w:val="single" w:color="000000" w:sz="10" w:space="0"/>
            </w:tcBorders>
            <w:vAlign w:val="top"/>
          </w:tcPr>
          <w:p w14:paraId="56AB2CCF">
            <w:pPr>
              <w:spacing w:before="128" w:line="188" w:lineRule="auto"/>
              <w:ind w:left="611"/>
              <w:rPr>
                <w:rFonts w:ascii="宋体" w:hAnsi="宋体" w:eastAsia="宋体" w:cs="宋体"/>
                <w:sz w:val="19"/>
                <w:szCs w:val="19"/>
              </w:rPr>
            </w:pPr>
            <w:r>
              <w:rPr>
                <w:rFonts w:ascii="宋体" w:hAnsi="宋体" w:eastAsia="宋体" w:cs="宋体"/>
                <w:sz w:val="19"/>
                <w:szCs w:val="19"/>
              </w:rPr>
              <w:t>1</w:t>
            </w:r>
          </w:p>
        </w:tc>
        <w:tc>
          <w:tcPr>
            <w:tcW w:w="3749" w:type="dxa"/>
            <w:gridSpan w:val="2"/>
            <w:vAlign w:val="top"/>
          </w:tcPr>
          <w:p w14:paraId="01695A53">
            <w:pPr>
              <w:spacing w:before="94" w:line="230" w:lineRule="auto"/>
              <w:ind w:left="29"/>
              <w:rPr>
                <w:rFonts w:ascii="宋体" w:hAnsi="宋体" w:eastAsia="宋体" w:cs="宋体"/>
                <w:sz w:val="19"/>
                <w:szCs w:val="19"/>
              </w:rPr>
            </w:pPr>
            <w:r>
              <w:rPr>
                <w:rFonts w:ascii="宋体" w:hAnsi="宋体" w:eastAsia="宋体" w:cs="宋体"/>
                <w:spacing w:val="2"/>
                <w:sz w:val="19"/>
                <w:szCs w:val="19"/>
              </w:rPr>
              <w:t>暂列金额</w:t>
            </w:r>
          </w:p>
        </w:tc>
        <w:tc>
          <w:tcPr>
            <w:tcW w:w="1851" w:type="dxa"/>
            <w:vAlign w:val="top"/>
          </w:tcPr>
          <w:p w14:paraId="124B3629">
            <w:pPr>
              <w:pStyle w:val="594"/>
            </w:pPr>
          </w:p>
        </w:tc>
        <w:tc>
          <w:tcPr>
            <w:tcW w:w="1643" w:type="dxa"/>
            <w:gridSpan w:val="2"/>
            <w:vAlign w:val="top"/>
          </w:tcPr>
          <w:p w14:paraId="04C4A800">
            <w:pPr>
              <w:pStyle w:val="594"/>
            </w:pPr>
          </w:p>
        </w:tc>
        <w:tc>
          <w:tcPr>
            <w:tcW w:w="1868" w:type="dxa"/>
            <w:tcBorders>
              <w:right w:val="single" w:color="000000" w:sz="10" w:space="0"/>
            </w:tcBorders>
            <w:vAlign w:val="top"/>
          </w:tcPr>
          <w:p w14:paraId="027283C8">
            <w:pPr>
              <w:spacing w:before="94" w:line="230" w:lineRule="auto"/>
              <w:ind w:left="59"/>
              <w:rPr>
                <w:rFonts w:ascii="宋体" w:hAnsi="宋体" w:eastAsia="宋体" w:cs="宋体"/>
                <w:sz w:val="19"/>
                <w:szCs w:val="19"/>
              </w:rPr>
            </w:pPr>
            <w:r>
              <w:rPr>
                <w:rFonts w:ascii="宋体" w:hAnsi="宋体" w:eastAsia="宋体" w:cs="宋体"/>
                <w:spacing w:val="4"/>
                <w:sz w:val="19"/>
                <w:szCs w:val="19"/>
              </w:rPr>
              <w:t>明细详见表-12-1</w:t>
            </w:r>
          </w:p>
        </w:tc>
      </w:tr>
      <w:tr w14:paraId="65617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1300" w:type="dxa"/>
            <w:tcBorders>
              <w:left w:val="single" w:color="000000" w:sz="10" w:space="0"/>
            </w:tcBorders>
            <w:vAlign w:val="top"/>
          </w:tcPr>
          <w:p w14:paraId="3053B7C6">
            <w:pPr>
              <w:spacing w:before="129" w:line="188" w:lineRule="auto"/>
              <w:ind w:left="599"/>
              <w:rPr>
                <w:rFonts w:ascii="宋体" w:hAnsi="宋体" w:eastAsia="宋体" w:cs="宋体"/>
                <w:sz w:val="19"/>
                <w:szCs w:val="19"/>
              </w:rPr>
            </w:pPr>
            <w:r>
              <w:rPr>
                <w:rFonts w:ascii="宋体" w:hAnsi="宋体" w:eastAsia="宋体" w:cs="宋体"/>
                <w:sz w:val="19"/>
                <w:szCs w:val="19"/>
              </w:rPr>
              <w:t>2</w:t>
            </w:r>
          </w:p>
        </w:tc>
        <w:tc>
          <w:tcPr>
            <w:tcW w:w="3749" w:type="dxa"/>
            <w:gridSpan w:val="2"/>
            <w:vAlign w:val="top"/>
          </w:tcPr>
          <w:p w14:paraId="35F76A0C">
            <w:pPr>
              <w:spacing w:before="96" w:line="228" w:lineRule="auto"/>
              <w:ind w:left="29"/>
              <w:rPr>
                <w:rFonts w:ascii="宋体" w:hAnsi="宋体" w:eastAsia="宋体" w:cs="宋体"/>
                <w:sz w:val="19"/>
                <w:szCs w:val="19"/>
              </w:rPr>
            </w:pPr>
            <w:r>
              <w:rPr>
                <w:rFonts w:ascii="宋体" w:hAnsi="宋体" w:eastAsia="宋体" w:cs="宋体"/>
                <w:spacing w:val="1"/>
                <w:sz w:val="19"/>
                <w:szCs w:val="19"/>
              </w:rPr>
              <w:t>暂估价</w:t>
            </w:r>
          </w:p>
        </w:tc>
        <w:tc>
          <w:tcPr>
            <w:tcW w:w="1851" w:type="dxa"/>
            <w:vAlign w:val="top"/>
          </w:tcPr>
          <w:p w14:paraId="107713EA">
            <w:pPr>
              <w:pStyle w:val="594"/>
            </w:pPr>
          </w:p>
        </w:tc>
        <w:tc>
          <w:tcPr>
            <w:tcW w:w="1643" w:type="dxa"/>
            <w:gridSpan w:val="2"/>
            <w:vAlign w:val="top"/>
          </w:tcPr>
          <w:p w14:paraId="4CD066C0">
            <w:pPr>
              <w:pStyle w:val="594"/>
            </w:pPr>
          </w:p>
        </w:tc>
        <w:tc>
          <w:tcPr>
            <w:tcW w:w="1868" w:type="dxa"/>
            <w:tcBorders>
              <w:right w:val="single" w:color="000000" w:sz="10" w:space="0"/>
            </w:tcBorders>
            <w:vAlign w:val="top"/>
          </w:tcPr>
          <w:p w14:paraId="41953FC9">
            <w:pPr>
              <w:pStyle w:val="594"/>
            </w:pPr>
          </w:p>
        </w:tc>
      </w:tr>
      <w:tr w14:paraId="58EC3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1300" w:type="dxa"/>
            <w:tcBorders>
              <w:left w:val="single" w:color="000000" w:sz="10" w:space="0"/>
            </w:tcBorders>
            <w:vAlign w:val="top"/>
          </w:tcPr>
          <w:p w14:paraId="621A4A5A">
            <w:pPr>
              <w:spacing w:before="131" w:line="188" w:lineRule="auto"/>
              <w:ind w:left="494"/>
              <w:rPr>
                <w:rFonts w:ascii="宋体" w:hAnsi="宋体" w:eastAsia="宋体" w:cs="宋体"/>
                <w:sz w:val="19"/>
                <w:szCs w:val="19"/>
              </w:rPr>
            </w:pPr>
            <w:r>
              <w:rPr>
                <w:rFonts w:ascii="宋体" w:hAnsi="宋体" w:eastAsia="宋体" w:cs="宋体"/>
                <w:spacing w:val="4"/>
                <w:sz w:val="19"/>
                <w:szCs w:val="19"/>
              </w:rPr>
              <w:t>2.1</w:t>
            </w:r>
          </w:p>
        </w:tc>
        <w:tc>
          <w:tcPr>
            <w:tcW w:w="3749" w:type="dxa"/>
            <w:gridSpan w:val="2"/>
            <w:vAlign w:val="top"/>
          </w:tcPr>
          <w:p w14:paraId="2124F3DE">
            <w:pPr>
              <w:spacing w:before="98" w:line="228" w:lineRule="auto"/>
              <w:ind w:left="22"/>
              <w:rPr>
                <w:rFonts w:ascii="宋体" w:hAnsi="宋体" w:eastAsia="宋体" w:cs="宋体"/>
                <w:sz w:val="19"/>
                <w:szCs w:val="19"/>
              </w:rPr>
            </w:pPr>
            <w:r>
              <w:rPr>
                <w:rFonts w:ascii="宋体" w:hAnsi="宋体" w:eastAsia="宋体" w:cs="宋体"/>
                <w:spacing w:val="5"/>
                <w:sz w:val="19"/>
                <w:szCs w:val="19"/>
              </w:rPr>
              <w:t>材料(工程设备)暂估价</w:t>
            </w:r>
          </w:p>
        </w:tc>
        <w:tc>
          <w:tcPr>
            <w:tcW w:w="1851" w:type="dxa"/>
            <w:vAlign w:val="top"/>
          </w:tcPr>
          <w:p w14:paraId="27A7FD40">
            <w:pPr>
              <w:pStyle w:val="594"/>
              <w:tabs>
                <w:tab w:val="left" w:pos="1725"/>
              </w:tabs>
              <w:spacing w:line="239" w:lineRule="auto"/>
              <w:ind w:left="1631"/>
            </w:pPr>
            <w:r>
              <w:rPr>
                <w:u w:val="single" w:color="auto"/>
              </w:rPr>
              <w:tab/>
            </w:r>
          </w:p>
        </w:tc>
        <w:tc>
          <w:tcPr>
            <w:tcW w:w="1643" w:type="dxa"/>
            <w:gridSpan w:val="2"/>
            <w:vAlign w:val="top"/>
          </w:tcPr>
          <w:p w14:paraId="031E1647">
            <w:pPr>
              <w:pStyle w:val="594"/>
            </w:pPr>
          </w:p>
        </w:tc>
        <w:tc>
          <w:tcPr>
            <w:tcW w:w="1868" w:type="dxa"/>
            <w:tcBorders>
              <w:right w:val="single" w:color="000000" w:sz="10" w:space="0"/>
            </w:tcBorders>
            <w:vAlign w:val="top"/>
          </w:tcPr>
          <w:p w14:paraId="226CF3E3">
            <w:pPr>
              <w:spacing w:before="97" w:line="230" w:lineRule="auto"/>
              <w:ind w:left="59"/>
              <w:rPr>
                <w:rFonts w:ascii="宋体" w:hAnsi="宋体" w:eastAsia="宋体" w:cs="宋体"/>
                <w:sz w:val="19"/>
                <w:szCs w:val="19"/>
              </w:rPr>
            </w:pPr>
            <w:r>
              <w:rPr>
                <w:rFonts w:ascii="宋体" w:hAnsi="宋体" w:eastAsia="宋体" w:cs="宋体"/>
                <w:spacing w:val="4"/>
                <w:sz w:val="19"/>
                <w:szCs w:val="19"/>
              </w:rPr>
              <w:t>明细详见表-12-2</w:t>
            </w:r>
          </w:p>
        </w:tc>
      </w:tr>
      <w:tr w14:paraId="6FBA8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1300" w:type="dxa"/>
            <w:tcBorders>
              <w:left w:val="single" w:color="000000" w:sz="10" w:space="0"/>
            </w:tcBorders>
            <w:vAlign w:val="top"/>
          </w:tcPr>
          <w:p w14:paraId="2B182908">
            <w:pPr>
              <w:spacing w:before="131" w:line="188" w:lineRule="auto"/>
              <w:ind w:left="494"/>
              <w:rPr>
                <w:rFonts w:ascii="宋体" w:hAnsi="宋体" w:eastAsia="宋体" w:cs="宋体"/>
                <w:sz w:val="19"/>
                <w:szCs w:val="19"/>
              </w:rPr>
            </w:pPr>
            <w:r>
              <w:rPr>
                <w:rFonts w:ascii="宋体" w:hAnsi="宋体" w:eastAsia="宋体" w:cs="宋体"/>
                <w:spacing w:val="4"/>
                <w:sz w:val="19"/>
                <w:szCs w:val="19"/>
              </w:rPr>
              <w:t>2.2</w:t>
            </w:r>
          </w:p>
        </w:tc>
        <w:tc>
          <w:tcPr>
            <w:tcW w:w="3749" w:type="dxa"/>
            <w:gridSpan w:val="2"/>
            <w:vAlign w:val="top"/>
          </w:tcPr>
          <w:p w14:paraId="0E0B5CF3">
            <w:pPr>
              <w:spacing w:before="98" w:line="228" w:lineRule="auto"/>
              <w:ind w:left="23"/>
              <w:rPr>
                <w:rFonts w:ascii="宋体" w:hAnsi="宋体" w:eastAsia="宋体" w:cs="宋体"/>
                <w:sz w:val="19"/>
                <w:szCs w:val="19"/>
              </w:rPr>
            </w:pPr>
            <w:r>
              <w:rPr>
                <w:rFonts w:ascii="宋体" w:hAnsi="宋体" w:eastAsia="宋体" w:cs="宋体"/>
                <w:spacing w:val="4"/>
                <w:sz w:val="19"/>
                <w:szCs w:val="19"/>
              </w:rPr>
              <w:t>专业工程暂估价</w:t>
            </w:r>
          </w:p>
        </w:tc>
        <w:tc>
          <w:tcPr>
            <w:tcW w:w="1851" w:type="dxa"/>
            <w:vAlign w:val="top"/>
          </w:tcPr>
          <w:p w14:paraId="6136828B">
            <w:pPr>
              <w:pStyle w:val="594"/>
            </w:pPr>
          </w:p>
        </w:tc>
        <w:tc>
          <w:tcPr>
            <w:tcW w:w="1643" w:type="dxa"/>
            <w:gridSpan w:val="2"/>
            <w:vAlign w:val="top"/>
          </w:tcPr>
          <w:p w14:paraId="0B76D3F8">
            <w:pPr>
              <w:pStyle w:val="594"/>
            </w:pPr>
          </w:p>
        </w:tc>
        <w:tc>
          <w:tcPr>
            <w:tcW w:w="1868" w:type="dxa"/>
            <w:tcBorders>
              <w:right w:val="single" w:color="000000" w:sz="10" w:space="0"/>
            </w:tcBorders>
            <w:vAlign w:val="top"/>
          </w:tcPr>
          <w:p w14:paraId="7C409C1A">
            <w:pPr>
              <w:spacing w:before="97" w:line="230" w:lineRule="auto"/>
              <w:ind w:left="59"/>
              <w:rPr>
                <w:rFonts w:ascii="宋体" w:hAnsi="宋体" w:eastAsia="宋体" w:cs="宋体"/>
                <w:sz w:val="19"/>
                <w:szCs w:val="19"/>
              </w:rPr>
            </w:pPr>
            <w:r>
              <w:rPr>
                <w:rFonts w:ascii="宋体" w:hAnsi="宋体" w:eastAsia="宋体" w:cs="宋体"/>
                <w:spacing w:val="4"/>
                <w:sz w:val="19"/>
                <w:szCs w:val="19"/>
              </w:rPr>
              <w:t>明细详见表-12-3</w:t>
            </w:r>
          </w:p>
        </w:tc>
      </w:tr>
      <w:tr w14:paraId="1FA5F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1300" w:type="dxa"/>
            <w:tcBorders>
              <w:left w:val="single" w:color="000000" w:sz="10" w:space="0"/>
            </w:tcBorders>
            <w:vAlign w:val="top"/>
          </w:tcPr>
          <w:p w14:paraId="5F5F6F27">
            <w:pPr>
              <w:spacing w:before="131" w:line="188" w:lineRule="auto"/>
              <w:ind w:left="601"/>
              <w:rPr>
                <w:rFonts w:ascii="宋体" w:hAnsi="宋体" w:eastAsia="宋体" w:cs="宋体"/>
                <w:sz w:val="19"/>
                <w:szCs w:val="19"/>
              </w:rPr>
            </w:pPr>
            <w:r>
              <w:rPr>
                <w:rFonts w:ascii="宋体" w:hAnsi="宋体" w:eastAsia="宋体" w:cs="宋体"/>
                <w:sz w:val="19"/>
                <w:szCs w:val="19"/>
              </w:rPr>
              <w:t>3</w:t>
            </w:r>
          </w:p>
        </w:tc>
        <w:tc>
          <w:tcPr>
            <w:tcW w:w="3749" w:type="dxa"/>
            <w:gridSpan w:val="2"/>
            <w:vAlign w:val="top"/>
          </w:tcPr>
          <w:p w14:paraId="26555350">
            <w:pPr>
              <w:spacing w:before="98" w:line="231" w:lineRule="auto"/>
              <w:ind w:left="22"/>
              <w:rPr>
                <w:rFonts w:ascii="宋体" w:hAnsi="宋体" w:eastAsia="宋体" w:cs="宋体"/>
                <w:sz w:val="19"/>
                <w:szCs w:val="19"/>
              </w:rPr>
            </w:pPr>
            <w:r>
              <w:rPr>
                <w:rFonts w:ascii="宋体" w:hAnsi="宋体" w:eastAsia="宋体" w:cs="宋体"/>
                <w:spacing w:val="3"/>
                <w:sz w:val="19"/>
                <w:szCs w:val="19"/>
              </w:rPr>
              <w:t>计日工</w:t>
            </w:r>
          </w:p>
        </w:tc>
        <w:tc>
          <w:tcPr>
            <w:tcW w:w="1851" w:type="dxa"/>
            <w:vAlign w:val="top"/>
          </w:tcPr>
          <w:p w14:paraId="3691E9B9">
            <w:pPr>
              <w:pStyle w:val="594"/>
            </w:pPr>
          </w:p>
        </w:tc>
        <w:tc>
          <w:tcPr>
            <w:tcW w:w="1643" w:type="dxa"/>
            <w:gridSpan w:val="2"/>
            <w:vAlign w:val="top"/>
          </w:tcPr>
          <w:p w14:paraId="53889F42">
            <w:pPr>
              <w:pStyle w:val="594"/>
            </w:pPr>
          </w:p>
        </w:tc>
        <w:tc>
          <w:tcPr>
            <w:tcW w:w="1868" w:type="dxa"/>
            <w:tcBorders>
              <w:right w:val="single" w:color="000000" w:sz="10" w:space="0"/>
            </w:tcBorders>
            <w:vAlign w:val="top"/>
          </w:tcPr>
          <w:p w14:paraId="40F245A4">
            <w:pPr>
              <w:spacing w:before="98" w:line="230" w:lineRule="auto"/>
              <w:ind w:left="59"/>
              <w:rPr>
                <w:rFonts w:ascii="宋体" w:hAnsi="宋体" w:eastAsia="宋体" w:cs="宋体"/>
                <w:sz w:val="19"/>
                <w:szCs w:val="19"/>
              </w:rPr>
            </w:pPr>
            <w:r>
              <w:rPr>
                <w:rFonts w:ascii="宋体" w:hAnsi="宋体" w:eastAsia="宋体" w:cs="宋体"/>
                <w:spacing w:val="4"/>
                <w:sz w:val="19"/>
                <w:szCs w:val="19"/>
              </w:rPr>
              <w:t>明细详见表-12-4</w:t>
            </w:r>
          </w:p>
        </w:tc>
      </w:tr>
      <w:tr w14:paraId="46B0D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1300" w:type="dxa"/>
            <w:tcBorders>
              <w:left w:val="single" w:color="000000" w:sz="10" w:space="0"/>
            </w:tcBorders>
            <w:vAlign w:val="top"/>
          </w:tcPr>
          <w:p w14:paraId="610B9363">
            <w:pPr>
              <w:spacing w:before="131" w:line="188" w:lineRule="auto"/>
              <w:ind w:left="596"/>
              <w:rPr>
                <w:rFonts w:ascii="宋体" w:hAnsi="宋体" w:eastAsia="宋体" w:cs="宋体"/>
                <w:sz w:val="19"/>
                <w:szCs w:val="19"/>
              </w:rPr>
            </w:pPr>
            <w:r>
              <w:rPr>
                <w:rFonts w:ascii="宋体" w:hAnsi="宋体" w:eastAsia="宋体" w:cs="宋体"/>
                <w:sz w:val="19"/>
                <w:szCs w:val="19"/>
              </w:rPr>
              <w:t>4</w:t>
            </w:r>
          </w:p>
        </w:tc>
        <w:tc>
          <w:tcPr>
            <w:tcW w:w="3749" w:type="dxa"/>
            <w:gridSpan w:val="2"/>
            <w:vAlign w:val="top"/>
          </w:tcPr>
          <w:p w14:paraId="337C5DAC">
            <w:pPr>
              <w:spacing w:before="98" w:line="230" w:lineRule="auto"/>
              <w:ind w:left="25"/>
              <w:rPr>
                <w:rFonts w:ascii="宋体" w:hAnsi="宋体" w:eastAsia="宋体" w:cs="宋体"/>
                <w:sz w:val="19"/>
                <w:szCs w:val="19"/>
              </w:rPr>
            </w:pPr>
            <w:r>
              <w:rPr>
                <w:rFonts w:ascii="宋体" w:hAnsi="宋体" w:eastAsia="宋体" w:cs="宋体"/>
                <w:spacing w:val="3"/>
                <w:sz w:val="19"/>
                <w:szCs w:val="19"/>
              </w:rPr>
              <w:t>总承包服务费</w:t>
            </w:r>
          </w:p>
        </w:tc>
        <w:tc>
          <w:tcPr>
            <w:tcW w:w="1851" w:type="dxa"/>
            <w:vAlign w:val="top"/>
          </w:tcPr>
          <w:p w14:paraId="0C242D4A">
            <w:pPr>
              <w:pStyle w:val="594"/>
            </w:pPr>
          </w:p>
        </w:tc>
        <w:tc>
          <w:tcPr>
            <w:tcW w:w="1643" w:type="dxa"/>
            <w:gridSpan w:val="2"/>
            <w:vAlign w:val="top"/>
          </w:tcPr>
          <w:p w14:paraId="3E883354">
            <w:pPr>
              <w:pStyle w:val="594"/>
            </w:pPr>
          </w:p>
        </w:tc>
        <w:tc>
          <w:tcPr>
            <w:tcW w:w="1868" w:type="dxa"/>
            <w:tcBorders>
              <w:right w:val="single" w:color="000000" w:sz="10" w:space="0"/>
            </w:tcBorders>
            <w:vAlign w:val="top"/>
          </w:tcPr>
          <w:p w14:paraId="1D5F1BA9">
            <w:pPr>
              <w:spacing w:before="98" w:line="230" w:lineRule="auto"/>
              <w:ind w:left="59"/>
              <w:rPr>
                <w:rFonts w:ascii="宋体" w:hAnsi="宋体" w:eastAsia="宋体" w:cs="宋体"/>
                <w:sz w:val="19"/>
                <w:szCs w:val="19"/>
              </w:rPr>
            </w:pPr>
            <w:r>
              <w:rPr>
                <w:rFonts w:ascii="宋体" w:hAnsi="宋体" w:eastAsia="宋体" w:cs="宋体"/>
                <w:spacing w:val="4"/>
                <w:sz w:val="19"/>
                <w:szCs w:val="19"/>
              </w:rPr>
              <w:t>明细详见表-12-5</w:t>
            </w:r>
          </w:p>
        </w:tc>
      </w:tr>
      <w:tr w14:paraId="3C969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1300" w:type="dxa"/>
            <w:tcBorders>
              <w:left w:val="single" w:color="000000" w:sz="10" w:space="0"/>
            </w:tcBorders>
            <w:vAlign w:val="top"/>
          </w:tcPr>
          <w:p w14:paraId="268491C0">
            <w:pPr>
              <w:spacing w:before="135" w:line="186" w:lineRule="auto"/>
              <w:ind w:left="601"/>
              <w:rPr>
                <w:rFonts w:ascii="宋体" w:hAnsi="宋体" w:eastAsia="宋体" w:cs="宋体"/>
                <w:sz w:val="19"/>
                <w:szCs w:val="19"/>
              </w:rPr>
            </w:pPr>
            <w:r>
              <w:rPr>
                <w:rFonts w:ascii="宋体" w:hAnsi="宋体" w:eastAsia="宋体" w:cs="宋体"/>
                <w:sz w:val="19"/>
                <w:szCs w:val="19"/>
              </w:rPr>
              <w:t>5</w:t>
            </w:r>
          </w:p>
        </w:tc>
        <w:tc>
          <w:tcPr>
            <w:tcW w:w="3749" w:type="dxa"/>
            <w:gridSpan w:val="2"/>
            <w:vAlign w:val="top"/>
          </w:tcPr>
          <w:p w14:paraId="0F2D9230">
            <w:pPr>
              <w:spacing w:before="100" w:line="230" w:lineRule="auto"/>
              <w:ind w:left="25"/>
              <w:rPr>
                <w:rFonts w:ascii="宋体" w:hAnsi="宋体" w:eastAsia="宋体" w:cs="宋体"/>
                <w:sz w:val="19"/>
                <w:szCs w:val="19"/>
              </w:rPr>
            </w:pPr>
            <w:r>
              <w:rPr>
                <w:rFonts w:ascii="宋体" w:hAnsi="宋体" w:eastAsia="宋体" w:cs="宋体"/>
                <w:spacing w:val="3"/>
                <w:sz w:val="19"/>
                <w:szCs w:val="19"/>
              </w:rPr>
              <w:t>索赔与现场签证</w:t>
            </w:r>
          </w:p>
        </w:tc>
        <w:tc>
          <w:tcPr>
            <w:tcW w:w="1851" w:type="dxa"/>
            <w:vAlign w:val="top"/>
          </w:tcPr>
          <w:p w14:paraId="0FF870DF">
            <w:pPr>
              <w:pStyle w:val="594"/>
            </w:pPr>
          </w:p>
        </w:tc>
        <w:tc>
          <w:tcPr>
            <w:tcW w:w="1643" w:type="dxa"/>
            <w:gridSpan w:val="2"/>
            <w:vAlign w:val="top"/>
          </w:tcPr>
          <w:p w14:paraId="495CCFA0">
            <w:pPr>
              <w:pStyle w:val="594"/>
            </w:pPr>
          </w:p>
        </w:tc>
        <w:tc>
          <w:tcPr>
            <w:tcW w:w="1868" w:type="dxa"/>
            <w:tcBorders>
              <w:right w:val="single" w:color="000000" w:sz="10" w:space="0"/>
            </w:tcBorders>
            <w:vAlign w:val="top"/>
          </w:tcPr>
          <w:p w14:paraId="7B43D6C8">
            <w:pPr>
              <w:spacing w:before="100" w:line="230" w:lineRule="auto"/>
              <w:ind w:left="59"/>
              <w:rPr>
                <w:rFonts w:ascii="宋体" w:hAnsi="宋体" w:eastAsia="宋体" w:cs="宋体"/>
                <w:sz w:val="19"/>
                <w:szCs w:val="19"/>
              </w:rPr>
            </w:pPr>
            <w:r>
              <w:rPr>
                <w:rFonts w:ascii="宋体" w:hAnsi="宋体" w:eastAsia="宋体" w:cs="宋体"/>
                <w:spacing w:val="4"/>
                <w:sz w:val="19"/>
                <w:szCs w:val="19"/>
              </w:rPr>
              <w:t>明细详见表-12-6</w:t>
            </w:r>
          </w:p>
        </w:tc>
      </w:tr>
      <w:tr w14:paraId="2081F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1300" w:type="dxa"/>
            <w:tcBorders>
              <w:left w:val="single" w:color="000000" w:sz="10" w:space="0"/>
            </w:tcBorders>
            <w:vAlign w:val="top"/>
          </w:tcPr>
          <w:p w14:paraId="7B015C06">
            <w:pPr>
              <w:pStyle w:val="594"/>
            </w:pPr>
          </w:p>
        </w:tc>
        <w:tc>
          <w:tcPr>
            <w:tcW w:w="3749" w:type="dxa"/>
            <w:gridSpan w:val="2"/>
            <w:vAlign w:val="top"/>
          </w:tcPr>
          <w:p w14:paraId="386B6FDD">
            <w:pPr>
              <w:pStyle w:val="594"/>
            </w:pPr>
          </w:p>
        </w:tc>
        <w:tc>
          <w:tcPr>
            <w:tcW w:w="1851" w:type="dxa"/>
            <w:vAlign w:val="top"/>
          </w:tcPr>
          <w:p w14:paraId="2BEA098B">
            <w:pPr>
              <w:pStyle w:val="594"/>
            </w:pPr>
          </w:p>
        </w:tc>
        <w:tc>
          <w:tcPr>
            <w:tcW w:w="1643" w:type="dxa"/>
            <w:gridSpan w:val="2"/>
            <w:vAlign w:val="top"/>
          </w:tcPr>
          <w:p w14:paraId="4FCAD7BC">
            <w:pPr>
              <w:pStyle w:val="594"/>
            </w:pPr>
          </w:p>
        </w:tc>
        <w:tc>
          <w:tcPr>
            <w:tcW w:w="1868" w:type="dxa"/>
            <w:tcBorders>
              <w:right w:val="single" w:color="000000" w:sz="10" w:space="0"/>
            </w:tcBorders>
            <w:vAlign w:val="top"/>
          </w:tcPr>
          <w:p w14:paraId="3D6882E8">
            <w:pPr>
              <w:pStyle w:val="594"/>
            </w:pPr>
          </w:p>
        </w:tc>
      </w:tr>
      <w:tr w14:paraId="40CA2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1300" w:type="dxa"/>
            <w:tcBorders>
              <w:left w:val="single" w:color="000000" w:sz="10" w:space="0"/>
            </w:tcBorders>
            <w:vAlign w:val="top"/>
          </w:tcPr>
          <w:p w14:paraId="4BF59F19">
            <w:pPr>
              <w:pStyle w:val="594"/>
            </w:pPr>
          </w:p>
        </w:tc>
        <w:tc>
          <w:tcPr>
            <w:tcW w:w="3749" w:type="dxa"/>
            <w:gridSpan w:val="2"/>
            <w:vAlign w:val="top"/>
          </w:tcPr>
          <w:p w14:paraId="71729A66">
            <w:pPr>
              <w:pStyle w:val="594"/>
            </w:pPr>
          </w:p>
        </w:tc>
        <w:tc>
          <w:tcPr>
            <w:tcW w:w="1851" w:type="dxa"/>
            <w:vAlign w:val="top"/>
          </w:tcPr>
          <w:p w14:paraId="7EEE5914">
            <w:pPr>
              <w:pStyle w:val="594"/>
            </w:pPr>
          </w:p>
        </w:tc>
        <w:tc>
          <w:tcPr>
            <w:tcW w:w="1643" w:type="dxa"/>
            <w:gridSpan w:val="2"/>
            <w:vAlign w:val="top"/>
          </w:tcPr>
          <w:p w14:paraId="1B1B4CF8">
            <w:pPr>
              <w:pStyle w:val="594"/>
            </w:pPr>
          </w:p>
        </w:tc>
        <w:tc>
          <w:tcPr>
            <w:tcW w:w="1868" w:type="dxa"/>
            <w:tcBorders>
              <w:right w:val="single" w:color="000000" w:sz="10" w:space="0"/>
            </w:tcBorders>
            <w:vAlign w:val="top"/>
          </w:tcPr>
          <w:p w14:paraId="484A629B">
            <w:pPr>
              <w:pStyle w:val="594"/>
            </w:pPr>
          </w:p>
        </w:tc>
      </w:tr>
      <w:tr w14:paraId="3322F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1300" w:type="dxa"/>
            <w:tcBorders>
              <w:left w:val="single" w:color="000000" w:sz="10" w:space="0"/>
            </w:tcBorders>
            <w:vAlign w:val="top"/>
          </w:tcPr>
          <w:p w14:paraId="138DDB1A">
            <w:pPr>
              <w:pStyle w:val="594"/>
            </w:pPr>
          </w:p>
        </w:tc>
        <w:tc>
          <w:tcPr>
            <w:tcW w:w="3749" w:type="dxa"/>
            <w:gridSpan w:val="2"/>
            <w:vAlign w:val="top"/>
          </w:tcPr>
          <w:p w14:paraId="3E375CB0">
            <w:pPr>
              <w:pStyle w:val="594"/>
            </w:pPr>
          </w:p>
        </w:tc>
        <w:tc>
          <w:tcPr>
            <w:tcW w:w="1851" w:type="dxa"/>
            <w:vAlign w:val="top"/>
          </w:tcPr>
          <w:p w14:paraId="35CF2F5E">
            <w:pPr>
              <w:pStyle w:val="594"/>
            </w:pPr>
          </w:p>
        </w:tc>
        <w:tc>
          <w:tcPr>
            <w:tcW w:w="1643" w:type="dxa"/>
            <w:gridSpan w:val="2"/>
            <w:vAlign w:val="top"/>
          </w:tcPr>
          <w:p w14:paraId="22D7D95B">
            <w:pPr>
              <w:pStyle w:val="594"/>
            </w:pPr>
          </w:p>
        </w:tc>
        <w:tc>
          <w:tcPr>
            <w:tcW w:w="1868" w:type="dxa"/>
            <w:tcBorders>
              <w:right w:val="single" w:color="000000" w:sz="10" w:space="0"/>
            </w:tcBorders>
            <w:vAlign w:val="top"/>
          </w:tcPr>
          <w:p w14:paraId="30E4CB77">
            <w:pPr>
              <w:pStyle w:val="594"/>
            </w:pPr>
          </w:p>
        </w:tc>
      </w:tr>
      <w:tr w14:paraId="75361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1300" w:type="dxa"/>
            <w:tcBorders>
              <w:left w:val="single" w:color="000000" w:sz="10" w:space="0"/>
            </w:tcBorders>
            <w:vAlign w:val="top"/>
          </w:tcPr>
          <w:p w14:paraId="7131A420">
            <w:pPr>
              <w:pStyle w:val="594"/>
            </w:pPr>
          </w:p>
        </w:tc>
        <w:tc>
          <w:tcPr>
            <w:tcW w:w="3749" w:type="dxa"/>
            <w:gridSpan w:val="2"/>
            <w:vAlign w:val="top"/>
          </w:tcPr>
          <w:p w14:paraId="0F3BF686">
            <w:pPr>
              <w:pStyle w:val="594"/>
            </w:pPr>
          </w:p>
        </w:tc>
        <w:tc>
          <w:tcPr>
            <w:tcW w:w="1851" w:type="dxa"/>
            <w:vAlign w:val="top"/>
          </w:tcPr>
          <w:p w14:paraId="7C1B82CA">
            <w:pPr>
              <w:pStyle w:val="594"/>
            </w:pPr>
          </w:p>
        </w:tc>
        <w:tc>
          <w:tcPr>
            <w:tcW w:w="1643" w:type="dxa"/>
            <w:gridSpan w:val="2"/>
            <w:vAlign w:val="top"/>
          </w:tcPr>
          <w:p w14:paraId="36CA0619">
            <w:pPr>
              <w:pStyle w:val="594"/>
            </w:pPr>
          </w:p>
        </w:tc>
        <w:tc>
          <w:tcPr>
            <w:tcW w:w="1868" w:type="dxa"/>
            <w:tcBorders>
              <w:right w:val="single" w:color="000000" w:sz="10" w:space="0"/>
            </w:tcBorders>
            <w:vAlign w:val="top"/>
          </w:tcPr>
          <w:p w14:paraId="20A399F8">
            <w:pPr>
              <w:pStyle w:val="594"/>
            </w:pPr>
          </w:p>
        </w:tc>
      </w:tr>
      <w:tr w14:paraId="63814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1300" w:type="dxa"/>
            <w:tcBorders>
              <w:left w:val="single" w:color="000000" w:sz="10" w:space="0"/>
            </w:tcBorders>
            <w:vAlign w:val="top"/>
          </w:tcPr>
          <w:p w14:paraId="775CD0DD">
            <w:pPr>
              <w:pStyle w:val="594"/>
            </w:pPr>
          </w:p>
        </w:tc>
        <w:tc>
          <w:tcPr>
            <w:tcW w:w="3749" w:type="dxa"/>
            <w:gridSpan w:val="2"/>
            <w:vAlign w:val="top"/>
          </w:tcPr>
          <w:p w14:paraId="62309678">
            <w:pPr>
              <w:pStyle w:val="594"/>
            </w:pPr>
          </w:p>
        </w:tc>
        <w:tc>
          <w:tcPr>
            <w:tcW w:w="1851" w:type="dxa"/>
            <w:vAlign w:val="top"/>
          </w:tcPr>
          <w:p w14:paraId="54886A2E">
            <w:pPr>
              <w:pStyle w:val="594"/>
            </w:pPr>
          </w:p>
        </w:tc>
        <w:tc>
          <w:tcPr>
            <w:tcW w:w="1643" w:type="dxa"/>
            <w:gridSpan w:val="2"/>
            <w:vAlign w:val="top"/>
          </w:tcPr>
          <w:p w14:paraId="2103376D">
            <w:pPr>
              <w:pStyle w:val="594"/>
            </w:pPr>
          </w:p>
        </w:tc>
        <w:tc>
          <w:tcPr>
            <w:tcW w:w="1868" w:type="dxa"/>
            <w:tcBorders>
              <w:right w:val="single" w:color="000000" w:sz="10" w:space="0"/>
            </w:tcBorders>
            <w:vAlign w:val="top"/>
          </w:tcPr>
          <w:p w14:paraId="02D51C97">
            <w:pPr>
              <w:pStyle w:val="594"/>
            </w:pPr>
          </w:p>
        </w:tc>
      </w:tr>
      <w:tr w14:paraId="5B4FB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1300" w:type="dxa"/>
            <w:tcBorders>
              <w:left w:val="single" w:color="000000" w:sz="10" w:space="0"/>
            </w:tcBorders>
            <w:vAlign w:val="top"/>
          </w:tcPr>
          <w:p w14:paraId="27974246">
            <w:pPr>
              <w:pStyle w:val="594"/>
            </w:pPr>
          </w:p>
        </w:tc>
        <w:tc>
          <w:tcPr>
            <w:tcW w:w="3749" w:type="dxa"/>
            <w:gridSpan w:val="2"/>
            <w:vAlign w:val="top"/>
          </w:tcPr>
          <w:p w14:paraId="597783A2">
            <w:pPr>
              <w:pStyle w:val="594"/>
            </w:pPr>
          </w:p>
        </w:tc>
        <w:tc>
          <w:tcPr>
            <w:tcW w:w="1851" w:type="dxa"/>
            <w:vAlign w:val="top"/>
          </w:tcPr>
          <w:p w14:paraId="4E45C808">
            <w:pPr>
              <w:pStyle w:val="594"/>
            </w:pPr>
          </w:p>
        </w:tc>
        <w:tc>
          <w:tcPr>
            <w:tcW w:w="1643" w:type="dxa"/>
            <w:gridSpan w:val="2"/>
            <w:vAlign w:val="top"/>
          </w:tcPr>
          <w:p w14:paraId="77F6A319">
            <w:pPr>
              <w:pStyle w:val="594"/>
            </w:pPr>
          </w:p>
        </w:tc>
        <w:tc>
          <w:tcPr>
            <w:tcW w:w="1868" w:type="dxa"/>
            <w:tcBorders>
              <w:right w:val="single" w:color="000000" w:sz="10" w:space="0"/>
            </w:tcBorders>
            <w:vAlign w:val="top"/>
          </w:tcPr>
          <w:p w14:paraId="763AC33F">
            <w:pPr>
              <w:pStyle w:val="594"/>
            </w:pPr>
          </w:p>
        </w:tc>
      </w:tr>
      <w:tr w14:paraId="2F3E2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1300" w:type="dxa"/>
            <w:tcBorders>
              <w:left w:val="single" w:color="000000" w:sz="10" w:space="0"/>
            </w:tcBorders>
            <w:vAlign w:val="top"/>
          </w:tcPr>
          <w:p w14:paraId="236CDFFD">
            <w:pPr>
              <w:pStyle w:val="594"/>
            </w:pPr>
          </w:p>
        </w:tc>
        <w:tc>
          <w:tcPr>
            <w:tcW w:w="3749" w:type="dxa"/>
            <w:gridSpan w:val="2"/>
            <w:vAlign w:val="top"/>
          </w:tcPr>
          <w:p w14:paraId="4B4A2914">
            <w:pPr>
              <w:pStyle w:val="594"/>
            </w:pPr>
          </w:p>
        </w:tc>
        <w:tc>
          <w:tcPr>
            <w:tcW w:w="1851" w:type="dxa"/>
            <w:vAlign w:val="top"/>
          </w:tcPr>
          <w:p w14:paraId="1A67E433">
            <w:pPr>
              <w:pStyle w:val="594"/>
            </w:pPr>
          </w:p>
        </w:tc>
        <w:tc>
          <w:tcPr>
            <w:tcW w:w="1643" w:type="dxa"/>
            <w:gridSpan w:val="2"/>
            <w:vAlign w:val="top"/>
          </w:tcPr>
          <w:p w14:paraId="25B97070">
            <w:pPr>
              <w:pStyle w:val="594"/>
            </w:pPr>
          </w:p>
        </w:tc>
        <w:tc>
          <w:tcPr>
            <w:tcW w:w="1868" w:type="dxa"/>
            <w:tcBorders>
              <w:right w:val="single" w:color="000000" w:sz="10" w:space="0"/>
            </w:tcBorders>
            <w:vAlign w:val="top"/>
          </w:tcPr>
          <w:p w14:paraId="140EF90B">
            <w:pPr>
              <w:pStyle w:val="594"/>
            </w:pPr>
          </w:p>
        </w:tc>
      </w:tr>
      <w:tr w14:paraId="38E85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1300" w:type="dxa"/>
            <w:tcBorders>
              <w:left w:val="single" w:color="000000" w:sz="10" w:space="0"/>
            </w:tcBorders>
            <w:vAlign w:val="top"/>
          </w:tcPr>
          <w:p w14:paraId="2D6F157F">
            <w:pPr>
              <w:pStyle w:val="594"/>
            </w:pPr>
          </w:p>
        </w:tc>
        <w:tc>
          <w:tcPr>
            <w:tcW w:w="3749" w:type="dxa"/>
            <w:gridSpan w:val="2"/>
            <w:vAlign w:val="top"/>
          </w:tcPr>
          <w:p w14:paraId="1986DC65">
            <w:pPr>
              <w:pStyle w:val="594"/>
            </w:pPr>
          </w:p>
        </w:tc>
        <w:tc>
          <w:tcPr>
            <w:tcW w:w="1851" w:type="dxa"/>
            <w:vAlign w:val="top"/>
          </w:tcPr>
          <w:p w14:paraId="0DBF3D0F">
            <w:pPr>
              <w:pStyle w:val="594"/>
            </w:pPr>
          </w:p>
        </w:tc>
        <w:tc>
          <w:tcPr>
            <w:tcW w:w="1643" w:type="dxa"/>
            <w:gridSpan w:val="2"/>
            <w:vAlign w:val="top"/>
          </w:tcPr>
          <w:p w14:paraId="590281B9">
            <w:pPr>
              <w:pStyle w:val="594"/>
            </w:pPr>
          </w:p>
        </w:tc>
        <w:tc>
          <w:tcPr>
            <w:tcW w:w="1868" w:type="dxa"/>
            <w:tcBorders>
              <w:right w:val="single" w:color="000000" w:sz="10" w:space="0"/>
            </w:tcBorders>
            <w:vAlign w:val="top"/>
          </w:tcPr>
          <w:p w14:paraId="5A7D68B0">
            <w:pPr>
              <w:pStyle w:val="594"/>
            </w:pPr>
          </w:p>
        </w:tc>
      </w:tr>
      <w:tr w14:paraId="3EBF3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1300" w:type="dxa"/>
            <w:tcBorders>
              <w:left w:val="single" w:color="000000" w:sz="10" w:space="0"/>
            </w:tcBorders>
            <w:vAlign w:val="top"/>
          </w:tcPr>
          <w:p w14:paraId="73A73007">
            <w:pPr>
              <w:pStyle w:val="594"/>
            </w:pPr>
          </w:p>
        </w:tc>
        <w:tc>
          <w:tcPr>
            <w:tcW w:w="3749" w:type="dxa"/>
            <w:gridSpan w:val="2"/>
            <w:vAlign w:val="top"/>
          </w:tcPr>
          <w:p w14:paraId="1ECE25A4">
            <w:pPr>
              <w:pStyle w:val="594"/>
            </w:pPr>
          </w:p>
        </w:tc>
        <w:tc>
          <w:tcPr>
            <w:tcW w:w="1851" w:type="dxa"/>
            <w:vAlign w:val="top"/>
          </w:tcPr>
          <w:p w14:paraId="4A229CAE">
            <w:pPr>
              <w:pStyle w:val="594"/>
            </w:pPr>
          </w:p>
        </w:tc>
        <w:tc>
          <w:tcPr>
            <w:tcW w:w="1643" w:type="dxa"/>
            <w:gridSpan w:val="2"/>
            <w:vAlign w:val="top"/>
          </w:tcPr>
          <w:p w14:paraId="5FD92C41">
            <w:pPr>
              <w:pStyle w:val="594"/>
            </w:pPr>
          </w:p>
        </w:tc>
        <w:tc>
          <w:tcPr>
            <w:tcW w:w="1868" w:type="dxa"/>
            <w:tcBorders>
              <w:right w:val="single" w:color="000000" w:sz="10" w:space="0"/>
            </w:tcBorders>
            <w:vAlign w:val="top"/>
          </w:tcPr>
          <w:p w14:paraId="505DE47A">
            <w:pPr>
              <w:pStyle w:val="594"/>
            </w:pPr>
          </w:p>
        </w:tc>
      </w:tr>
      <w:tr w14:paraId="21AE8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1300" w:type="dxa"/>
            <w:tcBorders>
              <w:left w:val="single" w:color="000000" w:sz="10" w:space="0"/>
            </w:tcBorders>
            <w:vAlign w:val="top"/>
          </w:tcPr>
          <w:p w14:paraId="0798D1D7">
            <w:pPr>
              <w:pStyle w:val="594"/>
            </w:pPr>
          </w:p>
        </w:tc>
        <w:tc>
          <w:tcPr>
            <w:tcW w:w="3749" w:type="dxa"/>
            <w:gridSpan w:val="2"/>
            <w:vAlign w:val="top"/>
          </w:tcPr>
          <w:p w14:paraId="3FED5A48">
            <w:pPr>
              <w:pStyle w:val="594"/>
            </w:pPr>
          </w:p>
        </w:tc>
        <w:tc>
          <w:tcPr>
            <w:tcW w:w="1851" w:type="dxa"/>
            <w:vAlign w:val="top"/>
          </w:tcPr>
          <w:p w14:paraId="326F7EE1">
            <w:pPr>
              <w:pStyle w:val="594"/>
            </w:pPr>
          </w:p>
        </w:tc>
        <w:tc>
          <w:tcPr>
            <w:tcW w:w="1643" w:type="dxa"/>
            <w:gridSpan w:val="2"/>
            <w:vAlign w:val="top"/>
          </w:tcPr>
          <w:p w14:paraId="2D96665D">
            <w:pPr>
              <w:pStyle w:val="594"/>
            </w:pPr>
          </w:p>
        </w:tc>
        <w:tc>
          <w:tcPr>
            <w:tcW w:w="1868" w:type="dxa"/>
            <w:tcBorders>
              <w:right w:val="single" w:color="000000" w:sz="10" w:space="0"/>
            </w:tcBorders>
            <w:vAlign w:val="top"/>
          </w:tcPr>
          <w:p w14:paraId="36873466">
            <w:pPr>
              <w:pStyle w:val="594"/>
            </w:pPr>
          </w:p>
        </w:tc>
      </w:tr>
      <w:tr w14:paraId="3E48D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1300" w:type="dxa"/>
            <w:tcBorders>
              <w:left w:val="single" w:color="000000" w:sz="10" w:space="0"/>
            </w:tcBorders>
            <w:vAlign w:val="top"/>
          </w:tcPr>
          <w:p w14:paraId="3B7DB419">
            <w:pPr>
              <w:pStyle w:val="594"/>
            </w:pPr>
          </w:p>
        </w:tc>
        <w:tc>
          <w:tcPr>
            <w:tcW w:w="3749" w:type="dxa"/>
            <w:gridSpan w:val="2"/>
            <w:vAlign w:val="top"/>
          </w:tcPr>
          <w:p w14:paraId="6C87D2E8">
            <w:pPr>
              <w:pStyle w:val="594"/>
            </w:pPr>
          </w:p>
        </w:tc>
        <w:tc>
          <w:tcPr>
            <w:tcW w:w="1851" w:type="dxa"/>
            <w:vAlign w:val="top"/>
          </w:tcPr>
          <w:p w14:paraId="0CC1996E">
            <w:pPr>
              <w:pStyle w:val="594"/>
            </w:pPr>
          </w:p>
        </w:tc>
        <w:tc>
          <w:tcPr>
            <w:tcW w:w="1643" w:type="dxa"/>
            <w:gridSpan w:val="2"/>
            <w:vAlign w:val="top"/>
          </w:tcPr>
          <w:p w14:paraId="23EE71E5">
            <w:pPr>
              <w:pStyle w:val="594"/>
            </w:pPr>
          </w:p>
        </w:tc>
        <w:tc>
          <w:tcPr>
            <w:tcW w:w="1868" w:type="dxa"/>
            <w:tcBorders>
              <w:right w:val="single" w:color="000000" w:sz="10" w:space="0"/>
            </w:tcBorders>
            <w:vAlign w:val="top"/>
          </w:tcPr>
          <w:p w14:paraId="6A835002">
            <w:pPr>
              <w:pStyle w:val="594"/>
            </w:pPr>
          </w:p>
        </w:tc>
      </w:tr>
      <w:tr w14:paraId="2C48C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1300" w:type="dxa"/>
            <w:tcBorders>
              <w:left w:val="single" w:color="000000" w:sz="10" w:space="0"/>
            </w:tcBorders>
            <w:vAlign w:val="top"/>
          </w:tcPr>
          <w:p w14:paraId="667DC869">
            <w:pPr>
              <w:pStyle w:val="594"/>
            </w:pPr>
          </w:p>
        </w:tc>
        <w:tc>
          <w:tcPr>
            <w:tcW w:w="3749" w:type="dxa"/>
            <w:gridSpan w:val="2"/>
            <w:vAlign w:val="top"/>
          </w:tcPr>
          <w:p w14:paraId="7C4A6EA7">
            <w:pPr>
              <w:pStyle w:val="594"/>
            </w:pPr>
          </w:p>
        </w:tc>
        <w:tc>
          <w:tcPr>
            <w:tcW w:w="1851" w:type="dxa"/>
            <w:vAlign w:val="top"/>
          </w:tcPr>
          <w:p w14:paraId="10B9FA8C">
            <w:pPr>
              <w:pStyle w:val="594"/>
            </w:pPr>
          </w:p>
        </w:tc>
        <w:tc>
          <w:tcPr>
            <w:tcW w:w="1643" w:type="dxa"/>
            <w:gridSpan w:val="2"/>
            <w:vAlign w:val="top"/>
          </w:tcPr>
          <w:p w14:paraId="350DADC3">
            <w:pPr>
              <w:pStyle w:val="594"/>
            </w:pPr>
          </w:p>
        </w:tc>
        <w:tc>
          <w:tcPr>
            <w:tcW w:w="1868" w:type="dxa"/>
            <w:tcBorders>
              <w:right w:val="single" w:color="000000" w:sz="10" w:space="0"/>
            </w:tcBorders>
            <w:vAlign w:val="top"/>
          </w:tcPr>
          <w:p w14:paraId="45FEF335">
            <w:pPr>
              <w:pStyle w:val="594"/>
            </w:pPr>
          </w:p>
        </w:tc>
      </w:tr>
      <w:tr w14:paraId="7CAA2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1300" w:type="dxa"/>
            <w:tcBorders>
              <w:left w:val="single" w:color="000000" w:sz="10" w:space="0"/>
            </w:tcBorders>
            <w:vAlign w:val="top"/>
          </w:tcPr>
          <w:p w14:paraId="46E5ECDB">
            <w:pPr>
              <w:pStyle w:val="594"/>
            </w:pPr>
          </w:p>
        </w:tc>
        <w:tc>
          <w:tcPr>
            <w:tcW w:w="3749" w:type="dxa"/>
            <w:gridSpan w:val="2"/>
            <w:vAlign w:val="top"/>
          </w:tcPr>
          <w:p w14:paraId="24C71648">
            <w:pPr>
              <w:pStyle w:val="594"/>
            </w:pPr>
          </w:p>
        </w:tc>
        <w:tc>
          <w:tcPr>
            <w:tcW w:w="1851" w:type="dxa"/>
            <w:vAlign w:val="top"/>
          </w:tcPr>
          <w:p w14:paraId="528B98E6">
            <w:pPr>
              <w:pStyle w:val="594"/>
            </w:pPr>
          </w:p>
        </w:tc>
        <w:tc>
          <w:tcPr>
            <w:tcW w:w="1643" w:type="dxa"/>
            <w:gridSpan w:val="2"/>
            <w:vAlign w:val="top"/>
          </w:tcPr>
          <w:p w14:paraId="6A621E64">
            <w:pPr>
              <w:pStyle w:val="594"/>
            </w:pPr>
          </w:p>
        </w:tc>
        <w:tc>
          <w:tcPr>
            <w:tcW w:w="1868" w:type="dxa"/>
            <w:tcBorders>
              <w:right w:val="single" w:color="000000" w:sz="10" w:space="0"/>
            </w:tcBorders>
            <w:vAlign w:val="top"/>
          </w:tcPr>
          <w:p w14:paraId="5A19B3C0">
            <w:pPr>
              <w:pStyle w:val="594"/>
            </w:pPr>
          </w:p>
        </w:tc>
      </w:tr>
      <w:tr w14:paraId="7A66A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1300" w:type="dxa"/>
            <w:tcBorders>
              <w:left w:val="single" w:color="000000" w:sz="10" w:space="0"/>
            </w:tcBorders>
            <w:vAlign w:val="top"/>
          </w:tcPr>
          <w:p w14:paraId="41A56B9E">
            <w:pPr>
              <w:pStyle w:val="594"/>
            </w:pPr>
          </w:p>
        </w:tc>
        <w:tc>
          <w:tcPr>
            <w:tcW w:w="3749" w:type="dxa"/>
            <w:gridSpan w:val="2"/>
            <w:vAlign w:val="top"/>
          </w:tcPr>
          <w:p w14:paraId="46632432">
            <w:pPr>
              <w:pStyle w:val="594"/>
            </w:pPr>
          </w:p>
        </w:tc>
        <w:tc>
          <w:tcPr>
            <w:tcW w:w="1851" w:type="dxa"/>
            <w:vAlign w:val="top"/>
          </w:tcPr>
          <w:p w14:paraId="070F6932">
            <w:pPr>
              <w:pStyle w:val="594"/>
            </w:pPr>
          </w:p>
        </w:tc>
        <w:tc>
          <w:tcPr>
            <w:tcW w:w="1643" w:type="dxa"/>
            <w:gridSpan w:val="2"/>
            <w:vAlign w:val="top"/>
          </w:tcPr>
          <w:p w14:paraId="02E9DF67">
            <w:pPr>
              <w:pStyle w:val="594"/>
            </w:pPr>
          </w:p>
        </w:tc>
        <w:tc>
          <w:tcPr>
            <w:tcW w:w="1868" w:type="dxa"/>
            <w:tcBorders>
              <w:right w:val="single" w:color="000000" w:sz="10" w:space="0"/>
            </w:tcBorders>
            <w:vAlign w:val="top"/>
          </w:tcPr>
          <w:p w14:paraId="40ED278A">
            <w:pPr>
              <w:pStyle w:val="594"/>
            </w:pPr>
          </w:p>
        </w:tc>
      </w:tr>
      <w:tr w14:paraId="25FF6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1300" w:type="dxa"/>
            <w:tcBorders>
              <w:left w:val="single" w:color="000000" w:sz="10" w:space="0"/>
            </w:tcBorders>
            <w:vAlign w:val="top"/>
          </w:tcPr>
          <w:p w14:paraId="118BD951">
            <w:pPr>
              <w:pStyle w:val="594"/>
            </w:pPr>
          </w:p>
        </w:tc>
        <w:tc>
          <w:tcPr>
            <w:tcW w:w="3749" w:type="dxa"/>
            <w:gridSpan w:val="2"/>
            <w:vAlign w:val="top"/>
          </w:tcPr>
          <w:p w14:paraId="254D13DF">
            <w:pPr>
              <w:pStyle w:val="594"/>
            </w:pPr>
          </w:p>
        </w:tc>
        <w:tc>
          <w:tcPr>
            <w:tcW w:w="1851" w:type="dxa"/>
            <w:vAlign w:val="top"/>
          </w:tcPr>
          <w:p w14:paraId="729DBC3A">
            <w:pPr>
              <w:pStyle w:val="594"/>
            </w:pPr>
          </w:p>
        </w:tc>
        <w:tc>
          <w:tcPr>
            <w:tcW w:w="1643" w:type="dxa"/>
            <w:gridSpan w:val="2"/>
            <w:vAlign w:val="top"/>
          </w:tcPr>
          <w:p w14:paraId="44286917">
            <w:pPr>
              <w:pStyle w:val="594"/>
            </w:pPr>
          </w:p>
        </w:tc>
        <w:tc>
          <w:tcPr>
            <w:tcW w:w="1868" w:type="dxa"/>
            <w:tcBorders>
              <w:right w:val="single" w:color="000000" w:sz="10" w:space="0"/>
            </w:tcBorders>
            <w:vAlign w:val="top"/>
          </w:tcPr>
          <w:p w14:paraId="22728406">
            <w:pPr>
              <w:pStyle w:val="594"/>
            </w:pPr>
          </w:p>
        </w:tc>
      </w:tr>
      <w:tr w14:paraId="3386C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1300" w:type="dxa"/>
            <w:tcBorders>
              <w:left w:val="single" w:color="000000" w:sz="10" w:space="0"/>
            </w:tcBorders>
            <w:vAlign w:val="top"/>
          </w:tcPr>
          <w:p w14:paraId="2C465FD9">
            <w:pPr>
              <w:pStyle w:val="594"/>
            </w:pPr>
          </w:p>
        </w:tc>
        <w:tc>
          <w:tcPr>
            <w:tcW w:w="3749" w:type="dxa"/>
            <w:gridSpan w:val="2"/>
            <w:vAlign w:val="top"/>
          </w:tcPr>
          <w:p w14:paraId="4A2CA676">
            <w:pPr>
              <w:pStyle w:val="594"/>
            </w:pPr>
          </w:p>
        </w:tc>
        <w:tc>
          <w:tcPr>
            <w:tcW w:w="1851" w:type="dxa"/>
            <w:vAlign w:val="top"/>
          </w:tcPr>
          <w:p w14:paraId="0A4101FD">
            <w:pPr>
              <w:pStyle w:val="594"/>
            </w:pPr>
          </w:p>
        </w:tc>
        <w:tc>
          <w:tcPr>
            <w:tcW w:w="1643" w:type="dxa"/>
            <w:gridSpan w:val="2"/>
            <w:vAlign w:val="top"/>
          </w:tcPr>
          <w:p w14:paraId="1838315C">
            <w:pPr>
              <w:pStyle w:val="594"/>
            </w:pPr>
          </w:p>
        </w:tc>
        <w:tc>
          <w:tcPr>
            <w:tcW w:w="1868" w:type="dxa"/>
            <w:tcBorders>
              <w:right w:val="single" w:color="000000" w:sz="10" w:space="0"/>
            </w:tcBorders>
            <w:vAlign w:val="top"/>
          </w:tcPr>
          <w:p w14:paraId="21E821F6">
            <w:pPr>
              <w:pStyle w:val="594"/>
            </w:pPr>
          </w:p>
        </w:tc>
      </w:tr>
      <w:tr w14:paraId="2DC6B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1300" w:type="dxa"/>
            <w:tcBorders>
              <w:left w:val="single" w:color="000000" w:sz="10" w:space="0"/>
            </w:tcBorders>
            <w:vAlign w:val="top"/>
          </w:tcPr>
          <w:p w14:paraId="0CCD25B3">
            <w:pPr>
              <w:pStyle w:val="594"/>
            </w:pPr>
          </w:p>
        </w:tc>
        <w:tc>
          <w:tcPr>
            <w:tcW w:w="3749" w:type="dxa"/>
            <w:gridSpan w:val="2"/>
            <w:vAlign w:val="top"/>
          </w:tcPr>
          <w:p w14:paraId="688ABEA7">
            <w:pPr>
              <w:pStyle w:val="594"/>
            </w:pPr>
          </w:p>
        </w:tc>
        <w:tc>
          <w:tcPr>
            <w:tcW w:w="1851" w:type="dxa"/>
            <w:vAlign w:val="top"/>
          </w:tcPr>
          <w:p w14:paraId="16F76B59">
            <w:pPr>
              <w:pStyle w:val="594"/>
            </w:pPr>
          </w:p>
        </w:tc>
        <w:tc>
          <w:tcPr>
            <w:tcW w:w="1643" w:type="dxa"/>
            <w:gridSpan w:val="2"/>
            <w:vAlign w:val="top"/>
          </w:tcPr>
          <w:p w14:paraId="6160BB8A">
            <w:pPr>
              <w:pStyle w:val="594"/>
            </w:pPr>
          </w:p>
        </w:tc>
        <w:tc>
          <w:tcPr>
            <w:tcW w:w="1868" w:type="dxa"/>
            <w:tcBorders>
              <w:right w:val="single" w:color="000000" w:sz="10" w:space="0"/>
            </w:tcBorders>
            <w:vAlign w:val="top"/>
          </w:tcPr>
          <w:p w14:paraId="6AA83A54">
            <w:pPr>
              <w:pStyle w:val="594"/>
            </w:pPr>
          </w:p>
        </w:tc>
      </w:tr>
      <w:tr w14:paraId="43D22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1300" w:type="dxa"/>
            <w:tcBorders>
              <w:left w:val="single" w:color="000000" w:sz="10" w:space="0"/>
            </w:tcBorders>
            <w:vAlign w:val="top"/>
          </w:tcPr>
          <w:p w14:paraId="1781E3B3">
            <w:pPr>
              <w:pStyle w:val="594"/>
            </w:pPr>
          </w:p>
        </w:tc>
        <w:tc>
          <w:tcPr>
            <w:tcW w:w="3749" w:type="dxa"/>
            <w:gridSpan w:val="2"/>
            <w:vAlign w:val="top"/>
          </w:tcPr>
          <w:p w14:paraId="2F4373FE">
            <w:pPr>
              <w:pStyle w:val="594"/>
            </w:pPr>
          </w:p>
        </w:tc>
        <w:tc>
          <w:tcPr>
            <w:tcW w:w="1851" w:type="dxa"/>
            <w:vAlign w:val="top"/>
          </w:tcPr>
          <w:p w14:paraId="00F9A70B">
            <w:pPr>
              <w:pStyle w:val="594"/>
            </w:pPr>
          </w:p>
        </w:tc>
        <w:tc>
          <w:tcPr>
            <w:tcW w:w="1643" w:type="dxa"/>
            <w:gridSpan w:val="2"/>
            <w:vAlign w:val="top"/>
          </w:tcPr>
          <w:p w14:paraId="354D7CC6">
            <w:pPr>
              <w:pStyle w:val="594"/>
            </w:pPr>
          </w:p>
        </w:tc>
        <w:tc>
          <w:tcPr>
            <w:tcW w:w="1868" w:type="dxa"/>
            <w:tcBorders>
              <w:right w:val="single" w:color="000000" w:sz="10" w:space="0"/>
            </w:tcBorders>
            <w:vAlign w:val="top"/>
          </w:tcPr>
          <w:p w14:paraId="589B6F42">
            <w:pPr>
              <w:pStyle w:val="594"/>
            </w:pPr>
          </w:p>
        </w:tc>
      </w:tr>
      <w:tr w14:paraId="7A20F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1300" w:type="dxa"/>
            <w:tcBorders>
              <w:left w:val="single" w:color="000000" w:sz="10" w:space="0"/>
            </w:tcBorders>
            <w:vAlign w:val="top"/>
          </w:tcPr>
          <w:p w14:paraId="0D95FBF2">
            <w:pPr>
              <w:pStyle w:val="594"/>
            </w:pPr>
          </w:p>
        </w:tc>
        <w:tc>
          <w:tcPr>
            <w:tcW w:w="3749" w:type="dxa"/>
            <w:gridSpan w:val="2"/>
            <w:vAlign w:val="top"/>
          </w:tcPr>
          <w:p w14:paraId="417A1DBC">
            <w:pPr>
              <w:pStyle w:val="594"/>
            </w:pPr>
          </w:p>
        </w:tc>
        <w:tc>
          <w:tcPr>
            <w:tcW w:w="1851" w:type="dxa"/>
            <w:vAlign w:val="top"/>
          </w:tcPr>
          <w:p w14:paraId="5BD8B8FA">
            <w:pPr>
              <w:pStyle w:val="594"/>
            </w:pPr>
          </w:p>
        </w:tc>
        <w:tc>
          <w:tcPr>
            <w:tcW w:w="1643" w:type="dxa"/>
            <w:gridSpan w:val="2"/>
            <w:vAlign w:val="top"/>
          </w:tcPr>
          <w:p w14:paraId="01FED8A6">
            <w:pPr>
              <w:pStyle w:val="594"/>
            </w:pPr>
          </w:p>
        </w:tc>
        <w:tc>
          <w:tcPr>
            <w:tcW w:w="1868" w:type="dxa"/>
            <w:tcBorders>
              <w:right w:val="single" w:color="000000" w:sz="10" w:space="0"/>
            </w:tcBorders>
            <w:vAlign w:val="top"/>
          </w:tcPr>
          <w:p w14:paraId="4280086C">
            <w:pPr>
              <w:pStyle w:val="594"/>
            </w:pPr>
          </w:p>
        </w:tc>
      </w:tr>
      <w:tr w14:paraId="00518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1300" w:type="dxa"/>
            <w:tcBorders>
              <w:left w:val="single" w:color="000000" w:sz="10" w:space="0"/>
            </w:tcBorders>
            <w:vAlign w:val="top"/>
          </w:tcPr>
          <w:p w14:paraId="739C01ED">
            <w:pPr>
              <w:pStyle w:val="594"/>
            </w:pPr>
          </w:p>
        </w:tc>
        <w:tc>
          <w:tcPr>
            <w:tcW w:w="3749" w:type="dxa"/>
            <w:gridSpan w:val="2"/>
            <w:vAlign w:val="top"/>
          </w:tcPr>
          <w:p w14:paraId="77F8AB4A">
            <w:pPr>
              <w:pStyle w:val="594"/>
            </w:pPr>
          </w:p>
        </w:tc>
        <w:tc>
          <w:tcPr>
            <w:tcW w:w="1851" w:type="dxa"/>
            <w:vAlign w:val="top"/>
          </w:tcPr>
          <w:p w14:paraId="14687501">
            <w:pPr>
              <w:pStyle w:val="594"/>
            </w:pPr>
          </w:p>
        </w:tc>
        <w:tc>
          <w:tcPr>
            <w:tcW w:w="1643" w:type="dxa"/>
            <w:gridSpan w:val="2"/>
            <w:vAlign w:val="top"/>
          </w:tcPr>
          <w:p w14:paraId="59A3C6CF">
            <w:pPr>
              <w:pStyle w:val="594"/>
            </w:pPr>
          </w:p>
        </w:tc>
        <w:tc>
          <w:tcPr>
            <w:tcW w:w="1868" w:type="dxa"/>
            <w:tcBorders>
              <w:right w:val="single" w:color="000000" w:sz="10" w:space="0"/>
            </w:tcBorders>
            <w:vAlign w:val="top"/>
          </w:tcPr>
          <w:p w14:paraId="0A8C521C">
            <w:pPr>
              <w:pStyle w:val="594"/>
            </w:pPr>
          </w:p>
        </w:tc>
      </w:tr>
      <w:tr w14:paraId="385D0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1300" w:type="dxa"/>
            <w:tcBorders>
              <w:left w:val="single" w:color="000000" w:sz="10" w:space="0"/>
            </w:tcBorders>
            <w:vAlign w:val="top"/>
          </w:tcPr>
          <w:p w14:paraId="0F56C9AC">
            <w:pPr>
              <w:pStyle w:val="594"/>
            </w:pPr>
          </w:p>
        </w:tc>
        <w:tc>
          <w:tcPr>
            <w:tcW w:w="3749" w:type="dxa"/>
            <w:gridSpan w:val="2"/>
            <w:vAlign w:val="top"/>
          </w:tcPr>
          <w:p w14:paraId="4E2DF11A">
            <w:pPr>
              <w:pStyle w:val="594"/>
            </w:pPr>
          </w:p>
        </w:tc>
        <w:tc>
          <w:tcPr>
            <w:tcW w:w="1851" w:type="dxa"/>
            <w:vAlign w:val="top"/>
          </w:tcPr>
          <w:p w14:paraId="426DA392">
            <w:pPr>
              <w:pStyle w:val="594"/>
            </w:pPr>
          </w:p>
        </w:tc>
        <w:tc>
          <w:tcPr>
            <w:tcW w:w="1643" w:type="dxa"/>
            <w:gridSpan w:val="2"/>
            <w:vAlign w:val="top"/>
          </w:tcPr>
          <w:p w14:paraId="60B3787D">
            <w:pPr>
              <w:pStyle w:val="594"/>
            </w:pPr>
          </w:p>
        </w:tc>
        <w:tc>
          <w:tcPr>
            <w:tcW w:w="1868" w:type="dxa"/>
            <w:tcBorders>
              <w:right w:val="single" w:color="000000" w:sz="10" w:space="0"/>
            </w:tcBorders>
            <w:vAlign w:val="top"/>
          </w:tcPr>
          <w:p w14:paraId="603FC332">
            <w:pPr>
              <w:pStyle w:val="594"/>
            </w:pPr>
          </w:p>
        </w:tc>
      </w:tr>
      <w:tr w14:paraId="4AA9F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1300" w:type="dxa"/>
            <w:tcBorders>
              <w:left w:val="single" w:color="000000" w:sz="10" w:space="0"/>
            </w:tcBorders>
            <w:vAlign w:val="top"/>
          </w:tcPr>
          <w:p w14:paraId="51DEEFCD">
            <w:pPr>
              <w:pStyle w:val="594"/>
            </w:pPr>
          </w:p>
        </w:tc>
        <w:tc>
          <w:tcPr>
            <w:tcW w:w="3749" w:type="dxa"/>
            <w:gridSpan w:val="2"/>
            <w:vAlign w:val="top"/>
          </w:tcPr>
          <w:p w14:paraId="486B6B40">
            <w:pPr>
              <w:pStyle w:val="594"/>
            </w:pPr>
          </w:p>
        </w:tc>
        <w:tc>
          <w:tcPr>
            <w:tcW w:w="1851" w:type="dxa"/>
            <w:vAlign w:val="top"/>
          </w:tcPr>
          <w:p w14:paraId="798657EB">
            <w:pPr>
              <w:pStyle w:val="594"/>
            </w:pPr>
          </w:p>
        </w:tc>
        <w:tc>
          <w:tcPr>
            <w:tcW w:w="1643" w:type="dxa"/>
            <w:gridSpan w:val="2"/>
            <w:vAlign w:val="top"/>
          </w:tcPr>
          <w:p w14:paraId="4C70A680">
            <w:pPr>
              <w:pStyle w:val="594"/>
            </w:pPr>
          </w:p>
        </w:tc>
        <w:tc>
          <w:tcPr>
            <w:tcW w:w="1868" w:type="dxa"/>
            <w:tcBorders>
              <w:right w:val="single" w:color="000000" w:sz="10" w:space="0"/>
            </w:tcBorders>
            <w:vAlign w:val="top"/>
          </w:tcPr>
          <w:p w14:paraId="20A6F362">
            <w:pPr>
              <w:pStyle w:val="594"/>
            </w:pPr>
          </w:p>
        </w:tc>
      </w:tr>
      <w:tr w14:paraId="1A9C7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1300" w:type="dxa"/>
            <w:tcBorders>
              <w:left w:val="single" w:color="000000" w:sz="10" w:space="0"/>
            </w:tcBorders>
            <w:vAlign w:val="top"/>
          </w:tcPr>
          <w:p w14:paraId="446C6B15">
            <w:pPr>
              <w:pStyle w:val="594"/>
            </w:pPr>
          </w:p>
        </w:tc>
        <w:tc>
          <w:tcPr>
            <w:tcW w:w="3749" w:type="dxa"/>
            <w:gridSpan w:val="2"/>
            <w:vAlign w:val="top"/>
          </w:tcPr>
          <w:p w14:paraId="37639B8C">
            <w:pPr>
              <w:pStyle w:val="594"/>
            </w:pPr>
          </w:p>
        </w:tc>
        <w:tc>
          <w:tcPr>
            <w:tcW w:w="1851" w:type="dxa"/>
            <w:vAlign w:val="top"/>
          </w:tcPr>
          <w:p w14:paraId="17596EF2">
            <w:pPr>
              <w:pStyle w:val="594"/>
            </w:pPr>
          </w:p>
        </w:tc>
        <w:tc>
          <w:tcPr>
            <w:tcW w:w="1643" w:type="dxa"/>
            <w:gridSpan w:val="2"/>
            <w:vAlign w:val="top"/>
          </w:tcPr>
          <w:p w14:paraId="576A78BB">
            <w:pPr>
              <w:pStyle w:val="594"/>
            </w:pPr>
          </w:p>
        </w:tc>
        <w:tc>
          <w:tcPr>
            <w:tcW w:w="1868" w:type="dxa"/>
            <w:tcBorders>
              <w:right w:val="single" w:color="000000" w:sz="10" w:space="0"/>
            </w:tcBorders>
            <w:vAlign w:val="top"/>
          </w:tcPr>
          <w:p w14:paraId="1C468178">
            <w:pPr>
              <w:pStyle w:val="594"/>
            </w:pPr>
          </w:p>
        </w:tc>
      </w:tr>
      <w:tr w14:paraId="250D7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1300" w:type="dxa"/>
            <w:tcBorders>
              <w:left w:val="single" w:color="000000" w:sz="10" w:space="0"/>
              <w:bottom w:val="single" w:color="000000" w:sz="10" w:space="0"/>
            </w:tcBorders>
            <w:vAlign w:val="top"/>
          </w:tcPr>
          <w:p w14:paraId="6A612515">
            <w:pPr>
              <w:pStyle w:val="594"/>
            </w:pPr>
          </w:p>
        </w:tc>
        <w:tc>
          <w:tcPr>
            <w:tcW w:w="3749" w:type="dxa"/>
            <w:gridSpan w:val="2"/>
            <w:tcBorders>
              <w:bottom w:val="single" w:color="000000" w:sz="10" w:space="0"/>
            </w:tcBorders>
            <w:vAlign w:val="top"/>
          </w:tcPr>
          <w:p w14:paraId="05E8E728">
            <w:pPr>
              <w:spacing w:before="104" w:line="232" w:lineRule="auto"/>
              <w:ind w:left="22"/>
              <w:rPr>
                <w:rFonts w:ascii="宋体" w:hAnsi="宋体" w:eastAsia="宋体" w:cs="宋体"/>
                <w:sz w:val="17"/>
                <w:szCs w:val="17"/>
              </w:rPr>
            </w:pPr>
            <w:r>
              <w:rPr>
                <w:rFonts w:ascii="宋体" w:hAnsi="宋体" w:eastAsia="宋体" w:cs="宋体"/>
                <w:spacing w:val="2"/>
                <w:sz w:val="17"/>
                <w:szCs w:val="17"/>
              </w:rPr>
              <w:t>合</w:t>
            </w:r>
            <w:r>
              <w:rPr>
                <w:rFonts w:ascii="宋体" w:hAnsi="宋体" w:eastAsia="宋体" w:cs="宋体"/>
                <w:spacing w:val="8"/>
                <w:sz w:val="17"/>
                <w:szCs w:val="17"/>
              </w:rPr>
              <w:t xml:space="preserve">  </w:t>
            </w:r>
            <w:r>
              <w:rPr>
                <w:rFonts w:ascii="宋体" w:hAnsi="宋体" w:eastAsia="宋体" w:cs="宋体"/>
                <w:spacing w:val="2"/>
                <w:sz w:val="17"/>
                <w:szCs w:val="17"/>
              </w:rPr>
              <w:t>计</w:t>
            </w:r>
          </w:p>
        </w:tc>
        <w:tc>
          <w:tcPr>
            <w:tcW w:w="1851" w:type="dxa"/>
            <w:tcBorders>
              <w:bottom w:val="single" w:color="000000" w:sz="10" w:space="0"/>
            </w:tcBorders>
            <w:vAlign w:val="top"/>
          </w:tcPr>
          <w:p w14:paraId="22BE1277">
            <w:pPr>
              <w:pStyle w:val="594"/>
            </w:pPr>
          </w:p>
        </w:tc>
        <w:tc>
          <w:tcPr>
            <w:tcW w:w="1643" w:type="dxa"/>
            <w:gridSpan w:val="2"/>
            <w:tcBorders>
              <w:bottom w:val="single" w:color="000000" w:sz="10" w:space="0"/>
            </w:tcBorders>
            <w:vAlign w:val="top"/>
          </w:tcPr>
          <w:p w14:paraId="6E00C272">
            <w:pPr>
              <w:pStyle w:val="594"/>
            </w:pPr>
          </w:p>
        </w:tc>
        <w:tc>
          <w:tcPr>
            <w:tcW w:w="1868" w:type="dxa"/>
            <w:tcBorders>
              <w:bottom w:val="single" w:color="000000" w:sz="10" w:space="0"/>
              <w:right w:val="single" w:color="000000" w:sz="10" w:space="0"/>
            </w:tcBorders>
            <w:vAlign w:val="top"/>
          </w:tcPr>
          <w:p w14:paraId="3C3DD567">
            <w:pPr>
              <w:pStyle w:val="594"/>
            </w:pPr>
          </w:p>
        </w:tc>
      </w:tr>
    </w:tbl>
    <w:p w14:paraId="3C46D63F">
      <w:pPr>
        <w:spacing w:line="193" w:lineRule="exact"/>
      </w:pPr>
    </w:p>
    <w:tbl>
      <w:tblPr>
        <w:tblStyle w:val="333"/>
        <w:tblW w:w="10401"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6527"/>
        <w:gridCol w:w="1221"/>
        <w:gridCol w:w="2653"/>
      </w:tblGrid>
      <w:tr w14:paraId="7B52176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9" w:hRule="atLeast"/>
        </w:trPr>
        <w:tc>
          <w:tcPr>
            <w:tcW w:w="6527" w:type="dxa"/>
            <w:tcBorders>
              <w:bottom w:val="single" w:color="FFFFFF" w:sz="2" w:space="0"/>
              <w:right w:val="single" w:color="FFFFFF" w:sz="4" w:space="0"/>
            </w:tcBorders>
            <w:vAlign w:val="top"/>
          </w:tcPr>
          <w:p w14:paraId="562A3DF0">
            <w:pPr>
              <w:pStyle w:val="594"/>
            </w:pPr>
          </w:p>
        </w:tc>
        <w:tc>
          <w:tcPr>
            <w:tcW w:w="1221" w:type="dxa"/>
            <w:tcBorders>
              <w:left w:val="single" w:color="FFFFFF" w:sz="4" w:space="0"/>
              <w:bottom w:val="single" w:color="FFFFFF" w:sz="2" w:space="0"/>
              <w:right w:val="single" w:color="FFFFFF" w:sz="4" w:space="0"/>
            </w:tcBorders>
            <w:vAlign w:val="top"/>
          </w:tcPr>
          <w:p w14:paraId="0682EDC9">
            <w:pPr>
              <w:pStyle w:val="594"/>
            </w:pPr>
          </w:p>
        </w:tc>
        <w:tc>
          <w:tcPr>
            <w:tcW w:w="2653" w:type="dxa"/>
            <w:tcBorders>
              <w:left w:val="single" w:color="FFFFFF" w:sz="4" w:space="0"/>
              <w:bottom w:val="single" w:color="FFFFFF" w:sz="2" w:space="0"/>
              <w:right w:val="single" w:color="FFFFFF" w:sz="2" w:space="0"/>
            </w:tcBorders>
            <w:vAlign w:val="top"/>
          </w:tcPr>
          <w:p w14:paraId="61418E81">
            <w:pPr>
              <w:spacing w:before="90" w:line="232" w:lineRule="auto"/>
              <w:ind w:right="18"/>
              <w:jc w:val="right"/>
              <w:rPr>
                <w:rFonts w:ascii="宋体" w:hAnsi="宋体" w:eastAsia="宋体" w:cs="宋体"/>
                <w:sz w:val="17"/>
                <w:szCs w:val="17"/>
              </w:rPr>
            </w:pPr>
            <w:r>
              <w:rPr>
                <w:rFonts w:ascii="宋体" w:hAnsi="宋体" w:eastAsia="宋体" w:cs="宋体"/>
                <w:spacing w:val="1"/>
                <w:sz w:val="17"/>
                <w:szCs w:val="17"/>
              </w:rPr>
              <w:t>表</w:t>
            </w:r>
            <w:r>
              <w:rPr>
                <w:rFonts w:ascii="宋体" w:hAnsi="宋体" w:eastAsia="宋体" w:cs="宋体"/>
                <w:spacing w:val="-5"/>
                <w:w w:val="55"/>
                <w:sz w:val="17"/>
                <w:szCs w:val="17"/>
              </w:rPr>
              <w:t>—</w:t>
            </w:r>
            <w:r>
              <w:rPr>
                <w:rFonts w:ascii="宋体" w:hAnsi="宋体" w:eastAsia="宋体" w:cs="宋体"/>
                <w:spacing w:val="20"/>
                <w:sz w:val="17"/>
                <w:szCs w:val="17"/>
              </w:rPr>
              <w:t xml:space="preserve"> </w:t>
            </w:r>
            <w:r>
              <w:rPr>
                <w:rFonts w:ascii="宋体" w:hAnsi="宋体" w:eastAsia="宋体" w:cs="宋体"/>
                <w:spacing w:val="1"/>
                <w:sz w:val="17"/>
                <w:szCs w:val="17"/>
              </w:rPr>
              <w:t>12</w:t>
            </w:r>
          </w:p>
        </w:tc>
      </w:tr>
    </w:tbl>
    <w:p w14:paraId="2556F5ED">
      <w:pPr>
        <w:pStyle w:val="14"/>
        <w:rPr>
          <w:sz w:val="21"/>
        </w:rPr>
      </w:pPr>
    </w:p>
    <w:p w14:paraId="316D14DF">
      <w:pPr>
        <w:rPr>
          <w:sz w:val="21"/>
          <w:szCs w:val="21"/>
        </w:rPr>
        <w:sectPr>
          <w:pgSz w:w="11960" w:h="16880"/>
          <w:pgMar w:top="400" w:right="790" w:bottom="0" w:left="733" w:header="0" w:footer="0" w:gutter="0"/>
          <w:cols w:space="720" w:num="1"/>
        </w:sectPr>
      </w:pPr>
    </w:p>
    <w:tbl>
      <w:tblPr>
        <w:tblStyle w:val="333"/>
        <w:tblpPr w:leftFromText="180" w:rightFromText="180" w:vertAnchor="text" w:horzAnchor="page" w:tblpXSpec="center" w:tblpY="233"/>
        <w:tblOverlap w:val="never"/>
        <w:tblW w:w="104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8"/>
        <w:gridCol w:w="2882"/>
        <w:gridCol w:w="686"/>
        <w:gridCol w:w="330"/>
        <w:gridCol w:w="849"/>
        <w:gridCol w:w="1060"/>
        <w:gridCol w:w="1019"/>
        <w:gridCol w:w="191"/>
        <w:gridCol w:w="1300"/>
        <w:gridCol w:w="1316"/>
      </w:tblGrid>
      <w:tr w14:paraId="4C8AE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jc w:val="center"/>
        </w:trPr>
        <w:tc>
          <w:tcPr>
            <w:tcW w:w="10411" w:type="dxa"/>
            <w:gridSpan w:val="10"/>
            <w:tcBorders>
              <w:top w:val="nil"/>
              <w:left w:val="nil"/>
              <w:bottom w:val="single" w:color="FFFFFF" w:sz="4" w:space="0"/>
              <w:right w:val="single" w:color="FFFFFF" w:sz="2" w:space="0"/>
            </w:tcBorders>
            <w:vAlign w:val="top"/>
          </w:tcPr>
          <w:p w14:paraId="68CC57A5">
            <w:pPr>
              <w:spacing w:before="194" w:line="226" w:lineRule="auto"/>
              <w:ind w:left="4359"/>
              <w:outlineLvl w:val="0"/>
              <w:rPr>
                <w:rFonts w:ascii="宋体" w:hAnsi="宋体" w:eastAsia="宋体" w:cs="宋体"/>
                <w:sz w:val="39"/>
                <w:szCs w:val="39"/>
              </w:rPr>
            </w:pPr>
            <w:r>
              <w:rPr>
                <w:rFonts w:ascii="宋体" w:hAnsi="宋体" w:eastAsia="宋体" w:cs="宋体"/>
                <w:spacing w:val="20"/>
                <w:sz w:val="39"/>
                <w:szCs w:val="39"/>
              </w:rPr>
              <w:t>计日工表</w:t>
            </w:r>
          </w:p>
        </w:tc>
      </w:tr>
      <w:tr w14:paraId="39951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jc w:val="center"/>
        </w:trPr>
        <w:tc>
          <w:tcPr>
            <w:tcW w:w="4676" w:type="dxa"/>
            <w:gridSpan w:val="4"/>
            <w:tcBorders>
              <w:top w:val="single" w:color="FFFFFF" w:sz="4" w:space="0"/>
              <w:left w:val="nil"/>
              <w:bottom w:val="single" w:color="000000" w:sz="10" w:space="0"/>
              <w:right w:val="single" w:color="FFFFFF" w:sz="4" w:space="0"/>
            </w:tcBorders>
            <w:vAlign w:val="top"/>
          </w:tcPr>
          <w:p w14:paraId="38B04E9A">
            <w:pPr>
              <w:pStyle w:val="594"/>
              <w:spacing w:line="280" w:lineRule="auto"/>
            </w:pPr>
          </w:p>
          <w:p w14:paraId="34A3E68A">
            <w:pPr>
              <w:spacing w:before="62" w:line="214" w:lineRule="auto"/>
              <w:ind w:left="28"/>
              <w:rPr>
                <w:rFonts w:ascii="宋体" w:hAnsi="宋体" w:eastAsia="宋体" w:cs="宋体"/>
                <w:sz w:val="19"/>
                <w:szCs w:val="19"/>
              </w:rPr>
            </w:pPr>
            <w:r>
              <w:rPr>
                <w:rFonts w:ascii="宋体" w:hAnsi="宋体" w:eastAsia="宋体" w:cs="宋体"/>
                <w:spacing w:val="4"/>
                <w:sz w:val="19"/>
                <w:szCs w:val="19"/>
              </w:rPr>
              <w:t>工程名称：沭阳县耿圩镇污水处理厂提质提标项目</w:t>
            </w:r>
          </w:p>
        </w:tc>
        <w:tc>
          <w:tcPr>
            <w:tcW w:w="2928" w:type="dxa"/>
            <w:gridSpan w:val="3"/>
            <w:tcBorders>
              <w:top w:val="single" w:color="FFFFFF" w:sz="4" w:space="0"/>
              <w:left w:val="single" w:color="FFFFFF" w:sz="4" w:space="0"/>
              <w:bottom w:val="single" w:color="000000" w:sz="10" w:space="0"/>
              <w:right w:val="single" w:color="FFFFFF" w:sz="4" w:space="0"/>
            </w:tcBorders>
            <w:vAlign w:val="top"/>
          </w:tcPr>
          <w:p w14:paraId="5007CB0E">
            <w:pPr>
              <w:spacing w:before="150" w:line="201" w:lineRule="auto"/>
              <w:ind w:left="883" w:right="90" w:hanging="778"/>
              <w:rPr>
                <w:rFonts w:ascii="宋体" w:hAnsi="宋体" w:eastAsia="宋体" w:cs="宋体"/>
                <w:sz w:val="19"/>
                <w:szCs w:val="19"/>
              </w:rPr>
            </w:pPr>
            <w:r>
              <w:rPr>
                <w:rFonts w:ascii="宋体" w:hAnsi="宋体" w:eastAsia="宋体" w:cs="宋体"/>
                <w:spacing w:val="4"/>
                <w:sz w:val="19"/>
                <w:szCs w:val="19"/>
              </w:rPr>
              <w:t>标段：沭阳县耿圩镇污水处理厂 提质提标项目</w:t>
            </w:r>
          </w:p>
        </w:tc>
        <w:tc>
          <w:tcPr>
            <w:tcW w:w="2807" w:type="dxa"/>
            <w:gridSpan w:val="3"/>
            <w:tcBorders>
              <w:top w:val="single" w:color="FFFFFF" w:sz="4" w:space="0"/>
              <w:left w:val="single" w:color="FFFFFF" w:sz="4" w:space="0"/>
              <w:bottom w:val="single" w:color="000000" w:sz="10" w:space="0"/>
              <w:right w:val="single" w:color="FFFFFF" w:sz="2" w:space="0"/>
            </w:tcBorders>
            <w:vAlign w:val="top"/>
          </w:tcPr>
          <w:p w14:paraId="5116026D">
            <w:pPr>
              <w:pStyle w:val="594"/>
              <w:spacing w:line="280" w:lineRule="auto"/>
            </w:pPr>
          </w:p>
          <w:p w14:paraId="113DBE82">
            <w:pPr>
              <w:spacing w:before="62" w:line="214" w:lineRule="auto"/>
              <w:ind w:left="1144"/>
              <w:rPr>
                <w:rFonts w:ascii="宋体" w:hAnsi="宋体" w:eastAsia="宋体" w:cs="宋体"/>
                <w:sz w:val="19"/>
                <w:szCs w:val="19"/>
              </w:rPr>
            </w:pPr>
            <w:r>
              <w:rPr>
                <w:rFonts w:ascii="宋体" w:hAnsi="宋体" w:eastAsia="宋体" w:cs="宋体"/>
                <w:spacing w:val="-6"/>
                <w:sz w:val="19"/>
                <w:szCs w:val="19"/>
              </w:rPr>
              <w:t>第</w:t>
            </w:r>
            <w:r>
              <w:rPr>
                <w:rFonts w:ascii="宋体" w:hAnsi="宋体" w:eastAsia="宋体" w:cs="宋体"/>
                <w:spacing w:val="27"/>
                <w:sz w:val="19"/>
                <w:szCs w:val="19"/>
              </w:rPr>
              <w:t xml:space="preserve"> </w:t>
            </w:r>
            <w:r>
              <w:rPr>
                <w:rFonts w:ascii="宋体" w:hAnsi="宋体" w:eastAsia="宋体" w:cs="宋体"/>
                <w:spacing w:val="-6"/>
                <w:sz w:val="19"/>
                <w:szCs w:val="19"/>
              </w:rPr>
              <w:t>1</w:t>
            </w:r>
            <w:r>
              <w:rPr>
                <w:rFonts w:ascii="宋体" w:hAnsi="宋体" w:eastAsia="宋体" w:cs="宋体"/>
                <w:spacing w:val="27"/>
                <w:sz w:val="19"/>
                <w:szCs w:val="19"/>
              </w:rPr>
              <w:t xml:space="preserve"> </w:t>
            </w:r>
            <w:r>
              <w:rPr>
                <w:rFonts w:ascii="宋体" w:hAnsi="宋体" w:eastAsia="宋体" w:cs="宋体"/>
                <w:spacing w:val="-6"/>
                <w:sz w:val="19"/>
                <w:szCs w:val="19"/>
              </w:rPr>
              <w:t>页</w:t>
            </w:r>
            <w:r>
              <w:rPr>
                <w:rFonts w:ascii="宋体" w:hAnsi="宋体" w:eastAsia="宋体" w:cs="宋体"/>
                <w:spacing w:val="10"/>
                <w:sz w:val="19"/>
                <w:szCs w:val="19"/>
              </w:rPr>
              <w:t xml:space="preserve">  </w:t>
            </w:r>
            <w:r>
              <w:rPr>
                <w:rFonts w:ascii="宋体" w:hAnsi="宋体" w:eastAsia="宋体" w:cs="宋体"/>
                <w:spacing w:val="-6"/>
                <w:sz w:val="19"/>
                <w:szCs w:val="19"/>
              </w:rPr>
              <w:t>共</w:t>
            </w:r>
            <w:r>
              <w:rPr>
                <w:rFonts w:ascii="宋体" w:hAnsi="宋体" w:eastAsia="宋体" w:cs="宋体"/>
                <w:spacing w:val="27"/>
                <w:sz w:val="19"/>
                <w:szCs w:val="19"/>
              </w:rPr>
              <w:t xml:space="preserve"> </w:t>
            </w:r>
            <w:r>
              <w:rPr>
                <w:rFonts w:ascii="宋体" w:hAnsi="宋体" w:eastAsia="宋体" w:cs="宋体"/>
                <w:spacing w:val="-6"/>
                <w:sz w:val="19"/>
                <w:szCs w:val="19"/>
              </w:rPr>
              <w:t>1</w:t>
            </w:r>
            <w:r>
              <w:rPr>
                <w:rFonts w:ascii="宋体" w:hAnsi="宋体" w:eastAsia="宋体" w:cs="宋体"/>
                <w:spacing w:val="26"/>
                <w:sz w:val="19"/>
                <w:szCs w:val="19"/>
              </w:rPr>
              <w:t xml:space="preserve"> </w:t>
            </w:r>
            <w:r>
              <w:rPr>
                <w:rFonts w:ascii="宋体" w:hAnsi="宋体" w:eastAsia="宋体" w:cs="宋体"/>
                <w:spacing w:val="-6"/>
                <w:sz w:val="19"/>
                <w:szCs w:val="19"/>
              </w:rPr>
              <w:t>页</w:t>
            </w:r>
          </w:p>
        </w:tc>
      </w:tr>
      <w:tr w14:paraId="29E4B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778" w:type="dxa"/>
            <w:vMerge w:val="restart"/>
            <w:tcBorders>
              <w:top w:val="single" w:color="000000" w:sz="10" w:space="0"/>
              <w:left w:val="single" w:color="000000" w:sz="10" w:space="0"/>
              <w:bottom w:val="nil"/>
            </w:tcBorders>
            <w:vAlign w:val="top"/>
          </w:tcPr>
          <w:p w14:paraId="3C425C1E">
            <w:pPr>
              <w:spacing w:before="269" w:line="230" w:lineRule="auto"/>
              <w:ind w:left="194"/>
              <w:rPr>
                <w:rFonts w:ascii="宋体" w:hAnsi="宋体" w:eastAsia="宋体" w:cs="宋体"/>
                <w:sz w:val="19"/>
                <w:szCs w:val="19"/>
              </w:rPr>
            </w:pPr>
            <w:r>
              <w:rPr>
                <w:rFonts w:ascii="宋体" w:hAnsi="宋体" w:eastAsia="宋体" w:cs="宋体"/>
                <w:spacing w:val="2"/>
                <w:sz w:val="19"/>
                <w:szCs w:val="19"/>
              </w:rPr>
              <w:t>编号</w:t>
            </w:r>
          </w:p>
        </w:tc>
        <w:tc>
          <w:tcPr>
            <w:tcW w:w="2882" w:type="dxa"/>
            <w:vMerge w:val="restart"/>
            <w:tcBorders>
              <w:top w:val="single" w:color="000000" w:sz="10" w:space="0"/>
              <w:bottom w:val="nil"/>
            </w:tcBorders>
            <w:vAlign w:val="top"/>
          </w:tcPr>
          <w:p w14:paraId="6C456F1B">
            <w:pPr>
              <w:spacing w:before="269" w:line="230" w:lineRule="auto"/>
              <w:ind w:left="1057"/>
              <w:rPr>
                <w:rFonts w:ascii="宋体" w:hAnsi="宋体" w:eastAsia="宋体" w:cs="宋体"/>
                <w:sz w:val="19"/>
                <w:szCs w:val="19"/>
              </w:rPr>
            </w:pPr>
            <w:r>
              <w:rPr>
                <w:rFonts w:ascii="宋体" w:hAnsi="宋体" w:eastAsia="宋体" w:cs="宋体"/>
                <w:spacing w:val="3"/>
                <w:sz w:val="19"/>
                <w:szCs w:val="19"/>
              </w:rPr>
              <w:t>项目名称</w:t>
            </w:r>
          </w:p>
        </w:tc>
        <w:tc>
          <w:tcPr>
            <w:tcW w:w="686" w:type="dxa"/>
            <w:vMerge w:val="restart"/>
            <w:tcBorders>
              <w:top w:val="single" w:color="000000" w:sz="10" w:space="0"/>
              <w:bottom w:val="nil"/>
            </w:tcBorders>
            <w:vAlign w:val="top"/>
          </w:tcPr>
          <w:p w14:paraId="77B9BAC3">
            <w:pPr>
              <w:spacing w:before="269" w:line="230" w:lineRule="auto"/>
              <w:ind w:left="149"/>
              <w:rPr>
                <w:rFonts w:ascii="宋体" w:hAnsi="宋体" w:eastAsia="宋体" w:cs="宋体"/>
                <w:sz w:val="19"/>
                <w:szCs w:val="19"/>
              </w:rPr>
            </w:pPr>
            <w:r>
              <w:rPr>
                <w:rFonts w:ascii="宋体" w:hAnsi="宋体" w:eastAsia="宋体" w:cs="宋体"/>
                <w:spacing w:val="2"/>
                <w:sz w:val="19"/>
                <w:szCs w:val="19"/>
              </w:rPr>
              <w:t>单位</w:t>
            </w:r>
          </w:p>
        </w:tc>
        <w:tc>
          <w:tcPr>
            <w:tcW w:w="1179" w:type="dxa"/>
            <w:gridSpan w:val="2"/>
            <w:vMerge w:val="restart"/>
            <w:tcBorders>
              <w:top w:val="single" w:color="000000" w:sz="10" w:space="0"/>
              <w:bottom w:val="nil"/>
            </w:tcBorders>
            <w:vAlign w:val="top"/>
          </w:tcPr>
          <w:p w14:paraId="556EEBFB">
            <w:pPr>
              <w:spacing w:before="269" w:line="230" w:lineRule="auto"/>
              <w:ind w:left="216"/>
              <w:rPr>
                <w:rFonts w:ascii="宋体" w:hAnsi="宋体" w:eastAsia="宋体" w:cs="宋体"/>
                <w:sz w:val="19"/>
                <w:szCs w:val="19"/>
              </w:rPr>
            </w:pPr>
            <w:r>
              <w:rPr>
                <w:rFonts w:ascii="宋体" w:hAnsi="宋体" w:eastAsia="宋体" w:cs="宋体"/>
                <w:spacing w:val="2"/>
                <w:sz w:val="19"/>
                <w:szCs w:val="19"/>
              </w:rPr>
              <w:t>暂定数量</w:t>
            </w:r>
          </w:p>
        </w:tc>
        <w:tc>
          <w:tcPr>
            <w:tcW w:w="1060" w:type="dxa"/>
            <w:vMerge w:val="restart"/>
            <w:tcBorders>
              <w:top w:val="single" w:color="000000" w:sz="10" w:space="0"/>
              <w:bottom w:val="nil"/>
            </w:tcBorders>
            <w:vAlign w:val="top"/>
          </w:tcPr>
          <w:p w14:paraId="1D16DB18">
            <w:pPr>
              <w:spacing w:before="269" w:line="230" w:lineRule="auto"/>
              <w:ind w:left="159"/>
              <w:rPr>
                <w:rFonts w:ascii="宋体" w:hAnsi="宋体" w:eastAsia="宋体" w:cs="宋体"/>
                <w:sz w:val="19"/>
                <w:szCs w:val="19"/>
              </w:rPr>
            </w:pPr>
            <w:r>
              <w:rPr>
                <w:rFonts w:ascii="宋体" w:hAnsi="宋体" w:eastAsia="宋体" w:cs="宋体"/>
                <w:spacing w:val="2"/>
                <w:sz w:val="19"/>
                <w:szCs w:val="19"/>
              </w:rPr>
              <w:t>实际数量</w:t>
            </w:r>
          </w:p>
        </w:tc>
        <w:tc>
          <w:tcPr>
            <w:tcW w:w="1210" w:type="dxa"/>
            <w:gridSpan w:val="2"/>
            <w:vMerge w:val="restart"/>
            <w:tcBorders>
              <w:top w:val="single" w:color="000000" w:sz="10" w:space="0"/>
              <w:bottom w:val="nil"/>
            </w:tcBorders>
            <w:vAlign w:val="top"/>
          </w:tcPr>
          <w:p w14:paraId="2763BB98">
            <w:pPr>
              <w:spacing w:before="269" w:line="228" w:lineRule="auto"/>
              <w:ind w:left="218"/>
              <w:rPr>
                <w:rFonts w:ascii="宋体" w:hAnsi="宋体" w:eastAsia="宋体" w:cs="宋体"/>
                <w:sz w:val="19"/>
                <w:szCs w:val="19"/>
              </w:rPr>
            </w:pPr>
            <w:r>
              <w:rPr>
                <w:rFonts w:ascii="宋体" w:hAnsi="宋体" w:eastAsia="宋体" w:cs="宋体"/>
                <w:spacing w:val="3"/>
                <w:sz w:val="19"/>
                <w:szCs w:val="19"/>
              </w:rPr>
              <w:t>单价(元)</w:t>
            </w:r>
          </w:p>
        </w:tc>
        <w:tc>
          <w:tcPr>
            <w:tcW w:w="2616" w:type="dxa"/>
            <w:gridSpan w:val="2"/>
            <w:tcBorders>
              <w:top w:val="single" w:color="000000" w:sz="10" w:space="0"/>
              <w:right w:val="single" w:color="000000" w:sz="10" w:space="0"/>
            </w:tcBorders>
            <w:vAlign w:val="top"/>
          </w:tcPr>
          <w:p w14:paraId="102C764E">
            <w:pPr>
              <w:spacing w:before="89" w:line="228" w:lineRule="auto"/>
              <w:ind w:left="819"/>
              <w:rPr>
                <w:rFonts w:ascii="宋体" w:hAnsi="宋体" w:eastAsia="宋体" w:cs="宋体"/>
                <w:sz w:val="19"/>
                <w:szCs w:val="19"/>
              </w:rPr>
            </w:pPr>
            <w:r>
              <w:rPr>
                <w:rFonts w:ascii="宋体" w:hAnsi="宋体" w:eastAsia="宋体" w:cs="宋体"/>
                <w:spacing w:val="2"/>
                <w:sz w:val="19"/>
                <w:szCs w:val="19"/>
              </w:rPr>
              <w:t>合价（元）</w:t>
            </w:r>
          </w:p>
        </w:tc>
      </w:tr>
      <w:tr w14:paraId="34D06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778" w:type="dxa"/>
            <w:vMerge w:val="continue"/>
            <w:tcBorders>
              <w:top w:val="nil"/>
              <w:left w:val="single" w:color="000000" w:sz="10" w:space="0"/>
            </w:tcBorders>
            <w:vAlign w:val="top"/>
          </w:tcPr>
          <w:p w14:paraId="7B38A9E0">
            <w:pPr>
              <w:pStyle w:val="594"/>
            </w:pPr>
          </w:p>
        </w:tc>
        <w:tc>
          <w:tcPr>
            <w:tcW w:w="2882" w:type="dxa"/>
            <w:vMerge w:val="continue"/>
            <w:tcBorders>
              <w:top w:val="nil"/>
            </w:tcBorders>
            <w:vAlign w:val="top"/>
          </w:tcPr>
          <w:p w14:paraId="4CEE3A99">
            <w:pPr>
              <w:pStyle w:val="594"/>
            </w:pPr>
          </w:p>
        </w:tc>
        <w:tc>
          <w:tcPr>
            <w:tcW w:w="686" w:type="dxa"/>
            <w:vMerge w:val="continue"/>
            <w:tcBorders>
              <w:top w:val="nil"/>
            </w:tcBorders>
            <w:vAlign w:val="top"/>
          </w:tcPr>
          <w:p w14:paraId="1D766481">
            <w:pPr>
              <w:pStyle w:val="594"/>
            </w:pPr>
          </w:p>
        </w:tc>
        <w:tc>
          <w:tcPr>
            <w:tcW w:w="1179" w:type="dxa"/>
            <w:gridSpan w:val="2"/>
            <w:vMerge w:val="continue"/>
            <w:tcBorders>
              <w:top w:val="nil"/>
            </w:tcBorders>
            <w:vAlign w:val="top"/>
          </w:tcPr>
          <w:p w14:paraId="5AC0B861">
            <w:pPr>
              <w:pStyle w:val="594"/>
            </w:pPr>
          </w:p>
        </w:tc>
        <w:tc>
          <w:tcPr>
            <w:tcW w:w="1060" w:type="dxa"/>
            <w:vMerge w:val="continue"/>
            <w:tcBorders>
              <w:top w:val="nil"/>
            </w:tcBorders>
            <w:vAlign w:val="top"/>
          </w:tcPr>
          <w:p w14:paraId="5B0CB6F6">
            <w:pPr>
              <w:pStyle w:val="594"/>
            </w:pPr>
          </w:p>
        </w:tc>
        <w:tc>
          <w:tcPr>
            <w:tcW w:w="1210" w:type="dxa"/>
            <w:gridSpan w:val="2"/>
            <w:vMerge w:val="continue"/>
            <w:tcBorders>
              <w:top w:val="nil"/>
            </w:tcBorders>
            <w:vAlign w:val="top"/>
          </w:tcPr>
          <w:p w14:paraId="4CBEAF5D">
            <w:pPr>
              <w:pStyle w:val="594"/>
            </w:pPr>
          </w:p>
        </w:tc>
        <w:tc>
          <w:tcPr>
            <w:tcW w:w="1300" w:type="dxa"/>
            <w:vAlign w:val="top"/>
          </w:tcPr>
          <w:p w14:paraId="7AD3A386">
            <w:pPr>
              <w:spacing w:before="102" w:line="230" w:lineRule="auto"/>
              <w:ind w:left="480"/>
              <w:rPr>
                <w:rFonts w:ascii="宋体" w:hAnsi="宋体" w:eastAsia="宋体" w:cs="宋体"/>
                <w:sz w:val="19"/>
                <w:szCs w:val="19"/>
              </w:rPr>
            </w:pPr>
            <w:r>
              <w:rPr>
                <w:rFonts w:ascii="宋体" w:hAnsi="宋体" w:eastAsia="宋体" w:cs="宋体"/>
                <w:sz w:val="19"/>
                <w:szCs w:val="19"/>
              </w:rPr>
              <w:t>暂定</w:t>
            </w:r>
          </w:p>
        </w:tc>
        <w:tc>
          <w:tcPr>
            <w:tcW w:w="1316" w:type="dxa"/>
            <w:tcBorders>
              <w:right w:val="single" w:color="000000" w:sz="10" w:space="0"/>
            </w:tcBorders>
            <w:vAlign w:val="top"/>
          </w:tcPr>
          <w:p w14:paraId="02BCCFF8">
            <w:pPr>
              <w:spacing w:before="102" w:line="230" w:lineRule="auto"/>
              <w:ind w:left="466"/>
              <w:rPr>
                <w:rFonts w:ascii="宋体" w:hAnsi="宋体" w:eastAsia="宋体" w:cs="宋体"/>
                <w:sz w:val="19"/>
                <w:szCs w:val="19"/>
              </w:rPr>
            </w:pPr>
            <w:r>
              <w:rPr>
                <w:rFonts w:ascii="宋体" w:hAnsi="宋体" w:eastAsia="宋体" w:cs="宋体"/>
                <w:sz w:val="19"/>
                <w:szCs w:val="19"/>
              </w:rPr>
              <w:t>实际</w:t>
            </w:r>
          </w:p>
        </w:tc>
      </w:tr>
      <w:tr w14:paraId="6FC29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778" w:type="dxa"/>
            <w:tcBorders>
              <w:left w:val="single" w:color="000000" w:sz="10" w:space="0"/>
            </w:tcBorders>
            <w:vAlign w:val="top"/>
          </w:tcPr>
          <w:p w14:paraId="69AC9224">
            <w:pPr>
              <w:spacing w:before="149" w:line="188" w:lineRule="auto"/>
              <w:ind w:left="342"/>
              <w:rPr>
                <w:rFonts w:ascii="宋体" w:hAnsi="宋体" w:eastAsia="宋体" w:cs="宋体"/>
                <w:sz w:val="19"/>
                <w:szCs w:val="19"/>
              </w:rPr>
            </w:pPr>
            <w:r>
              <w:rPr>
                <w:rFonts w:ascii="宋体" w:hAnsi="宋体" w:eastAsia="宋体" w:cs="宋体"/>
                <w:sz w:val="19"/>
                <w:szCs w:val="19"/>
              </w:rPr>
              <w:t>1</w:t>
            </w:r>
          </w:p>
        </w:tc>
        <w:tc>
          <w:tcPr>
            <w:tcW w:w="2882" w:type="dxa"/>
            <w:vAlign w:val="top"/>
          </w:tcPr>
          <w:p w14:paraId="3CA8D6ED">
            <w:pPr>
              <w:spacing w:before="116" w:line="233" w:lineRule="auto"/>
              <w:ind w:left="22"/>
              <w:rPr>
                <w:rFonts w:ascii="宋体" w:hAnsi="宋体" w:eastAsia="宋体" w:cs="宋体"/>
                <w:sz w:val="19"/>
                <w:szCs w:val="19"/>
              </w:rPr>
            </w:pPr>
            <w:r>
              <w:rPr>
                <w:rFonts w:ascii="宋体" w:hAnsi="宋体" w:eastAsia="宋体" w:cs="宋体"/>
                <w:spacing w:val="2"/>
                <w:sz w:val="19"/>
                <w:szCs w:val="19"/>
              </w:rPr>
              <w:t>人工</w:t>
            </w:r>
          </w:p>
        </w:tc>
        <w:tc>
          <w:tcPr>
            <w:tcW w:w="686" w:type="dxa"/>
            <w:vAlign w:val="top"/>
          </w:tcPr>
          <w:p w14:paraId="1E732D17">
            <w:pPr>
              <w:pStyle w:val="594"/>
            </w:pPr>
          </w:p>
        </w:tc>
        <w:tc>
          <w:tcPr>
            <w:tcW w:w="1179" w:type="dxa"/>
            <w:gridSpan w:val="2"/>
            <w:vAlign w:val="top"/>
          </w:tcPr>
          <w:p w14:paraId="159D6A4C">
            <w:pPr>
              <w:pStyle w:val="594"/>
            </w:pPr>
          </w:p>
        </w:tc>
        <w:tc>
          <w:tcPr>
            <w:tcW w:w="1060" w:type="dxa"/>
            <w:vAlign w:val="top"/>
          </w:tcPr>
          <w:p w14:paraId="0B2CD26A">
            <w:pPr>
              <w:pStyle w:val="594"/>
            </w:pPr>
          </w:p>
        </w:tc>
        <w:tc>
          <w:tcPr>
            <w:tcW w:w="1210" w:type="dxa"/>
            <w:gridSpan w:val="2"/>
            <w:vAlign w:val="top"/>
          </w:tcPr>
          <w:p w14:paraId="46FF9888">
            <w:pPr>
              <w:pStyle w:val="594"/>
            </w:pPr>
          </w:p>
        </w:tc>
        <w:tc>
          <w:tcPr>
            <w:tcW w:w="1300" w:type="dxa"/>
            <w:vAlign w:val="top"/>
          </w:tcPr>
          <w:p w14:paraId="02D0877E">
            <w:pPr>
              <w:pStyle w:val="594"/>
            </w:pPr>
          </w:p>
        </w:tc>
        <w:tc>
          <w:tcPr>
            <w:tcW w:w="1316" w:type="dxa"/>
            <w:tcBorders>
              <w:right w:val="single" w:color="000000" w:sz="10" w:space="0"/>
            </w:tcBorders>
            <w:vAlign w:val="top"/>
          </w:tcPr>
          <w:p w14:paraId="644201A4">
            <w:pPr>
              <w:pStyle w:val="594"/>
            </w:pPr>
          </w:p>
        </w:tc>
      </w:tr>
      <w:tr w14:paraId="2F355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778" w:type="dxa"/>
            <w:tcBorders>
              <w:left w:val="single" w:color="000000" w:sz="10" w:space="0"/>
            </w:tcBorders>
            <w:vAlign w:val="top"/>
          </w:tcPr>
          <w:p w14:paraId="42D20043">
            <w:pPr>
              <w:spacing w:before="149" w:line="188" w:lineRule="auto"/>
              <w:ind w:left="237"/>
              <w:rPr>
                <w:rFonts w:ascii="宋体" w:hAnsi="宋体" w:eastAsia="宋体" w:cs="宋体"/>
                <w:sz w:val="19"/>
                <w:szCs w:val="19"/>
              </w:rPr>
            </w:pPr>
            <w:r>
              <w:rPr>
                <w:rFonts w:ascii="宋体" w:hAnsi="宋体" w:eastAsia="宋体" w:cs="宋体"/>
                <w:sz w:val="19"/>
                <w:szCs w:val="19"/>
              </w:rPr>
              <w:t>1.1</w:t>
            </w:r>
          </w:p>
        </w:tc>
        <w:tc>
          <w:tcPr>
            <w:tcW w:w="2882" w:type="dxa"/>
            <w:vAlign w:val="top"/>
          </w:tcPr>
          <w:p w14:paraId="63BBD3D0">
            <w:pPr>
              <w:pStyle w:val="594"/>
            </w:pPr>
          </w:p>
        </w:tc>
        <w:tc>
          <w:tcPr>
            <w:tcW w:w="686" w:type="dxa"/>
            <w:vAlign w:val="top"/>
          </w:tcPr>
          <w:p w14:paraId="57E88CCB">
            <w:pPr>
              <w:pStyle w:val="594"/>
            </w:pPr>
          </w:p>
        </w:tc>
        <w:tc>
          <w:tcPr>
            <w:tcW w:w="1179" w:type="dxa"/>
            <w:gridSpan w:val="2"/>
            <w:vAlign w:val="top"/>
          </w:tcPr>
          <w:p w14:paraId="73899B38">
            <w:pPr>
              <w:pStyle w:val="594"/>
            </w:pPr>
          </w:p>
        </w:tc>
        <w:tc>
          <w:tcPr>
            <w:tcW w:w="1060" w:type="dxa"/>
            <w:vAlign w:val="top"/>
          </w:tcPr>
          <w:p w14:paraId="2D176297">
            <w:pPr>
              <w:pStyle w:val="594"/>
            </w:pPr>
          </w:p>
        </w:tc>
        <w:tc>
          <w:tcPr>
            <w:tcW w:w="1210" w:type="dxa"/>
            <w:gridSpan w:val="2"/>
            <w:vAlign w:val="top"/>
          </w:tcPr>
          <w:p w14:paraId="257D94D9">
            <w:pPr>
              <w:pStyle w:val="594"/>
            </w:pPr>
          </w:p>
        </w:tc>
        <w:tc>
          <w:tcPr>
            <w:tcW w:w="1300" w:type="dxa"/>
            <w:vAlign w:val="top"/>
          </w:tcPr>
          <w:p w14:paraId="00D260E9">
            <w:pPr>
              <w:pStyle w:val="594"/>
            </w:pPr>
          </w:p>
        </w:tc>
        <w:tc>
          <w:tcPr>
            <w:tcW w:w="1316" w:type="dxa"/>
            <w:tcBorders>
              <w:right w:val="single" w:color="000000" w:sz="10" w:space="0"/>
            </w:tcBorders>
            <w:vAlign w:val="top"/>
          </w:tcPr>
          <w:p w14:paraId="46B96009">
            <w:pPr>
              <w:pStyle w:val="594"/>
            </w:pPr>
          </w:p>
        </w:tc>
      </w:tr>
      <w:tr w14:paraId="48B49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7795" w:type="dxa"/>
            <w:gridSpan w:val="8"/>
            <w:tcBorders>
              <w:left w:val="single" w:color="000000" w:sz="10" w:space="0"/>
            </w:tcBorders>
            <w:vAlign w:val="top"/>
          </w:tcPr>
          <w:p w14:paraId="7611D11C">
            <w:pPr>
              <w:spacing w:before="115" w:line="231" w:lineRule="auto"/>
              <w:ind w:left="3517"/>
              <w:rPr>
                <w:rFonts w:ascii="宋体" w:hAnsi="宋体" w:eastAsia="宋体" w:cs="宋体"/>
                <w:sz w:val="19"/>
                <w:szCs w:val="19"/>
              </w:rPr>
            </w:pPr>
            <w:r>
              <w:rPr>
                <w:rFonts w:ascii="宋体" w:hAnsi="宋体" w:eastAsia="宋体" w:cs="宋体"/>
                <w:spacing w:val="3"/>
                <w:sz w:val="19"/>
                <w:szCs w:val="19"/>
              </w:rPr>
              <w:t>人工小计</w:t>
            </w:r>
          </w:p>
        </w:tc>
        <w:tc>
          <w:tcPr>
            <w:tcW w:w="1300" w:type="dxa"/>
            <w:vAlign w:val="top"/>
          </w:tcPr>
          <w:p w14:paraId="3297CB9A">
            <w:pPr>
              <w:pStyle w:val="594"/>
            </w:pPr>
          </w:p>
        </w:tc>
        <w:tc>
          <w:tcPr>
            <w:tcW w:w="1316" w:type="dxa"/>
            <w:tcBorders>
              <w:right w:val="single" w:color="000000" w:sz="10" w:space="0"/>
            </w:tcBorders>
            <w:vAlign w:val="top"/>
          </w:tcPr>
          <w:p w14:paraId="06D12486">
            <w:pPr>
              <w:pStyle w:val="594"/>
            </w:pPr>
          </w:p>
        </w:tc>
      </w:tr>
      <w:tr w14:paraId="36E89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778" w:type="dxa"/>
            <w:tcBorders>
              <w:left w:val="single" w:color="000000" w:sz="10" w:space="0"/>
            </w:tcBorders>
            <w:vAlign w:val="top"/>
          </w:tcPr>
          <w:p w14:paraId="1A690C0A">
            <w:pPr>
              <w:spacing w:before="157" w:line="188" w:lineRule="auto"/>
              <w:ind w:left="329"/>
              <w:rPr>
                <w:rFonts w:ascii="宋体" w:hAnsi="宋体" w:eastAsia="宋体" w:cs="宋体"/>
                <w:sz w:val="19"/>
                <w:szCs w:val="19"/>
              </w:rPr>
            </w:pPr>
            <w:r>
              <w:rPr>
                <w:rFonts w:ascii="宋体" w:hAnsi="宋体" w:eastAsia="宋体" w:cs="宋体"/>
                <w:sz w:val="19"/>
                <w:szCs w:val="19"/>
              </w:rPr>
              <w:t>2</w:t>
            </w:r>
          </w:p>
        </w:tc>
        <w:tc>
          <w:tcPr>
            <w:tcW w:w="2882" w:type="dxa"/>
            <w:vAlign w:val="top"/>
          </w:tcPr>
          <w:p w14:paraId="5A38AFBE">
            <w:pPr>
              <w:spacing w:before="124" w:line="229" w:lineRule="auto"/>
              <w:ind w:left="20"/>
              <w:rPr>
                <w:rFonts w:ascii="宋体" w:hAnsi="宋体" w:eastAsia="宋体" w:cs="宋体"/>
                <w:sz w:val="19"/>
                <w:szCs w:val="19"/>
              </w:rPr>
            </w:pPr>
            <w:r>
              <w:rPr>
                <w:rFonts w:ascii="宋体" w:hAnsi="宋体" w:eastAsia="宋体" w:cs="宋体"/>
                <w:spacing w:val="3"/>
                <w:sz w:val="19"/>
                <w:szCs w:val="19"/>
              </w:rPr>
              <w:t>材料</w:t>
            </w:r>
          </w:p>
        </w:tc>
        <w:tc>
          <w:tcPr>
            <w:tcW w:w="686" w:type="dxa"/>
            <w:vAlign w:val="top"/>
          </w:tcPr>
          <w:p w14:paraId="7650A7E7">
            <w:pPr>
              <w:pStyle w:val="594"/>
            </w:pPr>
          </w:p>
        </w:tc>
        <w:tc>
          <w:tcPr>
            <w:tcW w:w="1179" w:type="dxa"/>
            <w:gridSpan w:val="2"/>
            <w:vAlign w:val="top"/>
          </w:tcPr>
          <w:p w14:paraId="15CF9F14">
            <w:pPr>
              <w:pStyle w:val="594"/>
            </w:pPr>
          </w:p>
        </w:tc>
        <w:tc>
          <w:tcPr>
            <w:tcW w:w="1060" w:type="dxa"/>
            <w:vAlign w:val="top"/>
          </w:tcPr>
          <w:p w14:paraId="05DE9119">
            <w:pPr>
              <w:pStyle w:val="594"/>
            </w:pPr>
          </w:p>
        </w:tc>
        <w:tc>
          <w:tcPr>
            <w:tcW w:w="1210" w:type="dxa"/>
            <w:gridSpan w:val="2"/>
            <w:vAlign w:val="top"/>
          </w:tcPr>
          <w:p w14:paraId="6FDDB4F0">
            <w:pPr>
              <w:pStyle w:val="594"/>
            </w:pPr>
          </w:p>
        </w:tc>
        <w:tc>
          <w:tcPr>
            <w:tcW w:w="1300" w:type="dxa"/>
            <w:vAlign w:val="top"/>
          </w:tcPr>
          <w:p w14:paraId="741EE89A">
            <w:pPr>
              <w:pStyle w:val="594"/>
            </w:pPr>
          </w:p>
        </w:tc>
        <w:tc>
          <w:tcPr>
            <w:tcW w:w="1316" w:type="dxa"/>
            <w:tcBorders>
              <w:right w:val="single" w:color="000000" w:sz="10" w:space="0"/>
            </w:tcBorders>
            <w:vAlign w:val="top"/>
          </w:tcPr>
          <w:p w14:paraId="4643C6C8">
            <w:pPr>
              <w:pStyle w:val="594"/>
            </w:pPr>
          </w:p>
        </w:tc>
      </w:tr>
      <w:tr w14:paraId="3AF47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jc w:val="center"/>
        </w:trPr>
        <w:tc>
          <w:tcPr>
            <w:tcW w:w="778" w:type="dxa"/>
            <w:tcBorders>
              <w:left w:val="single" w:color="000000" w:sz="10" w:space="0"/>
            </w:tcBorders>
            <w:vAlign w:val="top"/>
          </w:tcPr>
          <w:p w14:paraId="08E6BEFF">
            <w:pPr>
              <w:spacing w:before="156" w:line="188" w:lineRule="auto"/>
              <w:ind w:left="225"/>
              <w:rPr>
                <w:rFonts w:ascii="宋体" w:hAnsi="宋体" w:eastAsia="宋体" w:cs="宋体"/>
                <w:sz w:val="19"/>
                <w:szCs w:val="19"/>
              </w:rPr>
            </w:pPr>
            <w:r>
              <w:rPr>
                <w:rFonts w:ascii="宋体" w:hAnsi="宋体" w:eastAsia="宋体" w:cs="宋体"/>
                <w:spacing w:val="4"/>
                <w:sz w:val="19"/>
                <w:szCs w:val="19"/>
              </w:rPr>
              <w:t>2.1</w:t>
            </w:r>
          </w:p>
        </w:tc>
        <w:tc>
          <w:tcPr>
            <w:tcW w:w="2882" w:type="dxa"/>
            <w:vAlign w:val="top"/>
          </w:tcPr>
          <w:p w14:paraId="72019D2E">
            <w:pPr>
              <w:pStyle w:val="594"/>
            </w:pPr>
          </w:p>
        </w:tc>
        <w:tc>
          <w:tcPr>
            <w:tcW w:w="686" w:type="dxa"/>
            <w:vAlign w:val="top"/>
          </w:tcPr>
          <w:p w14:paraId="4856ED7E">
            <w:pPr>
              <w:pStyle w:val="594"/>
            </w:pPr>
          </w:p>
        </w:tc>
        <w:tc>
          <w:tcPr>
            <w:tcW w:w="1179" w:type="dxa"/>
            <w:gridSpan w:val="2"/>
            <w:vAlign w:val="top"/>
          </w:tcPr>
          <w:p w14:paraId="20AE3EAA">
            <w:pPr>
              <w:pStyle w:val="594"/>
            </w:pPr>
          </w:p>
        </w:tc>
        <w:tc>
          <w:tcPr>
            <w:tcW w:w="1060" w:type="dxa"/>
            <w:vAlign w:val="top"/>
          </w:tcPr>
          <w:p w14:paraId="30F70767">
            <w:pPr>
              <w:pStyle w:val="594"/>
            </w:pPr>
          </w:p>
        </w:tc>
        <w:tc>
          <w:tcPr>
            <w:tcW w:w="1210" w:type="dxa"/>
            <w:gridSpan w:val="2"/>
            <w:vAlign w:val="top"/>
          </w:tcPr>
          <w:p w14:paraId="6D356E60">
            <w:pPr>
              <w:pStyle w:val="594"/>
            </w:pPr>
          </w:p>
        </w:tc>
        <w:tc>
          <w:tcPr>
            <w:tcW w:w="1300" w:type="dxa"/>
            <w:vAlign w:val="top"/>
          </w:tcPr>
          <w:p w14:paraId="3AAC9DFF">
            <w:pPr>
              <w:pStyle w:val="594"/>
            </w:pPr>
          </w:p>
        </w:tc>
        <w:tc>
          <w:tcPr>
            <w:tcW w:w="1316" w:type="dxa"/>
            <w:tcBorders>
              <w:right w:val="single" w:color="000000" w:sz="10" w:space="0"/>
            </w:tcBorders>
            <w:vAlign w:val="top"/>
          </w:tcPr>
          <w:p w14:paraId="41CBCA93">
            <w:pPr>
              <w:pStyle w:val="594"/>
            </w:pPr>
          </w:p>
        </w:tc>
      </w:tr>
      <w:tr w14:paraId="193E9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jc w:val="center"/>
        </w:trPr>
        <w:tc>
          <w:tcPr>
            <w:tcW w:w="7795" w:type="dxa"/>
            <w:gridSpan w:val="8"/>
            <w:tcBorders>
              <w:left w:val="single" w:color="000000" w:sz="10" w:space="0"/>
            </w:tcBorders>
            <w:vAlign w:val="top"/>
          </w:tcPr>
          <w:p w14:paraId="3E5FA172">
            <w:pPr>
              <w:spacing w:before="120" w:line="229" w:lineRule="auto"/>
              <w:ind w:left="3516"/>
              <w:rPr>
                <w:rFonts w:ascii="宋体" w:hAnsi="宋体" w:eastAsia="宋体" w:cs="宋体"/>
                <w:sz w:val="19"/>
                <w:szCs w:val="19"/>
              </w:rPr>
            </w:pPr>
            <w:r>
              <w:rPr>
                <w:rFonts w:ascii="宋体" w:hAnsi="宋体" w:eastAsia="宋体" w:cs="宋体"/>
                <w:spacing w:val="3"/>
                <w:sz w:val="19"/>
                <w:szCs w:val="19"/>
              </w:rPr>
              <w:t>材料小计</w:t>
            </w:r>
          </w:p>
        </w:tc>
        <w:tc>
          <w:tcPr>
            <w:tcW w:w="1300" w:type="dxa"/>
            <w:vAlign w:val="top"/>
          </w:tcPr>
          <w:p w14:paraId="223CEA04">
            <w:pPr>
              <w:pStyle w:val="594"/>
            </w:pPr>
          </w:p>
        </w:tc>
        <w:tc>
          <w:tcPr>
            <w:tcW w:w="1316" w:type="dxa"/>
            <w:tcBorders>
              <w:right w:val="single" w:color="000000" w:sz="10" w:space="0"/>
            </w:tcBorders>
            <w:vAlign w:val="top"/>
          </w:tcPr>
          <w:p w14:paraId="60C43A35">
            <w:pPr>
              <w:pStyle w:val="594"/>
            </w:pPr>
          </w:p>
        </w:tc>
      </w:tr>
      <w:tr w14:paraId="5E170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778" w:type="dxa"/>
            <w:tcBorders>
              <w:left w:val="single" w:color="000000" w:sz="10" w:space="0"/>
            </w:tcBorders>
            <w:vAlign w:val="top"/>
          </w:tcPr>
          <w:p w14:paraId="4BB692AD">
            <w:pPr>
              <w:spacing w:before="150" w:line="188" w:lineRule="auto"/>
              <w:ind w:left="331"/>
              <w:rPr>
                <w:rFonts w:ascii="宋体" w:hAnsi="宋体" w:eastAsia="宋体" w:cs="宋体"/>
                <w:sz w:val="19"/>
                <w:szCs w:val="19"/>
              </w:rPr>
            </w:pPr>
            <w:r>
              <w:rPr>
                <w:rFonts w:ascii="宋体" w:hAnsi="宋体" w:eastAsia="宋体" w:cs="宋体"/>
                <w:sz w:val="19"/>
                <w:szCs w:val="19"/>
              </w:rPr>
              <w:t>3</w:t>
            </w:r>
          </w:p>
        </w:tc>
        <w:tc>
          <w:tcPr>
            <w:tcW w:w="2882" w:type="dxa"/>
            <w:vAlign w:val="top"/>
          </w:tcPr>
          <w:p w14:paraId="1F81A32F">
            <w:pPr>
              <w:spacing w:before="117" w:line="229" w:lineRule="auto"/>
              <w:ind w:left="20"/>
              <w:rPr>
                <w:rFonts w:ascii="宋体" w:hAnsi="宋体" w:eastAsia="宋体" w:cs="宋体"/>
                <w:sz w:val="19"/>
                <w:szCs w:val="19"/>
              </w:rPr>
            </w:pPr>
            <w:r>
              <w:rPr>
                <w:rFonts w:ascii="宋体" w:hAnsi="宋体" w:eastAsia="宋体" w:cs="宋体"/>
                <w:spacing w:val="3"/>
                <w:sz w:val="19"/>
                <w:szCs w:val="19"/>
              </w:rPr>
              <w:t>机械</w:t>
            </w:r>
          </w:p>
        </w:tc>
        <w:tc>
          <w:tcPr>
            <w:tcW w:w="686" w:type="dxa"/>
            <w:vAlign w:val="top"/>
          </w:tcPr>
          <w:p w14:paraId="7A9CDD49">
            <w:pPr>
              <w:pStyle w:val="594"/>
            </w:pPr>
          </w:p>
        </w:tc>
        <w:tc>
          <w:tcPr>
            <w:tcW w:w="1179" w:type="dxa"/>
            <w:gridSpan w:val="2"/>
            <w:vAlign w:val="top"/>
          </w:tcPr>
          <w:p w14:paraId="5B0A6E3A">
            <w:pPr>
              <w:pStyle w:val="594"/>
            </w:pPr>
          </w:p>
        </w:tc>
        <w:tc>
          <w:tcPr>
            <w:tcW w:w="1060" w:type="dxa"/>
            <w:vAlign w:val="top"/>
          </w:tcPr>
          <w:p w14:paraId="1961D05E">
            <w:pPr>
              <w:pStyle w:val="594"/>
            </w:pPr>
          </w:p>
        </w:tc>
        <w:tc>
          <w:tcPr>
            <w:tcW w:w="1210" w:type="dxa"/>
            <w:gridSpan w:val="2"/>
            <w:vAlign w:val="top"/>
          </w:tcPr>
          <w:p w14:paraId="4C767F43">
            <w:pPr>
              <w:pStyle w:val="594"/>
            </w:pPr>
          </w:p>
        </w:tc>
        <w:tc>
          <w:tcPr>
            <w:tcW w:w="1300" w:type="dxa"/>
            <w:vAlign w:val="top"/>
          </w:tcPr>
          <w:p w14:paraId="47CF5C6C">
            <w:pPr>
              <w:pStyle w:val="594"/>
            </w:pPr>
          </w:p>
        </w:tc>
        <w:tc>
          <w:tcPr>
            <w:tcW w:w="1316" w:type="dxa"/>
            <w:tcBorders>
              <w:right w:val="single" w:color="000000" w:sz="10" w:space="0"/>
            </w:tcBorders>
            <w:vAlign w:val="top"/>
          </w:tcPr>
          <w:p w14:paraId="512E8FC3">
            <w:pPr>
              <w:pStyle w:val="594"/>
            </w:pPr>
          </w:p>
        </w:tc>
      </w:tr>
      <w:tr w14:paraId="41E3E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778" w:type="dxa"/>
            <w:tcBorders>
              <w:left w:val="single" w:color="000000" w:sz="10" w:space="0"/>
            </w:tcBorders>
            <w:vAlign w:val="top"/>
          </w:tcPr>
          <w:p w14:paraId="4107304B">
            <w:pPr>
              <w:spacing w:before="149" w:line="188" w:lineRule="auto"/>
              <w:ind w:left="226"/>
              <w:rPr>
                <w:rFonts w:ascii="宋体" w:hAnsi="宋体" w:eastAsia="宋体" w:cs="宋体"/>
                <w:sz w:val="19"/>
                <w:szCs w:val="19"/>
              </w:rPr>
            </w:pPr>
            <w:r>
              <w:rPr>
                <w:rFonts w:ascii="宋体" w:hAnsi="宋体" w:eastAsia="宋体" w:cs="宋体"/>
                <w:spacing w:val="4"/>
                <w:sz w:val="19"/>
                <w:szCs w:val="19"/>
              </w:rPr>
              <w:t>3.1</w:t>
            </w:r>
          </w:p>
        </w:tc>
        <w:tc>
          <w:tcPr>
            <w:tcW w:w="2882" w:type="dxa"/>
            <w:vAlign w:val="top"/>
          </w:tcPr>
          <w:p w14:paraId="75C9DA68">
            <w:pPr>
              <w:pStyle w:val="594"/>
            </w:pPr>
          </w:p>
        </w:tc>
        <w:tc>
          <w:tcPr>
            <w:tcW w:w="686" w:type="dxa"/>
            <w:vAlign w:val="top"/>
          </w:tcPr>
          <w:p w14:paraId="6E94E65A">
            <w:pPr>
              <w:pStyle w:val="594"/>
            </w:pPr>
          </w:p>
        </w:tc>
        <w:tc>
          <w:tcPr>
            <w:tcW w:w="1179" w:type="dxa"/>
            <w:gridSpan w:val="2"/>
            <w:vAlign w:val="top"/>
          </w:tcPr>
          <w:p w14:paraId="180ABABD">
            <w:pPr>
              <w:pStyle w:val="594"/>
            </w:pPr>
          </w:p>
        </w:tc>
        <w:tc>
          <w:tcPr>
            <w:tcW w:w="1060" w:type="dxa"/>
            <w:vAlign w:val="top"/>
          </w:tcPr>
          <w:p w14:paraId="6135F13D">
            <w:pPr>
              <w:pStyle w:val="594"/>
            </w:pPr>
          </w:p>
        </w:tc>
        <w:tc>
          <w:tcPr>
            <w:tcW w:w="1210" w:type="dxa"/>
            <w:gridSpan w:val="2"/>
            <w:vAlign w:val="top"/>
          </w:tcPr>
          <w:p w14:paraId="6F8EE65E">
            <w:pPr>
              <w:pStyle w:val="594"/>
            </w:pPr>
          </w:p>
        </w:tc>
        <w:tc>
          <w:tcPr>
            <w:tcW w:w="1300" w:type="dxa"/>
            <w:vAlign w:val="top"/>
          </w:tcPr>
          <w:p w14:paraId="62EAB912">
            <w:pPr>
              <w:pStyle w:val="594"/>
            </w:pPr>
          </w:p>
        </w:tc>
        <w:tc>
          <w:tcPr>
            <w:tcW w:w="1316" w:type="dxa"/>
            <w:tcBorders>
              <w:right w:val="single" w:color="000000" w:sz="10" w:space="0"/>
            </w:tcBorders>
            <w:vAlign w:val="top"/>
          </w:tcPr>
          <w:p w14:paraId="1B41FAAF">
            <w:pPr>
              <w:pStyle w:val="594"/>
            </w:pPr>
          </w:p>
        </w:tc>
      </w:tr>
      <w:tr w14:paraId="7153C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7795" w:type="dxa"/>
            <w:gridSpan w:val="8"/>
            <w:tcBorders>
              <w:left w:val="single" w:color="000000" w:sz="10" w:space="0"/>
            </w:tcBorders>
            <w:vAlign w:val="top"/>
          </w:tcPr>
          <w:p w14:paraId="6686C5B9">
            <w:pPr>
              <w:spacing w:before="115" w:line="229" w:lineRule="auto"/>
              <w:ind w:left="3515"/>
              <w:rPr>
                <w:rFonts w:ascii="宋体" w:hAnsi="宋体" w:eastAsia="宋体" w:cs="宋体"/>
                <w:sz w:val="19"/>
                <w:szCs w:val="19"/>
              </w:rPr>
            </w:pPr>
            <w:r>
              <w:rPr>
                <w:rFonts w:ascii="宋体" w:hAnsi="宋体" w:eastAsia="宋体" w:cs="宋体"/>
                <w:spacing w:val="4"/>
                <w:sz w:val="19"/>
                <w:szCs w:val="19"/>
              </w:rPr>
              <w:t>机械小计</w:t>
            </w:r>
          </w:p>
        </w:tc>
        <w:tc>
          <w:tcPr>
            <w:tcW w:w="1300" w:type="dxa"/>
            <w:vAlign w:val="top"/>
          </w:tcPr>
          <w:p w14:paraId="62535615">
            <w:pPr>
              <w:pStyle w:val="594"/>
            </w:pPr>
          </w:p>
        </w:tc>
        <w:tc>
          <w:tcPr>
            <w:tcW w:w="1316" w:type="dxa"/>
            <w:tcBorders>
              <w:right w:val="single" w:color="000000" w:sz="10" w:space="0"/>
            </w:tcBorders>
            <w:vAlign w:val="top"/>
          </w:tcPr>
          <w:p w14:paraId="578E4887">
            <w:pPr>
              <w:pStyle w:val="594"/>
            </w:pPr>
          </w:p>
        </w:tc>
      </w:tr>
      <w:tr w14:paraId="34793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778" w:type="dxa"/>
            <w:tcBorders>
              <w:left w:val="single" w:color="000000" w:sz="10" w:space="0"/>
            </w:tcBorders>
            <w:vAlign w:val="top"/>
          </w:tcPr>
          <w:p w14:paraId="362437EB">
            <w:pPr>
              <w:spacing w:before="157" w:line="188" w:lineRule="auto"/>
              <w:ind w:left="326"/>
              <w:rPr>
                <w:rFonts w:ascii="宋体" w:hAnsi="宋体" w:eastAsia="宋体" w:cs="宋体"/>
                <w:sz w:val="19"/>
                <w:szCs w:val="19"/>
              </w:rPr>
            </w:pPr>
            <w:r>
              <w:rPr>
                <w:rFonts w:ascii="宋体" w:hAnsi="宋体" w:eastAsia="宋体" w:cs="宋体"/>
                <w:sz w:val="19"/>
                <w:szCs w:val="19"/>
              </w:rPr>
              <w:t>4</w:t>
            </w:r>
          </w:p>
        </w:tc>
        <w:tc>
          <w:tcPr>
            <w:tcW w:w="2882" w:type="dxa"/>
            <w:vAlign w:val="top"/>
          </w:tcPr>
          <w:p w14:paraId="31463342">
            <w:pPr>
              <w:spacing w:before="124" w:line="230" w:lineRule="auto"/>
              <w:ind w:left="24"/>
              <w:rPr>
                <w:rFonts w:ascii="宋体" w:hAnsi="宋体" w:eastAsia="宋体" w:cs="宋体"/>
                <w:sz w:val="19"/>
                <w:szCs w:val="19"/>
              </w:rPr>
            </w:pPr>
            <w:r>
              <w:rPr>
                <w:rFonts w:ascii="宋体" w:hAnsi="宋体" w:eastAsia="宋体" w:cs="宋体"/>
                <w:spacing w:val="3"/>
                <w:sz w:val="19"/>
                <w:szCs w:val="19"/>
              </w:rPr>
              <w:t>企业管理费和利润</w:t>
            </w:r>
          </w:p>
        </w:tc>
        <w:tc>
          <w:tcPr>
            <w:tcW w:w="686" w:type="dxa"/>
            <w:vAlign w:val="top"/>
          </w:tcPr>
          <w:p w14:paraId="3DADDFCC">
            <w:pPr>
              <w:pStyle w:val="594"/>
            </w:pPr>
          </w:p>
        </w:tc>
        <w:tc>
          <w:tcPr>
            <w:tcW w:w="1179" w:type="dxa"/>
            <w:gridSpan w:val="2"/>
            <w:vAlign w:val="top"/>
          </w:tcPr>
          <w:p w14:paraId="52DA8E88">
            <w:pPr>
              <w:pStyle w:val="594"/>
            </w:pPr>
          </w:p>
        </w:tc>
        <w:tc>
          <w:tcPr>
            <w:tcW w:w="1060" w:type="dxa"/>
            <w:vAlign w:val="top"/>
          </w:tcPr>
          <w:p w14:paraId="24A190FF">
            <w:pPr>
              <w:pStyle w:val="594"/>
            </w:pPr>
          </w:p>
        </w:tc>
        <w:tc>
          <w:tcPr>
            <w:tcW w:w="1210" w:type="dxa"/>
            <w:gridSpan w:val="2"/>
            <w:vAlign w:val="top"/>
          </w:tcPr>
          <w:p w14:paraId="6941DADF">
            <w:pPr>
              <w:pStyle w:val="594"/>
            </w:pPr>
          </w:p>
        </w:tc>
        <w:tc>
          <w:tcPr>
            <w:tcW w:w="1300" w:type="dxa"/>
            <w:vAlign w:val="top"/>
          </w:tcPr>
          <w:p w14:paraId="7F70DC7C">
            <w:pPr>
              <w:pStyle w:val="594"/>
            </w:pPr>
          </w:p>
        </w:tc>
        <w:tc>
          <w:tcPr>
            <w:tcW w:w="1316" w:type="dxa"/>
            <w:tcBorders>
              <w:right w:val="single" w:color="000000" w:sz="10" w:space="0"/>
            </w:tcBorders>
            <w:vAlign w:val="top"/>
          </w:tcPr>
          <w:p w14:paraId="38EB81DF">
            <w:pPr>
              <w:pStyle w:val="594"/>
            </w:pPr>
          </w:p>
        </w:tc>
      </w:tr>
      <w:tr w14:paraId="651F9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778" w:type="dxa"/>
            <w:tcBorders>
              <w:left w:val="single" w:color="000000" w:sz="10" w:space="0"/>
            </w:tcBorders>
            <w:vAlign w:val="top"/>
          </w:tcPr>
          <w:p w14:paraId="7367F319">
            <w:pPr>
              <w:spacing w:before="157" w:line="188" w:lineRule="auto"/>
              <w:ind w:left="221"/>
              <w:rPr>
                <w:rFonts w:ascii="宋体" w:hAnsi="宋体" w:eastAsia="宋体" w:cs="宋体"/>
                <w:sz w:val="19"/>
                <w:szCs w:val="19"/>
              </w:rPr>
            </w:pPr>
            <w:r>
              <w:rPr>
                <w:rFonts w:ascii="宋体" w:hAnsi="宋体" w:eastAsia="宋体" w:cs="宋体"/>
                <w:spacing w:val="5"/>
                <w:sz w:val="19"/>
                <w:szCs w:val="19"/>
              </w:rPr>
              <w:t>4.1</w:t>
            </w:r>
          </w:p>
        </w:tc>
        <w:tc>
          <w:tcPr>
            <w:tcW w:w="2882" w:type="dxa"/>
            <w:vAlign w:val="top"/>
          </w:tcPr>
          <w:p w14:paraId="70EC68E6">
            <w:pPr>
              <w:pStyle w:val="594"/>
            </w:pPr>
          </w:p>
        </w:tc>
        <w:tc>
          <w:tcPr>
            <w:tcW w:w="686" w:type="dxa"/>
            <w:vAlign w:val="top"/>
          </w:tcPr>
          <w:p w14:paraId="20721171">
            <w:pPr>
              <w:pStyle w:val="594"/>
            </w:pPr>
          </w:p>
        </w:tc>
        <w:tc>
          <w:tcPr>
            <w:tcW w:w="1179" w:type="dxa"/>
            <w:gridSpan w:val="2"/>
            <w:vAlign w:val="top"/>
          </w:tcPr>
          <w:p w14:paraId="26D529A8">
            <w:pPr>
              <w:pStyle w:val="594"/>
            </w:pPr>
          </w:p>
        </w:tc>
        <w:tc>
          <w:tcPr>
            <w:tcW w:w="1060" w:type="dxa"/>
            <w:vAlign w:val="top"/>
          </w:tcPr>
          <w:p w14:paraId="2FE59212">
            <w:pPr>
              <w:pStyle w:val="594"/>
            </w:pPr>
          </w:p>
        </w:tc>
        <w:tc>
          <w:tcPr>
            <w:tcW w:w="1210" w:type="dxa"/>
            <w:gridSpan w:val="2"/>
            <w:vAlign w:val="top"/>
          </w:tcPr>
          <w:p w14:paraId="77E86184">
            <w:pPr>
              <w:pStyle w:val="594"/>
            </w:pPr>
          </w:p>
        </w:tc>
        <w:tc>
          <w:tcPr>
            <w:tcW w:w="1300" w:type="dxa"/>
            <w:vAlign w:val="top"/>
          </w:tcPr>
          <w:p w14:paraId="34390173">
            <w:pPr>
              <w:pStyle w:val="594"/>
            </w:pPr>
          </w:p>
        </w:tc>
        <w:tc>
          <w:tcPr>
            <w:tcW w:w="1316" w:type="dxa"/>
            <w:tcBorders>
              <w:right w:val="single" w:color="000000" w:sz="10" w:space="0"/>
            </w:tcBorders>
            <w:vAlign w:val="top"/>
          </w:tcPr>
          <w:p w14:paraId="1219BA5A">
            <w:pPr>
              <w:pStyle w:val="594"/>
            </w:pPr>
          </w:p>
        </w:tc>
      </w:tr>
      <w:tr w14:paraId="44DA0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7795" w:type="dxa"/>
            <w:gridSpan w:val="8"/>
            <w:tcBorders>
              <w:left w:val="single" w:color="000000" w:sz="10" w:space="0"/>
            </w:tcBorders>
            <w:vAlign w:val="top"/>
          </w:tcPr>
          <w:p w14:paraId="4CB60A11">
            <w:pPr>
              <w:spacing w:before="123" w:line="230" w:lineRule="auto"/>
              <w:ind w:left="2935"/>
              <w:rPr>
                <w:rFonts w:ascii="宋体" w:hAnsi="宋体" w:eastAsia="宋体" w:cs="宋体"/>
                <w:sz w:val="19"/>
                <w:szCs w:val="19"/>
              </w:rPr>
            </w:pPr>
            <w:r>
              <w:rPr>
                <w:rFonts w:ascii="宋体" w:hAnsi="宋体" w:eastAsia="宋体" w:cs="宋体"/>
                <w:spacing w:val="4"/>
                <w:sz w:val="19"/>
                <w:szCs w:val="19"/>
              </w:rPr>
              <w:t>企业管理费和利润小计</w:t>
            </w:r>
          </w:p>
        </w:tc>
        <w:tc>
          <w:tcPr>
            <w:tcW w:w="1300" w:type="dxa"/>
            <w:vAlign w:val="top"/>
          </w:tcPr>
          <w:p w14:paraId="4DBCBD23">
            <w:pPr>
              <w:pStyle w:val="594"/>
            </w:pPr>
          </w:p>
        </w:tc>
        <w:tc>
          <w:tcPr>
            <w:tcW w:w="1316" w:type="dxa"/>
            <w:tcBorders>
              <w:right w:val="single" w:color="000000" w:sz="10" w:space="0"/>
            </w:tcBorders>
            <w:vAlign w:val="top"/>
          </w:tcPr>
          <w:p w14:paraId="4BD37369">
            <w:pPr>
              <w:pStyle w:val="594"/>
            </w:pPr>
          </w:p>
        </w:tc>
      </w:tr>
      <w:tr w14:paraId="00D4E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778" w:type="dxa"/>
            <w:tcBorders>
              <w:left w:val="single" w:color="000000" w:sz="10" w:space="0"/>
            </w:tcBorders>
            <w:vAlign w:val="top"/>
          </w:tcPr>
          <w:p w14:paraId="7ED13682">
            <w:pPr>
              <w:pStyle w:val="594"/>
            </w:pPr>
          </w:p>
        </w:tc>
        <w:tc>
          <w:tcPr>
            <w:tcW w:w="2882" w:type="dxa"/>
            <w:vAlign w:val="top"/>
          </w:tcPr>
          <w:p w14:paraId="550F6867">
            <w:pPr>
              <w:pStyle w:val="594"/>
            </w:pPr>
          </w:p>
        </w:tc>
        <w:tc>
          <w:tcPr>
            <w:tcW w:w="686" w:type="dxa"/>
            <w:vAlign w:val="top"/>
          </w:tcPr>
          <w:p w14:paraId="4718DDD8">
            <w:pPr>
              <w:pStyle w:val="594"/>
            </w:pPr>
          </w:p>
        </w:tc>
        <w:tc>
          <w:tcPr>
            <w:tcW w:w="1179" w:type="dxa"/>
            <w:gridSpan w:val="2"/>
            <w:vAlign w:val="top"/>
          </w:tcPr>
          <w:p w14:paraId="64EA65E2">
            <w:pPr>
              <w:pStyle w:val="594"/>
            </w:pPr>
          </w:p>
        </w:tc>
        <w:tc>
          <w:tcPr>
            <w:tcW w:w="1060" w:type="dxa"/>
            <w:vAlign w:val="top"/>
          </w:tcPr>
          <w:p w14:paraId="257A13C4">
            <w:pPr>
              <w:pStyle w:val="594"/>
            </w:pPr>
          </w:p>
        </w:tc>
        <w:tc>
          <w:tcPr>
            <w:tcW w:w="1210" w:type="dxa"/>
            <w:gridSpan w:val="2"/>
            <w:vAlign w:val="top"/>
          </w:tcPr>
          <w:p w14:paraId="09AD1FCE">
            <w:pPr>
              <w:pStyle w:val="594"/>
            </w:pPr>
          </w:p>
        </w:tc>
        <w:tc>
          <w:tcPr>
            <w:tcW w:w="1300" w:type="dxa"/>
            <w:vAlign w:val="top"/>
          </w:tcPr>
          <w:p w14:paraId="2725FB2E">
            <w:pPr>
              <w:pStyle w:val="594"/>
            </w:pPr>
          </w:p>
        </w:tc>
        <w:tc>
          <w:tcPr>
            <w:tcW w:w="1316" w:type="dxa"/>
            <w:tcBorders>
              <w:right w:val="single" w:color="000000" w:sz="10" w:space="0"/>
            </w:tcBorders>
            <w:vAlign w:val="top"/>
          </w:tcPr>
          <w:p w14:paraId="39924822">
            <w:pPr>
              <w:pStyle w:val="594"/>
            </w:pPr>
          </w:p>
        </w:tc>
      </w:tr>
      <w:tr w14:paraId="71FFE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778" w:type="dxa"/>
            <w:tcBorders>
              <w:left w:val="single" w:color="000000" w:sz="10" w:space="0"/>
            </w:tcBorders>
            <w:vAlign w:val="top"/>
          </w:tcPr>
          <w:p w14:paraId="4E0F9142">
            <w:pPr>
              <w:pStyle w:val="594"/>
            </w:pPr>
          </w:p>
        </w:tc>
        <w:tc>
          <w:tcPr>
            <w:tcW w:w="2882" w:type="dxa"/>
            <w:vAlign w:val="top"/>
          </w:tcPr>
          <w:p w14:paraId="649C6B1C">
            <w:pPr>
              <w:pStyle w:val="594"/>
            </w:pPr>
          </w:p>
        </w:tc>
        <w:tc>
          <w:tcPr>
            <w:tcW w:w="686" w:type="dxa"/>
            <w:vAlign w:val="top"/>
          </w:tcPr>
          <w:p w14:paraId="3DFF0760">
            <w:pPr>
              <w:pStyle w:val="594"/>
            </w:pPr>
          </w:p>
        </w:tc>
        <w:tc>
          <w:tcPr>
            <w:tcW w:w="1179" w:type="dxa"/>
            <w:gridSpan w:val="2"/>
            <w:vAlign w:val="top"/>
          </w:tcPr>
          <w:p w14:paraId="069F4CDB">
            <w:pPr>
              <w:pStyle w:val="594"/>
            </w:pPr>
          </w:p>
        </w:tc>
        <w:tc>
          <w:tcPr>
            <w:tcW w:w="1060" w:type="dxa"/>
            <w:vAlign w:val="top"/>
          </w:tcPr>
          <w:p w14:paraId="686F3064">
            <w:pPr>
              <w:pStyle w:val="594"/>
            </w:pPr>
          </w:p>
        </w:tc>
        <w:tc>
          <w:tcPr>
            <w:tcW w:w="1210" w:type="dxa"/>
            <w:gridSpan w:val="2"/>
            <w:vAlign w:val="top"/>
          </w:tcPr>
          <w:p w14:paraId="2E16856F">
            <w:pPr>
              <w:pStyle w:val="594"/>
            </w:pPr>
          </w:p>
        </w:tc>
        <w:tc>
          <w:tcPr>
            <w:tcW w:w="1300" w:type="dxa"/>
            <w:vAlign w:val="top"/>
          </w:tcPr>
          <w:p w14:paraId="3D52FDCE">
            <w:pPr>
              <w:pStyle w:val="594"/>
            </w:pPr>
          </w:p>
        </w:tc>
        <w:tc>
          <w:tcPr>
            <w:tcW w:w="1316" w:type="dxa"/>
            <w:tcBorders>
              <w:right w:val="single" w:color="000000" w:sz="10" w:space="0"/>
            </w:tcBorders>
            <w:vAlign w:val="top"/>
          </w:tcPr>
          <w:p w14:paraId="702FC0D1">
            <w:pPr>
              <w:pStyle w:val="594"/>
            </w:pPr>
          </w:p>
        </w:tc>
      </w:tr>
      <w:tr w14:paraId="58A27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jc w:val="center"/>
        </w:trPr>
        <w:tc>
          <w:tcPr>
            <w:tcW w:w="778" w:type="dxa"/>
            <w:tcBorders>
              <w:left w:val="single" w:color="000000" w:sz="10" w:space="0"/>
            </w:tcBorders>
            <w:vAlign w:val="top"/>
          </w:tcPr>
          <w:p w14:paraId="3D39A513">
            <w:pPr>
              <w:pStyle w:val="594"/>
            </w:pPr>
          </w:p>
        </w:tc>
        <w:tc>
          <w:tcPr>
            <w:tcW w:w="2882" w:type="dxa"/>
            <w:vAlign w:val="top"/>
          </w:tcPr>
          <w:p w14:paraId="574F85AF">
            <w:pPr>
              <w:pStyle w:val="594"/>
            </w:pPr>
          </w:p>
        </w:tc>
        <w:tc>
          <w:tcPr>
            <w:tcW w:w="686" w:type="dxa"/>
            <w:vAlign w:val="top"/>
          </w:tcPr>
          <w:p w14:paraId="78FFA98E">
            <w:pPr>
              <w:pStyle w:val="594"/>
            </w:pPr>
          </w:p>
        </w:tc>
        <w:tc>
          <w:tcPr>
            <w:tcW w:w="1179" w:type="dxa"/>
            <w:gridSpan w:val="2"/>
            <w:vAlign w:val="top"/>
          </w:tcPr>
          <w:p w14:paraId="6EB8E147">
            <w:pPr>
              <w:pStyle w:val="594"/>
            </w:pPr>
          </w:p>
        </w:tc>
        <w:tc>
          <w:tcPr>
            <w:tcW w:w="1060" w:type="dxa"/>
            <w:vAlign w:val="top"/>
          </w:tcPr>
          <w:p w14:paraId="4DA93867">
            <w:pPr>
              <w:pStyle w:val="594"/>
            </w:pPr>
          </w:p>
        </w:tc>
        <w:tc>
          <w:tcPr>
            <w:tcW w:w="1210" w:type="dxa"/>
            <w:gridSpan w:val="2"/>
            <w:vAlign w:val="top"/>
          </w:tcPr>
          <w:p w14:paraId="211C181A">
            <w:pPr>
              <w:pStyle w:val="594"/>
            </w:pPr>
          </w:p>
        </w:tc>
        <w:tc>
          <w:tcPr>
            <w:tcW w:w="1300" w:type="dxa"/>
            <w:vAlign w:val="top"/>
          </w:tcPr>
          <w:p w14:paraId="101A5C4B">
            <w:pPr>
              <w:pStyle w:val="594"/>
            </w:pPr>
          </w:p>
        </w:tc>
        <w:tc>
          <w:tcPr>
            <w:tcW w:w="1316" w:type="dxa"/>
            <w:tcBorders>
              <w:right w:val="single" w:color="000000" w:sz="10" w:space="0"/>
            </w:tcBorders>
            <w:vAlign w:val="top"/>
          </w:tcPr>
          <w:p w14:paraId="370A217A">
            <w:pPr>
              <w:pStyle w:val="594"/>
            </w:pPr>
          </w:p>
        </w:tc>
      </w:tr>
      <w:tr w14:paraId="66AF1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jc w:val="center"/>
        </w:trPr>
        <w:tc>
          <w:tcPr>
            <w:tcW w:w="778" w:type="dxa"/>
            <w:tcBorders>
              <w:left w:val="single" w:color="000000" w:sz="10" w:space="0"/>
            </w:tcBorders>
            <w:vAlign w:val="top"/>
          </w:tcPr>
          <w:p w14:paraId="32AAD4E8">
            <w:pPr>
              <w:pStyle w:val="594"/>
            </w:pPr>
          </w:p>
        </w:tc>
        <w:tc>
          <w:tcPr>
            <w:tcW w:w="2882" w:type="dxa"/>
            <w:vAlign w:val="top"/>
          </w:tcPr>
          <w:p w14:paraId="1F9EB27F">
            <w:pPr>
              <w:pStyle w:val="594"/>
            </w:pPr>
          </w:p>
        </w:tc>
        <w:tc>
          <w:tcPr>
            <w:tcW w:w="686" w:type="dxa"/>
            <w:vAlign w:val="top"/>
          </w:tcPr>
          <w:p w14:paraId="3A4F3A9B">
            <w:pPr>
              <w:pStyle w:val="594"/>
            </w:pPr>
          </w:p>
        </w:tc>
        <w:tc>
          <w:tcPr>
            <w:tcW w:w="1179" w:type="dxa"/>
            <w:gridSpan w:val="2"/>
            <w:vAlign w:val="top"/>
          </w:tcPr>
          <w:p w14:paraId="77309087">
            <w:pPr>
              <w:pStyle w:val="594"/>
            </w:pPr>
          </w:p>
        </w:tc>
        <w:tc>
          <w:tcPr>
            <w:tcW w:w="1060" w:type="dxa"/>
            <w:vAlign w:val="top"/>
          </w:tcPr>
          <w:p w14:paraId="3A6F1875">
            <w:pPr>
              <w:pStyle w:val="594"/>
            </w:pPr>
          </w:p>
        </w:tc>
        <w:tc>
          <w:tcPr>
            <w:tcW w:w="1210" w:type="dxa"/>
            <w:gridSpan w:val="2"/>
            <w:vAlign w:val="top"/>
          </w:tcPr>
          <w:p w14:paraId="4BB5A8E4">
            <w:pPr>
              <w:pStyle w:val="594"/>
            </w:pPr>
          </w:p>
        </w:tc>
        <w:tc>
          <w:tcPr>
            <w:tcW w:w="1300" w:type="dxa"/>
            <w:vAlign w:val="top"/>
          </w:tcPr>
          <w:p w14:paraId="79B516BA">
            <w:pPr>
              <w:pStyle w:val="594"/>
            </w:pPr>
          </w:p>
        </w:tc>
        <w:tc>
          <w:tcPr>
            <w:tcW w:w="1316" w:type="dxa"/>
            <w:tcBorders>
              <w:right w:val="single" w:color="000000" w:sz="10" w:space="0"/>
            </w:tcBorders>
            <w:vAlign w:val="top"/>
          </w:tcPr>
          <w:p w14:paraId="326CA337">
            <w:pPr>
              <w:pStyle w:val="594"/>
            </w:pPr>
          </w:p>
        </w:tc>
      </w:tr>
      <w:tr w14:paraId="2DB21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778" w:type="dxa"/>
            <w:tcBorders>
              <w:left w:val="single" w:color="000000" w:sz="10" w:space="0"/>
            </w:tcBorders>
            <w:vAlign w:val="top"/>
          </w:tcPr>
          <w:p w14:paraId="67CBCFD8">
            <w:pPr>
              <w:pStyle w:val="594"/>
            </w:pPr>
          </w:p>
        </w:tc>
        <w:tc>
          <w:tcPr>
            <w:tcW w:w="2882" w:type="dxa"/>
            <w:vAlign w:val="top"/>
          </w:tcPr>
          <w:p w14:paraId="2D2181CD">
            <w:pPr>
              <w:pStyle w:val="594"/>
            </w:pPr>
          </w:p>
        </w:tc>
        <w:tc>
          <w:tcPr>
            <w:tcW w:w="686" w:type="dxa"/>
            <w:vAlign w:val="top"/>
          </w:tcPr>
          <w:p w14:paraId="73DCFF6C">
            <w:pPr>
              <w:pStyle w:val="594"/>
            </w:pPr>
          </w:p>
        </w:tc>
        <w:tc>
          <w:tcPr>
            <w:tcW w:w="1179" w:type="dxa"/>
            <w:gridSpan w:val="2"/>
            <w:vAlign w:val="top"/>
          </w:tcPr>
          <w:p w14:paraId="1C4A195D">
            <w:pPr>
              <w:pStyle w:val="594"/>
            </w:pPr>
          </w:p>
        </w:tc>
        <w:tc>
          <w:tcPr>
            <w:tcW w:w="1060" w:type="dxa"/>
            <w:vAlign w:val="top"/>
          </w:tcPr>
          <w:p w14:paraId="4884AF28">
            <w:pPr>
              <w:pStyle w:val="594"/>
            </w:pPr>
          </w:p>
        </w:tc>
        <w:tc>
          <w:tcPr>
            <w:tcW w:w="1210" w:type="dxa"/>
            <w:gridSpan w:val="2"/>
            <w:vAlign w:val="top"/>
          </w:tcPr>
          <w:p w14:paraId="12625325">
            <w:pPr>
              <w:pStyle w:val="594"/>
            </w:pPr>
          </w:p>
        </w:tc>
        <w:tc>
          <w:tcPr>
            <w:tcW w:w="1300" w:type="dxa"/>
            <w:vAlign w:val="top"/>
          </w:tcPr>
          <w:p w14:paraId="6E6B46CD">
            <w:pPr>
              <w:pStyle w:val="594"/>
            </w:pPr>
          </w:p>
        </w:tc>
        <w:tc>
          <w:tcPr>
            <w:tcW w:w="1316" w:type="dxa"/>
            <w:tcBorders>
              <w:right w:val="single" w:color="000000" w:sz="10" w:space="0"/>
            </w:tcBorders>
            <w:vAlign w:val="top"/>
          </w:tcPr>
          <w:p w14:paraId="5CB45DD9">
            <w:pPr>
              <w:pStyle w:val="594"/>
            </w:pPr>
          </w:p>
        </w:tc>
      </w:tr>
      <w:tr w14:paraId="6E81E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778" w:type="dxa"/>
            <w:tcBorders>
              <w:left w:val="single" w:color="000000" w:sz="10" w:space="0"/>
            </w:tcBorders>
            <w:vAlign w:val="top"/>
          </w:tcPr>
          <w:p w14:paraId="31E46EC2">
            <w:pPr>
              <w:pStyle w:val="594"/>
            </w:pPr>
          </w:p>
        </w:tc>
        <w:tc>
          <w:tcPr>
            <w:tcW w:w="2882" w:type="dxa"/>
            <w:vAlign w:val="top"/>
          </w:tcPr>
          <w:p w14:paraId="58DAC38A">
            <w:pPr>
              <w:pStyle w:val="594"/>
            </w:pPr>
          </w:p>
        </w:tc>
        <w:tc>
          <w:tcPr>
            <w:tcW w:w="686" w:type="dxa"/>
            <w:vAlign w:val="top"/>
          </w:tcPr>
          <w:p w14:paraId="1B3BD993">
            <w:pPr>
              <w:pStyle w:val="594"/>
            </w:pPr>
          </w:p>
        </w:tc>
        <w:tc>
          <w:tcPr>
            <w:tcW w:w="1179" w:type="dxa"/>
            <w:gridSpan w:val="2"/>
            <w:vAlign w:val="top"/>
          </w:tcPr>
          <w:p w14:paraId="0A989C5E">
            <w:pPr>
              <w:pStyle w:val="594"/>
            </w:pPr>
          </w:p>
        </w:tc>
        <w:tc>
          <w:tcPr>
            <w:tcW w:w="1060" w:type="dxa"/>
            <w:vAlign w:val="top"/>
          </w:tcPr>
          <w:p w14:paraId="127179FC">
            <w:pPr>
              <w:pStyle w:val="594"/>
            </w:pPr>
          </w:p>
        </w:tc>
        <w:tc>
          <w:tcPr>
            <w:tcW w:w="1210" w:type="dxa"/>
            <w:gridSpan w:val="2"/>
            <w:vAlign w:val="top"/>
          </w:tcPr>
          <w:p w14:paraId="31D85604">
            <w:pPr>
              <w:pStyle w:val="594"/>
            </w:pPr>
          </w:p>
        </w:tc>
        <w:tc>
          <w:tcPr>
            <w:tcW w:w="1300" w:type="dxa"/>
            <w:vAlign w:val="top"/>
          </w:tcPr>
          <w:p w14:paraId="2DFD47E3">
            <w:pPr>
              <w:pStyle w:val="594"/>
            </w:pPr>
          </w:p>
        </w:tc>
        <w:tc>
          <w:tcPr>
            <w:tcW w:w="1316" w:type="dxa"/>
            <w:tcBorders>
              <w:right w:val="single" w:color="000000" w:sz="10" w:space="0"/>
            </w:tcBorders>
            <w:vAlign w:val="top"/>
          </w:tcPr>
          <w:p w14:paraId="29F58264">
            <w:pPr>
              <w:pStyle w:val="594"/>
            </w:pPr>
          </w:p>
        </w:tc>
      </w:tr>
      <w:tr w14:paraId="1BF89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778" w:type="dxa"/>
            <w:tcBorders>
              <w:left w:val="single" w:color="000000" w:sz="10" w:space="0"/>
            </w:tcBorders>
            <w:vAlign w:val="top"/>
          </w:tcPr>
          <w:p w14:paraId="417465EB">
            <w:pPr>
              <w:pStyle w:val="594"/>
            </w:pPr>
          </w:p>
        </w:tc>
        <w:tc>
          <w:tcPr>
            <w:tcW w:w="2882" w:type="dxa"/>
            <w:vAlign w:val="top"/>
          </w:tcPr>
          <w:p w14:paraId="5A8409B4">
            <w:pPr>
              <w:pStyle w:val="594"/>
            </w:pPr>
          </w:p>
        </w:tc>
        <w:tc>
          <w:tcPr>
            <w:tcW w:w="686" w:type="dxa"/>
            <w:vAlign w:val="top"/>
          </w:tcPr>
          <w:p w14:paraId="7118CC8A">
            <w:pPr>
              <w:pStyle w:val="594"/>
            </w:pPr>
          </w:p>
        </w:tc>
        <w:tc>
          <w:tcPr>
            <w:tcW w:w="1179" w:type="dxa"/>
            <w:gridSpan w:val="2"/>
            <w:vAlign w:val="top"/>
          </w:tcPr>
          <w:p w14:paraId="73764851">
            <w:pPr>
              <w:pStyle w:val="594"/>
            </w:pPr>
          </w:p>
        </w:tc>
        <w:tc>
          <w:tcPr>
            <w:tcW w:w="1060" w:type="dxa"/>
            <w:vAlign w:val="top"/>
          </w:tcPr>
          <w:p w14:paraId="5B1B6711">
            <w:pPr>
              <w:pStyle w:val="594"/>
            </w:pPr>
          </w:p>
        </w:tc>
        <w:tc>
          <w:tcPr>
            <w:tcW w:w="1210" w:type="dxa"/>
            <w:gridSpan w:val="2"/>
            <w:vAlign w:val="top"/>
          </w:tcPr>
          <w:p w14:paraId="510D9646">
            <w:pPr>
              <w:pStyle w:val="594"/>
            </w:pPr>
          </w:p>
        </w:tc>
        <w:tc>
          <w:tcPr>
            <w:tcW w:w="1300" w:type="dxa"/>
            <w:vAlign w:val="top"/>
          </w:tcPr>
          <w:p w14:paraId="3B84ABE1">
            <w:pPr>
              <w:pStyle w:val="594"/>
            </w:pPr>
          </w:p>
        </w:tc>
        <w:tc>
          <w:tcPr>
            <w:tcW w:w="1316" w:type="dxa"/>
            <w:tcBorders>
              <w:right w:val="single" w:color="000000" w:sz="10" w:space="0"/>
            </w:tcBorders>
            <w:vAlign w:val="top"/>
          </w:tcPr>
          <w:p w14:paraId="67633A26">
            <w:pPr>
              <w:pStyle w:val="594"/>
            </w:pPr>
          </w:p>
        </w:tc>
      </w:tr>
      <w:tr w14:paraId="2622B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778" w:type="dxa"/>
            <w:tcBorders>
              <w:left w:val="single" w:color="000000" w:sz="10" w:space="0"/>
            </w:tcBorders>
            <w:vAlign w:val="top"/>
          </w:tcPr>
          <w:p w14:paraId="58A21892">
            <w:pPr>
              <w:pStyle w:val="594"/>
            </w:pPr>
          </w:p>
        </w:tc>
        <w:tc>
          <w:tcPr>
            <w:tcW w:w="2882" w:type="dxa"/>
            <w:vAlign w:val="top"/>
          </w:tcPr>
          <w:p w14:paraId="2F97AB36">
            <w:pPr>
              <w:pStyle w:val="594"/>
            </w:pPr>
          </w:p>
        </w:tc>
        <w:tc>
          <w:tcPr>
            <w:tcW w:w="686" w:type="dxa"/>
            <w:vAlign w:val="top"/>
          </w:tcPr>
          <w:p w14:paraId="09045996">
            <w:pPr>
              <w:pStyle w:val="594"/>
            </w:pPr>
          </w:p>
        </w:tc>
        <w:tc>
          <w:tcPr>
            <w:tcW w:w="1179" w:type="dxa"/>
            <w:gridSpan w:val="2"/>
            <w:vAlign w:val="top"/>
          </w:tcPr>
          <w:p w14:paraId="5D7C25A1">
            <w:pPr>
              <w:pStyle w:val="594"/>
            </w:pPr>
          </w:p>
        </w:tc>
        <w:tc>
          <w:tcPr>
            <w:tcW w:w="1060" w:type="dxa"/>
            <w:vAlign w:val="top"/>
          </w:tcPr>
          <w:p w14:paraId="2DF053F0">
            <w:pPr>
              <w:pStyle w:val="594"/>
            </w:pPr>
          </w:p>
        </w:tc>
        <w:tc>
          <w:tcPr>
            <w:tcW w:w="1210" w:type="dxa"/>
            <w:gridSpan w:val="2"/>
            <w:vAlign w:val="top"/>
          </w:tcPr>
          <w:p w14:paraId="66D105F6">
            <w:pPr>
              <w:pStyle w:val="594"/>
            </w:pPr>
          </w:p>
        </w:tc>
        <w:tc>
          <w:tcPr>
            <w:tcW w:w="1300" w:type="dxa"/>
            <w:vAlign w:val="top"/>
          </w:tcPr>
          <w:p w14:paraId="122E63E7">
            <w:pPr>
              <w:pStyle w:val="594"/>
            </w:pPr>
          </w:p>
        </w:tc>
        <w:tc>
          <w:tcPr>
            <w:tcW w:w="1316" w:type="dxa"/>
            <w:tcBorders>
              <w:right w:val="single" w:color="000000" w:sz="10" w:space="0"/>
            </w:tcBorders>
            <w:vAlign w:val="top"/>
          </w:tcPr>
          <w:p w14:paraId="3A0BB83E">
            <w:pPr>
              <w:pStyle w:val="594"/>
            </w:pPr>
          </w:p>
        </w:tc>
      </w:tr>
      <w:tr w14:paraId="36CE7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778" w:type="dxa"/>
            <w:tcBorders>
              <w:left w:val="single" w:color="000000" w:sz="10" w:space="0"/>
            </w:tcBorders>
            <w:vAlign w:val="top"/>
          </w:tcPr>
          <w:p w14:paraId="14EA76A6">
            <w:pPr>
              <w:pStyle w:val="594"/>
            </w:pPr>
          </w:p>
        </w:tc>
        <w:tc>
          <w:tcPr>
            <w:tcW w:w="2882" w:type="dxa"/>
            <w:vAlign w:val="top"/>
          </w:tcPr>
          <w:p w14:paraId="3B57FEC8">
            <w:pPr>
              <w:pStyle w:val="594"/>
            </w:pPr>
          </w:p>
        </w:tc>
        <w:tc>
          <w:tcPr>
            <w:tcW w:w="686" w:type="dxa"/>
            <w:vAlign w:val="top"/>
          </w:tcPr>
          <w:p w14:paraId="40366410">
            <w:pPr>
              <w:pStyle w:val="594"/>
            </w:pPr>
          </w:p>
        </w:tc>
        <w:tc>
          <w:tcPr>
            <w:tcW w:w="1179" w:type="dxa"/>
            <w:gridSpan w:val="2"/>
            <w:vAlign w:val="top"/>
          </w:tcPr>
          <w:p w14:paraId="16A858F0">
            <w:pPr>
              <w:pStyle w:val="594"/>
            </w:pPr>
          </w:p>
        </w:tc>
        <w:tc>
          <w:tcPr>
            <w:tcW w:w="1060" w:type="dxa"/>
            <w:vAlign w:val="top"/>
          </w:tcPr>
          <w:p w14:paraId="4C6BC14E">
            <w:pPr>
              <w:pStyle w:val="594"/>
            </w:pPr>
          </w:p>
        </w:tc>
        <w:tc>
          <w:tcPr>
            <w:tcW w:w="1210" w:type="dxa"/>
            <w:gridSpan w:val="2"/>
            <w:vAlign w:val="top"/>
          </w:tcPr>
          <w:p w14:paraId="45806720">
            <w:pPr>
              <w:pStyle w:val="594"/>
            </w:pPr>
          </w:p>
        </w:tc>
        <w:tc>
          <w:tcPr>
            <w:tcW w:w="1300" w:type="dxa"/>
            <w:vAlign w:val="top"/>
          </w:tcPr>
          <w:p w14:paraId="3AD561B2">
            <w:pPr>
              <w:pStyle w:val="594"/>
            </w:pPr>
          </w:p>
        </w:tc>
        <w:tc>
          <w:tcPr>
            <w:tcW w:w="1316" w:type="dxa"/>
            <w:tcBorders>
              <w:right w:val="single" w:color="000000" w:sz="10" w:space="0"/>
            </w:tcBorders>
            <w:vAlign w:val="top"/>
          </w:tcPr>
          <w:p w14:paraId="7D5A8ACA">
            <w:pPr>
              <w:pStyle w:val="594"/>
            </w:pPr>
          </w:p>
        </w:tc>
      </w:tr>
      <w:tr w14:paraId="0CA63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778" w:type="dxa"/>
            <w:tcBorders>
              <w:left w:val="single" w:color="000000" w:sz="10" w:space="0"/>
            </w:tcBorders>
            <w:vAlign w:val="top"/>
          </w:tcPr>
          <w:p w14:paraId="14E50C03">
            <w:pPr>
              <w:pStyle w:val="594"/>
            </w:pPr>
          </w:p>
        </w:tc>
        <w:tc>
          <w:tcPr>
            <w:tcW w:w="2882" w:type="dxa"/>
            <w:vAlign w:val="top"/>
          </w:tcPr>
          <w:p w14:paraId="6A2A903D">
            <w:pPr>
              <w:pStyle w:val="594"/>
            </w:pPr>
          </w:p>
        </w:tc>
        <w:tc>
          <w:tcPr>
            <w:tcW w:w="686" w:type="dxa"/>
            <w:vAlign w:val="top"/>
          </w:tcPr>
          <w:p w14:paraId="60C71B88">
            <w:pPr>
              <w:pStyle w:val="594"/>
            </w:pPr>
          </w:p>
        </w:tc>
        <w:tc>
          <w:tcPr>
            <w:tcW w:w="1179" w:type="dxa"/>
            <w:gridSpan w:val="2"/>
            <w:vAlign w:val="top"/>
          </w:tcPr>
          <w:p w14:paraId="6D07C315">
            <w:pPr>
              <w:pStyle w:val="594"/>
            </w:pPr>
          </w:p>
        </w:tc>
        <w:tc>
          <w:tcPr>
            <w:tcW w:w="1060" w:type="dxa"/>
            <w:vAlign w:val="top"/>
          </w:tcPr>
          <w:p w14:paraId="4E55B754">
            <w:pPr>
              <w:pStyle w:val="594"/>
            </w:pPr>
          </w:p>
        </w:tc>
        <w:tc>
          <w:tcPr>
            <w:tcW w:w="1210" w:type="dxa"/>
            <w:gridSpan w:val="2"/>
            <w:vAlign w:val="top"/>
          </w:tcPr>
          <w:p w14:paraId="3004A6B7">
            <w:pPr>
              <w:pStyle w:val="594"/>
            </w:pPr>
          </w:p>
        </w:tc>
        <w:tc>
          <w:tcPr>
            <w:tcW w:w="1300" w:type="dxa"/>
            <w:vAlign w:val="top"/>
          </w:tcPr>
          <w:p w14:paraId="48EAA5BA">
            <w:pPr>
              <w:pStyle w:val="594"/>
            </w:pPr>
          </w:p>
        </w:tc>
        <w:tc>
          <w:tcPr>
            <w:tcW w:w="1316" w:type="dxa"/>
            <w:tcBorders>
              <w:right w:val="single" w:color="000000" w:sz="10" w:space="0"/>
            </w:tcBorders>
            <w:vAlign w:val="top"/>
          </w:tcPr>
          <w:p w14:paraId="094315F4">
            <w:pPr>
              <w:pStyle w:val="594"/>
            </w:pPr>
          </w:p>
        </w:tc>
      </w:tr>
      <w:tr w14:paraId="6B39E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778" w:type="dxa"/>
            <w:tcBorders>
              <w:left w:val="single" w:color="000000" w:sz="10" w:space="0"/>
            </w:tcBorders>
            <w:vAlign w:val="top"/>
          </w:tcPr>
          <w:p w14:paraId="55849BB1">
            <w:pPr>
              <w:pStyle w:val="594"/>
            </w:pPr>
          </w:p>
        </w:tc>
        <w:tc>
          <w:tcPr>
            <w:tcW w:w="2882" w:type="dxa"/>
            <w:vAlign w:val="top"/>
          </w:tcPr>
          <w:p w14:paraId="0758E4B2">
            <w:pPr>
              <w:pStyle w:val="594"/>
            </w:pPr>
          </w:p>
        </w:tc>
        <w:tc>
          <w:tcPr>
            <w:tcW w:w="686" w:type="dxa"/>
            <w:vAlign w:val="top"/>
          </w:tcPr>
          <w:p w14:paraId="4C0C7E79">
            <w:pPr>
              <w:pStyle w:val="594"/>
            </w:pPr>
          </w:p>
        </w:tc>
        <w:tc>
          <w:tcPr>
            <w:tcW w:w="1179" w:type="dxa"/>
            <w:gridSpan w:val="2"/>
            <w:vAlign w:val="top"/>
          </w:tcPr>
          <w:p w14:paraId="5EC2ECE3">
            <w:pPr>
              <w:pStyle w:val="594"/>
            </w:pPr>
          </w:p>
        </w:tc>
        <w:tc>
          <w:tcPr>
            <w:tcW w:w="1060" w:type="dxa"/>
            <w:vAlign w:val="top"/>
          </w:tcPr>
          <w:p w14:paraId="3A55EECF">
            <w:pPr>
              <w:pStyle w:val="594"/>
            </w:pPr>
          </w:p>
        </w:tc>
        <w:tc>
          <w:tcPr>
            <w:tcW w:w="1210" w:type="dxa"/>
            <w:gridSpan w:val="2"/>
            <w:vAlign w:val="top"/>
          </w:tcPr>
          <w:p w14:paraId="6DD8EA96">
            <w:pPr>
              <w:pStyle w:val="594"/>
            </w:pPr>
          </w:p>
        </w:tc>
        <w:tc>
          <w:tcPr>
            <w:tcW w:w="1300" w:type="dxa"/>
            <w:vAlign w:val="top"/>
          </w:tcPr>
          <w:p w14:paraId="3B1454BB">
            <w:pPr>
              <w:pStyle w:val="594"/>
            </w:pPr>
          </w:p>
        </w:tc>
        <w:tc>
          <w:tcPr>
            <w:tcW w:w="1316" w:type="dxa"/>
            <w:tcBorders>
              <w:right w:val="single" w:color="000000" w:sz="10" w:space="0"/>
            </w:tcBorders>
            <w:vAlign w:val="top"/>
          </w:tcPr>
          <w:p w14:paraId="0359575C">
            <w:pPr>
              <w:pStyle w:val="594"/>
            </w:pPr>
          </w:p>
        </w:tc>
      </w:tr>
      <w:tr w14:paraId="051BE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778" w:type="dxa"/>
            <w:tcBorders>
              <w:left w:val="single" w:color="000000" w:sz="10" w:space="0"/>
            </w:tcBorders>
            <w:vAlign w:val="top"/>
          </w:tcPr>
          <w:p w14:paraId="4D326377">
            <w:pPr>
              <w:pStyle w:val="594"/>
            </w:pPr>
          </w:p>
        </w:tc>
        <w:tc>
          <w:tcPr>
            <w:tcW w:w="2882" w:type="dxa"/>
            <w:vAlign w:val="top"/>
          </w:tcPr>
          <w:p w14:paraId="5127CEA3">
            <w:pPr>
              <w:pStyle w:val="594"/>
            </w:pPr>
          </w:p>
        </w:tc>
        <w:tc>
          <w:tcPr>
            <w:tcW w:w="686" w:type="dxa"/>
            <w:vAlign w:val="top"/>
          </w:tcPr>
          <w:p w14:paraId="47CD40F1">
            <w:pPr>
              <w:pStyle w:val="594"/>
            </w:pPr>
          </w:p>
        </w:tc>
        <w:tc>
          <w:tcPr>
            <w:tcW w:w="1179" w:type="dxa"/>
            <w:gridSpan w:val="2"/>
            <w:vAlign w:val="top"/>
          </w:tcPr>
          <w:p w14:paraId="1945DBAC">
            <w:pPr>
              <w:pStyle w:val="594"/>
            </w:pPr>
          </w:p>
        </w:tc>
        <w:tc>
          <w:tcPr>
            <w:tcW w:w="1060" w:type="dxa"/>
            <w:vAlign w:val="top"/>
          </w:tcPr>
          <w:p w14:paraId="18613774">
            <w:pPr>
              <w:pStyle w:val="594"/>
            </w:pPr>
          </w:p>
        </w:tc>
        <w:tc>
          <w:tcPr>
            <w:tcW w:w="1210" w:type="dxa"/>
            <w:gridSpan w:val="2"/>
            <w:vAlign w:val="top"/>
          </w:tcPr>
          <w:p w14:paraId="13B4D3E3">
            <w:pPr>
              <w:pStyle w:val="594"/>
            </w:pPr>
          </w:p>
        </w:tc>
        <w:tc>
          <w:tcPr>
            <w:tcW w:w="1300" w:type="dxa"/>
            <w:vAlign w:val="top"/>
          </w:tcPr>
          <w:p w14:paraId="49390004">
            <w:pPr>
              <w:pStyle w:val="594"/>
            </w:pPr>
          </w:p>
        </w:tc>
        <w:tc>
          <w:tcPr>
            <w:tcW w:w="1316" w:type="dxa"/>
            <w:tcBorders>
              <w:right w:val="single" w:color="000000" w:sz="10" w:space="0"/>
            </w:tcBorders>
            <w:vAlign w:val="top"/>
          </w:tcPr>
          <w:p w14:paraId="1EA9E015">
            <w:pPr>
              <w:pStyle w:val="594"/>
            </w:pPr>
          </w:p>
        </w:tc>
      </w:tr>
      <w:tr w14:paraId="534DD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jc w:val="center"/>
        </w:trPr>
        <w:tc>
          <w:tcPr>
            <w:tcW w:w="778" w:type="dxa"/>
            <w:tcBorders>
              <w:left w:val="single" w:color="000000" w:sz="10" w:space="0"/>
            </w:tcBorders>
            <w:vAlign w:val="top"/>
          </w:tcPr>
          <w:p w14:paraId="6B3AACDF">
            <w:pPr>
              <w:pStyle w:val="594"/>
            </w:pPr>
          </w:p>
        </w:tc>
        <w:tc>
          <w:tcPr>
            <w:tcW w:w="2882" w:type="dxa"/>
            <w:vAlign w:val="top"/>
          </w:tcPr>
          <w:p w14:paraId="0843CA89">
            <w:pPr>
              <w:pStyle w:val="594"/>
            </w:pPr>
          </w:p>
        </w:tc>
        <w:tc>
          <w:tcPr>
            <w:tcW w:w="686" w:type="dxa"/>
            <w:vAlign w:val="top"/>
          </w:tcPr>
          <w:p w14:paraId="3ED3AF6D">
            <w:pPr>
              <w:pStyle w:val="594"/>
            </w:pPr>
          </w:p>
        </w:tc>
        <w:tc>
          <w:tcPr>
            <w:tcW w:w="1179" w:type="dxa"/>
            <w:gridSpan w:val="2"/>
            <w:vAlign w:val="top"/>
          </w:tcPr>
          <w:p w14:paraId="011050E0">
            <w:pPr>
              <w:pStyle w:val="594"/>
            </w:pPr>
          </w:p>
        </w:tc>
        <w:tc>
          <w:tcPr>
            <w:tcW w:w="1060" w:type="dxa"/>
            <w:vAlign w:val="top"/>
          </w:tcPr>
          <w:p w14:paraId="0DCA802F">
            <w:pPr>
              <w:pStyle w:val="594"/>
            </w:pPr>
          </w:p>
        </w:tc>
        <w:tc>
          <w:tcPr>
            <w:tcW w:w="1210" w:type="dxa"/>
            <w:gridSpan w:val="2"/>
            <w:vAlign w:val="top"/>
          </w:tcPr>
          <w:p w14:paraId="76846C8C">
            <w:pPr>
              <w:pStyle w:val="594"/>
            </w:pPr>
          </w:p>
        </w:tc>
        <w:tc>
          <w:tcPr>
            <w:tcW w:w="1300" w:type="dxa"/>
            <w:vAlign w:val="top"/>
          </w:tcPr>
          <w:p w14:paraId="54E48E8B">
            <w:pPr>
              <w:pStyle w:val="594"/>
            </w:pPr>
          </w:p>
        </w:tc>
        <w:tc>
          <w:tcPr>
            <w:tcW w:w="1316" w:type="dxa"/>
            <w:tcBorders>
              <w:right w:val="single" w:color="000000" w:sz="10" w:space="0"/>
            </w:tcBorders>
            <w:vAlign w:val="top"/>
          </w:tcPr>
          <w:p w14:paraId="7EBDFE46">
            <w:pPr>
              <w:pStyle w:val="594"/>
            </w:pPr>
          </w:p>
        </w:tc>
      </w:tr>
      <w:tr w14:paraId="4381C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jc w:val="center"/>
        </w:trPr>
        <w:tc>
          <w:tcPr>
            <w:tcW w:w="778" w:type="dxa"/>
            <w:tcBorders>
              <w:left w:val="single" w:color="000000" w:sz="10" w:space="0"/>
            </w:tcBorders>
            <w:vAlign w:val="top"/>
          </w:tcPr>
          <w:p w14:paraId="6DAEE275">
            <w:pPr>
              <w:pStyle w:val="594"/>
            </w:pPr>
          </w:p>
        </w:tc>
        <w:tc>
          <w:tcPr>
            <w:tcW w:w="2882" w:type="dxa"/>
            <w:vAlign w:val="top"/>
          </w:tcPr>
          <w:p w14:paraId="20AA469F">
            <w:pPr>
              <w:pStyle w:val="594"/>
            </w:pPr>
          </w:p>
        </w:tc>
        <w:tc>
          <w:tcPr>
            <w:tcW w:w="686" w:type="dxa"/>
            <w:vAlign w:val="top"/>
          </w:tcPr>
          <w:p w14:paraId="48460055">
            <w:pPr>
              <w:pStyle w:val="594"/>
            </w:pPr>
          </w:p>
        </w:tc>
        <w:tc>
          <w:tcPr>
            <w:tcW w:w="1179" w:type="dxa"/>
            <w:gridSpan w:val="2"/>
            <w:vAlign w:val="top"/>
          </w:tcPr>
          <w:p w14:paraId="6A292C14">
            <w:pPr>
              <w:pStyle w:val="594"/>
            </w:pPr>
          </w:p>
        </w:tc>
        <w:tc>
          <w:tcPr>
            <w:tcW w:w="1060" w:type="dxa"/>
            <w:vAlign w:val="top"/>
          </w:tcPr>
          <w:p w14:paraId="4A36970C">
            <w:pPr>
              <w:pStyle w:val="594"/>
            </w:pPr>
          </w:p>
        </w:tc>
        <w:tc>
          <w:tcPr>
            <w:tcW w:w="1210" w:type="dxa"/>
            <w:gridSpan w:val="2"/>
            <w:vAlign w:val="top"/>
          </w:tcPr>
          <w:p w14:paraId="463BE1E5">
            <w:pPr>
              <w:pStyle w:val="594"/>
            </w:pPr>
          </w:p>
        </w:tc>
        <w:tc>
          <w:tcPr>
            <w:tcW w:w="1300" w:type="dxa"/>
            <w:vAlign w:val="top"/>
          </w:tcPr>
          <w:p w14:paraId="00173EE9">
            <w:pPr>
              <w:pStyle w:val="594"/>
            </w:pPr>
          </w:p>
        </w:tc>
        <w:tc>
          <w:tcPr>
            <w:tcW w:w="1316" w:type="dxa"/>
            <w:tcBorders>
              <w:right w:val="single" w:color="000000" w:sz="10" w:space="0"/>
            </w:tcBorders>
            <w:vAlign w:val="top"/>
          </w:tcPr>
          <w:p w14:paraId="45762AAB">
            <w:pPr>
              <w:pStyle w:val="594"/>
            </w:pPr>
          </w:p>
        </w:tc>
      </w:tr>
      <w:tr w14:paraId="0C350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778" w:type="dxa"/>
            <w:tcBorders>
              <w:left w:val="single" w:color="000000" w:sz="10" w:space="0"/>
            </w:tcBorders>
            <w:vAlign w:val="top"/>
          </w:tcPr>
          <w:p w14:paraId="4A8A8C55">
            <w:pPr>
              <w:pStyle w:val="594"/>
            </w:pPr>
          </w:p>
        </w:tc>
        <w:tc>
          <w:tcPr>
            <w:tcW w:w="2882" w:type="dxa"/>
            <w:vAlign w:val="top"/>
          </w:tcPr>
          <w:p w14:paraId="51B78E4C">
            <w:pPr>
              <w:pStyle w:val="594"/>
            </w:pPr>
          </w:p>
        </w:tc>
        <w:tc>
          <w:tcPr>
            <w:tcW w:w="686" w:type="dxa"/>
            <w:vAlign w:val="top"/>
          </w:tcPr>
          <w:p w14:paraId="52D0E8E1">
            <w:pPr>
              <w:pStyle w:val="594"/>
            </w:pPr>
          </w:p>
        </w:tc>
        <w:tc>
          <w:tcPr>
            <w:tcW w:w="1179" w:type="dxa"/>
            <w:gridSpan w:val="2"/>
            <w:vAlign w:val="top"/>
          </w:tcPr>
          <w:p w14:paraId="03BD0670">
            <w:pPr>
              <w:pStyle w:val="594"/>
            </w:pPr>
          </w:p>
        </w:tc>
        <w:tc>
          <w:tcPr>
            <w:tcW w:w="1060" w:type="dxa"/>
            <w:vAlign w:val="top"/>
          </w:tcPr>
          <w:p w14:paraId="763019E0">
            <w:pPr>
              <w:pStyle w:val="594"/>
            </w:pPr>
          </w:p>
        </w:tc>
        <w:tc>
          <w:tcPr>
            <w:tcW w:w="1210" w:type="dxa"/>
            <w:gridSpan w:val="2"/>
            <w:vAlign w:val="top"/>
          </w:tcPr>
          <w:p w14:paraId="0E524013">
            <w:pPr>
              <w:pStyle w:val="594"/>
            </w:pPr>
          </w:p>
        </w:tc>
        <w:tc>
          <w:tcPr>
            <w:tcW w:w="1300" w:type="dxa"/>
            <w:vAlign w:val="top"/>
          </w:tcPr>
          <w:p w14:paraId="76521BC3">
            <w:pPr>
              <w:pStyle w:val="594"/>
            </w:pPr>
          </w:p>
        </w:tc>
        <w:tc>
          <w:tcPr>
            <w:tcW w:w="1316" w:type="dxa"/>
            <w:tcBorders>
              <w:right w:val="single" w:color="000000" w:sz="10" w:space="0"/>
            </w:tcBorders>
            <w:vAlign w:val="top"/>
          </w:tcPr>
          <w:p w14:paraId="15730BA8">
            <w:pPr>
              <w:pStyle w:val="594"/>
            </w:pPr>
          </w:p>
        </w:tc>
      </w:tr>
      <w:tr w14:paraId="5B536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778" w:type="dxa"/>
            <w:tcBorders>
              <w:left w:val="single" w:color="000000" w:sz="10" w:space="0"/>
            </w:tcBorders>
            <w:vAlign w:val="top"/>
          </w:tcPr>
          <w:p w14:paraId="001586BB">
            <w:pPr>
              <w:pStyle w:val="594"/>
            </w:pPr>
          </w:p>
        </w:tc>
        <w:tc>
          <w:tcPr>
            <w:tcW w:w="2882" w:type="dxa"/>
            <w:vAlign w:val="top"/>
          </w:tcPr>
          <w:p w14:paraId="11DEB854">
            <w:pPr>
              <w:pStyle w:val="594"/>
            </w:pPr>
          </w:p>
        </w:tc>
        <w:tc>
          <w:tcPr>
            <w:tcW w:w="686" w:type="dxa"/>
            <w:vAlign w:val="top"/>
          </w:tcPr>
          <w:p w14:paraId="03361F6A">
            <w:pPr>
              <w:pStyle w:val="594"/>
            </w:pPr>
          </w:p>
        </w:tc>
        <w:tc>
          <w:tcPr>
            <w:tcW w:w="1179" w:type="dxa"/>
            <w:gridSpan w:val="2"/>
            <w:vAlign w:val="top"/>
          </w:tcPr>
          <w:p w14:paraId="484621DF">
            <w:pPr>
              <w:pStyle w:val="594"/>
            </w:pPr>
          </w:p>
        </w:tc>
        <w:tc>
          <w:tcPr>
            <w:tcW w:w="1060" w:type="dxa"/>
            <w:vAlign w:val="top"/>
          </w:tcPr>
          <w:p w14:paraId="145CDF58">
            <w:pPr>
              <w:pStyle w:val="594"/>
            </w:pPr>
          </w:p>
        </w:tc>
        <w:tc>
          <w:tcPr>
            <w:tcW w:w="1210" w:type="dxa"/>
            <w:gridSpan w:val="2"/>
            <w:vAlign w:val="top"/>
          </w:tcPr>
          <w:p w14:paraId="32AA615E">
            <w:pPr>
              <w:pStyle w:val="594"/>
            </w:pPr>
          </w:p>
        </w:tc>
        <w:tc>
          <w:tcPr>
            <w:tcW w:w="1300" w:type="dxa"/>
            <w:vAlign w:val="top"/>
          </w:tcPr>
          <w:p w14:paraId="08BFCF18">
            <w:pPr>
              <w:pStyle w:val="594"/>
            </w:pPr>
          </w:p>
        </w:tc>
        <w:tc>
          <w:tcPr>
            <w:tcW w:w="1316" w:type="dxa"/>
            <w:tcBorders>
              <w:right w:val="single" w:color="000000" w:sz="10" w:space="0"/>
            </w:tcBorders>
            <w:vAlign w:val="top"/>
          </w:tcPr>
          <w:p w14:paraId="50FBC0AF">
            <w:pPr>
              <w:pStyle w:val="594"/>
            </w:pPr>
          </w:p>
        </w:tc>
      </w:tr>
      <w:tr w14:paraId="465B6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778" w:type="dxa"/>
            <w:tcBorders>
              <w:left w:val="single" w:color="000000" w:sz="10" w:space="0"/>
            </w:tcBorders>
            <w:vAlign w:val="top"/>
          </w:tcPr>
          <w:p w14:paraId="53BA59BF">
            <w:pPr>
              <w:pStyle w:val="594"/>
            </w:pPr>
          </w:p>
        </w:tc>
        <w:tc>
          <w:tcPr>
            <w:tcW w:w="2882" w:type="dxa"/>
            <w:vAlign w:val="top"/>
          </w:tcPr>
          <w:p w14:paraId="3E51392C">
            <w:pPr>
              <w:pStyle w:val="594"/>
            </w:pPr>
          </w:p>
        </w:tc>
        <w:tc>
          <w:tcPr>
            <w:tcW w:w="686" w:type="dxa"/>
            <w:vAlign w:val="top"/>
          </w:tcPr>
          <w:p w14:paraId="3729A05C">
            <w:pPr>
              <w:pStyle w:val="594"/>
            </w:pPr>
          </w:p>
        </w:tc>
        <w:tc>
          <w:tcPr>
            <w:tcW w:w="1179" w:type="dxa"/>
            <w:gridSpan w:val="2"/>
            <w:vAlign w:val="top"/>
          </w:tcPr>
          <w:p w14:paraId="509102F8">
            <w:pPr>
              <w:pStyle w:val="594"/>
            </w:pPr>
          </w:p>
        </w:tc>
        <w:tc>
          <w:tcPr>
            <w:tcW w:w="1060" w:type="dxa"/>
            <w:vAlign w:val="top"/>
          </w:tcPr>
          <w:p w14:paraId="2CFCD9E6">
            <w:pPr>
              <w:pStyle w:val="594"/>
            </w:pPr>
          </w:p>
        </w:tc>
        <w:tc>
          <w:tcPr>
            <w:tcW w:w="1210" w:type="dxa"/>
            <w:gridSpan w:val="2"/>
            <w:vAlign w:val="top"/>
          </w:tcPr>
          <w:p w14:paraId="7CA14EB4">
            <w:pPr>
              <w:pStyle w:val="594"/>
            </w:pPr>
          </w:p>
        </w:tc>
        <w:tc>
          <w:tcPr>
            <w:tcW w:w="1300" w:type="dxa"/>
            <w:vAlign w:val="top"/>
          </w:tcPr>
          <w:p w14:paraId="6572B8E2">
            <w:pPr>
              <w:pStyle w:val="594"/>
            </w:pPr>
          </w:p>
        </w:tc>
        <w:tc>
          <w:tcPr>
            <w:tcW w:w="1316" w:type="dxa"/>
            <w:tcBorders>
              <w:right w:val="single" w:color="000000" w:sz="10" w:space="0"/>
            </w:tcBorders>
            <w:vAlign w:val="top"/>
          </w:tcPr>
          <w:p w14:paraId="049E898E">
            <w:pPr>
              <w:pStyle w:val="594"/>
            </w:pPr>
          </w:p>
        </w:tc>
      </w:tr>
      <w:tr w14:paraId="20238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778" w:type="dxa"/>
            <w:tcBorders>
              <w:left w:val="single" w:color="000000" w:sz="10" w:space="0"/>
            </w:tcBorders>
            <w:vAlign w:val="top"/>
          </w:tcPr>
          <w:p w14:paraId="5F2AE351">
            <w:pPr>
              <w:pStyle w:val="594"/>
            </w:pPr>
          </w:p>
        </w:tc>
        <w:tc>
          <w:tcPr>
            <w:tcW w:w="2882" w:type="dxa"/>
            <w:vAlign w:val="top"/>
          </w:tcPr>
          <w:p w14:paraId="377FA247">
            <w:pPr>
              <w:pStyle w:val="594"/>
            </w:pPr>
          </w:p>
        </w:tc>
        <w:tc>
          <w:tcPr>
            <w:tcW w:w="686" w:type="dxa"/>
            <w:vAlign w:val="top"/>
          </w:tcPr>
          <w:p w14:paraId="3F43519B">
            <w:pPr>
              <w:pStyle w:val="594"/>
            </w:pPr>
          </w:p>
        </w:tc>
        <w:tc>
          <w:tcPr>
            <w:tcW w:w="1179" w:type="dxa"/>
            <w:gridSpan w:val="2"/>
            <w:vAlign w:val="top"/>
          </w:tcPr>
          <w:p w14:paraId="3EEEE852">
            <w:pPr>
              <w:pStyle w:val="594"/>
            </w:pPr>
          </w:p>
        </w:tc>
        <w:tc>
          <w:tcPr>
            <w:tcW w:w="1060" w:type="dxa"/>
            <w:vAlign w:val="top"/>
          </w:tcPr>
          <w:p w14:paraId="6856D151">
            <w:pPr>
              <w:pStyle w:val="594"/>
            </w:pPr>
          </w:p>
        </w:tc>
        <w:tc>
          <w:tcPr>
            <w:tcW w:w="1210" w:type="dxa"/>
            <w:gridSpan w:val="2"/>
            <w:vAlign w:val="top"/>
          </w:tcPr>
          <w:p w14:paraId="0F726A09">
            <w:pPr>
              <w:pStyle w:val="594"/>
            </w:pPr>
          </w:p>
        </w:tc>
        <w:tc>
          <w:tcPr>
            <w:tcW w:w="1300" w:type="dxa"/>
            <w:vAlign w:val="top"/>
          </w:tcPr>
          <w:p w14:paraId="620264E2">
            <w:pPr>
              <w:pStyle w:val="594"/>
            </w:pPr>
          </w:p>
        </w:tc>
        <w:tc>
          <w:tcPr>
            <w:tcW w:w="1316" w:type="dxa"/>
            <w:tcBorders>
              <w:right w:val="single" w:color="000000" w:sz="10" w:space="0"/>
            </w:tcBorders>
            <w:vAlign w:val="top"/>
          </w:tcPr>
          <w:p w14:paraId="2A25B49E">
            <w:pPr>
              <w:pStyle w:val="594"/>
            </w:pPr>
          </w:p>
        </w:tc>
      </w:tr>
      <w:tr w14:paraId="10D08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778" w:type="dxa"/>
            <w:tcBorders>
              <w:left w:val="single" w:color="000000" w:sz="10" w:space="0"/>
            </w:tcBorders>
            <w:vAlign w:val="top"/>
          </w:tcPr>
          <w:p w14:paraId="6C46EBBE">
            <w:pPr>
              <w:pStyle w:val="594"/>
            </w:pPr>
          </w:p>
        </w:tc>
        <w:tc>
          <w:tcPr>
            <w:tcW w:w="2882" w:type="dxa"/>
            <w:vAlign w:val="top"/>
          </w:tcPr>
          <w:p w14:paraId="273CD631">
            <w:pPr>
              <w:pStyle w:val="594"/>
            </w:pPr>
          </w:p>
        </w:tc>
        <w:tc>
          <w:tcPr>
            <w:tcW w:w="686" w:type="dxa"/>
            <w:vAlign w:val="top"/>
          </w:tcPr>
          <w:p w14:paraId="298CDFAC">
            <w:pPr>
              <w:pStyle w:val="594"/>
            </w:pPr>
          </w:p>
        </w:tc>
        <w:tc>
          <w:tcPr>
            <w:tcW w:w="1179" w:type="dxa"/>
            <w:gridSpan w:val="2"/>
            <w:vAlign w:val="top"/>
          </w:tcPr>
          <w:p w14:paraId="4F1A97DE">
            <w:pPr>
              <w:pStyle w:val="594"/>
            </w:pPr>
          </w:p>
        </w:tc>
        <w:tc>
          <w:tcPr>
            <w:tcW w:w="1060" w:type="dxa"/>
            <w:vAlign w:val="top"/>
          </w:tcPr>
          <w:p w14:paraId="1176BFEF">
            <w:pPr>
              <w:pStyle w:val="594"/>
            </w:pPr>
          </w:p>
        </w:tc>
        <w:tc>
          <w:tcPr>
            <w:tcW w:w="1210" w:type="dxa"/>
            <w:gridSpan w:val="2"/>
            <w:vAlign w:val="top"/>
          </w:tcPr>
          <w:p w14:paraId="10887AE2">
            <w:pPr>
              <w:pStyle w:val="594"/>
            </w:pPr>
          </w:p>
        </w:tc>
        <w:tc>
          <w:tcPr>
            <w:tcW w:w="1300" w:type="dxa"/>
            <w:vAlign w:val="top"/>
          </w:tcPr>
          <w:p w14:paraId="1C3728E4">
            <w:pPr>
              <w:pStyle w:val="594"/>
            </w:pPr>
          </w:p>
        </w:tc>
        <w:tc>
          <w:tcPr>
            <w:tcW w:w="1316" w:type="dxa"/>
            <w:tcBorders>
              <w:right w:val="single" w:color="000000" w:sz="10" w:space="0"/>
            </w:tcBorders>
            <w:vAlign w:val="top"/>
          </w:tcPr>
          <w:p w14:paraId="5761D813">
            <w:pPr>
              <w:pStyle w:val="594"/>
            </w:pPr>
          </w:p>
        </w:tc>
      </w:tr>
      <w:tr w14:paraId="2A9D6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7795" w:type="dxa"/>
            <w:gridSpan w:val="8"/>
            <w:tcBorders>
              <w:left w:val="single" w:color="000000" w:sz="10" w:space="0"/>
              <w:bottom w:val="single" w:color="000000" w:sz="10" w:space="0"/>
            </w:tcBorders>
            <w:vAlign w:val="top"/>
          </w:tcPr>
          <w:p w14:paraId="2FF3F78C">
            <w:pPr>
              <w:spacing w:before="96" w:line="231" w:lineRule="auto"/>
              <w:ind w:left="3713"/>
              <w:rPr>
                <w:rFonts w:ascii="宋体" w:hAnsi="宋体" w:eastAsia="宋体" w:cs="宋体"/>
                <w:sz w:val="19"/>
                <w:szCs w:val="19"/>
              </w:rPr>
            </w:pPr>
            <w:r>
              <w:rPr>
                <w:rFonts w:ascii="宋体" w:hAnsi="宋体" w:eastAsia="宋体" w:cs="宋体"/>
                <w:spacing w:val="2"/>
                <w:sz w:val="19"/>
                <w:szCs w:val="19"/>
              </w:rPr>
              <w:t>总计</w:t>
            </w:r>
          </w:p>
        </w:tc>
        <w:tc>
          <w:tcPr>
            <w:tcW w:w="1300" w:type="dxa"/>
            <w:tcBorders>
              <w:bottom w:val="single" w:color="000000" w:sz="10" w:space="0"/>
            </w:tcBorders>
            <w:vAlign w:val="top"/>
          </w:tcPr>
          <w:p w14:paraId="16CC247D">
            <w:pPr>
              <w:pStyle w:val="594"/>
            </w:pPr>
          </w:p>
        </w:tc>
        <w:tc>
          <w:tcPr>
            <w:tcW w:w="1316" w:type="dxa"/>
            <w:tcBorders>
              <w:bottom w:val="single" w:color="000000" w:sz="10" w:space="0"/>
              <w:right w:val="single" w:color="000000" w:sz="10" w:space="0"/>
            </w:tcBorders>
            <w:vAlign w:val="top"/>
          </w:tcPr>
          <w:p w14:paraId="072CF015">
            <w:pPr>
              <w:pStyle w:val="594"/>
            </w:pPr>
          </w:p>
        </w:tc>
      </w:tr>
    </w:tbl>
    <w:p w14:paraId="043A6315">
      <w:pPr>
        <w:spacing w:before="208"/>
      </w:pPr>
    </w:p>
    <w:p w14:paraId="57A3EEE0">
      <w:pPr>
        <w:spacing w:line="115" w:lineRule="exact"/>
      </w:pPr>
    </w:p>
    <w:tbl>
      <w:tblPr>
        <w:tblStyle w:val="333"/>
        <w:tblW w:w="10401"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7618"/>
        <w:gridCol w:w="2783"/>
      </w:tblGrid>
      <w:tr w14:paraId="26E63EA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9" w:hRule="atLeast"/>
        </w:trPr>
        <w:tc>
          <w:tcPr>
            <w:tcW w:w="7618" w:type="dxa"/>
            <w:tcBorders>
              <w:bottom w:val="single" w:color="FFFFFF" w:sz="2" w:space="0"/>
              <w:right w:val="single" w:color="FFFFFF" w:sz="4" w:space="0"/>
            </w:tcBorders>
            <w:vAlign w:val="top"/>
          </w:tcPr>
          <w:p w14:paraId="5AB47C28">
            <w:pPr>
              <w:pStyle w:val="594"/>
            </w:pPr>
            <w:r>
              <w:drawing>
                <wp:anchor distT="0" distB="0" distL="0" distR="0" simplePos="0" relativeHeight="251668480" behindDoc="1" locked="0" layoutInCell="1" allowOverlap="1">
                  <wp:simplePos x="0" y="0"/>
                  <wp:positionH relativeFrom="rightMargin">
                    <wp:posOffset>-47625</wp:posOffset>
                  </wp:positionH>
                  <wp:positionV relativeFrom="topMargin">
                    <wp:posOffset>0</wp:posOffset>
                  </wp:positionV>
                  <wp:extent cx="9525" cy="237490"/>
                  <wp:effectExtent l="0" t="0" r="9525" b="1016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6"/>
                          <a:stretch>
                            <a:fillRect/>
                          </a:stretch>
                        </pic:blipFill>
                        <pic:spPr>
                          <a:xfrm>
                            <a:off x="0" y="0"/>
                            <a:ext cx="9509" cy="237743"/>
                          </a:xfrm>
                          <a:prstGeom prst="rect">
                            <a:avLst/>
                          </a:prstGeom>
                        </pic:spPr>
                      </pic:pic>
                    </a:graphicData>
                  </a:graphic>
                </wp:anchor>
              </w:drawing>
            </w:r>
          </w:p>
        </w:tc>
        <w:tc>
          <w:tcPr>
            <w:tcW w:w="2783" w:type="dxa"/>
            <w:tcBorders>
              <w:left w:val="single" w:color="FFFFFF" w:sz="4" w:space="0"/>
              <w:bottom w:val="single" w:color="FFFFFF" w:sz="2" w:space="0"/>
              <w:right w:val="single" w:color="FFFFFF" w:sz="2" w:space="0"/>
            </w:tcBorders>
            <w:vAlign w:val="top"/>
          </w:tcPr>
          <w:p w14:paraId="58F42D1B">
            <w:pPr>
              <w:spacing w:before="164" w:line="211" w:lineRule="auto"/>
              <w:ind w:right="22"/>
              <w:jc w:val="right"/>
              <w:rPr>
                <w:rFonts w:ascii="宋体" w:hAnsi="宋体" w:eastAsia="宋体" w:cs="宋体"/>
                <w:sz w:val="17"/>
                <w:szCs w:val="17"/>
              </w:rPr>
            </w:pPr>
            <w:r>
              <w:rPr>
                <w:rFonts w:ascii="宋体" w:hAnsi="宋体" w:eastAsia="宋体" w:cs="宋体"/>
                <w:spacing w:val="-1"/>
                <w:sz w:val="17"/>
                <w:szCs w:val="17"/>
              </w:rPr>
              <w:t>表</w:t>
            </w:r>
            <w:r>
              <w:rPr>
                <w:rFonts w:ascii="宋体" w:hAnsi="宋体" w:eastAsia="宋体" w:cs="宋体"/>
                <w:spacing w:val="-5"/>
                <w:w w:val="57"/>
                <w:sz w:val="17"/>
                <w:szCs w:val="17"/>
              </w:rPr>
              <w:t>—</w:t>
            </w:r>
            <w:r>
              <w:rPr>
                <w:rFonts w:ascii="宋体" w:hAnsi="宋体" w:eastAsia="宋体" w:cs="宋体"/>
                <w:spacing w:val="22"/>
                <w:sz w:val="17"/>
                <w:szCs w:val="17"/>
              </w:rPr>
              <w:t xml:space="preserve"> </w:t>
            </w:r>
            <w:r>
              <w:rPr>
                <w:rFonts w:ascii="宋体" w:hAnsi="宋体" w:eastAsia="宋体" w:cs="宋体"/>
                <w:spacing w:val="-1"/>
                <w:sz w:val="17"/>
                <w:szCs w:val="17"/>
              </w:rPr>
              <w:t>12</w:t>
            </w:r>
            <w:r>
              <w:rPr>
                <w:rFonts w:ascii="宋体" w:hAnsi="宋体" w:eastAsia="宋体" w:cs="宋体"/>
                <w:spacing w:val="-5"/>
                <w:w w:val="57"/>
                <w:sz w:val="17"/>
                <w:szCs w:val="17"/>
              </w:rPr>
              <w:t>—</w:t>
            </w:r>
            <w:r>
              <w:rPr>
                <w:rFonts w:ascii="宋体" w:hAnsi="宋体" w:eastAsia="宋体" w:cs="宋体"/>
                <w:spacing w:val="5"/>
                <w:sz w:val="17"/>
                <w:szCs w:val="17"/>
              </w:rPr>
              <w:t xml:space="preserve"> </w:t>
            </w:r>
            <w:r>
              <w:rPr>
                <w:rFonts w:ascii="宋体" w:hAnsi="宋体" w:eastAsia="宋体" w:cs="宋体"/>
                <w:spacing w:val="-1"/>
                <w:sz w:val="17"/>
                <w:szCs w:val="17"/>
              </w:rPr>
              <w:t>4</w:t>
            </w:r>
          </w:p>
        </w:tc>
      </w:tr>
    </w:tbl>
    <w:p w14:paraId="1148D8E4">
      <w:pPr>
        <w:pStyle w:val="14"/>
        <w:rPr>
          <w:sz w:val="21"/>
        </w:rPr>
      </w:pPr>
    </w:p>
    <w:p w14:paraId="2872AF29">
      <w:pPr>
        <w:rPr>
          <w:sz w:val="21"/>
          <w:szCs w:val="21"/>
        </w:rPr>
        <w:sectPr>
          <w:pgSz w:w="11960" w:h="16880"/>
          <w:pgMar w:top="400" w:right="790" w:bottom="0" w:left="733" w:header="0" w:footer="0" w:gutter="0"/>
          <w:cols w:space="720" w:num="1"/>
        </w:sectPr>
      </w:pPr>
    </w:p>
    <w:p w14:paraId="75E4EA0D">
      <w:pPr>
        <w:spacing w:before="208"/>
      </w:pPr>
    </w:p>
    <w:tbl>
      <w:tblPr>
        <w:tblStyle w:val="333"/>
        <w:tblW w:w="104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7"/>
        <w:gridCol w:w="2733"/>
        <w:gridCol w:w="1046"/>
        <w:gridCol w:w="1806"/>
        <w:gridCol w:w="1092"/>
        <w:gridCol w:w="387"/>
        <w:gridCol w:w="955"/>
        <w:gridCol w:w="1555"/>
      </w:tblGrid>
      <w:tr w14:paraId="1F611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10411" w:type="dxa"/>
            <w:gridSpan w:val="8"/>
            <w:tcBorders>
              <w:top w:val="nil"/>
              <w:left w:val="nil"/>
              <w:bottom w:val="single" w:color="FFFFFF" w:sz="4" w:space="0"/>
              <w:right w:val="single" w:color="FFFFFF" w:sz="2" w:space="0"/>
            </w:tcBorders>
            <w:vAlign w:val="top"/>
          </w:tcPr>
          <w:p w14:paraId="5ABFE7CC">
            <w:pPr>
              <w:spacing w:before="135" w:line="223" w:lineRule="auto"/>
              <w:ind w:left="2475"/>
              <w:outlineLvl w:val="0"/>
              <w:rPr>
                <w:rFonts w:ascii="宋体" w:hAnsi="宋体" w:eastAsia="宋体" w:cs="宋体"/>
                <w:sz w:val="39"/>
                <w:szCs w:val="39"/>
              </w:rPr>
            </w:pPr>
            <w:r>
              <w:rPr>
                <w:rFonts w:ascii="宋体" w:hAnsi="宋体" w:eastAsia="宋体" w:cs="宋体"/>
                <w:spacing w:val="26"/>
                <w:sz w:val="39"/>
                <w:szCs w:val="39"/>
              </w:rPr>
              <w:t>规费、税金项目清单与计价表</w:t>
            </w:r>
          </w:p>
        </w:tc>
      </w:tr>
      <w:tr w14:paraId="6634B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4616" w:type="dxa"/>
            <w:gridSpan w:val="3"/>
            <w:tcBorders>
              <w:top w:val="single" w:color="FFFFFF" w:sz="4" w:space="0"/>
              <w:left w:val="nil"/>
              <w:bottom w:val="single" w:color="000000" w:sz="10" w:space="0"/>
              <w:right w:val="single" w:color="FFFFFF" w:sz="4" w:space="0"/>
            </w:tcBorders>
            <w:vAlign w:val="top"/>
          </w:tcPr>
          <w:p w14:paraId="4E812C8B">
            <w:pPr>
              <w:pStyle w:val="594"/>
              <w:spacing w:line="284" w:lineRule="auto"/>
            </w:pPr>
          </w:p>
          <w:p w14:paraId="4C59BBD2">
            <w:pPr>
              <w:spacing w:before="62" w:line="205" w:lineRule="auto"/>
              <w:ind w:left="28"/>
              <w:rPr>
                <w:rFonts w:ascii="宋体" w:hAnsi="宋体" w:eastAsia="宋体" w:cs="宋体"/>
                <w:sz w:val="19"/>
                <w:szCs w:val="19"/>
              </w:rPr>
            </w:pPr>
            <w:r>
              <w:rPr>
                <w:rFonts w:ascii="宋体" w:hAnsi="宋体" w:eastAsia="宋体" w:cs="宋体"/>
                <w:spacing w:val="4"/>
                <w:sz w:val="19"/>
                <w:szCs w:val="19"/>
              </w:rPr>
              <w:t>工程名称：沭阳县耿圩镇污水处理厂提质提标项目</w:t>
            </w:r>
          </w:p>
        </w:tc>
        <w:tc>
          <w:tcPr>
            <w:tcW w:w="2898" w:type="dxa"/>
            <w:gridSpan w:val="2"/>
            <w:tcBorders>
              <w:top w:val="single" w:color="FFFFFF" w:sz="4" w:space="0"/>
              <w:left w:val="single" w:color="FFFFFF" w:sz="4" w:space="0"/>
              <w:bottom w:val="single" w:color="000000" w:sz="10" w:space="0"/>
              <w:right w:val="single" w:color="FFFFFF" w:sz="4" w:space="0"/>
            </w:tcBorders>
            <w:vAlign w:val="top"/>
          </w:tcPr>
          <w:p w14:paraId="59FB9E38">
            <w:pPr>
              <w:spacing w:before="153" w:line="197" w:lineRule="auto"/>
              <w:ind w:left="869" w:right="75" w:hanging="778"/>
              <w:rPr>
                <w:rFonts w:ascii="宋体" w:hAnsi="宋体" w:eastAsia="宋体" w:cs="宋体"/>
                <w:sz w:val="19"/>
                <w:szCs w:val="19"/>
              </w:rPr>
            </w:pPr>
            <w:r>
              <w:rPr>
                <w:rFonts w:ascii="宋体" w:hAnsi="宋体" w:eastAsia="宋体" w:cs="宋体"/>
                <w:spacing w:val="4"/>
                <w:sz w:val="19"/>
                <w:szCs w:val="19"/>
              </w:rPr>
              <w:t>标段：沭阳县耿圩镇污水处理厂 提质提标项目</w:t>
            </w:r>
          </w:p>
        </w:tc>
        <w:tc>
          <w:tcPr>
            <w:tcW w:w="2897" w:type="dxa"/>
            <w:gridSpan w:val="3"/>
            <w:tcBorders>
              <w:top w:val="single" w:color="FFFFFF" w:sz="4" w:space="0"/>
              <w:left w:val="single" w:color="FFFFFF" w:sz="4" w:space="0"/>
              <w:bottom w:val="single" w:color="000000" w:sz="10" w:space="0"/>
              <w:right w:val="single" w:color="FFFFFF" w:sz="2" w:space="0"/>
            </w:tcBorders>
            <w:vAlign w:val="top"/>
          </w:tcPr>
          <w:p w14:paraId="478A1C40">
            <w:pPr>
              <w:pStyle w:val="594"/>
              <w:spacing w:line="284" w:lineRule="auto"/>
            </w:pPr>
          </w:p>
          <w:p w14:paraId="75C69D09">
            <w:pPr>
              <w:spacing w:before="62" w:line="205" w:lineRule="auto"/>
              <w:ind w:left="1234"/>
              <w:rPr>
                <w:rFonts w:ascii="宋体" w:hAnsi="宋体" w:eastAsia="宋体" w:cs="宋体"/>
                <w:sz w:val="19"/>
                <w:szCs w:val="19"/>
              </w:rPr>
            </w:pPr>
            <w:r>
              <w:rPr>
                <w:rFonts w:ascii="宋体" w:hAnsi="宋体" w:eastAsia="宋体" w:cs="宋体"/>
                <w:spacing w:val="-6"/>
                <w:sz w:val="19"/>
                <w:szCs w:val="19"/>
              </w:rPr>
              <w:t>第</w:t>
            </w:r>
            <w:r>
              <w:rPr>
                <w:rFonts w:ascii="宋体" w:hAnsi="宋体" w:eastAsia="宋体" w:cs="宋体"/>
                <w:spacing w:val="27"/>
                <w:sz w:val="19"/>
                <w:szCs w:val="19"/>
              </w:rPr>
              <w:t xml:space="preserve"> </w:t>
            </w:r>
            <w:r>
              <w:rPr>
                <w:rFonts w:ascii="宋体" w:hAnsi="宋体" w:eastAsia="宋体" w:cs="宋体"/>
                <w:spacing w:val="-6"/>
                <w:sz w:val="19"/>
                <w:szCs w:val="19"/>
              </w:rPr>
              <w:t>1</w:t>
            </w:r>
            <w:r>
              <w:rPr>
                <w:rFonts w:ascii="宋体" w:hAnsi="宋体" w:eastAsia="宋体" w:cs="宋体"/>
                <w:spacing w:val="27"/>
                <w:sz w:val="19"/>
                <w:szCs w:val="19"/>
              </w:rPr>
              <w:t xml:space="preserve"> </w:t>
            </w:r>
            <w:r>
              <w:rPr>
                <w:rFonts w:ascii="宋体" w:hAnsi="宋体" w:eastAsia="宋体" w:cs="宋体"/>
                <w:spacing w:val="-6"/>
                <w:sz w:val="19"/>
                <w:szCs w:val="19"/>
              </w:rPr>
              <w:t>页</w:t>
            </w:r>
            <w:r>
              <w:rPr>
                <w:rFonts w:ascii="宋体" w:hAnsi="宋体" w:eastAsia="宋体" w:cs="宋体"/>
                <w:spacing w:val="10"/>
                <w:sz w:val="19"/>
                <w:szCs w:val="19"/>
              </w:rPr>
              <w:t xml:space="preserve">  </w:t>
            </w:r>
            <w:r>
              <w:rPr>
                <w:rFonts w:ascii="宋体" w:hAnsi="宋体" w:eastAsia="宋体" w:cs="宋体"/>
                <w:spacing w:val="-6"/>
                <w:sz w:val="19"/>
                <w:szCs w:val="19"/>
              </w:rPr>
              <w:t>共</w:t>
            </w:r>
            <w:r>
              <w:rPr>
                <w:rFonts w:ascii="宋体" w:hAnsi="宋体" w:eastAsia="宋体" w:cs="宋体"/>
                <w:spacing w:val="27"/>
                <w:sz w:val="19"/>
                <w:szCs w:val="19"/>
              </w:rPr>
              <w:t xml:space="preserve"> </w:t>
            </w:r>
            <w:r>
              <w:rPr>
                <w:rFonts w:ascii="宋体" w:hAnsi="宋体" w:eastAsia="宋体" w:cs="宋体"/>
                <w:spacing w:val="-6"/>
                <w:sz w:val="19"/>
                <w:szCs w:val="19"/>
              </w:rPr>
              <w:t>1</w:t>
            </w:r>
            <w:r>
              <w:rPr>
                <w:rFonts w:ascii="宋体" w:hAnsi="宋体" w:eastAsia="宋体" w:cs="宋体"/>
                <w:spacing w:val="26"/>
                <w:sz w:val="19"/>
                <w:szCs w:val="19"/>
              </w:rPr>
              <w:t xml:space="preserve"> </w:t>
            </w:r>
            <w:r>
              <w:rPr>
                <w:rFonts w:ascii="宋体" w:hAnsi="宋体" w:eastAsia="宋体" w:cs="宋体"/>
                <w:spacing w:val="-6"/>
                <w:sz w:val="19"/>
                <w:szCs w:val="19"/>
              </w:rPr>
              <w:t>页</w:t>
            </w:r>
          </w:p>
        </w:tc>
      </w:tr>
      <w:tr w14:paraId="497AA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jc w:val="center"/>
        </w:trPr>
        <w:tc>
          <w:tcPr>
            <w:tcW w:w="837" w:type="dxa"/>
            <w:tcBorders>
              <w:top w:val="single" w:color="000000" w:sz="10" w:space="0"/>
              <w:left w:val="single" w:color="000000" w:sz="10" w:space="0"/>
            </w:tcBorders>
            <w:vAlign w:val="top"/>
          </w:tcPr>
          <w:p w14:paraId="080AF5C5">
            <w:pPr>
              <w:spacing w:before="203" w:line="231" w:lineRule="auto"/>
              <w:ind w:left="221"/>
              <w:rPr>
                <w:rFonts w:ascii="宋体" w:hAnsi="宋体" w:eastAsia="宋体" w:cs="宋体"/>
                <w:sz w:val="19"/>
                <w:szCs w:val="19"/>
              </w:rPr>
            </w:pPr>
            <w:r>
              <w:rPr>
                <w:rFonts w:ascii="宋体" w:hAnsi="宋体" w:eastAsia="宋体" w:cs="宋体"/>
                <w:spacing w:val="3"/>
                <w:sz w:val="19"/>
                <w:szCs w:val="19"/>
              </w:rPr>
              <w:t>序号</w:t>
            </w:r>
          </w:p>
        </w:tc>
        <w:tc>
          <w:tcPr>
            <w:tcW w:w="2733" w:type="dxa"/>
            <w:tcBorders>
              <w:top w:val="single" w:color="000000" w:sz="10" w:space="0"/>
            </w:tcBorders>
            <w:vAlign w:val="top"/>
          </w:tcPr>
          <w:p w14:paraId="3248247F">
            <w:pPr>
              <w:spacing w:before="204" w:line="230" w:lineRule="auto"/>
              <w:ind w:left="983"/>
              <w:rPr>
                <w:rFonts w:ascii="宋体" w:hAnsi="宋体" w:eastAsia="宋体" w:cs="宋体"/>
                <w:sz w:val="19"/>
                <w:szCs w:val="19"/>
              </w:rPr>
            </w:pPr>
            <w:r>
              <w:rPr>
                <w:rFonts w:ascii="宋体" w:hAnsi="宋体" w:eastAsia="宋体" w:cs="宋体"/>
                <w:spacing w:val="3"/>
                <w:sz w:val="19"/>
                <w:szCs w:val="19"/>
              </w:rPr>
              <w:t>项目名称</w:t>
            </w:r>
          </w:p>
        </w:tc>
        <w:tc>
          <w:tcPr>
            <w:tcW w:w="2852" w:type="dxa"/>
            <w:gridSpan w:val="2"/>
            <w:tcBorders>
              <w:top w:val="single" w:color="000000" w:sz="10" w:space="0"/>
            </w:tcBorders>
            <w:vAlign w:val="top"/>
          </w:tcPr>
          <w:p w14:paraId="548C0D7E">
            <w:pPr>
              <w:spacing w:before="203" w:line="230" w:lineRule="auto"/>
              <w:ind w:left="1046"/>
              <w:rPr>
                <w:rFonts w:ascii="宋体" w:hAnsi="宋体" w:eastAsia="宋体" w:cs="宋体"/>
                <w:sz w:val="19"/>
                <w:szCs w:val="19"/>
              </w:rPr>
            </w:pPr>
            <w:r>
              <w:rPr>
                <w:rFonts w:ascii="宋体" w:hAnsi="宋体" w:eastAsia="宋体" w:cs="宋体"/>
                <w:spacing w:val="3"/>
                <w:sz w:val="19"/>
                <w:szCs w:val="19"/>
              </w:rPr>
              <w:t>计算基础</w:t>
            </w:r>
          </w:p>
        </w:tc>
        <w:tc>
          <w:tcPr>
            <w:tcW w:w="1479" w:type="dxa"/>
            <w:gridSpan w:val="2"/>
            <w:tcBorders>
              <w:top w:val="single" w:color="000000" w:sz="10" w:space="0"/>
            </w:tcBorders>
            <w:vAlign w:val="top"/>
          </w:tcPr>
          <w:p w14:paraId="47A977BF">
            <w:pPr>
              <w:spacing w:before="203" w:line="230" w:lineRule="auto"/>
              <w:ind w:left="365"/>
              <w:rPr>
                <w:rFonts w:ascii="宋体" w:hAnsi="宋体" w:eastAsia="宋体" w:cs="宋体"/>
                <w:sz w:val="19"/>
                <w:szCs w:val="19"/>
              </w:rPr>
            </w:pPr>
            <w:r>
              <w:rPr>
                <w:rFonts w:ascii="宋体" w:hAnsi="宋体" w:eastAsia="宋体" w:cs="宋体"/>
                <w:spacing w:val="3"/>
                <w:sz w:val="19"/>
                <w:szCs w:val="19"/>
              </w:rPr>
              <w:t>计算基数</w:t>
            </w:r>
          </w:p>
        </w:tc>
        <w:tc>
          <w:tcPr>
            <w:tcW w:w="955" w:type="dxa"/>
            <w:tcBorders>
              <w:top w:val="single" w:color="000000" w:sz="10" w:space="0"/>
            </w:tcBorders>
            <w:vAlign w:val="top"/>
          </w:tcPr>
          <w:p w14:paraId="1D437370">
            <w:pPr>
              <w:spacing w:before="113" w:line="192" w:lineRule="auto"/>
              <w:ind w:left="98"/>
              <w:rPr>
                <w:rFonts w:ascii="宋体" w:hAnsi="宋体" w:eastAsia="宋体" w:cs="宋体"/>
                <w:sz w:val="19"/>
                <w:szCs w:val="19"/>
              </w:rPr>
            </w:pPr>
            <w:r>
              <w:rPr>
                <w:rFonts w:ascii="宋体" w:hAnsi="宋体" w:eastAsia="宋体" w:cs="宋体"/>
                <w:spacing w:val="3"/>
                <w:sz w:val="19"/>
                <w:szCs w:val="19"/>
              </w:rPr>
              <w:t>计算费率</w:t>
            </w:r>
          </w:p>
          <w:p w14:paraId="45BE16A5">
            <w:pPr>
              <w:spacing w:line="229" w:lineRule="auto"/>
              <w:ind w:left="373"/>
              <w:rPr>
                <w:rFonts w:ascii="宋体" w:hAnsi="宋体" w:eastAsia="宋体" w:cs="宋体"/>
                <w:sz w:val="19"/>
                <w:szCs w:val="19"/>
              </w:rPr>
            </w:pPr>
            <w:r>
              <w:rPr>
                <w:rFonts w:ascii="宋体" w:hAnsi="宋体" w:eastAsia="宋体" w:cs="宋体"/>
                <w:spacing w:val="-5"/>
                <w:sz w:val="19"/>
                <w:szCs w:val="19"/>
              </w:rPr>
              <w:t>(%)</w:t>
            </w:r>
          </w:p>
        </w:tc>
        <w:tc>
          <w:tcPr>
            <w:tcW w:w="1555" w:type="dxa"/>
            <w:tcBorders>
              <w:top w:val="single" w:color="000000" w:sz="10" w:space="0"/>
              <w:right w:val="single" w:color="000000" w:sz="10" w:space="0"/>
            </w:tcBorders>
            <w:vAlign w:val="top"/>
          </w:tcPr>
          <w:p w14:paraId="08601B93">
            <w:pPr>
              <w:spacing w:before="203" w:line="230" w:lineRule="auto"/>
              <w:ind w:left="387"/>
              <w:rPr>
                <w:rFonts w:ascii="宋体" w:hAnsi="宋体" w:eastAsia="宋体" w:cs="宋体"/>
                <w:sz w:val="19"/>
                <w:szCs w:val="19"/>
              </w:rPr>
            </w:pPr>
            <w:r>
              <w:rPr>
                <w:rFonts w:ascii="宋体" w:hAnsi="宋体" w:eastAsia="宋体" w:cs="宋体"/>
                <w:spacing w:val="3"/>
                <w:sz w:val="19"/>
                <w:szCs w:val="19"/>
              </w:rPr>
              <w:t>金额(元)</w:t>
            </w:r>
          </w:p>
        </w:tc>
      </w:tr>
      <w:tr w14:paraId="5CDD9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jc w:val="center"/>
        </w:trPr>
        <w:tc>
          <w:tcPr>
            <w:tcW w:w="837" w:type="dxa"/>
            <w:tcBorders>
              <w:left w:val="single" w:color="000000" w:sz="10" w:space="0"/>
            </w:tcBorders>
            <w:vAlign w:val="top"/>
          </w:tcPr>
          <w:p w14:paraId="715A96FD">
            <w:pPr>
              <w:spacing w:before="213" w:line="188" w:lineRule="auto"/>
              <w:ind w:left="372"/>
              <w:rPr>
                <w:rFonts w:ascii="宋体" w:hAnsi="宋体" w:eastAsia="宋体" w:cs="宋体"/>
                <w:sz w:val="19"/>
                <w:szCs w:val="19"/>
              </w:rPr>
            </w:pPr>
            <w:r>
              <w:rPr>
                <w:rFonts w:ascii="宋体" w:hAnsi="宋体" w:eastAsia="宋体" w:cs="宋体"/>
                <w:sz w:val="19"/>
                <w:szCs w:val="19"/>
              </w:rPr>
              <w:t>1</w:t>
            </w:r>
          </w:p>
        </w:tc>
        <w:tc>
          <w:tcPr>
            <w:tcW w:w="2733" w:type="dxa"/>
            <w:vAlign w:val="top"/>
          </w:tcPr>
          <w:p w14:paraId="07A3F553">
            <w:pPr>
              <w:spacing w:before="181" w:line="230" w:lineRule="auto"/>
              <w:ind w:left="22"/>
              <w:rPr>
                <w:rFonts w:ascii="宋体" w:hAnsi="宋体" w:eastAsia="宋体" w:cs="宋体"/>
                <w:sz w:val="19"/>
                <w:szCs w:val="19"/>
              </w:rPr>
            </w:pPr>
            <w:r>
              <w:rPr>
                <w:rFonts w:ascii="宋体" w:hAnsi="宋体" w:eastAsia="宋体" w:cs="宋体"/>
                <w:spacing w:val="2"/>
                <w:sz w:val="19"/>
                <w:szCs w:val="19"/>
              </w:rPr>
              <w:t>规费</w:t>
            </w:r>
          </w:p>
        </w:tc>
        <w:tc>
          <w:tcPr>
            <w:tcW w:w="2852" w:type="dxa"/>
            <w:gridSpan w:val="2"/>
            <w:vAlign w:val="top"/>
          </w:tcPr>
          <w:p w14:paraId="710B5200">
            <w:pPr>
              <w:spacing w:before="90" w:line="210" w:lineRule="auto"/>
              <w:ind w:left="29" w:right="79"/>
              <w:rPr>
                <w:rFonts w:ascii="宋体" w:hAnsi="宋体" w:eastAsia="宋体" w:cs="宋体"/>
                <w:sz w:val="19"/>
                <w:szCs w:val="19"/>
              </w:rPr>
            </w:pPr>
            <w:r>
              <w:rPr>
                <w:rFonts w:ascii="宋体" w:hAnsi="宋体" w:eastAsia="宋体" w:cs="宋体"/>
                <w:spacing w:val="4"/>
                <w:sz w:val="19"/>
                <w:szCs w:val="19"/>
              </w:rPr>
              <w:t>社会保险费+住房公积金+环境保</w:t>
            </w:r>
            <w:r>
              <w:rPr>
                <w:rFonts w:ascii="宋体" w:hAnsi="宋体" w:eastAsia="宋体" w:cs="宋体"/>
                <w:spacing w:val="11"/>
                <w:sz w:val="19"/>
                <w:szCs w:val="19"/>
              </w:rPr>
              <w:t xml:space="preserve"> </w:t>
            </w:r>
            <w:r>
              <w:rPr>
                <w:rFonts w:ascii="宋体" w:hAnsi="宋体" w:eastAsia="宋体" w:cs="宋体"/>
                <w:spacing w:val="2"/>
                <w:sz w:val="19"/>
                <w:szCs w:val="19"/>
              </w:rPr>
              <w:t>护税</w:t>
            </w:r>
          </w:p>
        </w:tc>
        <w:tc>
          <w:tcPr>
            <w:tcW w:w="1479" w:type="dxa"/>
            <w:gridSpan w:val="2"/>
            <w:vAlign w:val="top"/>
          </w:tcPr>
          <w:p w14:paraId="70AB377E">
            <w:pPr>
              <w:pStyle w:val="594"/>
            </w:pPr>
          </w:p>
        </w:tc>
        <w:tc>
          <w:tcPr>
            <w:tcW w:w="955" w:type="dxa"/>
            <w:vAlign w:val="top"/>
          </w:tcPr>
          <w:p w14:paraId="4FDD4CF8">
            <w:pPr>
              <w:pStyle w:val="594"/>
            </w:pPr>
          </w:p>
        </w:tc>
        <w:tc>
          <w:tcPr>
            <w:tcW w:w="1555" w:type="dxa"/>
            <w:tcBorders>
              <w:right w:val="single" w:color="000000" w:sz="10" w:space="0"/>
            </w:tcBorders>
            <w:vAlign w:val="top"/>
          </w:tcPr>
          <w:p w14:paraId="484E1E99">
            <w:pPr>
              <w:pStyle w:val="594"/>
            </w:pPr>
          </w:p>
        </w:tc>
      </w:tr>
      <w:tr w14:paraId="0605A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jc w:val="center"/>
        </w:trPr>
        <w:tc>
          <w:tcPr>
            <w:tcW w:w="837" w:type="dxa"/>
            <w:tcBorders>
              <w:left w:val="single" w:color="000000" w:sz="10" w:space="0"/>
            </w:tcBorders>
            <w:vAlign w:val="top"/>
          </w:tcPr>
          <w:p w14:paraId="6CEA33C7">
            <w:pPr>
              <w:pStyle w:val="594"/>
              <w:spacing w:line="285" w:lineRule="auto"/>
            </w:pPr>
          </w:p>
          <w:p w14:paraId="7B2ABB56">
            <w:pPr>
              <w:spacing w:before="62" w:line="188" w:lineRule="auto"/>
              <w:ind w:left="267"/>
              <w:rPr>
                <w:rFonts w:ascii="宋体" w:hAnsi="宋体" w:eastAsia="宋体" w:cs="宋体"/>
                <w:sz w:val="19"/>
                <w:szCs w:val="19"/>
              </w:rPr>
            </w:pPr>
            <w:r>
              <w:rPr>
                <w:rFonts w:ascii="宋体" w:hAnsi="宋体" w:eastAsia="宋体" w:cs="宋体"/>
                <w:sz w:val="19"/>
                <w:szCs w:val="19"/>
              </w:rPr>
              <w:t>1.1</w:t>
            </w:r>
          </w:p>
        </w:tc>
        <w:tc>
          <w:tcPr>
            <w:tcW w:w="2733" w:type="dxa"/>
            <w:vAlign w:val="top"/>
          </w:tcPr>
          <w:p w14:paraId="5934544A">
            <w:pPr>
              <w:pStyle w:val="594"/>
              <w:spacing w:line="252" w:lineRule="auto"/>
            </w:pPr>
          </w:p>
          <w:p w14:paraId="7634B709">
            <w:pPr>
              <w:spacing w:before="62" w:line="229" w:lineRule="auto"/>
              <w:ind w:left="23"/>
              <w:rPr>
                <w:rFonts w:ascii="宋体" w:hAnsi="宋体" w:eastAsia="宋体" w:cs="宋体"/>
                <w:sz w:val="19"/>
                <w:szCs w:val="19"/>
              </w:rPr>
            </w:pPr>
            <w:r>
              <w:rPr>
                <w:rFonts w:ascii="宋体" w:hAnsi="宋体" w:eastAsia="宋体" w:cs="宋体"/>
                <w:spacing w:val="3"/>
                <w:sz w:val="19"/>
                <w:szCs w:val="19"/>
              </w:rPr>
              <w:t>社会保险费</w:t>
            </w:r>
          </w:p>
        </w:tc>
        <w:tc>
          <w:tcPr>
            <w:tcW w:w="2852" w:type="dxa"/>
            <w:gridSpan w:val="2"/>
            <w:vAlign w:val="top"/>
          </w:tcPr>
          <w:p w14:paraId="38062E50">
            <w:pPr>
              <w:spacing w:before="120" w:line="203" w:lineRule="auto"/>
              <w:ind w:left="65" w:right="77" w:hanging="35"/>
              <w:jc w:val="both"/>
              <w:rPr>
                <w:rFonts w:ascii="宋体" w:hAnsi="宋体" w:eastAsia="宋体" w:cs="宋体"/>
                <w:sz w:val="19"/>
                <w:szCs w:val="19"/>
              </w:rPr>
            </w:pPr>
            <w:r>
              <w:rPr>
                <w:rFonts w:ascii="宋体" w:hAnsi="宋体" w:eastAsia="宋体" w:cs="宋体"/>
                <w:spacing w:val="4"/>
                <w:sz w:val="19"/>
                <w:szCs w:val="19"/>
              </w:rPr>
              <w:t>分部分项工程+措施项目+其他项</w:t>
            </w:r>
            <w:r>
              <w:rPr>
                <w:rFonts w:ascii="宋体" w:hAnsi="宋体" w:eastAsia="宋体" w:cs="宋体"/>
                <w:spacing w:val="12"/>
                <w:sz w:val="19"/>
                <w:szCs w:val="19"/>
              </w:rPr>
              <w:t xml:space="preserve"> </w:t>
            </w:r>
            <w:r>
              <w:rPr>
                <w:rFonts w:ascii="宋体" w:hAnsi="宋体" w:eastAsia="宋体" w:cs="宋体"/>
                <w:spacing w:val="2"/>
                <w:sz w:val="19"/>
                <w:szCs w:val="19"/>
              </w:rPr>
              <w:t>目-分部分项设备费-技术措施项</w:t>
            </w:r>
            <w:r>
              <w:rPr>
                <w:rFonts w:ascii="宋体" w:hAnsi="宋体" w:eastAsia="宋体" w:cs="宋体"/>
                <w:spacing w:val="4"/>
                <w:sz w:val="19"/>
                <w:szCs w:val="19"/>
              </w:rPr>
              <w:t xml:space="preserve"> </w:t>
            </w:r>
            <w:r>
              <w:rPr>
                <w:rFonts w:ascii="宋体" w:hAnsi="宋体" w:eastAsia="宋体" w:cs="宋体"/>
                <w:spacing w:val="-5"/>
                <w:sz w:val="19"/>
                <w:szCs w:val="19"/>
              </w:rPr>
              <w:t>目设备费</w:t>
            </w:r>
          </w:p>
        </w:tc>
        <w:tc>
          <w:tcPr>
            <w:tcW w:w="1479" w:type="dxa"/>
            <w:gridSpan w:val="2"/>
            <w:vAlign w:val="top"/>
          </w:tcPr>
          <w:p w14:paraId="2D486CC5">
            <w:pPr>
              <w:pStyle w:val="594"/>
            </w:pPr>
          </w:p>
        </w:tc>
        <w:tc>
          <w:tcPr>
            <w:tcW w:w="955" w:type="dxa"/>
            <w:vAlign w:val="top"/>
          </w:tcPr>
          <w:p w14:paraId="59631A5F">
            <w:pPr>
              <w:pStyle w:val="594"/>
              <w:spacing w:line="285" w:lineRule="auto"/>
            </w:pPr>
          </w:p>
          <w:p w14:paraId="05A9D5DB">
            <w:pPr>
              <w:spacing w:before="62" w:line="188" w:lineRule="auto"/>
              <w:ind w:right="5"/>
              <w:jc w:val="right"/>
              <w:rPr>
                <w:rFonts w:ascii="宋体" w:hAnsi="宋体" w:eastAsia="宋体" w:cs="宋体"/>
                <w:sz w:val="19"/>
                <w:szCs w:val="19"/>
              </w:rPr>
            </w:pPr>
            <w:r>
              <w:rPr>
                <w:rFonts w:ascii="宋体" w:hAnsi="宋体" w:eastAsia="宋体" w:cs="宋体"/>
                <w:spacing w:val="4"/>
                <w:sz w:val="19"/>
                <w:szCs w:val="19"/>
              </w:rPr>
              <w:t>3.2</w:t>
            </w:r>
          </w:p>
        </w:tc>
        <w:tc>
          <w:tcPr>
            <w:tcW w:w="1555" w:type="dxa"/>
            <w:tcBorders>
              <w:right w:val="single" w:color="000000" w:sz="10" w:space="0"/>
            </w:tcBorders>
            <w:vAlign w:val="top"/>
          </w:tcPr>
          <w:p w14:paraId="5902C4BB">
            <w:pPr>
              <w:pStyle w:val="594"/>
            </w:pPr>
          </w:p>
        </w:tc>
      </w:tr>
      <w:tr w14:paraId="3F915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jc w:val="center"/>
        </w:trPr>
        <w:tc>
          <w:tcPr>
            <w:tcW w:w="837" w:type="dxa"/>
            <w:tcBorders>
              <w:left w:val="single" w:color="000000" w:sz="10" w:space="0"/>
            </w:tcBorders>
            <w:vAlign w:val="top"/>
          </w:tcPr>
          <w:p w14:paraId="0E821DB6">
            <w:pPr>
              <w:pStyle w:val="594"/>
              <w:spacing w:line="284" w:lineRule="auto"/>
            </w:pPr>
          </w:p>
          <w:p w14:paraId="469650AA">
            <w:pPr>
              <w:spacing w:before="62" w:line="188" w:lineRule="auto"/>
              <w:ind w:left="267"/>
              <w:rPr>
                <w:rFonts w:ascii="宋体" w:hAnsi="宋体" w:eastAsia="宋体" w:cs="宋体"/>
                <w:sz w:val="19"/>
                <w:szCs w:val="19"/>
              </w:rPr>
            </w:pPr>
            <w:r>
              <w:rPr>
                <w:rFonts w:ascii="宋体" w:hAnsi="宋体" w:eastAsia="宋体" w:cs="宋体"/>
                <w:sz w:val="19"/>
                <w:szCs w:val="19"/>
              </w:rPr>
              <w:t>1.2</w:t>
            </w:r>
          </w:p>
        </w:tc>
        <w:tc>
          <w:tcPr>
            <w:tcW w:w="2733" w:type="dxa"/>
            <w:vAlign w:val="top"/>
          </w:tcPr>
          <w:p w14:paraId="23EA6522">
            <w:pPr>
              <w:pStyle w:val="594"/>
              <w:spacing w:line="252" w:lineRule="auto"/>
            </w:pPr>
          </w:p>
          <w:p w14:paraId="65083381">
            <w:pPr>
              <w:spacing w:before="62" w:line="230" w:lineRule="auto"/>
              <w:ind w:left="21"/>
              <w:rPr>
                <w:rFonts w:ascii="宋体" w:hAnsi="宋体" w:eastAsia="宋体" w:cs="宋体"/>
                <w:sz w:val="19"/>
                <w:szCs w:val="19"/>
              </w:rPr>
            </w:pPr>
            <w:r>
              <w:rPr>
                <w:rFonts w:ascii="宋体" w:hAnsi="宋体" w:eastAsia="宋体" w:cs="宋体"/>
                <w:spacing w:val="4"/>
                <w:sz w:val="19"/>
                <w:szCs w:val="19"/>
              </w:rPr>
              <w:t>住房公积金</w:t>
            </w:r>
          </w:p>
        </w:tc>
        <w:tc>
          <w:tcPr>
            <w:tcW w:w="2852" w:type="dxa"/>
            <w:gridSpan w:val="2"/>
            <w:vAlign w:val="top"/>
          </w:tcPr>
          <w:p w14:paraId="0E78D696">
            <w:pPr>
              <w:spacing w:before="120" w:line="203" w:lineRule="auto"/>
              <w:ind w:left="65" w:right="77" w:hanging="35"/>
              <w:jc w:val="both"/>
              <w:rPr>
                <w:rFonts w:ascii="宋体" w:hAnsi="宋体" w:eastAsia="宋体" w:cs="宋体"/>
                <w:sz w:val="19"/>
                <w:szCs w:val="19"/>
              </w:rPr>
            </w:pPr>
            <w:r>
              <w:rPr>
                <w:rFonts w:ascii="宋体" w:hAnsi="宋体" w:eastAsia="宋体" w:cs="宋体"/>
                <w:spacing w:val="4"/>
                <w:sz w:val="19"/>
                <w:szCs w:val="19"/>
              </w:rPr>
              <w:t>分部分项工程+措施项目+其他项</w:t>
            </w:r>
            <w:r>
              <w:rPr>
                <w:rFonts w:ascii="宋体" w:hAnsi="宋体" w:eastAsia="宋体" w:cs="宋体"/>
                <w:spacing w:val="12"/>
                <w:sz w:val="19"/>
                <w:szCs w:val="19"/>
              </w:rPr>
              <w:t xml:space="preserve"> </w:t>
            </w:r>
            <w:r>
              <w:rPr>
                <w:rFonts w:ascii="宋体" w:hAnsi="宋体" w:eastAsia="宋体" w:cs="宋体"/>
                <w:spacing w:val="2"/>
                <w:sz w:val="19"/>
                <w:szCs w:val="19"/>
              </w:rPr>
              <w:t>目-分部分项设备费-技术措施项</w:t>
            </w:r>
            <w:r>
              <w:rPr>
                <w:rFonts w:ascii="宋体" w:hAnsi="宋体" w:eastAsia="宋体" w:cs="宋体"/>
                <w:spacing w:val="4"/>
                <w:sz w:val="19"/>
                <w:szCs w:val="19"/>
              </w:rPr>
              <w:t xml:space="preserve"> </w:t>
            </w:r>
            <w:r>
              <w:rPr>
                <w:rFonts w:ascii="宋体" w:hAnsi="宋体" w:eastAsia="宋体" w:cs="宋体"/>
                <w:spacing w:val="-5"/>
                <w:sz w:val="19"/>
                <w:szCs w:val="19"/>
              </w:rPr>
              <w:t>目设备费</w:t>
            </w:r>
          </w:p>
        </w:tc>
        <w:tc>
          <w:tcPr>
            <w:tcW w:w="1479" w:type="dxa"/>
            <w:gridSpan w:val="2"/>
            <w:vAlign w:val="top"/>
          </w:tcPr>
          <w:p w14:paraId="525D7078">
            <w:pPr>
              <w:pStyle w:val="594"/>
            </w:pPr>
          </w:p>
        </w:tc>
        <w:tc>
          <w:tcPr>
            <w:tcW w:w="955" w:type="dxa"/>
            <w:vAlign w:val="top"/>
          </w:tcPr>
          <w:p w14:paraId="55BD74FA">
            <w:pPr>
              <w:pStyle w:val="594"/>
              <w:spacing w:line="284" w:lineRule="auto"/>
            </w:pPr>
          </w:p>
          <w:p w14:paraId="28892424">
            <w:pPr>
              <w:spacing w:before="62" w:line="188" w:lineRule="auto"/>
              <w:ind w:right="5"/>
              <w:jc w:val="right"/>
              <w:rPr>
                <w:rFonts w:ascii="宋体" w:hAnsi="宋体" w:eastAsia="宋体" w:cs="宋体"/>
                <w:sz w:val="19"/>
                <w:szCs w:val="19"/>
              </w:rPr>
            </w:pPr>
            <w:r>
              <w:rPr>
                <w:rFonts w:ascii="宋体" w:hAnsi="宋体" w:eastAsia="宋体" w:cs="宋体"/>
                <w:spacing w:val="6"/>
                <w:sz w:val="19"/>
                <w:szCs w:val="19"/>
              </w:rPr>
              <w:t>0.53</w:t>
            </w:r>
          </w:p>
        </w:tc>
        <w:tc>
          <w:tcPr>
            <w:tcW w:w="1555" w:type="dxa"/>
            <w:tcBorders>
              <w:right w:val="single" w:color="000000" w:sz="10" w:space="0"/>
            </w:tcBorders>
            <w:vAlign w:val="top"/>
          </w:tcPr>
          <w:p w14:paraId="02D804E2">
            <w:pPr>
              <w:pStyle w:val="594"/>
            </w:pPr>
          </w:p>
        </w:tc>
      </w:tr>
      <w:tr w14:paraId="3735C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jc w:val="center"/>
        </w:trPr>
        <w:tc>
          <w:tcPr>
            <w:tcW w:w="837" w:type="dxa"/>
            <w:tcBorders>
              <w:left w:val="single" w:color="000000" w:sz="10" w:space="0"/>
            </w:tcBorders>
            <w:vAlign w:val="top"/>
          </w:tcPr>
          <w:p w14:paraId="254862CF">
            <w:pPr>
              <w:pStyle w:val="594"/>
              <w:spacing w:line="284" w:lineRule="auto"/>
            </w:pPr>
          </w:p>
          <w:p w14:paraId="690F3A0F">
            <w:pPr>
              <w:spacing w:before="62" w:line="188" w:lineRule="auto"/>
              <w:ind w:left="267"/>
              <w:rPr>
                <w:rFonts w:ascii="宋体" w:hAnsi="宋体" w:eastAsia="宋体" w:cs="宋体"/>
                <w:sz w:val="19"/>
                <w:szCs w:val="19"/>
              </w:rPr>
            </w:pPr>
            <w:r>
              <w:rPr>
                <w:rFonts w:ascii="宋体" w:hAnsi="宋体" w:eastAsia="宋体" w:cs="宋体"/>
                <w:sz w:val="19"/>
                <w:szCs w:val="19"/>
              </w:rPr>
              <w:t>1.3</w:t>
            </w:r>
          </w:p>
        </w:tc>
        <w:tc>
          <w:tcPr>
            <w:tcW w:w="2733" w:type="dxa"/>
            <w:vAlign w:val="top"/>
          </w:tcPr>
          <w:p w14:paraId="61CD1E56">
            <w:pPr>
              <w:pStyle w:val="594"/>
              <w:spacing w:line="252" w:lineRule="auto"/>
            </w:pPr>
          </w:p>
          <w:p w14:paraId="5CA43DCF">
            <w:pPr>
              <w:spacing w:before="61" w:line="230" w:lineRule="auto"/>
              <w:ind w:left="21"/>
              <w:rPr>
                <w:rFonts w:ascii="宋体" w:hAnsi="宋体" w:eastAsia="宋体" w:cs="宋体"/>
                <w:sz w:val="19"/>
                <w:szCs w:val="19"/>
              </w:rPr>
            </w:pPr>
            <w:r>
              <w:rPr>
                <w:rFonts w:ascii="宋体" w:hAnsi="宋体" w:eastAsia="宋体" w:cs="宋体"/>
                <w:spacing w:val="4"/>
                <w:sz w:val="19"/>
                <w:szCs w:val="19"/>
              </w:rPr>
              <w:t>环境保护税</w:t>
            </w:r>
          </w:p>
        </w:tc>
        <w:tc>
          <w:tcPr>
            <w:tcW w:w="2852" w:type="dxa"/>
            <w:gridSpan w:val="2"/>
            <w:vAlign w:val="top"/>
          </w:tcPr>
          <w:p w14:paraId="76064C49">
            <w:pPr>
              <w:spacing w:before="119" w:line="203" w:lineRule="auto"/>
              <w:ind w:left="65" w:right="77" w:hanging="35"/>
              <w:jc w:val="both"/>
              <w:rPr>
                <w:rFonts w:ascii="宋体" w:hAnsi="宋体" w:eastAsia="宋体" w:cs="宋体"/>
                <w:sz w:val="19"/>
                <w:szCs w:val="19"/>
              </w:rPr>
            </w:pPr>
            <w:r>
              <w:rPr>
                <w:rFonts w:ascii="宋体" w:hAnsi="宋体" w:eastAsia="宋体" w:cs="宋体"/>
                <w:spacing w:val="4"/>
                <w:sz w:val="19"/>
                <w:szCs w:val="19"/>
              </w:rPr>
              <w:t>分部分项工程+措施项目+其他项</w:t>
            </w:r>
            <w:r>
              <w:rPr>
                <w:rFonts w:ascii="宋体" w:hAnsi="宋体" w:eastAsia="宋体" w:cs="宋体"/>
                <w:spacing w:val="12"/>
                <w:sz w:val="19"/>
                <w:szCs w:val="19"/>
              </w:rPr>
              <w:t xml:space="preserve"> </w:t>
            </w:r>
            <w:r>
              <w:rPr>
                <w:rFonts w:ascii="宋体" w:hAnsi="宋体" w:eastAsia="宋体" w:cs="宋体"/>
                <w:spacing w:val="2"/>
                <w:sz w:val="19"/>
                <w:szCs w:val="19"/>
              </w:rPr>
              <w:t>目-分部分项设备费-技术措施项</w:t>
            </w:r>
            <w:r>
              <w:rPr>
                <w:rFonts w:ascii="宋体" w:hAnsi="宋体" w:eastAsia="宋体" w:cs="宋体"/>
                <w:spacing w:val="4"/>
                <w:sz w:val="19"/>
                <w:szCs w:val="19"/>
              </w:rPr>
              <w:t xml:space="preserve"> </w:t>
            </w:r>
            <w:r>
              <w:rPr>
                <w:rFonts w:ascii="宋体" w:hAnsi="宋体" w:eastAsia="宋体" w:cs="宋体"/>
                <w:spacing w:val="-5"/>
                <w:sz w:val="19"/>
                <w:szCs w:val="19"/>
              </w:rPr>
              <w:t>目设备费</w:t>
            </w:r>
          </w:p>
        </w:tc>
        <w:tc>
          <w:tcPr>
            <w:tcW w:w="1479" w:type="dxa"/>
            <w:gridSpan w:val="2"/>
            <w:vAlign w:val="top"/>
          </w:tcPr>
          <w:p w14:paraId="54962D29">
            <w:pPr>
              <w:pStyle w:val="594"/>
            </w:pPr>
          </w:p>
        </w:tc>
        <w:tc>
          <w:tcPr>
            <w:tcW w:w="955" w:type="dxa"/>
            <w:vAlign w:val="top"/>
          </w:tcPr>
          <w:p w14:paraId="4DD48EC3">
            <w:pPr>
              <w:pStyle w:val="594"/>
              <w:spacing w:line="284" w:lineRule="auto"/>
            </w:pPr>
          </w:p>
          <w:p w14:paraId="15D09DBD">
            <w:pPr>
              <w:spacing w:before="62" w:line="188" w:lineRule="auto"/>
              <w:ind w:right="5"/>
              <w:jc w:val="right"/>
              <w:rPr>
                <w:rFonts w:ascii="宋体" w:hAnsi="宋体" w:eastAsia="宋体" w:cs="宋体"/>
                <w:sz w:val="19"/>
                <w:szCs w:val="19"/>
              </w:rPr>
            </w:pPr>
            <w:r>
              <w:rPr>
                <w:rFonts w:ascii="宋体" w:hAnsi="宋体" w:eastAsia="宋体" w:cs="宋体"/>
                <w:spacing w:val="5"/>
                <w:sz w:val="19"/>
                <w:szCs w:val="19"/>
              </w:rPr>
              <w:t>0.1</w:t>
            </w:r>
          </w:p>
        </w:tc>
        <w:tc>
          <w:tcPr>
            <w:tcW w:w="1555" w:type="dxa"/>
            <w:tcBorders>
              <w:right w:val="single" w:color="000000" w:sz="10" w:space="0"/>
            </w:tcBorders>
            <w:vAlign w:val="top"/>
          </w:tcPr>
          <w:p w14:paraId="65B7A4E9">
            <w:pPr>
              <w:pStyle w:val="594"/>
            </w:pPr>
          </w:p>
        </w:tc>
      </w:tr>
      <w:tr w14:paraId="5CDB0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jc w:val="center"/>
        </w:trPr>
        <w:tc>
          <w:tcPr>
            <w:tcW w:w="837" w:type="dxa"/>
            <w:tcBorders>
              <w:left w:val="single" w:color="000000" w:sz="10" w:space="0"/>
            </w:tcBorders>
            <w:vAlign w:val="top"/>
          </w:tcPr>
          <w:p w14:paraId="0A6D464C">
            <w:pPr>
              <w:pStyle w:val="594"/>
              <w:spacing w:line="284" w:lineRule="auto"/>
            </w:pPr>
          </w:p>
          <w:p w14:paraId="4292585F">
            <w:pPr>
              <w:spacing w:before="61" w:line="188" w:lineRule="auto"/>
              <w:ind w:left="359"/>
              <w:rPr>
                <w:rFonts w:ascii="宋体" w:hAnsi="宋体" w:eastAsia="宋体" w:cs="宋体"/>
                <w:sz w:val="19"/>
                <w:szCs w:val="19"/>
              </w:rPr>
            </w:pPr>
            <w:r>
              <w:rPr>
                <w:rFonts w:ascii="宋体" w:hAnsi="宋体" w:eastAsia="宋体" w:cs="宋体"/>
                <w:sz w:val="19"/>
                <w:szCs w:val="19"/>
              </w:rPr>
              <w:t>2</w:t>
            </w:r>
          </w:p>
        </w:tc>
        <w:tc>
          <w:tcPr>
            <w:tcW w:w="2733" w:type="dxa"/>
            <w:vAlign w:val="top"/>
          </w:tcPr>
          <w:p w14:paraId="0BAC0437">
            <w:pPr>
              <w:pStyle w:val="594"/>
              <w:spacing w:line="251" w:lineRule="auto"/>
            </w:pPr>
          </w:p>
          <w:p w14:paraId="43C60D00">
            <w:pPr>
              <w:spacing w:before="62" w:line="230" w:lineRule="auto"/>
              <w:ind w:left="21"/>
              <w:rPr>
                <w:rFonts w:ascii="宋体" w:hAnsi="宋体" w:eastAsia="宋体" w:cs="宋体"/>
                <w:sz w:val="19"/>
                <w:szCs w:val="19"/>
              </w:rPr>
            </w:pPr>
            <w:r>
              <w:rPr>
                <w:rFonts w:ascii="宋体" w:hAnsi="宋体" w:eastAsia="宋体" w:cs="宋体"/>
                <w:spacing w:val="3"/>
                <w:sz w:val="19"/>
                <w:szCs w:val="19"/>
              </w:rPr>
              <w:t>税金</w:t>
            </w:r>
          </w:p>
        </w:tc>
        <w:tc>
          <w:tcPr>
            <w:tcW w:w="2852" w:type="dxa"/>
            <w:gridSpan w:val="2"/>
            <w:vAlign w:val="top"/>
          </w:tcPr>
          <w:p w14:paraId="252EB07E">
            <w:pPr>
              <w:spacing w:before="121" w:line="202" w:lineRule="auto"/>
              <w:ind w:left="38" w:right="64" w:hanging="8"/>
              <w:jc w:val="both"/>
              <w:rPr>
                <w:rFonts w:ascii="宋体" w:hAnsi="宋体" w:eastAsia="宋体" w:cs="宋体"/>
                <w:sz w:val="19"/>
                <w:szCs w:val="19"/>
              </w:rPr>
            </w:pPr>
            <w:r>
              <w:rPr>
                <w:rFonts w:ascii="宋体" w:hAnsi="宋体" w:eastAsia="宋体" w:cs="宋体"/>
                <w:spacing w:val="4"/>
                <w:sz w:val="19"/>
                <w:szCs w:val="19"/>
              </w:rPr>
              <w:t>分部分项工程+措施项目+其他项</w:t>
            </w:r>
            <w:r>
              <w:rPr>
                <w:rFonts w:ascii="宋体" w:hAnsi="宋体" w:eastAsia="宋体" w:cs="宋体"/>
                <w:spacing w:val="12"/>
                <w:sz w:val="19"/>
                <w:szCs w:val="19"/>
              </w:rPr>
              <w:t xml:space="preserve"> </w:t>
            </w:r>
            <w:r>
              <w:rPr>
                <w:rFonts w:ascii="宋体" w:hAnsi="宋体" w:eastAsia="宋体" w:cs="宋体"/>
                <w:spacing w:val="4"/>
                <w:sz w:val="19"/>
                <w:szCs w:val="19"/>
              </w:rPr>
              <w:t>目+规费-(甲供材料费+甲供主材</w:t>
            </w:r>
            <w:r>
              <w:rPr>
                <w:rFonts w:ascii="宋体" w:hAnsi="宋体" w:eastAsia="宋体" w:cs="宋体"/>
                <w:spacing w:val="12"/>
                <w:sz w:val="19"/>
                <w:szCs w:val="19"/>
              </w:rPr>
              <w:t xml:space="preserve"> </w:t>
            </w:r>
            <w:r>
              <w:rPr>
                <w:rFonts w:ascii="宋体" w:hAnsi="宋体" w:eastAsia="宋体" w:cs="宋体"/>
                <w:spacing w:val="5"/>
                <w:sz w:val="19"/>
                <w:szCs w:val="19"/>
              </w:rPr>
              <w:t>费+甲供设备费)/1.01</w:t>
            </w:r>
          </w:p>
        </w:tc>
        <w:tc>
          <w:tcPr>
            <w:tcW w:w="1479" w:type="dxa"/>
            <w:gridSpan w:val="2"/>
            <w:vAlign w:val="top"/>
          </w:tcPr>
          <w:p w14:paraId="545348F8">
            <w:pPr>
              <w:pStyle w:val="594"/>
            </w:pPr>
          </w:p>
        </w:tc>
        <w:tc>
          <w:tcPr>
            <w:tcW w:w="955" w:type="dxa"/>
            <w:vAlign w:val="top"/>
          </w:tcPr>
          <w:p w14:paraId="20778334">
            <w:pPr>
              <w:pStyle w:val="594"/>
              <w:spacing w:line="284" w:lineRule="auto"/>
            </w:pPr>
          </w:p>
          <w:p w14:paraId="5BADDB20">
            <w:pPr>
              <w:spacing w:before="61" w:line="188" w:lineRule="auto"/>
              <w:ind w:right="1"/>
              <w:jc w:val="right"/>
              <w:rPr>
                <w:rFonts w:ascii="宋体" w:hAnsi="宋体" w:eastAsia="宋体" w:cs="宋体"/>
                <w:sz w:val="19"/>
                <w:szCs w:val="19"/>
              </w:rPr>
            </w:pPr>
            <w:r>
              <w:rPr>
                <w:rFonts w:ascii="宋体" w:hAnsi="宋体" w:eastAsia="宋体" w:cs="宋体"/>
                <w:sz w:val="19"/>
                <w:szCs w:val="19"/>
              </w:rPr>
              <w:t>9</w:t>
            </w:r>
          </w:p>
        </w:tc>
        <w:tc>
          <w:tcPr>
            <w:tcW w:w="1555" w:type="dxa"/>
            <w:tcBorders>
              <w:right w:val="single" w:color="000000" w:sz="10" w:space="0"/>
            </w:tcBorders>
            <w:vAlign w:val="top"/>
          </w:tcPr>
          <w:p w14:paraId="0CB8A085">
            <w:pPr>
              <w:pStyle w:val="594"/>
            </w:pPr>
          </w:p>
        </w:tc>
      </w:tr>
      <w:tr w14:paraId="44915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837" w:type="dxa"/>
            <w:tcBorders>
              <w:left w:val="single" w:color="000000" w:sz="10" w:space="0"/>
            </w:tcBorders>
            <w:vAlign w:val="top"/>
          </w:tcPr>
          <w:p w14:paraId="19C99E81">
            <w:pPr>
              <w:pStyle w:val="594"/>
            </w:pPr>
          </w:p>
        </w:tc>
        <w:tc>
          <w:tcPr>
            <w:tcW w:w="2733" w:type="dxa"/>
            <w:vAlign w:val="top"/>
          </w:tcPr>
          <w:p w14:paraId="143BD31D">
            <w:pPr>
              <w:pStyle w:val="594"/>
            </w:pPr>
          </w:p>
        </w:tc>
        <w:tc>
          <w:tcPr>
            <w:tcW w:w="2852" w:type="dxa"/>
            <w:gridSpan w:val="2"/>
            <w:vAlign w:val="top"/>
          </w:tcPr>
          <w:p w14:paraId="0EF08821">
            <w:pPr>
              <w:pStyle w:val="594"/>
            </w:pPr>
          </w:p>
        </w:tc>
        <w:tc>
          <w:tcPr>
            <w:tcW w:w="1479" w:type="dxa"/>
            <w:gridSpan w:val="2"/>
            <w:vAlign w:val="top"/>
          </w:tcPr>
          <w:p w14:paraId="51F3DCB9">
            <w:pPr>
              <w:pStyle w:val="594"/>
            </w:pPr>
          </w:p>
        </w:tc>
        <w:tc>
          <w:tcPr>
            <w:tcW w:w="955" w:type="dxa"/>
            <w:vAlign w:val="top"/>
          </w:tcPr>
          <w:p w14:paraId="5D116D0C">
            <w:pPr>
              <w:pStyle w:val="594"/>
            </w:pPr>
          </w:p>
        </w:tc>
        <w:tc>
          <w:tcPr>
            <w:tcW w:w="1555" w:type="dxa"/>
            <w:tcBorders>
              <w:right w:val="single" w:color="000000" w:sz="10" w:space="0"/>
            </w:tcBorders>
            <w:vAlign w:val="top"/>
          </w:tcPr>
          <w:p w14:paraId="1E41716E">
            <w:pPr>
              <w:pStyle w:val="594"/>
            </w:pPr>
          </w:p>
        </w:tc>
      </w:tr>
      <w:tr w14:paraId="34CFF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837" w:type="dxa"/>
            <w:tcBorders>
              <w:left w:val="single" w:color="000000" w:sz="10" w:space="0"/>
            </w:tcBorders>
            <w:vAlign w:val="top"/>
          </w:tcPr>
          <w:p w14:paraId="36F79F1F">
            <w:pPr>
              <w:pStyle w:val="594"/>
            </w:pPr>
          </w:p>
        </w:tc>
        <w:tc>
          <w:tcPr>
            <w:tcW w:w="2733" w:type="dxa"/>
            <w:vAlign w:val="top"/>
          </w:tcPr>
          <w:p w14:paraId="12328901">
            <w:pPr>
              <w:pStyle w:val="594"/>
            </w:pPr>
          </w:p>
        </w:tc>
        <w:tc>
          <w:tcPr>
            <w:tcW w:w="2852" w:type="dxa"/>
            <w:gridSpan w:val="2"/>
            <w:vAlign w:val="top"/>
          </w:tcPr>
          <w:p w14:paraId="70CE3365">
            <w:pPr>
              <w:pStyle w:val="594"/>
            </w:pPr>
          </w:p>
        </w:tc>
        <w:tc>
          <w:tcPr>
            <w:tcW w:w="1479" w:type="dxa"/>
            <w:gridSpan w:val="2"/>
            <w:vAlign w:val="top"/>
          </w:tcPr>
          <w:p w14:paraId="451B4F9B">
            <w:pPr>
              <w:pStyle w:val="594"/>
            </w:pPr>
          </w:p>
        </w:tc>
        <w:tc>
          <w:tcPr>
            <w:tcW w:w="955" w:type="dxa"/>
            <w:vAlign w:val="top"/>
          </w:tcPr>
          <w:p w14:paraId="16CA09D4">
            <w:pPr>
              <w:pStyle w:val="594"/>
            </w:pPr>
          </w:p>
        </w:tc>
        <w:tc>
          <w:tcPr>
            <w:tcW w:w="1555" w:type="dxa"/>
            <w:tcBorders>
              <w:right w:val="single" w:color="000000" w:sz="10" w:space="0"/>
            </w:tcBorders>
            <w:vAlign w:val="top"/>
          </w:tcPr>
          <w:p w14:paraId="4D26D448">
            <w:pPr>
              <w:pStyle w:val="594"/>
            </w:pPr>
          </w:p>
        </w:tc>
      </w:tr>
      <w:tr w14:paraId="09CE7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837" w:type="dxa"/>
            <w:tcBorders>
              <w:left w:val="single" w:color="000000" w:sz="10" w:space="0"/>
            </w:tcBorders>
            <w:vAlign w:val="top"/>
          </w:tcPr>
          <w:p w14:paraId="671E5FF0">
            <w:pPr>
              <w:pStyle w:val="594"/>
            </w:pPr>
          </w:p>
        </w:tc>
        <w:tc>
          <w:tcPr>
            <w:tcW w:w="2733" w:type="dxa"/>
            <w:vAlign w:val="top"/>
          </w:tcPr>
          <w:p w14:paraId="0816498D">
            <w:pPr>
              <w:pStyle w:val="594"/>
            </w:pPr>
          </w:p>
        </w:tc>
        <w:tc>
          <w:tcPr>
            <w:tcW w:w="2852" w:type="dxa"/>
            <w:gridSpan w:val="2"/>
            <w:vAlign w:val="top"/>
          </w:tcPr>
          <w:p w14:paraId="7C3018F9">
            <w:pPr>
              <w:pStyle w:val="594"/>
            </w:pPr>
          </w:p>
        </w:tc>
        <w:tc>
          <w:tcPr>
            <w:tcW w:w="1479" w:type="dxa"/>
            <w:gridSpan w:val="2"/>
            <w:vAlign w:val="top"/>
          </w:tcPr>
          <w:p w14:paraId="53DC61E5">
            <w:pPr>
              <w:pStyle w:val="594"/>
            </w:pPr>
          </w:p>
        </w:tc>
        <w:tc>
          <w:tcPr>
            <w:tcW w:w="955" w:type="dxa"/>
            <w:vAlign w:val="top"/>
          </w:tcPr>
          <w:p w14:paraId="36ED4552">
            <w:pPr>
              <w:pStyle w:val="594"/>
            </w:pPr>
          </w:p>
        </w:tc>
        <w:tc>
          <w:tcPr>
            <w:tcW w:w="1555" w:type="dxa"/>
            <w:tcBorders>
              <w:right w:val="single" w:color="000000" w:sz="10" w:space="0"/>
            </w:tcBorders>
            <w:vAlign w:val="top"/>
          </w:tcPr>
          <w:p w14:paraId="50ADB9DD">
            <w:pPr>
              <w:pStyle w:val="594"/>
            </w:pPr>
          </w:p>
        </w:tc>
      </w:tr>
      <w:tr w14:paraId="6D0E1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837" w:type="dxa"/>
            <w:tcBorders>
              <w:left w:val="single" w:color="000000" w:sz="10" w:space="0"/>
            </w:tcBorders>
            <w:vAlign w:val="top"/>
          </w:tcPr>
          <w:p w14:paraId="3AD15CEA">
            <w:pPr>
              <w:pStyle w:val="594"/>
            </w:pPr>
          </w:p>
        </w:tc>
        <w:tc>
          <w:tcPr>
            <w:tcW w:w="2733" w:type="dxa"/>
            <w:vAlign w:val="top"/>
          </w:tcPr>
          <w:p w14:paraId="4A31674E">
            <w:pPr>
              <w:pStyle w:val="594"/>
            </w:pPr>
          </w:p>
        </w:tc>
        <w:tc>
          <w:tcPr>
            <w:tcW w:w="2852" w:type="dxa"/>
            <w:gridSpan w:val="2"/>
            <w:vAlign w:val="top"/>
          </w:tcPr>
          <w:p w14:paraId="39B1403B">
            <w:pPr>
              <w:pStyle w:val="594"/>
            </w:pPr>
          </w:p>
        </w:tc>
        <w:tc>
          <w:tcPr>
            <w:tcW w:w="1479" w:type="dxa"/>
            <w:gridSpan w:val="2"/>
            <w:vAlign w:val="top"/>
          </w:tcPr>
          <w:p w14:paraId="167944FC">
            <w:pPr>
              <w:pStyle w:val="594"/>
            </w:pPr>
          </w:p>
        </w:tc>
        <w:tc>
          <w:tcPr>
            <w:tcW w:w="955" w:type="dxa"/>
            <w:vAlign w:val="top"/>
          </w:tcPr>
          <w:p w14:paraId="0C7DFCDB">
            <w:pPr>
              <w:pStyle w:val="594"/>
            </w:pPr>
          </w:p>
        </w:tc>
        <w:tc>
          <w:tcPr>
            <w:tcW w:w="1555" w:type="dxa"/>
            <w:tcBorders>
              <w:right w:val="single" w:color="000000" w:sz="10" w:space="0"/>
            </w:tcBorders>
            <w:vAlign w:val="top"/>
          </w:tcPr>
          <w:p w14:paraId="23091E96">
            <w:pPr>
              <w:pStyle w:val="594"/>
            </w:pPr>
          </w:p>
        </w:tc>
      </w:tr>
      <w:tr w14:paraId="39422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837" w:type="dxa"/>
            <w:tcBorders>
              <w:left w:val="single" w:color="000000" w:sz="10" w:space="0"/>
            </w:tcBorders>
            <w:vAlign w:val="top"/>
          </w:tcPr>
          <w:p w14:paraId="1D01EDE2">
            <w:pPr>
              <w:pStyle w:val="594"/>
            </w:pPr>
          </w:p>
        </w:tc>
        <w:tc>
          <w:tcPr>
            <w:tcW w:w="2733" w:type="dxa"/>
            <w:vAlign w:val="top"/>
          </w:tcPr>
          <w:p w14:paraId="2A81DA37">
            <w:pPr>
              <w:pStyle w:val="594"/>
            </w:pPr>
          </w:p>
        </w:tc>
        <w:tc>
          <w:tcPr>
            <w:tcW w:w="2852" w:type="dxa"/>
            <w:gridSpan w:val="2"/>
            <w:vAlign w:val="top"/>
          </w:tcPr>
          <w:p w14:paraId="7081F7DB">
            <w:pPr>
              <w:pStyle w:val="594"/>
            </w:pPr>
          </w:p>
        </w:tc>
        <w:tc>
          <w:tcPr>
            <w:tcW w:w="1479" w:type="dxa"/>
            <w:gridSpan w:val="2"/>
            <w:vAlign w:val="top"/>
          </w:tcPr>
          <w:p w14:paraId="7113FF65">
            <w:pPr>
              <w:pStyle w:val="594"/>
            </w:pPr>
          </w:p>
        </w:tc>
        <w:tc>
          <w:tcPr>
            <w:tcW w:w="955" w:type="dxa"/>
            <w:vAlign w:val="top"/>
          </w:tcPr>
          <w:p w14:paraId="5F9952D7">
            <w:pPr>
              <w:pStyle w:val="594"/>
            </w:pPr>
          </w:p>
        </w:tc>
        <w:tc>
          <w:tcPr>
            <w:tcW w:w="1555" w:type="dxa"/>
            <w:tcBorders>
              <w:right w:val="single" w:color="000000" w:sz="10" w:space="0"/>
            </w:tcBorders>
            <w:vAlign w:val="top"/>
          </w:tcPr>
          <w:p w14:paraId="26200235">
            <w:pPr>
              <w:pStyle w:val="594"/>
            </w:pPr>
          </w:p>
        </w:tc>
      </w:tr>
      <w:tr w14:paraId="6E961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837" w:type="dxa"/>
            <w:tcBorders>
              <w:left w:val="single" w:color="000000" w:sz="10" w:space="0"/>
            </w:tcBorders>
            <w:vAlign w:val="top"/>
          </w:tcPr>
          <w:p w14:paraId="6E4449D5">
            <w:pPr>
              <w:pStyle w:val="594"/>
            </w:pPr>
          </w:p>
        </w:tc>
        <w:tc>
          <w:tcPr>
            <w:tcW w:w="2733" w:type="dxa"/>
            <w:vAlign w:val="top"/>
          </w:tcPr>
          <w:p w14:paraId="15F28AFE">
            <w:pPr>
              <w:pStyle w:val="594"/>
            </w:pPr>
          </w:p>
        </w:tc>
        <w:tc>
          <w:tcPr>
            <w:tcW w:w="2852" w:type="dxa"/>
            <w:gridSpan w:val="2"/>
            <w:vAlign w:val="top"/>
          </w:tcPr>
          <w:p w14:paraId="7B8E4670">
            <w:pPr>
              <w:pStyle w:val="594"/>
            </w:pPr>
          </w:p>
        </w:tc>
        <w:tc>
          <w:tcPr>
            <w:tcW w:w="1479" w:type="dxa"/>
            <w:gridSpan w:val="2"/>
            <w:vAlign w:val="top"/>
          </w:tcPr>
          <w:p w14:paraId="7C98966B">
            <w:pPr>
              <w:pStyle w:val="594"/>
            </w:pPr>
          </w:p>
        </w:tc>
        <w:tc>
          <w:tcPr>
            <w:tcW w:w="955" w:type="dxa"/>
            <w:vAlign w:val="top"/>
          </w:tcPr>
          <w:p w14:paraId="4FA93714">
            <w:pPr>
              <w:pStyle w:val="594"/>
            </w:pPr>
          </w:p>
        </w:tc>
        <w:tc>
          <w:tcPr>
            <w:tcW w:w="1555" w:type="dxa"/>
            <w:tcBorders>
              <w:right w:val="single" w:color="000000" w:sz="10" w:space="0"/>
            </w:tcBorders>
            <w:vAlign w:val="top"/>
          </w:tcPr>
          <w:p w14:paraId="5663909A">
            <w:pPr>
              <w:pStyle w:val="594"/>
            </w:pPr>
          </w:p>
        </w:tc>
      </w:tr>
      <w:tr w14:paraId="0CB12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837" w:type="dxa"/>
            <w:tcBorders>
              <w:left w:val="single" w:color="000000" w:sz="10" w:space="0"/>
            </w:tcBorders>
            <w:vAlign w:val="top"/>
          </w:tcPr>
          <w:p w14:paraId="6567A896">
            <w:pPr>
              <w:pStyle w:val="594"/>
            </w:pPr>
          </w:p>
        </w:tc>
        <w:tc>
          <w:tcPr>
            <w:tcW w:w="2733" w:type="dxa"/>
            <w:vAlign w:val="top"/>
          </w:tcPr>
          <w:p w14:paraId="6A63DC78">
            <w:pPr>
              <w:pStyle w:val="594"/>
            </w:pPr>
          </w:p>
        </w:tc>
        <w:tc>
          <w:tcPr>
            <w:tcW w:w="2852" w:type="dxa"/>
            <w:gridSpan w:val="2"/>
            <w:vAlign w:val="top"/>
          </w:tcPr>
          <w:p w14:paraId="3210F2FC">
            <w:pPr>
              <w:pStyle w:val="594"/>
            </w:pPr>
          </w:p>
        </w:tc>
        <w:tc>
          <w:tcPr>
            <w:tcW w:w="1479" w:type="dxa"/>
            <w:gridSpan w:val="2"/>
            <w:vAlign w:val="top"/>
          </w:tcPr>
          <w:p w14:paraId="549CB1D2">
            <w:pPr>
              <w:pStyle w:val="594"/>
            </w:pPr>
          </w:p>
        </w:tc>
        <w:tc>
          <w:tcPr>
            <w:tcW w:w="955" w:type="dxa"/>
            <w:vAlign w:val="top"/>
          </w:tcPr>
          <w:p w14:paraId="4414DD33">
            <w:pPr>
              <w:pStyle w:val="594"/>
            </w:pPr>
          </w:p>
        </w:tc>
        <w:tc>
          <w:tcPr>
            <w:tcW w:w="1555" w:type="dxa"/>
            <w:tcBorders>
              <w:right w:val="single" w:color="000000" w:sz="10" w:space="0"/>
            </w:tcBorders>
            <w:vAlign w:val="top"/>
          </w:tcPr>
          <w:p w14:paraId="077F695B">
            <w:pPr>
              <w:pStyle w:val="594"/>
            </w:pPr>
          </w:p>
        </w:tc>
      </w:tr>
      <w:tr w14:paraId="38279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837" w:type="dxa"/>
            <w:tcBorders>
              <w:left w:val="single" w:color="000000" w:sz="10" w:space="0"/>
            </w:tcBorders>
            <w:vAlign w:val="top"/>
          </w:tcPr>
          <w:p w14:paraId="48709B07">
            <w:pPr>
              <w:pStyle w:val="594"/>
            </w:pPr>
          </w:p>
        </w:tc>
        <w:tc>
          <w:tcPr>
            <w:tcW w:w="2733" w:type="dxa"/>
            <w:vAlign w:val="top"/>
          </w:tcPr>
          <w:p w14:paraId="3A1811C3">
            <w:pPr>
              <w:pStyle w:val="594"/>
            </w:pPr>
          </w:p>
        </w:tc>
        <w:tc>
          <w:tcPr>
            <w:tcW w:w="2852" w:type="dxa"/>
            <w:gridSpan w:val="2"/>
            <w:vAlign w:val="top"/>
          </w:tcPr>
          <w:p w14:paraId="3BAE0E48">
            <w:pPr>
              <w:pStyle w:val="594"/>
            </w:pPr>
          </w:p>
        </w:tc>
        <w:tc>
          <w:tcPr>
            <w:tcW w:w="1479" w:type="dxa"/>
            <w:gridSpan w:val="2"/>
            <w:vAlign w:val="top"/>
          </w:tcPr>
          <w:p w14:paraId="359FB97F">
            <w:pPr>
              <w:pStyle w:val="594"/>
            </w:pPr>
          </w:p>
        </w:tc>
        <w:tc>
          <w:tcPr>
            <w:tcW w:w="955" w:type="dxa"/>
            <w:vAlign w:val="top"/>
          </w:tcPr>
          <w:p w14:paraId="33635CAF">
            <w:pPr>
              <w:pStyle w:val="594"/>
            </w:pPr>
          </w:p>
        </w:tc>
        <w:tc>
          <w:tcPr>
            <w:tcW w:w="1555" w:type="dxa"/>
            <w:tcBorders>
              <w:right w:val="single" w:color="000000" w:sz="10" w:space="0"/>
            </w:tcBorders>
            <w:vAlign w:val="top"/>
          </w:tcPr>
          <w:p w14:paraId="35342AE2">
            <w:pPr>
              <w:pStyle w:val="594"/>
            </w:pPr>
          </w:p>
        </w:tc>
      </w:tr>
      <w:tr w14:paraId="34904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837" w:type="dxa"/>
            <w:tcBorders>
              <w:left w:val="single" w:color="000000" w:sz="10" w:space="0"/>
            </w:tcBorders>
            <w:vAlign w:val="top"/>
          </w:tcPr>
          <w:p w14:paraId="13E698C0">
            <w:pPr>
              <w:pStyle w:val="594"/>
            </w:pPr>
          </w:p>
        </w:tc>
        <w:tc>
          <w:tcPr>
            <w:tcW w:w="2733" w:type="dxa"/>
            <w:vAlign w:val="top"/>
          </w:tcPr>
          <w:p w14:paraId="7C18DB9C">
            <w:pPr>
              <w:pStyle w:val="594"/>
            </w:pPr>
          </w:p>
        </w:tc>
        <w:tc>
          <w:tcPr>
            <w:tcW w:w="2852" w:type="dxa"/>
            <w:gridSpan w:val="2"/>
            <w:vAlign w:val="top"/>
          </w:tcPr>
          <w:p w14:paraId="59475333">
            <w:pPr>
              <w:pStyle w:val="594"/>
            </w:pPr>
          </w:p>
        </w:tc>
        <w:tc>
          <w:tcPr>
            <w:tcW w:w="1479" w:type="dxa"/>
            <w:gridSpan w:val="2"/>
            <w:vAlign w:val="top"/>
          </w:tcPr>
          <w:p w14:paraId="2D067C8B">
            <w:pPr>
              <w:pStyle w:val="594"/>
            </w:pPr>
          </w:p>
        </w:tc>
        <w:tc>
          <w:tcPr>
            <w:tcW w:w="955" w:type="dxa"/>
            <w:vAlign w:val="top"/>
          </w:tcPr>
          <w:p w14:paraId="26DF46E4">
            <w:pPr>
              <w:pStyle w:val="594"/>
            </w:pPr>
          </w:p>
        </w:tc>
        <w:tc>
          <w:tcPr>
            <w:tcW w:w="1555" w:type="dxa"/>
            <w:tcBorders>
              <w:right w:val="single" w:color="000000" w:sz="10" w:space="0"/>
            </w:tcBorders>
            <w:vAlign w:val="top"/>
          </w:tcPr>
          <w:p w14:paraId="407301D3">
            <w:pPr>
              <w:pStyle w:val="594"/>
            </w:pPr>
          </w:p>
        </w:tc>
      </w:tr>
      <w:tr w14:paraId="1A5FF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837" w:type="dxa"/>
            <w:tcBorders>
              <w:left w:val="single" w:color="000000" w:sz="10" w:space="0"/>
            </w:tcBorders>
            <w:vAlign w:val="top"/>
          </w:tcPr>
          <w:p w14:paraId="66DB699B">
            <w:pPr>
              <w:pStyle w:val="594"/>
            </w:pPr>
          </w:p>
        </w:tc>
        <w:tc>
          <w:tcPr>
            <w:tcW w:w="2733" w:type="dxa"/>
            <w:vAlign w:val="top"/>
          </w:tcPr>
          <w:p w14:paraId="20552DD0">
            <w:pPr>
              <w:pStyle w:val="594"/>
            </w:pPr>
          </w:p>
        </w:tc>
        <w:tc>
          <w:tcPr>
            <w:tcW w:w="2852" w:type="dxa"/>
            <w:gridSpan w:val="2"/>
            <w:vAlign w:val="top"/>
          </w:tcPr>
          <w:p w14:paraId="33EA353E">
            <w:pPr>
              <w:pStyle w:val="594"/>
            </w:pPr>
          </w:p>
        </w:tc>
        <w:tc>
          <w:tcPr>
            <w:tcW w:w="1479" w:type="dxa"/>
            <w:gridSpan w:val="2"/>
            <w:vAlign w:val="top"/>
          </w:tcPr>
          <w:p w14:paraId="007ECBE3">
            <w:pPr>
              <w:pStyle w:val="594"/>
            </w:pPr>
          </w:p>
        </w:tc>
        <w:tc>
          <w:tcPr>
            <w:tcW w:w="955" w:type="dxa"/>
            <w:vAlign w:val="top"/>
          </w:tcPr>
          <w:p w14:paraId="0EB97CB8">
            <w:pPr>
              <w:pStyle w:val="594"/>
            </w:pPr>
          </w:p>
        </w:tc>
        <w:tc>
          <w:tcPr>
            <w:tcW w:w="1555" w:type="dxa"/>
            <w:tcBorders>
              <w:right w:val="single" w:color="000000" w:sz="10" w:space="0"/>
            </w:tcBorders>
            <w:vAlign w:val="top"/>
          </w:tcPr>
          <w:p w14:paraId="7400F1BF">
            <w:pPr>
              <w:pStyle w:val="594"/>
            </w:pPr>
          </w:p>
        </w:tc>
      </w:tr>
      <w:tr w14:paraId="7C171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837" w:type="dxa"/>
            <w:tcBorders>
              <w:left w:val="single" w:color="000000" w:sz="10" w:space="0"/>
            </w:tcBorders>
            <w:vAlign w:val="top"/>
          </w:tcPr>
          <w:p w14:paraId="79DC6B62">
            <w:pPr>
              <w:pStyle w:val="594"/>
            </w:pPr>
          </w:p>
        </w:tc>
        <w:tc>
          <w:tcPr>
            <w:tcW w:w="2733" w:type="dxa"/>
            <w:vAlign w:val="top"/>
          </w:tcPr>
          <w:p w14:paraId="593F541A">
            <w:pPr>
              <w:pStyle w:val="594"/>
            </w:pPr>
          </w:p>
        </w:tc>
        <w:tc>
          <w:tcPr>
            <w:tcW w:w="2852" w:type="dxa"/>
            <w:gridSpan w:val="2"/>
            <w:vAlign w:val="top"/>
          </w:tcPr>
          <w:p w14:paraId="4B4B1182">
            <w:pPr>
              <w:pStyle w:val="594"/>
            </w:pPr>
          </w:p>
        </w:tc>
        <w:tc>
          <w:tcPr>
            <w:tcW w:w="1479" w:type="dxa"/>
            <w:gridSpan w:val="2"/>
            <w:vAlign w:val="top"/>
          </w:tcPr>
          <w:p w14:paraId="1FA951AA">
            <w:pPr>
              <w:pStyle w:val="594"/>
            </w:pPr>
          </w:p>
        </w:tc>
        <w:tc>
          <w:tcPr>
            <w:tcW w:w="955" w:type="dxa"/>
            <w:vAlign w:val="top"/>
          </w:tcPr>
          <w:p w14:paraId="4DFE753A">
            <w:pPr>
              <w:pStyle w:val="594"/>
            </w:pPr>
          </w:p>
        </w:tc>
        <w:tc>
          <w:tcPr>
            <w:tcW w:w="1555" w:type="dxa"/>
            <w:tcBorders>
              <w:right w:val="single" w:color="000000" w:sz="10" w:space="0"/>
            </w:tcBorders>
            <w:vAlign w:val="top"/>
          </w:tcPr>
          <w:p w14:paraId="36E81C6F">
            <w:pPr>
              <w:pStyle w:val="594"/>
            </w:pPr>
          </w:p>
        </w:tc>
      </w:tr>
      <w:tr w14:paraId="2D6AB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837" w:type="dxa"/>
            <w:tcBorders>
              <w:left w:val="single" w:color="000000" w:sz="10" w:space="0"/>
            </w:tcBorders>
            <w:vAlign w:val="top"/>
          </w:tcPr>
          <w:p w14:paraId="6BE7AA8D">
            <w:pPr>
              <w:pStyle w:val="594"/>
            </w:pPr>
          </w:p>
        </w:tc>
        <w:tc>
          <w:tcPr>
            <w:tcW w:w="2733" w:type="dxa"/>
            <w:vAlign w:val="top"/>
          </w:tcPr>
          <w:p w14:paraId="0DB9FC20">
            <w:pPr>
              <w:pStyle w:val="594"/>
            </w:pPr>
          </w:p>
        </w:tc>
        <w:tc>
          <w:tcPr>
            <w:tcW w:w="2852" w:type="dxa"/>
            <w:gridSpan w:val="2"/>
            <w:vAlign w:val="top"/>
          </w:tcPr>
          <w:p w14:paraId="4EAB4F37">
            <w:pPr>
              <w:pStyle w:val="594"/>
            </w:pPr>
          </w:p>
        </w:tc>
        <w:tc>
          <w:tcPr>
            <w:tcW w:w="1479" w:type="dxa"/>
            <w:gridSpan w:val="2"/>
            <w:vAlign w:val="top"/>
          </w:tcPr>
          <w:p w14:paraId="58C2C656">
            <w:pPr>
              <w:pStyle w:val="594"/>
            </w:pPr>
          </w:p>
        </w:tc>
        <w:tc>
          <w:tcPr>
            <w:tcW w:w="955" w:type="dxa"/>
            <w:vAlign w:val="top"/>
          </w:tcPr>
          <w:p w14:paraId="4CAE4E25">
            <w:pPr>
              <w:pStyle w:val="594"/>
            </w:pPr>
          </w:p>
        </w:tc>
        <w:tc>
          <w:tcPr>
            <w:tcW w:w="1555" w:type="dxa"/>
            <w:tcBorders>
              <w:right w:val="single" w:color="000000" w:sz="10" w:space="0"/>
            </w:tcBorders>
            <w:vAlign w:val="top"/>
          </w:tcPr>
          <w:p w14:paraId="462AB06F">
            <w:pPr>
              <w:pStyle w:val="594"/>
            </w:pPr>
          </w:p>
        </w:tc>
      </w:tr>
      <w:tr w14:paraId="682F7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837" w:type="dxa"/>
            <w:tcBorders>
              <w:left w:val="single" w:color="000000" w:sz="10" w:space="0"/>
            </w:tcBorders>
            <w:vAlign w:val="top"/>
          </w:tcPr>
          <w:p w14:paraId="3B37CCF0">
            <w:pPr>
              <w:pStyle w:val="594"/>
            </w:pPr>
          </w:p>
        </w:tc>
        <w:tc>
          <w:tcPr>
            <w:tcW w:w="2733" w:type="dxa"/>
            <w:vAlign w:val="top"/>
          </w:tcPr>
          <w:p w14:paraId="2A1271E0">
            <w:pPr>
              <w:pStyle w:val="594"/>
            </w:pPr>
          </w:p>
        </w:tc>
        <w:tc>
          <w:tcPr>
            <w:tcW w:w="2852" w:type="dxa"/>
            <w:gridSpan w:val="2"/>
            <w:vAlign w:val="top"/>
          </w:tcPr>
          <w:p w14:paraId="23E18B2F">
            <w:pPr>
              <w:pStyle w:val="594"/>
            </w:pPr>
          </w:p>
        </w:tc>
        <w:tc>
          <w:tcPr>
            <w:tcW w:w="1479" w:type="dxa"/>
            <w:gridSpan w:val="2"/>
            <w:vAlign w:val="top"/>
          </w:tcPr>
          <w:p w14:paraId="4309C959">
            <w:pPr>
              <w:pStyle w:val="594"/>
            </w:pPr>
          </w:p>
        </w:tc>
        <w:tc>
          <w:tcPr>
            <w:tcW w:w="955" w:type="dxa"/>
            <w:vAlign w:val="top"/>
          </w:tcPr>
          <w:p w14:paraId="4B439DE9">
            <w:pPr>
              <w:pStyle w:val="594"/>
            </w:pPr>
          </w:p>
        </w:tc>
        <w:tc>
          <w:tcPr>
            <w:tcW w:w="1555" w:type="dxa"/>
            <w:tcBorders>
              <w:right w:val="single" w:color="000000" w:sz="10" w:space="0"/>
            </w:tcBorders>
            <w:vAlign w:val="top"/>
          </w:tcPr>
          <w:p w14:paraId="62AF976A">
            <w:pPr>
              <w:pStyle w:val="594"/>
            </w:pPr>
          </w:p>
        </w:tc>
      </w:tr>
      <w:tr w14:paraId="7E470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837" w:type="dxa"/>
            <w:tcBorders>
              <w:left w:val="single" w:color="000000" w:sz="10" w:space="0"/>
            </w:tcBorders>
            <w:vAlign w:val="top"/>
          </w:tcPr>
          <w:p w14:paraId="3B60EE16">
            <w:pPr>
              <w:pStyle w:val="594"/>
            </w:pPr>
          </w:p>
        </w:tc>
        <w:tc>
          <w:tcPr>
            <w:tcW w:w="2733" w:type="dxa"/>
            <w:vAlign w:val="top"/>
          </w:tcPr>
          <w:p w14:paraId="0C57E317">
            <w:pPr>
              <w:pStyle w:val="594"/>
            </w:pPr>
          </w:p>
        </w:tc>
        <w:tc>
          <w:tcPr>
            <w:tcW w:w="2852" w:type="dxa"/>
            <w:gridSpan w:val="2"/>
            <w:vAlign w:val="top"/>
          </w:tcPr>
          <w:p w14:paraId="2640AABB">
            <w:pPr>
              <w:pStyle w:val="594"/>
            </w:pPr>
          </w:p>
        </w:tc>
        <w:tc>
          <w:tcPr>
            <w:tcW w:w="1479" w:type="dxa"/>
            <w:gridSpan w:val="2"/>
            <w:vAlign w:val="top"/>
          </w:tcPr>
          <w:p w14:paraId="5074AE8A">
            <w:pPr>
              <w:pStyle w:val="594"/>
            </w:pPr>
          </w:p>
        </w:tc>
        <w:tc>
          <w:tcPr>
            <w:tcW w:w="955" w:type="dxa"/>
            <w:vAlign w:val="top"/>
          </w:tcPr>
          <w:p w14:paraId="73B6CC65">
            <w:pPr>
              <w:pStyle w:val="594"/>
            </w:pPr>
          </w:p>
        </w:tc>
        <w:tc>
          <w:tcPr>
            <w:tcW w:w="1555" w:type="dxa"/>
            <w:tcBorders>
              <w:right w:val="single" w:color="000000" w:sz="10" w:space="0"/>
            </w:tcBorders>
            <w:vAlign w:val="top"/>
          </w:tcPr>
          <w:p w14:paraId="53E85A8F">
            <w:pPr>
              <w:pStyle w:val="594"/>
            </w:pPr>
          </w:p>
        </w:tc>
      </w:tr>
      <w:tr w14:paraId="65A42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837" w:type="dxa"/>
            <w:tcBorders>
              <w:left w:val="single" w:color="000000" w:sz="10" w:space="0"/>
            </w:tcBorders>
            <w:vAlign w:val="top"/>
          </w:tcPr>
          <w:p w14:paraId="6A03E1EF">
            <w:pPr>
              <w:pStyle w:val="594"/>
            </w:pPr>
          </w:p>
        </w:tc>
        <w:tc>
          <w:tcPr>
            <w:tcW w:w="2733" w:type="dxa"/>
            <w:vAlign w:val="top"/>
          </w:tcPr>
          <w:p w14:paraId="24906D4B">
            <w:pPr>
              <w:pStyle w:val="594"/>
            </w:pPr>
          </w:p>
        </w:tc>
        <w:tc>
          <w:tcPr>
            <w:tcW w:w="2852" w:type="dxa"/>
            <w:gridSpan w:val="2"/>
            <w:vAlign w:val="top"/>
          </w:tcPr>
          <w:p w14:paraId="2EA73956">
            <w:pPr>
              <w:pStyle w:val="594"/>
            </w:pPr>
          </w:p>
        </w:tc>
        <w:tc>
          <w:tcPr>
            <w:tcW w:w="1479" w:type="dxa"/>
            <w:gridSpan w:val="2"/>
            <w:vAlign w:val="top"/>
          </w:tcPr>
          <w:p w14:paraId="10D4FD36">
            <w:pPr>
              <w:pStyle w:val="594"/>
            </w:pPr>
          </w:p>
        </w:tc>
        <w:tc>
          <w:tcPr>
            <w:tcW w:w="955" w:type="dxa"/>
            <w:vAlign w:val="top"/>
          </w:tcPr>
          <w:p w14:paraId="6917C346">
            <w:pPr>
              <w:pStyle w:val="594"/>
            </w:pPr>
          </w:p>
        </w:tc>
        <w:tc>
          <w:tcPr>
            <w:tcW w:w="1555" w:type="dxa"/>
            <w:tcBorders>
              <w:right w:val="single" w:color="000000" w:sz="10" w:space="0"/>
            </w:tcBorders>
            <w:vAlign w:val="top"/>
          </w:tcPr>
          <w:p w14:paraId="4642E436">
            <w:pPr>
              <w:pStyle w:val="594"/>
            </w:pPr>
          </w:p>
        </w:tc>
      </w:tr>
      <w:tr w14:paraId="093D4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837" w:type="dxa"/>
            <w:tcBorders>
              <w:left w:val="single" w:color="000000" w:sz="10" w:space="0"/>
            </w:tcBorders>
            <w:vAlign w:val="top"/>
          </w:tcPr>
          <w:p w14:paraId="043144A1">
            <w:pPr>
              <w:pStyle w:val="594"/>
            </w:pPr>
          </w:p>
        </w:tc>
        <w:tc>
          <w:tcPr>
            <w:tcW w:w="2733" w:type="dxa"/>
            <w:vAlign w:val="top"/>
          </w:tcPr>
          <w:p w14:paraId="5D69BA58">
            <w:pPr>
              <w:pStyle w:val="594"/>
            </w:pPr>
          </w:p>
        </w:tc>
        <w:tc>
          <w:tcPr>
            <w:tcW w:w="2852" w:type="dxa"/>
            <w:gridSpan w:val="2"/>
            <w:vAlign w:val="top"/>
          </w:tcPr>
          <w:p w14:paraId="5982CC41">
            <w:pPr>
              <w:pStyle w:val="594"/>
            </w:pPr>
          </w:p>
        </w:tc>
        <w:tc>
          <w:tcPr>
            <w:tcW w:w="1479" w:type="dxa"/>
            <w:gridSpan w:val="2"/>
            <w:vAlign w:val="top"/>
          </w:tcPr>
          <w:p w14:paraId="3C19FE41">
            <w:pPr>
              <w:pStyle w:val="594"/>
            </w:pPr>
          </w:p>
        </w:tc>
        <w:tc>
          <w:tcPr>
            <w:tcW w:w="955" w:type="dxa"/>
            <w:vAlign w:val="top"/>
          </w:tcPr>
          <w:p w14:paraId="652AA611">
            <w:pPr>
              <w:pStyle w:val="594"/>
            </w:pPr>
          </w:p>
        </w:tc>
        <w:tc>
          <w:tcPr>
            <w:tcW w:w="1555" w:type="dxa"/>
            <w:tcBorders>
              <w:right w:val="single" w:color="000000" w:sz="10" w:space="0"/>
            </w:tcBorders>
            <w:vAlign w:val="top"/>
          </w:tcPr>
          <w:p w14:paraId="27818409">
            <w:pPr>
              <w:pStyle w:val="594"/>
            </w:pPr>
          </w:p>
        </w:tc>
      </w:tr>
      <w:tr w14:paraId="2DC46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837" w:type="dxa"/>
            <w:tcBorders>
              <w:left w:val="single" w:color="000000" w:sz="10" w:space="0"/>
            </w:tcBorders>
            <w:vAlign w:val="top"/>
          </w:tcPr>
          <w:p w14:paraId="4D69D93F">
            <w:pPr>
              <w:pStyle w:val="594"/>
            </w:pPr>
          </w:p>
        </w:tc>
        <w:tc>
          <w:tcPr>
            <w:tcW w:w="2733" w:type="dxa"/>
            <w:vAlign w:val="top"/>
          </w:tcPr>
          <w:p w14:paraId="74FDCF2A">
            <w:pPr>
              <w:pStyle w:val="594"/>
            </w:pPr>
          </w:p>
        </w:tc>
        <w:tc>
          <w:tcPr>
            <w:tcW w:w="2852" w:type="dxa"/>
            <w:gridSpan w:val="2"/>
            <w:vAlign w:val="top"/>
          </w:tcPr>
          <w:p w14:paraId="4C96664D">
            <w:pPr>
              <w:pStyle w:val="594"/>
            </w:pPr>
          </w:p>
        </w:tc>
        <w:tc>
          <w:tcPr>
            <w:tcW w:w="1479" w:type="dxa"/>
            <w:gridSpan w:val="2"/>
            <w:vAlign w:val="top"/>
          </w:tcPr>
          <w:p w14:paraId="356E4B20">
            <w:pPr>
              <w:pStyle w:val="594"/>
            </w:pPr>
          </w:p>
        </w:tc>
        <w:tc>
          <w:tcPr>
            <w:tcW w:w="955" w:type="dxa"/>
            <w:vAlign w:val="top"/>
          </w:tcPr>
          <w:p w14:paraId="4BE454F1">
            <w:pPr>
              <w:pStyle w:val="594"/>
            </w:pPr>
          </w:p>
        </w:tc>
        <w:tc>
          <w:tcPr>
            <w:tcW w:w="1555" w:type="dxa"/>
            <w:tcBorders>
              <w:right w:val="single" w:color="000000" w:sz="10" w:space="0"/>
            </w:tcBorders>
            <w:vAlign w:val="top"/>
          </w:tcPr>
          <w:p w14:paraId="36553622">
            <w:pPr>
              <w:pStyle w:val="594"/>
            </w:pPr>
          </w:p>
        </w:tc>
      </w:tr>
      <w:tr w14:paraId="39418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8856" w:type="dxa"/>
            <w:gridSpan w:val="7"/>
            <w:tcBorders>
              <w:left w:val="single" w:color="000000" w:sz="10" w:space="0"/>
              <w:bottom w:val="single" w:color="000000" w:sz="10" w:space="0"/>
            </w:tcBorders>
            <w:vAlign w:val="top"/>
          </w:tcPr>
          <w:p w14:paraId="4DAD484E">
            <w:pPr>
              <w:spacing w:before="92" w:line="231" w:lineRule="auto"/>
              <w:ind w:left="4026"/>
              <w:rPr>
                <w:rFonts w:ascii="宋体" w:hAnsi="宋体" w:eastAsia="宋体" w:cs="宋体"/>
                <w:sz w:val="19"/>
                <w:szCs w:val="19"/>
              </w:rPr>
            </w:pPr>
            <w:r>
              <w:rPr>
                <w:rFonts w:ascii="宋体" w:hAnsi="宋体" w:eastAsia="宋体" w:cs="宋体"/>
                <w:spacing w:val="1"/>
                <w:sz w:val="19"/>
                <w:szCs w:val="19"/>
              </w:rPr>
              <w:t>合</w:t>
            </w:r>
            <w:r>
              <w:rPr>
                <w:rFonts w:ascii="宋体" w:hAnsi="宋体" w:eastAsia="宋体" w:cs="宋体"/>
                <w:spacing w:val="10"/>
                <w:sz w:val="19"/>
                <w:szCs w:val="19"/>
              </w:rPr>
              <w:t xml:space="preserve">    </w:t>
            </w:r>
            <w:r>
              <w:rPr>
                <w:rFonts w:ascii="宋体" w:hAnsi="宋体" w:eastAsia="宋体" w:cs="宋体"/>
                <w:spacing w:val="1"/>
                <w:sz w:val="19"/>
                <w:szCs w:val="19"/>
              </w:rPr>
              <w:t>计</w:t>
            </w:r>
          </w:p>
        </w:tc>
        <w:tc>
          <w:tcPr>
            <w:tcW w:w="1555" w:type="dxa"/>
            <w:tcBorders>
              <w:bottom w:val="single" w:color="000000" w:sz="10" w:space="0"/>
              <w:right w:val="single" w:color="000000" w:sz="10" w:space="0"/>
            </w:tcBorders>
            <w:vAlign w:val="top"/>
          </w:tcPr>
          <w:p w14:paraId="70D7DB59">
            <w:pPr>
              <w:pStyle w:val="594"/>
            </w:pPr>
          </w:p>
        </w:tc>
      </w:tr>
    </w:tbl>
    <w:p w14:paraId="33E80614">
      <w:pPr>
        <w:spacing w:before="92"/>
      </w:pPr>
    </w:p>
    <w:tbl>
      <w:tblPr>
        <w:tblStyle w:val="333"/>
        <w:tblW w:w="10401"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7528"/>
        <w:gridCol w:w="2873"/>
      </w:tblGrid>
      <w:tr w14:paraId="68D1A0F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9" w:hRule="atLeast"/>
        </w:trPr>
        <w:tc>
          <w:tcPr>
            <w:tcW w:w="7528" w:type="dxa"/>
            <w:tcBorders>
              <w:bottom w:val="single" w:color="FFFFFF" w:sz="2" w:space="0"/>
              <w:right w:val="single" w:color="FFFFFF" w:sz="4" w:space="0"/>
            </w:tcBorders>
            <w:vAlign w:val="top"/>
          </w:tcPr>
          <w:p w14:paraId="106AC270">
            <w:pPr>
              <w:pStyle w:val="594"/>
            </w:pPr>
            <w:r>
              <w:drawing>
                <wp:anchor distT="0" distB="0" distL="0" distR="0" simplePos="0" relativeHeight="251669504" behindDoc="1" locked="0" layoutInCell="1" allowOverlap="1">
                  <wp:simplePos x="0" y="0"/>
                  <wp:positionH relativeFrom="rightMargin">
                    <wp:posOffset>-47625</wp:posOffset>
                  </wp:positionH>
                  <wp:positionV relativeFrom="topMargin">
                    <wp:posOffset>0</wp:posOffset>
                  </wp:positionV>
                  <wp:extent cx="9525" cy="237490"/>
                  <wp:effectExtent l="0" t="0" r="9525" b="1016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7"/>
                          <a:stretch>
                            <a:fillRect/>
                          </a:stretch>
                        </pic:blipFill>
                        <pic:spPr>
                          <a:xfrm>
                            <a:off x="0" y="0"/>
                            <a:ext cx="9509" cy="237743"/>
                          </a:xfrm>
                          <a:prstGeom prst="rect">
                            <a:avLst/>
                          </a:prstGeom>
                        </pic:spPr>
                      </pic:pic>
                    </a:graphicData>
                  </a:graphic>
                </wp:anchor>
              </w:drawing>
            </w:r>
          </w:p>
        </w:tc>
        <w:tc>
          <w:tcPr>
            <w:tcW w:w="2873" w:type="dxa"/>
            <w:tcBorders>
              <w:left w:val="single" w:color="FFFFFF" w:sz="4" w:space="0"/>
              <w:bottom w:val="single" w:color="FFFFFF" w:sz="2" w:space="0"/>
              <w:right w:val="single" w:color="FFFFFF" w:sz="2" w:space="0"/>
            </w:tcBorders>
            <w:vAlign w:val="top"/>
          </w:tcPr>
          <w:p w14:paraId="730BA843">
            <w:pPr>
              <w:spacing w:before="164" w:line="211" w:lineRule="auto"/>
              <w:ind w:right="18"/>
              <w:jc w:val="right"/>
              <w:rPr>
                <w:rFonts w:ascii="宋体" w:hAnsi="宋体" w:eastAsia="宋体" w:cs="宋体"/>
                <w:sz w:val="17"/>
                <w:szCs w:val="17"/>
              </w:rPr>
            </w:pPr>
            <w:r>
              <w:rPr>
                <w:rFonts w:ascii="宋体" w:hAnsi="宋体" w:eastAsia="宋体" w:cs="宋体"/>
                <w:spacing w:val="1"/>
                <w:sz w:val="17"/>
                <w:szCs w:val="17"/>
              </w:rPr>
              <w:t>表</w:t>
            </w:r>
            <w:r>
              <w:rPr>
                <w:rFonts w:ascii="宋体" w:hAnsi="宋体" w:eastAsia="宋体" w:cs="宋体"/>
                <w:spacing w:val="-5"/>
                <w:w w:val="55"/>
                <w:sz w:val="17"/>
                <w:szCs w:val="17"/>
              </w:rPr>
              <w:t>—</w:t>
            </w:r>
            <w:r>
              <w:rPr>
                <w:rFonts w:ascii="宋体" w:hAnsi="宋体" w:eastAsia="宋体" w:cs="宋体"/>
                <w:spacing w:val="20"/>
                <w:sz w:val="17"/>
                <w:szCs w:val="17"/>
              </w:rPr>
              <w:t xml:space="preserve"> </w:t>
            </w:r>
            <w:r>
              <w:rPr>
                <w:rFonts w:ascii="宋体" w:hAnsi="宋体" w:eastAsia="宋体" w:cs="宋体"/>
                <w:spacing w:val="1"/>
                <w:sz w:val="17"/>
                <w:szCs w:val="17"/>
              </w:rPr>
              <w:t>13</w:t>
            </w:r>
          </w:p>
        </w:tc>
      </w:tr>
      <w:bookmarkEnd w:id="197"/>
      <w:bookmarkEnd w:id="198"/>
      <w:bookmarkEnd w:id="486"/>
    </w:tbl>
    <w:p w14:paraId="3E3B745B">
      <w:pPr>
        <w:pStyle w:val="201"/>
        <w:ind w:left="0" w:leftChars="0" w:firstLine="0" w:firstLineChars="0"/>
        <w:rPr>
          <w:sz w:val="24"/>
          <w:szCs w:val="24"/>
        </w:rPr>
      </w:pPr>
      <w:bookmarkStart w:id="492" w:name="_格式2__法定代表人授权书"/>
      <w:bookmarkEnd w:id="492"/>
      <w:bookmarkStart w:id="493" w:name="_Hlt26671374"/>
      <w:bookmarkEnd w:id="493"/>
      <w:bookmarkStart w:id="494" w:name="_Hlt26609389"/>
      <w:bookmarkEnd w:id="494"/>
      <w:bookmarkStart w:id="495" w:name="_Hlt26955066"/>
      <w:bookmarkEnd w:id="495"/>
    </w:p>
    <w:sectPr>
      <w:headerReference r:id="rId5" w:type="default"/>
      <w:footerReference r:id="rId6" w:type="default"/>
      <w:footerReference r:id="rId7" w:type="even"/>
      <w:pgSz w:w="11906" w:h="16838"/>
      <w:pgMar w:top="1134" w:right="1134" w:bottom="1134" w:left="1134" w:header="851" w:footer="907" w:gutter="0"/>
      <w:cols w:space="1701"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Malgun Gothic"/>
    <w:panose1 w:val="020B0503020202020204"/>
    <w:charset w:val="00"/>
    <w:family w:val="auto"/>
    <w:pitch w:val="default"/>
    <w:sig w:usb0="00000000" w:usb1="00000000" w:usb2="00000000" w:usb3="00000000" w:csb0="00000000" w:csb1="00000000"/>
  </w:font>
  <w:font w:name="楷体_GB2312">
    <w:altName w:val="楷体"/>
    <w:panose1 w:val="02010609060101010101"/>
    <w:charset w:val="00"/>
    <w:family w:val="auto"/>
    <w:pitch w:val="default"/>
    <w:sig w:usb0="00000000" w:usb1="00000000" w:usb2="00000000" w:usb3="00000000" w:csb0="00000000" w:csb1="00000000"/>
  </w:font>
  <w:font w:name="幼圆">
    <w:altName w:val="宋体"/>
    <w:panose1 w:val="0201050906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60101010101"/>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auto"/>
    <w:pitch w:val="default"/>
    <w:sig w:usb0="00000000" w:usb1="00000000" w:usb2="0000003F" w:usb3="00000000" w:csb0="603F01FF" w:csb1="FFFF0000"/>
  </w:font>
  <w:font w:name="方正黑体_GBK">
    <w:altName w:val="微软雅黑"/>
    <w:panose1 w:val="03000509000000000000"/>
    <w:charset w:val="86"/>
    <w:family w:val="auto"/>
    <w:pitch w:val="default"/>
    <w:sig w:usb0="00000000" w:usb1="00000000" w:usb2="00000000" w:usb3="00000000" w:csb0="00040000" w:csb1="00000000"/>
  </w:font>
  <w:font w:name="Verdana">
    <w:panose1 w:val="020B0604030504040204"/>
    <w:charset w:val="00"/>
    <w:family w:val="auto"/>
    <w:pitch w:val="default"/>
    <w:sig w:usb0="A00006FF" w:usb1="4000205B" w:usb2="00000010"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Times">
    <w:altName w:val="Times New Roman"/>
    <w:panose1 w:val="02020603050405020304"/>
    <w:charset w:val="00"/>
    <w:family w:val="auto"/>
    <w:pitch w:val="default"/>
    <w:sig w:usb0="00000000" w:usb1="00000000" w:usb2="00000000" w:usb3="00000000" w:csb0="0000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auto"/>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83456">
    <w:pPr>
      <w:pStyle w:val="246"/>
      <w:framePr w:wrap="around" w:vAnchor="text" w:hAnchor="margin" w:xAlign="center" w:y="1"/>
      <w:rPr>
        <w:rStyle w:val="280"/>
        <w:rFonts w:ascii="宋体" w:hAnsi="宋体"/>
      </w:rPr>
    </w:pPr>
    <w:r>
      <w:rPr>
        <w:rFonts w:ascii="宋体" w:hAnsi="宋体"/>
      </w:rPr>
      <w:fldChar w:fldCharType="begin"/>
    </w:r>
    <w:r>
      <w:rPr>
        <w:rStyle w:val="280"/>
        <w:rFonts w:ascii="宋体" w:hAnsi="宋体"/>
      </w:rPr>
      <w:instrText xml:space="preserve">PAGE  </w:instrText>
    </w:r>
    <w:r>
      <w:rPr>
        <w:rFonts w:ascii="宋体" w:hAnsi="宋体"/>
      </w:rPr>
      <w:fldChar w:fldCharType="separate"/>
    </w:r>
    <w:r>
      <w:rPr>
        <w:rStyle w:val="280"/>
        <w:rFonts w:ascii="宋体" w:hAnsi="宋体"/>
      </w:rPr>
      <w:t>８３</w:t>
    </w:r>
    <w:r>
      <w:rPr>
        <w:rFonts w:ascii="宋体" w:hAnsi="宋体"/>
      </w:rPr>
      <w:fldChar w:fldCharType="end"/>
    </w:r>
  </w:p>
  <w:p w14:paraId="69BE6CB3">
    <w:pPr>
      <w:pStyle w:val="246"/>
      <w:jc w:val="center"/>
      <w:rPr>
        <w:rFonts w:hint="eastAsia"/>
        <w:b/>
        <w:i/>
      </w:rPr>
    </w:pPr>
    <w:r>
      <w:rPr>
        <w:b/>
        <w:i/>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8B8D5">
    <w:pPr>
      <w:pStyle w:val="246"/>
      <w:framePr w:wrap="around" w:vAnchor="text" w:hAnchor="margin" w:xAlign="center" w:y="1"/>
      <w:rPr>
        <w:rStyle w:val="280"/>
      </w:rPr>
    </w:pPr>
    <w:r>
      <w:fldChar w:fldCharType="begin"/>
    </w:r>
    <w:r>
      <w:rPr>
        <w:rStyle w:val="280"/>
      </w:rPr>
      <w:instrText xml:space="preserve">PAGE  </w:instrText>
    </w:r>
    <w:r>
      <w:fldChar w:fldCharType="separate"/>
    </w:r>
    <w:r>
      <w:rPr>
        <w:rStyle w:val="280"/>
      </w:rPr>
      <w:t>1</w:t>
    </w:r>
    <w:r>
      <w:fldChar w:fldCharType="end"/>
    </w:r>
  </w:p>
  <w:p w14:paraId="71034AC5">
    <w:pPr>
      <w:pStyle w:val="24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4AED5">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683DD">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A9397">
    <w:pPr>
      <w:pStyle w:val="248"/>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8AC8EF"/>
    <w:multiLevelType w:val="multilevel"/>
    <w:tmpl w:val="9C8AC8EF"/>
    <w:lvl w:ilvl="0" w:tentative="0">
      <w:start w:val="1"/>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B5E306ED"/>
    <w:multiLevelType w:val="multilevel"/>
    <w:tmpl w:val="B5E306ED"/>
    <w:lvl w:ilvl="0" w:tentative="0">
      <w:start w:val="1"/>
      <w:numFmt w:val="decimal"/>
      <w:pStyle w:val="365"/>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2">
    <w:nsid w:val="BF205925"/>
    <w:multiLevelType w:val="multilevel"/>
    <w:tmpl w:val="BF205925"/>
    <w:lvl w:ilvl="0" w:tentative="0">
      <w:start w:val="1"/>
      <w:numFmt w:val="chineseCountingThousand"/>
      <w:pStyle w:val="360"/>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
    <w:nsid w:val="CF092B84"/>
    <w:multiLevelType w:val="multilevel"/>
    <w:tmpl w:val="CF092B84"/>
    <w:lvl w:ilvl="0" w:tentative="0">
      <w:start w:val="1"/>
      <w:numFmt w:val="upperLetter"/>
      <w:pStyle w:val="308"/>
      <w:lvlText w:val="附录%1."/>
      <w:lvlJc w:val="left"/>
      <w:pPr>
        <w:tabs>
          <w:tab w:val="left" w:pos="907"/>
        </w:tabs>
        <w:ind w:left="907" w:hanging="907"/>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
    <w:nsid w:val="0053208E"/>
    <w:multiLevelType w:val="multilevel"/>
    <w:tmpl w:val="0053208E"/>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decimal"/>
      <w:pStyle w:val="204"/>
      <w:suff w:val="nothing"/>
      <w:lvlText w:val=""/>
      <w:lvlJc w:val="left"/>
      <w:pPr>
        <w:ind w:left="0" w:firstLine="0"/>
      </w:pPr>
      <w:rPr>
        <w:rFonts w:hint="eastAsia"/>
      </w:rPr>
    </w:lvl>
    <w:lvl w:ilvl="6" w:tentative="0">
      <w:start w:val="1"/>
      <w:numFmt w:val="decimal"/>
      <w:pStyle w:val="205"/>
      <w:suff w:val="nothing"/>
      <w:lvlText w:val=""/>
      <w:lvlJc w:val="left"/>
      <w:pPr>
        <w:ind w:left="0" w:firstLine="0"/>
      </w:pPr>
      <w:rPr>
        <w:rFonts w:hint="eastAsia"/>
      </w:rPr>
    </w:lvl>
    <w:lvl w:ilvl="7" w:tentative="0">
      <w:start w:val="1"/>
      <w:numFmt w:val="decimal"/>
      <w:pStyle w:val="206"/>
      <w:suff w:val="nothing"/>
      <w:lvlText w:val=""/>
      <w:lvlJc w:val="left"/>
      <w:pPr>
        <w:ind w:left="0" w:firstLine="0"/>
      </w:pPr>
      <w:rPr>
        <w:rFonts w:hint="eastAsia"/>
      </w:rPr>
    </w:lvl>
    <w:lvl w:ilvl="8" w:tentative="0">
      <w:start w:val="1"/>
      <w:numFmt w:val="decimal"/>
      <w:pStyle w:val="207"/>
      <w:suff w:val="nothing"/>
      <w:lvlText w:val=""/>
      <w:lvlJc w:val="left"/>
      <w:pPr>
        <w:ind w:left="0" w:firstLine="0"/>
      </w:pPr>
      <w:rPr>
        <w:rFonts w:hint="eastAsia"/>
      </w:rPr>
    </w:lvl>
  </w:abstractNum>
  <w:abstractNum w:abstractNumId="5">
    <w:nsid w:val="03D62ECE"/>
    <w:multiLevelType w:val="multilevel"/>
    <w:tmpl w:val="03D62ECE"/>
    <w:lvl w:ilvl="0" w:tentative="0">
      <w:start w:val="1"/>
      <w:numFmt w:val="japaneseCounting"/>
      <w:lvlText w:val="第%1章"/>
      <w:lvlJc w:val="left"/>
      <w:pPr>
        <w:tabs>
          <w:tab w:val="left" w:pos="1440"/>
        </w:tabs>
        <w:ind w:left="1440" w:hanging="1440"/>
      </w:pPr>
      <w:rPr>
        <w:rFonts w:hint="eastAsia" w:ascii="黑体" w:eastAsia="黑体"/>
        <w:b w:val="0"/>
        <w:sz w:val="36"/>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6">
    <w:nsid w:val="59ADCABA"/>
    <w:multiLevelType w:val="multilevel"/>
    <w:tmpl w:val="59ADCABA"/>
    <w:lvl w:ilvl="0" w:tentative="0">
      <w:start w:val="1"/>
      <w:numFmt w:val="decimal"/>
      <w:pStyle w:val="315"/>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66D97C89"/>
    <w:multiLevelType w:val="multilevel"/>
    <w:tmpl w:val="66D97C89"/>
    <w:lvl w:ilvl="0" w:tentative="0">
      <w:start w:val="10"/>
      <w:numFmt w:val="decimal"/>
      <w:suff w:val="nothing"/>
      <w:lvlText w:val="（%1）"/>
      <w:lvlJc w:val="left"/>
      <w:pPr>
        <w:ind w:left="20" w:firstLine="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8">
    <w:nsid w:val="66D97C9F"/>
    <w:multiLevelType w:val="multilevel"/>
    <w:tmpl w:val="66D97C9F"/>
    <w:lvl w:ilvl="0" w:tentative="0">
      <w:start w:val="12"/>
      <w:numFmt w:val="decimal"/>
      <w:suff w:val="space"/>
      <w:lvlText w:val="%1."/>
      <w:lvlJc w:val="left"/>
      <w:pPr>
        <w:ind w:left="0" w:firstLine="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9">
    <w:nsid w:val="66D97CB5"/>
    <w:multiLevelType w:val="multilevel"/>
    <w:tmpl w:val="66D97CB5"/>
    <w:lvl w:ilvl="0" w:tentative="0">
      <w:start w:val="2"/>
      <w:numFmt w:val="decimal"/>
      <w:suff w:val="nothing"/>
      <w:lvlText w:val="（%1）"/>
      <w:lvlJc w:val="left"/>
      <w:pPr>
        <w:ind w:left="20" w:firstLine="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0">
    <w:nsid w:val="66D97CCB"/>
    <w:multiLevelType w:val="multilevel"/>
    <w:tmpl w:val="66D97CCB"/>
    <w:lvl w:ilvl="0" w:tentative="0">
      <w:start w:val="1"/>
      <w:numFmt w:val="decimal"/>
      <w:suff w:val="nothing"/>
      <w:lvlText w:val="（%1）"/>
      <w:lvlJc w:val="left"/>
      <w:pPr>
        <w:ind w:left="0" w:firstLine="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1">
    <w:nsid w:val="66D97CE1"/>
    <w:multiLevelType w:val="multilevel"/>
    <w:tmpl w:val="66D97CE1"/>
    <w:lvl w:ilvl="0" w:tentative="0">
      <w:start w:val="18"/>
      <w:numFmt w:val="decimal"/>
      <w:suff w:val="space"/>
      <w:lvlText w:val="%1."/>
      <w:lvlJc w:val="left"/>
      <w:pPr>
        <w:ind w:left="0" w:firstLine="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4"/>
  </w:num>
  <w:num w:numId="2">
    <w:abstractNumId w:val="3"/>
  </w:num>
  <w:num w:numId="3">
    <w:abstractNumId w:val="6"/>
  </w:num>
  <w:num w:numId="4">
    <w:abstractNumId w:val="2"/>
  </w:num>
  <w:num w:numId="5">
    <w:abstractNumId w:val="1"/>
  </w:num>
  <w:num w:numId="6">
    <w:abstractNumId w:val="5"/>
  </w:num>
  <w:num w:numId="7">
    <w:abstractNumId w:val="7"/>
    <w:lvlOverride w:ilvl="0">
      <w:startOverride w:val="10"/>
    </w:lvlOverride>
  </w:num>
  <w:num w:numId="8">
    <w:abstractNumId w:val="8"/>
    <w:lvlOverride w:ilvl="0">
      <w:startOverride w:val="12"/>
    </w:lvlOverride>
  </w:num>
  <w:num w:numId="9">
    <w:abstractNumId w:val="9"/>
    <w:lvlOverride w:ilvl="0">
      <w:startOverride w:val="2"/>
    </w:lvlOverride>
  </w:num>
  <w:num w:numId="10">
    <w:abstractNumId w:val="10"/>
    <w:lvlOverride w:ilvl="0">
      <w:startOverride w:val="1"/>
    </w:lvlOverride>
  </w:num>
  <w:num w:numId="11">
    <w:abstractNumId w:val="11"/>
    <w:lvlOverride w:ilvl="0">
      <w:startOverride w:val="18"/>
    </w:lvlOverride>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mMDViNDkzNmFlZGE5ZWRjY2JlZTZhMDQ2ZWY4ZjMifQ=="/>
  </w:docVars>
  <w:rsids>
    <w:rsidRoot w:val="00000000"/>
    <w:rsid w:val="00046CA0"/>
    <w:rsid w:val="01C54B55"/>
    <w:rsid w:val="02671768"/>
    <w:rsid w:val="02FB2C93"/>
    <w:rsid w:val="046465A9"/>
    <w:rsid w:val="051B1B2C"/>
    <w:rsid w:val="06A82F84"/>
    <w:rsid w:val="07351E35"/>
    <w:rsid w:val="074A3B33"/>
    <w:rsid w:val="08EC29C7"/>
    <w:rsid w:val="09945539"/>
    <w:rsid w:val="0AEC1DC7"/>
    <w:rsid w:val="0B7F5D75"/>
    <w:rsid w:val="0DF26CD2"/>
    <w:rsid w:val="0F96368D"/>
    <w:rsid w:val="0FE81479"/>
    <w:rsid w:val="10AC586F"/>
    <w:rsid w:val="12F45DD2"/>
    <w:rsid w:val="14072DAB"/>
    <w:rsid w:val="167F1FBB"/>
    <w:rsid w:val="16F861C8"/>
    <w:rsid w:val="181668EA"/>
    <w:rsid w:val="19121FD6"/>
    <w:rsid w:val="192D13A3"/>
    <w:rsid w:val="19BE215E"/>
    <w:rsid w:val="1C7673A9"/>
    <w:rsid w:val="1E2D0F6B"/>
    <w:rsid w:val="1E71779F"/>
    <w:rsid w:val="20156488"/>
    <w:rsid w:val="206F6C0D"/>
    <w:rsid w:val="20D25988"/>
    <w:rsid w:val="20E26732"/>
    <w:rsid w:val="21DF0EC4"/>
    <w:rsid w:val="21E32762"/>
    <w:rsid w:val="21F80E68"/>
    <w:rsid w:val="22EC1AEA"/>
    <w:rsid w:val="25C66622"/>
    <w:rsid w:val="28B937D7"/>
    <w:rsid w:val="28DC26BF"/>
    <w:rsid w:val="29162D65"/>
    <w:rsid w:val="2A851F93"/>
    <w:rsid w:val="2E190DA3"/>
    <w:rsid w:val="311E37B6"/>
    <w:rsid w:val="32A33BE5"/>
    <w:rsid w:val="35AF70D3"/>
    <w:rsid w:val="36A54032"/>
    <w:rsid w:val="36B516B7"/>
    <w:rsid w:val="383F6715"/>
    <w:rsid w:val="3A2A033E"/>
    <w:rsid w:val="3C3C0F95"/>
    <w:rsid w:val="424D4C5A"/>
    <w:rsid w:val="43C46783"/>
    <w:rsid w:val="46493132"/>
    <w:rsid w:val="47B83392"/>
    <w:rsid w:val="49605D03"/>
    <w:rsid w:val="49F146E8"/>
    <w:rsid w:val="4C72419F"/>
    <w:rsid w:val="50E21D53"/>
    <w:rsid w:val="5373753A"/>
    <w:rsid w:val="551B7D36"/>
    <w:rsid w:val="570C4801"/>
    <w:rsid w:val="575340CB"/>
    <w:rsid w:val="5A0A227A"/>
    <w:rsid w:val="5A282397"/>
    <w:rsid w:val="5B78480A"/>
    <w:rsid w:val="5CB643D8"/>
    <w:rsid w:val="5DCA41FA"/>
    <w:rsid w:val="5DEF1EB3"/>
    <w:rsid w:val="63641AC7"/>
    <w:rsid w:val="63C436B1"/>
    <w:rsid w:val="68BB30BE"/>
    <w:rsid w:val="69862062"/>
    <w:rsid w:val="6C024AB0"/>
    <w:rsid w:val="6DF0638D"/>
    <w:rsid w:val="6F2030BB"/>
    <w:rsid w:val="6F7044D6"/>
    <w:rsid w:val="70C95090"/>
    <w:rsid w:val="71651DA8"/>
    <w:rsid w:val="71A62431"/>
    <w:rsid w:val="72B8165D"/>
    <w:rsid w:val="75AB6268"/>
    <w:rsid w:val="75DD024A"/>
    <w:rsid w:val="777A2396"/>
    <w:rsid w:val="78444009"/>
    <w:rsid w:val="79B6277E"/>
    <w:rsid w:val="7A7255A6"/>
    <w:rsid w:val="7C444D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592"/>
    <w:qFormat/>
    <w:uiPriority w:val="0"/>
    <w:pPr>
      <w:widowControl w:val="0"/>
      <w:jc w:val="both"/>
    </w:pPr>
    <w:rPr>
      <w:rFonts w:hint="default" w:ascii="Times New Roman" w:hAnsi="Times New Roman" w:eastAsia="宋体" w:cs="Times New Roman"/>
      <w:sz w:val="21"/>
      <w:szCs w:val="21"/>
      <w:lang w:val="en-US" w:eastAsia="zh-CN" w:bidi="ar-SA"/>
    </w:rPr>
  </w:style>
  <w:style w:type="paragraph" w:styleId="2">
    <w:name w:val="heading 1"/>
    <w:basedOn w:val="1"/>
    <w:next w:val="1"/>
    <w:link w:val="50"/>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51"/>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52"/>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53"/>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54"/>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55"/>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56"/>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57"/>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58"/>
    <w:unhideWhenUsed/>
    <w:qFormat/>
    <w:uiPriority w:val="9"/>
    <w:pPr>
      <w:keepNext/>
      <w:keepLines/>
      <w:spacing w:before="320" w:after="200"/>
      <w:outlineLvl w:val="8"/>
    </w:pPr>
    <w:rPr>
      <w:rFonts w:ascii="Arial" w:hAnsi="Arial" w:eastAsia="Arial" w:cs="Arial"/>
      <w:i/>
      <w:iCs/>
      <w:sz w:val="21"/>
      <w:szCs w:val="21"/>
    </w:rPr>
  </w:style>
  <w:style w:type="character" w:default="1" w:styleId="35">
    <w:name w:val="Default Paragraph Font"/>
    <w:unhideWhenUsed/>
    <w:qFormat/>
    <w:uiPriority w:val="1"/>
  </w:style>
  <w:style w:type="table" w:default="1" w:styleId="33">
    <w:name w:val="Normal Table"/>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caption"/>
    <w:basedOn w:val="1"/>
    <w:next w:val="1"/>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annotation text"/>
    <w:basedOn w:val="1"/>
    <w:unhideWhenUsed/>
    <w:qFormat/>
    <w:uiPriority w:val="99"/>
    <w:pPr>
      <w:jc w:val="left"/>
    </w:pPr>
  </w:style>
  <w:style w:type="paragraph" w:styleId="14">
    <w:name w:val="Body Text"/>
    <w:basedOn w:val="1"/>
    <w:semiHidden/>
    <w:qFormat/>
    <w:uiPriority w:val="0"/>
    <w:rPr>
      <w:rFonts w:ascii="Arial" w:hAnsi="Arial" w:eastAsia="Arial" w:cs="Arial"/>
      <w:sz w:val="2"/>
      <w:szCs w:val="2"/>
      <w:lang w:val="en-US" w:eastAsia="en-US" w:bidi="ar-SA"/>
    </w:rPr>
  </w:style>
  <w:style w:type="paragraph" w:styleId="15">
    <w:name w:val="toc 5"/>
    <w:basedOn w:val="1"/>
    <w:next w:val="1"/>
    <w:unhideWhenUsed/>
    <w:qFormat/>
    <w:uiPriority w:val="39"/>
    <w:pPr>
      <w:spacing w:after="57"/>
      <w:ind w:left="1134" w:right="0" w:firstLine="0"/>
    </w:pPr>
  </w:style>
  <w:style w:type="paragraph" w:styleId="16">
    <w:name w:val="toc 3"/>
    <w:basedOn w:val="1"/>
    <w:next w:val="1"/>
    <w:unhideWhenUsed/>
    <w:qFormat/>
    <w:uiPriority w:val="39"/>
    <w:pPr>
      <w:spacing w:after="57"/>
      <w:ind w:left="567" w:right="0" w:firstLine="0"/>
    </w:pPr>
  </w:style>
  <w:style w:type="paragraph" w:styleId="17">
    <w:name w:val="toc 8"/>
    <w:basedOn w:val="1"/>
    <w:next w:val="1"/>
    <w:unhideWhenUsed/>
    <w:qFormat/>
    <w:uiPriority w:val="39"/>
    <w:pPr>
      <w:spacing w:after="57"/>
      <w:ind w:left="1984" w:right="0" w:firstLine="0"/>
    </w:pPr>
  </w:style>
  <w:style w:type="paragraph" w:styleId="18">
    <w:name w:val="Body Text Indent 2"/>
    <w:basedOn w:val="19"/>
    <w:qFormat/>
    <w:uiPriority w:val="0"/>
    <w:pPr>
      <w:ind w:firstLine="560"/>
    </w:pPr>
    <w:rPr>
      <w:rFonts w:ascii="宋体" w:hAnsi="宋体"/>
      <w:sz w:val="28"/>
      <w:szCs w:val="24"/>
    </w:rPr>
  </w:style>
  <w:style w:type="paragraph" w:customStyle="1" w:styleId="19">
    <w:name w:val="Normal1"/>
    <w:qFormat/>
    <w:uiPriority w:val="0"/>
    <w:pPr>
      <w:widowControl w:val="0"/>
      <w:jc w:val="both"/>
    </w:pPr>
    <w:rPr>
      <w:rFonts w:hint="default" w:ascii="Times New Roman" w:hAnsi="Times New Roman" w:eastAsia="宋体" w:cs="Times New Roman"/>
      <w:lang w:val="en-US" w:eastAsia="zh-CN" w:bidi="ar-SA"/>
    </w:rPr>
  </w:style>
  <w:style w:type="paragraph" w:styleId="20">
    <w:name w:val="endnote text"/>
    <w:basedOn w:val="1"/>
    <w:link w:val="196"/>
    <w:unhideWhenUsed/>
    <w:qFormat/>
    <w:uiPriority w:val="99"/>
    <w:pPr>
      <w:spacing w:after="0" w:line="240" w:lineRule="auto"/>
    </w:pPr>
    <w:rPr>
      <w:sz w:val="20"/>
    </w:rPr>
  </w:style>
  <w:style w:type="paragraph" w:styleId="21">
    <w:name w:val="footer"/>
    <w:basedOn w:val="1"/>
    <w:link w:val="69"/>
    <w:unhideWhenUsed/>
    <w:qFormat/>
    <w:uiPriority w:val="99"/>
    <w:pPr>
      <w:tabs>
        <w:tab w:val="center" w:pos="7143"/>
        <w:tab w:val="right" w:pos="14287"/>
      </w:tabs>
      <w:spacing w:after="0" w:line="240" w:lineRule="auto"/>
    </w:pPr>
  </w:style>
  <w:style w:type="paragraph" w:styleId="22">
    <w:name w:val="header"/>
    <w:basedOn w:val="1"/>
    <w:link w:val="67"/>
    <w:unhideWhenUsed/>
    <w:qFormat/>
    <w:uiPriority w:val="99"/>
    <w:pPr>
      <w:tabs>
        <w:tab w:val="center" w:pos="7143"/>
        <w:tab w:val="right" w:pos="14287"/>
      </w:tabs>
      <w:spacing w:after="0" w:line="240" w:lineRule="auto"/>
    </w:pPr>
  </w:style>
  <w:style w:type="paragraph" w:styleId="23">
    <w:name w:val="toc 1"/>
    <w:basedOn w:val="1"/>
    <w:next w:val="1"/>
    <w:unhideWhenUsed/>
    <w:qFormat/>
    <w:uiPriority w:val="39"/>
    <w:pPr>
      <w:spacing w:after="57"/>
      <w:ind w:left="0" w:right="0" w:firstLine="0"/>
    </w:pPr>
  </w:style>
  <w:style w:type="paragraph" w:styleId="24">
    <w:name w:val="toc 4"/>
    <w:basedOn w:val="1"/>
    <w:next w:val="1"/>
    <w:unhideWhenUsed/>
    <w:qFormat/>
    <w:uiPriority w:val="39"/>
    <w:pPr>
      <w:spacing w:after="57"/>
      <w:ind w:left="850" w:right="0" w:firstLine="0"/>
    </w:pPr>
  </w:style>
  <w:style w:type="paragraph" w:styleId="25">
    <w:name w:val="Subtitle"/>
    <w:basedOn w:val="1"/>
    <w:next w:val="1"/>
    <w:link w:val="62"/>
    <w:qFormat/>
    <w:uiPriority w:val="11"/>
    <w:pPr>
      <w:spacing w:before="200" w:after="200"/>
    </w:pPr>
    <w:rPr>
      <w:sz w:val="24"/>
      <w:szCs w:val="24"/>
    </w:rPr>
  </w:style>
  <w:style w:type="paragraph" w:styleId="26">
    <w:name w:val="footnote text"/>
    <w:basedOn w:val="1"/>
    <w:link w:val="195"/>
    <w:unhideWhenUsed/>
    <w:qFormat/>
    <w:uiPriority w:val="99"/>
    <w:pPr>
      <w:spacing w:after="40" w:line="240" w:lineRule="auto"/>
    </w:pPr>
    <w:rPr>
      <w:sz w:val="18"/>
    </w:rPr>
  </w:style>
  <w:style w:type="paragraph" w:styleId="27">
    <w:name w:val="toc 6"/>
    <w:basedOn w:val="1"/>
    <w:next w:val="1"/>
    <w:unhideWhenUsed/>
    <w:qFormat/>
    <w:uiPriority w:val="39"/>
    <w:pPr>
      <w:spacing w:after="57"/>
      <w:ind w:left="1417" w:right="0" w:firstLine="0"/>
    </w:pPr>
  </w:style>
  <w:style w:type="paragraph" w:styleId="28">
    <w:name w:val="table of figures"/>
    <w:basedOn w:val="1"/>
    <w:next w:val="1"/>
    <w:unhideWhenUsed/>
    <w:qFormat/>
    <w:uiPriority w:val="99"/>
    <w:pPr>
      <w:spacing w:after="0" w:afterAutospacing="0"/>
    </w:pPr>
  </w:style>
  <w:style w:type="paragraph" w:styleId="29">
    <w:name w:val="toc 2"/>
    <w:basedOn w:val="1"/>
    <w:next w:val="1"/>
    <w:unhideWhenUsed/>
    <w:qFormat/>
    <w:uiPriority w:val="39"/>
    <w:pPr>
      <w:spacing w:after="57"/>
      <w:ind w:left="283" w:right="0" w:firstLine="0"/>
    </w:pPr>
  </w:style>
  <w:style w:type="paragraph" w:styleId="30">
    <w:name w:val="toc 9"/>
    <w:basedOn w:val="1"/>
    <w:next w:val="1"/>
    <w:unhideWhenUsed/>
    <w:qFormat/>
    <w:uiPriority w:val="39"/>
    <w:pPr>
      <w:spacing w:after="57"/>
      <w:ind w:left="2268" w:right="0" w:firstLine="0"/>
    </w:pPr>
  </w:style>
  <w:style w:type="paragraph" w:styleId="31">
    <w:name w:val="Normal (Web)"/>
    <w:basedOn w:val="1"/>
    <w:qFormat/>
    <w:uiPriority w:val="0"/>
    <w:pPr>
      <w:jc w:val="left"/>
    </w:pPr>
    <w:rPr>
      <w:rFonts w:cs="Times New Roman"/>
      <w:sz w:val="24"/>
    </w:rPr>
  </w:style>
  <w:style w:type="paragraph" w:styleId="32">
    <w:name w:val="Title"/>
    <w:basedOn w:val="1"/>
    <w:next w:val="1"/>
    <w:link w:val="61"/>
    <w:qFormat/>
    <w:uiPriority w:val="10"/>
    <w:pPr>
      <w:spacing w:before="300" w:after="200"/>
      <w:contextualSpacing/>
    </w:pPr>
    <w:rPr>
      <w:sz w:val="48"/>
      <w:szCs w:val="48"/>
    </w:rPr>
  </w:style>
  <w:style w:type="table" w:styleId="34">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6">
    <w:name w:val="Strong"/>
    <w:basedOn w:val="35"/>
    <w:qFormat/>
    <w:uiPriority w:val="22"/>
  </w:style>
  <w:style w:type="character" w:styleId="37">
    <w:name w:val="endnote reference"/>
    <w:unhideWhenUsed/>
    <w:qFormat/>
    <w:uiPriority w:val="99"/>
    <w:rPr>
      <w:vertAlign w:val="superscript"/>
    </w:rPr>
  </w:style>
  <w:style w:type="character" w:styleId="38">
    <w:name w:val="FollowedHyperlink"/>
    <w:basedOn w:val="35"/>
    <w:semiHidden/>
    <w:unhideWhenUsed/>
    <w:qFormat/>
    <w:uiPriority w:val="99"/>
    <w:rPr>
      <w:color w:val="800080"/>
      <w:u w:val="none"/>
    </w:rPr>
  </w:style>
  <w:style w:type="character" w:styleId="39">
    <w:name w:val="Emphasis"/>
    <w:basedOn w:val="35"/>
    <w:qFormat/>
    <w:uiPriority w:val="20"/>
  </w:style>
  <w:style w:type="character" w:styleId="40">
    <w:name w:val="HTML Definition"/>
    <w:basedOn w:val="35"/>
    <w:semiHidden/>
    <w:unhideWhenUsed/>
    <w:qFormat/>
    <w:uiPriority w:val="99"/>
  </w:style>
  <w:style w:type="character" w:styleId="41">
    <w:name w:val="HTML Typewriter"/>
    <w:basedOn w:val="35"/>
    <w:semiHidden/>
    <w:unhideWhenUsed/>
    <w:qFormat/>
    <w:uiPriority w:val="99"/>
    <w:rPr>
      <w:rFonts w:hint="default" w:ascii="monospace" w:hAnsi="monospace" w:eastAsia="monospace" w:cs="monospace"/>
      <w:sz w:val="20"/>
    </w:rPr>
  </w:style>
  <w:style w:type="character" w:styleId="42">
    <w:name w:val="HTML Acronym"/>
    <w:basedOn w:val="35"/>
    <w:semiHidden/>
    <w:unhideWhenUsed/>
    <w:qFormat/>
    <w:uiPriority w:val="99"/>
  </w:style>
  <w:style w:type="character" w:styleId="43">
    <w:name w:val="HTML Variable"/>
    <w:basedOn w:val="35"/>
    <w:semiHidden/>
    <w:unhideWhenUsed/>
    <w:qFormat/>
    <w:uiPriority w:val="99"/>
  </w:style>
  <w:style w:type="character" w:styleId="44">
    <w:name w:val="Hyperlink"/>
    <w:unhideWhenUsed/>
    <w:qFormat/>
    <w:uiPriority w:val="99"/>
    <w:rPr>
      <w:color w:val="0000FF" w:themeColor="hyperlink"/>
      <w:u w:val="single"/>
      <w14:textFill>
        <w14:solidFill>
          <w14:schemeClr w14:val="hlink"/>
        </w14:solidFill>
      </w14:textFill>
    </w:rPr>
  </w:style>
  <w:style w:type="character" w:styleId="45">
    <w:name w:val="HTML Code"/>
    <w:basedOn w:val="35"/>
    <w:semiHidden/>
    <w:unhideWhenUsed/>
    <w:qFormat/>
    <w:uiPriority w:val="99"/>
    <w:rPr>
      <w:rFonts w:hint="default" w:ascii="monospace" w:hAnsi="monospace" w:eastAsia="monospace" w:cs="monospace"/>
      <w:sz w:val="20"/>
    </w:rPr>
  </w:style>
  <w:style w:type="character" w:styleId="46">
    <w:name w:val="HTML Cite"/>
    <w:basedOn w:val="35"/>
    <w:semiHidden/>
    <w:unhideWhenUsed/>
    <w:qFormat/>
    <w:uiPriority w:val="99"/>
  </w:style>
  <w:style w:type="character" w:styleId="47">
    <w:name w:val="footnote reference"/>
    <w:unhideWhenUsed/>
    <w:qFormat/>
    <w:uiPriority w:val="99"/>
    <w:rPr>
      <w:vertAlign w:val="superscript"/>
    </w:rPr>
  </w:style>
  <w:style w:type="character" w:styleId="48">
    <w:name w:val="HTML Keyboard"/>
    <w:basedOn w:val="35"/>
    <w:semiHidden/>
    <w:unhideWhenUsed/>
    <w:qFormat/>
    <w:uiPriority w:val="99"/>
    <w:rPr>
      <w:rFonts w:hint="default" w:ascii="monospace" w:hAnsi="monospace" w:eastAsia="monospace" w:cs="monospace"/>
      <w:sz w:val="20"/>
    </w:rPr>
  </w:style>
  <w:style w:type="character" w:styleId="49">
    <w:name w:val="HTML Sample"/>
    <w:basedOn w:val="35"/>
    <w:semiHidden/>
    <w:unhideWhenUsed/>
    <w:qFormat/>
    <w:uiPriority w:val="99"/>
    <w:rPr>
      <w:rFonts w:ascii="monospace" w:hAnsi="monospace" w:eastAsia="monospace" w:cs="monospace"/>
    </w:rPr>
  </w:style>
  <w:style w:type="character" w:customStyle="1" w:styleId="50">
    <w:name w:val="Heading 1 Char"/>
    <w:link w:val="2"/>
    <w:qFormat/>
    <w:uiPriority w:val="9"/>
    <w:rPr>
      <w:rFonts w:ascii="Arial" w:hAnsi="Arial" w:eastAsia="Arial" w:cs="Arial"/>
      <w:sz w:val="40"/>
      <w:szCs w:val="40"/>
    </w:rPr>
  </w:style>
  <w:style w:type="character" w:customStyle="1" w:styleId="51">
    <w:name w:val="Heading 2 Char"/>
    <w:link w:val="3"/>
    <w:qFormat/>
    <w:uiPriority w:val="9"/>
    <w:rPr>
      <w:rFonts w:ascii="Arial" w:hAnsi="Arial" w:eastAsia="Arial" w:cs="Arial"/>
      <w:sz w:val="34"/>
    </w:rPr>
  </w:style>
  <w:style w:type="character" w:customStyle="1" w:styleId="52">
    <w:name w:val="Heading 3 Char"/>
    <w:link w:val="4"/>
    <w:qFormat/>
    <w:uiPriority w:val="9"/>
    <w:rPr>
      <w:rFonts w:ascii="Arial" w:hAnsi="Arial" w:eastAsia="Arial" w:cs="Arial"/>
      <w:sz w:val="30"/>
      <w:szCs w:val="30"/>
    </w:rPr>
  </w:style>
  <w:style w:type="character" w:customStyle="1" w:styleId="53">
    <w:name w:val="Heading 4 Char"/>
    <w:link w:val="5"/>
    <w:qFormat/>
    <w:uiPriority w:val="9"/>
    <w:rPr>
      <w:rFonts w:ascii="Arial" w:hAnsi="Arial" w:eastAsia="Arial" w:cs="Arial"/>
      <w:b/>
      <w:bCs/>
      <w:sz w:val="26"/>
      <w:szCs w:val="26"/>
    </w:rPr>
  </w:style>
  <w:style w:type="character" w:customStyle="1" w:styleId="54">
    <w:name w:val="Heading 5 Char"/>
    <w:link w:val="6"/>
    <w:qFormat/>
    <w:uiPriority w:val="9"/>
    <w:rPr>
      <w:rFonts w:ascii="Arial" w:hAnsi="Arial" w:eastAsia="Arial" w:cs="Arial"/>
      <w:b/>
      <w:bCs/>
      <w:sz w:val="24"/>
      <w:szCs w:val="24"/>
    </w:rPr>
  </w:style>
  <w:style w:type="character" w:customStyle="1" w:styleId="55">
    <w:name w:val="Heading 6 Char"/>
    <w:link w:val="7"/>
    <w:qFormat/>
    <w:uiPriority w:val="9"/>
    <w:rPr>
      <w:rFonts w:ascii="Arial" w:hAnsi="Arial" w:eastAsia="Arial" w:cs="Arial"/>
      <w:b/>
      <w:bCs/>
      <w:sz w:val="22"/>
      <w:szCs w:val="22"/>
    </w:rPr>
  </w:style>
  <w:style w:type="character" w:customStyle="1" w:styleId="56">
    <w:name w:val="Heading 7 Char"/>
    <w:link w:val="8"/>
    <w:qFormat/>
    <w:uiPriority w:val="9"/>
    <w:rPr>
      <w:rFonts w:ascii="Arial" w:hAnsi="Arial" w:eastAsia="Arial" w:cs="Arial"/>
      <w:b/>
      <w:bCs/>
      <w:i/>
      <w:iCs/>
      <w:sz w:val="22"/>
      <w:szCs w:val="22"/>
    </w:rPr>
  </w:style>
  <w:style w:type="character" w:customStyle="1" w:styleId="57">
    <w:name w:val="Heading 8 Char"/>
    <w:link w:val="9"/>
    <w:qFormat/>
    <w:uiPriority w:val="9"/>
    <w:rPr>
      <w:rFonts w:ascii="Arial" w:hAnsi="Arial" w:eastAsia="Arial" w:cs="Arial"/>
      <w:i/>
      <w:iCs/>
      <w:sz w:val="22"/>
      <w:szCs w:val="22"/>
    </w:rPr>
  </w:style>
  <w:style w:type="character" w:customStyle="1" w:styleId="58">
    <w:name w:val="Heading 9 Char"/>
    <w:link w:val="10"/>
    <w:qFormat/>
    <w:uiPriority w:val="9"/>
    <w:rPr>
      <w:rFonts w:ascii="Arial" w:hAnsi="Arial" w:eastAsia="Arial" w:cs="Arial"/>
      <w:i/>
      <w:iCs/>
      <w:sz w:val="21"/>
      <w:szCs w:val="21"/>
    </w:rPr>
  </w:style>
  <w:style w:type="paragraph" w:customStyle="1" w:styleId="59">
    <w:name w:val="List Paragraph"/>
    <w:basedOn w:val="1"/>
    <w:qFormat/>
    <w:uiPriority w:val="34"/>
    <w:pPr>
      <w:ind w:left="720"/>
      <w:contextualSpacing/>
    </w:pPr>
  </w:style>
  <w:style w:type="paragraph" w:customStyle="1" w:styleId="60">
    <w:name w:val="No Spacing"/>
    <w:qFormat/>
    <w:uiPriority w:val="1"/>
    <w:pPr>
      <w:spacing w:before="0" w:after="0" w:line="240" w:lineRule="auto"/>
    </w:pPr>
    <w:rPr>
      <w:rFonts w:hint="default" w:ascii="Times New Roman" w:hAnsi="Times New Roman" w:eastAsia="宋体" w:cs="Times New Roman"/>
    </w:rPr>
  </w:style>
  <w:style w:type="character" w:customStyle="1" w:styleId="61">
    <w:name w:val="Title Char"/>
    <w:link w:val="32"/>
    <w:qFormat/>
    <w:uiPriority w:val="10"/>
    <w:rPr>
      <w:sz w:val="48"/>
      <w:szCs w:val="48"/>
    </w:rPr>
  </w:style>
  <w:style w:type="character" w:customStyle="1" w:styleId="62">
    <w:name w:val="Subtitle Char"/>
    <w:link w:val="25"/>
    <w:qFormat/>
    <w:uiPriority w:val="11"/>
    <w:rPr>
      <w:sz w:val="24"/>
      <w:szCs w:val="24"/>
    </w:rPr>
  </w:style>
  <w:style w:type="paragraph" w:customStyle="1" w:styleId="63">
    <w:name w:val="Quote"/>
    <w:basedOn w:val="1"/>
    <w:next w:val="1"/>
    <w:link w:val="64"/>
    <w:qFormat/>
    <w:uiPriority w:val="29"/>
    <w:pPr>
      <w:ind w:left="720" w:right="720"/>
    </w:pPr>
    <w:rPr>
      <w:i/>
    </w:rPr>
  </w:style>
  <w:style w:type="character" w:customStyle="1" w:styleId="64">
    <w:name w:val="Quote Char"/>
    <w:link w:val="63"/>
    <w:qFormat/>
    <w:uiPriority w:val="29"/>
    <w:rPr>
      <w:i/>
    </w:rPr>
  </w:style>
  <w:style w:type="paragraph" w:customStyle="1" w:styleId="65">
    <w:name w:val="Intense Quote"/>
    <w:basedOn w:val="1"/>
    <w:next w:val="1"/>
    <w:link w:val="66"/>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66">
    <w:name w:val="Intense Quote Char"/>
    <w:link w:val="65"/>
    <w:qFormat/>
    <w:uiPriority w:val="30"/>
    <w:rPr>
      <w:i/>
    </w:rPr>
  </w:style>
  <w:style w:type="character" w:customStyle="1" w:styleId="67">
    <w:name w:val="Header Char"/>
    <w:link w:val="22"/>
    <w:qFormat/>
    <w:uiPriority w:val="99"/>
  </w:style>
  <w:style w:type="character" w:customStyle="1" w:styleId="68">
    <w:name w:val="Footer Char"/>
    <w:link w:val="21"/>
    <w:qFormat/>
    <w:uiPriority w:val="99"/>
  </w:style>
  <w:style w:type="character" w:customStyle="1" w:styleId="69">
    <w:name w:val="Caption Char"/>
    <w:link w:val="21"/>
    <w:qFormat/>
    <w:uiPriority w:val="99"/>
  </w:style>
  <w:style w:type="table" w:customStyle="1" w:styleId="70">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71">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2">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3">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4">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5">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6">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7">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78">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79">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80">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81">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82">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83">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4">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5">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6">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7">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8">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9">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0">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1">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2">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3">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4">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5">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6">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7">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8">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99">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0">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1">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2">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3">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4">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05">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06">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07">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08">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09">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10">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11">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2">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3">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4">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5">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6">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7">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18">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9">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0">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1">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22">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3">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4">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25">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26">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27">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28">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29">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30">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31">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32">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3">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4">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5">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6">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7">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8">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9">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0">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41">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42">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43">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44">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45">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46">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7">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8">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9">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50">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51">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52">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53">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54">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55">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56">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57">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58">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59">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60">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1">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2">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3">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4">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5">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6">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7">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68">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9">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0">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1">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2">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3">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4">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5">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6">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7">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8">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9">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0">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1">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2">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3">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4">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5">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6">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7">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8">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89">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90">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91">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92">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93">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94">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95">
    <w:name w:val="Footnote Text Char"/>
    <w:link w:val="26"/>
    <w:qFormat/>
    <w:uiPriority w:val="99"/>
    <w:rPr>
      <w:sz w:val="18"/>
    </w:rPr>
  </w:style>
  <w:style w:type="character" w:customStyle="1" w:styleId="196">
    <w:name w:val="Endnote Text Char"/>
    <w:link w:val="20"/>
    <w:qFormat/>
    <w:uiPriority w:val="99"/>
    <w:rPr>
      <w:sz w:val="20"/>
    </w:rPr>
  </w:style>
  <w:style w:type="paragraph" w:customStyle="1" w:styleId="197">
    <w:name w:val="TOC Heading"/>
    <w:unhideWhenUsed/>
    <w:qFormat/>
    <w:uiPriority w:val="39"/>
    <w:rPr>
      <w:rFonts w:hint="default" w:ascii="Times New Roman" w:hAnsi="Times New Roman" w:eastAsia="宋体" w:cs="Times New Roman"/>
    </w:rPr>
  </w:style>
  <w:style w:type="paragraph" w:customStyle="1" w:styleId="198">
    <w:name w:val="标题 11"/>
    <w:basedOn w:val="1"/>
    <w:next w:val="1"/>
    <w:link w:val="210"/>
    <w:qFormat/>
    <w:uiPriority w:val="0"/>
    <w:pPr>
      <w:keepNext/>
      <w:jc w:val="center"/>
      <w:outlineLvl w:val="0"/>
    </w:pPr>
    <w:rPr>
      <w:rFonts w:ascii="楷体_GB2312" w:eastAsia="楷体_GB2312"/>
      <w:sz w:val="28"/>
      <w:szCs w:val="28"/>
    </w:rPr>
  </w:style>
  <w:style w:type="paragraph" w:customStyle="1" w:styleId="199">
    <w:name w:val="标题 21"/>
    <w:basedOn w:val="1"/>
    <w:next w:val="1"/>
    <w:link w:val="211"/>
    <w:qFormat/>
    <w:uiPriority w:val="0"/>
    <w:pPr>
      <w:keepNext/>
      <w:keepLines/>
      <w:spacing w:before="260" w:after="260" w:line="416" w:lineRule="auto"/>
      <w:jc w:val="center"/>
      <w:outlineLvl w:val="1"/>
    </w:pPr>
    <w:rPr>
      <w:rFonts w:ascii="Arial" w:hAnsi="Arial" w:eastAsia="幼圆" w:cs="Arial"/>
      <w:b/>
      <w:bCs/>
      <w:sz w:val="44"/>
      <w:szCs w:val="44"/>
    </w:rPr>
  </w:style>
  <w:style w:type="paragraph" w:customStyle="1" w:styleId="200">
    <w:name w:val="标题 31"/>
    <w:basedOn w:val="1"/>
    <w:next w:val="201"/>
    <w:link w:val="212"/>
    <w:qFormat/>
    <w:uiPriority w:val="0"/>
    <w:pPr>
      <w:keepNext/>
      <w:keepLines/>
      <w:spacing w:before="260" w:after="260" w:line="416" w:lineRule="auto"/>
      <w:outlineLvl w:val="2"/>
    </w:pPr>
    <w:rPr>
      <w:b/>
      <w:bCs/>
      <w:sz w:val="32"/>
      <w:szCs w:val="32"/>
    </w:rPr>
  </w:style>
  <w:style w:type="paragraph" w:customStyle="1" w:styleId="201">
    <w:name w:val="正文缩进1"/>
    <w:basedOn w:val="1"/>
    <w:next w:val="1"/>
    <w:link w:val="213"/>
    <w:qFormat/>
    <w:uiPriority w:val="0"/>
    <w:pPr>
      <w:ind w:firstLine="420"/>
    </w:pPr>
  </w:style>
  <w:style w:type="paragraph" w:customStyle="1" w:styleId="202">
    <w:name w:val="标题 41"/>
    <w:basedOn w:val="1"/>
    <w:next w:val="201"/>
    <w:link w:val="214"/>
    <w:qFormat/>
    <w:uiPriority w:val="0"/>
    <w:pPr>
      <w:keepNext/>
      <w:keepLines/>
      <w:spacing w:before="280" w:after="290" w:line="376" w:lineRule="auto"/>
      <w:outlineLvl w:val="3"/>
    </w:pPr>
    <w:rPr>
      <w:rFonts w:ascii="Arial" w:hAnsi="Arial" w:eastAsia="黑体" w:cs="Arial"/>
      <w:b/>
      <w:bCs/>
      <w:sz w:val="28"/>
      <w:szCs w:val="28"/>
    </w:rPr>
  </w:style>
  <w:style w:type="paragraph" w:customStyle="1" w:styleId="203">
    <w:name w:val="标题 51"/>
    <w:basedOn w:val="1"/>
    <w:next w:val="201"/>
    <w:link w:val="215"/>
    <w:qFormat/>
    <w:uiPriority w:val="0"/>
    <w:pPr>
      <w:keepNext/>
      <w:outlineLvl w:val="4"/>
    </w:pPr>
    <w:rPr>
      <w:rFonts w:ascii="宋体"/>
      <w:color w:val="000000"/>
      <w:sz w:val="28"/>
      <w:szCs w:val="28"/>
    </w:rPr>
  </w:style>
  <w:style w:type="paragraph" w:customStyle="1" w:styleId="204">
    <w:name w:val="标题 61"/>
    <w:basedOn w:val="1"/>
    <w:next w:val="1"/>
    <w:link w:val="216"/>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customStyle="1" w:styleId="205">
    <w:name w:val="标题 71"/>
    <w:basedOn w:val="1"/>
    <w:next w:val="1"/>
    <w:link w:val="217"/>
    <w:qFormat/>
    <w:uiPriority w:val="0"/>
    <w:pPr>
      <w:keepNext/>
      <w:keepLines/>
      <w:numPr>
        <w:ilvl w:val="6"/>
        <w:numId w:val="1"/>
      </w:numPr>
      <w:spacing w:before="240" w:after="64" w:line="320" w:lineRule="auto"/>
      <w:outlineLvl w:val="6"/>
    </w:pPr>
    <w:rPr>
      <w:b/>
      <w:bCs/>
      <w:sz w:val="24"/>
      <w:szCs w:val="24"/>
    </w:rPr>
  </w:style>
  <w:style w:type="paragraph" w:customStyle="1" w:styleId="206">
    <w:name w:val="标题 81"/>
    <w:basedOn w:val="1"/>
    <w:next w:val="1"/>
    <w:link w:val="218"/>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customStyle="1" w:styleId="207">
    <w:name w:val="标题 91"/>
    <w:basedOn w:val="1"/>
    <w:next w:val="1"/>
    <w:link w:val="219"/>
    <w:qFormat/>
    <w:uiPriority w:val="0"/>
    <w:pPr>
      <w:keepNext/>
      <w:keepLines/>
      <w:numPr>
        <w:ilvl w:val="8"/>
        <w:numId w:val="1"/>
      </w:numPr>
      <w:spacing w:before="240" w:after="64" w:line="320" w:lineRule="auto"/>
      <w:outlineLvl w:val="8"/>
    </w:pPr>
    <w:rPr>
      <w:rFonts w:ascii="Arial" w:hAnsi="Arial" w:eastAsia="黑体"/>
    </w:rPr>
  </w:style>
  <w:style w:type="character" w:customStyle="1" w:styleId="208">
    <w:name w:val="默认段落字体1"/>
    <w:link w:val="1"/>
    <w:unhideWhenUsed/>
    <w:qFormat/>
    <w:uiPriority w:val="1"/>
  </w:style>
  <w:style w:type="table" w:customStyle="1" w:styleId="209">
    <w:name w:val="普通表格1"/>
    <w:unhideWhenUsed/>
    <w:qFormat/>
    <w:uiPriority w:val="99"/>
  </w:style>
  <w:style w:type="character" w:customStyle="1" w:styleId="210">
    <w:name w:val=" Char Char25"/>
    <w:link w:val="198"/>
    <w:qFormat/>
    <w:uiPriority w:val="0"/>
    <w:rPr>
      <w:rFonts w:ascii="楷体_GB2312" w:hAnsi="Times New Roman" w:eastAsia="楷体_GB2312" w:cs="Times New Roman"/>
      <w:sz w:val="28"/>
      <w:szCs w:val="28"/>
    </w:rPr>
  </w:style>
  <w:style w:type="character" w:customStyle="1" w:styleId="211">
    <w:name w:val="2 Char1"/>
    <w:link w:val="199"/>
    <w:qFormat/>
    <w:uiPriority w:val="0"/>
    <w:rPr>
      <w:rFonts w:ascii="Arial" w:hAnsi="Arial" w:eastAsia="幼圆" w:cs="Arial"/>
      <w:b/>
      <w:bCs/>
      <w:sz w:val="44"/>
      <w:szCs w:val="44"/>
    </w:rPr>
  </w:style>
  <w:style w:type="character" w:customStyle="1" w:styleId="212">
    <w:name w:val=" Char Char24"/>
    <w:link w:val="200"/>
    <w:qFormat/>
    <w:uiPriority w:val="0"/>
    <w:rPr>
      <w:rFonts w:ascii="Times New Roman" w:hAnsi="Times New Roman" w:eastAsia="宋体" w:cs="Times New Roman"/>
      <w:b/>
      <w:bCs/>
      <w:sz w:val="32"/>
      <w:szCs w:val="32"/>
    </w:rPr>
  </w:style>
  <w:style w:type="character" w:customStyle="1" w:styleId="213">
    <w:name w:val="署名 Char Char"/>
    <w:link w:val="201"/>
    <w:qFormat/>
    <w:uiPriority w:val="0"/>
    <w:rPr>
      <w:rFonts w:ascii="Times New Roman" w:hAnsi="Times New Roman" w:eastAsia="宋体" w:cs="Times New Roman"/>
      <w:szCs w:val="21"/>
    </w:rPr>
  </w:style>
  <w:style w:type="character" w:customStyle="1" w:styleId="214">
    <w:name w:val=" Char Char23"/>
    <w:link w:val="202"/>
    <w:qFormat/>
    <w:uiPriority w:val="0"/>
    <w:rPr>
      <w:rFonts w:ascii="Arial" w:hAnsi="Arial" w:eastAsia="黑体" w:cs="Arial"/>
      <w:b/>
      <w:bCs/>
      <w:sz w:val="28"/>
      <w:szCs w:val="28"/>
    </w:rPr>
  </w:style>
  <w:style w:type="character" w:customStyle="1" w:styleId="215">
    <w:name w:val=" Char Char22"/>
    <w:link w:val="203"/>
    <w:qFormat/>
    <w:uiPriority w:val="0"/>
    <w:rPr>
      <w:rFonts w:ascii="宋体" w:hAnsi="Times New Roman" w:eastAsia="宋体" w:cs="Times New Roman"/>
      <w:color w:val="000000"/>
      <w:sz w:val="28"/>
      <w:szCs w:val="28"/>
    </w:rPr>
  </w:style>
  <w:style w:type="character" w:customStyle="1" w:styleId="216">
    <w:name w:val=" Char Char21"/>
    <w:link w:val="204"/>
    <w:qFormat/>
    <w:uiPriority w:val="0"/>
    <w:rPr>
      <w:rFonts w:ascii="Arial" w:hAnsi="Arial" w:eastAsia="黑体" w:cs="Times New Roman"/>
      <w:b/>
      <w:bCs/>
      <w:sz w:val="24"/>
      <w:szCs w:val="24"/>
    </w:rPr>
  </w:style>
  <w:style w:type="character" w:customStyle="1" w:styleId="217">
    <w:name w:val=" Char Char20"/>
    <w:link w:val="205"/>
    <w:qFormat/>
    <w:uiPriority w:val="0"/>
    <w:rPr>
      <w:rFonts w:ascii="Times New Roman" w:hAnsi="Times New Roman" w:eastAsia="宋体" w:cs="Times New Roman"/>
      <w:b/>
      <w:bCs/>
      <w:sz w:val="24"/>
      <w:szCs w:val="24"/>
    </w:rPr>
  </w:style>
  <w:style w:type="character" w:customStyle="1" w:styleId="218">
    <w:name w:val=" Char Char19"/>
    <w:link w:val="206"/>
    <w:qFormat/>
    <w:uiPriority w:val="0"/>
    <w:rPr>
      <w:rFonts w:ascii="Arial" w:hAnsi="Arial" w:eastAsia="黑体" w:cs="Times New Roman"/>
      <w:sz w:val="24"/>
      <w:szCs w:val="24"/>
    </w:rPr>
  </w:style>
  <w:style w:type="character" w:customStyle="1" w:styleId="219">
    <w:name w:val=" Char Char18"/>
    <w:link w:val="207"/>
    <w:qFormat/>
    <w:uiPriority w:val="0"/>
    <w:rPr>
      <w:rFonts w:ascii="Arial" w:hAnsi="Arial" w:eastAsia="黑体" w:cs="Times New Roman"/>
      <w:szCs w:val="21"/>
    </w:rPr>
  </w:style>
  <w:style w:type="paragraph" w:customStyle="1" w:styleId="220">
    <w:name w:val="列表 31"/>
    <w:basedOn w:val="1"/>
    <w:qFormat/>
    <w:uiPriority w:val="0"/>
    <w:pPr>
      <w:ind w:left="100" w:hanging="200"/>
    </w:pPr>
  </w:style>
  <w:style w:type="paragraph" w:customStyle="1" w:styleId="221">
    <w:name w:val="目录 71"/>
    <w:basedOn w:val="1"/>
    <w:next w:val="1"/>
    <w:semiHidden/>
    <w:qFormat/>
    <w:uiPriority w:val="0"/>
    <w:pPr>
      <w:ind w:left="1260"/>
      <w:jc w:val="left"/>
    </w:pPr>
  </w:style>
  <w:style w:type="paragraph" w:customStyle="1" w:styleId="222">
    <w:name w:val="题注1"/>
    <w:basedOn w:val="1"/>
    <w:next w:val="1"/>
    <w:qFormat/>
    <w:uiPriority w:val="0"/>
    <w:rPr>
      <w:rFonts w:ascii="Cambria" w:hAnsi="Cambria" w:eastAsia="黑体"/>
      <w:sz w:val="20"/>
      <w:szCs w:val="20"/>
    </w:rPr>
  </w:style>
  <w:style w:type="paragraph" w:customStyle="1" w:styleId="223">
    <w:name w:val="文档结构图1"/>
    <w:basedOn w:val="1"/>
    <w:link w:val="224"/>
    <w:semiHidden/>
    <w:qFormat/>
    <w:uiPriority w:val="0"/>
    <w:pPr>
      <w:shd w:val="clear" w:color="auto" w:fill="000080"/>
    </w:pPr>
  </w:style>
  <w:style w:type="character" w:customStyle="1" w:styleId="224">
    <w:name w:val=" Char Char16"/>
    <w:link w:val="223"/>
    <w:semiHidden/>
    <w:qFormat/>
    <w:uiPriority w:val="0"/>
    <w:rPr>
      <w:rFonts w:ascii="Times New Roman" w:hAnsi="Times New Roman" w:eastAsia="宋体" w:cs="Times New Roman"/>
      <w:szCs w:val="21"/>
      <w:shd w:val="clear" w:color="auto" w:fill="000080"/>
    </w:rPr>
  </w:style>
  <w:style w:type="paragraph" w:customStyle="1" w:styleId="225">
    <w:name w:val="批注文字1"/>
    <w:basedOn w:val="1"/>
    <w:link w:val="226"/>
    <w:semiHidden/>
    <w:qFormat/>
    <w:uiPriority w:val="0"/>
    <w:pPr>
      <w:jc w:val="left"/>
    </w:pPr>
  </w:style>
  <w:style w:type="character" w:customStyle="1" w:styleId="226">
    <w:name w:val=" Char Char15"/>
    <w:link w:val="225"/>
    <w:semiHidden/>
    <w:qFormat/>
    <w:uiPriority w:val="0"/>
    <w:rPr>
      <w:rFonts w:ascii="Times New Roman" w:hAnsi="Times New Roman" w:eastAsia="宋体" w:cs="Times New Roman"/>
      <w:szCs w:val="21"/>
    </w:rPr>
  </w:style>
  <w:style w:type="paragraph" w:customStyle="1" w:styleId="227">
    <w:name w:val="正文文本 31"/>
    <w:basedOn w:val="1"/>
    <w:link w:val="228"/>
    <w:qFormat/>
    <w:uiPriority w:val="0"/>
    <w:rPr>
      <w:rFonts w:ascii="仿宋_GB2312" w:hAnsi="Arial" w:eastAsia="仿宋_GB2312"/>
      <w:sz w:val="32"/>
      <w:szCs w:val="32"/>
    </w:rPr>
  </w:style>
  <w:style w:type="character" w:customStyle="1" w:styleId="228">
    <w:name w:val=" Char Char14"/>
    <w:link w:val="227"/>
    <w:qFormat/>
    <w:uiPriority w:val="0"/>
    <w:rPr>
      <w:rFonts w:ascii="仿宋_GB2312" w:hAnsi="Arial" w:eastAsia="仿宋_GB2312" w:cs="Times New Roman"/>
      <w:sz w:val="32"/>
      <w:szCs w:val="32"/>
    </w:rPr>
  </w:style>
  <w:style w:type="paragraph" w:customStyle="1" w:styleId="229">
    <w:name w:val="正文文本1"/>
    <w:basedOn w:val="1"/>
    <w:link w:val="230"/>
    <w:qFormat/>
    <w:uiPriority w:val="0"/>
    <w:rPr>
      <w:rFonts w:ascii="楷体_GB2312" w:hAnsi="Arial" w:eastAsia="楷体_GB2312"/>
      <w:sz w:val="28"/>
      <w:szCs w:val="28"/>
    </w:rPr>
  </w:style>
  <w:style w:type="character" w:customStyle="1" w:styleId="230">
    <w:name w:val="手改 Char Char"/>
    <w:link w:val="229"/>
    <w:qFormat/>
    <w:uiPriority w:val="0"/>
    <w:rPr>
      <w:rFonts w:ascii="楷体_GB2312" w:hAnsi="Arial" w:eastAsia="楷体_GB2312" w:cs="Times New Roman"/>
      <w:sz w:val="28"/>
      <w:szCs w:val="28"/>
    </w:rPr>
  </w:style>
  <w:style w:type="paragraph" w:customStyle="1" w:styleId="231">
    <w:name w:val="正文文本缩进1"/>
    <w:basedOn w:val="1"/>
    <w:next w:val="1"/>
    <w:link w:val="232"/>
    <w:qFormat/>
    <w:uiPriority w:val="0"/>
    <w:pPr>
      <w:ind w:firstLine="645"/>
    </w:pPr>
    <w:rPr>
      <w:rFonts w:ascii="楷体_GB2312" w:eastAsia="楷体_GB2312"/>
      <w:sz w:val="32"/>
      <w:szCs w:val="32"/>
    </w:rPr>
  </w:style>
  <w:style w:type="character" w:customStyle="1" w:styleId="232">
    <w:name w:val="正文文字4 Char Char"/>
    <w:link w:val="231"/>
    <w:qFormat/>
    <w:uiPriority w:val="0"/>
    <w:rPr>
      <w:rFonts w:ascii="楷体_GB2312" w:hAnsi="Times New Roman" w:eastAsia="楷体_GB2312" w:cs="Times New Roman"/>
      <w:sz w:val="32"/>
      <w:szCs w:val="32"/>
    </w:rPr>
  </w:style>
  <w:style w:type="paragraph" w:customStyle="1" w:styleId="233">
    <w:name w:val="列表 21"/>
    <w:basedOn w:val="1"/>
    <w:qFormat/>
    <w:uiPriority w:val="0"/>
    <w:pPr>
      <w:ind w:left="100" w:hanging="200"/>
    </w:pPr>
  </w:style>
  <w:style w:type="paragraph" w:customStyle="1" w:styleId="234">
    <w:name w:val="索引 411"/>
    <w:basedOn w:val="1"/>
    <w:next w:val="1"/>
    <w:qFormat/>
    <w:uiPriority w:val="0"/>
    <w:pPr>
      <w:ind w:left="600"/>
    </w:pPr>
    <w:rPr>
      <w:szCs w:val="24"/>
    </w:rPr>
  </w:style>
  <w:style w:type="paragraph" w:customStyle="1" w:styleId="235">
    <w:name w:val="目录 51"/>
    <w:basedOn w:val="1"/>
    <w:next w:val="1"/>
    <w:semiHidden/>
    <w:qFormat/>
    <w:uiPriority w:val="0"/>
    <w:pPr>
      <w:ind w:left="840"/>
      <w:jc w:val="left"/>
    </w:pPr>
  </w:style>
  <w:style w:type="paragraph" w:customStyle="1" w:styleId="236">
    <w:name w:val="目录 31"/>
    <w:basedOn w:val="1"/>
    <w:next w:val="1"/>
    <w:semiHidden/>
    <w:qFormat/>
    <w:uiPriority w:val="0"/>
    <w:pPr>
      <w:ind w:left="420"/>
      <w:jc w:val="left"/>
    </w:pPr>
    <w:rPr>
      <w:i/>
      <w:iCs/>
      <w:szCs w:val="24"/>
    </w:rPr>
  </w:style>
  <w:style w:type="paragraph" w:customStyle="1" w:styleId="237">
    <w:name w:val="纯文本1"/>
    <w:basedOn w:val="1"/>
    <w:link w:val="238"/>
    <w:qFormat/>
    <w:uiPriority w:val="0"/>
    <w:rPr>
      <w:rFonts w:ascii="宋体" w:hAnsi="Courier New" w:cs="Courier New"/>
    </w:rPr>
  </w:style>
  <w:style w:type="character" w:customStyle="1" w:styleId="238">
    <w:name w:val=" Char Char13"/>
    <w:link w:val="237"/>
    <w:qFormat/>
    <w:uiPriority w:val="0"/>
    <w:rPr>
      <w:rFonts w:ascii="宋体" w:hAnsi="Courier New" w:eastAsia="宋体" w:cs="Courier New"/>
      <w:szCs w:val="21"/>
    </w:rPr>
  </w:style>
  <w:style w:type="paragraph" w:customStyle="1" w:styleId="239">
    <w:name w:val="目录 81"/>
    <w:basedOn w:val="1"/>
    <w:next w:val="1"/>
    <w:semiHidden/>
    <w:qFormat/>
    <w:uiPriority w:val="0"/>
    <w:pPr>
      <w:ind w:left="1470"/>
      <w:jc w:val="left"/>
    </w:pPr>
  </w:style>
  <w:style w:type="paragraph" w:customStyle="1" w:styleId="240">
    <w:name w:val="日期1"/>
    <w:basedOn w:val="1"/>
    <w:next w:val="1"/>
    <w:link w:val="241"/>
    <w:qFormat/>
    <w:uiPriority w:val="0"/>
    <w:rPr>
      <w:sz w:val="24"/>
      <w:szCs w:val="24"/>
    </w:rPr>
  </w:style>
  <w:style w:type="character" w:customStyle="1" w:styleId="241">
    <w:name w:val=" Char Char12"/>
    <w:link w:val="240"/>
    <w:qFormat/>
    <w:uiPriority w:val="0"/>
    <w:rPr>
      <w:rFonts w:ascii="Times New Roman" w:hAnsi="Times New Roman" w:eastAsia="宋体" w:cs="Times New Roman"/>
      <w:sz w:val="24"/>
      <w:szCs w:val="24"/>
    </w:rPr>
  </w:style>
  <w:style w:type="paragraph" w:customStyle="1" w:styleId="242">
    <w:name w:val="正文文本缩进 21"/>
    <w:basedOn w:val="1"/>
    <w:link w:val="243"/>
    <w:qFormat/>
    <w:uiPriority w:val="0"/>
    <w:pPr>
      <w:ind w:left="630" w:firstLine="645"/>
    </w:pPr>
    <w:rPr>
      <w:rFonts w:ascii="Arial" w:hAnsi="Arial" w:eastAsia="仿宋_GB2312" w:cs="Arial"/>
      <w:sz w:val="32"/>
      <w:szCs w:val="32"/>
    </w:rPr>
  </w:style>
  <w:style w:type="character" w:customStyle="1" w:styleId="243">
    <w:name w:val=" Char Char11"/>
    <w:link w:val="242"/>
    <w:qFormat/>
    <w:uiPriority w:val="0"/>
    <w:rPr>
      <w:rFonts w:ascii="Arial" w:hAnsi="Arial" w:eastAsia="仿宋_GB2312" w:cs="Arial"/>
      <w:sz w:val="32"/>
      <w:szCs w:val="32"/>
    </w:rPr>
  </w:style>
  <w:style w:type="paragraph" w:customStyle="1" w:styleId="244">
    <w:name w:val="批注框文本1"/>
    <w:basedOn w:val="1"/>
    <w:link w:val="245"/>
    <w:semiHidden/>
    <w:qFormat/>
    <w:uiPriority w:val="0"/>
    <w:rPr>
      <w:sz w:val="18"/>
      <w:szCs w:val="18"/>
    </w:rPr>
  </w:style>
  <w:style w:type="character" w:customStyle="1" w:styleId="245">
    <w:name w:val=" Char Char10"/>
    <w:link w:val="244"/>
    <w:semiHidden/>
    <w:qFormat/>
    <w:uiPriority w:val="0"/>
    <w:rPr>
      <w:rFonts w:ascii="Times New Roman" w:hAnsi="Times New Roman" w:eastAsia="宋体" w:cs="Times New Roman"/>
      <w:sz w:val="18"/>
      <w:szCs w:val="18"/>
    </w:rPr>
  </w:style>
  <w:style w:type="paragraph" w:customStyle="1" w:styleId="246">
    <w:name w:val="页脚1"/>
    <w:basedOn w:val="1"/>
    <w:link w:val="247"/>
    <w:qFormat/>
    <w:uiPriority w:val="0"/>
    <w:pPr>
      <w:tabs>
        <w:tab w:val="center" w:pos="4153"/>
        <w:tab w:val="right" w:pos="8306"/>
      </w:tabs>
      <w:jc w:val="left"/>
    </w:pPr>
    <w:rPr>
      <w:sz w:val="18"/>
      <w:szCs w:val="18"/>
    </w:rPr>
  </w:style>
  <w:style w:type="character" w:customStyle="1" w:styleId="247">
    <w:name w:val=" Char Char9"/>
    <w:link w:val="246"/>
    <w:qFormat/>
    <w:uiPriority w:val="0"/>
    <w:rPr>
      <w:rFonts w:ascii="Times New Roman" w:hAnsi="Times New Roman" w:eastAsia="宋体" w:cs="Times New Roman"/>
      <w:sz w:val="18"/>
      <w:szCs w:val="18"/>
    </w:rPr>
  </w:style>
  <w:style w:type="paragraph" w:customStyle="1" w:styleId="248">
    <w:name w:val="页眉1"/>
    <w:basedOn w:val="1"/>
    <w:link w:val="249"/>
    <w:qFormat/>
    <w:uiPriority w:val="0"/>
    <w:pPr>
      <w:pBdr>
        <w:bottom w:val="single" w:color="000000" w:sz="6" w:space="1"/>
      </w:pBdr>
      <w:tabs>
        <w:tab w:val="center" w:pos="4153"/>
        <w:tab w:val="right" w:pos="8306"/>
      </w:tabs>
      <w:jc w:val="center"/>
    </w:pPr>
    <w:rPr>
      <w:sz w:val="18"/>
      <w:szCs w:val="18"/>
    </w:rPr>
  </w:style>
  <w:style w:type="character" w:customStyle="1" w:styleId="249">
    <w:name w:val=" Char Char8"/>
    <w:link w:val="248"/>
    <w:qFormat/>
    <w:uiPriority w:val="0"/>
    <w:rPr>
      <w:rFonts w:ascii="Times New Roman" w:hAnsi="Times New Roman" w:eastAsia="宋体" w:cs="Times New Roman"/>
      <w:sz w:val="18"/>
      <w:szCs w:val="18"/>
    </w:rPr>
  </w:style>
  <w:style w:type="paragraph" w:customStyle="1" w:styleId="250">
    <w:name w:val="目录 1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251">
    <w:name w:val="目录 41"/>
    <w:basedOn w:val="1"/>
    <w:next w:val="1"/>
    <w:semiHidden/>
    <w:qFormat/>
    <w:uiPriority w:val="0"/>
    <w:pPr>
      <w:ind w:left="630"/>
      <w:jc w:val="left"/>
    </w:pPr>
  </w:style>
  <w:style w:type="paragraph" w:customStyle="1" w:styleId="252">
    <w:name w:val="副标题1"/>
    <w:basedOn w:val="1"/>
    <w:next w:val="1"/>
    <w:link w:val="253"/>
    <w:qFormat/>
    <w:uiPriority w:val="0"/>
    <w:pPr>
      <w:spacing w:before="240" w:after="60" w:line="312" w:lineRule="auto"/>
      <w:jc w:val="center"/>
      <w:outlineLvl w:val="1"/>
    </w:pPr>
    <w:rPr>
      <w:rFonts w:ascii="Cambria" w:hAnsi="Cambria" w:eastAsia="Times New Roman"/>
      <w:b/>
      <w:bCs/>
      <w:sz w:val="32"/>
      <w:szCs w:val="32"/>
    </w:rPr>
  </w:style>
  <w:style w:type="character" w:customStyle="1" w:styleId="253">
    <w:name w:val=" Char Char1"/>
    <w:link w:val="252"/>
    <w:qFormat/>
    <w:uiPriority w:val="0"/>
    <w:rPr>
      <w:rFonts w:ascii="Cambria" w:hAnsi="Cambria"/>
      <w:b/>
      <w:bCs/>
      <w:sz w:val="32"/>
      <w:szCs w:val="32"/>
      <w:lang w:bidi="ar-SA"/>
    </w:rPr>
  </w:style>
  <w:style w:type="paragraph" w:customStyle="1" w:styleId="254">
    <w:name w:val="列表1"/>
    <w:basedOn w:val="1"/>
    <w:qFormat/>
    <w:uiPriority w:val="0"/>
    <w:pPr>
      <w:ind w:left="200" w:hanging="200"/>
    </w:pPr>
  </w:style>
  <w:style w:type="paragraph" w:customStyle="1" w:styleId="255">
    <w:name w:val="脚注文本1"/>
    <w:basedOn w:val="256"/>
    <w:next w:val="257"/>
    <w:link w:val="258"/>
    <w:qFormat/>
    <w:uiPriority w:val="0"/>
    <w:pPr>
      <w:jc w:val="left"/>
    </w:pPr>
  </w:style>
  <w:style w:type="paragraph" w:customStyle="1" w:styleId="256">
    <w:name w:val="正文_21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257">
    <w:name w:val="正文_21"/>
    <w:qFormat/>
    <w:uiPriority w:val="0"/>
    <w:pPr>
      <w:widowControl w:val="0"/>
      <w:jc w:val="both"/>
    </w:pPr>
    <w:rPr>
      <w:rFonts w:hint="default" w:ascii="Calibri" w:hAnsi="Calibri" w:eastAsia="宋体" w:cs="Times New Roman"/>
      <w:sz w:val="21"/>
      <w:szCs w:val="22"/>
      <w:lang w:val="en-US" w:eastAsia="zh-CN" w:bidi="ar-SA"/>
    </w:rPr>
  </w:style>
  <w:style w:type="character" w:customStyle="1" w:styleId="258">
    <w:name w:val=" Char Char"/>
    <w:link w:val="255"/>
    <w:qFormat/>
    <w:uiPriority w:val="0"/>
    <w:rPr>
      <w:rFonts w:ascii="Calibri" w:hAnsi="Calibri" w:eastAsia="宋体"/>
      <w:sz w:val="21"/>
      <w:szCs w:val="22"/>
      <w:lang w:val="en-US" w:eastAsia="zh-CN" w:bidi="ar-SA"/>
    </w:rPr>
  </w:style>
  <w:style w:type="paragraph" w:customStyle="1" w:styleId="259">
    <w:name w:val="目录 61"/>
    <w:basedOn w:val="1"/>
    <w:next w:val="1"/>
    <w:semiHidden/>
    <w:qFormat/>
    <w:uiPriority w:val="0"/>
    <w:pPr>
      <w:ind w:left="1050"/>
      <w:jc w:val="left"/>
    </w:pPr>
  </w:style>
  <w:style w:type="paragraph" w:customStyle="1" w:styleId="260">
    <w:name w:val="正文文本缩进 31"/>
    <w:basedOn w:val="1"/>
    <w:link w:val="261"/>
    <w:qFormat/>
    <w:uiPriority w:val="0"/>
    <w:pPr>
      <w:ind w:left="645" w:firstLine="645"/>
    </w:pPr>
    <w:rPr>
      <w:rFonts w:ascii="Arial" w:hAnsi="Arial" w:eastAsia="仿宋_GB2312" w:cs="Arial"/>
      <w:color w:val="FFFF00"/>
      <w:sz w:val="32"/>
      <w:szCs w:val="32"/>
    </w:rPr>
  </w:style>
  <w:style w:type="character" w:customStyle="1" w:styleId="261">
    <w:name w:val=" Char Char7"/>
    <w:link w:val="260"/>
    <w:qFormat/>
    <w:uiPriority w:val="0"/>
    <w:rPr>
      <w:rFonts w:ascii="Arial" w:hAnsi="Arial" w:eastAsia="仿宋_GB2312" w:cs="Arial"/>
      <w:color w:val="FFFF00"/>
      <w:sz w:val="32"/>
      <w:szCs w:val="32"/>
    </w:rPr>
  </w:style>
  <w:style w:type="paragraph" w:customStyle="1" w:styleId="262">
    <w:name w:val="图表目录1"/>
    <w:basedOn w:val="1"/>
    <w:next w:val="1"/>
    <w:semiHidden/>
    <w:qFormat/>
    <w:uiPriority w:val="0"/>
    <w:pPr>
      <w:ind w:left="840" w:hanging="420"/>
    </w:pPr>
  </w:style>
  <w:style w:type="paragraph" w:customStyle="1" w:styleId="263">
    <w:name w:val="目录 21"/>
    <w:basedOn w:val="1"/>
    <w:next w:val="1"/>
    <w:semiHidden/>
    <w:qFormat/>
    <w:uiPriority w:val="0"/>
    <w:pPr>
      <w:ind w:left="210"/>
      <w:jc w:val="left"/>
    </w:pPr>
    <w:rPr>
      <w:smallCaps/>
      <w:szCs w:val="24"/>
    </w:rPr>
  </w:style>
  <w:style w:type="paragraph" w:customStyle="1" w:styleId="264">
    <w:name w:val="目录 91"/>
    <w:basedOn w:val="1"/>
    <w:next w:val="1"/>
    <w:semiHidden/>
    <w:qFormat/>
    <w:uiPriority w:val="0"/>
    <w:pPr>
      <w:ind w:left="1680"/>
      <w:jc w:val="left"/>
    </w:pPr>
  </w:style>
  <w:style w:type="paragraph" w:customStyle="1" w:styleId="265">
    <w:name w:val="正文文本 21"/>
    <w:basedOn w:val="1"/>
    <w:link w:val="266"/>
    <w:qFormat/>
    <w:uiPriority w:val="0"/>
    <w:pPr>
      <w:widowControl/>
      <w:jc w:val="center"/>
    </w:pPr>
    <w:rPr>
      <w:rFonts w:ascii="楷体_GB2312" w:eastAsia="楷体_GB2312"/>
      <w:sz w:val="28"/>
      <w:szCs w:val="28"/>
    </w:rPr>
  </w:style>
  <w:style w:type="character" w:customStyle="1" w:styleId="266">
    <w:name w:val=" Char Char6"/>
    <w:link w:val="265"/>
    <w:qFormat/>
    <w:uiPriority w:val="0"/>
    <w:rPr>
      <w:rFonts w:ascii="楷体_GB2312" w:hAnsi="Times New Roman" w:eastAsia="楷体_GB2312" w:cs="Times New Roman"/>
      <w:sz w:val="28"/>
      <w:szCs w:val="28"/>
    </w:rPr>
  </w:style>
  <w:style w:type="paragraph" w:customStyle="1" w:styleId="267">
    <w:name w:val="列表接续 21"/>
    <w:basedOn w:val="1"/>
    <w:qFormat/>
    <w:uiPriority w:val="0"/>
    <w:pPr>
      <w:spacing w:after="120"/>
      <w:ind w:left="840"/>
    </w:pPr>
    <w:rPr>
      <w:rFonts w:ascii="Calibri" w:hAnsi="Calibri"/>
      <w:szCs w:val="20"/>
    </w:rPr>
  </w:style>
  <w:style w:type="paragraph" w:customStyle="1" w:styleId="268">
    <w:name w:val="普通(网站)1"/>
    <w:basedOn w:val="1"/>
    <w:qFormat/>
    <w:uiPriority w:val="99"/>
    <w:pPr>
      <w:widowControl/>
      <w:spacing w:before="100" w:beforeAutospacing="1" w:after="100" w:afterAutospacing="1"/>
      <w:jc w:val="left"/>
    </w:pPr>
    <w:rPr>
      <w:rFonts w:ascii="宋体" w:hAnsi="宋体" w:cs="宋体"/>
      <w:sz w:val="24"/>
      <w:szCs w:val="24"/>
    </w:rPr>
  </w:style>
  <w:style w:type="paragraph" w:customStyle="1" w:styleId="269">
    <w:name w:val="索引 11"/>
    <w:basedOn w:val="1"/>
    <w:next w:val="1"/>
    <w:semiHidden/>
    <w:qFormat/>
    <w:uiPriority w:val="0"/>
    <w:pPr>
      <w:spacing w:line="240" w:lineRule="atLeast"/>
    </w:pPr>
    <w:rPr>
      <w:b/>
      <w:bCs/>
    </w:rPr>
  </w:style>
  <w:style w:type="paragraph" w:customStyle="1" w:styleId="270">
    <w:name w:val="标题11"/>
    <w:basedOn w:val="1"/>
    <w:next w:val="1"/>
    <w:link w:val="271"/>
    <w:qFormat/>
    <w:uiPriority w:val="0"/>
    <w:pPr>
      <w:spacing w:before="240" w:after="60" w:line="520" w:lineRule="exact"/>
      <w:jc w:val="center"/>
      <w:outlineLvl w:val="0"/>
    </w:pPr>
    <w:rPr>
      <w:rFonts w:ascii="Cambria" w:hAnsi="Cambria"/>
      <w:b/>
      <w:bCs/>
      <w:sz w:val="32"/>
      <w:szCs w:val="32"/>
    </w:rPr>
  </w:style>
  <w:style w:type="character" w:customStyle="1" w:styleId="271">
    <w:name w:val=" Char Char2"/>
    <w:link w:val="270"/>
    <w:qFormat/>
    <w:uiPriority w:val="0"/>
    <w:rPr>
      <w:rFonts w:ascii="Cambria" w:hAnsi="Cambria" w:eastAsia="宋体"/>
      <w:b/>
      <w:bCs/>
      <w:sz w:val="32"/>
      <w:szCs w:val="32"/>
      <w:lang w:bidi="ar-SA"/>
    </w:rPr>
  </w:style>
  <w:style w:type="paragraph" w:customStyle="1" w:styleId="272">
    <w:name w:val="批注主题1"/>
    <w:basedOn w:val="225"/>
    <w:next w:val="225"/>
    <w:link w:val="273"/>
    <w:semiHidden/>
    <w:qFormat/>
    <w:uiPriority w:val="0"/>
    <w:rPr>
      <w:b/>
      <w:bCs/>
    </w:rPr>
  </w:style>
  <w:style w:type="character" w:customStyle="1" w:styleId="273">
    <w:name w:val=" Char Char5"/>
    <w:link w:val="272"/>
    <w:semiHidden/>
    <w:qFormat/>
    <w:uiPriority w:val="0"/>
    <w:rPr>
      <w:rFonts w:ascii="Times New Roman" w:hAnsi="Times New Roman" w:eastAsia="宋体" w:cs="Times New Roman"/>
      <w:b/>
      <w:bCs/>
      <w:szCs w:val="21"/>
    </w:rPr>
  </w:style>
  <w:style w:type="paragraph" w:customStyle="1" w:styleId="274">
    <w:name w:val="正文首行缩进1"/>
    <w:basedOn w:val="1"/>
    <w:link w:val="275"/>
    <w:qFormat/>
    <w:uiPriority w:val="0"/>
    <w:pPr>
      <w:spacing w:line="360" w:lineRule="auto"/>
      <w:ind w:firstLine="200"/>
    </w:pPr>
    <w:rPr>
      <w:rFonts w:ascii="仿宋_GB2312" w:eastAsia="仿宋_GB2312"/>
      <w:sz w:val="30"/>
      <w:szCs w:val="30"/>
    </w:rPr>
  </w:style>
  <w:style w:type="character" w:customStyle="1" w:styleId="275">
    <w:name w:val=" Char Char4"/>
    <w:link w:val="274"/>
    <w:qFormat/>
    <w:uiPriority w:val="0"/>
    <w:rPr>
      <w:rFonts w:ascii="仿宋_GB2312" w:hAnsi="Times New Roman" w:eastAsia="仿宋_GB2312" w:cs="Times New Roman"/>
      <w:sz w:val="30"/>
      <w:szCs w:val="30"/>
    </w:rPr>
  </w:style>
  <w:style w:type="paragraph" w:customStyle="1" w:styleId="276">
    <w:name w:val="正文首行缩进 21"/>
    <w:basedOn w:val="231"/>
    <w:link w:val="277"/>
    <w:qFormat/>
    <w:uiPriority w:val="0"/>
    <w:pPr>
      <w:spacing w:line="360" w:lineRule="auto"/>
      <w:ind w:firstLine="420"/>
    </w:pPr>
    <w:rPr>
      <w:rFonts w:ascii="宋体" w:hAnsi="宋体" w:eastAsia="宋体"/>
      <w:sz w:val="21"/>
      <w:szCs w:val="20"/>
    </w:rPr>
  </w:style>
  <w:style w:type="character" w:customStyle="1" w:styleId="277">
    <w:name w:val=" Char Char3"/>
    <w:link w:val="276"/>
    <w:qFormat/>
    <w:uiPriority w:val="0"/>
    <w:rPr>
      <w:rFonts w:ascii="宋体" w:hAnsi="宋体" w:eastAsia="宋体" w:cs="Times New Roman"/>
      <w:sz w:val="32"/>
      <w:szCs w:val="20"/>
    </w:rPr>
  </w:style>
  <w:style w:type="table" w:customStyle="1" w:styleId="278">
    <w:name w:val="网格型1"/>
    <w:basedOn w:val="209"/>
    <w:qFormat/>
    <w:uiPriority w:val="0"/>
    <w:pPr>
      <w:widowControl w:val="0"/>
      <w:jc w:val="both"/>
    </w:pPr>
    <w:rPr>
      <w:rFonts w:ascii="Times New Roman" w:hAnsi="Times New Roman" w:eastAsia="宋体" w:cs="Times New Roman"/>
      <w:sz w:val="20"/>
      <w:szCs w:val="20"/>
    </w:rPr>
  </w:style>
  <w:style w:type="character" w:customStyle="1" w:styleId="279">
    <w:name w:val="要点1"/>
    <w:link w:val="1"/>
    <w:qFormat/>
    <w:uiPriority w:val="0"/>
    <w:rPr>
      <w:b/>
      <w:bCs/>
    </w:rPr>
  </w:style>
  <w:style w:type="character" w:customStyle="1" w:styleId="280">
    <w:name w:val="页码1"/>
    <w:link w:val="1"/>
    <w:qFormat/>
    <w:uiPriority w:val="0"/>
  </w:style>
  <w:style w:type="character" w:customStyle="1" w:styleId="281">
    <w:name w:val="已访问的超链接1"/>
    <w:link w:val="1"/>
    <w:qFormat/>
    <w:uiPriority w:val="0"/>
    <w:rPr>
      <w:color w:val="800080"/>
      <w:u w:val="none"/>
    </w:rPr>
  </w:style>
  <w:style w:type="character" w:customStyle="1" w:styleId="282">
    <w:name w:val="强调1"/>
    <w:link w:val="1"/>
    <w:qFormat/>
    <w:uiPriority w:val="20"/>
  </w:style>
  <w:style w:type="character" w:customStyle="1" w:styleId="283">
    <w:name w:val="HTML 定义1"/>
    <w:link w:val="1"/>
    <w:unhideWhenUsed/>
    <w:qFormat/>
    <w:uiPriority w:val="99"/>
  </w:style>
  <w:style w:type="character" w:customStyle="1" w:styleId="284">
    <w:name w:val="HTML 打字机1"/>
    <w:link w:val="1"/>
    <w:unhideWhenUsed/>
    <w:qFormat/>
    <w:uiPriority w:val="99"/>
    <w:rPr>
      <w:rFonts w:ascii="monospace" w:hAnsi="monospace" w:eastAsia="monospace" w:cs="monospace"/>
      <w:sz w:val="20"/>
    </w:rPr>
  </w:style>
  <w:style w:type="character" w:customStyle="1" w:styleId="285">
    <w:name w:val="HTML 缩写1"/>
    <w:link w:val="1"/>
    <w:unhideWhenUsed/>
    <w:qFormat/>
    <w:uiPriority w:val="99"/>
  </w:style>
  <w:style w:type="character" w:customStyle="1" w:styleId="286">
    <w:name w:val="HTML 变量1"/>
    <w:link w:val="1"/>
    <w:unhideWhenUsed/>
    <w:qFormat/>
    <w:uiPriority w:val="99"/>
  </w:style>
  <w:style w:type="character" w:customStyle="1" w:styleId="287">
    <w:name w:val="超链接1"/>
    <w:link w:val="1"/>
    <w:qFormat/>
    <w:uiPriority w:val="0"/>
    <w:rPr>
      <w:color w:val="0000FF"/>
      <w:u w:val="none"/>
    </w:rPr>
  </w:style>
  <w:style w:type="character" w:customStyle="1" w:styleId="288">
    <w:name w:val="HTML 代码1"/>
    <w:link w:val="1"/>
    <w:unhideWhenUsed/>
    <w:qFormat/>
    <w:uiPriority w:val="99"/>
    <w:rPr>
      <w:rFonts w:ascii="monospace" w:hAnsi="monospace" w:eastAsia="monospace" w:cs="monospace"/>
      <w:sz w:val="20"/>
    </w:rPr>
  </w:style>
  <w:style w:type="character" w:customStyle="1" w:styleId="289">
    <w:name w:val="批注引用1"/>
    <w:link w:val="1"/>
    <w:semiHidden/>
    <w:qFormat/>
    <w:uiPriority w:val="0"/>
    <w:rPr>
      <w:sz w:val="21"/>
      <w:szCs w:val="21"/>
    </w:rPr>
  </w:style>
  <w:style w:type="character" w:customStyle="1" w:styleId="290">
    <w:name w:val="HTML 引文1"/>
    <w:link w:val="1"/>
    <w:unhideWhenUsed/>
    <w:qFormat/>
    <w:uiPriority w:val="99"/>
  </w:style>
  <w:style w:type="character" w:customStyle="1" w:styleId="291">
    <w:name w:val="HTML 键盘1"/>
    <w:link w:val="1"/>
    <w:unhideWhenUsed/>
    <w:qFormat/>
    <w:uiPriority w:val="99"/>
    <w:rPr>
      <w:rFonts w:ascii="monospace" w:hAnsi="monospace" w:eastAsia="monospace" w:cs="monospace"/>
      <w:sz w:val="20"/>
    </w:rPr>
  </w:style>
  <w:style w:type="character" w:customStyle="1" w:styleId="292">
    <w:name w:val="HTML 样本1"/>
    <w:link w:val="1"/>
    <w:unhideWhenUsed/>
    <w:qFormat/>
    <w:uiPriority w:val="99"/>
    <w:rPr>
      <w:rFonts w:ascii="monospace" w:hAnsi="monospace" w:eastAsia="monospace" w:cs="monospace"/>
    </w:rPr>
  </w:style>
  <w:style w:type="paragraph" w:customStyle="1" w:styleId="293">
    <w:name w:val="正文空2字"/>
    <w:basedOn w:val="294"/>
    <w:qFormat/>
    <w:uiPriority w:val="99"/>
    <w:pPr>
      <w:widowControl w:val="0"/>
      <w:spacing w:line="560" w:lineRule="exact"/>
      <w:ind w:firstLine="640"/>
    </w:pPr>
    <w:rPr>
      <w:rFonts w:ascii="仿宋_GB2312" w:hAnsi="仿宋_GB2312" w:cs="仿宋_GB2312"/>
      <w:lang w:val="zh-TW"/>
    </w:rPr>
  </w:style>
  <w:style w:type="paragraph" w:customStyle="1" w:styleId="294">
    <w:name w:val="左对齐正文"/>
    <w:qFormat/>
    <w:uiPriority w:val="99"/>
    <w:rPr>
      <w:rFonts w:hint="default" w:ascii="Calibri" w:hAnsi="Calibri" w:eastAsia="仿宋_GB2312" w:cs="Calibri"/>
      <w:sz w:val="32"/>
      <w:szCs w:val="32"/>
      <w:lang w:val="en-US" w:eastAsia="zh-CN" w:bidi="ar-SA"/>
    </w:rPr>
  </w:style>
  <w:style w:type="paragraph" w:customStyle="1" w:styleId="295">
    <w:name w:val="索引 41"/>
    <w:basedOn w:val="1"/>
    <w:next w:val="1"/>
    <w:semiHidden/>
    <w:qFormat/>
    <w:uiPriority w:val="0"/>
    <w:pPr>
      <w:ind w:left="1260"/>
    </w:pPr>
    <w:rPr>
      <w:rFonts w:ascii="Calibri" w:hAnsi="Calibri" w:eastAsia="Calibri" w:cs="宋体"/>
      <w:sz w:val="20"/>
      <w:lang w:val="zh-CN"/>
    </w:rPr>
  </w:style>
  <w:style w:type="character" w:customStyle="1" w:styleId="296">
    <w:name w:val="font5 Char"/>
    <w:link w:val="1"/>
    <w:qFormat/>
    <w:uiPriority w:val="0"/>
    <w:rPr>
      <w:rFonts w:ascii="宋体" w:hAnsi="宋体" w:eastAsia="宋体"/>
      <w:sz w:val="28"/>
      <w:szCs w:val="28"/>
      <w:lang w:val="en-US" w:eastAsia="zh-CN" w:bidi="ar-SA"/>
    </w:rPr>
  </w:style>
  <w:style w:type="character" w:customStyle="1" w:styleId="297">
    <w:name w:val="二级目录 Char"/>
    <w:link w:val="298"/>
    <w:qFormat/>
    <w:uiPriority w:val="0"/>
    <w:rPr>
      <w:b/>
      <w:sz w:val="30"/>
      <w:szCs w:val="28"/>
    </w:rPr>
  </w:style>
  <w:style w:type="paragraph" w:customStyle="1" w:styleId="298">
    <w:name w:val="二级目录"/>
    <w:next w:val="1"/>
    <w:link w:val="297"/>
    <w:qFormat/>
    <w:uiPriority w:val="0"/>
    <w:pPr>
      <w:numPr>
        <w:ilvl w:val="0"/>
        <w:numId w:val="2"/>
      </w:numPr>
      <w:tabs>
        <w:tab w:val="left" w:pos="1145"/>
        <w:tab w:val="clear" w:pos="907"/>
      </w:tabs>
      <w:outlineLvl w:val="1"/>
    </w:pPr>
    <w:rPr>
      <w:rFonts w:hint="default" w:ascii="Times New Roman" w:hAnsi="Times New Roman" w:eastAsia="宋体" w:cs="Times New Roman"/>
      <w:b/>
      <w:sz w:val="30"/>
      <w:szCs w:val="28"/>
      <w:lang w:val="en-US" w:eastAsia="zh-CN" w:bidi="ar-SA"/>
    </w:rPr>
  </w:style>
  <w:style w:type="character" w:customStyle="1" w:styleId="299">
    <w:name w:val="列出段落 Char"/>
    <w:link w:val="300"/>
    <w:qFormat/>
    <w:uiPriority w:val="0"/>
    <w:rPr>
      <w:rFonts w:ascii="Calibri" w:hAnsi="Calibri"/>
      <w:sz w:val="24"/>
      <w:szCs w:val="24"/>
      <w:lang w:eastAsia="en-US" w:bidi="en-US"/>
    </w:rPr>
  </w:style>
  <w:style w:type="paragraph" w:customStyle="1" w:styleId="300">
    <w:name w:val="列出段落1"/>
    <w:basedOn w:val="1"/>
    <w:link w:val="299"/>
    <w:qFormat/>
    <w:uiPriority w:val="0"/>
    <w:pPr>
      <w:widowControl/>
      <w:ind w:left="720"/>
      <w:contextualSpacing/>
      <w:jc w:val="left"/>
    </w:pPr>
    <w:rPr>
      <w:rFonts w:ascii="Calibri" w:hAnsi="Calibri" w:eastAsia="宋体" w:cs="Times New Roman"/>
      <w:sz w:val="24"/>
      <w:szCs w:val="24"/>
      <w:lang w:eastAsia="en-US" w:bidi="en-US"/>
    </w:rPr>
  </w:style>
  <w:style w:type="paragraph" w:customStyle="1" w:styleId="301">
    <w:name w:val="Body Text(ch)"/>
    <w:basedOn w:val="1"/>
    <w:next w:val="229"/>
    <w:qFormat/>
    <w:uiPriority w:val="0"/>
    <w:pPr>
      <w:spacing w:after="120"/>
    </w:pPr>
    <w:rPr>
      <w:rFonts w:ascii="宋体" w:hAnsi="Arial"/>
      <w:bCs/>
      <w:iCs/>
      <w:szCs w:val="24"/>
    </w:rPr>
  </w:style>
  <w:style w:type="paragraph" w:customStyle="1" w:styleId="302">
    <w:name w:val="xl2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sz w:val="24"/>
      <w:szCs w:val="24"/>
    </w:rPr>
  </w:style>
  <w:style w:type="paragraph" w:customStyle="1" w:styleId="303">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sz w:val="24"/>
      <w:szCs w:val="24"/>
    </w:rPr>
  </w:style>
  <w:style w:type="paragraph" w:customStyle="1" w:styleId="304">
    <w:name w:val="Char"/>
    <w:basedOn w:val="1"/>
    <w:qFormat/>
    <w:uiPriority w:val="0"/>
    <w:pPr>
      <w:tabs>
        <w:tab w:val="left" w:pos="360"/>
      </w:tabs>
      <w:ind w:firstLine="200"/>
    </w:pPr>
    <w:rPr>
      <w:sz w:val="28"/>
      <w:szCs w:val="30"/>
    </w:rPr>
  </w:style>
  <w:style w:type="paragraph" w:customStyle="1" w:styleId="305">
    <w:name w:val=" Char"/>
    <w:basedOn w:val="223"/>
    <w:qFormat/>
    <w:uiPriority w:val="0"/>
    <w:rPr>
      <w:rFonts w:ascii="Tahoma" w:hAnsi="Tahoma"/>
      <w:sz w:val="24"/>
      <w:szCs w:val="24"/>
    </w:rPr>
  </w:style>
  <w:style w:type="paragraph" w:customStyle="1" w:styleId="306">
    <w:name w:val="普通正文"/>
    <w:basedOn w:val="1"/>
    <w:qFormat/>
    <w:uiPriority w:val="0"/>
    <w:pPr>
      <w:spacing w:before="120" w:after="120" w:line="360" w:lineRule="auto"/>
      <w:ind w:firstLine="480"/>
      <w:jc w:val="left"/>
    </w:pPr>
    <w:rPr>
      <w:rFonts w:ascii="Arial" w:hAnsi="Arial"/>
      <w:sz w:val="24"/>
      <w:szCs w:val="24"/>
    </w:rPr>
  </w:style>
  <w:style w:type="paragraph" w:customStyle="1" w:styleId="307">
    <w:name w:val="table_lines"/>
    <w:basedOn w:val="1"/>
    <w:qFormat/>
    <w:uiPriority w:val="0"/>
    <w:pPr>
      <w:widowControl/>
      <w:jc w:val="left"/>
    </w:pPr>
    <w:rPr>
      <w:sz w:val="20"/>
      <w:szCs w:val="20"/>
      <w:lang w:val="de-DE" w:eastAsia="de-DE"/>
    </w:rPr>
  </w:style>
  <w:style w:type="paragraph" w:customStyle="1" w:styleId="308">
    <w:name w:val="附录1"/>
    <w:qFormat/>
    <w:uiPriority w:val="0"/>
    <w:pPr>
      <w:numPr>
        <w:ilvl w:val="0"/>
        <w:numId w:val="2"/>
      </w:numPr>
      <w:spacing w:before="240" w:line="600" w:lineRule="atLeast"/>
    </w:pPr>
    <w:rPr>
      <w:rFonts w:hint="default" w:ascii="Times New Roman" w:hAnsi="Times New Roman" w:eastAsia="宋体" w:cs="Times New Roman"/>
      <w:b/>
      <w:i/>
      <w:sz w:val="28"/>
      <w:lang w:val="en-US" w:eastAsia="zh-CN" w:bidi="ar-SA"/>
    </w:rPr>
  </w:style>
  <w:style w:type="paragraph" w:customStyle="1" w:styleId="309">
    <w:name w:val="font7"/>
    <w:basedOn w:val="1"/>
    <w:qFormat/>
    <w:uiPriority w:val="0"/>
    <w:pPr>
      <w:widowControl/>
      <w:spacing w:before="100" w:beforeAutospacing="1" w:after="100" w:afterAutospacing="1"/>
      <w:jc w:val="left"/>
    </w:pPr>
    <w:rPr>
      <w:rFonts w:hint="eastAsia" w:ascii="宋体" w:hAnsi="宋体"/>
      <w:sz w:val="18"/>
      <w:szCs w:val="18"/>
    </w:rPr>
  </w:style>
  <w:style w:type="paragraph" w:customStyle="1" w:styleId="310">
    <w:name w:val=" Char Char Char Char"/>
    <w:basedOn w:val="223"/>
    <w:qFormat/>
    <w:uiPriority w:val="0"/>
    <w:pPr>
      <w:spacing w:line="360" w:lineRule="auto"/>
    </w:pPr>
    <w:rPr>
      <w:rFonts w:ascii="Tahoma" w:hAnsi="Tahoma"/>
      <w:sz w:val="24"/>
      <w:szCs w:val="24"/>
    </w:rPr>
  </w:style>
  <w:style w:type="paragraph" w:customStyle="1" w:styleId="311">
    <w:name w:val="列出段落"/>
    <w:basedOn w:val="1"/>
    <w:qFormat/>
    <w:uiPriority w:val="0"/>
    <w:pPr>
      <w:widowControl/>
      <w:ind w:left="720"/>
      <w:contextualSpacing/>
      <w:jc w:val="left"/>
    </w:pPr>
    <w:rPr>
      <w:rFonts w:ascii="Calibri" w:hAnsi="Calibri"/>
      <w:sz w:val="24"/>
      <w:szCs w:val="24"/>
      <w:lang w:eastAsia="en-US" w:bidi="en-US"/>
    </w:rPr>
  </w:style>
  <w:style w:type="paragraph" w:customStyle="1" w:styleId="312">
    <w:name w:val="4"/>
    <w:basedOn w:val="1"/>
    <w:next w:val="260"/>
    <w:qFormat/>
    <w:uiPriority w:val="0"/>
    <w:pPr>
      <w:spacing w:line="360" w:lineRule="auto"/>
      <w:ind w:firstLine="420"/>
    </w:pPr>
    <w:rPr>
      <w:color w:val="FF0000"/>
      <w:sz w:val="24"/>
      <w:szCs w:val="24"/>
    </w:rPr>
  </w:style>
  <w:style w:type="paragraph" w:customStyle="1" w:styleId="313">
    <w:name w:val="普通 (Web)"/>
    <w:basedOn w:val="1"/>
    <w:qFormat/>
    <w:uiPriority w:val="0"/>
    <w:pPr>
      <w:widowControl/>
      <w:spacing w:before="100" w:beforeAutospacing="1" w:after="100" w:afterAutospacing="1"/>
      <w:jc w:val="left"/>
    </w:pPr>
    <w:rPr>
      <w:rFonts w:ascii="宋体" w:hAnsi="宋体"/>
      <w:sz w:val="24"/>
      <w:szCs w:val="24"/>
    </w:rPr>
  </w:style>
  <w:style w:type="paragraph" w:customStyle="1" w:styleId="314">
    <w:name w:val=" Char Char Char Char Char Char Char Char Char Char"/>
    <w:basedOn w:val="1"/>
    <w:qFormat/>
    <w:uiPriority w:val="0"/>
    <w:pPr>
      <w:spacing w:line="360" w:lineRule="auto"/>
    </w:pPr>
    <w:rPr>
      <w:sz w:val="24"/>
      <w:szCs w:val="20"/>
    </w:rPr>
  </w:style>
  <w:style w:type="paragraph" w:customStyle="1" w:styleId="315">
    <w:name w:val="样式1"/>
    <w:basedOn w:val="1"/>
    <w:qFormat/>
    <w:uiPriority w:val="0"/>
    <w:pPr>
      <w:numPr>
        <w:ilvl w:val="0"/>
        <w:numId w:val="3"/>
      </w:numPr>
    </w:pPr>
    <w:rPr>
      <w:rFonts w:ascii="宋体" w:hAnsi="宋体"/>
    </w:rPr>
  </w:style>
  <w:style w:type="paragraph" w:customStyle="1" w:styleId="316">
    <w:name w:val="font6"/>
    <w:basedOn w:val="1"/>
    <w:qFormat/>
    <w:uiPriority w:val="0"/>
    <w:pPr>
      <w:widowControl/>
      <w:spacing w:before="100" w:beforeAutospacing="1" w:after="100" w:afterAutospacing="1"/>
      <w:jc w:val="left"/>
    </w:pPr>
    <w:rPr>
      <w:rFonts w:hint="eastAsia" w:ascii="宋体" w:hAnsi="宋体"/>
      <w:sz w:val="28"/>
      <w:szCs w:val="28"/>
      <w:u w:val="single"/>
    </w:rPr>
  </w:style>
  <w:style w:type="paragraph" w:customStyle="1" w:styleId="317">
    <w:name w:val="xl25"/>
    <w:basedOn w:val="1"/>
    <w:qFormat/>
    <w:uiPriority w:val="0"/>
    <w:pPr>
      <w:widowControl/>
      <w:spacing w:before="100" w:beforeAutospacing="1" w:after="100" w:afterAutospacing="1"/>
      <w:jc w:val="center"/>
    </w:pPr>
    <w:rPr>
      <w:rFonts w:ascii="Arial Unicode MS" w:hAnsi="Arial Unicode MS" w:eastAsia="Arial Unicode MS" w:cs="Arial Unicode MS"/>
      <w:sz w:val="24"/>
      <w:szCs w:val="24"/>
    </w:rPr>
  </w:style>
  <w:style w:type="paragraph" w:customStyle="1" w:styleId="318">
    <w:name w:val="图标"/>
    <w:basedOn w:val="1"/>
    <w:next w:val="1"/>
    <w:qFormat/>
    <w:uiPriority w:val="0"/>
    <w:pPr>
      <w:tabs>
        <w:tab w:val="left" w:pos="567"/>
        <w:tab w:val="left" w:pos="840"/>
      </w:tabs>
      <w:spacing w:before="120" w:after="120" w:line="320" w:lineRule="atLeast"/>
      <w:ind w:left="840" w:hanging="420"/>
      <w:jc w:val="center"/>
    </w:pPr>
    <w:rPr>
      <w:rFonts w:eastAsia="仿宋_GB2312"/>
      <w:sz w:val="24"/>
      <w:szCs w:val="20"/>
    </w:rPr>
  </w:style>
  <w:style w:type="paragraph" w:customStyle="1" w:styleId="319">
    <w:name w:val="标题3"/>
    <w:basedOn w:val="1"/>
    <w:next w:val="1"/>
    <w:qFormat/>
    <w:uiPriority w:val="0"/>
    <w:pPr>
      <w:spacing w:line="590" w:lineRule="atLeast"/>
      <w:ind w:firstLine="624"/>
    </w:pPr>
    <w:rPr>
      <w:rFonts w:ascii="方正黑体_GBK" w:eastAsia="方正黑体_GBK"/>
      <w:sz w:val="32"/>
      <w:szCs w:val="32"/>
    </w:rPr>
  </w:style>
  <w:style w:type="paragraph" w:customStyle="1" w:styleId="320">
    <w:name w:val="xl2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sz w:val="24"/>
      <w:szCs w:val="24"/>
    </w:rPr>
  </w:style>
  <w:style w:type="paragraph" w:customStyle="1" w:styleId="321">
    <w:name w:val="xl29"/>
    <w:basedOn w:val="1"/>
    <w:qFormat/>
    <w:uiPriority w:val="0"/>
    <w:pPr>
      <w:widowControl/>
      <w:pBdr>
        <w:left w:val="single" w:color="000000" w:sz="4" w:space="0"/>
        <w:bottom w:val="single" w:color="000000" w:sz="4" w:space="0"/>
      </w:pBdr>
      <w:spacing w:before="100" w:beforeAutospacing="1" w:after="100" w:afterAutospacing="1"/>
      <w:jc w:val="left"/>
    </w:pPr>
    <w:rPr>
      <w:rFonts w:ascii="宋体" w:hAnsi="宋体"/>
      <w:sz w:val="24"/>
      <w:szCs w:val="24"/>
    </w:rPr>
  </w:style>
  <w:style w:type="paragraph" w:customStyle="1" w:styleId="322">
    <w:name w:val="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323">
    <w:name w:val="xl28"/>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宋体" w:hAnsi="宋体"/>
      <w:sz w:val="24"/>
      <w:szCs w:val="24"/>
    </w:rPr>
  </w:style>
  <w:style w:type="paragraph" w:customStyle="1" w:styleId="324">
    <w:name w:val=" 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325">
    <w:name w:val="xl30"/>
    <w:basedOn w:val="1"/>
    <w:qFormat/>
    <w:uiPriority w:val="0"/>
    <w:pPr>
      <w:widowControl/>
      <w:spacing w:before="100" w:beforeAutospacing="1" w:after="100" w:afterAutospacing="1"/>
      <w:jc w:val="center"/>
    </w:pPr>
    <w:rPr>
      <w:rFonts w:ascii="宋体" w:hAnsi="宋体"/>
      <w:b/>
      <w:bCs/>
      <w:sz w:val="36"/>
      <w:szCs w:val="36"/>
    </w:rPr>
  </w:style>
  <w:style w:type="paragraph" w:customStyle="1" w:styleId="326">
    <w:name w:val="Char Char Char Char"/>
    <w:basedOn w:val="223"/>
    <w:qFormat/>
    <w:uiPriority w:val="0"/>
    <w:pPr>
      <w:spacing w:line="360" w:lineRule="auto"/>
    </w:pPr>
    <w:rPr>
      <w:rFonts w:ascii="Tahoma" w:hAnsi="Tahoma"/>
      <w:sz w:val="24"/>
      <w:szCs w:val="24"/>
    </w:rPr>
  </w:style>
  <w:style w:type="paragraph" w:customStyle="1" w:styleId="327">
    <w:name w:val="table_1stline"/>
    <w:basedOn w:val="1"/>
    <w:qFormat/>
    <w:uiPriority w:val="0"/>
    <w:pPr>
      <w:widowControl/>
      <w:spacing w:before="120"/>
      <w:jc w:val="left"/>
    </w:pPr>
    <w:rPr>
      <w:bCs/>
      <w:sz w:val="20"/>
      <w:szCs w:val="20"/>
      <w:lang w:val="de-DE" w:eastAsia="de-DE"/>
    </w:rPr>
  </w:style>
  <w:style w:type="paragraph" w:customStyle="1" w:styleId="328">
    <w:name w:val="font5"/>
    <w:basedOn w:val="1"/>
    <w:qFormat/>
    <w:uiPriority w:val="0"/>
    <w:pPr>
      <w:widowControl/>
      <w:spacing w:before="100" w:beforeAutospacing="1" w:after="100" w:afterAutospacing="1"/>
      <w:jc w:val="left"/>
    </w:pPr>
    <w:rPr>
      <w:rFonts w:hint="eastAsia" w:ascii="宋体" w:hAnsi="宋体"/>
      <w:sz w:val="28"/>
      <w:szCs w:val="28"/>
    </w:rPr>
  </w:style>
  <w:style w:type="paragraph" w:customStyle="1" w:styleId="329">
    <w:name w:val="标题1"/>
    <w:basedOn w:val="1"/>
    <w:next w:val="1"/>
    <w:qFormat/>
    <w:uiPriority w:val="0"/>
    <w:pPr>
      <w:tabs>
        <w:tab w:val="left" w:pos="9193"/>
        <w:tab w:val="left" w:pos="9827"/>
      </w:tabs>
      <w:spacing w:line="700" w:lineRule="atLeast"/>
      <w:jc w:val="center"/>
    </w:pPr>
    <w:rPr>
      <w:rFonts w:ascii="方正小标宋_GBK" w:eastAsia="方正小标宋_GBK"/>
      <w:sz w:val="44"/>
      <w:szCs w:val="20"/>
    </w:rPr>
  </w:style>
  <w:style w:type="paragraph" w:customStyle="1" w:styleId="330">
    <w:name w:val="修订"/>
    <w:semiHidden/>
    <w:qFormat/>
    <w:uiPriority w:val="99"/>
    <w:rPr>
      <w:rFonts w:hint="default" w:ascii="Times New Roman" w:hAnsi="Times New Roman" w:eastAsia="宋体" w:cs="Times New Roman"/>
      <w:sz w:val="21"/>
      <w:szCs w:val="21"/>
      <w:lang w:val="en-US" w:eastAsia="zh-CN" w:bidi="ar-SA"/>
    </w:rPr>
  </w:style>
  <w:style w:type="paragraph" w:customStyle="1" w:styleId="331">
    <w:name w:val="无间隔"/>
    <w:link w:val="332"/>
    <w:qFormat/>
    <w:uiPriority w:val="99"/>
    <w:pPr>
      <w:widowControl w:val="0"/>
      <w:jc w:val="both"/>
    </w:pPr>
    <w:rPr>
      <w:rFonts w:hint="default" w:ascii="Times New Roman" w:hAnsi="Times New Roman" w:eastAsia="宋体" w:cs="Times New Roman"/>
      <w:sz w:val="21"/>
      <w:szCs w:val="21"/>
      <w:lang w:val="en-US" w:eastAsia="zh-CN" w:bidi="ar-SA"/>
    </w:rPr>
  </w:style>
  <w:style w:type="character" w:customStyle="1" w:styleId="332">
    <w:name w:val="无间隔 Char"/>
    <w:link w:val="331"/>
    <w:qFormat/>
    <w:uiPriority w:val="0"/>
    <w:rPr>
      <w:rFonts w:eastAsia="宋体"/>
      <w:sz w:val="21"/>
      <w:szCs w:val="21"/>
      <w:lang w:val="en-US" w:eastAsia="zh-CN" w:bidi="ar-SA"/>
    </w:rPr>
  </w:style>
  <w:style w:type="table" w:customStyle="1" w:styleId="333">
    <w:name w:val="Table Normal"/>
    <w:qFormat/>
    <w:uiPriority w:val="0"/>
    <w:rPr>
      <w:lang w:val="en-US" w:eastAsia="zh-CN" w:bidi="ar-SA"/>
    </w:rPr>
  </w:style>
  <w:style w:type="paragraph" w:customStyle="1" w:styleId="334">
    <w:name w:val="Normal_5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35">
    <w:name w:val="Normal_6_0"/>
    <w:qFormat/>
    <w:uiPriority w:val="0"/>
    <w:rPr>
      <w:rFonts w:hint="default" w:ascii="黑体" w:hAnsi="黑体" w:eastAsia="黑体" w:cs="黑体"/>
      <w:b/>
      <w:sz w:val="32"/>
      <w:szCs w:val="24"/>
      <w:lang w:val="en-US" w:eastAsia="zh-CN" w:bidi="ar-SA"/>
    </w:rPr>
  </w:style>
  <w:style w:type="paragraph" w:customStyle="1" w:styleId="336">
    <w:name w:val="Normal_1_2"/>
    <w:qFormat/>
    <w:uiPriority w:val="0"/>
    <w:rPr>
      <w:rFonts w:hint="default" w:ascii="Times New Roman" w:hAnsi="Times New Roman" w:eastAsia="Times New Roman" w:cs="Times New Roman"/>
      <w:sz w:val="24"/>
      <w:szCs w:val="24"/>
      <w:lang w:val="en-US" w:eastAsia="zh-CN" w:bidi="ar-SA"/>
    </w:rPr>
  </w:style>
  <w:style w:type="paragraph" w:customStyle="1" w:styleId="337">
    <w:name w:val="正文_2"/>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38">
    <w:name w:val="正文文本12"/>
    <w:basedOn w:val="1"/>
    <w:qFormat/>
    <w:uiPriority w:val="1"/>
    <w:pPr>
      <w:ind w:left="120"/>
    </w:pPr>
    <w:rPr>
      <w:rFonts w:ascii="宋体" w:hAnsi="宋体" w:eastAsia="宋体" w:cs="宋体"/>
      <w:sz w:val="21"/>
      <w:szCs w:val="21"/>
      <w:lang w:val="zh-CN" w:eastAsia="zh-CN" w:bidi="zh-CN"/>
    </w:rPr>
  </w:style>
  <w:style w:type="paragraph" w:customStyle="1" w:styleId="339">
    <w:name w:val="正文2"/>
    <w:basedOn w:val="1"/>
    <w:qFormat/>
    <w:uiPriority w:val="0"/>
    <w:pPr>
      <w:spacing w:before="156" w:line="360" w:lineRule="auto"/>
      <w:ind w:firstLine="510"/>
    </w:pPr>
    <w:rPr>
      <w:sz w:val="24"/>
      <w:szCs w:val="20"/>
    </w:rPr>
  </w:style>
  <w:style w:type="paragraph" w:customStyle="1" w:styleId="340">
    <w:name w:val="首行缩进"/>
    <w:basedOn w:val="1"/>
    <w:qFormat/>
    <w:uiPriority w:val="0"/>
    <w:pPr>
      <w:ind w:firstLine="480"/>
    </w:pPr>
    <w:rPr>
      <w:rFonts w:ascii="Times New Roman" w:hAnsi="Times New Roman" w:cs="Times New Roman"/>
      <w:lang w:val="zh-CN"/>
    </w:rPr>
  </w:style>
  <w:style w:type="paragraph" w:customStyle="1" w:styleId="341">
    <w:name w:val="Normal_18_0"/>
    <w:qFormat/>
    <w:uiPriority w:val="0"/>
    <w:rPr>
      <w:rFonts w:hint="default" w:ascii="黑体" w:hAnsi="黑体" w:eastAsia="黑体" w:cs="黑体"/>
      <w:b/>
      <w:sz w:val="32"/>
      <w:szCs w:val="24"/>
      <w:lang w:val="en-US" w:eastAsia="zh-CN" w:bidi="ar-SA"/>
    </w:rPr>
  </w:style>
  <w:style w:type="paragraph" w:customStyle="1" w:styleId="342">
    <w:name w:val="正文_12_0_0_0_0"/>
    <w:basedOn w:val="1"/>
    <w:qFormat/>
    <w:uiPriority w:val="0"/>
    <w:rPr>
      <w:rFonts w:ascii="Times New Roman" w:hAnsi="Times New Roman"/>
      <w:szCs w:val="24"/>
    </w:rPr>
  </w:style>
  <w:style w:type="paragraph" w:customStyle="1" w:styleId="343">
    <w:name w:val="正文_12_0_0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44">
    <w:name w:val="正文_14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45">
    <w:name w:val="正文_14_0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46">
    <w:name w:val="Normal_20"/>
    <w:qFormat/>
    <w:uiPriority w:val="0"/>
    <w:rPr>
      <w:rFonts w:hint="default" w:ascii="黑体" w:hAnsi="黑体" w:eastAsia="黑体" w:cs="黑体"/>
      <w:b/>
      <w:sz w:val="32"/>
      <w:szCs w:val="24"/>
      <w:lang w:val="en-US" w:eastAsia="zh-CN" w:bidi="ar-SA"/>
    </w:rPr>
  </w:style>
  <w:style w:type="paragraph" w:customStyle="1" w:styleId="347">
    <w:name w:val="正文_15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48">
    <w:name w:val="Normal_0"/>
    <w:qFormat/>
    <w:uiPriority w:val="0"/>
    <w:rPr>
      <w:rFonts w:hint="default" w:ascii="黑体" w:hAnsi="黑体" w:eastAsia="黑体" w:cs="Times New Roman"/>
      <w:b/>
      <w:sz w:val="32"/>
      <w:szCs w:val="24"/>
      <w:lang w:val="en-US" w:eastAsia="zh-CN" w:bidi="ar-SA"/>
    </w:rPr>
  </w:style>
  <w:style w:type="paragraph" w:customStyle="1" w:styleId="349">
    <w:name w:val="部分1"/>
    <w:basedOn w:val="1"/>
    <w:qFormat/>
    <w:uiPriority w:val="0"/>
    <w:pPr>
      <w:keepNext/>
      <w:pageBreakBefore/>
      <w:tabs>
        <w:tab w:val="left" w:pos="720"/>
      </w:tabs>
      <w:spacing w:line="360" w:lineRule="auto"/>
      <w:jc w:val="center"/>
      <w:outlineLvl w:val="0"/>
    </w:pPr>
    <w:rPr>
      <w:rFonts w:eastAsia="黑体"/>
      <w:b/>
      <w:sz w:val="36"/>
      <w:szCs w:val="20"/>
    </w:rPr>
  </w:style>
  <w:style w:type="character" w:customStyle="1" w:styleId="350">
    <w:name w:val="old"/>
    <w:link w:val="1"/>
    <w:qFormat/>
    <w:uiPriority w:val="0"/>
    <w:rPr>
      <w:color w:val="999999"/>
    </w:rPr>
  </w:style>
  <w:style w:type="character" w:customStyle="1" w:styleId="351">
    <w:name w:val="hour_am"/>
    <w:link w:val="1"/>
    <w:qFormat/>
    <w:uiPriority w:val="0"/>
  </w:style>
  <w:style w:type="character" w:customStyle="1" w:styleId="352">
    <w:name w:val="first-child"/>
    <w:link w:val="1"/>
    <w:qFormat/>
    <w:uiPriority w:val="0"/>
  </w:style>
  <w:style w:type="character" w:customStyle="1" w:styleId="353">
    <w:name w:val="layui-layer-tabnow"/>
    <w:link w:val="1"/>
    <w:qFormat/>
    <w:uiPriority w:val="0"/>
    <w:rPr>
      <w:shd w:val="clear" w:color="auto" w:fill="FFFFFF"/>
    </w:rPr>
  </w:style>
  <w:style w:type="character" w:customStyle="1" w:styleId="354">
    <w:name w:val="hover2"/>
    <w:link w:val="1"/>
    <w:qFormat/>
    <w:uiPriority w:val="0"/>
    <w:rPr>
      <w:shd w:val="clear" w:color="auto" w:fill="EEEEEE"/>
    </w:rPr>
  </w:style>
  <w:style w:type="character" w:customStyle="1" w:styleId="355">
    <w:name w:val="hour_pm"/>
    <w:link w:val="1"/>
    <w:qFormat/>
    <w:uiPriority w:val="0"/>
  </w:style>
  <w:style w:type="character" w:customStyle="1" w:styleId="356">
    <w:name w:val="glyphicon"/>
    <w:link w:val="1"/>
    <w:qFormat/>
    <w:uiPriority w:val="0"/>
  </w:style>
  <w:style w:type="paragraph" w:customStyle="1" w:styleId="357">
    <w:name w:val="标题二、"/>
    <w:basedOn w:val="1"/>
    <w:qFormat/>
    <w:uiPriority w:val="99"/>
    <w:pPr>
      <w:spacing w:line="360" w:lineRule="auto"/>
      <w:ind w:firstLine="200"/>
      <w:outlineLvl w:val="2"/>
    </w:pPr>
    <w:rPr>
      <w:rFonts w:ascii="宋体" w:hAnsi="宋体"/>
      <w:b/>
      <w:szCs w:val="21"/>
    </w:rPr>
  </w:style>
  <w:style w:type="paragraph" w:customStyle="1" w:styleId="358">
    <w:name w:val="同志们的样式"/>
    <w:basedOn w:val="1"/>
    <w:qFormat/>
    <w:uiPriority w:val="0"/>
    <w:pPr>
      <w:spacing w:line="360" w:lineRule="auto"/>
      <w:jc w:val="center"/>
    </w:pPr>
    <w:rPr>
      <w:rFonts w:ascii="黑体" w:hAnsi="宋体" w:eastAsia="黑体"/>
      <w:b/>
      <w:sz w:val="36"/>
      <w:szCs w:val="36"/>
    </w:rPr>
  </w:style>
  <w:style w:type="paragraph" w:customStyle="1" w:styleId="359">
    <w:name w:val="TOC 标题2"/>
    <w:basedOn w:val="198"/>
    <w:next w:val="1"/>
    <w:qFormat/>
    <w:uiPriority w:val="0"/>
    <w:pPr>
      <w:keepNext/>
      <w:keepLines/>
      <w:widowControl w:val="0"/>
      <w:spacing w:before="260" w:after="260" w:line="413" w:lineRule="auto"/>
    </w:pPr>
    <w:rPr>
      <w:rFonts w:ascii="宋体" w:hAnsi="宋体" w:eastAsia="宋体" w:cs="Times New Roman"/>
      <w:sz w:val="36"/>
      <w:szCs w:val="44"/>
      <w:lang w:val="zh-CN"/>
    </w:rPr>
  </w:style>
  <w:style w:type="paragraph" w:customStyle="1" w:styleId="360">
    <w:name w:val="协议书标题2"/>
    <w:basedOn w:val="199"/>
    <w:next w:val="1"/>
    <w:qFormat/>
    <w:uiPriority w:val="0"/>
    <w:pPr>
      <w:keepNext w:val="0"/>
      <w:keepLines w:val="0"/>
      <w:numPr>
        <w:ilvl w:val="0"/>
        <w:numId w:val="4"/>
      </w:numPr>
      <w:tabs>
        <w:tab w:val="left" w:pos="567"/>
      </w:tabs>
      <w:spacing w:line="360" w:lineRule="auto"/>
      <w:ind w:firstLine="0"/>
      <w:jc w:val="left"/>
    </w:pPr>
    <w:rPr>
      <w:rFonts w:ascii="宋体" w:hAnsi="宋体" w:eastAsia="宋体"/>
      <w:sz w:val="24"/>
    </w:rPr>
  </w:style>
  <w:style w:type="paragraph" w:customStyle="1" w:styleId="361">
    <w:name w:val="正文_0"/>
    <w:qFormat/>
    <w:uiPriority w:val="0"/>
    <w:pPr>
      <w:widowControl w:val="0"/>
      <w:jc w:val="both"/>
    </w:pPr>
    <w:rPr>
      <w:rFonts w:hint="default" w:ascii="Times New Roman" w:hAnsi="Times New Roman" w:eastAsia="宋体" w:cs="Times New Roman"/>
      <w:szCs w:val="24"/>
      <w:lang w:val="en-US" w:eastAsia="zh-CN" w:bidi="ar-SA"/>
    </w:rPr>
  </w:style>
  <w:style w:type="paragraph" w:customStyle="1" w:styleId="362">
    <w:name w:val="table"/>
    <w:qFormat/>
    <w:uiPriority w:val="0"/>
    <w:pPr>
      <w:framePr w:hSpace="180" w:wrap="around" w:vAnchor="text" w:hAnchor="margin" w:y="1418"/>
    </w:pPr>
    <w:rPr>
      <w:rFonts w:hint="default" w:ascii="宋体" w:hAnsi="Calibri" w:eastAsia="宋体" w:cs="Times New Roman"/>
      <w:sz w:val="24"/>
      <w:szCs w:val="22"/>
      <w:lang w:val="en-US" w:eastAsia="zh-CN" w:bidi="ar-SA"/>
    </w:rPr>
  </w:style>
  <w:style w:type="paragraph" w:customStyle="1" w:styleId="363">
    <w:name w:val="专用标题2"/>
    <w:basedOn w:val="199"/>
    <w:next w:val="1"/>
    <w:qFormat/>
    <w:uiPriority w:val="0"/>
    <w:pPr>
      <w:keepNext w:val="0"/>
      <w:keepLines w:val="0"/>
      <w:tabs>
        <w:tab w:val="left" w:pos="993"/>
      </w:tabs>
      <w:spacing w:line="360" w:lineRule="auto"/>
      <w:ind w:firstLine="0"/>
    </w:pPr>
    <w:rPr>
      <w:rFonts w:ascii="宋体" w:hAnsi="宋体" w:eastAsia="宋体" w:cs="Times"/>
    </w:rPr>
  </w:style>
  <w:style w:type="paragraph" w:customStyle="1" w:styleId="364">
    <w:name w:val="正文_5_1"/>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65">
    <w:name w:val="附件标题"/>
    <w:basedOn w:val="199"/>
    <w:next w:val="1"/>
    <w:qFormat/>
    <w:uiPriority w:val="0"/>
    <w:pPr>
      <w:numPr>
        <w:ilvl w:val="0"/>
        <w:numId w:val="5"/>
      </w:numPr>
      <w:tabs>
        <w:tab w:val="left" w:pos="1134"/>
      </w:tabs>
      <w:spacing w:line="360" w:lineRule="auto"/>
      <w:ind w:firstLine="0"/>
      <w:jc w:val="center"/>
    </w:pPr>
    <w:rPr>
      <w:rFonts w:ascii="黑体" w:hAnsi="黑体"/>
      <w:sz w:val="30"/>
      <w:szCs w:val="30"/>
    </w:rPr>
  </w:style>
  <w:style w:type="paragraph" w:customStyle="1" w:styleId="366">
    <w:name w:val="Normal_16"/>
    <w:next w:val="18"/>
    <w:qFormat/>
    <w:uiPriority w:val="0"/>
    <w:pPr>
      <w:widowControl w:val="0"/>
      <w:jc w:val="both"/>
    </w:pPr>
    <w:rPr>
      <w:rFonts w:hint="default" w:ascii="Calibri" w:hAnsi="Calibri" w:eastAsia="宋体" w:cs="Times New Roman"/>
      <w:lang w:val="en-US" w:eastAsia="zh-CN" w:bidi="ar-SA"/>
    </w:rPr>
  </w:style>
  <w:style w:type="paragraph" w:customStyle="1" w:styleId="367">
    <w:name w:val="正文_0_2_0_0"/>
    <w:qFormat/>
    <w:uiPriority w:val="0"/>
    <w:pPr>
      <w:widowControl w:val="0"/>
      <w:jc w:val="both"/>
    </w:pPr>
    <w:rPr>
      <w:rFonts w:hint="default" w:ascii="Times New Roman" w:hAnsi="Times New Roman" w:eastAsia="宋体" w:cs="Times New Roman"/>
      <w:lang w:val="en-US" w:eastAsia="zh-CN" w:bidi="ar-SA"/>
    </w:rPr>
  </w:style>
  <w:style w:type="paragraph" w:customStyle="1" w:styleId="368">
    <w:name w:val="+正文 Char8"/>
    <w:basedOn w:val="361"/>
    <w:qFormat/>
    <w:uiPriority w:val="0"/>
    <w:pPr>
      <w:spacing w:line="360" w:lineRule="auto"/>
      <w:ind w:firstLine="200"/>
    </w:pPr>
    <w:rPr>
      <w:sz w:val="24"/>
      <w:szCs w:val="28"/>
    </w:rPr>
  </w:style>
  <w:style w:type="paragraph" w:customStyle="1" w:styleId="369">
    <w:name w:val="+列表1"/>
    <w:basedOn w:val="361"/>
    <w:link w:val="370"/>
    <w:qFormat/>
    <w:uiPriority w:val="0"/>
    <w:pPr>
      <w:jc w:val="center"/>
    </w:pPr>
    <w:rPr>
      <w:sz w:val="21"/>
    </w:rPr>
  </w:style>
  <w:style w:type="character" w:customStyle="1" w:styleId="370">
    <w:name w:val="+列表1 Char"/>
    <w:link w:val="369"/>
    <w:qFormat/>
    <w:uiPriority w:val="0"/>
    <w:rPr>
      <w:rFonts w:eastAsia="宋体"/>
      <w:sz w:val="21"/>
      <w:szCs w:val="24"/>
      <w:lang w:val="en-US" w:eastAsia="zh-CN" w:bidi="ar-SA"/>
    </w:rPr>
  </w:style>
  <w:style w:type="paragraph" w:customStyle="1" w:styleId="371">
    <w:name w:val="+▲"/>
    <w:basedOn w:val="372"/>
    <w:qFormat/>
    <w:uiPriority w:val="0"/>
    <w:pPr>
      <w:ind w:firstLine="0"/>
    </w:pPr>
  </w:style>
  <w:style w:type="paragraph" w:customStyle="1" w:styleId="372">
    <w:name w:val="+正文"/>
    <w:basedOn w:val="361"/>
    <w:qFormat/>
    <w:uiPriority w:val="0"/>
    <w:pPr>
      <w:spacing w:line="360" w:lineRule="auto"/>
      <w:ind w:firstLine="200"/>
    </w:pPr>
    <w:rPr>
      <w:sz w:val="24"/>
      <w:szCs w:val="28"/>
    </w:rPr>
  </w:style>
  <w:style w:type="paragraph" w:customStyle="1" w:styleId="373">
    <w:name w:val="标题 2_1"/>
    <w:basedOn w:val="361"/>
    <w:next w:val="361"/>
    <w:link w:val="374"/>
    <w:qFormat/>
    <w:uiPriority w:val="0"/>
    <w:pPr>
      <w:keepNext/>
      <w:keepLines/>
      <w:spacing w:before="260" w:after="260" w:line="413" w:lineRule="auto"/>
      <w:outlineLvl w:val="1"/>
    </w:pPr>
    <w:rPr>
      <w:rFonts w:ascii="Cambria" w:hAnsi="Cambria"/>
      <w:b/>
      <w:bCs/>
      <w:sz w:val="32"/>
      <w:szCs w:val="32"/>
    </w:rPr>
  </w:style>
  <w:style w:type="character" w:customStyle="1" w:styleId="374">
    <w:name w:val="标题 2 Char_1"/>
    <w:link w:val="373"/>
    <w:qFormat/>
    <w:uiPriority w:val="0"/>
    <w:rPr>
      <w:rFonts w:ascii="Cambria" w:hAnsi="Cambria" w:eastAsia="宋体"/>
      <w:b/>
      <w:bCs/>
      <w:sz w:val="32"/>
      <w:szCs w:val="32"/>
      <w:lang w:val="en-US" w:eastAsia="zh-CN" w:bidi="ar-SA"/>
    </w:rPr>
  </w:style>
  <w:style w:type="character" w:customStyle="1" w:styleId="375">
    <w:name w:val="first-child1"/>
    <w:link w:val="1"/>
    <w:qFormat/>
    <w:uiPriority w:val="0"/>
  </w:style>
  <w:style w:type="paragraph" w:customStyle="1" w:styleId="376">
    <w:name w:val="00-正文"/>
    <w:basedOn w:val="1"/>
    <w:link w:val="377"/>
    <w:qFormat/>
    <w:uiPriority w:val="0"/>
    <w:pPr>
      <w:spacing w:line="360" w:lineRule="auto"/>
      <w:ind w:firstLine="200"/>
    </w:pPr>
    <w:rPr>
      <w:rFonts w:eastAsia="Times New Roman"/>
      <w:sz w:val="24"/>
      <w:szCs w:val="22"/>
    </w:rPr>
  </w:style>
  <w:style w:type="character" w:customStyle="1" w:styleId="377">
    <w:name w:val="00-正文 Char"/>
    <w:link w:val="376"/>
    <w:qFormat/>
    <w:uiPriority w:val="0"/>
    <w:rPr>
      <w:sz w:val="24"/>
      <w:szCs w:val="22"/>
      <w:lang w:val="en-US" w:eastAsia="zh-CN" w:bidi="ar-SA"/>
    </w:rPr>
  </w:style>
  <w:style w:type="paragraph" w:customStyle="1" w:styleId="378">
    <w:name w:val="msonospacing"/>
    <w:qFormat/>
    <w:uiPriority w:val="0"/>
    <w:pPr>
      <w:widowControl w:val="0"/>
      <w:jc w:val="center"/>
    </w:pPr>
    <w:rPr>
      <w:rFonts w:hint="default" w:ascii="Times New Roman" w:hAnsi="Times New Roman" w:eastAsia="黑体" w:cs="Times New Roman"/>
      <w:sz w:val="30"/>
      <w:szCs w:val="24"/>
      <w:lang w:val="en-US" w:eastAsia="zh-CN" w:bidi="ar-SA"/>
    </w:rPr>
  </w:style>
  <w:style w:type="paragraph" w:customStyle="1" w:styleId="379">
    <w:name w:val="msormpane"/>
    <w:qFormat/>
    <w:uiPriority w:val="0"/>
    <w:rPr>
      <w:rFonts w:hint="default" w:ascii="Times New Roman" w:hAnsi="Times New Roman" w:eastAsia="宋体" w:cs="Times New Roman"/>
      <w:sz w:val="21"/>
      <w:szCs w:val="24"/>
      <w:lang w:val="en-US" w:eastAsia="zh-CN" w:bidi="ar-SA"/>
    </w:rPr>
  </w:style>
  <w:style w:type="paragraph" w:customStyle="1" w:styleId="380">
    <w:name w:val="msolistparagraph"/>
    <w:basedOn w:val="1"/>
    <w:qFormat/>
    <w:uiPriority w:val="0"/>
    <w:pPr>
      <w:ind w:firstLine="420"/>
    </w:pPr>
    <w:rPr>
      <w:rFonts w:ascii="Calibri" w:hAnsi="Calibri"/>
      <w:szCs w:val="22"/>
    </w:rPr>
  </w:style>
  <w:style w:type="character" w:customStyle="1" w:styleId="381">
    <w:name w:val="引用 Char"/>
    <w:link w:val="382"/>
    <w:qFormat/>
    <w:uiPriority w:val="0"/>
    <w:rPr>
      <w:i/>
      <w:iCs/>
      <w:color w:val="000000"/>
      <w:lang w:bidi="ar-SA"/>
    </w:rPr>
  </w:style>
  <w:style w:type="paragraph" w:customStyle="1" w:styleId="382">
    <w:name w:val="引用"/>
    <w:basedOn w:val="1"/>
    <w:link w:val="381"/>
    <w:qFormat/>
    <w:uiPriority w:val="0"/>
    <w:rPr>
      <w:rFonts w:eastAsia="Times New Roman"/>
      <w:i/>
      <w:iCs/>
      <w:color w:val="000000"/>
      <w:sz w:val="20"/>
      <w:szCs w:val="20"/>
    </w:rPr>
  </w:style>
  <w:style w:type="paragraph" w:customStyle="1" w:styleId="383">
    <w:name w:val="msoquote"/>
    <w:basedOn w:val="1"/>
    <w:next w:val="1"/>
    <w:qFormat/>
    <w:uiPriority w:val="0"/>
    <w:rPr>
      <w:rFonts w:ascii="Calibri" w:hAnsi="Calibri"/>
      <w:i/>
      <w:iCs/>
      <w:color w:val="000000"/>
      <w:szCs w:val="22"/>
    </w:rPr>
  </w:style>
  <w:style w:type="character" w:customStyle="1" w:styleId="384">
    <w:name w:val="明显引用 Char"/>
    <w:link w:val="385"/>
    <w:qFormat/>
    <w:uiPriority w:val="0"/>
    <w:rPr>
      <w:b/>
      <w:bCs/>
      <w:i/>
      <w:iCs/>
      <w:color w:val="4F81BD"/>
      <w:lang w:bidi="ar-SA"/>
    </w:rPr>
  </w:style>
  <w:style w:type="paragraph" w:customStyle="1" w:styleId="385">
    <w:name w:val="明显引用"/>
    <w:basedOn w:val="1"/>
    <w:link w:val="384"/>
    <w:qFormat/>
    <w:uiPriority w:val="0"/>
    <w:rPr>
      <w:rFonts w:eastAsia="Times New Roman"/>
      <w:b/>
      <w:bCs/>
      <w:i/>
      <w:iCs/>
      <w:color w:val="4F81BD"/>
      <w:sz w:val="20"/>
      <w:szCs w:val="20"/>
    </w:rPr>
  </w:style>
  <w:style w:type="paragraph" w:customStyle="1" w:styleId="386">
    <w:name w:val="msointensequote"/>
    <w:basedOn w:val="1"/>
    <w:next w:val="1"/>
    <w:qFormat/>
    <w:uiPriority w:val="0"/>
    <w:pPr>
      <w:pBdr>
        <w:bottom w:val="single" w:color="4F81BD" w:sz="4" w:space="4"/>
      </w:pBdr>
      <w:spacing w:before="200" w:after="280"/>
      <w:ind w:left="936" w:right="936"/>
    </w:pPr>
    <w:rPr>
      <w:rFonts w:ascii="Calibri" w:hAnsi="Calibri"/>
      <w:b/>
      <w:bCs/>
      <w:i/>
      <w:iCs/>
      <w:color w:val="4F81BD"/>
      <w:szCs w:val="22"/>
    </w:rPr>
  </w:style>
  <w:style w:type="paragraph" w:customStyle="1" w:styleId="387">
    <w:name w:val="msotocheading"/>
    <w:basedOn w:val="198"/>
    <w:next w:val="1"/>
    <w:qFormat/>
    <w:uiPriority w:val="0"/>
    <w:pPr>
      <w:keepLines/>
      <w:widowControl/>
      <w:spacing w:before="480" w:line="276" w:lineRule="auto"/>
      <w:jc w:val="both"/>
      <w:outlineLvl w:val="9"/>
    </w:pPr>
    <w:rPr>
      <w:rFonts w:ascii="Cambria" w:hAnsi="Cambria" w:eastAsia="宋体"/>
      <w:b/>
      <w:color w:val="365F91"/>
      <w:szCs w:val="20"/>
    </w:rPr>
  </w:style>
  <w:style w:type="paragraph" w:customStyle="1" w:styleId="388">
    <w:name w:val="样式 标题 3 + (中文) 黑体 小四 非加粗 段前: 7.8 磅 段后: 0 磅 行距: 固定值 20 磅"/>
    <w:basedOn w:val="200"/>
    <w:qFormat/>
    <w:uiPriority w:val="0"/>
    <w:pPr>
      <w:spacing w:before="0" w:after="0" w:line="400" w:lineRule="exact"/>
    </w:pPr>
    <w:rPr>
      <w:rFonts w:eastAsia="黑体" w:cs="宋体"/>
      <w:b w:val="0"/>
      <w:sz w:val="24"/>
      <w:szCs w:val="20"/>
    </w:rPr>
  </w:style>
  <w:style w:type="paragraph" w:customStyle="1" w:styleId="389">
    <w:name w:val="样式 标题 2 + Times New Roman 四号 非加粗 段前: 5 磅 段后: 0 磅 行距: 固定值 20..."/>
    <w:basedOn w:val="199"/>
    <w:qFormat/>
    <w:uiPriority w:val="0"/>
    <w:pPr>
      <w:spacing w:before="100" w:after="0" w:line="400" w:lineRule="exact"/>
      <w:jc w:val="both"/>
    </w:pPr>
    <w:rPr>
      <w:rFonts w:ascii="Times New Roman" w:hAnsi="Times New Roman" w:eastAsia="黑体" w:cs="宋体"/>
      <w:b w:val="0"/>
      <w:sz w:val="28"/>
      <w:szCs w:val="20"/>
    </w:rPr>
  </w:style>
  <w:style w:type="paragraph" w:customStyle="1" w:styleId="390">
    <w:name w:val="样式 标题 1 + 黑体 三号 非加粗 居中 段前: 6 磅 段后: 6 磅 行距: 固定值 20 磅"/>
    <w:basedOn w:val="198"/>
    <w:qFormat/>
    <w:uiPriority w:val="0"/>
    <w:pPr>
      <w:keepLines/>
      <w:spacing w:before="120" w:after="120" w:line="400" w:lineRule="exact"/>
    </w:pPr>
    <w:rPr>
      <w:rFonts w:ascii="黑体" w:hAnsi="黑体" w:eastAsia="黑体" w:cs="宋体"/>
      <w:bCs/>
      <w:sz w:val="32"/>
      <w:szCs w:val="20"/>
    </w:rPr>
  </w:style>
  <w:style w:type="paragraph" w:customStyle="1" w:styleId="391">
    <w:name w:val="1"/>
    <w:basedOn w:val="1"/>
    <w:qFormat/>
    <w:uiPriority w:val="0"/>
    <w:rPr>
      <w:rFonts w:ascii="Calibri" w:hAnsi="Calibri"/>
      <w:szCs w:val="22"/>
    </w:rPr>
  </w:style>
  <w:style w:type="paragraph" w:customStyle="1" w:styleId="392">
    <w:name w:val="6'"/>
    <w:basedOn w:val="1"/>
    <w:qFormat/>
    <w:uiPriority w:val="0"/>
    <w:pPr>
      <w:spacing w:line="320" w:lineRule="exact"/>
      <w:jc w:val="center"/>
    </w:pPr>
    <w:rPr>
      <w:rFonts w:ascii="Calibri" w:hAnsi="Calibri"/>
      <w:spacing w:val="20"/>
      <w:szCs w:val="20"/>
    </w:rPr>
  </w:style>
  <w:style w:type="paragraph" w:customStyle="1" w:styleId="393">
    <w:name w:val="表格"/>
    <w:basedOn w:val="1"/>
    <w:qFormat/>
    <w:uiPriority w:val="0"/>
    <w:pPr>
      <w:jc w:val="center"/>
    </w:pPr>
    <w:rPr>
      <w:rFonts w:ascii="华文细黑" w:hAnsi="华文细黑"/>
      <w:szCs w:val="20"/>
    </w:rPr>
  </w:style>
  <w:style w:type="paragraph" w:customStyle="1" w:styleId="394">
    <w:name w:val="表格文字"/>
    <w:basedOn w:val="1"/>
    <w:qFormat/>
    <w:uiPriority w:val="0"/>
    <w:pPr>
      <w:spacing w:line="420" w:lineRule="atLeast"/>
      <w:jc w:val="left"/>
    </w:pPr>
    <w:rPr>
      <w:rFonts w:ascii="Calibri" w:hAnsi="Calibri"/>
      <w:szCs w:val="20"/>
    </w:rPr>
  </w:style>
  <w:style w:type="paragraph" w:customStyle="1" w:styleId="395">
    <w:name w:val="默认段落字体 Para Char Char Char Char Char Char Char Char Char1 Char Char Char Char Char Char Char"/>
    <w:basedOn w:val="223"/>
    <w:qFormat/>
    <w:uiPriority w:val="0"/>
    <w:rPr>
      <w:rFonts w:ascii="Tahoma" w:hAnsi="Tahoma"/>
      <w:sz w:val="24"/>
      <w:szCs w:val="20"/>
      <w:shd w:val="clear" w:color="auto" w:fill="000080"/>
    </w:rPr>
  </w:style>
  <w:style w:type="paragraph" w:customStyle="1" w:styleId="396">
    <w:name w:val="Char Char Char Char Char Char Char Char Char Char Char Char Char"/>
    <w:basedOn w:val="1"/>
    <w:qFormat/>
    <w:uiPriority w:val="0"/>
    <w:rPr>
      <w:rFonts w:ascii="Calibri" w:hAnsi="Calibri"/>
      <w:szCs w:val="20"/>
    </w:rPr>
  </w:style>
  <w:style w:type="paragraph" w:customStyle="1" w:styleId="397">
    <w:name w:val="Char Char Char Char Char Char Char Char Char Char"/>
    <w:basedOn w:val="1"/>
    <w:qFormat/>
    <w:uiPriority w:val="0"/>
    <w:rPr>
      <w:rFonts w:ascii="Tahoma" w:hAnsi="Tahoma"/>
      <w:sz w:val="24"/>
      <w:szCs w:val="20"/>
    </w:rPr>
  </w:style>
  <w:style w:type="character" w:customStyle="1" w:styleId="398">
    <w:name w:val="标题6 Char"/>
    <w:link w:val="399"/>
    <w:qFormat/>
    <w:uiPriority w:val="0"/>
    <w:rPr>
      <w:rFonts w:ascii="宋体" w:hAnsi="宋体" w:eastAsia="黑体"/>
      <w:sz w:val="32"/>
      <w:szCs w:val="32"/>
      <w:lang w:bidi="ar-SA"/>
    </w:rPr>
  </w:style>
  <w:style w:type="paragraph" w:customStyle="1" w:styleId="399">
    <w:name w:val="标题6"/>
    <w:basedOn w:val="1"/>
    <w:link w:val="398"/>
    <w:qFormat/>
    <w:uiPriority w:val="0"/>
    <w:pPr>
      <w:keepNext/>
      <w:keepLines/>
      <w:spacing w:line="400" w:lineRule="exact"/>
      <w:jc w:val="center"/>
      <w:outlineLvl w:val="2"/>
    </w:pPr>
    <w:rPr>
      <w:rFonts w:ascii="宋体" w:hAnsi="宋体" w:eastAsia="黑体"/>
      <w:sz w:val="32"/>
      <w:szCs w:val="32"/>
    </w:rPr>
  </w:style>
  <w:style w:type="character" w:customStyle="1" w:styleId="400">
    <w:name w:val="正文文本缩进 Char_0"/>
    <w:link w:val="401"/>
    <w:qFormat/>
    <w:uiPriority w:val="0"/>
    <w:rPr>
      <w:rFonts w:ascii="Calibri" w:hAnsi="Calibri" w:eastAsia="宋体"/>
      <w:lang w:bidi="ar-SA"/>
    </w:rPr>
  </w:style>
  <w:style w:type="paragraph" w:customStyle="1" w:styleId="401">
    <w:name w:val="正文文本缩进_0"/>
    <w:basedOn w:val="361"/>
    <w:link w:val="400"/>
    <w:qFormat/>
    <w:uiPriority w:val="0"/>
    <w:pPr>
      <w:spacing w:after="120"/>
      <w:ind w:left="420"/>
    </w:pPr>
    <w:rPr>
      <w:rFonts w:ascii="Calibri" w:hAnsi="Calibri"/>
      <w:szCs w:val="20"/>
    </w:rPr>
  </w:style>
  <w:style w:type="character" w:customStyle="1" w:styleId="402">
    <w:name w:val="正文文本 Char_0"/>
    <w:link w:val="403"/>
    <w:qFormat/>
    <w:uiPriority w:val="0"/>
    <w:rPr>
      <w:rFonts w:ascii="Calibri" w:hAnsi="Calibri" w:eastAsia="宋体"/>
      <w:lang w:bidi="ar-SA"/>
    </w:rPr>
  </w:style>
  <w:style w:type="paragraph" w:customStyle="1" w:styleId="403">
    <w:name w:val="正文文本_0"/>
    <w:basedOn w:val="361"/>
    <w:link w:val="402"/>
    <w:qFormat/>
    <w:uiPriority w:val="0"/>
    <w:pPr>
      <w:spacing w:after="120"/>
    </w:pPr>
    <w:rPr>
      <w:rFonts w:ascii="Calibri" w:hAnsi="Calibri"/>
      <w:szCs w:val="20"/>
    </w:rPr>
  </w:style>
  <w:style w:type="character" w:customStyle="1" w:styleId="404">
    <w:name w:val="批注文字 Char_0"/>
    <w:link w:val="405"/>
    <w:qFormat/>
    <w:uiPriority w:val="0"/>
    <w:rPr>
      <w:rFonts w:eastAsia="宋体"/>
      <w:lang w:bidi="ar-SA"/>
    </w:rPr>
  </w:style>
  <w:style w:type="paragraph" w:customStyle="1" w:styleId="405">
    <w:name w:val="批注文字_0"/>
    <w:basedOn w:val="361"/>
    <w:link w:val="404"/>
    <w:qFormat/>
    <w:uiPriority w:val="0"/>
    <w:pPr>
      <w:jc w:val="left"/>
    </w:pPr>
    <w:rPr>
      <w:szCs w:val="20"/>
    </w:rPr>
  </w:style>
  <w:style w:type="character" w:customStyle="1" w:styleId="406">
    <w:name w:val="正文文本缩进 2 Char_0"/>
    <w:link w:val="407"/>
    <w:qFormat/>
    <w:uiPriority w:val="0"/>
    <w:rPr>
      <w:rFonts w:ascii="Calibri" w:hAnsi="Calibri" w:eastAsia="宋体"/>
      <w:lang w:bidi="ar-SA"/>
    </w:rPr>
  </w:style>
  <w:style w:type="paragraph" w:customStyle="1" w:styleId="407">
    <w:name w:val="正文文本缩进 2_0"/>
    <w:basedOn w:val="361"/>
    <w:link w:val="406"/>
    <w:qFormat/>
    <w:uiPriority w:val="0"/>
    <w:pPr>
      <w:spacing w:after="120" w:line="480" w:lineRule="auto"/>
      <w:ind w:left="420"/>
    </w:pPr>
    <w:rPr>
      <w:rFonts w:ascii="Calibri" w:hAnsi="Calibri"/>
      <w:szCs w:val="20"/>
    </w:rPr>
  </w:style>
  <w:style w:type="paragraph" w:customStyle="1" w:styleId="408">
    <w:name w:val="正文_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409">
    <w:name w:val="正文_0_0"/>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410">
    <w:name w:val="flNote"/>
    <w:basedOn w:val="1"/>
    <w:qFormat/>
    <w:uiPriority w:val="0"/>
    <w:pPr>
      <w:spacing w:before="320" w:after="160" w:line="360" w:lineRule="atLeast"/>
      <w:jc w:val="center"/>
    </w:pPr>
    <w:rPr>
      <w:rFonts w:ascii="Arial" w:eastAsia="黑体"/>
      <w:sz w:val="30"/>
      <w:szCs w:val="20"/>
    </w:rPr>
  </w:style>
  <w:style w:type="character" w:customStyle="1" w:styleId="411">
    <w:name w:val="标题4 Char Char"/>
    <w:link w:val="412"/>
    <w:qFormat/>
    <w:uiPriority w:val="0"/>
    <w:rPr>
      <w:rFonts w:ascii="Arial" w:hAnsi="Arial"/>
      <w:b/>
      <w:bCs/>
      <w:sz w:val="24"/>
      <w:szCs w:val="32"/>
      <w:lang w:bidi="ar-SA"/>
    </w:rPr>
  </w:style>
  <w:style w:type="paragraph" w:customStyle="1" w:styleId="412">
    <w:name w:val="标题4"/>
    <w:basedOn w:val="199"/>
    <w:next w:val="234"/>
    <w:link w:val="411"/>
    <w:qFormat/>
    <w:uiPriority w:val="0"/>
    <w:pPr>
      <w:spacing w:line="412" w:lineRule="auto"/>
      <w:jc w:val="both"/>
    </w:pPr>
    <w:rPr>
      <w:rFonts w:eastAsia="Times New Roman" w:cs="Times New Roman"/>
      <w:sz w:val="24"/>
      <w:szCs w:val="32"/>
    </w:rPr>
  </w:style>
  <w:style w:type="character" w:customStyle="1" w:styleId="413">
    <w:name w:val="标题5 Char Char"/>
    <w:link w:val="414"/>
    <w:qFormat/>
    <w:uiPriority w:val="0"/>
    <w:rPr>
      <w:rFonts w:ascii="Arial" w:hAnsi="Arial"/>
      <w:b/>
      <w:bCs/>
      <w:sz w:val="24"/>
      <w:szCs w:val="32"/>
      <w:lang w:bidi="ar-SA"/>
    </w:rPr>
  </w:style>
  <w:style w:type="paragraph" w:customStyle="1" w:styleId="414">
    <w:name w:val="标题5"/>
    <w:basedOn w:val="200"/>
    <w:link w:val="413"/>
    <w:qFormat/>
    <w:uiPriority w:val="0"/>
    <w:pPr>
      <w:spacing w:line="412" w:lineRule="auto"/>
    </w:pPr>
    <w:rPr>
      <w:rFonts w:ascii="Arial" w:hAnsi="Arial" w:eastAsia="Times New Roman"/>
      <w:sz w:val="24"/>
    </w:rPr>
  </w:style>
  <w:style w:type="paragraph" w:customStyle="1" w:styleId="415">
    <w:name w:val="空半行"/>
    <w:basedOn w:val="1"/>
    <w:qFormat/>
    <w:uiPriority w:val="0"/>
    <w:pPr>
      <w:spacing w:line="120" w:lineRule="exact"/>
    </w:pPr>
    <w:rPr>
      <w:rFonts w:eastAsia="仿宋_GB2312"/>
      <w:color w:val="FFFFFF"/>
      <w:sz w:val="30"/>
      <w:szCs w:val="20"/>
    </w:rPr>
  </w:style>
  <w:style w:type="paragraph" w:customStyle="1" w:styleId="416">
    <w:name w:val="正文_0_0_0"/>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417">
    <w:name w:val="正文文本缩进_0_0"/>
    <w:basedOn w:val="409"/>
    <w:qFormat/>
    <w:uiPriority w:val="0"/>
    <w:pPr>
      <w:spacing w:after="120"/>
      <w:ind w:left="420"/>
    </w:pPr>
    <w:rPr>
      <w:szCs w:val="20"/>
    </w:rPr>
  </w:style>
  <w:style w:type="paragraph" w:customStyle="1" w:styleId="418">
    <w:name w:val="正文_0_0_0_0"/>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419">
    <w:name w:val="正文_0_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420">
    <w:name w:val="正文_1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421">
    <w:name w:val="正文_3"/>
    <w:qFormat/>
    <w:uiPriority w:val="0"/>
    <w:pPr>
      <w:widowControl w:val="0"/>
      <w:jc w:val="both"/>
    </w:pPr>
    <w:rPr>
      <w:rFonts w:hint="default" w:ascii="Calibri" w:hAnsi="Calibri" w:eastAsia="宋体" w:cs="Times New Roman"/>
      <w:sz w:val="21"/>
      <w:szCs w:val="22"/>
      <w:lang w:val="en-US" w:eastAsia="zh-CN" w:bidi="ar-SA"/>
    </w:rPr>
  </w:style>
  <w:style w:type="paragraph" w:customStyle="1" w:styleId="422">
    <w:name w:val="正文_4"/>
    <w:qFormat/>
    <w:uiPriority w:val="0"/>
    <w:pPr>
      <w:widowControl w:val="0"/>
      <w:jc w:val="both"/>
    </w:pPr>
    <w:rPr>
      <w:rFonts w:hint="default" w:ascii="Times New Roman" w:hAnsi="Times New Roman" w:eastAsia="宋体" w:cs="Times New Roman"/>
      <w:sz w:val="21"/>
      <w:lang w:val="en-US" w:eastAsia="zh-CN" w:bidi="ar-SA"/>
    </w:rPr>
  </w:style>
  <w:style w:type="character" w:customStyle="1" w:styleId="423">
    <w:name w:val="正文文本缩进 2 Char_1"/>
    <w:link w:val="424"/>
    <w:semiHidden/>
    <w:qFormat/>
    <w:uiPriority w:val="0"/>
    <w:rPr>
      <w:rFonts w:eastAsia="宋体"/>
      <w:lang w:bidi="ar-SA"/>
    </w:rPr>
  </w:style>
  <w:style w:type="paragraph" w:customStyle="1" w:styleId="424">
    <w:name w:val="正文文本缩进 2_1"/>
    <w:basedOn w:val="422"/>
    <w:link w:val="423"/>
    <w:semiHidden/>
    <w:qFormat/>
    <w:uiPriority w:val="0"/>
    <w:pPr>
      <w:spacing w:after="120" w:line="480" w:lineRule="auto"/>
      <w:ind w:left="420"/>
    </w:pPr>
    <w:rPr>
      <w:sz w:val="20"/>
    </w:rPr>
  </w:style>
  <w:style w:type="character" w:customStyle="1" w:styleId="425">
    <w:name w:val="标题 4 Char_0"/>
    <w:link w:val="426"/>
    <w:semiHidden/>
    <w:qFormat/>
    <w:uiPriority w:val="0"/>
    <w:rPr>
      <w:rFonts w:ascii="Arial" w:hAnsi="Arial" w:eastAsia="黑体"/>
      <w:b/>
      <w:sz w:val="28"/>
      <w:lang w:bidi="ar-SA"/>
    </w:rPr>
  </w:style>
  <w:style w:type="paragraph" w:customStyle="1" w:styleId="426">
    <w:name w:val="标题 4_0"/>
    <w:basedOn w:val="422"/>
    <w:next w:val="422"/>
    <w:link w:val="425"/>
    <w:semiHidden/>
    <w:qFormat/>
    <w:uiPriority w:val="0"/>
    <w:pPr>
      <w:keepNext/>
      <w:keepLines/>
      <w:spacing w:before="280" w:after="290" w:line="372" w:lineRule="auto"/>
      <w:outlineLvl w:val="3"/>
    </w:pPr>
    <w:rPr>
      <w:rFonts w:ascii="Arial" w:hAnsi="Arial" w:eastAsia="黑体"/>
      <w:b/>
      <w:sz w:val="28"/>
    </w:rPr>
  </w:style>
  <w:style w:type="character" w:customStyle="1" w:styleId="427">
    <w:name w:val="正文文本 Char_1"/>
    <w:link w:val="428"/>
    <w:qFormat/>
    <w:uiPriority w:val="0"/>
    <w:rPr>
      <w:rFonts w:eastAsia="宋体"/>
      <w:lang w:bidi="ar-SA"/>
    </w:rPr>
  </w:style>
  <w:style w:type="paragraph" w:customStyle="1" w:styleId="428">
    <w:name w:val="正文文本_1"/>
    <w:basedOn w:val="422"/>
    <w:link w:val="427"/>
    <w:qFormat/>
    <w:uiPriority w:val="0"/>
    <w:pPr>
      <w:spacing w:after="120"/>
    </w:pPr>
    <w:rPr>
      <w:sz w:val="20"/>
    </w:rPr>
  </w:style>
  <w:style w:type="paragraph" w:customStyle="1" w:styleId="429">
    <w:name w:val="正文_5"/>
    <w:qFormat/>
    <w:uiPriority w:val="0"/>
    <w:pPr>
      <w:widowControl w:val="0"/>
      <w:jc w:val="both"/>
    </w:pPr>
    <w:rPr>
      <w:rFonts w:hint="default" w:ascii="Times New Roman" w:hAnsi="Times New Roman" w:eastAsia="宋体" w:cs="Times New Roman"/>
      <w:sz w:val="21"/>
      <w:lang w:val="en-US" w:eastAsia="zh-CN" w:bidi="ar-SA"/>
    </w:rPr>
  </w:style>
  <w:style w:type="paragraph" w:customStyle="1" w:styleId="430">
    <w:name w:val="正文1"/>
    <w:qFormat/>
    <w:uiPriority w:val="0"/>
    <w:rPr>
      <w:rFonts w:hint="default" w:ascii="Times New Roman" w:hAnsi="Times New Roman" w:eastAsia="Times New Roman" w:cs="Times New Roman"/>
      <w:sz w:val="24"/>
      <w:szCs w:val="24"/>
      <w:lang w:val="en-US" w:eastAsia="zh-CN" w:bidi="ar-SA"/>
    </w:rPr>
  </w:style>
  <w:style w:type="paragraph" w:customStyle="1" w:styleId="431">
    <w:name w:val="正文_6"/>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432">
    <w:name w:val="Normal_1"/>
    <w:qFormat/>
    <w:uiPriority w:val="0"/>
    <w:rPr>
      <w:rFonts w:hint="default" w:ascii="黑体" w:hAnsi="黑体" w:eastAsia="黑体" w:cs="Times New Roman"/>
      <w:b/>
      <w:sz w:val="32"/>
      <w:szCs w:val="24"/>
      <w:lang w:val="en-US" w:eastAsia="zh-CN" w:bidi="ar-SA"/>
    </w:rPr>
  </w:style>
  <w:style w:type="paragraph" w:customStyle="1" w:styleId="433">
    <w:name w:val="正文_0_2"/>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434">
    <w:name w:val="Normal_2"/>
    <w:qFormat/>
    <w:uiPriority w:val="0"/>
    <w:rPr>
      <w:rFonts w:hint="default" w:ascii="黑体" w:hAnsi="黑体" w:eastAsia="黑体" w:cs="Times New Roman"/>
      <w:b/>
      <w:sz w:val="32"/>
      <w:szCs w:val="24"/>
      <w:lang w:val="en-US" w:eastAsia="zh-CN" w:bidi="ar-SA"/>
    </w:rPr>
  </w:style>
  <w:style w:type="paragraph" w:customStyle="1" w:styleId="435">
    <w:name w:val="正文_1_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436">
    <w:name w:val="Normal_3"/>
    <w:qFormat/>
    <w:uiPriority w:val="0"/>
    <w:rPr>
      <w:rFonts w:hint="default" w:ascii="黑体" w:hAnsi="黑体" w:eastAsia="黑体" w:cs="Times New Roman"/>
      <w:b/>
      <w:sz w:val="32"/>
      <w:szCs w:val="24"/>
      <w:lang w:val="en-US" w:eastAsia="zh-CN" w:bidi="ar-SA"/>
    </w:rPr>
  </w:style>
  <w:style w:type="paragraph" w:customStyle="1" w:styleId="437">
    <w:name w:val="正文_2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438">
    <w:name w:val="Normal_4"/>
    <w:qFormat/>
    <w:uiPriority w:val="0"/>
    <w:rPr>
      <w:rFonts w:hint="default" w:ascii="黑体" w:hAnsi="黑体" w:eastAsia="黑体" w:cs="Times New Roman"/>
      <w:b/>
      <w:sz w:val="32"/>
      <w:szCs w:val="24"/>
      <w:lang w:val="en-US" w:eastAsia="zh-CN" w:bidi="ar-SA"/>
    </w:rPr>
  </w:style>
  <w:style w:type="paragraph" w:customStyle="1" w:styleId="439">
    <w:name w:val="正文_3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440">
    <w:name w:val="Normal_5"/>
    <w:qFormat/>
    <w:uiPriority w:val="0"/>
    <w:rPr>
      <w:rFonts w:hint="default" w:ascii="黑体" w:hAnsi="黑体" w:eastAsia="黑体" w:cs="Times New Roman"/>
      <w:b/>
      <w:sz w:val="32"/>
      <w:szCs w:val="24"/>
      <w:lang w:val="en-US" w:eastAsia="zh-CN" w:bidi="ar-SA"/>
    </w:rPr>
  </w:style>
  <w:style w:type="paragraph" w:customStyle="1" w:styleId="441">
    <w:name w:val="正文_4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442">
    <w:name w:val="Normal_6"/>
    <w:qFormat/>
    <w:uiPriority w:val="0"/>
    <w:rPr>
      <w:rFonts w:hint="default" w:ascii="黑体" w:hAnsi="黑体" w:eastAsia="黑体" w:cs="Times New Roman"/>
      <w:b/>
      <w:sz w:val="32"/>
      <w:szCs w:val="24"/>
      <w:lang w:val="en-US" w:eastAsia="zh-CN" w:bidi="ar-SA"/>
    </w:rPr>
  </w:style>
  <w:style w:type="paragraph" w:customStyle="1" w:styleId="443">
    <w:name w:val="正文_5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444">
    <w:name w:val="Normal_7"/>
    <w:qFormat/>
    <w:uiPriority w:val="0"/>
    <w:rPr>
      <w:rFonts w:hint="default" w:ascii="黑体" w:hAnsi="黑体" w:eastAsia="黑体" w:cs="Times New Roman"/>
      <w:b/>
      <w:sz w:val="32"/>
      <w:szCs w:val="24"/>
      <w:lang w:val="en-US" w:eastAsia="zh-CN" w:bidi="ar-SA"/>
    </w:rPr>
  </w:style>
  <w:style w:type="paragraph" w:customStyle="1" w:styleId="445">
    <w:name w:val="正文_6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446">
    <w:name w:val="Normal_8"/>
    <w:qFormat/>
    <w:uiPriority w:val="0"/>
    <w:rPr>
      <w:rFonts w:hint="default" w:ascii="黑体" w:hAnsi="黑体" w:eastAsia="黑体" w:cs="Times New Roman"/>
      <w:b/>
      <w:sz w:val="32"/>
      <w:szCs w:val="24"/>
      <w:lang w:val="en-US" w:eastAsia="zh-CN" w:bidi="ar-SA"/>
    </w:rPr>
  </w:style>
  <w:style w:type="paragraph" w:customStyle="1" w:styleId="447">
    <w:name w:val="正文_7"/>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448">
    <w:name w:val="目录 1_0"/>
    <w:basedOn w:val="447"/>
    <w:next w:val="447"/>
    <w:qFormat/>
    <w:uiPriority w:val="0"/>
    <w:pPr>
      <w:spacing w:line="440" w:lineRule="exact"/>
      <w:jc w:val="center"/>
    </w:pPr>
  </w:style>
  <w:style w:type="paragraph" w:customStyle="1" w:styleId="449">
    <w:name w:val="正文_8"/>
    <w:qFormat/>
    <w:uiPriority w:val="0"/>
    <w:pPr>
      <w:widowControl w:val="0"/>
      <w:jc w:val="both"/>
    </w:pPr>
    <w:rPr>
      <w:rFonts w:hint="default" w:ascii="Times New Roman" w:hAnsi="Times New Roman" w:eastAsia="宋体" w:cs="Times New Roman"/>
      <w:sz w:val="21"/>
      <w:szCs w:val="24"/>
      <w:lang w:val="en-US" w:eastAsia="zh-CN" w:bidi="ar-SA"/>
    </w:rPr>
  </w:style>
  <w:style w:type="character" w:customStyle="1" w:styleId="450">
    <w:name w:val="标题 3 字符_0"/>
    <w:link w:val="451"/>
    <w:qFormat/>
    <w:uiPriority w:val="0"/>
    <w:rPr>
      <w:rFonts w:eastAsia="宋体"/>
      <w:b/>
      <w:bCs/>
      <w:sz w:val="32"/>
      <w:szCs w:val="32"/>
      <w:lang w:bidi="ar-SA"/>
    </w:rPr>
  </w:style>
  <w:style w:type="paragraph" w:customStyle="1" w:styleId="451">
    <w:name w:val="标题 3_0_0"/>
    <w:basedOn w:val="449"/>
    <w:next w:val="449"/>
    <w:link w:val="450"/>
    <w:qFormat/>
    <w:uiPriority w:val="0"/>
    <w:pPr>
      <w:keepNext/>
      <w:keepLines/>
      <w:spacing w:before="260" w:after="260" w:line="415" w:lineRule="auto"/>
      <w:outlineLvl w:val="2"/>
    </w:pPr>
    <w:rPr>
      <w:b/>
      <w:bCs/>
      <w:sz w:val="32"/>
      <w:szCs w:val="32"/>
    </w:rPr>
  </w:style>
  <w:style w:type="paragraph" w:customStyle="1" w:styleId="452">
    <w:name w:val="正文_9"/>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453">
    <w:name w:val="正文_1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454">
    <w:name w:val="正文_1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455">
    <w:name w:val="正文_12"/>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456">
    <w:name w:val="正文_13"/>
    <w:qFormat/>
    <w:uiPriority w:val="0"/>
    <w:pPr>
      <w:widowControl w:val="0"/>
      <w:jc w:val="both"/>
    </w:pPr>
    <w:rPr>
      <w:rFonts w:hint="default" w:ascii="Calibri" w:hAnsi="Calibri" w:eastAsia="宋体" w:cs="Times New Roman"/>
      <w:sz w:val="21"/>
      <w:szCs w:val="22"/>
      <w:lang w:val="en-US" w:eastAsia="zh-CN" w:bidi="ar-SA"/>
    </w:rPr>
  </w:style>
  <w:style w:type="paragraph" w:customStyle="1" w:styleId="457">
    <w:name w:val="Normal_9"/>
    <w:qFormat/>
    <w:uiPriority w:val="0"/>
    <w:rPr>
      <w:rFonts w:hint="default" w:ascii="黑体" w:hAnsi="黑体" w:eastAsia="黑体" w:cs="Times New Roman"/>
      <w:b/>
      <w:sz w:val="32"/>
      <w:szCs w:val="24"/>
      <w:lang w:val="en-US" w:eastAsia="zh-CN" w:bidi="ar-SA"/>
    </w:rPr>
  </w:style>
  <w:style w:type="paragraph" w:customStyle="1" w:styleId="458">
    <w:name w:val="正文_14"/>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459">
    <w:name w:val="列表接续 2_0"/>
    <w:basedOn w:val="458"/>
    <w:qFormat/>
    <w:uiPriority w:val="0"/>
    <w:pPr>
      <w:spacing w:after="120"/>
      <w:ind w:left="840"/>
    </w:pPr>
  </w:style>
  <w:style w:type="paragraph" w:customStyle="1" w:styleId="460">
    <w:name w:val="Normal_10"/>
    <w:qFormat/>
    <w:uiPriority w:val="0"/>
    <w:rPr>
      <w:rFonts w:hint="default" w:ascii="黑体" w:hAnsi="黑体" w:eastAsia="黑体" w:cs="Times New Roman"/>
      <w:b/>
      <w:sz w:val="32"/>
      <w:szCs w:val="24"/>
      <w:lang w:val="en-US" w:eastAsia="zh-CN" w:bidi="ar-SA"/>
    </w:rPr>
  </w:style>
  <w:style w:type="paragraph" w:customStyle="1" w:styleId="461">
    <w:name w:val="正文_15"/>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462">
    <w:name w:val="Normal_11"/>
    <w:qFormat/>
    <w:uiPriority w:val="0"/>
    <w:rPr>
      <w:rFonts w:hint="default" w:ascii="黑体" w:hAnsi="黑体" w:eastAsia="黑体" w:cs="Times New Roman"/>
      <w:b/>
      <w:sz w:val="32"/>
      <w:szCs w:val="24"/>
      <w:lang w:val="en-US" w:eastAsia="zh-CN" w:bidi="ar-SA"/>
    </w:rPr>
  </w:style>
  <w:style w:type="paragraph" w:customStyle="1" w:styleId="463">
    <w:name w:val="正文_16"/>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464">
    <w:name w:val="Normal_12"/>
    <w:qFormat/>
    <w:uiPriority w:val="0"/>
    <w:rPr>
      <w:rFonts w:hint="default" w:ascii="黑体" w:hAnsi="黑体" w:eastAsia="黑体" w:cs="Times New Roman"/>
      <w:b/>
      <w:sz w:val="32"/>
      <w:szCs w:val="24"/>
      <w:lang w:val="en-US" w:eastAsia="zh-CN" w:bidi="ar-SA"/>
    </w:rPr>
  </w:style>
  <w:style w:type="paragraph" w:customStyle="1" w:styleId="465">
    <w:name w:val="Normal_13"/>
    <w:qFormat/>
    <w:uiPriority w:val="0"/>
    <w:rPr>
      <w:rFonts w:hint="default" w:ascii="黑体" w:hAnsi="黑体" w:eastAsia="黑体" w:cs="Times New Roman"/>
      <w:b/>
      <w:sz w:val="32"/>
      <w:szCs w:val="24"/>
      <w:lang w:val="en-US" w:eastAsia="zh-CN" w:bidi="ar-SA"/>
    </w:rPr>
  </w:style>
  <w:style w:type="paragraph" w:customStyle="1" w:styleId="466">
    <w:name w:val="正文_17"/>
    <w:qFormat/>
    <w:uiPriority w:val="0"/>
    <w:pPr>
      <w:widowControl w:val="0"/>
      <w:jc w:val="both"/>
    </w:pPr>
    <w:rPr>
      <w:rFonts w:hint="default" w:ascii="Calibri" w:hAnsi="Calibri" w:eastAsia="宋体" w:cs="Times New Roman"/>
      <w:sz w:val="21"/>
      <w:szCs w:val="22"/>
      <w:lang w:val="en-US" w:eastAsia="zh-CN" w:bidi="ar-SA"/>
    </w:rPr>
  </w:style>
  <w:style w:type="paragraph" w:customStyle="1" w:styleId="467">
    <w:name w:val="Normal_14"/>
    <w:qFormat/>
    <w:uiPriority w:val="0"/>
    <w:rPr>
      <w:rFonts w:hint="default" w:ascii="黑体" w:hAnsi="黑体" w:eastAsia="黑体" w:cs="Times New Roman"/>
      <w:b/>
      <w:sz w:val="32"/>
      <w:szCs w:val="24"/>
      <w:lang w:val="en-US" w:eastAsia="zh-CN" w:bidi="ar-SA"/>
    </w:rPr>
  </w:style>
  <w:style w:type="paragraph" w:customStyle="1" w:styleId="468">
    <w:name w:val="正文_18"/>
    <w:qFormat/>
    <w:uiPriority w:val="0"/>
    <w:pPr>
      <w:widowControl w:val="0"/>
      <w:jc w:val="both"/>
    </w:pPr>
    <w:rPr>
      <w:rFonts w:hint="default" w:ascii="Calibri" w:hAnsi="Calibri" w:eastAsia="宋体" w:cs="Times New Roman"/>
      <w:sz w:val="21"/>
      <w:szCs w:val="22"/>
      <w:lang w:val="en-US" w:eastAsia="zh-CN" w:bidi="ar-SA"/>
    </w:rPr>
  </w:style>
  <w:style w:type="paragraph" w:customStyle="1" w:styleId="469">
    <w:name w:val="Normal_15"/>
    <w:qFormat/>
    <w:uiPriority w:val="0"/>
    <w:rPr>
      <w:rFonts w:hint="default" w:ascii="黑体" w:hAnsi="黑体" w:eastAsia="黑体" w:cs="Times New Roman"/>
      <w:b/>
      <w:sz w:val="32"/>
      <w:szCs w:val="24"/>
      <w:lang w:val="en-US" w:eastAsia="zh-CN" w:bidi="ar-SA"/>
    </w:rPr>
  </w:style>
  <w:style w:type="paragraph" w:customStyle="1" w:styleId="470">
    <w:name w:val="正文_19"/>
    <w:qFormat/>
    <w:uiPriority w:val="0"/>
    <w:pPr>
      <w:widowControl w:val="0"/>
      <w:jc w:val="both"/>
    </w:pPr>
    <w:rPr>
      <w:rFonts w:hint="default" w:ascii="Calibri" w:hAnsi="Calibri" w:eastAsia="宋体" w:cs="Times New Roman"/>
      <w:sz w:val="21"/>
      <w:szCs w:val="22"/>
      <w:lang w:val="en-US" w:eastAsia="zh-CN" w:bidi="ar-SA"/>
    </w:rPr>
  </w:style>
  <w:style w:type="paragraph" w:customStyle="1" w:styleId="471">
    <w:name w:val="Normal_0_0"/>
    <w:qFormat/>
    <w:uiPriority w:val="0"/>
    <w:rPr>
      <w:rFonts w:hint="default" w:ascii="黑体" w:hAnsi="黑体" w:eastAsia="黑体" w:cs="Times New Roman"/>
      <w:b/>
      <w:sz w:val="40"/>
      <w:szCs w:val="24"/>
      <w:lang w:val="en-US" w:eastAsia="zh-CN" w:bidi="ar-SA"/>
    </w:rPr>
  </w:style>
  <w:style w:type="paragraph" w:customStyle="1" w:styleId="472">
    <w:name w:val="Normal_1_0"/>
    <w:qFormat/>
    <w:uiPriority w:val="0"/>
    <w:rPr>
      <w:rFonts w:hint="default" w:ascii="Times New Roman" w:hAnsi="Times New Roman" w:eastAsia="Times New Roman" w:cs="Times New Roman"/>
      <w:sz w:val="24"/>
      <w:szCs w:val="24"/>
      <w:lang w:val="en-US" w:eastAsia="zh-CN" w:bidi="ar-SA"/>
    </w:rPr>
  </w:style>
  <w:style w:type="paragraph" w:customStyle="1" w:styleId="473">
    <w:name w:val="Normal_0_1"/>
    <w:qFormat/>
    <w:uiPriority w:val="0"/>
    <w:rPr>
      <w:rFonts w:hint="default" w:ascii="黑体" w:hAnsi="黑体" w:eastAsia="黑体" w:cs="Times New Roman"/>
      <w:b/>
      <w:sz w:val="32"/>
      <w:szCs w:val="24"/>
      <w:lang w:val="en-US" w:eastAsia="zh-CN" w:bidi="ar-SA"/>
    </w:rPr>
  </w:style>
  <w:style w:type="paragraph" w:customStyle="1" w:styleId="474">
    <w:name w:val="正文_2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475">
    <w:name w:val="Default"/>
    <w:qFormat/>
    <w:uiPriority w:val="0"/>
    <w:pPr>
      <w:widowControl w:val="0"/>
    </w:pPr>
    <w:rPr>
      <w:rFonts w:hint="default" w:ascii="Times New Roman" w:hAnsi="Times New Roman" w:eastAsia="宋体" w:cs="Times New Roman"/>
      <w:color w:val="000000"/>
      <w:sz w:val="24"/>
      <w:szCs w:val="24"/>
      <w:lang w:val="en-US" w:eastAsia="zh-CN" w:bidi="ar-SA"/>
    </w:rPr>
  </w:style>
  <w:style w:type="character" w:customStyle="1" w:styleId="476">
    <w:name w:val="标题 1 Char_0"/>
    <w:link w:val="477"/>
    <w:qFormat/>
    <w:uiPriority w:val="0"/>
    <w:rPr>
      <w:rFonts w:eastAsia="宋体"/>
      <w:b/>
      <w:bCs/>
      <w:sz w:val="44"/>
      <w:szCs w:val="44"/>
      <w:lang w:bidi="ar-SA"/>
    </w:rPr>
  </w:style>
  <w:style w:type="paragraph" w:customStyle="1" w:styleId="477">
    <w:name w:val="标题 1_0"/>
    <w:basedOn w:val="361"/>
    <w:next w:val="361"/>
    <w:link w:val="476"/>
    <w:qFormat/>
    <w:uiPriority w:val="0"/>
    <w:pPr>
      <w:keepNext/>
      <w:keepLines/>
      <w:spacing w:before="340" w:after="330" w:line="576" w:lineRule="auto"/>
      <w:outlineLvl w:val="0"/>
    </w:pPr>
    <w:rPr>
      <w:b/>
      <w:bCs/>
      <w:sz w:val="44"/>
      <w:szCs w:val="44"/>
    </w:rPr>
  </w:style>
  <w:style w:type="paragraph" w:customStyle="1" w:styleId="478">
    <w:name w:val="正文_21_0_0"/>
    <w:qFormat/>
    <w:uiPriority w:val="0"/>
    <w:pPr>
      <w:widowControl w:val="0"/>
      <w:jc w:val="both"/>
    </w:pPr>
    <w:rPr>
      <w:rFonts w:hint="default" w:ascii="Calibri" w:hAnsi="Calibri" w:eastAsia="宋体" w:cs="Calibri"/>
      <w:lang w:val="en-US" w:eastAsia="zh-CN" w:bidi="ar-SA"/>
    </w:rPr>
  </w:style>
  <w:style w:type="paragraph" w:customStyle="1" w:styleId="479">
    <w:name w:val="TOC 标题_0"/>
    <w:basedOn w:val="257"/>
    <w:next w:val="478"/>
    <w:qFormat/>
    <w:uiPriority w:val="0"/>
    <w:pPr>
      <w:keepNext/>
      <w:keepLines/>
      <w:spacing w:before="340" w:after="330" w:line="576" w:lineRule="auto"/>
    </w:pPr>
    <w:rPr>
      <w:rFonts w:eastAsia="仿宋"/>
      <w:b/>
      <w:bCs/>
      <w:sz w:val="44"/>
      <w:szCs w:val="44"/>
    </w:rPr>
  </w:style>
  <w:style w:type="paragraph" w:customStyle="1" w:styleId="480">
    <w:name w:val="正文_21_1"/>
    <w:qFormat/>
    <w:uiPriority w:val="0"/>
    <w:pPr>
      <w:widowControl w:val="0"/>
      <w:jc w:val="both"/>
    </w:pPr>
    <w:rPr>
      <w:rFonts w:hint="default" w:ascii="Calibri" w:hAnsi="Calibri" w:eastAsia="宋体" w:cs="Times New Roman"/>
      <w:sz w:val="21"/>
      <w:szCs w:val="22"/>
      <w:lang w:val="en-US" w:eastAsia="zh-CN" w:bidi="ar-SA"/>
    </w:rPr>
  </w:style>
  <w:style w:type="paragraph" w:customStyle="1" w:styleId="481">
    <w:name w:val="正文_4_0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482">
    <w:name w:val="普通(网站)_0"/>
    <w:basedOn w:val="256"/>
    <w:qFormat/>
    <w:uiPriority w:val="0"/>
    <w:rPr>
      <w:sz w:val="24"/>
    </w:rPr>
  </w:style>
  <w:style w:type="paragraph" w:customStyle="1" w:styleId="483">
    <w:name w:val="正文_22"/>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484">
    <w:name w:val="Normal_0_2"/>
    <w:qFormat/>
    <w:uiPriority w:val="0"/>
    <w:rPr>
      <w:rFonts w:hint="default" w:ascii="黑体" w:hAnsi="黑体" w:eastAsia="黑体" w:cs="Times New Roman"/>
      <w:b/>
      <w:sz w:val="32"/>
      <w:szCs w:val="24"/>
      <w:lang w:val="en-US" w:eastAsia="zh-CN" w:bidi="ar-SA"/>
    </w:rPr>
  </w:style>
  <w:style w:type="paragraph" w:customStyle="1" w:styleId="485">
    <w:name w:val="正文_6_1"/>
    <w:qFormat/>
    <w:uiPriority w:val="0"/>
    <w:pPr>
      <w:widowControl w:val="0"/>
      <w:jc w:val="both"/>
    </w:pPr>
    <w:rPr>
      <w:rFonts w:hint="default" w:ascii="Calibri" w:hAnsi="Calibri" w:eastAsia="宋体" w:cs="Times New Roman"/>
      <w:sz w:val="21"/>
      <w:szCs w:val="22"/>
      <w:lang w:val="en-US" w:eastAsia="zh-CN" w:bidi="ar-SA"/>
    </w:rPr>
  </w:style>
  <w:style w:type="paragraph" w:customStyle="1" w:styleId="486">
    <w:name w:val="Normal_1_1"/>
    <w:qFormat/>
    <w:uiPriority w:val="0"/>
    <w:pPr>
      <w:widowControl w:val="0"/>
      <w:jc w:val="both"/>
    </w:pPr>
    <w:rPr>
      <w:rFonts w:hint="default" w:ascii="Calibri" w:hAnsi="Calibri" w:eastAsia="宋体" w:cs="Times New Roman"/>
      <w:sz w:val="21"/>
      <w:szCs w:val="22"/>
      <w:lang w:val="en-US" w:eastAsia="zh-CN" w:bidi="ar-SA"/>
    </w:rPr>
  </w:style>
  <w:style w:type="paragraph" w:customStyle="1" w:styleId="487">
    <w:name w:val="Normal_2_0"/>
    <w:qFormat/>
    <w:uiPriority w:val="0"/>
    <w:rPr>
      <w:rFonts w:hint="default" w:ascii="黑体" w:hAnsi="黑体" w:eastAsia="黑体" w:cs="Times New Roman"/>
      <w:b/>
      <w:sz w:val="32"/>
      <w:szCs w:val="24"/>
      <w:lang w:val="en-US" w:eastAsia="zh-CN" w:bidi="ar-SA"/>
    </w:rPr>
  </w:style>
  <w:style w:type="paragraph" w:customStyle="1" w:styleId="488">
    <w:name w:val="正文_23"/>
    <w:qFormat/>
    <w:uiPriority w:val="0"/>
    <w:pPr>
      <w:widowControl w:val="0"/>
      <w:jc w:val="both"/>
    </w:pPr>
    <w:rPr>
      <w:rFonts w:hint="default" w:ascii="Calibri" w:hAnsi="Calibri" w:eastAsia="宋体" w:cs="Times New Roman"/>
      <w:sz w:val="21"/>
      <w:szCs w:val="22"/>
      <w:lang w:val="en-US" w:eastAsia="zh-CN" w:bidi="ar-SA"/>
    </w:rPr>
  </w:style>
  <w:style w:type="paragraph" w:customStyle="1" w:styleId="489">
    <w:name w:val="正文_0_2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490">
    <w:name w:val="Normal_3_0"/>
    <w:qFormat/>
    <w:uiPriority w:val="0"/>
    <w:rPr>
      <w:rFonts w:hint="default" w:ascii="黑体" w:hAnsi="黑体" w:eastAsia="黑体" w:cs="Times New Roman"/>
      <w:b/>
      <w:sz w:val="32"/>
      <w:szCs w:val="24"/>
      <w:lang w:val="en-US" w:eastAsia="zh-CN" w:bidi="ar-SA"/>
    </w:rPr>
  </w:style>
  <w:style w:type="paragraph" w:customStyle="1" w:styleId="491">
    <w:name w:val="正文_0_3"/>
    <w:qFormat/>
    <w:uiPriority w:val="0"/>
    <w:pPr>
      <w:widowControl w:val="0"/>
      <w:jc w:val="both"/>
    </w:pPr>
    <w:rPr>
      <w:rFonts w:hint="default" w:ascii="Calibri" w:hAnsi="Calibri" w:eastAsia="宋体" w:cs="Times New Roman"/>
      <w:sz w:val="21"/>
      <w:szCs w:val="22"/>
      <w:lang w:val="en-US" w:eastAsia="zh-CN" w:bidi="ar-SA"/>
    </w:rPr>
  </w:style>
  <w:style w:type="paragraph" w:customStyle="1" w:styleId="492">
    <w:name w:val="正文_1_1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493">
    <w:name w:val="Normal_4_0"/>
    <w:qFormat/>
    <w:uiPriority w:val="0"/>
    <w:rPr>
      <w:rFonts w:hint="default" w:ascii="黑体" w:hAnsi="黑体" w:eastAsia="黑体" w:cs="Times New Roman"/>
      <w:b/>
      <w:sz w:val="32"/>
      <w:szCs w:val="24"/>
      <w:lang w:val="en-US" w:eastAsia="zh-CN" w:bidi="ar-SA"/>
    </w:rPr>
  </w:style>
  <w:style w:type="paragraph" w:customStyle="1" w:styleId="494">
    <w:name w:val="正文_2_0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495">
    <w:name w:val="正文_1_2"/>
    <w:qFormat/>
    <w:uiPriority w:val="0"/>
    <w:pPr>
      <w:widowControl w:val="0"/>
      <w:jc w:val="both"/>
    </w:pPr>
    <w:rPr>
      <w:rFonts w:hint="default" w:ascii="Calibri" w:hAnsi="Calibri" w:eastAsia="宋体" w:cs="Times New Roman"/>
      <w:sz w:val="21"/>
      <w:szCs w:val="22"/>
      <w:lang w:val="en-US" w:eastAsia="zh-CN" w:bidi="ar-SA"/>
    </w:rPr>
  </w:style>
  <w:style w:type="paragraph" w:customStyle="1" w:styleId="496">
    <w:name w:val="Normal_4_0_0"/>
    <w:qFormat/>
    <w:uiPriority w:val="0"/>
    <w:rPr>
      <w:rFonts w:hint="default" w:ascii="黑体" w:hAnsi="黑体" w:eastAsia="黑体" w:cs="Times New Roman"/>
      <w:b/>
      <w:sz w:val="32"/>
      <w:szCs w:val="24"/>
      <w:lang w:val="en-US" w:eastAsia="zh-CN" w:bidi="ar-SA"/>
    </w:rPr>
  </w:style>
  <w:style w:type="paragraph" w:customStyle="1" w:styleId="497">
    <w:name w:val="正文_3_0_0"/>
    <w:qFormat/>
    <w:uiPriority w:val="0"/>
    <w:pPr>
      <w:widowControl w:val="0"/>
      <w:jc w:val="both"/>
    </w:pPr>
    <w:rPr>
      <w:rFonts w:hint="default" w:ascii="Times New Roman" w:hAnsi="Times New Roman" w:eastAsia="宋体" w:cs="Times New Roman"/>
      <w:sz w:val="21"/>
      <w:lang w:val="en-US" w:eastAsia="zh-CN" w:bidi="ar-SA"/>
    </w:rPr>
  </w:style>
  <w:style w:type="paragraph" w:customStyle="1" w:styleId="498">
    <w:name w:val="Normal_7_0"/>
    <w:qFormat/>
    <w:uiPriority w:val="0"/>
    <w:rPr>
      <w:rFonts w:hint="default" w:ascii="黑体" w:hAnsi="黑体" w:eastAsia="黑体" w:cs="Times New Roman"/>
      <w:b/>
      <w:sz w:val="32"/>
      <w:szCs w:val="24"/>
      <w:lang w:val="en-US" w:eastAsia="zh-CN" w:bidi="ar-SA"/>
    </w:rPr>
  </w:style>
  <w:style w:type="paragraph" w:customStyle="1" w:styleId="499">
    <w:name w:val="Normal_8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500">
    <w:name w:val="正文_7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501">
    <w:name w:val="目录 1_0_0"/>
    <w:basedOn w:val="499"/>
    <w:next w:val="499"/>
    <w:qFormat/>
    <w:uiPriority w:val="0"/>
    <w:pPr>
      <w:spacing w:line="410" w:lineRule="atLeast"/>
      <w:jc w:val="left"/>
    </w:pPr>
    <w:rPr>
      <w:rFonts w:ascii="宋体" w:hAnsi="Times New Roman"/>
      <w:sz w:val="24"/>
      <w:szCs w:val="20"/>
    </w:rPr>
  </w:style>
  <w:style w:type="paragraph" w:customStyle="1" w:styleId="502">
    <w:name w:val="Normal_9_0"/>
    <w:qFormat/>
    <w:uiPriority w:val="0"/>
    <w:pPr>
      <w:spacing w:after="160" w:line="256" w:lineRule="auto"/>
    </w:pPr>
    <w:rPr>
      <w:rFonts w:hint="default" w:ascii="Calibri" w:hAnsi="Calibri" w:eastAsia="宋体" w:cs="Times New Roman"/>
      <w:sz w:val="22"/>
      <w:szCs w:val="22"/>
      <w:lang w:val="en-US" w:eastAsia="zh-CN" w:bidi="ar-SA"/>
    </w:rPr>
  </w:style>
  <w:style w:type="paragraph" w:customStyle="1" w:styleId="503">
    <w:name w:val="Normal_10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504">
    <w:name w:val="Normal_11_0"/>
    <w:qFormat/>
    <w:uiPriority w:val="0"/>
    <w:rPr>
      <w:rFonts w:hint="default" w:ascii="黑体" w:hAnsi="黑体" w:eastAsia="黑体" w:cs="Times New Roman"/>
      <w:b/>
      <w:sz w:val="32"/>
      <w:szCs w:val="24"/>
      <w:lang w:val="en-US" w:eastAsia="zh-CN" w:bidi="ar-SA"/>
    </w:rPr>
  </w:style>
  <w:style w:type="paragraph" w:customStyle="1" w:styleId="505">
    <w:name w:val="正文_2_1"/>
    <w:qFormat/>
    <w:uiPriority w:val="0"/>
    <w:pPr>
      <w:widowControl w:val="0"/>
      <w:jc w:val="both"/>
    </w:pPr>
    <w:rPr>
      <w:rFonts w:hint="default" w:ascii="Calibri" w:hAnsi="Calibri" w:eastAsia="宋体" w:cs="Times New Roman"/>
      <w:sz w:val="21"/>
      <w:szCs w:val="22"/>
      <w:lang w:val="en-US" w:eastAsia="zh-CN" w:bidi="ar-SA"/>
    </w:rPr>
  </w:style>
  <w:style w:type="paragraph" w:customStyle="1" w:styleId="506">
    <w:name w:val="正文_8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07">
    <w:name w:val="正文_3_1"/>
    <w:qFormat/>
    <w:uiPriority w:val="0"/>
    <w:pPr>
      <w:spacing w:after="160" w:line="256" w:lineRule="auto"/>
    </w:pPr>
    <w:rPr>
      <w:rFonts w:hint="default" w:ascii="Calibri" w:hAnsi="Calibri" w:eastAsia="宋体" w:cs="Times New Roman"/>
      <w:sz w:val="22"/>
      <w:szCs w:val="22"/>
      <w:lang w:val="en-US" w:eastAsia="zh-CN" w:bidi="ar-SA"/>
    </w:rPr>
  </w:style>
  <w:style w:type="paragraph" w:customStyle="1" w:styleId="508">
    <w:name w:val="Normal_12_0"/>
    <w:qFormat/>
    <w:uiPriority w:val="0"/>
    <w:rPr>
      <w:rFonts w:hint="default" w:ascii="黑体" w:hAnsi="黑体" w:eastAsia="黑体" w:cs="Times New Roman"/>
      <w:b/>
      <w:sz w:val="32"/>
      <w:szCs w:val="24"/>
      <w:lang w:val="en-US" w:eastAsia="zh-CN" w:bidi="ar-SA"/>
    </w:rPr>
  </w:style>
  <w:style w:type="paragraph" w:customStyle="1" w:styleId="509">
    <w:name w:val="Normal_8_0_0"/>
    <w:qFormat/>
    <w:uiPriority w:val="0"/>
    <w:rPr>
      <w:rFonts w:hint="default" w:ascii="黑体" w:hAnsi="黑体" w:eastAsia="黑体" w:cs="Times New Roman"/>
      <w:b/>
      <w:sz w:val="32"/>
      <w:szCs w:val="24"/>
      <w:lang w:val="en-US" w:eastAsia="zh-CN" w:bidi="ar-SA"/>
    </w:rPr>
  </w:style>
  <w:style w:type="paragraph" w:customStyle="1" w:styleId="510">
    <w:name w:val="Normal_13_0"/>
    <w:qFormat/>
    <w:uiPriority w:val="0"/>
    <w:rPr>
      <w:rFonts w:hint="default" w:ascii="黑体" w:hAnsi="黑体" w:eastAsia="黑体" w:cs="Times New Roman"/>
      <w:b/>
      <w:sz w:val="32"/>
      <w:szCs w:val="24"/>
      <w:lang w:val="en-US" w:eastAsia="zh-CN" w:bidi="ar-SA"/>
    </w:rPr>
  </w:style>
  <w:style w:type="paragraph" w:customStyle="1" w:styleId="511">
    <w:name w:val="正文_5_2"/>
    <w:qFormat/>
    <w:uiPriority w:val="0"/>
    <w:pPr>
      <w:widowControl w:val="0"/>
      <w:jc w:val="both"/>
    </w:pPr>
    <w:rPr>
      <w:rFonts w:hint="default" w:ascii="Calibri" w:hAnsi="Calibri" w:eastAsia="宋体" w:cs="Times New Roman"/>
      <w:sz w:val="21"/>
      <w:szCs w:val="22"/>
      <w:lang w:val="en-US" w:eastAsia="zh-CN" w:bidi="ar-SA"/>
    </w:rPr>
  </w:style>
  <w:style w:type="paragraph" w:customStyle="1" w:styleId="512">
    <w:name w:val="正文_7_0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513">
    <w:name w:val="样式 标题 3 + (中文) 黑体 小四 非加粗 段前: 7.8 磅 段后: 0 磅 行距: 固定值 20 磅_2_0"/>
    <w:basedOn w:val="511"/>
    <w:qFormat/>
    <w:uiPriority w:val="0"/>
    <w:pPr>
      <w:keepNext/>
      <w:keepLines/>
      <w:spacing w:line="400" w:lineRule="exact"/>
      <w:outlineLvl w:val="2"/>
    </w:pPr>
    <w:rPr>
      <w:rFonts w:ascii="Times New Roman" w:hAnsi="Times New Roman" w:eastAsia="黑体"/>
      <w:sz w:val="24"/>
      <w:szCs w:val="20"/>
    </w:rPr>
  </w:style>
  <w:style w:type="paragraph" w:customStyle="1" w:styleId="514">
    <w:name w:val="正文_10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15">
    <w:name w:val="Normal_14_0"/>
    <w:qFormat/>
    <w:uiPriority w:val="0"/>
    <w:rPr>
      <w:rFonts w:hint="default" w:ascii="黑体" w:hAnsi="黑体" w:eastAsia="黑体" w:cs="Times New Roman"/>
      <w:b/>
      <w:sz w:val="32"/>
      <w:szCs w:val="24"/>
      <w:lang w:val="en-US" w:eastAsia="zh-CN" w:bidi="ar-SA"/>
    </w:rPr>
  </w:style>
  <w:style w:type="paragraph" w:customStyle="1" w:styleId="516">
    <w:name w:val="正文_9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517">
    <w:name w:val="正文_4_0_1"/>
    <w:qFormat/>
    <w:uiPriority w:val="0"/>
    <w:pPr>
      <w:widowControl w:val="0"/>
      <w:jc w:val="both"/>
    </w:pPr>
    <w:rPr>
      <w:rFonts w:hint="default" w:ascii="Calibri" w:hAnsi="Calibri" w:eastAsia="宋体" w:cs="Times New Roman"/>
      <w:sz w:val="21"/>
      <w:szCs w:val="22"/>
      <w:lang w:val="en-US" w:eastAsia="zh-CN" w:bidi="ar-SA"/>
    </w:rPr>
  </w:style>
  <w:style w:type="paragraph" w:customStyle="1" w:styleId="518">
    <w:name w:val="Normal_15_0"/>
    <w:qFormat/>
    <w:uiPriority w:val="0"/>
    <w:rPr>
      <w:rFonts w:hint="default" w:ascii="黑体" w:hAnsi="黑体" w:eastAsia="黑体" w:cs="Times New Roman"/>
      <w:b/>
      <w:sz w:val="32"/>
      <w:szCs w:val="24"/>
      <w:lang w:val="en-US" w:eastAsia="zh-CN" w:bidi="ar-SA"/>
    </w:rPr>
  </w:style>
  <w:style w:type="paragraph" w:customStyle="1" w:styleId="519">
    <w:name w:val="正文_11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520">
    <w:name w:val="正文_6_0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521">
    <w:name w:val="Normal_16_0"/>
    <w:qFormat/>
    <w:uiPriority w:val="0"/>
    <w:rPr>
      <w:rFonts w:hint="default" w:ascii="黑体" w:hAnsi="黑体" w:eastAsia="黑体" w:cs="Times New Roman"/>
      <w:b/>
      <w:sz w:val="32"/>
      <w:szCs w:val="24"/>
      <w:lang w:val="en-US" w:eastAsia="zh-CN" w:bidi="ar-SA"/>
    </w:rPr>
  </w:style>
  <w:style w:type="paragraph" w:customStyle="1" w:styleId="522">
    <w:name w:val="Normal_18"/>
    <w:qFormat/>
    <w:uiPriority w:val="0"/>
    <w:rPr>
      <w:rFonts w:hint="default" w:ascii="黑体" w:hAnsi="黑体" w:eastAsia="黑体" w:cs="Times New Roman"/>
      <w:b/>
      <w:sz w:val="32"/>
      <w:szCs w:val="24"/>
      <w:lang w:val="en-US" w:eastAsia="zh-CN" w:bidi="ar-SA"/>
    </w:rPr>
  </w:style>
  <w:style w:type="paragraph" w:customStyle="1" w:styleId="523">
    <w:name w:val="正文_16_0"/>
    <w:qFormat/>
    <w:uiPriority w:val="0"/>
    <w:pPr>
      <w:widowControl w:val="0"/>
      <w:jc w:val="both"/>
    </w:pPr>
    <w:rPr>
      <w:rFonts w:hint="default" w:ascii="Calibri" w:hAnsi="Calibri" w:eastAsia="宋体" w:cs="Times New Roman"/>
      <w:lang w:val="en-US" w:eastAsia="zh-CN" w:bidi="ar-SA"/>
    </w:rPr>
  </w:style>
  <w:style w:type="paragraph" w:customStyle="1" w:styleId="524">
    <w:name w:val="正文_16_1"/>
    <w:qFormat/>
    <w:uiPriority w:val="0"/>
    <w:pPr>
      <w:widowControl w:val="0"/>
      <w:jc w:val="both"/>
    </w:pPr>
    <w:rPr>
      <w:rFonts w:hint="default" w:ascii="Calibri" w:hAnsi="Calibri" w:eastAsia="宋体" w:cs="Times New Roman"/>
      <w:szCs w:val="24"/>
      <w:lang w:val="en-US" w:eastAsia="zh-CN" w:bidi="ar-SA"/>
    </w:rPr>
  </w:style>
  <w:style w:type="paragraph" w:customStyle="1" w:styleId="525">
    <w:name w:val="正文_15_1"/>
    <w:qFormat/>
    <w:uiPriority w:val="0"/>
    <w:pPr>
      <w:widowControl w:val="0"/>
      <w:jc w:val="both"/>
    </w:pPr>
    <w:rPr>
      <w:rFonts w:hint="default" w:ascii="Calibri" w:hAnsi="Calibri" w:eastAsia="宋体" w:cs="Times New Roman"/>
      <w:szCs w:val="24"/>
      <w:lang w:val="en-US" w:eastAsia="zh-CN" w:bidi="ar-SA"/>
    </w:rPr>
  </w:style>
  <w:style w:type="paragraph" w:customStyle="1" w:styleId="526">
    <w:name w:val="Normal_19"/>
    <w:qFormat/>
    <w:uiPriority w:val="0"/>
    <w:rPr>
      <w:rFonts w:hint="default" w:ascii="黑体" w:hAnsi="黑体" w:eastAsia="黑体" w:cs="Times New Roman"/>
      <w:b/>
      <w:sz w:val="32"/>
      <w:szCs w:val="24"/>
      <w:lang w:val="en-US" w:eastAsia="zh-CN" w:bidi="ar-SA"/>
    </w:rPr>
  </w:style>
  <w:style w:type="paragraph" w:customStyle="1" w:styleId="527">
    <w:name w:val="正文_17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528">
    <w:name w:val="正文_12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529">
    <w:name w:val="正文_13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530">
    <w:name w:val="正文_18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531">
    <w:name w:val="Normal_21"/>
    <w:qFormat/>
    <w:uiPriority w:val="0"/>
    <w:rPr>
      <w:rFonts w:hint="default" w:ascii="黑体" w:hAnsi="黑体" w:eastAsia="黑体" w:cs="Times New Roman"/>
      <w:b/>
      <w:sz w:val="32"/>
      <w:szCs w:val="24"/>
      <w:lang w:val="en-US" w:eastAsia="zh-CN" w:bidi="ar-SA"/>
    </w:rPr>
  </w:style>
  <w:style w:type="paragraph" w:customStyle="1" w:styleId="532">
    <w:name w:val="Normal_22"/>
    <w:qFormat/>
    <w:uiPriority w:val="0"/>
    <w:rPr>
      <w:rFonts w:hint="default" w:ascii="Times New Roman" w:hAnsi="Times New Roman" w:eastAsia="Times New Roman" w:cs="Times New Roman"/>
      <w:sz w:val="24"/>
      <w:szCs w:val="24"/>
      <w:lang w:val="en-US" w:eastAsia="zh-CN" w:bidi="ar-SA"/>
    </w:rPr>
  </w:style>
  <w:style w:type="paragraph" w:customStyle="1" w:styleId="533">
    <w:name w:val="Normal_23"/>
    <w:qFormat/>
    <w:uiPriority w:val="0"/>
    <w:rPr>
      <w:rFonts w:hint="default" w:ascii="黑体" w:hAnsi="黑体" w:eastAsia="黑体" w:cs="Times New Roman"/>
      <w:b/>
      <w:sz w:val="32"/>
      <w:szCs w:val="24"/>
      <w:lang w:val="en-US" w:eastAsia="zh-CN" w:bidi="ar-SA"/>
    </w:rPr>
  </w:style>
  <w:style w:type="paragraph" w:customStyle="1" w:styleId="534">
    <w:name w:val="Normal_0_3"/>
    <w:qFormat/>
    <w:uiPriority w:val="0"/>
    <w:rPr>
      <w:rFonts w:hint="default" w:ascii="黑体" w:hAnsi="黑体" w:eastAsia="黑体" w:cs="Times New Roman"/>
      <w:b/>
      <w:sz w:val="32"/>
      <w:szCs w:val="24"/>
      <w:lang w:val="en-US" w:eastAsia="zh-CN" w:bidi="ar-SA"/>
    </w:rPr>
  </w:style>
  <w:style w:type="paragraph" w:customStyle="1" w:styleId="535">
    <w:name w:val="Normal_0_4"/>
    <w:qFormat/>
    <w:uiPriority w:val="0"/>
    <w:rPr>
      <w:rFonts w:hint="default" w:ascii="黑体" w:hAnsi="黑体" w:eastAsia="黑体" w:cs="Times New Roman"/>
      <w:b/>
      <w:sz w:val="32"/>
      <w:szCs w:val="24"/>
      <w:lang w:val="en-US" w:eastAsia="zh-CN" w:bidi="ar-SA"/>
    </w:rPr>
  </w:style>
  <w:style w:type="paragraph" w:customStyle="1" w:styleId="536">
    <w:name w:val="正文_20_0"/>
    <w:qFormat/>
    <w:uiPriority w:val="0"/>
    <w:pPr>
      <w:widowControl w:val="0"/>
      <w:jc w:val="both"/>
    </w:pPr>
    <w:rPr>
      <w:rFonts w:hint="default" w:ascii="Times New Roman" w:hAnsi="Times New Roman" w:eastAsia="宋体" w:cs="Times New Roman"/>
      <w:sz w:val="21"/>
      <w:szCs w:val="24"/>
      <w:lang w:val="en-US" w:eastAsia="zh-CN" w:bidi="ar-SA"/>
    </w:rPr>
  </w:style>
  <w:style w:type="character" w:customStyle="1" w:styleId="537">
    <w:name w:val="msosubtleemphasis"/>
    <w:link w:val="1"/>
    <w:qFormat/>
    <w:uiPriority w:val="0"/>
    <w:rPr>
      <w:i/>
      <w:iCs/>
      <w:color w:val="808080"/>
    </w:rPr>
  </w:style>
  <w:style w:type="character" w:customStyle="1" w:styleId="538">
    <w:name w:val="msointenseemphasis"/>
    <w:link w:val="1"/>
    <w:qFormat/>
    <w:uiPriority w:val="0"/>
    <w:rPr>
      <w:b/>
      <w:bCs/>
      <w:i/>
      <w:iCs/>
      <w:color w:val="4F81BD"/>
    </w:rPr>
  </w:style>
  <w:style w:type="character" w:customStyle="1" w:styleId="539">
    <w:name w:val="msosubtlereference"/>
    <w:link w:val="1"/>
    <w:qFormat/>
    <w:uiPriority w:val="0"/>
    <w:rPr>
      <w:smallCaps/>
      <w:color w:val="C0504D"/>
      <w:u w:val="single"/>
    </w:rPr>
  </w:style>
  <w:style w:type="character" w:customStyle="1" w:styleId="540">
    <w:name w:val="msointensereference"/>
    <w:link w:val="1"/>
    <w:qFormat/>
    <w:uiPriority w:val="0"/>
    <w:rPr>
      <w:b/>
      <w:bCs/>
      <w:smallCaps/>
      <w:color w:val="C0504D"/>
      <w:spacing w:val="5"/>
      <w:u w:val="single"/>
    </w:rPr>
  </w:style>
  <w:style w:type="character" w:customStyle="1" w:styleId="541">
    <w:name w:val="msobooktitle"/>
    <w:link w:val="1"/>
    <w:qFormat/>
    <w:uiPriority w:val="0"/>
    <w:rPr>
      <w:b/>
      <w:bCs/>
      <w:smallCaps/>
      <w:spacing w:val="5"/>
    </w:rPr>
  </w:style>
  <w:style w:type="character" w:customStyle="1" w:styleId="542">
    <w:name w:val="font161"/>
    <w:link w:val="1"/>
    <w:qFormat/>
    <w:uiPriority w:val="0"/>
    <w:rPr>
      <w:b/>
      <w:bCs/>
      <w:sz w:val="32"/>
      <w:szCs w:val="32"/>
    </w:rPr>
  </w:style>
  <w:style w:type="character" w:customStyle="1" w:styleId="543">
    <w:name w:val="标题 1.1 Char"/>
    <w:link w:val="1"/>
    <w:qFormat/>
    <w:uiPriority w:val="0"/>
    <w:rPr>
      <w:rFonts w:ascii="Arial" w:hAnsi="Arial" w:eastAsia="黑体" w:cs="Arial"/>
      <w:b/>
      <w:bCs/>
      <w:sz w:val="32"/>
      <w:szCs w:val="32"/>
      <w:lang w:val="en-US" w:eastAsia="zh-CN" w:bidi="ar-SA"/>
    </w:rPr>
  </w:style>
  <w:style w:type="character" w:customStyle="1" w:styleId="544">
    <w:name w:val="正文文本 Char1"/>
    <w:link w:val="1"/>
    <w:qFormat/>
    <w:uiPriority w:val="0"/>
    <w:rPr>
      <w:sz w:val="21"/>
      <w:szCs w:val="24"/>
    </w:rPr>
  </w:style>
  <w:style w:type="paragraph" w:customStyle="1" w:styleId="545">
    <w:name w:val="标题 2_0"/>
    <w:basedOn w:val="1"/>
    <w:link w:val="546"/>
    <w:qFormat/>
    <w:uiPriority w:val="0"/>
    <w:rPr>
      <w:rFonts w:ascii="Calibri" w:hAnsi="Calibri"/>
      <w:szCs w:val="22"/>
    </w:rPr>
  </w:style>
  <w:style w:type="character" w:customStyle="1" w:styleId="546">
    <w:name w:val="标题 2 Char_0"/>
    <w:link w:val="545"/>
    <w:qFormat/>
    <w:uiPriority w:val="0"/>
    <w:rPr>
      <w:rFonts w:ascii="Calibri" w:hAnsi="Calibri" w:eastAsia="宋体"/>
      <w:sz w:val="21"/>
      <w:szCs w:val="22"/>
      <w:lang w:val="en-US" w:eastAsia="zh-CN" w:bidi="ar-SA"/>
    </w:rPr>
  </w:style>
  <w:style w:type="character" w:customStyle="1" w:styleId="547">
    <w:name w:val="textcontents"/>
    <w:link w:val="1"/>
    <w:qFormat/>
    <w:uiPriority w:val="0"/>
    <w:rPr>
      <w:rFonts w:ascii="Times New Roman" w:hAnsi="Times New Roman" w:cs="Times New Roman"/>
    </w:rPr>
  </w:style>
  <w:style w:type="character" w:customStyle="1" w:styleId="548">
    <w:name w:val="日期 Char1"/>
    <w:link w:val="1"/>
    <w:qFormat/>
    <w:uiPriority w:val="0"/>
    <w:rPr>
      <w:sz w:val="21"/>
      <w:szCs w:val="22"/>
    </w:rPr>
  </w:style>
  <w:style w:type="character" w:customStyle="1" w:styleId="549">
    <w:name w:val="批注主题 Char1"/>
    <w:link w:val="1"/>
    <w:qFormat/>
    <w:uiPriority w:val="0"/>
    <w:rPr>
      <w:b/>
      <w:bCs/>
      <w:sz w:val="21"/>
      <w:szCs w:val="22"/>
    </w:rPr>
  </w:style>
  <w:style w:type="character" w:customStyle="1" w:styleId="550">
    <w:name w:val="批注文字 Char Char"/>
    <w:link w:val="1"/>
    <w:qFormat/>
    <w:uiPriority w:val="0"/>
    <w:rPr>
      <w:rFonts w:hint="eastAsia" w:ascii="宋体" w:hAnsi="Times New Roman" w:eastAsia="宋体" w:cs="Times New Roman"/>
      <w:sz w:val="28"/>
      <w:szCs w:val="20"/>
    </w:rPr>
  </w:style>
  <w:style w:type="character" w:customStyle="1" w:styleId="551">
    <w:name w:val="批注框文本 Char1"/>
    <w:link w:val="1"/>
    <w:qFormat/>
    <w:uiPriority w:val="0"/>
    <w:rPr>
      <w:sz w:val="18"/>
      <w:szCs w:val="18"/>
    </w:rPr>
  </w:style>
  <w:style w:type="character" w:customStyle="1" w:styleId="552">
    <w:name w:val="文档结构图 Char1"/>
    <w:link w:val="1"/>
    <w:qFormat/>
    <w:uiPriority w:val="0"/>
    <w:rPr>
      <w:rFonts w:hint="eastAsia" w:ascii="宋体" w:hAnsi="宋体" w:eastAsia="宋体"/>
      <w:sz w:val="18"/>
      <w:szCs w:val="18"/>
    </w:rPr>
  </w:style>
  <w:style w:type="character" w:customStyle="1" w:styleId="553">
    <w:name w:val="副标题 Char1"/>
    <w:link w:val="1"/>
    <w:qFormat/>
    <w:uiPriority w:val="0"/>
    <w:rPr>
      <w:rFonts w:ascii="Cambria" w:hAnsi="Cambria" w:eastAsia="宋体" w:cs="Times New Roman"/>
      <w:b/>
      <w:bCs/>
      <w:sz w:val="32"/>
      <w:szCs w:val="32"/>
    </w:rPr>
  </w:style>
  <w:style w:type="character" w:customStyle="1" w:styleId="554">
    <w:name w:val="明显引用 Char1"/>
    <w:link w:val="1"/>
    <w:qFormat/>
    <w:uiPriority w:val="0"/>
    <w:rPr>
      <w:rFonts w:ascii="Calibri" w:hAnsi="Calibri" w:eastAsia="宋体" w:cs="Times New Roman"/>
      <w:b/>
      <w:bCs/>
      <w:i/>
      <w:iCs/>
      <w:color w:val="4F81BD"/>
    </w:rPr>
  </w:style>
  <w:style w:type="character" w:customStyle="1" w:styleId="555">
    <w:name w:val="引用 Char1"/>
    <w:link w:val="1"/>
    <w:qFormat/>
    <w:uiPriority w:val="0"/>
    <w:rPr>
      <w:rFonts w:ascii="Calibri" w:hAnsi="Calibri" w:eastAsia="宋体" w:cs="Times New Roman"/>
      <w:i/>
      <w:iCs/>
      <w:color w:val="000000"/>
    </w:rPr>
  </w:style>
  <w:style w:type="paragraph" w:customStyle="1" w:styleId="556">
    <w:name w:val="标题 3_0"/>
    <w:basedOn w:val="1"/>
    <w:link w:val="557"/>
    <w:qFormat/>
    <w:uiPriority w:val="0"/>
    <w:rPr>
      <w:rFonts w:ascii="Calibri" w:hAnsi="Calibri"/>
      <w:szCs w:val="22"/>
    </w:rPr>
  </w:style>
  <w:style w:type="character" w:customStyle="1" w:styleId="557">
    <w:name w:val="标题 3 Char_0"/>
    <w:link w:val="556"/>
    <w:semiHidden/>
    <w:qFormat/>
    <w:uiPriority w:val="0"/>
    <w:rPr>
      <w:rFonts w:ascii="Calibri" w:hAnsi="Calibri" w:eastAsia="宋体"/>
      <w:sz w:val="21"/>
      <w:szCs w:val="22"/>
      <w:lang w:val="en-US" w:eastAsia="zh-CN" w:bidi="ar-SA"/>
    </w:rPr>
  </w:style>
  <w:style w:type="paragraph" w:customStyle="1" w:styleId="558">
    <w:name w:val="标题 3_1"/>
    <w:basedOn w:val="1"/>
    <w:link w:val="559"/>
    <w:qFormat/>
    <w:uiPriority w:val="0"/>
    <w:rPr>
      <w:rFonts w:ascii="Calibri" w:hAnsi="Calibri"/>
      <w:szCs w:val="22"/>
    </w:rPr>
  </w:style>
  <w:style w:type="character" w:customStyle="1" w:styleId="559">
    <w:name w:val="标题 3 字符"/>
    <w:link w:val="558"/>
    <w:qFormat/>
    <w:uiPriority w:val="0"/>
    <w:rPr>
      <w:rFonts w:ascii="Calibri" w:hAnsi="Calibri" w:eastAsia="宋体"/>
      <w:sz w:val="21"/>
      <w:szCs w:val="22"/>
      <w:lang w:val="en-US" w:eastAsia="zh-CN" w:bidi="ar-SA"/>
    </w:rPr>
  </w:style>
  <w:style w:type="paragraph" w:customStyle="1" w:styleId="560">
    <w:name w:val="标题 3_1_0"/>
    <w:basedOn w:val="1"/>
    <w:link w:val="561"/>
    <w:qFormat/>
    <w:uiPriority w:val="0"/>
    <w:rPr>
      <w:rFonts w:ascii="Calibri" w:hAnsi="Calibri"/>
      <w:szCs w:val="22"/>
    </w:rPr>
  </w:style>
  <w:style w:type="character" w:customStyle="1" w:styleId="561">
    <w:name w:val="标题 3 字符_1"/>
    <w:link w:val="560"/>
    <w:qFormat/>
    <w:uiPriority w:val="0"/>
    <w:rPr>
      <w:rFonts w:ascii="Calibri" w:hAnsi="Calibri" w:eastAsia="宋体"/>
      <w:sz w:val="21"/>
      <w:szCs w:val="22"/>
      <w:lang w:val="en-US" w:eastAsia="zh-CN" w:bidi="ar-SA"/>
    </w:rPr>
  </w:style>
  <w:style w:type="paragraph" w:customStyle="1" w:styleId="562">
    <w:name w:val="标题 3_2"/>
    <w:basedOn w:val="1"/>
    <w:link w:val="563"/>
    <w:qFormat/>
    <w:uiPriority w:val="0"/>
    <w:rPr>
      <w:rFonts w:ascii="Calibri" w:hAnsi="Calibri"/>
      <w:szCs w:val="22"/>
    </w:rPr>
  </w:style>
  <w:style w:type="character" w:customStyle="1" w:styleId="563">
    <w:name w:val="标题 3 字符_2"/>
    <w:link w:val="562"/>
    <w:qFormat/>
    <w:uiPriority w:val="0"/>
    <w:rPr>
      <w:rFonts w:ascii="Calibri" w:hAnsi="Calibri" w:eastAsia="宋体"/>
      <w:sz w:val="21"/>
      <w:szCs w:val="22"/>
      <w:lang w:val="en-US" w:eastAsia="zh-CN" w:bidi="ar-SA"/>
    </w:rPr>
  </w:style>
  <w:style w:type="paragraph" w:customStyle="1" w:styleId="564">
    <w:name w:val="标题 3_3"/>
    <w:basedOn w:val="1"/>
    <w:link w:val="565"/>
    <w:qFormat/>
    <w:uiPriority w:val="0"/>
    <w:rPr>
      <w:rFonts w:ascii="Calibri" w:hAnsi="Calibri"/>
      <w:szCs w:val="22"/>
    </w:rPr>
  </w:style>
  <w:style w:type="character" w:customStyle="1" w:styleId="565">
    <w:name w:val="标题 3 字符_3"/>
    <w:link w:val="564"/>
    <w:qFormat/>
    <w:uiPriority w:val="0"/>
    <w:rPr>
      <w:rFonts w:ascii="Calibri" w:hAnsi="Calibri" w:eastAsia="宋体"/>
      <w:sz w:val="21"/>
      <w:szCs w:val="22"/>
      <w:lang w:val="en-US" w:eastAsia="zh-CN" w:bidi="ar-SA"/>
    </w:rPr>
  </w:style>
  <w:style w:type="paragraph" w:customStyle="1" w:styleId="566">
    <w:name w:val="标题 3_4"/>
    <w:basedOn w:val="1"/>
    <w:link w:val="567"/>
    <w:qFormat/>
    <w:uiPriority w:val="0"/>
    <w:rPr>
      <w:rFonts w:ascii="Calibri" w:hAnsi="Calibri"/>
      <w:szCs w:val="22"/>
    </w:rPr>
  </w:style>
  <w:style w:type="character" w:customStyle="1" w:styleId="567">
    <w:name w:val="标题 3 字符_4"/>
    <w:link w:val="566"/>
    <w:qFormat/>
    <w:uiPriority w:val="0"/>
    <w:rPr>
      <w:rFonts w:ascii="Calibri" w:hAnsi="Calibri" w:eastAsia="宋体"/>
      <w:sz w:val="21"/>
      <w:szCs w:val="22"/>
      <w:lang w:val="en-US" w:eastAsia="zh-CN" w:bidi="ar-SA"/>
    </w:rPr>
  </w:style>
  <w:style w:type="paragraph" w:customStyle="1" w:styleId="568">
    <w:name w:val="标题 3_5"/>
    <w:basedOn w:val="1"/>
    <w:link w:val="569"/>
    <w:qFormat/>
    <w:uiPriority w:val="0"/>
    <w:rPr>
      <w:rFonts w:ascii="Calibri" w:hAnsi="Calibri"/>
      <w:szCs w:val="22"/>
    </w:rPr>
  </w:style>
  <w:style w:type="character" w:customStyle="1" w:styleId="569">
    <w:name w:val="标题 3 Char_1"/>
    <w:link w:val="568"/>
    <w:semiHidden/>
    <w:qFormat/>
    <w:uiPriority w:val="0"/>
    <w:rPr>
      <w:rFonts w:ascii="Calibri" w:hAnsi="Calibri" w:eastAsia="宋体"/>
      <w:sz w:val="21"/>
      <w:szCs w:val="22"/>
      <w:lang w:val="en-US" w:eastAsia="zh-CN" w:bidi="ar-SA"/>
    </w:rPr>
  </w:style>
  <w:style w:type="paragraph" w:customStyle="1" w:styleId="570">
    <w:name w:val="GW-正文"/>
    <w:basedOn w:val="1"/>
    <w:link w:val="571"/>
    <w:qFormat/>
    <w:uiPriority w:val="0"/>
    <w:rPr>
      <w:rFonts w:ascii="Calibri" w:hAnsi="Calibri"/>
      <w:szCs w:val="22"/>
    </w:rPr>
  </w:style>
  <w:style w:type="character" w:customStyle="1" w:styleId="571">
    <w:name w:val="GW-正文 Char"/>
    <w:link w:val="570"/>
    <w:qFormat/>
    <w:uiPriority w:val="0"/>
    <w:rPr>
      <w:rFonts w:ascii="Calibri" w:hAnsi="Calibri" w:eastAsia="宋体"/>
      <w:sz w:val="21"/>
      <w:szCs w:val="22"/>
      <w:lang w:val="en-US" w:eastAsia="zh-CN" w:bidi="ar-SA"/>
    </w:rPr>
  </w:style>
  <w:style w:type="paragraph" w:customStyle="1" w:styleId="572">
    <w:name w:val="GW-正文_0"/>
    <w:basedOn w:val="1"/>
    <w:link w:val="573"/>
    <w:qFormat/>
    <w:uiPriority w:val="0"/>
    <w:rPr>
      <w:rFonts w:ascii="Calibri" w:hAnsi="Calibri"/>
      <w:szCs w:val="22"/>
    </w:rPr>
  </w:style>
  <w:style w:type="character" w:customStyle="1" w:styleId="573">
    <w:name w:val="GW-正文 Char_0"/>
    <w:link w:val="572"/>
    <w:qFormat/>
    <w:uiPriority w:val="0"/>
    <w:rPr>
      <w:rFonts w:ascii="Calibri" w:hAnsi="Calibri" w:eastAsia="宋体"/>
      <w:sz w:val="21"/>
      <w:szCs w:val="22"/>
      <w:lang w:val="en-US" w:eastAsia="zh-CN" w:bidi="ar-SA"/>
    </w:rPr>
  </w:style>
  <w:style w:type="paragraph" w:customStyle="1" w:styleId="574">
    <w:name w:val="样式 标题 3 + (中文) 黑体 小四 非加粗 段前: 7.8 磅 段后: 0 磅 行距: 固定值 20 磅_0"/>
    <w:basedOn w:val="558"/>
    <w:qFormat/>
    <w:uiPriority w:val="0"/>
    <w:pPr>
      <w:keepNext/>
      <w:keepLines/>
      <w:spacing w:line="400" w:lineRule="exact"/>
      <w:outlineLvl w:val="2"/>
    </w:pPr>
    <w:rPr>
      <w:rFonts w:ascii="Times New Roman" w:hAnsi="Times New Roman" w:eastAsia="黑体"/>
      <w:sz w:val="24"/>
      <w:szCs w:val="20"/>
    </w:rPr>
  </w:style>
  <w:style w:type="paragraph" w:customStyle="1" w:styleId="575">
    <w:name w:val="样式 标题 3 + (中文) 黑体 小四 非加粗 段前: 7.8 磅 段后: 0 磅 行距: 固定值 20 磅_1"/>
    <w:basedOn w:val="560"/>
    <w:qFormat/>
    <w:uiPriority w:val="0"/>
    <w:pPr>
      <w:keepNext/>
      <w:keepLines/>
      <w:spacing w:line="400" w:lineRule="exact"/>
      <w:outlineLvl w:val="2"/>
    </w:pPr>
    <w:rPr>
      <w:rFonts w:ascii="Times New Roman" w:hAnsi="Times New Roman" w:eastAsia="黑体"/>
      <w:sz w:val="24"/>
      <w:szCs w:val="20"/>
    </w:rPr>
  </w:style>
  <w:style w:type="paragraph" w:customStyle="1" w:styleId="576">
    <w:name w:val="样式 标题 3 + (中文) 黑体 小四 非加粗 段前: 7.8 磅 段后: 0 磅 行距: 固定值 20 磅_0_0"/>
    <w:basedOn w:val="451"/>
    <w:qFormat/>
    <w:uiPriority w:val="0"/>
    <w:pPr>
      <w:spacing w:before="0" w:after="0" w:line="400" w:lineRule="exact"/>
    </w:pPr>
    <w:rPr>
      <w:rFonts w:eastAsia="黑体"/>
      <w:b w:val="0"/>
      <w:bCs w:val="0"/>
      <w:sz w:val="24"/>
      <w:szCs w:val="20"/>
    </w:rPr>
  </w:style>
  <w:style w:type="paragraph" w:customStyle="1" w:styleId="577">
    <w:name w:val="样式 标题 3 + (中文) 黑体 小四 非加粗 段前: 7.8 磅 段后: 0 磅 行距: 固定值 20 磅_2"/>
    <w:basedOn w:val="562"/>
    <w:qFormat/>
    <w:uiPriority w:val="0"/>
    <w:pPr>
      <w:keepNext/>
      <w:keepLines/>
      <w:spacing w:line="400" w:lineRule="exact"/>
      <w:outlineLvl w:val="2"/>
    </w:pPr>
    <w:rPr>
      <w:rFonts w:ascii="Times New Roman" w:hAnsi="Times New Roman" w:eastAsia="黑体"/>
      <w:sz w:val="24"/>
      <w:szCs w:val="20"/>
    </w:rPr>
  </w:style>
  <w:style w:type="paragraph" w:customStyle="1" w:styleId="578">
    <w:name w:val="样式 标题 3 + (中文) 黑体 小四 非加粗 段前: 7.8 磅 段后: 0 磅 行距: 固定值 20 磅_3"/>
    <w:basedOn w:val="564"/>
    <w:qFormat/>
    <w:uiPriority w:val="0"/>
    <w:pPr>
      <w:keepNext/>
      <w:keepLines/>
      <w:spacing w:line="400" w:lineRule="exact"/>
      <w:outlineLvl w:val="2"/>
    </w:pPr>
    <w:rPr>
      <w:rFonts w:ascii="Times New Roman" w:hAnsi="Times New Roman" w:eastAsia="黑体"/>
      <w:sz w:val="24"/>
      <w:szCs w:val="20"/>
    </w:rPr>
  </w:style>
  <w:style w:type="paragraph" w:customStyle="1" w:styleId="579">
    <w:name w:val="样式 标题 3 + (中文) 黑体 小四 非加粗 段前: 7.8 磅 段后: 0 磅 行距: 固定值 20 磅_4"/>
    <w:basedOn w:val="566"/>
    <w:qFormat/>
    <w:uiPriority w:val="0"/>
    <w:pPr>
      <w:keepNext/>
      <w:keepLines/>
      <w:spacing w:line="400" w:lineRule="exact"/>
      <w:outlineLvl w:val="2"/>
    </w:pPr>
    <w:rPr>
      <w:rFonts w:ascii="Times New Roman" w:hAnsi="Times New Roman" w:eastAsia="黑体"/>
      <w:sz w:val="24"/>
      <w:szCs w:val="20"/>
    </w:rPr>
  </w:style>
  <w:style w:type="paragraph" w:customStyle="1" w:styleId="580">
    <w:name w:val="样式 标题 2 + Times New Roman 四号 非加粗 段前: 5 磅 段后: 0 磅 行距: 固定值 20..._1_0"/>
    <w:basedOn w:val="483"/>
    <w:qFormat/>
    <w:uiPriority w:val="0"/>
    <w:pPr>
      <w:keepNext/>
      <w:keepLines/>
      <w:spacing w:before="100" w:line="400" w:lineRule="exact"/>
      <w:outlineLvl w:val="1"/>
    </w:pPr>
    <w:rPr>
      <w:rFonts w:eastAsia="黑体" w:cs="宋体"/>
      <w:bCs/>
      <w:sz w:val="28"/>
      <w:szCs w:val="20"/>
    </w:rPr>
  </w:style>
  <w:style w:type="paragraph" w:customStyle="1" w:styleId="581">
    <w:name w:val="样式 标题 3 + (中文) 黑体 小四 非加粗 段前: 7.8 磅 段后: 0 磅 行距: 固定值 20 磅_5"/>
    <w:basedOn w:val="568"/>
    <w:qFormat/>
    <w:uiPriority w:val="0"/>
    <w:pPr>
      <w:keepNext/>
      <w:keepLines/>
      <w:spacing w:line="400" w:lineRule="exact"/>
      <w:outlineLvl w:val="2"/>
    </w:pPr>
    <w:rPr>
      <w:rFonts w:ascii="Times New Roman" w:hAnsi="Times New Roman" w:eastAsia="黑体"/>
      <w:bCs/>
      <w:sz w:val="24"/>
      <w:szCs w:val="20"/>
    </w:rPr>
  </w:style>
  <w:style w:type="paragraph" w:customStyle="1" w:styleId="582">
    <w:name w:val="样式 标题 2 + Times New Roman 四号 非加粗 段前: 5 磅 段后: 0 磅 行距: 固定值 20..._0"/>
    <w:basedOn w:val="545"/>
    <w:qFormat/>
    <w:uiPriority w:val="0"/>
    <w:pPr>
      <w:keepNext/>
      <w:keepLines/>
      <w:spacing w:before="100" w:line="400" w:lineRule="exact"/>
      <w:outlineLvl w:val="1"/>
    </w:pPr>
    <w:rPr>
      <w:rFonts w:ascii="Times New Roman" w:hAnsi="Times New Roman" w:eastAsia="黑体" w:cs="宋体"/>
      <w:sz w:val="28"/>
      <w:szCs w:val="20"/>
    </w:rPr>
  </w:style>
  <w:style w:type="paragraph" w:customStyle="1" w:styleId="583">
    <w:name w:val="样式 标题 2 + Times New Roman 四号 非加粗 段前: 5 磅 段后: 0 磅 行距: 固定值 20..._1"/>
    <w:basedOn w:val="373"/>
    <w:qFormat/>
    <w:uiPriority w:val="0"/>
    <w:pPr>
      <w:spacing w:before="100" w:after="0" w:line="400" w:lineRule="exact"/>
    </w:pPr>
    <w:rPr>
      <w:rFonts w:ascii="Times New Roman" w:hAnsi="Times New Roman" w:eastAsia="黑体" w:cs="宋体"/>
      <w:b w:val="0"/>
      <w:sz w:val="28"/>
      <w:szCs w:val="20"/>
    </w:rPr>
  </w:style>
  <w:style w:type="character" w:customStyle="1" w:styleId="584">
    <w:name w:val=" Char Char17"/>
    <w:link w:val="1"/>
    <w:qFormat/>
    <w:uiPriority w:val="0"/>
    <w:rPr>
      <w:rFonts w:ascii="Cambria" w:hAnsi="Cambria" w:eastAsia="宋体"/>
      <w:b/>
      <w:bCs/>
      <w:sz w:val="32"/>
      <w:szCs w:val="32"/>
      <w:lang w:val="en-US" w:eastAsia="zh-CN" w:bidi="ar-SA"/>
    </w:rPr>
  </w:style>
  <w:style w:type="character" w:customStyle="1" w:styleId="585">
    <w:name w:val="+正文 Char1"/>
    <w:link w:val="1"/>
    <w:qFormat/>
    <w:uiPriority w:val="0"/>
    <w:rPr>
      <w:rFonts w:eastAsia="宋体"/>
      <w:sz w:val="24"/>
      <w:szCs w:val="28"/>
      <w:lang w:val="en-US" w:eastAsia="zh-CN" w:bidi="ar-SA"/>
    </w:rPr>
  </w:style>
  <w:style w:type="paragraph" w:customStyle="1" w:styleId="586">
    <w:name w:val="+正文 Char Char7"/>
    <w:basedOn w:val="361"/>
    <w:qFormat/>
    <w:uiPriority w:val="0"/>
    <w:pPr>
      <w:spacing w:line="360" w:lineRule="auto"/>
      <w:ind w:firstLine="200"/>
    </w:pPr>
    <w:rPr>
      <w:sz w:val="24"/>
    </w:rPr>
  </w:style>
  <w:style w:type="character" w:customStyle="1" w:styleId="587">
    <w:name w:val="fontstyle01"/>
    <w:link w:val="1"/>
    <w:qFormat/>
    <w:uiPriority w:val="0"/>
    <w:rPr>
      <w:rFonts w:ascii="Times New Roman" w:hAnsi="Times New Roman" w:cs="Times New Roman"/>
      <w:color w:val="000000"/>
      <w:sz w:val="22"/>
      <w:szCs w:val="22"/>
    </w:rPr>
  </w:style>
  <w:style w:type="character" w:customStyle="1" w:styleId="588">
    <w:name w:val="fontstyle11"/>
    <w:link w:val="1"/>
    <w:qFormat/>
    <w:uiPriority w:val="0"/>
    <w:rPr>
      <w:rFonts w:hint="eastAsia" w:ascii="宋体" w:hAnsi="宋体" w:eastAsia="宋体"/>
      <w:color w:val="000000"/>
      <w:sz w:val="22"/>
      <w:szCs w:val="22"/>
    </w:rPr>
  </w:style>
  <w:style w:type="character" w:customStyle="1" w:styleId="589">
    <w:name w:val="fontstyle31"/>
    <w:link w:val="1"/>
    <w:qFormat/>
    <w:uiPriority w:val="0"/>
    <w:rPr>
      <w:rFonts w:ascii="Times New Roman" w:hAnsi="Times New Roman" w:cs="Times New Roman"/>
      <w:color w:val="000000"/>
      <w:sz w:val="22"/>
      <w:szCs w:val="22"/>
    </w:rPr>
  </w:style>
  <w:style w:type="character" w:customStyle="1" w:styleId="590">
    <w:name w:val="font31"/>
    <w:basedOn w:val="208"/>
    <w:link w:val="1"/>
    <w:qFormat/>
    <w:uiPriority w:val="0"/>
    <w:rPr>
      <w:rFonts w:ascii="Times New Roman" w:hAnsi="Times New Roman" w:cs="Times New Roman"/>
      <w:color w:val="000000"/>
      <w:sz w:val="24"/>
      <w:szCs w:val="24"/>
      <w:u w:val="none"/>
    </w:rPr>
  </w:style>
  <w:style w:type="character" w:customStyle="1" w:styleId="591">
    <w:name w:val="font41"/>
    <w:basedOn w:val="208"/>
    <w:link w:val="1"/>
    <w:qFormat/>
    <w:uiPriority w:val="0"/>
    <w:rPr>
      <w:rFonts w:ascii="方正仿宋_GBK" w:hAnsi="方正仿宋_GBK" w:eastAsia="方正仿宋_GBK" w:cs="方正仿宋_GBK"/>
      <w:color w:val="000000"/>
      <w:sz w:val="24"/>
      <w:szCs w:val="24"/>
      <w:u w:val="none"/>
    </w:rPr>
  </w:style>
  <w:style w:type="character" w:customStyle="1" w:styleId="592">
    <w:name w:val="font51"/>
    <w:basedOn w:val="208"/>
    <w:link w:val="1"/>
    <w:qFormat/>
    <w:uiPriority w:val="0"/>
    <w:rPr>
      <w:rFonts w:ascii="方正仿宋_GBK" w:hAnsi="方正仿宋_GBK" w:eastAsia="方正仿宋_GBK" w:cs="方正仿宋_GBK"/>
      <w:b/>
      <w:bCs/>
      <w:color w:val="000000"/>
      <w:sz w:val="24"/>
      <w:szCs w:val="24"/>
      <w:u w:val="none"/>
    </w:rPr>
  </w:style>
  <w:style w:type="character" w:customStyle="1" w:styleId="593">
    <w:name w:val="font21"/>
    <w:basedOn w:val="35"/>
    <w:qFormat/>
    <w:uiPriority w:val="0"/>
    <w:rPr>
      <w:rFonts w:hint="default" w:ascii="Times New Roman" w:hAnsi="Times New Roman" w:cs="Times New Roman"/>
      <w:color w:val="000000"/>
      <w:sz w:val="24"/>
      <w:szCs w:val="24"/>
      <w:u w:val="none"/>
    </w:rPr>
  </w:style>
  <w:style w:type="paragraph" w:customStyle="1" w:styleId="594">
    <w:name w:val="Table Text"/>
    <w:basedOn w:val="1"/>
    <w:semiHidden/>
    <w:qFormat/>
    <w:uiPriority w:val="0"/>
    <w:rPr>
      <w:rFonts w:ascii="Arial" w:hAnsi="Arial" w:eastAsia="Arial" w:cs="Arial"/>
      <w:sz w:val="21"/>
      <w:szCs w:val="21"/>
      <w:lang w:val="en-US" w:eastAsia="en-US" w:bidi="ar-SA"/>
    </w:rPr>
  </w:style>
  <w:style w:type="character" w:customStyle="1" w:styleId="595">
    <w:name w:val="hover5"/>
    <w:basedOn w:val="35"/>
    <w:qFormat/>
    <w:uiPriority w:val="0"/>
    <w:rPr>
      <w:shd w:val="clear" w:fill="EEEEE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Template>
  <Company>Micro</Company>
  <Pages>92</Pages>
  <Words>58791</Words>
  <Characters>62631</Characters>
  <Lines>0</Lines>
  <Paragraphs>0</Paragraphs>
  <TotalTime>122</TotalTime>
  <ScaleCrop>false</ScaleCrop>
  <LinksUpToDate>false</LinksUpToDate>
  <CharactersWithSpaces>66639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2023-03-16T10:16:00Z</dcterms:created>
  <dc:creator>赵国</dc:creator>
  <cp:lastModifiedBy>一念净心</cp:lastModifiedBy>
  <dcterms:modified xsi:type="dcterms:W3CDTF">2024-10-22T09:11:59Z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3CAD8D48566F47B989CF354E404DCDFA_13</vt:lpwstr>
  </property>
</Properties>
</file>