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8"/>
        <w:ind w:firstLine="0"/>
        <w:rPr>
          <w:rFonts w:hint="eastAsia" w:eastAsia="黑体"/>
          <w:b/>
          <w:bCs/>
          <w:sz w:val="84"/>
        </w:rPr>
      </w:pPr>
      <w:r>
        <w:rPr>
          <w:rFonts w:hint="eastAsia" w:eastAsia="黑体"/>
          <w:b/>
          <w:bCs/>
          <w:sz w:val="84"/>
        </w:rPr>
      </w:r>
      <w:r/>
    </w:p>
    <w:p>
      <w:pPr>
        <w:pStyle w:val="1058"/>
        <w:ind w:firstLine="0"/>
        <w:jc w:val="center"/>
        <w:rPr>
          <w:rFonts w:hint="eastAsia" w:eastAsia="黑体"/>
          <w:b/>
          <w:bCs/>
          <w:sz w:val="84"/>
        </w:rPr>
      </w:pPr>
      <w:r>
        <w:rPr>
          <w:rFonts w:hint="eastAsia" w:eastAsia="黑体"/>
          <w:b/>
          <w:bCs/>
          <w:sz w:val="84"/>
        </w:rPr>
        <w:t xml:space="preserve">招　标　文　件</w:t>
      </w:r>
      <w:r/>
    </w:p>
    <w:p>
      <w:pPr>
        <w:pStyle w:val="1058"/>
        <w:ind w:firstLine="0"/>
        <w:jc w:val="center"/>
        <w:rPr>
          <w:rFonts w:hint="eastAsia"/>
          <w:b/>
          <w:bCs/>
          <w:sz w:val="32"/>
        </w:rPr>
      </w:pPr>
      <w:r>
        <w:rPr>
          <w:rFonts w:hint="eastAsia"/>
          <w:b/>
          <w:bCs/>
          <w:sz w:val="32"/>
        </w:rPr>
        <w:t xml:space="preserve">项目名称：</w:t>
      </w:r>
      <w:r>
        <w:rPr>
          <w:rFonts w:hint="eastAsia"/>
          <w:b/>
          <w:bCs/>
          <w:sz w:val="32"/>
        </w:rPr>
        <w:t xml:space="preserve">江苏</w:t>
      </w:r>
      <w:r>
        <w:rPr>
          <w:b/>
          <w:bCs/>
          <w:sz w:val="32"/>
        </w:rPr>
        <w:t xml:space="preserve">省人民医院辅助生殖技术管理系统</w:t>
      </w:r>
      <w:r>
        <w:rPr>
          <w:rFonts w:hint="eastAsia"/>
          <w:b/>
          <w:bCs/>
          <w:sz w:val="32"/>
        </w:rPr>
      </w:r>
      <w:r/>
    </w:p>
    <w:p>
      <w:pPr>
        <w:pStyle w:val="971"/>
        <w:jc w:val="center"/>
        <w:rPr>
          <w:b/>
          <w:sz w:val="30"/>
          <w:szCs w:val="30"/>
        </w:rPr>
      </w:pPr>
      <w:r>
        <w:rPr>
          <w:rFonts w:hint="eastAsia"/>
          <w:b/>
          <w:bCs/>
          <w:sz w:val="32"/>
        </w:rPr>
        <w:t xml:space="preserve">项目编号：JSZC-320000-</w:t>
      </w:r>
      <w:r>
        <w:rPr>
          <w:rFonts w:hint="eastAsia"/>
          <w:b/>
          <w:bCs/>
          <w:sz w:val="32"/>
        </w:rPr>
        <w:t xml:space="preserve">SCZX-G2025-0358</w:t>
      </w:r>
      <w:r>
        <w:rPr>
          <w:b/>
          <w:sz w:val="30"/>
          <w:szCs w:val="30"/>
        </w:rPr>
      </w:r>
      <w:r/>
    </w:p>
    <w:p>
      <w:pPr>
        <w:pStyle w:val="971"/>
        <w:ind w:left="2811" w:hanging="2811"/>
        <w:jc w:val="center"/>
        <w:rPr>
          <w:rFonts w:hint="eastAsia"/>
          <w:b/>
          <w:color w:val="ff0000"/>
          <w:sz w:val="28"/>
          <w:szCs w:val="28"/>
        </w:rPr>
      </w:pPr>
      <w:r>
        <w:rPr>
          <w:rFonts w:hint="eastAsia"/>
          <w:b/>
          <w:color w:val="ff0000"/>
          <w:sz w:val="28"/>
          <w:szCs w:val="28"/>
        </w:rPr>
      </w:r>
      <w:r/>
    </w:p>
    <w:p>
      <w:pPr>
        <w:pStyle w:val="971"/>
        <w:ind w:left="2811" w:hanging="2811"/>
        <w:jc w:val="center"/>
        <w:rPr>
          <w:rFonts w:hint="eastAsia"/>
          <w:b/>
          <w:color w:val="ff0000"/>
          <w:sz w:val="28"/>
          <w:szCs w:val="28"/>
        </w:rPr>
      </w:pPr>
      <w:r>
        <w:rPr>
          <w:rFonts w:hint="eastAsia"/>
          <w:b/>
          <w:color w:val="ff0000"/>
          <w:sz w:val="28"/>
          <w:szCs w:val="28"/>
        </w:rPr>
      </w:r>
      <w:r/>
    </w:p>
    <w:p>
      <w:pPr>
        <w:pStyle w:val="1058"/>
        <w:ind w:firstLine="0"/>
        <w:spacing w:before="0" w:after="0"/>
        <w:rPr>
          <w:rFonts w:hint="eastAsia" w:ascii="宋体" w:hAnsi="宋体"/>
        </w:rPr>
      </w:pPr>
      <w:r>
        <w:rPr>
          <w:rFonts w:hint="eastAsia" w:ascii="宋体" w:hAnsi="宋体"/>
        </w:rPr>
      </w:r>
      <w:r/>
    </w:p>
    <w:p>
      <w:pPr>
        <w:pStyle w:val="1058"/>
        <w:ind w:firstLine="0"/>
        <w:spacing w:before="0" w:after="0"/>
        <w:rPr>
          <w:rFonts w:hint="eastAsia" w:ascii="宋体" w:hAnsi="宋体"/>
        </w:rPr>
      </w:pPr>
      <w:r>
        <w:rPr>
          <w:rFonts w:hint="eastAsia" w:ascii="宋体" w:hAnsi="宋体"/>
        </w:rPr>
      </w:r>
      <w:r/>
    </w:p>
    <w:p>
      <w:pPr>
        <w:pStyle w:val="1058"/>
        <w:ind w:firstLine="0"/>
        <w:spacing w:before="0" w:after="0"/>
        <w:rPr>
          <w:rFonts w:hint="eastAsia" w:ascii="宋体" w:hAnsi="宋体"/>
        </w:rPr>
      </w:pPr>
      <w:r>
        <w:rPr>
          <w:rFonts w:hint="eastAsia" w:ascii="宋体" w:hAnsi="宋体"/>
        </w:rPr>
      </w:r>
      <w:r/>
    </w:p>
    <w:p>
      <w:pPr>
        <w:pStyle w:val="1058"/>
        <w:ind w:firstLine="0"/>
        <w:spacing w:before="0" w:after="0"/>
        <w:rPr>
          <w:rFonts w:hint="eastAsia" w:ascii="宋体" w:hAnsi="宋体"/>
        </w:rPr>
      </w:pPr>
      <w:r>
        <w:rPr>
          <w:rFonts w:hint="eastAsia" w:ascii="宋体" w:hAnsi="宋体"/>
        </w:rPr>
      </w:r>
      <w:r/>
    </w:p>
    <w:p>
      <w:pPr>
        <w:pStyle w:val="1058"/>
        <w:ind w:firstLine="0"/>
        <w:spacing w:before="0" w:after="0"/>
        <w:rPr>
          <w:rFonts w:hint="eastAsia" w:ascii="宋体" w:hAnsi="宋体"/>
        </w:rPr>
      </w:pPr>
      <w:r>
        <w:rPr>
          <w:rFonts w:hint="eastAsia" w:ascii="宋体" w:hAnsi="宋体"/>
        </w:rPr>
      </w:r>
      <w:r/>
    </w:p>
    <w:p>
      <w:pPr>
        <w:pStyle w:val="1058"/>
        <w:ind w:firstLine="0"/>
        <w:spacing w:before="0" w:after="0"/>
        <w:rPr>
          <w:rFonts w:hint="eastAsia" w:ascii="宋体" w:hAnsi="宋体"/>
        </w:rPr>
      </w:pPr>
      <w:r>
        <w:rPr>
          <w:rFonts w:hint="eastAsia" w:ascii="宋体" w:hAnsi="宋体"/>
        </w:rPr>
      </w:r>
      <w:r/>
    </w:p>
    <w:p>
      <w:pPr>
        <w:pStyle w:val="1058"/>
        <w:ind w:firstLine="0"/>
        <w:spacing w:before="0" w:after="0"/>
        <w:rPr>
          <w:rFonts w:hint="eastAsia" w:ascii="宋体" w:hAnsi="宋体"/>
        </w:rPr>
      </w:pPr>
      <w:r>
        <w:rPr>
          <w:rFonts w:hint="eastAsia" w:ascii="宋体" w:hAnsi="宋体"/>
        </w:rPr>
      </w:r>
      <w:r/>
    </w:p>
    <w:p>
      <w:pPr>
        <w:pStyle w:val="1058"/>
        <w:ind w:firstLine="0"/>
        <w:jc w:val="center"/>
        <w:rPr>
          <w:rFonts w:hint="eastAsia"/>
          <w:b/>
          <w:bCs/>
          <w:sz w:val="32"/>
        </w:rPr>
      </w:pPr>
      <w:r>
        <w:rPr>
          <w:rFonts w:hint="eastAsia"/>
          <w:b/>
          <w:bCs/>
          <w:sz w:val="32"/>
        </w:rPr>
        <w:t xml:space="preserve">江苏省政府采购中心</w:t>
      </w:r>
      <w:r/>
    </w:p>
    <w:p>
      <w:pPr>
        <w:pStyle w:val="1058"/>
        <w:ind w:firstLine="0"/>
        <w:jc w:val="center"/>
        <w:rPr>
          <w:rFonts w:hint="eastAsia"/>
          <w:b/>
          <w:bCs/>
          <w:sz w:val="32"/>
        </w:rPr>
      </w:pPr>
      <w:r>
        <w:rPr>
          <w:rFonts w:hint="eastAsia"/>
          <w:b/>
          <w:bCs/>
          <w:sz w:val="32"/>
        </w:rPr>
        <w:t xml:space="preserve">2025</w:t>
      </w:r>
      <w:r>
        <w:rPr>
          <w:rFonts w:hint="eastAsia"/>
          <w:b/>
          <w:bCs/>
          <w:sz w:val="32"/>
        </w:rPr>
        <w:t xml:space="preserve">年</w:t>
      </w:r>
      <w:r>
        <w:rPr>
          <w:rFonts w:hint="eastAsia"/>
          <w:b/>
          <w:bCs/>
          <w:sz w:val="32"/>
        </w:rPr>
        <w:t xml:space="preserve">9月</w:t>
      </w:r>
      <w:r/>
    </w:p>
    <w:p>
      <w:pPr>
        <w:pStyle w:val="1058"/>
        <w:ind w:firstLine="0"/>
        <w:rPr>
          <w:rFonts w:hint="eastAsia"/>
          <w:u w:val="single"/>
        </w:rPr>
      </w:pPr>
      <w:r>
        <w:rPr>
          <w:rFonts w:hint="eastAsia"/>
        </w:rPr>
        <w:t xml:space="preserve">                        </w:t>
      </w:r>
      <w:r>
        <w:rPr>
          <w:rFonts w:hint="eastAsia"/>
          <w:u w:val="single"/>
        </w:rPr>
      </w:r>
      <w:r/>
    </w:p>
    <w:p>
      <w:pPr>
        <w:pStyle w:val="1058"/>
        <w:ind w:firstLine="0"/>
        <w:jc w:val="center"/>
        <w:rPr>
          <w:rFonts w:hint="eastAsia"/>
        </w:rPr>
      </w:pPr>
      <w:r>
        <w:rPr>
          <w:rFonts w:hint="eastAsia"/>
        </w:rPr>
      </w:r>
      <w:r/>
    </w:p>
    <w:p>
      <w:pPr>
        <w:pStyle w:val="971"/>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rPr>
        <w:t xml:space="preserve"> </w:t>
      </w:r>
      <w:r>
        <w:rPr>
          <w:rFonts w:hint="eastAsia" w:ascii="黑体" w:hAnsi="Arial" w:eastAsia="黑体"/>
          <w:b/>
          <w:sz w:val="44"/>
        </w:rPr>
        <w:t xml:space="preserve">总  目  录</w:t>
      </w:r>
      <w:r/>
    </w:p>
    <w:p>
      <w:pPr>
        <w:pStyle w:val="971"/>
        <w:spacing w:line="480" w:lineRule="auto"/>
        <w:rPr>
          <w:rFonts w:hint="eastAsia" w:ascii="仿宋_GB2312" w:hAnsi="Arial" w:eastAsia="仿宋_GB2312"/>
          <w:b/>
          <w:sz w:val="28"/>
        </w:rPr>
      </w:pPr>
      <w:r>
        <w:rPr>
          <w:rFonts w:hint="eastAsia" w:ascii="仿宋_GB2312" w:hAnsi="Arial" w:eastAsia="仿宋_GB2312"/>
          <w:b/>
          <w:sz w:val="28"/>
        </w:rPr>
      </w:r>
      <w:r/>
    </w:p>
    <w:p>
      <w:pPr>
        <w:pStyle w:val="97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 3</w:t>
      </w:r>
      <w:r>
        <w:rPr>
          <w:rFonts w:hint="eastAsia" w:ascii="黑体" w:hAnsi="Showcard Gothic" w:eastAsia="黑体"/>
          <w:sz w:val="32"/>
        </w:rPr>
      </w:r>
      <w:r/>
    </w:p>
    <w:p>
      <w:pPr>
        <w:pStyle w:val="9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 6</w:t>
      </w:r>
      <w:r>
        <w:rPr>
          <w:rFonts w:hint="eastAsia" w:ascii="黑体" w:hAnsi="Showcard Gothic" w:eastAsia="黑体"/>
          <w:sz w:val="36"/>
        </w:rPr>
      </w:r>
      <w:r/>
    </w:p>
    <w:p>
      <w:pPr>
        <w:pStyle w:val="9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15</w:t>
      </w:r>
      <w:r>
        <w:rPr>
          <w:rFonts w:hint="eastAsia" w:ascii="黑体" w:hAnsi="Showcard Gothic" w:eastAsia="黑体"/>
          <w:sz w:val="36"/>
        </w:rPr>
      </w:r>
      <w:r/>
    </w:p>
    <w:p>
      <w:pPr>
        <w:pStyle w:val="9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18</w:t>
      </w:r>
      <w:r>
        <w:rPr>
          <w:rFonts w:hint="eastAsia" w:ascii="黑体" w:hAnsi="Showcard Gothic" w:eastAsia="黑体"/>
          <w:sz w:val="36"/>
        </w:rPr>
      </w:r>
      <w:r/>
    </w:p>
    <w:p>
      <w:pPr>
        <w:pStyle w:val="9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44</w:t>
      </w:r>
      <w:r>
        <w:rPr>
          <w:rFonts w:hint="eastAsia" w:ascii="黑体" w:hAnsi="Showcard Gothic" w:eastAsia="黑体"/>
          <w:sz w:val="36"/>
        </w:rPr>
      </w:r>
      <w:r/>
    </w:p>
    <w:p>
      <w:pPr>
        <w:pStyle w:val="97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50</w:t>
      </w:r>
      <w:r>
        <w:rPr>
          <w:rFonts w:hint="eastAsia" w:ascii="黑体" w:hAnsi="Showcard Gothic" w:eastAsia="黑体"/>
          <w:sz w:val="36"/>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2"/>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71"/>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江苏省人民医院</w:t>
      </w:r>
      <w:r>
        <w:rPr>
          <w:rFonts w:hint="eastAsia" w:ascii="宋体" w:hAnsi="宋体"/>
          <w:sz w:val="24"/>
          <w:szCs w:val="24"/>
        </w:rPr>
        <w:t xml:space="preserve">的委托，江苏省政府采购中心就</w:t>
      </w:r>
      <w:r>
        <w:rPr>
          <w:rFonts w:hint="eastAsia" w:ascii="宋体" w:hAnsi="宋体"/>
          <w:sz w:val="24"/>
          <w:szCs w:val="24"/>
        </w:rPr>
        <w:t xml:space="preserve">江苏省人民医院辅助生殖技术管理系统</w:t>
      </w:r>
      <w:r>
        <w:rPr>
          <w:rFonts w:hint="eastAsia" w:ascii="宋体" w:hAnsi="宋体"/>
          <w:sz w:val="24"/>
          <w:szCs w:val="24"/>
        </w:rPr>
        <w:t xml:space="preserve">(</w:t>
      </w:r>
      <w:r>
        <w:rPr>
          <w:rFonts w:hint="eastAsia" w:ascii="宋体" w:hAnsi="宋体"/>
          <w:sz w:val="24"/>
          <w:szCs w:val="24"/>
        </w:rPr>
        <w:t xml:space="preserve">JSZC-320000-SCZX-G2025-0358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7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71"/>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江苏省人民医院辅助生殖技术管理系统</w:t>
      </w:r>
      <w:r>
        <w:rPr>
          <w:rFonts w:hint="eastAsia" w:ascii="宋体" w:hAnsi="宋体"/>
          <w:sz w:val="24"/>
          <w:szCs w:val="24"/>
          <w:u w:val="single"/>
        </w:rPr>
        <w:t xml:space="preserve"> </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10月</w:t>
      </w:r>
      <w:r>
        <w:rPr>
          <w:rFonts w:hint="eastAsia" w:ascii="宋体" w:hAnsi="宋体"/>
          <w:bCs/>
          <w:sz w:val="24"/>
          <w:szCs w:val="24"/>
          <w:u w:val="single"/>
        </w:rPr>
        <w:t xml:space="preserve">10日</w:t>
      </w:r>
      <w:r>
        <w:rPr>
          <w:rFonts w:hint="eastAsia" w:ascii="宋体" w:hAnsi="宋体"/>
          <w:bCs/>
          <w:sz w:val="24"/>
          <w:szCs w:val="24"/>
          <w:u w:val="single"/>
        </w:rPr>
        <w:t xml:space="preserve">14点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74"/>
        <w:ind w:firstLine="498"/>
        <w:spacing w:before="145" w:after="145" w:line="400" w:lineRule="exact"/>
      </w:pPr>
      <w:r/>
      <w:bookmarkStart w:id="6" w:name="_Toc28359079"/>
      <w:r/>
      <w:bookmarkStart w:id="7" w:name="_Toc28359002"/>
      <w:r/>
      <w:bookmarkStart w:id="8" w:name="_Toc38985263"/>
      <w:r/>
      <w:bookmarkStart w:id="9" w:name="_Toc35393790"/>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971"/>
        <w:ind w:firstLine="480"/>
        <w:spacing w:line="4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JSZC-320000-SCZX-G2025-0358</w:t>
      </w:r>
      <w:r>
        <w:rPr>
          <w:rFonts w:ascii="宋体" w:hAnsi="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江苏省人民医院辅助生殖技术管理系统</w:t>
      </w:r>
      <w:r>
        <w:rPr>
          <w:rFonts w:ascii="宋体" w:hAnsi="宋体"/>
          <w:sz w:val="24"/>
          <w:szCs w:val="24"/>
        </w:rPr>
      </w:r>
      <w:r/>
    </w:p>
    <w:p>
      <w:pPr>
        <w:pStyle w:val="971"/>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71"/>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971"/>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97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971"/>
              <w:jc w:val="center"/>
              <w:spacing w:line="400" w:lineRule="exact"/>
              <w:rPr>
                <w:rFonts w:ascii="宋体" w:hAnsi="宋体"/>
              </w:rPr>
            </w:pPr>
            <w:r>
              <w:rPr>
                <w:rFonts w:hint="eastAsia" w:ascii="宋体" w:hAnsi="宋体"/>
              </w:rPr>
              <w:t xml:space="preserve">180</w:t>
            </w:r>
            <w:r>
              <w:rPr>
                <w:rFonts w:ascii="宋体" w:hAnsi="宋体"/>
              </w:rPr>
            </w:r>
            <w:r/>
          </w:p>
        </w:tc>
      </w:tr>
    </w:tbl>
    <w:p>
      <w:pPr>
        <w:pStyle w:val="971"/>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71"/>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971"/>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971"/>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971"/>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971"/>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971"/>
              <w:jc w:val="center"/>
              <w:spacing w:line="400" w:lineRule="exact"/>
              <w:rPr>
                <w:rFonts w:ascii="宋体" w:hAnsi="宋体"/>
              </w:rPr>
            </w:pPr>
            <w:r>
              <w:rPr>
                <w:rFonts w:hint="eastAsia" w:ascii="宋体" w:hAnsi="宋体"/>
              </w:rPr>
              <w:t xml:space="preserve">180</w:t>
            </w:r>
            <w:r>
              <w:rPr>
                <w:rFonts w:ascii="宋体" w:hAnsi="宋体"/>
              </w:rPr>
            </w:r>
            <w:r/>
          </w:p>
        </w:tc>
      </w:tr>
    </w:tbl>
    <w:p>
      <w:pPr>
        <w:pStyle w:val="971"/>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随着生殖医学业务流程的不断更新及科</w:t>
      </w:r>
      <w:r>
        <w:rPr>
          <w:rFonts w:hint="eastAsia" w:ascii="宋体" w:hAnsi="宋体"/>
          <w:sz w:val="24"/>
          <w:szCs w:val="24"/>
        </w:rPr>
        <w:t xml:space="preserve">研需求的增长，对于生殖医学管理，系统的功能、模块、界面等提出了更高的要求和标准。辅助生殖专科诊疗从建档、门诊、检查、手术管理，实验室管理，医患护沟通等一系列工作流程，都存在不同系统来回切换使用的情况，操作繁琐且手工纸质记录繁复，容易有延迟错漏，缺失预警提醒、事后质控等等。为了能够更贴合辅助生殖专科日常业务处理，高效精细运作与管理，同时实现与院内数据平台的互联互通，科学规范监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71"/>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合同签订后6个月内完成</w:t>
      </w:r>
      <w:r>
        <w:rPr>
          <w:rFonts w:ascii="宋体" w:hAnsi="宋体"/>
          <w:sz w:val="24"/>
          <w:szCs w:val="24"/>
          <w:u w:val="single"/>
        </w:rPr>
      </w:r>
      <w:r/>
    </w:p>
    <w:p>
      <w:pPr>
        <w:pStyle w:val="974"/>
        <w:ind w:firstLine="498"/>
        <w:spacing w:before="145" w:after="145" w:line="400" w:lineRule="exact"/>
      </w:pPr>
      <w:r/>
      <w:bookmarkStart w:id="12" w:name="_Toc38985264"/>
      <w:r/>
      <w:bookmarkStart w:id="13" w:name="_Toc35393622"/>
      <w:r/>
      <w:bookmarkStart w:id="14" w:name="_Toc35393791"/>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pStyle w:val="971"/>
        <w:ind w:firstLine="480"/>
        <w:spacing w:line="400" w:lineRule="exact"/>
        <w:rPr>
          <w:rFonts w:hint="eastAsia" w:ascii="宋体" w:hAnsi="宋体"/>
          <w:sz w:val="24"/>
          <w:szCs w:val="24"/>
        </w:rPr>
      </w:pPr>
      <w:r/>
      <w:bookmarkStart w:id="17" w:name="_Toc35393623"/>
      <w:r/>
      <w:bookmarkStart w:id="18" w:name="_Toc35393792"/>
      <w:r/>
      <w:bookmarkStart w:id="19" w:name="_Toc28359081"/>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71"/>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71"/>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71"/>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71"/>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sz w:val="24"/>
          <w:szCs w:val="24"/>
        </w:rPr>
        <w:t xml:space="preserve">：无</w:t>
      </w:r>
      <w:r>
        <w:rPr>
          <w:rFonts w:ascii="宋体" w:hAnsi="宋体" w:cs="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971"/>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pStyle w:val="971"/>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971"/>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pStyle w:val="971"/>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971"/>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971"/>
              <w:jc w:val="center"/>
              <w:spacing w:line="400" w:lineRule="exact"/>
              <w:rPr>
                <w:rFonts w:ascii="宋体" w:hAnsi="宋体"/>
              </w:rPr>
            </w:pPr>
            <w:r>
              <w:rPr>
                <w:rFonts w:hint="eastAsia" w:ascii="宋体" w:hAnsi="宋体"/>
              </w:rPr>
              <w:t xml:space="preserve">/</w:t>
            </w:r>
            <w:r>
              <w:rPr>
                <w:rFonts w:ascii="宋体" w:hAnsi="宋体"/>
              </w:rPr>
            </w:r>
            <w:r/>
          </w:p>
        </w:tc>
      </w:tr>
    </w:tbl>
    <w:p>
      <w:pPr>
        <w:pStyle w:val="971"/>
        <w:ind w:firstLine="24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971"/>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pStyle w:val="971"/>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971"/>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971"/>
              <w:jc w:val="center"/>
              <w:spacing w:line="400" w:lineRule="exact"/>
              <w:rPr>
                <w:rFonts w:ascii="宋体" w:hAnsi="宋体"/>
              </w:rPr>
            </w:pPr>
            <w:r>
              <w:rPr>
                <w:rFonts w:hint="eastAsia" w:ascii="宋体" w:hAnsi="宋体"/>
              </w:rPr>
              <w:t xml:space="preserve">无</w:t>
            </w:r>
            <w:r>
              <w:rPr>
                <w:rFonts w:ascii="宋体" w:hAnsi="宋体"/>
              </w:rPr>
            </w:r>
            <w:r/>
          </w:p>
        </w:tc>
      </w:tr>
    </w:tbl>
    <w:p>
      <w:pPr>
        <w:pStyle w:val="971"/>
        <w:spacing w:line="400" w:lineRule="exact"/>
        <w:rPr>
          <w:rFonts w:ascii="宋体" w:hAnsi="宋体" w:cs="宋体"/>
          <w:color w:val="000000"/>
          <w:sz w:val="24"/>
          <w:szCs w:val="24"/>
        </w:rPr>
      </w:pPr>
      <w:r>
        <w:rPr>
          <w:rFonts w:ascii="宋体" w:hAnsi="宋体" w:cs="宋体"/>
          <w:color w:val="000000"/>
          <w:sz w:val="24"/>
          <w:szCs w:val="24"/>
        </w:rPr>
      </w:r>
      <w:r/>
    </w:p>
    <w:p>
      <w:pPr>
        <w:pStyle w:val="971"/>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71"/>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71"/>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74"/>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71"/>
        <w:ind w:firstLine="480"/>
        <w:spacing w:line="400" w:lineRule="exact"/>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bCs/>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rPr>
        <w:t xml:space="preserve">10月</w:t>
      </w:r>
      <w:r>
        <w:rPr>
          <w:rFonts w:hint="eastAsia" w:ascii="宋体" w:hAnsi="宋体"/>
          <w:bCs/>
          <w:sz w:val="24"/>
          <w:szCs w:val="24"/>
          <w:u w:val="single"/>
        </w:rPr>
        <w:t xml:space="preserve">10日</w:t>
      </w:r>
      <w:r>
        <w:rPr>
          <w:rFonts w:hint="eastAsia" w:ascii="宋体" w:hAnsi="宋体"/>
          <w:bCs/>
          <w:sz w:val="24"/>
          <w:szCs w:val="24"/>
          <w:u w:val="single"/>
        </w:rPr>
        <w:t xml:space="preserve">14点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971"/>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71"/>
        <w:ind w:firstLine="498"/>
        <w:keepLines/>
        <w:keepNext/>
        <w:spacing w:before="145" w:after="145" w:line="360" w:lineRule="auto"/>
        <w:rPr>
          <w:b/>
          <w:bCs/>
          <w:color w:val="000000"/>
          <w:sz w:val="32"/>
          <w:szCs w:val="32"/>
        </w:rPr>
        <w:outlineLvl w:val="2"/>
      </w:pPr>
      <w:r/>
      <w:bookmarkStart w:id="27" w:name="_Toc28359007"/>
      <w:r/>
      <w:bookmarkStart w:id="28" w:name="_Toc35393625"/>
      <w:r/>
      <w:bookmarkStart w:id="29" w:name="_Toc28359084"/>
      <w:r/>
      <w:bookmarkStart w:id="30" w:name="_Toc38985267"/>
      <w:r/>
      <w:bookmarkStart w:id="31" w:name="_Toc35393794"/>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71"/>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974"/>
        <w:ind w:firstLine="498"/>
        <w:spacing w:before="145" w:after="145"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pStyle w:val="971"/>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74"/>
        <w:ind w:firstLine="498"/>
        <w:spacing w:before="145" w:after="145" w:line="400" w:lineRule="exact"/>
      </w:pPr>
      <w:r/>
      <w:bookmarkStart w:id="35" w:name="_Toc38985269"/>
      <w:r/>
      <w:bookmarkStart w:id="36" w:name="_Toc35393627"/>
      <w:r/>
      <w:bookmarkStart w:id="37" w:name="_Toc35393796"/>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pStyle w:val="971"/>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71"/>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江苏省人民医院</w:t>
      </w:r>
      <w:r>
        <w:rPr>
          <w:rFonts w:ascii="宋体" w:hAnsi="宋体"/>
          <w:sz w:val="24"/>
          <w:szCs w:val="24"/>
        </w:rPr>
      </w:r>
      <w:r/>
    </w:p>
    <w:p>
      <w:pPr>
        <w:pStyle w:val="971"/>
        <w:ind w:left="1079" w:hanging="300"/>
        <w:jc w:val="left"/>
        <w:spacing w:line="400" w:lineRule="exact"/>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江苏省南京市广州路300号</w:t>
      </w:r>
      <w:r>
        <w:rPr>
          <w:rFonts w:ascii="宋体" w:hAnsi="宋体"/>
          <w:sz w:val="24"/>
          <w:szCs w:val="24"/>
          <w:u w:val="single"/>
        </w:rPr>
      </w:r>
      <w:r/>
    </w:p>
    <w:p>
      <w:pPr>
        <w:pStyle w:val="971"/>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孟老师</w:t>
      </w:r>
      <w:r>
        <w:rPr>
          <w:rFonts w:ascii="宋体" w:hAnsi="宋体"/>
          <w:sz w:val="24"/>
          <w:szCs w:val="24"/>
        </w:rPr>
      </w:r>
      <w:r/>
    </w:p>
    <w:p>
      <w:pPr>
        <w:pStyle w:val="971"/>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u w:val="single"/>
        </w:rPr>
        <w:t xml:space="preserve">025-68303609</w:t>
      </w:r>
      <w:r>
        <w:rPr>
          <w:rFonts w:ascii="宋体" w:hAnsi="宋体"/>
          <w:sz w:val="24"/>
          <w:szCs w:val="24"/>
          <w:u w:val="single"/>
        </w:rPr>
      </w:r>
      <w:r/>
    </w:p>
    <w:p>
      <w:pPr>
        <w:pStyle w:val="971"/>
        <w:ind w:firstLine="720"/>
        <w:jc w:val="left"/>
        <w:spacing w:line="360" w:lineRule="auto"/>
        <w:rPr>
          <w:rFonts w:ascii="宋体" w:hAnsi="宋体"/>
          <w:sz w:val="24"/>
          <w:szCs w:val="24"/>
        </w:rPr>
      </w:pPr>
      <w:r/>
      <w:bookmarkEnd w:id="40"/>
      <w:r/>
      <w:bookmarkEnd w:id="41"/>
      <w:r/>
      <w:bookmarkStart w:id="42" w:name="_Toc28359010"/>
      <w:r/>
      <w:bookmarkStart w:id="43" w:name="_Toc28359087"/>
      <w:r>
        <w:rPr>
          <w:rFonts w:hint="eastAsia" w:ascii="宋体" w:hAnsi="宋体" w:cs="宋体"/>
          <w:sz w:val="24"/>
          <w:szCs w:val="24"/>
        </w:rPr>
        <w:t xml:space="preserve">2.江苏省政府采购中心信息</w:t>
      </w:r>
      <w:r>
        <w:rPr>
          <w:rFonts w:ascii="宋体" w:hAnsi="宋体"/>
          <w:sz w:val="24"/>
          <w:szCs w:val="24"/>
        </w:rPr>
      </w:r>
      <w:r/>
    </w:p>
    <w:p>
      <w:pPr>
        <w:pStyle w:val="971"/>
        <w:ind w:firstLine="720"/>
        <w:spacing w:line="360" w:lineRule="auto"/>
        <w:rPr>
          <w:rFonts w:hint="eastAsia" w:ascii="宋体" w:hAnsi="宋体"/>
          <w:sz w:val="24"/>
          <w:szCs w:val="24"/>
        </w:rPr>
      </w:pPr>
      <w:r>
        <w:rPr>
          <w:rFonts w:hint="eastAsia" w:ascii="宋体" w:hAnsi="宋体"/>
          <w:color w:val="000000"/>
          <w:sz w:val="24"/>
          <w:szCs w:val="24"/>
        </w:rPr>
        <w:t xml:space="preserve">地　址：</w:t>
      </w:r>
      <w:r>
        <w:rPr>
          <w:rFonts w:hint="eastAsia" w:ascii="宋体" w:hAnsi="宋体"/>
          <w:sz w:val="24"/>
          <w:u w:val="single"/>
        </w:rPr>
        <w:t xml:space="preserve">南京市汉中门大街145号省政务中心二期3楼南区</w:t>
      </w:r>
      <w:r>
        <w:rPr>
          <w:rFonts w:hint="eastAsia" w:ascii="宋体" w:hAnsi="宋体"/>
          <w:sz w:val="24"/>
          <w:szCs w:val="24"/>
        </w:rPr>
      </w:r>
      <w:r/>
    </w:p>
    <w:p>
      <w:pPr>
        <w:pStyle w:val="971"/>
        <w:ind w:firstLine="720"/>
        <w:spacing w:line="360"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严晓薇 、郑荔</w:t>
      </w:r>
      <w:r>
        <w:rPr>
          <w:rFonts w:hint="eastAsia" w:ascii="宋体" w:hAnsi="宋体"/>
          <w:color w:val="000000"/>
          <w:sz w:val="24"/>
          <w:szCs w:val="24"/>
        </w:rPr>
      </w:r>
      <w:r/>
    </w:p>
    <w:p>
      <w:pPr>
        <w:pStyle w:val="971"/>
        <w:ind w:firstLine="720"/>
        <w:spacing w:line="360" w:lineRule="auto"/>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025-83668537、83668535</w:t>
      </w:r>
      <w:r>
        <w:rPr>
          <w:rFonts w:ascii="宋体" w:hAnsi="宋体"/>
          <w:color w:val="000000"/>
          <w:sz w:val="24"/>
          <w:szCs w:val="24"/>
          <w:u w:val="single"/>
        </w:rPr>
      </w:r>
      <w:r/>
    </w:p>
    <w:p>
      <w:pPr>
        <w:pStyle w:val="974"/>
        <w:ind w:firstLine="498"/>
        <w:spacing w:before="145" w:after="145" w:line="400" w:lineRule="exact"/>
      </w:pPr>
      <w:r/>
      <w:bookmarkEnd w:id="42"/>
      <w:r/>
      <w:bookmarkEnd w:id="43"/>
      <w:r>
        <w:rPr>
          <w:rFonts w:hint="eastAsia"/>
        </w:rPr>
        <w:t xml:space="preserve">八、其他</w:t>
      </w:r>
      <w:r/>
    </w:p>
    <w:p>
      <w:pPr>
        <w:pStyle w:val="971"/>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1046"/>
          <w:bCs/>
        </w:rPr>
        <w:t xml:space="preserve">http://www.ccgp-jiangsu.gov.cn/jiangsu/zlxz/ee/ee3a4bc5a3454aa2b0d9312230633ce9.html</w:t>
      </w:r>
      <w:r>
        <w:rPr>
          <w:bCs/>
        </w:rPr>
        <w:fldChar w:fldCharType="end"/>
      </w:r>
      <w:r>
        <w:rPr>
          <w:bCs/>
        </w:rPr>
        <w:t xml:space="preserve">。</w:t>
      </w:r>
      <w:r>
        <w:rPr>
          <w:rFonts w:ascii="宋体" w:hAnsi="宋体"/>
          <w:bCs/>
          <w:sz w:val="24"/>
          <w:szCs w:val="24"/>
        </w:rPr>
      </w:r>
      <w:r/>
    </w:p>
    <w:p>
      <w:pPr>
        <w:pStyle w:val="971"/>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7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pStyle w:val="97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971"/>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7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73"/>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74"/>
        <w:ind w:firstLine="498"/>
        <w:spacing w:before="145" w:after="145" w:line="400" w:lineRule="exact"/>
        <w:rPr>
          <w:rFonts w:hint="eastAsia"/>
        </w:rPr>
      </w:pPr>
      <w:r/>
      <w:bookmarkStart w:id="49" w:name="_Toc20823275"/>
      <w:r/>
      <w:bookmarkStart w:id="50" w:name="_Toc16938519"/>
      <w:r/>
      <w:bookmarkStart w:id="51" w:name="_Toc120614214"/>
      <w:r/>
      <w:bookmarkStart w:id="52" w:name="_Toc513029203"/>
      <w:r>
        <w:rPr>
          <w:rFonts w:hint="eastAsia"/>
        </w:rPr>
        <w:t xml:space="preserve">一、总则</w:t>
      </w:r>
      <w:bookmarkEnd w:id="49"/>
      <w:r/>
      <w:bookmarkEnd w:id="50"/>
      <w:r/>
      <w:bookmarkEnd w:id="51"/>
      <w:r/>
      <w:bookmarkEnd w:id="52"/>
      <w:r>
        <w:rPr>
          <w:rFonts w:hint="eastAsia"/>
        </w:rPr>
      </w:r>
      <w:r/>
    </w:p>
    <w:p>
      <w:pPr>
        <w:pStyle w:val="975"/>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71"/>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75"/>
        <w:ind w:firstLine="420"/>
        <w:spacing w:before="0" w:after="0" w:line="400" w:lineRule="exact"/>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97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75"/>
        <w:ind w:firstLine="420"/>
        <w:spacing w:before="0" w:after="0" w:line="400" w:lineRule="exact"/>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97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75"/>
        <w:ind w:firstLine="420"/>
        <w:spacing w:before="0" w:after="0" w:line="400" w:lineRule="exact"/>
        <w:rPr>
          <w:rFonts w:hint="eastAsia"/>
          <w:b w:val="0"/>
          <w:bCs w:val="0"/>
        </w:rPr>
      </w:pPr>
      <w:r/>
      <w:bookmarkStart w:id="64" w:name="_Toc20823279"/>
      <w:r/>
      <w:bookmarkStart w:id="65" w:name="_Toc462564067"/>
      <w:r/>
      <w:bookmarkStart w:id="66" w:name="_Toc16938523"/>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971"/>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971"/>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7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71"/>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74"/>
        <w:ind w:firstLine="321"/>
        <w:spacing w:before="145" w:after="145" w:line="400" w:lineRule="exact"/>
        <w:rPr>
          <w:rFonts w:hint="eastAsia"/>
        </w:rPr>
      </w:pPr>
      <w:r/>
      <w:bookmarkStart w:id="68" w:name="_Toc16938525"/>
      <w:r/>
      <w:bookmarkStart w:id="69" w:name="_Toc20823281"/>
      <w:r/>
      <w:bookmarkStart w:id="70" w:name="_Toc513029209"/>
      <w:r/>
      <w:bookmarkStart w:id="71" w:name="_Toc120614215"/>
      <w:r>
        <w:rPr>
          <w:rFonts w:hint="eastAsia"/>
        </w:rPr>
        <w:t xml:space="preserve">二、招标文件</w:t>
      </w:r>
      <w:bookmarkEnd w:id="68"/>
      <w:r/>
      <w:bookmarkEnd w:id="69"/>
      <w:r/>
      <w:bookmarkEnd w:id="70"/>
      <w:r/>
      <w:bookmarkEnd w:id="71"/>
      <w:r>
        <w:rPr>
          <w:rFonts w:hint="eastAsia"/>
        </w:rPr>
      </w:r>
      <w:r/>
    </w:p>
    <w:p>
      <w:pPr>
        <w:pStyle w:val="975"/>
        <w:ind w:firstLine="420"/>
        <w:spacing w:before="0" w:after="0" w:line="400" w:lineRule="exact"/>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71"/>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7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7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7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7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71"/>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97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71"/>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71"/>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5"/>
        <w:ind w:firstLine="560"/>
        <w:spacing w:before="0" w:after="0" w:line="400" w:lineRule="exact"/>
        <w:rPr>
          <w:rFonts w:hint="eastAsia"/>
          <w:b w:val="0"/>
          <w:bCs w:val="0"/>
        </w:rPr>
      </w:pPr>
      <w:r/>
      <w:bookmarkStart w:id="75" w:name="_Toc20823284"/>
      <w:r/>
      <w:bookmarkStart w:id="76" w:name="_Toc16938528"/>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971"/>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71"/>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71"/>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74"/>
        <w:ind w:firstLine="482"/>
        <w:spacing w:before="145" w:after="145" w:line="400" w:lineRule="exact"/>
        <w:rPr>
          <w:rFonts w:hint="eastAsia"/>
        </w:rPr>
      </w:pPr>
      <w:r/>
      <w:bookmarkStart w:id="79" w:name="_Toc20823285"/>
      <w:r/>
      <w:bookmarkStart w:id="80" w:name="_Toc16938529"/>
      <w:r/>
      <w:bookmarkStart w:id="81" w:name="_Toc120614216"/>
      <w:r/>
      <w:bookmarkStart w:id="82" w:name="_Toc513029213"/>
      <w:r/>
      <w:bookmarkStart w:id="83" w:name="_Toc462564072"/>
      <w:r>
        <w:rPr>
          <w:rFonts w:hint="eastAsia"/>
        </w:rPr>
        <w:t xml:space="preserve">三、投标文件的编制</w:t>
      </w:r>
      <w:bookmarkEnd w:id="79"/>
      <w:r/>
      <w:bookmarkEnd w:id="80"/>
      <w:r/>
      <w:bookmarkEnd w:id="81"/>
      <w:r/>
      <w:bookmarkEnd w:id="82"/>
      <w:r/>
      <w:bookmarkEnd w:id="83"/>
      <w:r>
        <w:rPr>
          <w:rFonts w:hint="eastAsia"/>
        </w:rPr>
      </w:r>
      <w:r/>
    </w:p>
    <w:p>
      <w:pPr>
        <w:pStyle w:val="975"/>
        <w:ind w:firstLine="560"/>
        <w:spacing w:before="0" w:after="0" w:line="400" w:lineRule="exact"/>
        <w:rPr>
          <w:rFonts w:hint="eastAsia"/>
          <w:bCs w:val="0"/>
        </w:rPr>
      </w:pPr>
      <w:r/>
      <w:bookmarkStart w:id="84" w:name="_Toc16938530"/>
      <w:r/>
      <w:bookmarkStart w:id="85" w:name="_Toc513029214"/>
      <w:r/>
      <w:bookmarkStart w:id="86" w:name="_Toc20823286"/>
      <w:r/>
      <w:bookmarkStart w:id="87" w:name="_Toc462564073"/>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97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71"/>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975"/>
        <w:ind w:firstLine="420"/>
        <w:spacing w:before="0" w:after="0" w:line="400" w:lineRule="exact"/>
        <w:rPr>
          <w:rFonts w:hint="eastAsia"/>
          <w:b w:val="0"/>
          <w:bCs w:val="0"/>
        </w:rPr>
      </w:pPr>
      <w:r/>
      <w:bookmarkStart w:id="88" w:name="_Toc20823287"/>
      <w:r/>
      <w:bookmarkStart w:id="89" w:name="_Toc513029215"/>
      <w:r/>
      <w:bookmarkStart w:id="90" w:name="_Toc16938531"/>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971"/>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97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975"/>
        <w:ind w:firstLine="420"/>
        <w:spacing w:before="0" w:after="0" w:line="400" w:lineRule="exact"/>
        <w:rPr>
          <w:rFonts w:hint="eastAsia"/>
          <w:b w:val="0"/>
          <w:bCs w:val="0"/>
        </w:rPr>
      </w:pPr>
      <w:r/>
      <w:bookmarkStart w:id="92" w:name="_Hlt26668975"/>
      <w:r/>
      <w:bookmarkEnd w:id="92"/>
      <w:r/>
      <w:bookmarkStart w:id="93" w:name="_Hlt26670360"/>
      <w:r/>
      <w:bookmarkEnd w:id="93"/>
      <w:r/>
      <w:bookmarkStart w:id="94" w:name="_Hlt26954838"/>
      <w:r/>
      <w:bookmarkEnd w:id="94"/>
      <w:r/>
      <w:bookmarkStart w:id="95" w:name="_Toc49090509"/>
      <w:r/>
      <w:bookmarkStart w:id="96" w:name="_Toc513029219"/>
      <w:r/>
      <w:bookmarkStart w:id="97" w:name="_Toc14577357"/>
      <w:r/>
      <w:bookmarkStart w:id="98" w:name="_Toc513029216"/>
      <w:r/>
      <w:bookmarkStart w:id="99" w:name="_Toc49090507"/>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971"/>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971"/>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97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971"/>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97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75"/>
        <w:ind w:firstLine="420"/>
        <w:spacing w:before="0" w:after="0" w:line="400" w:lineRule="exact"/>
        <w:rPr>
          <w:rFonts w:hint="eastAsia"/>
          <w:b w:val="0"/>
          <w:bCs w:val="0"/>
        </w:rPr>
      </w:pPr>
      <w:r/>
      <w:bookmarkStart w:id="106" w:name="_Hlt26668983"/>
      <w:r/>
      <w:bookmarkEnd w:id="106"/>
      <w:r/>
      <w:bookmarkStart w:id="107" w:name="_Hlt26954731"/>
      <w:r/>
      <w:bookmarkEnd w:id="107"/>
      <w:r/>
      <w:bookmarkStart w:id="108" w:name="_Hlt26954848"/>
      <w:r/>
      <w:bookmarkEnd w:id="108"/>
      <w:r/>
      <w:bookmarkStart w:id="109" w:name="_Hlt26954842"/>
      <w:r/>
      <w:bookmarkEnd w:id="109"/>
      <w:r/>
      <w:bookmarkStart w:id="110" w:name="_Hlt26954846"/>
      <w:r/>
      <w:bookmarkEnd w:id="110"/>
      <w:r/>
      <w:bookmarkStart w:id="111" w:name="_Hlt26670425"/>
      <w:r/>
      <w:bookmarkEnd w:id="111"/>
      <w:r/>
      <w:bookmarkStart w:id="112" w:name="_Hlt26670403"/>
      <w:r/>
      <w:bookmarkEnd w:id="112"/>
      <w:r/>
      <w:bookmarkStart w:id="113" w:name="_Hlt26954844"/>
      <w:r/>
      <w:bookmarkEnd w:id="113"/>
      <w:r/>
      <w:bookmarkStart w:id="114" w:name="_Hlt26670482"/>
      <w:r/>
      <w:bookmarkEnd w:id="114"/>
      <w:r/>
      <w:bookmarkStart w:id="115" w:name="_Hlt26670486"/>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971"/>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71"/>
        <w:ind w:firstLine="480"/>
        <w:spacing w:line="400" w:lineRule="exact"/>
        <w:rPr>
          <w:rFonts w:hint="eastAsia"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97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97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971"/>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75"/>
        <w:ind w:firstLine="420"/>
        <w:spacing w:before="0" w:after="0" w:line="400" w:lineRule="exact"/>
        <w:rPr>
          <w:rFonts w:hint="eastAsia"/>
          <w:b w:val="0"/>
          <w:bCs w:val="0"/>
        </w:rPr>
      </w:pPr>
      <w:r/>
      <w:bookmarkEnd w:id="116"/>
      <w:r/>
      <w:bookmarkEnd w:id="117"/>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97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7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97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74"/>
        <w:ind w:firstLine="482"/>
        <w:spacing w:before="145" w:after="145" w:line="400" w:lineRule="exact"/>
        <w:rPr>
          <w:rFonts w:hint="eastAsia"/>
        </w:rPr>
      </w:pPr>
      <w:r/>
      <w:bookmarkStart w:id="123" w:name="_Hlt26954852"/>
      <w:r/>
      <w:bookmarkEnd w:id="123"/>
      <w:r/>
      <w:bookmarkStart w:id="124" w:name="_Hlt26954739"/>
      <w:r/>
      <w:bookmarkEnd w:id="124"/>
      <w:r/>
      <w:bookmarkStart w:id="125" w:name="_Toc16938540"/>
      <w:r/>
      <w:bookmarkStart w:id="126" w:name="_Toc513029224"/>
      <w:r/>
      <w:bookmarkStart w:id="127" w:name="_Toc120614217"/>
      <w:r/>
      <w:bookmarkStart w:id="128" w:name="_Toc20823296"/>
      <w:r>
        <w:rPr>
          <w:rFonts w:hint="eastAsia"/>
        </w:rPr>
        <w:t xml:space="preserve">四、投标文件的递交</w:t>
      </w:r>
      <w:bookmarkEnd w:id="125"/>
      <w:r/>
      <w:bookmarkEnd w:id="126"/>
      <w:r/>
      <w:bookmarkEnd w:id="127"/>
      <w:r/>
      <w:bookmarkEnd w:id="128"/>
      <w:r>
        <w:rPr>
          <w:rFonts w:hint="eastAsia"/>
        </w:rPr>
      </w:r>
      <w:r/>
    </w:p>
    <w:p>
      <w:pPr>
        <w:pStyle w:val="975"/>
        <w:ind w:firstLine="560"/>
        <w:spacing w:before="0" w:after="0" w:line="400" w:lineRule="exact"/>
        <w:rPr>
          <w:rFonts w:hint="eastAsia" w:ascii="黑体"/>
          <w:b w:val="0"/>
          <w:bCs w:val="0"/>
        </w:rPr>
      </w:pPr>
      <w:r/>
      <w:bookmarkStart w:id="129" w:name="_Toc462564084"/>
      <w:r/>
      <w:bookmarkStart w:id="130" w:name="_Toc16938541"/>
      <w:r/>
      <w:bookmarkStart w:id="131" w:name="_Toc20823297"/>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97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83"/>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Pr>
          <w:rFonts w:hint="eastAsia" w:ascii="宋体" w:hAnsi="宋体"/>
          <w:bCs/>
          <w:sz w:val="24"/>
        </w:rPr>
      </w:r>
      <w:r/>
    </w:p>
    <w:p>
      <w:pPr>
        <w:pStyle w:val="97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971"/>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971"/>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971"/>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75"/>
        <w:ind w:firstLine="420"/>
        <w:spacing w:before="0" w:after="0" w:line="400" w:lineRule="exact"/>
        <w:rPr>
          <w:rFonts w:hint="eastAsia"/>
          <w:b w:val="0"/>
          <w:bCs w:val="0"/>
        </w:rPr>
      </w:pPr>
      <w:r/>
      <w:bookmarkStart w:id="136" w:name="_Toc16938543"/>
      <w:r/>
      <w:bookmarkStart w:id="137" w:name="_Toc513029227"/>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971"/>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975"/>
        <w:ind w:firstLine="420"/>
        <w:spacing w:before="0" w:after="0" w:line="400" w:lineRule="exact"/>
        <w:rPr>
          <w:rFonts w:hint="eastAsia"/>
          <w:b w:val="0"/>
          <w:bCs w:val="0"/>
        </w:rPr>
      </w:pPr>
      <w:r/>
      <w:bookmarkStart w:id="139" w:name="_Toc513029228"/>
      <w:r/>
      <w:bookmarkStart w:id="140" w:name="_Toc16938544"/>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971"/>
        <w:ind w:firstLine="480"/>
        <w:spacing w:line="400" w:lineRule="exact"/>
        <w:rPr>
          <w:rFonts w:hint="eastAsia" w:ascii="宋体" w:hAnsi="宋体"/>
          <w:sz w:val="24"/>
        </w:rPr>
      </w:pPr>
      <w:r>
        <w:rPr>
          <w:rFonts w:hint="eastAsia" w:ascii="宋体" w:hAnsi="宋体"/>
          <w:sz w:val="24"/>
        </w:rPr>
        <w:t xml:space="preserve">19.1 投标文件的撤回</w:t>
      </w:r>
      <w:r/>
    </w:p>
    <w:p>
      <w:pPr>
        <w:pStyle w:val="971"/>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971"/>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71"/>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71"/>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971"/>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971"/>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971"/>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974"/>
        <w:ind w:firstLine="482"/>
        <w:spacing w:before="145" w:after="145" w:line="400" w:lineRule="exact"/>
        <w:rPr>
          <w:rFonts w:hint="eastAsia"/>
        </w:rPr>
      </w:pPr>
      <w:r/>
      <w:bookmarkStart w:id="142" w:name="_Toc120614218"/>
      <w:r/>
      <w:bookmarkStart w:id="143" w:name="_Toc16938545"/>
      <w:r/>
      <w:bookmarkStart w:id="144" w:name="_Toc513029229"/>
      <w:r/>
      <w:bookmarkStart w:id="145" w:name="_Toc20823301"/>
      <w:r>
        <w:rPr>
          <w:rFonts w:hint="eastAsia"/>
        </w:rPr>
        <w:t xml:space="preserve">五、开标与评标</w:t>
      </w:r>
      <w:bookmarkEnd w:id="142"/>
      <w:r/>
      <w:bookmarkEnd w:id="143"/>
      <w:r/>
      <w:bookmarkEnd w:id="144"/>
      <w:r/>
      <w:bookmarkEnd w:id="145"/>
      <w:r>
        <w:rPr>
          <w:rFonts w:hint="eastAsia"/>
        </w:rPr>
      </w:r>
      <w:r/>
    </w:p>
    <w:p>
      <w:pPr>
        <w:pStyle w:val="975"/>
        <w:ind w:firstLine="420"/>
        <w:spacing w:before="0" w:after="0" w:line="400" w:lineRule="exact"/>
        <w:rPr>
          <w:rFonts w:hint="eastAsia"/>
          <w:b w:val="0"/>
          <w:bCs w:val="0"/>
        </w:rPr>
      </w:pPr>
      <w:r/>
      <w:bookmarkStart w:id="146" w:name="_Toc513029230"/>
      <w:r/>
      <w:bookmarkStart w:id="147" w:name="_Toc20823302"/>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971"/>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971"/>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71"/>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75"/>
        <w:ind w:firstLine="420"/>
        <w:spacing w:before="0" w:after="0" w:line="400" w:lineRule="exact"/>
        <w:rPr>
          <w:rFonts w:hint="eastAsia"/>
          <w:b w:val="0"/>
          <w:bCs w:val="0"/>
        </w:rPr>
      </w:pPr>
      <w:r/>
      <w:bookmarkStart w:id="149" w:name="_Toc16938547"/>
      <w:r/>
      <w:bookmarkStart w:id="150" w:name="_Toc20823303"/>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971"/>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7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pStyle w:val="971"/>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97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971"/>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71"/>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71"/>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975"/>
        <w:ind w:firstLine="420"/>
        <w:spacing w:before="0" w:after="0" w:line="400" w:lineRule="exact"/>
        <w:rPr>
          <w:rFonts w:hint="eastAsia"/>
          <w:b w:val="0"/>
          <w:bCs w:val="0"/>
        </w:rPr>
      </w:pPr>
      <w:r/>
      <w:bookmarkStart w:id="152" w:name="_Toc513029232"/>
      <w:r/>
      <w:bookmarkStart w:id="153" w:name="_Toc20823304"/>
      <w:r/>
      <w:bookmarkStart w:id="154" w:name="_Toc16938548"/>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971"/>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71"/>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71"/>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975"/>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971"/>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971"/>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pStyle w:val="971"/>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71"/>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71"/>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pStyle w:val="971"/>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71"/>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971"/>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71"/>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71"/>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71"/>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71"/>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71"/>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71"/>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71"/>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71"/>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71"/>
        <w:ind w:firstLine="420"/>
        <w:spacing w:line="400" w:lineRule="exact"/>
        <w:rPr>
          <w:rFonts w:ascii="宋体" w:hAnsi="宋体"/>
          <w:sz w:val="24"/>
        </w:rPr>
      </w:pPr>
      <w:r/>
      <w:bookmarkStart w:id="158" w:name="_Toc513029234"/>
      <w:r/>
      <w:bookmarkStart w:id="159" w:name="_Toc16938550"/>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971"/>
        <w:ind w:firstLine="420"/>
        <w:spacing w:line="400" w:lineRule="exact"/>
        <w:rPr>
          <w:rFonts w:hint="eastAsia" w:ascii="方正魏碑_GBK" w:hAnsi="方正魏碑_GBK" w:eastAsia="方正魏碑_GBK" w:cs="方正魏碑_GBK"/>
          <w:color w:val="000000"/>
          <w:sz w:val="30"/>
          <w:szCs w:val="30"/>
        </w:rPr>
      </w:pPr>
      <w:r>
        <w:rPr>
          <w:rFonts w:hint="eastAsia" w:ascii="方正魏碑_GBK" w:hAnsi="方正魏碑_GBK" w:eastAsia="方正魏碑_GBK" w:cs="方正魏碑_GBK"/>
          <w:color w:val="000000"/>
          <w:sz w:val="30"/>
          <w:szCs w:val="30"/>
        </w:rPr>
        <w:t xml:space="preserve">24.7 异常低价投标审查</w:t>
      </w:r>
      <w:r/>
    </w:p>
    <w:p>
      <w:pPr>
        <w:pStyle w:val="971"/>
        <w:ind w:firstLine="420"/>
        <w:spacing w:line="400" w:lineRule="exact"/>
        <w:rPr>
          <w:rFonts w:hint="eastAsia" w:ascii="方正魏碑_GBK" w:hAnsi="方正魏碑_GBK" w:eastAsia="方正魏碑_GBK" w:cs="方正魏碑_GBK"/>
          <w:color w:val="000000"/>
          <w:sz w:val="30"/>
          <w:szCs w:val="30"/>
        </w:rPr>
      </w:pPr>
      <w:r>
        <w:rPr>
          <w:rFonts w:hint="eastAsia" w:ascii="方正魏碑_GBK" w:hAnsi="方正魏碑_GBK" w:eastAsia="方正魏碑_GBK" w:cs="方正魏碑_GBK"/>
          <w:color w:val="000000"/>
          <w:sz w:val="30"/>
          <w:szCs w:val="30"/>
        </w:rPr>
        <w:t xml:space="preserve">24.7.1 评标过程中出现下列情形之一的，评标委员会应当启动异常低价投标审查程序：</w:t>
      </w:r>
      <w:r/>
    </w:p>
    <w:p>
      <w:pPr>
        <w:pStyle w:val="971"/>
        <w:ind w:firstLine="420"/>
        <w:spacing w:line="400" w:lineRule="exact"/>
        <w:rPr>
          <w:rFonts w:hint="eastAsia" w:ascii="方正魏碑_GBK" w:hAnsi="方正魏碑_GBK" w:eastAsia="方正魏碑_GBK" w:cs="方正魏碑_GBK"/>
          <w:color w:val="000000"/>
          <w:sz w:val="30"/>
          <w:szCs w:val="30"/>
        </w:rPr>
      </w:pPr>
      <w:r>
        <w:rPr>
          <w:rFonts w:hint="eastAsia" w:ascii="方正魏碑_GBK" w:hAnsi="方正魏碑_GBK" w:eastAsia="方正魏碑_GBK" w:cs="方正魏碑_GBK"/>
          <w:color w:val="000000"/>
          <w:sz w:val="30"/>
          <w:szCs w:val="30"/>
        </w:rPr>
        <w:t xml:space="preserve">（1）投标报价低于采购项目预算50%的，即投标报价＜采购项目预算×50%；</w:t>
      </w:r>
      <w:r/>
    </w:p>
    <w:p>
      <w:pPr>
        <w:pStyle w:val="971"/>
        <w:ind w:firstLine="420"/>
        <w:spacing w:line="400" w:lineRule="exact"/>
        <w:rPr>
          <w:rFonts w:hint="eastAsia" w:ascii="方正魏碑_GBK" w:hAnsi="方正魏碑_GBK" w:eastAsia="方正魏碑_GBK" w:cs="方正魏碑_GBK"/>
          <w:color w:val="000000"/>
          <w:sz w:val="30"/>
          <w:szCs w:val="30"/>
        </w:rPr>
      </w:pPr>
      <w:r>
        <w:rPr>
          <w:rFonts w:hint="eastAsia" w:ascii="方正魏碑_GBK" w:hAnsi="方正魏碑_GBK" w:eastAsia="方正魏碑_GBK" w:cs="方正魏碑_GBK"/>
          <w:color w:val="000000"/>
          <w:sz w:val="30"/>
          <w:szCs w:val="30"/>
        </w:rPr>
        <w:t xml:space="preserve">（2）投标报价低于采购项目最高限价45%的，即投标报价＜采购项目最高限价×45%；</w:t>
      </w:r>
      <w:r/>
    </w:p>
    <w:p>
      <w:pPr>
        <w:pStyle w:val="971"/>
        <w:ind w:firstLine="420"/>
        <w:spacing w:line="400" w:lineRule="exact"/>
        <w:rPr>
          <w:rFonts w:hint="eastAsia" w:ascii="方正魏碑_GBK" w:hAnsi="方正魏碑_GBK" w:eastAsia="方正魏碑_GBK" w:cs="方正魏碑_GBK"/>
          <w:color w:val="000000"/>
          <w:sz w:val="30"/>
          <w:szCs w:val="30"/>
        </w:rPr>
      </w:pPr>
      <w:r>
        <w:rPr>
          <w:rFonts w:hint="eastAsia" w:ascii="方正魏碑_GBK" w:hAnsi="方正魏碑_GBK" w:eastAsia="方正魏碑_GBK" w:cs="方正魏碑_GBK"/>
          <w:color w:val="000000"/>
          <w:sz w:val="30"/>
          <w:szCs w:val="30"/>
        </w:rPr>
        <w:t xml:space="preserve">（3）评标委员会认定的供应商报价过低、有可能影响产品质量或者不能诚信履约的其他情形。</w:t>
      </w:r>
      <w:r/>
    </w:p>
    <w:p>
      <w:pPr>
        <w:pStyle w:val="971"/>
        <w:ind w:firstLine="420"/>
        <w:spacing w:line="400" w:lineRule="exact"/>
        <w:rPr>
          <w:rFonts w:hint="eastAsia" w:ascii="方正魏碑_GBK" w:hAnsi="方正魏碑_GBK" w:eastAsia="方正魏碑_GBK" w:cs="方正魏碑_GBK"/>
          <w:color w:val="000000"/>
          <w:sz w:val="30"/>
          <w:szCs w:val="30"/>
        </w:rPr>
      </w:pPr>
      <w:r>
        <w:rPr>
          <w:rFonts w:hint="eastAsia" w:ascii="方正魏碑_GBK" w:hAnsi="方正魏碑_GBK" w:eastAsia="方正魏碑_GBK" w:cs="方正魏碑_GBK"/>
          <w:color w:val="000000"/>
          <w:sz w:val="30"/>
          <w:szCs w:val="30"/>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97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971"/>
        <w:ind w:left="479"/>
        <w:spacing w:line="4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25.1无效投标条款</w:t>
      </w:r>
      <w:r/>
    </w:p>
    <w:p>
      <w:pPr>
        <w:pStyle w:val="971"/>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971"/>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971"/>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971"/>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971"/>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971"/>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971"/>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971"/>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71"/>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971"/>
        <w:ind w:firstLine="600"/>
        <w:spacing w:line="400" w:lineRule="exact"/>
        <w:rPr>
          <w:rFonts w:hint="eastAsia" w:ascii="方正魏碑_GBK" w:hAnsi="方正魏碑_GBK" w:eastAsia="方正魏碑_GBK" w:cs="方正魏碑_GBK"/>
          <w:bCs/>
          <w:color w:val="000000"/>
          <w:sz w:val="30"/>
          <w:szCs w:val="30"/>
        </w:rPr>
      </w:pPr>
      <w:r>
        <w:rPr>
          <w:rFonts w:hint="eastAsia" w:ascii="方正魏碑_GBK" w:hAnsi="方正魏碑_GBK" w:eastAsia="方正魏碑_GBK" w:cs="方正魏碑_GBK"/>
          <w:bCs/>
          <w:color w:val="000000"/>
          <w:sz w:val="30"/>
          <w:szCs w:val="30"/>
        </w:rPr>
        <w:t xml:space="preserve">25.1.10评标委员会按照本招标文件规定对投标人进行异常低价投标审查后，认为投标人不能证明其报价合理性的。</w:t>
      </w:r>
      <w:r/>
    </w:p>
    <w:p>
      <w:pPr>
        <w:pStyle w:val="971"/>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71"/>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pStyle w:val="971"/>
        <w:ind w:left="479"/>
        <w:spacing w:line="400" w:lineRule="exact"/>
        <w:rPr>
          <w:rFonts w:hint="eastAsia" w:ascii="宋体" w:hAnsi="宋体"/>
          <w:bCs/>
          <w:sz w:val="24"/>
        </w:rPr>
      </w:pPr>
      <w:r>
        <w:rPr>
          <w:rFonts w:hint="eastAsia" w:ascii="宋体" w:hAnsi="宋体"/>
          <w:bCs/>
          <w:sz w:val="24"/>
        </w:rPr>
        <w:t xml:space="preserve">25.2废标条款</w:t>
      </w:r>
      <w:r/>
    </w:p>
    <w:p>
      <w:pPr>
        <w:pStyle w:val="971"/>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971"/>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971"/>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71"/>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71"/>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971"/>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97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975"/>
        <w:ind w:firstLine="600"/>
        <w:spacing w:before="0" w:after="0" w:line="400" w:lineRule="exact"/>
        <w:rPr>
          <w:rFonts w:hint="eastAsia" w:ascii="黑体" w:hAnsi="宋体" w:cs="Times New Roman"/>
          <w:b w:val="0"/>
          <w:sz w:val="30"/>
          <w:szCs w:val="30"/>
        </w:rPr>
      </w:pPr>
      <w:r/>
      <w:bookmarkStart w:id="165" w:name="_Toc513029238"/>
      <w:r/>
      <w:bookmarkStart w:id="166" w:name="_Toc20823310"/>
      <w:r/>
      <w:bookmarkStart w:id="167"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pStyle w:val="971"/>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971"/>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pStyle w:val="971"/>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971"/>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97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97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pStyle w:val="97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7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971"/>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71"/>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971"/>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71"/>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971"/>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971"/>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971"/>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971"/>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7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971"/>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71"/>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74"/>
        <w:spacing w:before="145" w:after="145" w:line="400" w:lineRule="exact"/>
        <w:rPr>
          <w:rFonts w:hint="eastAsia"/>
        </w:rPr>
      </w:pPr>
      <w:r/>
      <w:bookmarkStart w:id="169" w:name="_Toc120614220"/>
      <w:r/>
      <w:bookmarkStart w:id="170" w:name="_Toc16938552"/>
      <w:r/>
      <w:bookmarkStart w:id="171" w:name="_Toc20823308"/>
      <w:r/>
      <w:bookmarkStart w:id="172" w:name="_Toc513029236"/>
      <w:r>
        <w:rPr>
          <w:rFonts w:hint="eastAsia"/>
        </w:rPr>
        <w:t xml:space="preserve">七、授予合同</w:t>
      </w:r>
      <w:bookmarkEnd w:id="169"/>
      <w:r>
        <w:rPr>
          <w:rFonts w:hint="eastAsia"/>
        </w:rPr>
      </w:r>
      <w:r/>
    </w:p>
    <w:p>
      <w:pPr>
        <w:pStyle w:val="975"/>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513029237"/>
      <w:r/>
      <w:bookmarkStart w:id="174" w:name="_Toc20823309"/>
      <w:r/>
      <w:bookmarkStart w:id="175" w:name="_Toc16938553"/>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971"/>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971"/>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971"/>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7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971"/>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975"/>
        <w:ind w:firstLine="600"/>
        <w:spacing w:before="0" w:after="0" w:line="400" w:lineRule="exact"/>
        <w:rPr>
          <w:rFonts w:ascii="黑体" w:hAnsi="宋体" w:cs="Times New Roman"/>
          <w:b w:val="0"/>
          <w:sz w:val="30"/>
          <w:szCs w:val="30"/>
        </w:rPr>
      </w:pPr>
      <w:r/>
      <w:bookmarkEnd w:id="173"/>
      <w:r/>
      <w:bookmarkEnd w:id="174"/>
      <w:r/>
      <w:bookmarkEnd w:id="175"/>
      <w:r/>
      <w:bookmarkStart w:id="176" w:name="_Toc16938558"/>
      <w:r/>
      <w:bookmarkStart w:id="177" w:name="_Toc120614221"/>
      <w:r/>
      <w:bookmarkStart w:id="178" w:name="_Toc513029242"/>
      <w:r/>
      <w:bookmarkStart w:id="179" w:name="_Toc479757207"/>
      <w:r/>
      <w:bookmarkStart w:id="180"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86"/>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986"/>
        <w:spacing w:line="400" w:lineRule="exact"/>
        <w:rPr>
          <w:rFonts w:hint="eastAsia" w:ascii="宋体" w:hAnsi="宋体"/>
          <w:bCs/>
          <w:sz w:val="24"/>
        </w:rPr>
      </w:pPr>
      <w:r>
        <w:rPr>
          <w:rFonts w:hint="eastAsia" w:ascii="宋体" w:hAnsi="宋体"/>
          <w:bCs/>
          <w:sz w:val="24"/>
        </w:rPr>
      </w:r>
      <w:r/>
    </w:p>
    <w:p>
      <w:pPr>
        <w:pStyle w:val="986"/>
        <w:spacing w:line="400" w:lineRule="exact"/>
        <w:rPr>
          <w:rFonts w:hint="eastAsia" w:ascii="宋体" w:hAnsi="宋体"/>
          <w:bCs/>
          <w:sz w:val="24"/>
        </w:rPr>
      </w:pPr>
      <w:r>
        <w:rPr>
          <w:rFonts w:hint="eastAsia" w:ascii="宋体" w:hAnsi="宋体"/>
          <w:bCs/>
          <w:sz w:val="24"/>
        </w:rPr>
      </w:r>
      <w:r/>
    </w:p>
    <w:p>
      <w:pPr>
        <w:pStyle w:val="986"/>
        <w:spacing w:line="400" w:lineRule="exact"/>
        <w:rPr>
          <w:rFonts w:hint="eastAsia" w:ascii="宋体" w:hAnsi="宋体"/>
          <w:bCs/>
          <w:sz w:val="24"/>
        </w:rPr>
      </w:pPr>
      <w:r>
        <w:rPr>
          <w:rFonts w:hint="eastAsia" w:ascii="宋体" w:hAnsi="宋体"/>
          <w:bCs/>
          <w:sz w:val="24"/>
        </w:rPr>
      </w:r>
      <w:r/>
    </w:p>
    <w:p>
      <w:pPr>
        <w:pStyle w:val="986"/>
        <w:spacing w:line="400" w:lineRule="exact"/>
        <w:rPr>
          <w:rFonts w:hint="eastAsia" w:ascii="宋体" w:hAnsi="宋体"/>
          <w:bCs/>
          <w:sz w:val="24"/>
        </w:rPr>
      </w:pPr>
      <w:r>
        <w:rPr>
          <w:rFonts w:hint="eastAsia" w:ascii="宋体" w:hAnsi="宋体"/>
          <w:bCs/>
          <w:sz w:val="24"/>
        </w:rPr>
      </w:r>
      <w:r/>
    </w:p>
    <w:p>
      <w:pPr>
        <w:pStyle w:val="986"/>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86"/>
        <w:spacing w:line="400" w:lineRule="exact"/>
        <w:rPr>
          <w:rFonts w:hint="eastAsia" w:ascii="宋体" w:hAnsi="宋体"/>
          <w:sz w:val="24"/>
          <w:szCs w:val="24"/>
        </w:rPr>
      </w:pPr>
      <w:r>
        <w:rPr>
          <w:rFonts w:hint="eastAsia" w:ascii="宋体" w:hAnsi="宋体"/>
          <w:bCs/>
          <w:sz w:val="24"/>
        </w:rPr>
      </w:r>
      <w:r/>
    </w:p>
    <w:p>
      <w:pPr>
        <w:pStyle w:val="986"/>
        <w:spacing w:line="400" w:lineRule="exact"/>
        <w:rPr>
          <w:rFonts w:ascii="黑体" w:eastAsia="黑体"/>
          <w:bCs/>
          <w:sz w:val="44"/>
        </w:rPr>
      </w:pPr>
      <w:r>
        <w:rPr>
          <w:rFonts w:ascii="黑体" w:eastAsia="黑体"/>
          <w:bCs/>
          <w:sz w:val="44"/>
        </w:rPr>
      </w:r>
      <w:r/>
    </w:p>
    <w:p>
      <w:pPr>
        <w:pStyle w:val="972"/>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971"/>
        <w:jc w:val="center"/>
        <w:spacing w:before="145" w:after="145"/>
        <w:rPr>
          <w:rFonts w:hint="eastAsia" w:ascii="宋体" w:hAnsi="宋体"/>
          <w:b/>
          <w:sz w:val="30"/>
        </w:rPr>
        <w:outlineLvl w:val="0"/>
      </w:pPr>
      <w:r/>
      <w:bookmarkStart w:id="181" w:name="_Toc16938559"/>
      <w:r/>
      <w:bookmarkStart w:id="182" w:name="_Toc513029243"/>
      <w:r/>
      <w:bookmarkStart w:id="183" w:name="_Toc20823315"/>
      <w:r>
        <w:rPr>
          <w:rFonts w:hint="eastAsia" w:ascii="宋体" w:hAnsi="宋体"/>
          <w:b/>
          <w:sz w:val="30"/>
        </w:rPr>
      </w:r>
      <w:r/>
    </w:p>
    <w:p>
      <w:pPr>
        <w:pStyle w:val="971"/>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71"/>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971"/>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971"/>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1010"/>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1010"/>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101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1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101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101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1010"/>
        <w:spacing w:before="120" w:after="120"/>
        <w:rPr>
          <w:rFonts w:hint="eastAsia" w:hAnsi="宋体"/>
          <w:sz w:val="24"/>
          <w:szCs w:val="24"/>
        </w:rPr>
      </w:pPr>
      <w:r>
        <w:rPr>
          <w:rFonts w:hint="eastAsia" w:hAnsi="宋体"/>
          <w:sz w:val="24"/>
          <w:szCs w:val="24"/>
        </w:rPr>
        <w:t xml:space="preserve">1.3 标的数量（规模）：</w:t>
      </w:r>
      <w:r/>
    </w:p>
    <w:p>
      <w:pPr>
        <w:pStyle w:val="1010"/>
        <w:spacing w:before="120" w:after="120"/>
        <w:rPr>
          <w:rFonts w:hint="eastAsia" w:hAnsi="宋体"/>
          <w:sz w:val="24"/>
          <w:szCs w:val="24"/>
        </w:rPr>
      </w:pPr>
      <w:r>
        <w:rPr>
          <w:rFonts w:hint="eastAsia" w:hAnsi="宋体"/>
          <w:sz w:val="24"/>
          <w:szCs w:val="24"/>
        </w:rPr>
        <w:t xml:space="preserve">1.4 履行时间（期限）：</w:t>
      </w:r>
      <w:r/>
    </w:p>
    <w:p>
      <w:pPr>
        <w:pStyle w:val="101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1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1010"/>
        <w:spacing w:before="120" w:after="120"/>
        <w:rPr>
          <w:rFonts w:hAnsi="宋体"/>
          <w:b/>
          <w:sz w:val="24"/>
          <w:szCs w:val="24"/>
        </w:rPr>
      </w:pPr>
      <w:r>
        <w:rPr>
          <w:rFonts w:hAnsi="宋体"/>
          <w:b/>
          <w:sz w:val="24"/>
          <w:szCs w:val="24"/>
        </w:rPr>
        <w:t xml:space="preserve">二、合同金额</w:t>
      </w:r>
      <w:r/>
    </w:p>
    <w:p>
      <w:pPr>
        <w:pStyle w:val="1010"/>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1010"/>
        <w:spacing w:before="120" w:after="120"/>
        <w:rPr>
          <w:rFonts w:hAnsi="宋体"/>
          <w:b/>
          <w:sz w:val="24"/>
          <w:szCs w:val="24"/>
        </w:rPr>
      </w:pPr>
      <w:r>
        <w:rPr>
          <w:rFonts w:hAnsi="宋体"/>
          <w:b/>
          <w:sz w:val="24"/>
          <w:szCs w:val="24"/>
        </w:rPr>
        <w:t xml:space="preserve">三、技术资料</w:t>
      </w:r>
      <w:r/>
    </w:p>
    <w:p>
      <w:pPr>
        <w:pStyle w:val="101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1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10"/>
        <w:ind w:left="412" w:hanging="412"/>
        <w:spacing w:before="120" w:after="120"/>
        <w:rPr>
          <w:rFonts w:hAnsi="宋体"/>
          <w:b/>
          <w:sz w:val="24"/>
          <w:szCs w:val="24"/>
        </w:rPr>
      </w:pPr>
      <w:r>
        <w:rPr>
          <w:rFonts w:hAnsi="宋体"/>
          <w:b/>
          <w:sz w:val="24"/>
          <w:szCs w:val="24"/>
        </w:rPr>
        <w:t xml:space="preserve">四、知识产权</w:t>
      </w:r>
      <w:r/>
    </w:p>
    <w:p>
      <w:pPr>
        <w:pStyle w:val="101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1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1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10"/>
        <w:ind w:left="410" w:hanging="410"/>
        <w:spacing w:before="120" w:after="120"/>
        <w:rPr>
          <w:rFonts w:hAnsi="宋体"/>
          <w:b/>
          <w:sz w:val="24"/>
          <w:szCs w:val="24"/>
        </w:rPr>
      </w:pPr>
      <w:r>
        <w:rPr>
          <w:rFonts w:hAnsi="宋体"/>
          <w:b/>
          <w:sz w:val="24"/>
          <w:szCs w:val="24"/>
        </w:rPr>
        <w:t xml:space="preserve">六、履约保证金</w:t>
      </w:r>
      <w:r/>
    </w:p>
    <w:p>
      <w:pPr>
        <w:pStyle w:val="1010"/>
        <w:ind w:left="408" w:hanging="408"/>
        <w:spacing w:before="120" w:after="120"/>
        <w:rPr>
          <w:rFonts w:hAnsi="宋体"/>
          <w:sz w:val="24"/>
          <w:szCs w:val="24"/>
        </w:rPr>
      </w:pPr>
      <w:r>
        <w:rPr>
          <w:rFonts w:hint="eastAsia" w:hAnsi="宋体" w:cs="Times New Roman"/>
          <w:sz w:val="24"/>
          <w:szCs w:val="24"/>
        </w:rPr>
        <w:t xml:space="preserve">本项目不收取履约保证金</w:t>
      </w:r>
      <w:r>
        <w:rPr>
          <w:rFonts w:hAnsi="宋体" w:cs="Times New Roman"/>
          <w:sz w:val="24"/>
          <w:szCs w:val="24"/>
        </w:rPr>
        <w:t xml:space="preserve">。</w:t>
      </w:r>
      <w:r>
        <w:rPr>
          <w:rFonts w:hAnsi="宋体"/>
          <w:sz w:val="24"/>
          <w:szCs w:val="24"/>
        </w:rPr>
      </w:r>
      <w:r/>
    </w:p>
    <w:p>
      <w:pPr>
        <w:pStyle w:val="971"/>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71"/>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971"/>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971"/>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1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71"/>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1084"/>
        <w:spacing w:line="480" w:lineRule="exact"/>
        <w:rPr>
          <w:rFonts w:hAnsi="宋体" w:cs="Times New Roman"/>
          <w:sz w:val="24"/>
          <w:szCs w:val="24"/>
          <w:u w:val="single"/>
        </w:rPr>
      </w:pPr>
      <w:r>
        <w:rPr>
          <w:rFonts w:hAnsi="宋体" w:cs="Times New Roman"/>
          <w:sz w:val="24"/>
          <w:szCs w:val="24"/>
        </w:rPr>
        <w:t xml:space="preserve">付款方式：合同生效且收到发票后支付30%，验收合格且收到发票后支付60%，验收合格半年后且收到发票后支付10%。</w:t>
      </w:r>
      <w:r>
        <w:rPr>
          <w:rFonts w:hAnsi="宋体" w:cs="Times New Roman"/>
          <w:sz w:val="24"/>
          <w:szCs w:val="24"/>
          <w:u w:val="single"/>
        </w:rPr>
      </w:r>
      <w:r/>
    </w:p>
    <w:p>
      <w:pPr>
        <w:pStyle w:val="971"/>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71"/>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w:t>
      </w:r>
      <w:r>
        <w:rPr>
          <w:rFonts w:hint="eastAsia" w:ascii="宋体" w:hAnsi="宋体"/>
          <w:sz w:val="24"/>
          <w:szCs w:val="24"/>
        </w:rPr>
        <w:t xml:space="preserve">担。</w:t>
      </w:r>
      <w:r>
        <w:rPr>
          <w:rFonts w:ascii="宋体" w:hAnsi="宋体" w:eastAsia="仿宋_GB2312"/>
          <w:sz w:val="24"/>
          <w:szCs w:val="24"/>
        </w:rPr>
      </w:r>
      <w:r/>
    </w:p>
    <w:p>
      <w:pPr>
        <w:pStyle w:val="101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101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101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1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101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101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1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1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10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10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10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101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101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101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101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101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101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1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101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101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101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101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1010"/>
        <w:ind w:left="480" w:hanging="480"/>
        <w:spacing w:before="120" w:after="120" w:line="0" w:lineRule="atLeast"/>
        <w:rPr>
          <w:rFonts w:hAnsi="宋体"/>
          <w:sz w:val="24"/>
          <w:szCs w:val="24"/>
        </w:rPr>
      </w:pPr>
      <w:r>
        <w:rPr>
          <w:rFonts w:hAnsi="宋体"/>
          <w:sz w:val="24"/>
          <w:szCs w:val="24"/>
        </w:rPr>
        <w:t xml:space="preserve">  甲方：                        乙方： </w:t>
      </w:r>
      <w:r/>
    </w:p>
    <w:p>
      <w:pPr>
        <w:pStyle w:val="101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101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101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10"/>
        <w:jc w:val="center"/>
        <w:spacing w:before="120" w:after="120" w:line="0" w:lineRule="atLeast"/>
      </w:pPr>
      <w:r>
        <w:rPr>
          <w:rFonts w:hint="eastAsia"/>
        </w:rPr>
        <w:t xml:space="preserve">                                         </w:t>
      </w:r>
      <w:r/>
    </w:p>
    <w:p>
      <w:pPr>
        <w:pStyle w:val="1010"/>
        <w:jc w:val="right"/>
        <w:spacing w:before="120" w:after="120" w:line="0" w:lineRule="atLeast"/>
        <w:rPr>
          <w:sz w:val="24"/>
          <w:szCs w:val="24"/>
        </w:rPr>
      </w:pPr>
      <w:r>
        <w:rPr>
          <w:rFonts w:hint="eastAsia"/>
          <w:sz w:val="24"/>
          <w:szCs w:val="24"/>
        </w:rPr>
        <w:t xml:space="preserve"> </w:t>
      </w:r>
      <w:r>
        <w:rPr>
          <w:sz w:val="24"/>
          <w:szCs w:val="24"/>
        </w:rPr>
      </w:r>
      <w:r/>
    </w:p>
    <w:p>
      <w:pPr>
        <w:pStyle w:val="1010"/>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20823346"/>
      <w:r/>
      <w:bookmarkStart w:id="188" w:name="_Toc16938590"/>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971"/>
        <w:spacing w:line="0" w:lineRule="atLeast"/>
        <w:rPr>
          <w:rFonts w:ascii="宋体" w:hAnsi="宋体"/>
          <w:b/>
          <w:color w:val="000000"/>
          <w:sz w:val="24"/>
          <w:szCs w:val="24"/>
        </w:rPr>
      </w:pPr>
      <w:r/>
      <w:bookmarkStart w:id="191" w:name="_Toc26554093"/>
      <w:r/>
      <w:bookmarkStart w:id="192"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pStyle w:val="971"/>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971"/>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971"/>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一</w:t>
            </w:r>
            <w:r/>
          </w:p>
        </w:tc>
        <w:tc>
          <w:tcPr>
            <w:tcW w:w="545" w:type="dxa"/>
            <w:vAlign w:val="top"/>
            <w:textDirection w:val="lrTb"/>
            <w:noWrap w:val="false"/>
          </w:tcPr>
          <w:p>
            <w:pPr>
              <w:pStyle w:val="971"/>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center"/>
            <w:textDirection w:val="lrTb"/>
            <w:noWrap w:val="false"/>
          </w:tcPr>
          <w:p>
            <w:pPr>
              <w:pStyle w:val="971"/>
              <w:jc w:val="center"/>
              <w:spacing w:line="240" w:lineRule="exact"/>
              <w:tabs>
                <w:tab w:val="left" w:pos="2020" w:leader="none"/>
              </w:tabs>
              <w:rPr>
                <w:rFonts w:ascii="宋体" w:hAnsi="宋体"/>
                <w:sz w:val="24"/>
                <w:szCs w:val="24"/>
              </w:rPr>
            </w:pPr>
            <w:r>
              <w:rPr>
                <w:rFonts w:hint="eastAsia" w:ascii="宋体" w:hAnsi="宋体"/>
                <w:sz w:val="24"/>
                <w:szCs w:val="24"/>
              </w:rPr>
              <w:t xml:space="preserve">辅助生殖技术管理系统</w:t>
            </w:r>
            <w:r>
              <w:rPr>
                <w:rFonts w:ascii="宋体" w:hAnsi="宋体"/>
                <w:sz w:val="24"/>
                <w:szCs w:val="24"/>
              </w:rPr>
            </w:r>
            <w:r/>
          </w:p>
        </w:tc>
        <w:tc>
          <w:tcPr>
            <w:tcW w:w="2852" w:type="dxa"/>
            <w:vAlign w:val="center"/>
            <w:textDirection w:val="lrTb"/>
            <w:noWrap w:val="false"/>
          </w:tcPr>
          <w:p>
            <w:pPr>
              <w:pStyle w:val="971"/>
              <w:jc w:val="center"/>
              <w:spacing w:line="240" w:lineRule="exact"/>
              <w:rPr>
                <w:rFonts w:ascii="宋体" w:hAnsi="宋体"/>
                <w:sz w:val="24"/>
                <w:szCs w:val="24"/>
              </w:rPr>
            </w:pPr>
            <w:r>
              <w:fldChar w:fldCharType="begin"/>
            </w:r>
            <w:r>
              <w:instrText xml:space="preserve"> HYPERLINK "https://baike.baidu.com/item/%E8%BD%AF%E4%BB%B6%E5%92%8C%E4%BF%A1%E6%81%AF%E6%8A%80%E6%9C%AF%E6%9C%8D%E5%8A%A1%E4%B8%9A/60200450?fromModule=lemma_inlink" \t "https://baike.baidu.com/item/%E4%B8%AD%E5%B0%8F%E4%BC%81%E4%B8%9A/_blank" </w:instrText>
            </w:r>
            <w:r>
              <w:fldChar w:fldCharType="separate"/>
            </w:r>
            <w:r>
              <w:rPr>
                <w:rFonts w:ascii="宋体" w:hAnsi="宋体"/>
                <w:sz w:val="24"/>
                <w:szCs w:val="24"/>
              </w:rPr>
              <w:t xml:space="preserve">软件和信息技术服务业</w:t>
            </w:r>
            <w:r>
              <w:rPr>
                <w:rFonts w:ascii="宋体" w:hAnsi="宋体"/>
                <w:sz w:val="24"/>
                <w:szCs w:val="24"/>
              </w:rPr>
              <w:fldChar w:fldCharType="end"/>
            </w:r>
            <w:r>
              <w:rPr>
                <w:rFonts w:ascii="宋体" w:hAnsi="宋体"/>
                <w:sz w:val="24"/>
                <w:szCs w:val="24"/>
              </w:rPr>
            </w:r>
            <w:r/>
          </w:p>
        </w:tc>
      </w:tr>
    </w:tbl>
    <w:p>
      <w:pPr>
        <w:pStyle w:val="971"/>
        <w:spacing w:line="0" w:lineRule="atLeast"/>
        <w:rPr>
          <w:rFonts w:ascii="宋体" w:hAnsi="宋体"/>
          <w:b/>
          <w:color w:val="000000"/>
          <w:sz w:val="24"/>
          <w:szCs w:val="24"/>
        </w:rPr>
      </w:pPr>
      <w:r>
        <w:rPr>
          <w:rFonts w:ascii="宋体" w:hAnsi="宋体"/>
          <w:b/>
          <w:color w:val="000000"/>
          <w:sz w:val="24"/>
          <w:szCs w:val="24"/>
        </w:rPr>
      </w:r>
      <w:r/>
    </w:p>
    <w:p>
      <w:pPr>
        <w:pStyle w:val="971"/>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pStyle w:val="971"/>
        <w:spacing w:line="0" w:lineRule="atLeast"/>
        <w:rPr>
          <w:rFonts w:hint="eastAsia" w:ascii="宋体" w:hAnsi="宋体"/>
          <w:b/>
          <w:bCs/>
          <w:color w:val="000000"/>
          <w:sz w:val="32"/>
          <w:szCs w:val="32"/>
          <w:u w:val="single"/>
        </w:rPr>
      </w:pPr>
      <w:r>
        <w:rPr>
          <w:rFonts w:hint="eastAsia" w:ascii="宋体" w:hAnsi="宋体"/>
          <w:b/>
          <w:bCs/>
          <w:i/>
          <w:color w:val="000000"/>
          <w:sz w:val="32"/>
          <w:szCs w:val="32"/>
          <w:u w:val="single"/>
        </w:rPr>
        <w:t xml:space="preserve">斜体且有下划线部分</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hint="eastAsia" w:ascii="宋体" w:hAnsi="宋体"/>
          <w:b/>
          <w:bCs/>
          <w:color w:val="000000"/>
          <w:sz w:val="32"/>
          <w:szCs w:val="32"/>
          <w:u w:val="single"/>
        </w:rPr>
      </w:r>
      <w:r/>
    </w:p>
    <w:p>
      <w:pPr>
        <w:pStyle w:val="971"/>
        <w:numPr>
          <w:ilvl w:val="0"/>
          <w:numId w:val="5"/>
        </w:numPr>
        <w:ind w:firstLine="0"/>
        <w:spacing w:line="360" w:lineRule="auto"/>
        <w:rPr>
          <w:b/>
          <w:bCs/>
          <w:sz w:val="24"/>
        </w:rPr>
      </w:pPr>
      <w:r>
        <w:rPr>
          <w:rFonts w:hint="eastAsia"/>
          <w:b/>
          <w:bCs/>
          <w:sz w:val="24"/>
        </w:rPr>
        <w:t xml:space="preserve">门诊患者管理</w:t>
      </w:r>
      <w:r>
        <w:rPr>
          <w:b/>
          <w:bCs/>
          <w:sz w:val="24"/>
        </w:rPr>
      </w:r>
      <w:r/>
    </w:p>
    <w:p>
      <w:pPr>
        <w:pStyle w:val="971"/>
        <w:numPr>
          <w:ilvl w:val="0"/>
          <w:numId w:val="6"/>
        </w:numPr>
        <w:ind w:left="425" w:hanging="425"/>
        <w:spacing w:line="360" w:lineRule="auto"/>
        <w:rPr>
          <w:sz w:val="24"/>
        </w:rPr>
      </w:pPr>
      <w:r>
        <w:rPr>
          <w:rFonts w:hint="eastAsia"/>
          <w:sz w:val="24"/>
        </w:rPr>
        <w:t xml:space="preserve">门诊建档</w:t>
      </w:r>
      <w:r>
        <w:rPr>
          <w:sz w:val="24"/>
        </w:rPr>
      </w:r>
      <w:r/>
    </w:p>
    <w:p>
      <w:pPr>
        <w:pStyle w:val="971"/>
        <w:numPr>
          <w:ilvl w:val="0"/>
          <w:numId w:val="7"/>
        </w:numPr>
        <w:ind w:firstLine="480"/>
        <w:spacing w:line="360" w:lineRule="auto"/>
        <w:rPr>
          <w:sz w:val="24"/>
        </w:rPr>
      </w:pPr>
      <w:r>
        <w:rPr>
          <w:rFonts w:hint="eastAsia"/>
          <w:sz w:val="24"/>
        </w:rPr>
        <w:t xml:space="preserve">患者基础档案信息：姓名、证件号、证件类型、分组、来源等信息进行登记录入；可从APP、挂号接口、HIS接口同步患者信息后进行自动建门诊档案；支持患者就诊卡号绑定、解绑切换功能；</w:t>
      </w:r>
      <w:r>
        <w:rPr>
          <w:sz w:val="24"/>
        </w:rPr>
      </w:r>
      <w:r/>
    </w:p>
    <w:p>
      <w:pPr>
        <w:pStyle w:val="971"/>
        <w:numPr>
          <w:ilvl w:val="0"/>
          <w:numId w:val="7"/>
        </w:numPr>
        <w:ind w:firstLine="480"/>
        <w:spacing w:line="360" w:lineRule="auto"/>
        <w:rPr>
          <w:sz w:val="24"/>
        </w:rPr>
      </w:pPr>
      <w:r>
        <w:rPr>
          <w:rFonts w:hint="eastAsia"/>
          <w:sz w:val="24"/>
        </w:rPr>
        <w:t xml:space="preserve">男女方进行配对，并能根据周期建档变更信息（配偶发生变更）自动进行解除当前配对；支持展示当前患者的历史配对信息。</w:t>
      </w:r>
      <w:r>
        <w:rPr>
          <w:sz w:val="24"/>
        </w:rPr>
      </w:r>
      <w:r/>
    </w:p>
    <w:p>
      <w:pPr>
        <w:pStyle w:val="971"/>
        <w:numPr>
          <w:ilvl w:val="0"/>
          <w:numId w:val="6"/>
        </w:numPr>
        <w:ind w:left="425" w:hanging="425"/>
        <w:spacing w:line="360" w:lineRule="auto"/>
        <w:rPr>
          <w:sz w:val="24"/>
        </w:rPr>
      </w:pPr>
      <w:r>
        <w:rPr>
          <w:sz w:val="24"/>
        </w:rPr>
        <w:t xml:space="preserve">门诊病历</w:t>
      </w:r>
      <w:r/>
    </w:p>
    <w:p>
      <w:pPr>
        <w:pStyle w:val="971"/>
        <w:numPr>
          <w:ilvl w:val="0"/>
          <w:numId w:val="8"/>
        </w:numPr>
        <w:ind w:firstLine="480"/>
        <w:spacing w:line="360" w:lineRule="auto"/>
        <w:rPr>
          <w:sz w:val="24"/>
        </w:rPr>
      </w:pPr>
      <w:r>
        <w:rPr>
          <w:rFonts w:hint="eastAsia"/>
          <w:sz w:val="24"/>
        </w:rPr>
        <w:t xml:space="preserve">提供</w:t>
      </w:r>
      <w:r>
        <w:rPr>
          <w:sz w:val="24"/>
        </w:rPr>
        <w:t xml:space="preserve">生殖男方病历、女方病历、PCOS病历、复发性流产、中医门诊、遗传咨询、生育力保存咨询等多种专科门诊病历；</w:t>
      </w:r>
      <w:r>
        <w:rPr>
          <w:rFonts w:hint="eastAsia"/>
          <w:sz w:val="24"/>
        </w:rPr>
        <w:t xml:space="preserve">支持科室定制化专科模板；提供结构化病历功能。预留专病病历定制和兼容接口；</w:t>
      </w:r>
      <w:r>
        <w:rPr>
          <w:sz w:val="24"/>
        </w:rPr>
      </w:r>
      <w:r/>
    </w:p>
    <w:p>
      <w:pPr>
        <w:pStyle w:val="971"/>
        <w:numPr>
          <w:ilvl w:val="0"/>
          <w:numId w:val="8"/>
        </w:numPr>
        <w:ind w:firstLine="480"/>
        <w:spacing w:line="360" w:lineRule="auto"/>
        <w:rPr>
          <w:sz w:val="24"/>
        </w:rPr>
      </w:pPr>
      <w:r>
        <w:rPr>
          <w:rFonts w:hint="eastAsia"/>
          <w:sz w:val="24"/>
        </w:rPr>
        <w:t xml:space="preserve">根据科室需求，提供</w:t>
      </w:r>
      <w:r>
        <w:rPr>
          <w:sz w:val="24"/>
        </w:rPr>
        <w:t xml:space="preserve">不同病历类型内容模版的个性化配置；支持初诊、复诊等</w:t>
      </w:r>
      <w:r>
        <w:rPr>
          <w:rFonts w:hint="eastAsia"/>
          <w:sz w:val="24"/>
        </w:rPr>
        <w:t xml:space="preserve">多种</w:t>
      </w:r>
      <w:r>
        <w:rPr>
          <w:sz w:val="24"/>
        </w:rPr>
        <w:t xml:space="preserve">病历显示方式</w:t>
      </w:r>
      <w:r>
        <w:rPr>
          <w:rFonts w:hint="eastAsia"/>
          <w:sz w:val="24"/>
        </w:rPr>
        <w:t xml:space="preserve">；</w:t>
      </w:r>
      <w:r>
        <w:rPr>
          <w:sz w:val="24"/>
        </w:rPr>
        <w:t xml:space="preserve">男女双方门诊病历的共享及联合浏览</w:t>
      </w:r>
      <w:r>
        <w:rPr>
          <w:rFonts w:hint="eastAsia"/>
          <w:sz w:val="24"/>
        </w:rPr>
        <w:t xml:space="preserve">等；</w:t>
      </w:r>
      <w:r>
        <w:rPr>
          <w:sz w:val="24"/>
        </w:rPr>
      </w:r>
      <w:r/>
    </w:p>
    <w:p>
      <w:pPr>
        <w:pStyle w:val="971"/>
        <w:numPr>
          <w:ilvl w:val="0"/>
          <w:numId w:val="8"/>
        </w:numPr>
        <w:ind w:firstLine="480"/>
        <w:spacing w:line="360" w:lineRule="auto"/>
      </w:pPr>
      <w:r>
        <w:rPr>
          <w:sz w:val="24"/>
        </w:rPr>
        <w:t xml:space="preserve">支持</w:t>
      </w:r>
      <w:r>
        <w:rPr>
          <w:rFonts w:hint="eastAsia"/>
          <w:sz w:val="24"/>
        </w:rPr>
        <w:t xml:space="preserve">对接医院微信公众号、门诊电子病历等等获取患者预检信息、历史就诊记录等等相关信息</w:t>
      </w:r>
      <w:r>
        <w:rPr>
          <w:sz w:val="24"/>
        </w:rPr>
        <w:t xml:space="preserve">；支持主诉、现病史、诊断与HIS系统同步</w:t>
      </w:r>
      <w:r>
        <w:rPr>
          <w:rFonts w:hint="eastAsia"/>
          <w:sz w:val="24"/>
        </w:rPr>
        <w:t xml:space="preserve">。</w:t>
      </w:r>
      <w:r/>
    </w:p>
    <w:p>
      <w:pPr>
        <w:pStyle w:val="971"/>
        <w:numPr>
          <w:ilvl w:val="0"/>
          <w:numId w:val="6"/>
        </w:numPr>
        <w:ind w:left="425" w:hanging="425"/>
        <w:spacing w:line="360" w:lineRule="auto"/>
        <w:rPr>
          <w:sz w:val="24"/>
        </w:rPr>
      </w:pPr>
      <w:r>
        <w:rPr>
          <w:sz w:val="24"/>
        </w:rPr>
        <w:t xml:space="preserve">病历书写</w:t>
      </w:r>
      <w:r/>
    </w:p>
    <w:p>
      <w:pPr>
        <w:pStyle w:val="971"/>
        <w:numPr>
          <w:ilvl w:val="0"/>
          <w:numId w:val="9"/>
        </w:numPr>
        <w:ind w:firstLine="480"/>
        <w:spacing w:line="360" w:lineRule="auto"/>
        <w:rPr>
          <w:sz w:val="24"/>
        </w:rPr>
      </w:pPr>
      <w:r>
        <w:rPr>
          <w:rFonts w:hint="eastAsia"/>
          <w:sz w:val="24"/>
        </w:rPr>
        <w:t xml:space="preserve">提供</w:t>
      </w:r>
      <w:r>
        <w:rPr>
          <w:sz w:val="24"/>
        </w:rPr>
        <w:t xml:space="preserve">基于全科的诊断模版库实现对患者诊断的标准化及快速录入；支持医务人员查看历史病历信息，</w:t>
      </w:r>
      <w:r>
        <w:rPr>
          <w:rFonts w:hint="eastAsia"/>
          <w:sz w:val="24"/>
        </w:rPr>
        <w:t xml:space="preserve">引用</w:t>
      </w:r>
      <w:r>
        <w:rPr>
          <w:sz w:val="24"/>
        </w:rPr>
        <w:t xml:space="preserve">历史病历；</w:t>
      </w:r>
      <w:r>
        <w:rPr>
          <w:rFonts w:hint="eastAsia"/>
          <w:sz w:val="24"/>
        </w:rPr>
        <w:t xml:space="preserve">可</w:t>
      </w:r>
      <w:r>
        <w:rPr>
          <w:sz w:val="24"/>
        </w:rPr>
        <w:t xml:space="preserve">动态插入患者检查化验报告至当前病历；可根据项目名称、范围值、数据值、检查日期字段等进行筛选与复制；</w:t>
      </w:r>
      <w:r/>
    </w:p>
    <w:p>
      <w:pPr>
        <w:pStyle w:val="971"/>
        <w:numPr>
          <w:ilvl w:val="0"/>
          <w:numId w:val="9"/>
        </w:numPr>
        <w:ind w:firstLine="480"/>
        <w:spacing w:line="360" w:lineRule="auto"/>
        <w:rPr>
          <w:sz w:val="24"/>
        </w:rPr>
      </w:pPr>
      <w:r>
        <w:rPr>
          <w:sz w:val="24"/>
        </w:rPr>
        <w:t xml:space="preserve">医务人员对历史病历信息进行动态插入或引用，并根据主诉、病史、既往史、婚育史等模块进行筛选</w:t>
      </w:r>
      <w:r>
        <w:rPr>
          <w:rFonts w:hint="eastAsia"/>
          <w:sz w:val="24"/>
        </w:rPr>
        <w:t xml:space="preserve">；</w:t>
      </w:r>
      <w:r>
        <w:rPr>
          <w:sz w:val="24"/>
        </w:rPr>
        <w:t xml:space="preserve">设定科室公共/个人的常用语模版，实现病历中快速插入常用语；支持设定动态引用模版，在固定医疗语句中插入患者基本信息、诊疗信息等字段，动态引用患者数据，提高书写效率；</w:t>
      </w:r>
      <w:r/>
    </w:p>
    <w:p>
      <w:pPr>
        <w:pStyle w:val="971"/>
        <w:numPr>
          <w:ilvl w:val="0"/>
          <w:numId w:val="6"/>
        </w:numPr>
        <w:ind w:left="425" w:hanging="425"/>
        <w:spacing w:line="360" w:lineRule="auto"/>
        <w:rPr>
          <w:sz w:val="24"/>
        </w:rPr>
      </w:pPr>
      <w:r>
        <w:rPr>
          <w:sz w:val="24"/>
        </w:rPr>
        <w:t xml:space="preserve">门诊手术记录</w:t>
      </w:r>
      <w:r>
        <w:rPr>
          <w:rFonts w:hint="eastAsia"/>
          <w:sz w:val="24"/>
        </w:rPr>
        <w:t xml:space="preserve">：</w:t>
      </w:r>
      <w:r>
        <w:rPr>
          <w:sz w:val="24"/>
        </w:rPr>
        <w:t xml:space="preserve">门诊</w:t>
      </w:r>
      <w:r>
        <w:rPr>
          <w:rFonts w:hint="eastAsia"/>
          <w:sz w:val="24"/>
        </w:rPr>
        <w:t xml:space="preserve">模块</w:t>
      </w:r>
      <w:r>
        <w:rPr>
          <w:sz w:val="24"/>
        </w:rPr>
        <w:t xml:space="preserve">要可以支持记录减胎、睾丸穿刺、囊肿穿刺、宫腔镜</w:t>
      </w:r>
      <w:r>
        <w:rPr>
          <w:rFonts w:hint="eastAsia"/>
          <w:sz w:val="24"/>
        </w:rPr>
        <w:t xml:space="preserve">、羊水穿刺手术、绒毛膜穿刺手术</w:t>
      </w:r>
      <w:r>
        <w:rPr>
          <w:sz w:val="24"/>
        </w:rPr>
        <w:t xml:space="preserve">等各种手术</w:t>
      </w:r>
      <w:r>
        <w:rPr>
          <w:rFonts w:hint="eastAsia"/>
          <w:sz w:val="24"/>
        </w:rPr>
        <w:t xml:space="preserve">记录</w:t>
      </w:r>
      <w:r>
        <w:rPr>
          <w:sz w:val="24"/>
        </w:rPr>
        <w:t xml:space="preserve">，手术内容需按科室要求进行定制，打印版面按科室要求进行设计。</w:t>
      </w:r>
      <w:r/>
    </w:p>
    <w:p>
      <w:pPr>
        <w:pStyle w:val="971"/>
        <w:numPr>
          <w:ilvl w:val="0"/>
          <w:numId w:val="6"/>
        </w:numPr>
        <w:ind w:left="425" w:hanging="425"/>
        <w:spacing w:line="360" w:lineRule="auto"/>
        <w:rPr>
          <w:sz w:val="24"/>
        </w:rPr>
      </w:pPr>
      <w:r>
        <w:rPr>
          <w:sz w:val="24"/>
        </w:rPr>
        <w:t xml:space="preserve">门诊排卵监测</w:t>
      </w:r>
      <w:r/>
    </w:p>
    <w:p>
      <w:pPr>
        <w:pStyle w:val="971"/>
        <w:numPr>
          <w:ilvl w:val="0"/>
          <w:numId w:val="10"/>
        </w:numPr>
        <w:ind w:firstLine="480"/>
        <w:spacing w:line="360" w:lineRule="auto"/>
        <w:rPr>
          <w:sz w:val="24"/>
        </w:rPr>
      </w:pPr>
      <w:r>
        <w:rPr>
          <w:sz w:val="24"/>
        </w:rPr>
        <w:t xml:space="preserve">对卵泡情况、内膜情况、卵巢情况、血结果和用药医嘱等信息进行电子化记录</w:t>
      </w:r>
      <w:r>
        <w:rPr>
          <w:rFonts w:hint="eastAsia"/>
          <w:sz w:val="24"/>
        </w:rPr>
        <w:t xml:space="preserve">；</w:t>
      </w:r>
      <w:r>
        <w:rPr>
          <w:sz w:val="24"/>
        </w:rPr>
        <w:t xml:space="preserve">支持以初诊病历为纬度，对多个月经周期的卵泡监测情况进行记录</w:t>
      </w:r>
      <w:r>
        <w:rPr>
          <w:rFonts w:hint="eastAsia"/>
          <w:sz w:val="24"/>
        </w:rPr>
        <w:t xml:space="preserve">；</w:t>
      </w:r>
      <w:r>
        <w:rPr>
          <w:sz w:val="24"/>
        </w:rPr>
      </w:r>
      <w:r/>
    </w:p>
    <w:p>
      <w:pPr>
        <w:pStyle w:val="971"/>
        <w:spacing w:line="360" w:lineRule="auto"/>
        <w:rPr>
          <w:sz w:val="24"/>
        </w:rPr>
      </w:pPr>
      <w:r>
        <w:rPr>
          <w:sz w:val="24"/>
        </w:rPr>
        <w:t xml:space="preserve">支持自动或手工导入LIS化验（性激素）结果、医嘱等信息；支持同B超机（特定型号）对接导入卵泡数据</w:t>
      </w:r>
      <w:r>
        <w:rPr>
          <w:rFonts w:hint="eastAsia"/>
          <w:sz w:val="24"/>
        </w:rPr>
        <w:t xml:space="preserve">；</w:t>
      </w:r>
      <w:r>
        <w:rPr>
          <w:sz w:val="24"/>
        </w:rPr>
        <w:t xml:space="preserve">支持对排卵监测数据进行预览查看及打印；</w:t>
      </w:r>
      <w:r/>
    </w:p>
    <w:p>
      <w:pPr>
        <w:pStyle w:val="971"/>
        <w:numPr>
          <w:ilvl w:val="0"/>
          <w:numId w:val="10"/>
        </w:numPr>
        <w:ind w:firstLine="480"/>
        <w:spacing w:line="360" w:lineRule="auto"/>
        <w:rPr>
          <w:sz w:val="24"/>
        </w:rPr>
      </w:pPr>
      <w:r>
        <w:rPr>
          <w:rFonts w:hint="eastAsia"/>
          <w:sz w:val="24"/>
        </w:rPr>
        <w:t xml:space="preserve">可</w:t>
      </w:r>
      <w:r>
        <w:rPr>
          <w:sz w:val="24"/>
        </w:rPr>
        <w:t xml:space="preserve">按监测日期对各类型药物进行分类或集中显示；用药量（GN等）的自动计算、显示与风险预警</w:t>
      </w:r>
      <w:r>
        <w:rPr>
          <w:rFonts w:hint="eastAsia"/>
          <w:sz w:val="24"/>
        </w:rPr>
        <w:t xml:space="preserve">。</w:t>
      </w:r>
      <w:r>
        <w:rPr>
          <w:sz w:val="24"/>
        </w:rPr>
      </w:r>
      <w:r/>
    </w:p>
    <w:p>
      <w:pPr>
        <w:pStyle w:val="971"/>
        <w:numPr>
          <w:ilvl w:val="0"/>
          <w:numId w:val="6"/>
        </w:numPr>
        <w:ind w:left="425" w:hanging="425"/>
        <w:spacing w:line="360" w:lineRule="auto"/>
        <w:rPr>
          <w:sz w:val="24"/>
        </w:rPr>
      </w:pPr>
      <w:r>
        <w:rPr>
          <w:sz w:val="24"/>
        </w:rPr>
        <w:t xml:space="preserve">医患沟通：记录患者从最初来院治疗到治疗结束过程中所有医生对患者的交代以及沟通的详细信息，支持续打。 </w:t>
      </w:r>
      <w:r/>
    </w:p>
    <w:p>
      <w:pPr>
        <w:pStyle w:val="971"/>
        <w:numPr>
          <w:ilvl w:val="0"/>
          <w:numId w:val="6"/>
        </w:numPr>
        <w:ind w:left="425" w:hanging="425"/>
        <w:spacing w:line="360" w:lineRule="auto"/>
        <w:rPr>
          <w:sz w:val="24"/>
        </w:rPr>
      </w:pPr>
      <w:r>
        <w:rPr>
          <w:sz w:val="24"/>
        </w:rPr>
        <w:t xml:space="preserve">初诊患者随访：包括门诊减胎手术随访数据录入，产检随访数据录入，能自动提醒医务人员哪些患者需要随访，生成随访任务。 </w:t>
      </w:r>
      <w:r/>
    </w:p>
    <w:p>
      <w:pPr>
        <w:pStyle w:val="971"/>
        <w:numPr>
          <w:ilvl w:val="0"/>
          <w:numId w:val="6"/>
        </w:numPr>
        <w:ind w:left="425" w:hanging="425"/>
        <w:spacing w:line="360" w:lineRule="auto"/>
        <w:rPr>
          <w:sz w:val="24"/>
        </w:rPr>
      </w:pPr>
      <w:r>
        <w:rPr>
          <w:sz w:val="24"/>
        </w:rPr>
        <w:t xml:space="preserve">初诊统计：包括初诊患者统计、工作量统计、进周率、患者流失率统计等。</w:t>
      </w:r>
      <w:r/>
    </w:p>
    <w:p>
      <w:pPr>
        <w:pStyle w:val="971"/>
        <w:numPr>
          <w:ilvl w:val="0"/>
          <w:numId w:val="6"/>
        </w:numPr>
        <w:ind w:left="425" w:hanging="425"/>
        <w:spacing w:line="360" w:lineRule="auto"/>
        <w:rPr>
          <w:sz w:val="24"/>
        </w:rPr>
      </w:pPr>
      <w:r>
        <w:rPr>
          <w:sz w:val="24"/>
        </w:rPr>
        <w:t xml:space="preserve">全流程可追溯，确保病历</w:t>
      </w:r>
      <w:r>
        <w:rPr>
          <w:rFonts w:hint="eastAsia"/>
          <w:sz w:val="24"/>
        </w:rPr>
        <w:t xml:space="preserve">文书</w:t>
      </w:r>
      <w:r>
        <w:rPr>
          <w:sz w:val="24"/>
        </w:rPr>
        <w:t xml:space="preserve">历次</w:t>
      </w:r>
      <w:r>
        <w:rPr>
          <w:rFonts w:hint="eastAsia"/>
          <w:sz w:val="24"/>
        </w:rPr>
        <w:t xml:space="preserve">浏览记录、</w:t>
      </w:r>
      <w:r>
        <w:rPr>
          <w:sz w:val="24"/>
        </w:rPr>
        <w:t xml:space="preserve">操作痕迹、操作时间和操作人员等信息可查询、可追溯</w:t>
      </w:r>
      <w:r>
        <w:rPr>
          <w:rFonts w:hint="eastAsia"/>
          <w:sz w:val="24"/>
        </w:rPr>
        <w:t xml:space="preserve">。</w:t>
      </w:r>
      <w:r>
        <w:rPr>
          <w:sz w:val="24"/>
        </w:rPr>
      </w:r>
      <w:r/>
    </w:p>
    <w:p>
      <w:pPr>
        <w:pStyle w:val="971"/>
        <w:numPr>
          <w:ilvl w:val="0"/>
          <w:numId w:val="6"/>
        </w:numPr>
        <w:ind w:left="425" w:hanging="425"/>
        <w:spacing w:line="360" w:lineRule="auto"/>
        <w:rPr>
          <w:sz w:val="24"/>
        </w:rPr>
      </w:pPr>
      <w:r>
        <w:rPr>
          <w:rFonts w:hint="eastAsia"/>
          <w:sz w:val="24"/>
        </w:rPr>
        <w:t xml:space="preserve">分诊叫号队列管理</w:t>
      </w:r>
      <w:r>
        <w:rPr>
          <w:sz w:val="24"/>
        </w:rPr>
      </w:r>
      <w:r/>
    </w:p>
    <w:p>
      <w:pPr>
        <w:pStyle w:val="971"/>
        <w:numPr>
          <w:ilvl w:val="0"/>
          <w:numId w:val="11"/>
        </w:numPr>
        <w:ind w:firstLine="480"/>
        <w:spacing w:line="360" w:lineRule="auto"/>
        <w:rPr>
          <w:sz w:val="24"/>
        </w:rPr>
      </w:pPr>
      <w:r>
        <w:rPr>
          <w:sz w:val="24"/>
        </w:rPr>
        <w:t xml:space="preserve">生殖专科建档预约排队，支持患者在小程序上自助预约，系统判断是否具备进周要求；</w:t>
      </w:r>
      <w:r>
        <w:rPr>
          <w:rFonts w:hint="eastAsia"/>
          <w:sz w:val="24"/>
        </w:rPr>
        <w:t xml:space="preserve">与HIS对接获取门诊挂号信息，根据诊室人流、看诊习惯设置门诊/周期/回诊的比例，医生进行不同队列跳转呼叫；</w:t>
      </w:r>
      <w:r>
        <w:rPr>
          <w:sz w:val="24"/>
        </w:rPr>
      </w:r>
      <w:r/>
    </w:p>
    <w:p>
      <w:pPr>
        <w:pStyle w:val="971"/>
        <w:numPr>
          <w:ilvl w:val="0"/>
          <w:numId w:val="11"/>
        </w:numPr>
        <w:ind w:firstLine="480"/>
        <w:spacing w:line="360" w:lineRule="auto"/>
        <w:rPr>
          <w:sz w:val="24"/>
        </w:rPr>
      </w:pPr>
      <w:r>
        <w:rPr>
          <w:rFonts w:hint="eastAsia" w:ascii="宋体" w:hAnsi="宋体" w:cs="宋体"/>
          <w:sz w:val="24"/>
          <w:szCs w:val="24"/>
        </w:rPr>
        <w:t xml:space="preserve">▲</w:t>
      </w:r>
      <w:r>
        <w:rPr>
          <w:rFonts w:hint="eastAsia"/>
          <w:sz w:val="24"/>
        </w:rPr>
        <w:t xml:space="preserve">根据科室需求，对</w:t>
      </w:r>
      <w:r>
        <w:rPr>
          <w:sz w:val="24"/>
        </w:rPr>
        <w:t xml:space="preserve">生殖专科门诊B超</w:t>
      </w:r>
      <w:r>
        <w:rPr>
          <w:rFonts w:hint="eastAsia"/>
          <w:sz w:val="24"/>
        </w:rPr>
        <w:t xml:space="preserve">、注射、采血以及生殖检查项目、手术等预约到检叫号</w:t>
      </w:r>
      <w:r>
        <w:rPr>
          <w:sz w:val="24"/>
        </w:rPr>
        <w:t xml:space="preserve">，</w:t>
      </w:r>
      <w:r>
        <w:rPr>
          <w:rFonts w:hint="eastAsia"/>
          <w:sz w:val="24"/>
        </w:rPr>
        <w:t xml:space="preserve">与其他模块关联，可关联患者初诊/复诊/周期情况，可根据排队项目配置相应的专科规则</w:t>
      </w:r>
      <w:r>
        <w:rPr>
          <w:sz w:val="24"/>
        </w:rPr>
        <w:t xml:space="preserve">；</w:t>
      </w:r>
      <w:r/>
    </w:p>
    <w:p>
      <w:pPr>
        <w:pStyle w:val="971"/>
        <w:numPr>
          <w:ilvl w:val="0"/>
          <w:numId w:val="11"/>
        </w:numPr>
        <w:ind w:firstLine="480"/>
        <w:spacing w:line="360" w:lineRule="auto"/>
        <w:rPr>
          <w:sz w:val="24"/>
        </w:rPr>
      </w:pPr>
      <w:r>
        <w:rPr>
          <w:sz w:val="24"/>
        </w:rPr>
        <w:t xml:space="preserve">患者报到完成，会显示当前当前报到号码、前方等待人数、预计就诊时间</w:t>
      </w:r>
      <w:r>
        <w:rPr>
          <w:rFonts w:hint="eastAsia"/>
          <w:sz w:val="24"/>
        </w:rPr>
        <w:t xml:space="preserve">等</w:t>
      </w:r>
      <w:r>
        <w:rPr>
          <w:sz w:val="24"/>
        </w:rPr>
        <w:t xml:space="preserve">；</w:t>
      </w:r>
      <w:r>
        <w:rPr>
          <w:rFonts w:hint="eastAsia"/>
          <w:sz w:val="24"/>
        </w:rPr>
        <w:t xml:space="preserve">可与医院公众号/服务号对接，推送叫号消息提醒，查看排队情况；配置</w:t>
      </w:r>
      <w:r>
        <w:rPr>
          <w:sz w:val="24"/>
        </w:rPr>
        <w:t xml:space="preserve">独立的前台叫号分诊程序；</w:t>
      </w:r>
      <w:r>
        <w:rPr>
          <w:rFonts w:hint="eastAsia"/>
          <w:sz w:val="24"/>
        </w:rPr>
        <w:t xml:space="preserve">服务台可</w:t>
      </w:r>
      <w:r>
        <w:rPr>
          <w:sz w:val="24"/>
        </w:rPr>
        <w:t xml:space="preserve">根据患者证件或就诊二维码，人工帮助患者在异常条件下进行分诊报道；</w:t>
      </w:r>
      <w:r/>
    </w:p>
    <w:p>
      <w:pPr>
        <w:pStyle w:val="971"/>
        <w:numPr>
          <w:ilvl w:val="0"/>
          <w:numId w:val="11"/>
        </w:numPr>
        <w:ind w:firstLine="480"/>
        <w:spacing w:line="360" w:lineRule="auto"/>
        <w:rPr>
          <w:sz w:val="24"/>
        </w:rPr>
      </w:pPr>
      <w:r>
        <w:rPr>
          <w:rFonts w:hint="eastAsia"/>
          <w:sz w:val="24"/>
        </w:rPr>
        <w:t xml:space="preserve">支持分级叫号，</w:t>
      </w:r>
      <w:r>
        <w:rPr>
          <w:sz w:val="24"/>
        </w:rPr>
        <w:t xml:space="preserve">叫号大屏、二级分诊屏幕的信息进行可视化动态维护与管理，实时满足现场实际业务流程的变化与拓展；</w:t>
      </w:r>
      <w:r>
        <w:rPr>
          <w:rFonts w:hint="eastAsia"/>
          <w:sz w:val="24"/>
        </w:rPr>
        <w:t xml:space="preserve">可根据医院要求统一展示内容及风格；</w:t>
      </w:r>
      <w:r>
        <w:rPr>
          <w:sz w:val="24"/>
        </w:rPr>
        <w:t xml:space="preserve">根据语音外设设备，自定义播报自定义语音信息；</w:t>
      </w:r>
      <w:r/>
    </w:p>
    <w:p>
      <w:pPr>
        <w:pStyle w:val="971"/>
        <w:numPr>
          <w:ilvl w:val="0"/>
          <w:numId w:val="11"/>
        </w:numPr>
        <w:ind w:firstLine="480"/>
        <w:spacing w:line="360" w:lineRule="auto"/>
      </w:pPr>
      <w:r>
        <w:rPr>
          <w:sz w:val="24"/>
        </w:rPr>
        <w:t xml:space="preserve">医务人员</w:t>
      </w:r>
      <w:r>
        <w:rPr>
          <w:rFonts w:hint="eastAsia"/>
          <w:sz w:val="24"/>
        </w:rPr>
        <w:t xml:space="preserve">可</w:t>
      </w:r>
      <w:r>
        <w:rPr>
          <w:sz w:val="24"/>
        </w:rPr>
        <w:t xml:space="preserve">根据实际情况进行现场加号及优先级处理；</w:t>
      </w:r>
      <w:r>
        <w:rPr>
          <w:rFonts w:hint="eastAsia"/>
          <w:sz w:val="24"/>
        </w:rPr>
        <w:t xml:space="preserve">可根据门诊统一要求，根据年龄、病情等进行优先处理；服务台可</w:t>
      </w:r>
      <w:r>
        <w:rPr>
          <w:sz w:val="24"/>
        </w:rPr>
        <w:t xml:space="preserve">实时查看各队列的报道及就诊完成情况</w:t>
      </w:r>
      <w:r>
        <w:rPr>
          <w:rFonts w:hint="eastAsia"/>
          <w:sz w:val="24"/>
        </w:rPr>
        <w:t xml:space="preserve">。</w:t>
      </w:r>
      <w:r/>
    </w:p>
    <w:p>
      <w:pPr>
        <w:pStyle w:val="971"/>
        <w:numPr>
          <w:ilvl w:val="0"/>
          <w:numId w:val="5"/>
        </w:numPr>
        <w:ind w:firstLine="0"/>
        <w:spacing w:line="360" w:lineRule="auto"/>
        <w:rPr>
          <w:b/>
          <w:bCs/>
          <w:sz w:val="24"/>
        </w:rPr>
      </w:pPr>
      <w:r>
        <w:rPr>
          <w:rFonts w:hint="eastAsia"/>
          <w:b/>
          <w:bCs/>
          <w:sz w:val="24"/>
        </w:rPr>
        <w:t xml:space="preserve">周期患者管理模块</w:t>
      </w:r>
      <w:r>
        <w:rPr>
          <w:b/>
          <w:bCs/>
          <w:sz w:val="24"/>
        </w:rPr>
      </w:r>
      <w:r/>
    </w:p>
    <w:p>
      <w:pPr>
        <w:pStyle w:val="971"/>
        <w:numPr>
          <w:ilvl w:val="0"/>
          <w:numId w:val="12"/>
        </w:numPr>
        <w:ind w:left="425" w:hanging="425"/>
        <w:spacing w:line="360" w:lineRule="auto"/>
        <w:rPr>
          <w:sz w:val="24"/>
        </w:rPr>
      </w:pPr>
      <w:r>
        <w:rPr>
          <w:sz w:val="24"/>
        </w:rPr>
        <w:t xml:space="preserve">负责原系统历史数据的完整性，稳定的过渡切换到新系统，负责旧数据迁移工作。</w:t>
      </w:r>
      <w:r/>
    </w:p>
    <w:p>
      <w:pPr>
        <w:pStyle w:val="971"/>
        <w:numPr>
          <w:ilvl w:val="0"/>
          <w:numId w:val="12"/>
        </w:numPr>
        <w:ind w:left="425" w:hanging="425"/>
        <w:spacing w:line="360" w:lineRule="auto"/>
        <w:rPr>
          <w:sz w:val="24"/>
        </w:rPr>
      </w:pPr>
      <w:r>
        <w:rPr>
          <w:rFonts w:hint="eastAsia"/>
          <w:sz w:val="24"/>
        </w:rPr>
        <w:t xml:space="preserve">可</w:t>
      </w:r>
      <w:r>
        <w:rPr>
          <w:sz w:val="24"/>
        </w:rPr>
        <w:t xml:space="preserve">实现生殖中心患者预约、挂号、报到、叫号、接诊个性化、一体化管理</w:t>
      </w:r>
      <w:r>
        <w:rPr>
          <w:rFonts w:hint="eastAsia"/>
          <w:sz w:val="24"/>
        </w:rPr>
        <w:t xml:space="preserve">。</w:t>
      </w:r>
      <w:r>
        <w:rPr>
          <w:sz w:val="24"/>
        </w:rPr>
        <w:t xml:space="preserve"> </w:t>
      </w:r>
      <w:r/>
    </w:p>
    <w:p>
      <w:pPr>
        <w:pStyle w:val="971"/>
        <w:numPr>
          <w:ilvl w:val="0"/>
          <w:numId w:val="12"/>
        </w:numPr>
        <w:ind w:left="425" w:hanging="425"/>
        <w:spacing w:line="360" w:lineRule="auto"/>
        <w:rPr>
          <w:sz w:val="24"/>
        </w:rPr>
      </w:pPr>
      <w:r>
        <w:rPr>
          <w:rFonts w:hint="eastAsia" w:ascii="宋体" w:hAnsi="宋体" w:cs="宋体"/>
          <w:sz w:val="24"/>
          <w:szCs w:val="24"/>
        </w:rPr>
        <w:t xml:space="preserve">▲</w:t>
      </w:r>
      <w:r>
        <w:rPr>
          <w:sz w:val="24"/>
        </w:rPr>
        <w:t xml:space="preserve">系统以生殖中心医生工作站形式，集成叫号、</w:t>
      </w:r>
      <w:r>
        <w:rPr>
          <w:rFonts w:hint="eastAsia"/>
          <w:sz w:val="24"/>
        </w:rPr>
        <w:t xml:space="preserve">接诊</w:t>
      </w:r>
      <w:r>
        <w:rPr>
          <w:sz w:val="24"/>
        </w:rPr>
        <w:t xml:space="preserve">开医嘱</w:t>
      </w:r>
      <w:r>
        <w:rPr>
          <w:rFonts w:hint="eastAsia"/>
          <w:sz w:val="24"/>
        </w:rPr>
        <w:t xml:space="preserve">、查看历史就诊记录、归档历史检查检验结果等等功能</w:t>
      </w:r>
      <w:r>
        <w:rPr>
          <w:sz w:val="24"/>
        </w:rPr>
        <w:t xml:space="preserve">，医护人员可在专科系统工作站中快捷完成接诊等日常所需工作。</w:t>
      </w:r>
      <w:r/>
    </w:p>
    <w:p>
      <w:pPr>
        <w:pStyle w:val="971"/>
        <w:numPr>
          <w:ilvl w:val="0"/>
          <w:numId w:val="12"/>
        </w:numPr>
        <w:ind w:left="425" w:hanging="425"/>
        <w:spacing w:line="360" w:lineRule="auto"/>
        <w:rPr>
          <w:sz w:val="24"/>
        </w:rPr>
      </w:pPr>
      <w:r>
        <w:rPr>
          <w:sz w:val="24"/>
        </w:rPr>
        <w:t xml:space="preserve">生殖中心病历电子化，实现病历质控、数据校验、电子签名等功能</w:t>
      </w:r>
      <w:r>
        <w:rPr>
          <w:rFonts w:hint="eastAsia"/>
          <w:sz w:val="24"/>
        </w:rPr>
        <w:t xml:space="preserve">。可对接医师端和患者端电子签名。</w:t>
      </w:r>
      <w:r>
        <w:rPr>
          <w:sz w:val="24"/>
        </w:rPr>
      </w:r>
      <w:r/>
    </w:p>
    <w:p>
      <w:pPr>
        <w:pStyle w:val="971"/>
        <w:numPr>
          <w:ilvl w:val="0"/>
          <w:numId w:val="12"/>
        </w:numPr>
        <w:ind w:left="425" w:hanging="425"/>
        <w:spacing w:line="360" w:lineRule="auto"/>
        <w:rPr>
          <w:sz w:val="24"/>
        </w:rPr>
      </w:pPr>
      <w:r>
        <w:rPr>
          <w:sz w:val="24"/>
        </w:rPr>
        <w:t xml:space="preserve">增加供精出入库及精源预约管理、验单管理、知情同意书电子签名、注射医嘱核对等功能。 </w:t>
      </w:r>
      <w:r/>
    </w:p>
    <w:p>
      <w:pPr>
        <w:pStyle w:val="971"/>
        <w:numPr>
          <w:ilvl w:val="0"/>
          <w:numId w:val="12"/>
        </w:numPr>
        <w:ind w:left="425" w:hanging="425"/>
        <w:spacing w:line="360" w:lineRule="auto"/>
        <w:rPr>
          <w:sz w:val="24"/>
        </w:rPr>
      </w:pPr>
      <w:r>
        <w:rPr>
          <w:sz w:val="24"/>
        </w:rPr>
        <w:t xml:space="preserve">优化数据结构、数据字典、系统权限、系统日志、消息管理等功能。 </w:t>
      </w:r>
      <w:r/>
    </w:p>
    <w:p>
      <w:pPr>
        <w:pStyle w:val="971"/>
        <w:numPr>
          <w:ilvl w:val="0"/>
          <w:numId w:val="12"/>
        </w:numPr>
        <w:ind w:left="425" w:hanging="425"/>
        <w:spacing w:line="360" w:lineRule="auto"/>
        <w:rPr>
          <w:sz w:val="24"/>
        </w:rPr>
      </w:pPr>
      <w:r>
        <w:rPr>
          <w:sz w:val="24"/>
        </w:rPr>
        <w:t xml:space="preserve">首页</w:t>
      </w:r>
      <w:r/>
    </w:p>
    <w:p>
      <w:pPr>
        <w:pStyle w:val="971"/>
        <w:numPr>
          <w:ilvl w:val="0"/>
          <w:numId w:val="13"/>
        </w:numPr>
        <w:ind w:firstLine="480"/>
        <w:spacing w:line="360" w:lineRule="auto"/>
        <w:rPr>
          <w:sz w:val="24"/>
        </w:rPr>
      </w:pPr>
      <w:r>
        <w:rPr>
          <w:sz w:val="24"/>
        </w:rPr>
        <w:t xml:space="preserve">实时工作量显示：支持根据用户显示不同工作量信息：病历文书概览、就诊统计概览、医疗服务概览、冷冻续费情况、随访情况概览；</w:t>
      </w:r>
      <w:r/>
    </w:p>
    <w:p>
      <w:pPr>
        <w:pStyle w:val="971"/>
        <w:numPr>
          <w:ilvl w:val="0"/>
          <w:numId w:val="13"/>
        </w:numPr>
        <w:ind w:firstLine="480"/>
        <w:spacing w:line="360" w:lineRule="auto"/>
        <w:rPr>
          <w:sz w:val="24"/>
        </w:rPr>
      </w:pPr>
      <w:r>
        <w:rPr>
          <w:sz w:val="24"/>
        </w:rPr>
        <w:t xml:space="preserve">工作计划显示：支持以日历形式展示工作计划：手术、会诊申请、病历讨论；</w:t>
      </w:r>
      <w:r/>
    </w:p>
    <w:p>
      <w:pPr>
        <w:pStyle w:val="971"/>
        <w:numPr>
          <w:ilvl w:val="0"/>
          <w:numId w:val="13"/>
        </w:numPr>
        <w:ind w:firstLine="480"/>
        <w:spacing w:line="360" w:lineRule="auto"/>
        <w:rPr>
          <w:sz w:val="24"/>
        </w:rPr>
      </w:pPr>
      <w:r>
        <w:rPr>
          <w:sz w:val="24"/>
        </w:rPr>
        <w:t xml:space="preserve">病历待办提醒：支持不同类型工作待办（病历文书签署、知情同意书签署、病历书写待办、病历质控提交、异常验单提醒、患者异常状态）提醒；</w:t>
      </w:r>
      <w:r/>
    </w:p>
    <w:p>
      <w:pPr>
        <w:pStyle w:val="971"/>
        <w:numPr>
          <w:ilvl w:val="0"/>
          <w:numId w:val="13"/>
        </w:numPr>
        <w:ind w:firstLine="480"/>
        <w:spacing w:line="360" w:lineRule="auto"/>
        <w:rPr>
          <w:sz w:val="24"/>
        </w:rPr>
      </w:pPr>
      <w:r>
        <w:rPr>
          <w:sz w:val="24"/>
        </w:rPr>
        <w:t xml:space="preserve">院内消息展示：支持内部系统通告、科室内部消息、患者咨询消息、实验室临床沟通等会话消息的展示与提醒；</w:t>
      </w:r>
      <w:r/>
    </w:p>
    <w:p>
      <w:pPr>
        <w:pStyle w:val="971"/>
        <w:numPr>
          <w:ilvl w:val="0"/>
          <w:numId w:val="12"/>
        </w:numPr>
        <w:ind w:left="425" w:hanging="425"/>
        <w:spacing w:line="360" w:lineRule="auto"/>
        <w:rPr>
          <w:sz w:val="24"/>
        </w:rPr>
      </w:pPr>
      <w:r>
        <w:rPr>
          <w:sz w:val="24"/>
        </w:rPr>
        <w:t xml:space="preserve">手术管理</w:t>
      </w:r>
      <w:r/>
    </w:p>
    <w:p>
      <w:pPr>
        <w:pStyle w:val="971"/>
        <w:numPr>
          <w:ilvl w:val="0"/>
          <w:numId w:val="14"/>
        </w:numPr>
        <w:ind w:firstLine="480"/>
        <w:spacing w:line="360" w:lineRule="auto"/>
        <w:rPr>
          <w:sz w:val="24"/>
        </w:rPr>
      </w:pPr>
      <w:r>
        <w:rPr>
          <w:sz w:val="24"/>
        </w:rPr>
        <w:t xml:space="preserve">按照不同的类型展示，展示不同手术通知的内容包括姓名、年龄、周期方案、用药方案、手术类型、手术时间、手术医生、卵泡数等；</w:t>
      </w:r>
      <w:r>
        <w:rPr>
          <w:rFonts w:hint="eastAsia"/>
          <w:sz w:val="24"/>
        </w:rPr>
        <w:t xml:space="preserve">与手麻系统对接，进行手术排班、手术通知等等，并能</w:t>
      </w:r>
      <w:r>
        <w:rPr>
          <w:sz w:val="24"/>
        </w:rPr>
        <w:t xml:space="preserve">对手术通知进行确认、核对、审核操作</w:t>
      </w:r>
      <w:r>
        <w:rPr>
          <w:rFonts w:hint="eastAsia"/>
          <w:sz w:val="24"/>
        </w:rPr>
        <w:t xml:space="preserve">等等；</w:t>
      </w:r>
      <w:r>
        <w:rPr>
          <w:sz w:val="24"/>
        </w:rPr>
      </w:r>
      <w:r/>
    </w:p>
    <w:p>
      <w:pPr>
        <w:pStyle w:val="971"/>
        <w:numPr>
          <w:ilvl w:val="0"/>
          <w:numId w:val="14"/>
        </w:numPr>
        <w:ind w:firstLine="480"/>
        <w:spacing w:line="360" w:lineRule="auto"/>
        <w:rPr>
          <w:sz w:val="24"/>
        </w:rPr>
      </w:pPr>
      <w:r>
        <w:rPr>
          <w:rFonts w:hint="eastAsia"/>
          <w:sz w:val="24"/>
        </w:rPr>
        <w:t xml:space="preserve">取卵患者夜针排序：系统自动排序，人工微调；系统自助编号。</w:t>
      </w:r>
      <w:r>
        <w:rPr>
          <w:sz w:val="24"/>
        </w:rPr>
      </w:r>
      <w:r/>
    </w:p>
    <w:p>
      <w:pPr>
        <w:pStyle w:val="971"/>
        <w:numPr>
          <w:ilvl w:val="0"/>
          <w:numId w:val="12"/>
        </w:numPr>
        <w:ind w:left="425" w:hanging="425"/>
        <w:spacing w:line="360" w:lineRule="auto"/>
        <w:rPr>
          <w:sz w:val="24"/>
        </w:rPr>
      </w:pPr>
      <w:r>
        <w:rPr>
          <w:sz w:val="24"/>
        </w:rPr>
        <w:t xml:space="preserve">预约管理</w:t>
      </w:r>
      <w:r/>
    </w:p>
    <w:p>
      <w:pPr>
        <w:pStyle w:val="971"/>
        <w:numPr>
          <w:ilvl w:val="0"/>
          <w:numId w:val="15"/>
        </w:numPr>
        <w:ind w:firstLine="480"/>
        <w:spacing w:line="360" w:lineRule="auto"/>
        <w:rPr>
          <w:sz w:val="24"/>
        </w:rPr>
      </w:pPr>
      <w:r>
        <w:rPr>
          <w:rFonts w:hint="eastAsia" w:ascii="宋体" w:hAnsi="宋体" w:cs="宋体"/>
          <w:sz w:val="24"/>
          <w:szCs w:val="24"/>
        </w:rPr>
        <w:t xml:space="preserve">▲</w:t>
      </w:r>
      <w:r>
        <w:rPr>
          <w:rFonts w:hint="eastAsia"/>
          <w:sz w:val="24"/>
        </w:rPr>
        <w:t xml:space="preserve">可</w:t>
      </w:r>
      <w:r>
        <w:rPr>
          <w:sz w:val="24"/>
        </w:rPr>
        <w:t xml:space="preserve">根据中心要求设置预约项目：可设定预约项目、预约时段、执行地点、预约数；根据现场、预约类型分别设置时段下的预约数量；</w:t>
      </w:r>
      <w:r>
        <w:rPr>
          <w:rFonts w:hint="eastAsia"/>
          <w:sz w:val="24"/>
        </w:rPr>
        <w:t xml:space="preserve">支持根据科室需求定制化预约规则、预约情况统计报表；</w:t>
      </w:r>
      <w:r>
        <w:rPr>
          <w:sz w:val="24"/>
        </w:rPr>
      </w:r>
      <w:r/>
    </w:p>
    <w:p>
      <w:pPr>
        <w:pStyle w:val="971"/>
        <w:numPr>
          <w:ilvl w:val="0"/>
          <w:numId w:val="15"/>
        </w:numPr>
        <w:ind w:firstLine="480"/>
        <w:spacing w:line="360" w:lineRule="auto"/>
        <w:rPr>
          <w:sz w:val="24"/>
        </w:rPr>
      </w:pPr>
      <w:r>
        <w:rPr>
          <w:sz w:val="24"/>
        </w:rPr>
        <w:t xml:space="preserve">支持移动端（患者）与PC端（医护人员）多种预约方式及数据同步</w:t>
      </w:r>
      <w:r>
        <w:rPr>
          <w:rFonts w:hint="eastAsia"/>
          <w:sz w:val="24"/>
        </w:rPr>
        <w:t xml:space="preserve">；可</w:t>
      </w:r>
      <w:r>
        <w:rPr>
          <w:sz w:val="24"/>
        </w:rPr>
        <w:t xml:space="preserve">根据医嘱信息自动生成预约记录；</w:t>
      </w:r>
      <w:r/>
    </w:p>
    <w:p>
      <w:pPr>
        <w:pStyle w:val="971"/>
        <w:numPr>
          <w:ilvl w:val="0"/>
          <w:numId w:val="15"/>
        </w:numPr>
        <w:ind w:firstLine="480"/>
        <w:spacing w:line="360" w:lineRule="auto"/>
        <w:rPr>
          <w:sz w:val="24"/>
        </w:rPr>
      </w:pPr>
      <w:r>
        <w:rPr>
          <w:rFonts w:hint="eastAsia"/>
          <w:sz w:val="24"/>
        </w:rPr>
        <w:t xml:space="preserve">可参考院内统一预约平台规则、或与预约平台对接，统一号池、预约规则、到检规则；预约系统</w:t>
      </w:r>
      <w:r>
        <w:rPr>
          <w:sz w:val="24"/>
        </w:rPr>
        <w:t xml:space="preserve">可</w:t>
      </w:r>
      <w:r>
        <w:rPr>
          <w:rFonts w:hint="eastAsia"/>
          <w:sz w:val="24"/>
        </w:rPr>
        <w:t xml:space="preserve">根据科室需求定制个性化定制套餐，OCR识别前置审核，预约候审，预约报表和微信通知等个性化平台。</w:t>
      </w:r>
      <w:r>
        <w:rPr>
          <w:sz w:val="24"/>
        </w:rPr>
      </w:r>
      <w:r/>
    </w:p>
    <w:p>
      <w:pPr>
        <w:pStyle w:val="971"/>
        <w:numPr>
          <w:ilvl w:val="0"/>
          <w:numId w:val="12"/>
        </w:numPr>
        <w:ind w:left="425" w:hanging="425"/>
        <w:spacing w:line="360" w:lineRule="auto"/>
        <w:rPr>
          <w:sz w:val="24"/>
        </w:rPr>
      </w:pPr>
      <w:r>
        <w:rPr>
          <w:sz w:val="24"/>
        </w:rPr>
        <w:t xml:space="preserve">周期方案管理</w:t>
      </w:r>
      <w:r/>
    </w:p>
    <w:p>
      <w:pPr>
        <w:pStyle w:val="971"/>
        <w:numPr>
          <w:ilvl w:val="0"/>
          <w:numId w:val="16"/>
        </w:numPr>
        <w:ind w:firstLine="480"/>
        <w:spacing w:line="360" w:lineRule="auto"/>
        <w:rPr>
          <w:sz w:val="24"/>
        </w:rPr>
      </w:pPr>
      <w:r>
        <w:rPr>
          <w:rFonts w:hint="eastAsia" w:ascii="宋体" w:hAnsi="宋体" w:cs="宋体"/>
          <w:sz w:val="24"/>
          <w:szCs w:val="24"/>
        </w:rPr>
        <w:t xml:space="preserve">▲</w:t>
      </w:r>
      <w:r>
        <w:rPr>
          <w:sz w:val="24"/>
        </w:rPr>
        <w:t xml:space="preserve">周期管理包括周期建立、周期完结、周期取消功能。周期信息包括第几周期、总周期次数、周期号、医生、进周日期、周期类型、周期类型说明、拟行助孕方案、取精方式、精子来源、精子类型、卵子来源、卵子类型、IVM、PGT-A、PGT-SR，PGT-M用药方案、用药方案明细、备注信息</w:t>
      </w:r>
      <w:r>
        <w:rPr>
          <w:rFonts w:hint="eastAsia"/>
          <w:sz w:val="24"/>
        </w:rPr>
        <w:t xml:space="preserve">；</w:t>
      </w:r>
      <w:r>
        <w:rPr>
          <w:sz w:val="24"/>
        </w:rPr>
      </w:r>
      <w:r/>
    </w:p>
    <w:p>
      <w:pPr>
        <w:pStyle w:val="971"/>
        <w:numPr>
          <w:ilvl w:val="0"/>
          <w:numId w:val="16"/>
        </w:numPr>
        <w:ind w:firstLine="480"/>
        <w:spacing w:line="360" w:lineRule="auto"/>
        <w:rPr>
          <w:sz w:val="24"/>
        </w:rPr>
      </w:pPr>
      <w:r>
        <w:rPr>
          <w:sz w:val="24"/>
        </w:rPr>
        <w:t xml:space="preserve">系统提供治疗方案和用药方案的建立和配置，治疗方案包括：IVF、ICSI、AIH、AID、FET、PGT等，用药方案包括长方案、短方案、超长方案、超短方案、拮抗剂方案、微刺激方案、PPOS方案、自然周期方案等</w:t>
      </w:r>
      <w:r>
        <w:rPr>
          <w:rFonts w:hint="eastAsia"/>
          <w:sz w:val="24"/>
        </w:rPr>
        <w:t xml:space="preserve">。</w:t>
      </w:r>
      <w:r>
        <w:rPr>
          <w:sz w:val="24"/>
        </w:rPr>
      </w:r>
      <w:r/>
    </w:p>
    <w:p>
      <w:pPr>
        <w:pStyle w:val="971"/>
        <w:numPr>
          <w:ilvl w:val="0"/>
          <w:numId w:val="12"/>
        </w:numPr>
        <w:ind w:left="425" w:hanging="425"/>
        <w:spacing w:line="360" w:lineRule="auto"/>
        <w:rPr>
          <w:sz w:val="24"/>
        </w:rPr>
      </w:pPr>
      <w:r>
        <w:rPr>
          <w:sz w:val="24"/>
        </w:rPr>
        <w:t xml:space="preserve">周期建档</w:t>
      </w:r>
      <w:r/>
    </w:p>
    <w:p>
      <w:pPr>
        <w:pStyle w:val="971"/>
        <w:numPr>
          <w:ilvl w:val="0"/>
          <w:numId w:val="17"/>
        </w:numPr>
        <w:ind w:firstLine="480"/>
        <w:spacing w:line="360" w:lineRule="auto"/>
        <w:rPr>
          <w:sz w:val="24"/>
        </w:rPr>
      </w:pPr>
      <w:r>
        <w:rPr>
          <w:rFonts w:hint="eastAsia"/>
          <w:sz w:val="24"/>
        </w:rPr>
        <w:t xml:space="preserve">可</w:t>
      </w:r>
      <w:r>
        <w:rPr>
          <w:sz w:val="24"/>
        </w:rPr>
        <w:t xml:space="preserve">通过身份证读卡器采集身份信息；港澳通行证、军人证、护照等证件采用人工登记；</w:t>
      </w:r>
      <w:r>
        <w:rPr>
          <w:rFonts w:hint="eastAsia"/>
          <w:sz w:val="24"/>
        </w:rPr>
        <w:t xml:space="preserve">可</w:t>
      </w:r>
      <w:r>
        <w:rPr>
          <w:sz w:val="24"/>
        </w:rPr>
        <w:t xml:space="preserve">通过高拍仪采集患者相关证照：身份证、结婚证、计划生育证、现场照或其他证件</w:t>
      </w:r>
      <w:r>
        <w:rPr>
          <w:rFonts w:hint="eastAsia"/>
          <w:sz w:val="24"/>
        </w:rPr>
        <w:t xml:space="preserve">，</w:t>
      </w:r>
      <w:r>
        <w:rPr>
          <w:sz w:val="24"/>
        </w:rPr>
        <w:t xml:space="preserve">支持对图像进行自动裁切</w:t>
      </w:r>
      <w:r>
        <w:rPr>
          <w:rFonts w:hint="eastAsia"/>
          <w:sz w:val="24"/>
        </w:rPr>
        <w:t xml:space="preserve">；可</w:t>
      </w:r>
      <w:r>
        <w:rPr>
          <w:sz w:val="24"/>
        </w:rPr>
        <w:t xml:space="preserve">通过指纹仪对男女方指纹进行采集登记；</w:t>
      </w:r>
      <w:r/>
    </w:p>
    <w:p>
      <w:pPr>
        <w:pStyle w:val="971"/>
        <w:numPr>
          <w:ilvl w:val="0"/>
          <w:numId w:val="17"/>
        </w:numPr>
        <w:ind w:firstLine="480"/>
        <w:spacing w:line="360" w:lineRule="auto"/>
        <w:rPr>
          <w:sz w:val="24"/>
        </w:rPr>
      </w:pPr>
      <w:r>
        <w:rPr>
          <w:sz w:val="24"/>
        </w:rPr>
        <w:t xml:space="preserve">支持从患者端获取显示建档相关信息：包括不限于联系方式、证照图片等；建档完成后对患者敏感信息（证件号及联系方式）进行显示加密及权限控制；记录与查看建档审核、三证审核日志记录；建档完成后对患者基本信息做修改权限控制；基于建档有效期规则、历史检验单情况，实现一键免建档；根据预约或叫号报道进行建档（工作站模式）</w:t>
      </w:r>
      <w:r>
        <w:rPr>
          <w:rFonts w:hint="eastAsia"/>
          <w:sz w:val="24"/>
        </w:rPr>
        <w:t xml:space="preserve">。</w:t>
      </w:r>
      <w:r>
        <w:rPr>
          <w:sz w:val="24"/>
        </w:rPr>
      </w:r>
      <w:r/>
    </w:p>
    <w:p>
      <w:pPr>
        <w:pStyle w:val="971"/>
        <w:numPr>
          <w:ilvl w:val="0"/>
          <w:numId w:val="12"/>
        </w:numPr>
        <w:ind w:left="425" w:hanging="425"/>
        <w:spacing w:line="360" w:lineRule="auto"/>
        <w:rPr>
          <w:sz w:val="24"/>
        </w:rPr>
      </w:pPr>
      <w:r>
        <w:rPr>
          <w:sz w:val="24"/>
        </w:rPr>
        <w:t xml:space="preserve">男女方病历</w:t>
      </w:r>
      <w:r/>
    </w:p>
    <w:p>
      <w:pPr>
        <w:pStyle w:val="971"/>
        <w:numPr>
          <w:ilvl w:val="0"/>
          <w:numId w:val="18"/>
        </w:numPr>
        <w:ind w:firstLine="480"/>
        <w:spacing w:line="360" w:lineRule="auto"/>
        <w:rPr>
          <w:sz w:val="24"/>
        </w:rPr>
      </w:pPr>
      <w:r>
        <w:rPr>
          <w:sz w:val="24"/>
        </w:rPr>
        <w:t xml:space="preserve">患者主诉、现病史、既往史、个人史、月经史、婚育史、家族史、不孕不育史、体格检查、专科检查、助孕前辅助检查，临床诊断、诊疗计划、病史小结等；</w:t>
      </w:r>
      <w:r/>
    </w:p>
    <w:p>
      <w:pPr>
        <w:pStyle w:val="971"/>
        <w:numPr>
          <w:ilvl w:val="0"/>
          <w:numId w:val="18"/>
        </w:numPr>
        <w:ind w:firstLine="480"/>
        <w:spacing w:line="360" w:lineRule="auto"/>
        <w:rPr>
          <w:sz w:val="24"/>
        </w:rPr>
      </w:pPr>
      <w:r>
        <w:rPr>
          <w:rFonts w:hint="eastAsia"/>
          <w:sz w:val="24"/>
        </w:rPr>
        <w:t xml:space="preserve">同门诊病历模块，支持多种专科结构化模块，</w:t>
      </w:r>
      <w:r>
        <w:rPr>
          <w:sz w:val="24"/>
        </w:rPr>
        <w:t xml:space="preserve">提供遗传病历</w:t>
      </w:r>
      <w:r>
        <w:rPr>
          <w:rFonts w:hint="eastAsia"/>
          <w:sz w:val="24"/>
        </w:rPr>
        <w:t xml:space="preserve">包括</w:t>
      </w:r>
      <w:r>
        <w:rPr>
          <w:sz w:val="24"/>
        </w:rPr>
        <w:t xml:space="preserve">遗传病史、PGT指征、关联展示送检信息、状态与报告信息；</w:t>
      </w:r>
      <w:r/>
    </w:p>
    <w:p>
      <w:pPr>
        <w:pStyle w:val="971"/>
        <w:numPr>
          <w:ilvl w:val="0"/>
          <w:numId w:val="18"/>
        </w:numPr>
        <w:ind w:firstLine="480"/>
        <w:spacing w:line="360" w:lineRule="auto"/>
        <w:rPr>
          <w:sz w:val="24"/>
        </w:rPr>
      </w:pPr>
      <w:r>
        <w:rPr>
          <w:sz w:val="24"/>
        </w:rPr>
        <w:t xml:space="preserve">通过接口获取LIS的检验结果，减少医生书写病历的工作量，避免书写错误。</w:t>
      </w:r>
      <w:r>
        <w:rPr>
          <w:rFonts w:hint="eastAsia"/>
          <w:sz w:val="24"/>
        </w:rPr>
        <w:t xml:space="preserve">可结构化展示历史</w:t>
      </w:r>
      <w:r>
        <w:rPr>
          <w:sz w:val="24"/>
        </w:rPr>
        <w:t xml:space="preserve">周期病历，能导入之前治疗周期的病历内容，减少医生书写病历的工作量，避免书写错误</w:t>
      </w:r>
      <w:r>
        <w:rPr>
          <w:rFonts w:hint="eastAsia"/>
          <w:sz w:val="24"/>
        </w:rPr>
        <w:t xml:space="preserve">；与门诊系统/数据平台对接，</w:t>
      </w:r>
      <w:r>
        <w:rPr>
          <w:sz w:val="24"/>
        </w:rPr>
        <w:t xml:space="preserve">导入患者的初诊信息，包括患者主诉、现病史、既往史、个人史、月经史、婚育史、家族史</w:t>
      </w:r>
      <w:r>
        <w:rPr>
          <w:rFonts w:hint="eastAsia"/>
          <w:sz w:val="24"/>
        </w:rPr>
        <w:t xml:space="preserve">；</w:t>
      </w:r>
      <w:r>
        <w:rPr>
          <w:sz w:val="24"/>
        </w:rPr>
        <w:t xml:space="preserve">对外院</w:t>
      </w:r>
      <w:r>
        <w:rPr>
          <w:rFonts w:hint="eastAsia"/>
          <w:sz w:val="24"/>
        </w:rPr>
        <w:t xml:space="preserve">检查、</w:t>
      </w:r>
      <w:r>
        <w:rPr>
          <w:sz w:val="24"/>
        </w:rPr>
        <w:t xml:space="preserve">化验结果提供单位检查转换功能</w:t>
      </w:r>
      <w:r>
        <w:rPr>
          <w:rFonts w:hint="eastAsia"/>
          <w:sz w:val="24"/>
        </w:rPr>
        <w:t xml:space="preserve">；</w:t>
      </w:r>
      <w:r>
        <w:rPr>
          <w:sz w:val="24"/>
        </w:rPr>
      </w:r>
      <w:r/>
    </w:p>
    <w:p>
      <w:pPr>
        <w:pStyle w:val="971"/>
        <w:numPr>
          <w:ilvl w:val="0"/>
          <w:numId w:val="18"/>
        </w:numPr>
        <w:ind w:firstLine="480"/>
        <w:spacing w:line="360" w:lineRule="auto"/>
        <w:rPr>
          <w:sz w:val="24"/>
        </w:rPr>
      </w:pPr>
      <w:r>
        <w:rPr>
          <w:rFonts w:hint="eastAsia" w:ascii="宋体" w:hAnsi="宋体" w:cs="宋体"/>
          <w:sz w:val="24"/>
          <w:szCs w:val="24"/>
        </w:rPr>
        <w:t xml:space="preserve">▲</w:t>
      </w:r>
      <w:r>
        <w:rPr>
          <w:rFonts w:hint="eastAsia"/>
          <w:sz w:val="24"/>
        </w:rPr>
        <w:t xml:space="preserve">病历操作权限管理，访问、修改记录日志等。</w:t>
      </w:r>
      <w:r>
        <w:rPr>
          <w:sz w:val="24"/>
        </w:rPr>
      </w:r>
      <w:r/>
    </w:p>
    <w:p>
      <w:pPr>
        <w:pStyle w:val="971"/>
        <w:numPr>
          <w:ilvl w:val="0"/>
          <w:numId w:val="12"/>
        </w:numPr>
        <w:ind w:left="425" w:hanging="425"/>
        <w:spacing w:line="360" w:lineRule="auto"/>
        <w:rPr>
          <w:sz w:val="24"/>
        </w:rPr>
      </w:pPr>
      <w:r>
        <w:rPr>
          <w:sz w:val="24"/>
        </w:rPr>
        <w:t xml:space="preserve">排卵监测</w:t>
      </w:r>
      <w:r>
        <w:rPr>
          <w:rFonts w:hint="eastAsia"/>
          <w:sz w:val="24"/>
        </w:rPr>
        <w:t xml:space="preserve">：</w:t>
      </w:r>
      <w:r>
        <w:rPr>
          <w:sz w:val="24"/>
        </w:rPr>
        <w:t xml:space="preserve">对卵泡情况、内膜情况、卵巢情况、血结果和用药医嘱等信息进行电子化记录；</w:t>
      </w:r>
      <w:r>
        <w:rPr>
          <w:rFonts w:hint="eastAsia"/>
          <w:sz w:val="24"/>
        </w:rPr>
        <w:t xml:space="preserve">可</w:t>
      </w:r>
      <w:r>
        <w:rPr>
          <w:sz w:val="24"/>
        </w:rPr>
        <w:t xml:space="preserve">自动或手工导入LIS化验（性激素）结果、医嘱等信息；支持按监测日期对各类型药物进行分类或集中显示；支持用药量（GN等）的自动计算、显示与风险预警；</w:t>
      </w:r>
      <w:r>
        <w:rPr>
          <w:rFonts w:hint="eastAsia"/>
          <w:sz w:val="24"/>
        </w:rPr>
        <w:t xml:space="preserve">可与</w:t>
      </w:r>
      <w:r>
        <w:rPr>
          <w:sz w:val="24"/>
        </w:rPr>
        <w:t xml:space="preserve">B超机对接导入卵泡数据。</w:t>
      </w:r>
      <w:r/>
    </w:p>
    <w:p>
      <w:pPr>
        <w:pStyle w:val="971"/>
        <w:numPr>
          <w:ilvl w:val="0"/>
          <w:numId w:val="12"/>
        </w:numPr>
        <w:ind w:left="425" w:hanging="425"/>
        <w:spacing w:line="360" w:lineRule="auto"/>
        <w:rPr>
          <w:sz w:val="24"/>
        </w:rPr>
      </w:pPr>
      <w:r>
        <w:rPr>
          <w:sz w:val="24"/>
        </w:rPr>
        <w:t xml:space="preserve">移植手术</w:t>
      </w:r>
      <w:r>
        <w:rPr>
          <w:rFonts w:hint="eastAsia"/>
          <w:sz w:val="24"/>
        </w:rPr>
        <w:t xml:space="preserve">：</w:t>
      </w:r>
      <w:r>
        <w:rPr>
          <w:sz w:val="24"/>
        </w:rPr>
        <w:t xml:space="preserve">支持对移植胚胎情况、手术安全核查、手术经过、术中处理等信息进行电子化记录；</w:t>
      </w:r>
      <w:r>
        <w:rPr>
          <w:rFonts w:hint="eastAsia"/>
          <w:sz w:val="24"/>
        </w:rPr>
        <w:t xml:space="preserve">结构化展示历史</w:t>
      </w:r>
      <w:r>
        <w:rPr>
          <w:sz w:val="24"/>
        </w:rPr>
        <w:t xml:space="preserve">移植手术记录；</w:t>
      </w:r>
      <w:r>
        <w:rPr>
          <w:rFonts w:hint="eastAsia"/>
          <w:sz w:val="24"/>
        </w:rPr>
        <w:t xml:space="preserve">对接HIS，获取</w:t>
      </w:r>
      <w:r>
        <w:rPr>
          <w:sz w:val="24"/>
        </w:rPr>
        <w:t xml:space="preserve">术后用药</w:t>
      </w:r>
      <w:r>
        <w:rPr>
          <w:rFonts w:hint="eastAsia"/>
          <w:sz w:val="24"/>
        </w:rPr>
        <w:t xml:space="preserve">等等。</w:t>
      </w:r>
      <w:r>
        <w:rPr>
          <w:sz w:val="24"/>
        </w:rPr>
      </w:r>
      <w:r/>
    </w:p>
    <w:p>
      <w:pPr>
        <w:pStyle w:val="971"/>
        <w:numPr>
          <w:ilvl w:val="0"/>
          <w:numId w:val="12"/>
        </w:numPr>
        <w:ind w:left="425" w:hanging="425"/>
        <w:spacing w:line="360" w:lineRule="auto"/>
        <w:rPr>
          <w:sz w:val="24"/>
        </w:rPr>
      </w:pPr>
      <w:r>
        <w:rPr>
          <w:rFonts w:hint="eastAsia"/>
          <w:sz w:val="24"/>
        </w:rPr>
        <w:t xml:space="preserve">化验单缺项、过期提醒，系统醒目提醒，信息推送患者。胚胎续费提醒，可通过小程序查询胚胎，到期系统提醒，信息推送患者。随访信息自动推送和接收。确认收费提醒，直接获取医院收费信息。</w:t>
      </w:r>
      <w:r>
        <w:rPr>
          <w:sz w:val="24"/>
        </w:rPr>
      </w:r>
      <w:r/>
    </w:p>
    <w:p>
      <w:pPr>
        <w:pStyle w:val="971"/>
        <w:numPr>
          <w:ilvl w:val="0"/>
          <w:numId w:val="12"/>
        </w:numPr>
        <w:ind w:left="425" w:hanging="425"/>
        <w:spacing w:line="360" w:lineRule="auto"/>
        <w:rPr>
          <w:sz w:val="24"/>
        </w:rPr>
      </w:pPr>
      <w:r>
        <w:rPr>
          <w:sz w:val="24"/>
        </w:rPr>
        <w:t xml:space="preserve">人工授精</w:t>
      </w:r>
      <w:r>
        <w:rPr>
          <w:rFonts w:hint="eastAsia"/>
          <w:sz w:val="24"/>
        </w:rPr>
        <w:t xml:space="preserve">：</w:t>
      </w:r>
      <w:r>
        <w:rPr>
          <w:sz w:val="24"/>
        </w:rPr>
        <w:t xml:space="preserve">对授精方式、精液信息、手术安全核查、手术经过、术中处理等信息进行电子化记录；</w:t>
      </w:r>
      <w:r>
        <w:rPr>
          <w:rFonts w:hint="eastAsia"/>
          <w:sz w:val="24"/>
        </w:rPr>
        <w:t xml:space="preserve">结构化展示</w:t>
      </w:r>
      <w:r>
        <w:rPr>
          <w:sz w:val="24"/>
        </w:rPr>
        <w:t xml:space="preserve">多次人授手术记录；</w:t>
      </w:r>
      <w:r>
        <w:rPr>
          <w:rFonts w:hint="eastAsia"/>
          <w:sz w:val="24"/>
        </w:rPr>
        <w:t xml:space="preserve">对接HIS，获取</w:t>
      </w:r>
      <w:r>
        <w:rPr>
          <w:sz w:val="24"/>
        </w:rPr>
        <w:t xml:space="preserve">术后用药</w:t>
      </w:r>
      <w:r>
        <w:rPr>
          <w:rFonts w:hint="eastAsia"/>
          <w:sz w:val="24"/>
        </w:rPr>
        <w:t xml:space="preserve">等等。</w:t>
      </w:r>
      <w:r>
        <w:rPr>
          <w:sz w:val="24"/>
        </w:rPr>
      </w:r>
      <w:r/>
    </w:p>
    <w:p>
      <w:pPr>
        <w:pStyle w:val="971"/>
        <w:numPr>
          <w:ilvl w:val="0"/>
          <w:numId w:val="12"/>
        </w:numPr>
        <w:ind w:left="425" w:hanging="425"/>
        <w:spacing w:line="360" w:lineRule="auto"/>
        <w:rPr>
          <w:sz w:val="24"/>
        </w:rPr>
      </w:pPr>
      <w:r>
        <w:rPr>
          <w:sz w:val="24"/>
        </w:rPr>
        <w:t xml:space="preserve">取卵手术</w:t>
      </w:r>
      <w:r>
        <w:rPr>
          <w:rFonts w:hint="eastAsia"/>
          <w:sz w:val="24"/>
        </w:rPr>
        <w:t xml:space="preserve">：</w:t>
      </w:r>
      <w:r>
        <w:rPr>
          <w:sz w:val="24"/>
        </w:rPr>
        <w:t xml:space="preserve">支持对卵巢情况、内膜情况、穿刺卵泡信息、手术安全核查、手术经过、术中处理等信息进行电子化记录；</w:t>
      </w:r>
      <w:r>
        <w:rPr>
          <w:rFonts w:hint="eastAsia"/>
          <w:sz w:val="24"/>
        </w:rPr>
        <w:t xml:space="preserve">结构化展示</w:t>
      </w:r>
      <w:r>
        <w:rPr>
          <w:sz w:val="24"/>
        </w:rPr>
        <w:t xml:space="preserve">多次取卵手术记录；</w:t>
      </w:r>
      <w:r>
        <w:rPr>
          <w:rFonts w:hint="eastAsia"/>
          <w:sz w:val="24"/>
        </w:rPr>
        <w:t xml:space="preserve">对接HIS，获取</w:t>
      </w:r>
      <w:r>
        <w:rPr>
          <w:sz w:val="24"/>
        </w:rPr>
        <w:t xml:space="preserve">术后用药</w:t>
      </w:r>
      <w:r>
        <w:rPr>
          <w:rFonts w:hint="eastAsia"/>
          <w:sz w:val="24"/>
        </w:rPr>
        <w:t xml:space="preserve">等等。</w:t>
      </w:r>
      <w:r>
        <w:rPr>
          <w:sz w:val="24"/>
        </w:rPr>
      </w:r>
      <w:r/>
    </w:p>
    <w:p>
      <w:pPr>
        <w:pStyle w:val="971"/>
        <w:numPr>
          <w:ilvl w:val="0"/>
          <w:numId w:val="12"/>
        </w:numPr>
        <w:ind w:left="425" w:hanging="425"/>
        <w:spacing w:line="360" w:lineRule="auto"/>
        <w:rPr>
          <w:sz w:val="24"/>
        </w:rPr>
      </w:pPr>
      <w:r>
        <w:rPr>
          <w:rFonts w:hint="eastAsia"/>
          <w:sz w:val="24"/>
        </w:rPr>
        <w:t xml:space="preserve">相关</w:t>
      </w:r>
      <w:r>
        <w:rPr>
          <w:sz w:val="24"/>
        </w:rPr>
        <w:t xml:space="preserve">病程记录</w:t>
      </w:r>
      <w:r>
        <w:rPr>
          <w:rFonts w:hint="eastAsia"/>
          <w:sz w:val="24"/>
        </w:rPr>
        <w:t xml:space="preserve">、病历讨论、医患沟通记录、术前讨论记录、手术记录、</w:t>
      </w:r>
      <w:r>
        <w:rPr>
          <w:sz w:val="24"/>
        </w:rPr>
        <w:t xml:space="preserve">OHSS监测</w:t>
      </w:r>
      <w:r>
        <w:rPr>
          <w:rFonts w:hint="eastAsia"/>
          <w:sz w:val="24"/>
        </w:rPr>
        <w:t xml:space="preserve">等等：可根据科室需求定制病历模板，具有完善的病历信息记录，修改日志记录。病历符合相关病历管理办法及病历归档要求。</w:t>
      </w:r>
      <w:r>
        <w:rPr>
          <w:sz w:val="24"/>
        </w:rPr>
      </w:r>
      <w:r/>
    </w:p>
    <w:p>
      <w:pPr>
        <w:pStyle w:val="971"/>
        <w:numPr>
          <w:ilvl w:val="0"/>
          <w:numId w:val="12"/>
        </w:numPr>
        <w:ind w:left="425" w:hanging="425"/>
        <w:spacing w:line="360" w:lineRule="auto"/>
        <w:rPr>
          <w:sz w:val="24"/>
        </w:rPr>
      </w:pPr>
      <w:r>
        <w:rPr>
          <w:rFonts w:hint="eastAsia" w:ascii="宋体" w:hAnsi="宋体" w:cs="宋体"/>
          <w:sz w:val="24"/>
          <w:szCs w:val="24"/>
        </w:rPr>
        <w:t xml:space="preserve">▲</w:t>
      </w:r>
      <w:r>
        <w:rPr>
          <w:sz w:val="24"/>
        </w:rPr>
        <w:t xml:space="preserve">临床周期总结</w:t>
      </w:r>
      <w:r>
        <w:rPr>
          <w:rFonts w:hint="eastAsia"/>
          <w:sz w:val="24"/>
        </w:rPr>
        <w:t xml:space="preserve">：</w:t>
      </w:r>
      <w:r>
        <w:rPr>
          <w:sz w:val="24"/>
        </w:rPr>
        <w:t xml:space="preserve">对临床数据进行该周期的总结与自查，其中总结部分全部根据前面记录自动生成汇总数据。</w:t>
      </w:r>
      <w:r/>
    </w:p>
    <w:p>
      <w:pPr>
        <w:pStyle w:val="971"/>
        <w:numPr>
          <w:ilvl w:val="0"/>
          <w:numId w:val="12"/>
        </w:numPr>
        <w:ind w:left="425" w:hanging="425"/>
        <w:spacing w:line="360" w:lineRule="auto"/>
        <w:rPr>
          <w:sz w:val="24"/>
        </w:rPr>
      </w:pPr>
      <w:r>
        <w:rPr>
          <w:sz w:val="24"/>
        </w:rPr>
        <w:t xml:space="preserve">随访管理</w:t>
      </w:r>
      <w:r/>
    </w:p>
    <w:p>
      <w:pPr>
        <w:pStyle w:val="971"/>
        <w:numPr>
          <w:ilvl w:val="0"/>
          <w:numId w:val="19"/>
        </w:numPr>
        <w:ind w:firstLine="480"/>
        <w:spacing w:line="360" w:lineRule="auto"/>
        <w:rPr>
          <w:sz w:val="24"/>
        </w:rPr>
      </w:pPr>
      <w:r>
        <w:rPr>
          <w:sz w:val="24"/>
        </w:rPr>
        <w:t xml:space="preserve">对IVF、IUI类型患者进行助孕后14天、临床妊娠随访、孕中期随访、孕晚期随访、妊娠结局、流产情况、分娩情况等随访信息进行记录；对PGT类型患者进行产前诊断和出生后等随访信息进行记录；对生育力保存患者恢复情况、生育意愿、手术恢复情况随访信息进行记录；根据PCOS、</w:t>
      </w:r>
      <w:r>
        <w:rPr>
          <w:rFonts w:hint="eastAsia"/>
          <w:sz w:val="24"/>
        </w:rPr>
        <w:t xml:space="preserve">子宫内膜异位症、</w:t>
      </w:r>
      <w:r>
        <w:rPr>
          <w:sz w:val="24"/>
        </w:rPr>
        <w:t xml:space="preserve">复发性流产、RIF、生育力保存等不同</w:t>
      </w:r>
      <w:r>
        <w:rPr>
          <w:rFonts w:hint="eastAsia"/>
          <w:sz w:val="24"/>
        </w:rPr>
        <w:t xml:space="preserve">专病</w:t>
      </w:r>
      <w:r>
        <w:rPr>
          <w:sz w:val="24"/>
        </w:rPr>
        <w:t xml:space="preserve">门诊类型进行相关随访信息录入；更换分娩结局默认清空上一结局的对应记录；</w:t>
      </w:r>
      <w:r/>
    </w:p>
    <w:p>
      <w:pPr>
        <w:pStyle w:val="971"/>
        <w:numPr>
          <w:ilvl w:val="0"/>
          <w:numId w:val="19"/>
        </w:numPr>
        <w:ind w:firstLine="480"/>
        <w:spacing w:line="360" w:lineRule="auto"/>
        <w:rPr>
          <w:sz w:val="24"/>
        </w:rPr>
      </w:pPr>
      <w:r>
        <w:rPr>
          <w:sz w:val="24"/>
        </w:rPr>
        <w:t xml:space="preserve">血结果、B超检查、病理检查结果或其他检查等从HIS、PACS系统中自动或手动选择导入对应数据；自动计算参数值：术后天数、孕周、孕天、妊娠情况、分娩类型、流产类型、孕囊数等字段根据输入或前置参数进行自动计算；</w:t>
      </w:r>
      <w:r/>
    </w:p>
    <w:p>
      <w:pPr>
        <w:pStyle w:val="971"/>
        <w:numPr>
          <w:ilvl w:val="0"/>
          <w:numId w:val="19"/>
        </w:numPr>
        <w:ind w:firstLine="480"/>
        <w:spacing w:line="360" w:lineRule="auto"/>
        <w:rPr>
          <w:sz w:val="24"/>
        </w:rPr>
      </w:pPr>
      <w:r>
        <w:rPr>
          <w:sz w:val="24"/>
        </w:rPr>
        <w:t xml:space="preserve">集成硬件拨号设备或IP电话</w:t>
      </w:r>
      <w:r>
        <w:rPr>
          <w:rFonts w:hint="eastAsia"/>
          <w:sz w:val="24"/>
        </w:rPr>
        <w:t xml:space="preserve">或AI电话</w:t>
      </w:r>
      <w:r>
        <w:rPr>
          <w:sz w:val="24"/>
        </w:rPr>
        <w:t xml:space="preserve">，可直接通过软件直接拨打患者电话；随访录音、短信记录、随访日志记录；对患者联系方式（男方、女方、家人电话）进行动态隐藏；</w:t>
      </w:r>
      <w:r/>
    </w:p>
    <w:p>
      <w:pPr>
        <w:pStyle w:val="971"/>
        <w:numPr>
          <w:ilvl w:val="0"/>
          <w:numId w:val="19"/>
        </w:numPr>
        <w:ind w:firstLine="480"/>
        <w:spacing w:line="360" w:lineRule="auto"/>
        <w:rPr>
          <w:sz w:val="24"/>
        </w:rPr>
      </w:pPr>
      <w:r>
        <w:rPr>
          <w:sz w:val="24"/>
        </w:rPr>
        <w:t xml:space="preserve">根据事件规则、随访进度自动生成或调整随访待办医护端任务；患者失访、随访超时、随访数据异常的提醒；</w:t>
      </w:r>
      <w:r/>
    </w:p>
    <w:p>
      <w:pPr>
        <w:pStyle w:val="971"/>
        <w:numPr>
          <w:ilvl w:val="0"/>
          <w:numId w:val="19"/>
        </w:numPr>
        <w:ind w:firstLine="480"/>
        <w:spacing w:line="360" w:lineRule="auto"/>
        <w:rPr>
          <w:sz w:val="24"/>
        </w:rPr>
      </w:pPr>
      <w:r>
        <w:rPr>
          <w:rFonts w:hint="eastAsia" w:ascii="宋体" w:hAnsi="宋体" w:cs="宋体"/>
          <w:sz w:val="24"/>
          <w:szCs w:val="24"/>
        </w:rPr>
        <w:t xml:space="preserve">▲</w:t>
      </w:r>
      <w:r>
        <w:rPr>
          <w:sz w:val="24"/>
        </w:rPr>
        <w:t xml:space="preserve">根据事件规则、随访进度自动生成随访表单消息发送至患者端；患者填写表单后，可自动导入随访信息及图片至PC端，供随访人员进行审核；</w:t>
      </w:r>
      <w:r/>
    </w:p>
    <w:p>
      <w:pPr>
        <w:pStyle w:val="971"/>
        <w:numPr>
          <w:ilvl w:val="0"/>
          <w:numId w:val="19"/>
        </w:numPr>
        <w:ind w:firstLine="480"/>
        <w:spacing w:line="360" w:lineRule="auto"/>
        <w:rPr>
          <w:sz w:val="24"/>
        </w:rPr>
      </w:pPr>
      <w:r>
        <w:rPr>
          <w:rFonts w:hint="eastAsia"/>
          <w:sz w:val="24"/>
        </w:rPr>
        <w:t xml:space="preserve">可根据科室或医院需求，对接院内随访平台，获取随访结果。</w:t>
      </w:r>
      <w:r>
        <w:rPr>
          <w:sz w:val="24"/>
        </w:rPr>
      </w:r>
      <w:r/>
    </w:p>
    <w:p>
      <w:pPr>
        <w:pStyle w:val="971"/>
        <w:numPr>
          <w:ilvl w:val="0"/>
          <w:numId w:val="12"/>
        </w:numPr>
        <w:ind w:left="425" w:hanging="425"/>
        <w:spacing w:line="360" w:lineRule="auto"/>
        <w:rPr>
          <w:sz w:val="24"/>
        </w:rPr>
      </w:pPr>
      <w:r>
        <w:rPr>
          <w:sz w:val="24"/>
        </w:rPr>
        <w:t xml:space="preserve">备液记录</w:t>
      </w:r>
      <w:r>
        <w:rPr>
          <w:rFonts w:hint="eastAsia"/>
          <w:sz w:val="24"/>
        </w:rPr>
        <w:t xml:space="preserve">及</w:t>
      </w:r>
      <w:r>
        <w:rPr>
          <w:sz w:val="24"/>
        </w:rPr>
        <w:t xml:space="preserve">试剂耗材使用记录</w:t>
      </w:r>
      <w:r>
        <w:rPr>
          <w:rFonts w:hint="eastAsia"/>
          <w:sz w:val="24"/>
        </w:rPr>
        <w:t xml:space="preserve">、</w:t>
      </w:r>
      <w:r>
        <w:rPr>
          <w:sz w:val="24"/>
        </w:rPr>
        <w:t xml:space="preserve">精液处理记录</w:t>
      </w:r>
      <w:r>
        <w:rPr>
          <w:rFonts w:hint="eastAsia"/>
          <w:sz w:val="24"/>
        </w:rPr>
        <w:t xml:space="preserve">、</w:t>
      </w:r>
      <w:r>
        <w:rPr>
          <w:sz w:val="24"/>
        </w:rPr>
        <w:t xml:space="preserve">实验室捡卵记录</w:t>
      </w:r>
      <w:r>
        <w:rPr>
          <w:rFonts w:hint="eastAsia"/>
          <w:sz w:val="24"/>
        </w:rPr>
        <w:t xml:space="preserve">、</w:t>
      </w:r>
      <w:r>
        <w:rPr>
          <w:sz w:val="24"/>
        </w:rPr>
        <w:t xml:space="preserve">授精记</w:t>
      </w:r>
      <w:r>
        <w:rPr>
          <w:rFonts w:hint="eastAsia"/>
          <w:sz w:val="24"/>
        </w:rPr>
        <w:t xml:space="preserve">录、</w:t>
      </w:r>
      <w:r>
        <w:rPr>
          <w:sz w:val="24"/>
        </w:rPr>
        <w:t xml:space="preserve">胚胎培养记录</w:t>
      </w:r>
      <w:r>
        <w:rPr>
          <w:rFonts w:hint="eastAsia"/>
          <w:sz w:val="24"/>
        </w:rPr>
        <w:t xml:space="preserve">、</w:t>
      </w:r>
      <w:r>
        <w:rPr>
          <w:sz w:val="24"/>
        </w:rPr>
        <w:t xml:space="preserve">胚胎/卵子冷冻记录</w:t>
      </w:r>
      <w:r>
        <w:rPr>
          <w:rFonts w:hint="eastAsia"/>
          <w:sz w:val="24"/>
        </w:rPr>
        <w:t xml:space="preserve">、</w:t>
      </w:r>
      <w:r>
        <w:rPr>
          <w:sz w:val="24"/>
        </w:rPr>
        <w:t xml:space="preserve">胚胎/卵子解冻记录</w:t>
      </w:r>
      <w:r>
        <w:rPr>
          <w:rFonts w:hint="eastAsia"/>
          <w:sz w:val="24"/>
        </w:rPr>
        <w:t xml:space="preserve">、</w:t>
      </w:r>
      <w:r>
        <w:rPr>
          <w:sz w:val="24"/>
        </w:rPr>
        <w:t xml:space="preserve">实验室移植记录</w:t>
      </w:r>
      <w:r>
        <w:rPr>
          <w:rFonts w:hint="eastAsia"/>
          <w:sz w:val="24"/>
        </w:rPr>
        <w:t xml:space="preserve">、</w:t>
      </w:r>
      <w:r>
        <w:rPr>
          <w:sz w:val="24"/>
        </w:rPr>
        <w:t xml:space="preserve">胚胎活检记录</w:t>
      </w:r>
      <w:r>
        <w:rPr>
          <w:rFonts w:hint="eastAsia"/>
          <w:sz w:val="24"/>
        </w:rPr>
        <w:t xml:space="preserve">、</w:t>
      </w:r>
      <w:r>
        <w:rPr>
          <w:sz w:val="24"/>
        </w:rPr>
        <w:t xml:space="preserve">PGT送检申请</w:t>
      </w:r>
      <w:r>
        <w:rPr>
          <w:rFonts w:hint="eastAsia"/>
          <w:sz w:val="24"/>
        </w:rPr>
        <w:t xml:space="preserve">、</w:t>
      </w:r>
      <w:r>
        <w:rPr>
          <w:sz w:val="24"/>
        </w:rPr>
        <w:t xml:space="preserve">PGT送检报告</w:t>
      </w:r>
      <w:r>
        <w:rPr>
          <w:rFonts w:hint="eastAsia"/>
          <w:sz w:val="24"/>
        </w:rPr>
        <w:t xml:space="preserve">、</w:t>
      </w:r>
      <w:r>
        <w:rPr>
          <w:sz w:val="24"/>
        </w:rPr>
        <w:t xml:space="preserve">胚胎丢弃记录</w:t>
      </w:r>
      <w:r>
        <w:rPr>
          <w:rFonts w:hint="eastAsia"/>
          <w:sz w:val="24"/>
        </w:rPr>
        <w:t xml:space="preserve">、</w:t>
      </w:r>
      <w:r>
        <w:rPr>
          <w:sz w:val="24"/>
        </w:rPr>
        <w:t xml:space="preserve">冻精管理</w:t>
      </w:r>
      <w:r>
        <w:rPr>
          <w:rFonts w:hint="eastAsia"/>
          <w:sz w:val="24"/>
        </w:rPr>
        <w:t xml:space="preserve">、</w:t>
      </w:r>
      <w:r>
        <w:rPr>
          <w:sz w:val="24"/>
        </w:rPr>
        <w:t xml:space="preserve">冻胚管理</w:t>
      </w:r>
      <w:r>
        <w:rPr>
          <w:rFonts w:hint="eastAsia"/>
          <w:sz w:val="24"/>
        </w:rPr>
        <w:t xml:space="preserve">、</w:t>
      </w:r>
      <w:r>
        <w:rPr>
          <w:sz w:val="24"/>
        </w:rPr>
        <w:t xml:space="preserve">冻卵管理</w:t>
      </w:r>
      <w:r>
        <w:rPr>
          <w:rFonts w:hint="eastAsia"/>
          <w:sz w:val="24"/>
        </w:rPr>
        <w:t xml:space="preserve">、</w:t>
      </w:r>
      <w:r>
        <w:rPr>
          <w:sz w:val="24"/>
        </w:rPr>
        <w:t xml:space="preserve">实验室小结</w:t>
      </w:r>
      <w:r>
        <w:rPr>
          <w:rFonts w:hint="eastAsia"/>
          <w:sz w:val="24"/>
        </w:rPr>
        <w:t xml:space="preserve">等等实验室相关记录管理。</w:t>
      </w:r>
      <w:r>
        <w:rPr>
          <w:sz w:val="24"/>
        </w:rPr>
      </w:r>
      <w:r/>
    </w:p>
    <w:p>
      <w:pPr>
        <w:pStyle w:val="971"/>
        <w:numPr>
          <w:ilvl w:val="0"/>
          <w:numId w:val="12"/>
        </w:numPr>
        <w:ind w:left="425" w:hanging="425"/>
        <w:spacing w:line="360" w:lineRule="auto"/>
        <w:rPr>
          <w:sz w:val="24"/>
        </w:rPr>
      </w:pPr>
      <w:r>
        <w:rPr>
          <w:sz w:val="24"/>
        </w:rPr>
        <w:t xml:space="preserve">实验室工作计划</w:t>
      </w:r>
      <w:r>
        <w:rPr>
          <w:rFonts w:hint="eastAsia"/>
          <w:sz w:val="24"/>
        </w:rPr>
        <w:t xml:space="preserve">：可</w:t>
      </w:r>
      <w:r>
        <w:rPr>
          <w:sz w:val="24"/>
        </w:rPr>
        <w:t xml:space="preserve">根据日期查询当日的取卵手术、移植手术、解冻手术通知、冷冻记录、活检记录等；根据手术通知打印带有患者信息的标签，包括培养箱标签、冷冻标签、活检样本标签等</w:t>
      </w:r>
      <w:r>
        <w:rPr>
          <w:rFonts w:hint="eastAsia"/>
          <w:sz w:val="24"/>
        </w:rPr>
        <w:t xml:space="preserve">。</w:t>
      </w:r>
      <w:r>
        <w:rPr>
          <w:sz w:val="24"/>
        </w:rPr>
      </w:r>
      <w:r/>
    </w:p>
    <w:p>
      <w:pPr>
        <w:pStyle w:val="971"/>
        <w:numPr>
          <w:ilvl w:val="0"/>
          <w:numId w:val="12"/>
        </w:numPr>
        <w:ind w:left="425" w:hanging="425"/>
        <w:spacing w:line="360" w:lineRule="auto"/>
        <w:rPr>
          <w:sz w:val="24"/>
        </w:rPr>
      </w:pPr>
      <w:r>
        <w:rPr>
          <w:rFonts w:hint="eastAsia"/>
          <w:sz w:val="24"/>
        </w:rPr>
        <w:t xml:space="preserve">B超录入工作站</w:t>
      </w:r>
      <w:r>
        <w:rPr>
          <w:sz w:val="24"/>
        </w:rPr>
      </w:r>
      <w:r/>
    </w:p>
    <w:p>
      <w:pPr>
        <w:pStyle w:val="971"/>
        <w:numPr>
          <w:ilvl w:val="0"/>
          <w:numId w:val="20"/>
        </w:numPr>
        <w:ind w:firstLine="480"/>
        <w:spacing w:line="360" w:lineRule="auto"/>
        <w:rPr>
          <w:sz w:val="24"/>
        </w:rPr>
      </w:pPr>
      <w:r>
        <w:rPr>
          <w:rFonts w:hint="eastAsia"/>
          <w:sz w:val="24"/>
        </w:rPr>
        <w:t xml:space="preserve">支持集成叫号呼叫界面，呼叫患者界面与录入界面一体集成，呼叫患者快速打开B超录入界面；</w:t>
      </w:r>
      <w:r>
        <w:rPr>
          <w:sz w:val="24"/>
        </w:rPr>
      </w:r>
      <w:r/>
    </w:p>
    <w:p>
      <w:pPr>
        <w:pStyle w:val="971"/>
        <w:numPr>
          <w:ilvl w:val="0"/>
          <w:numId w:val="20"/>
        </w:numPr>
        <w:ind w:firstLine="480"/>
        <w:spacing w:line="360" w:lineRule="auto"/>
        <w:rPr>
          <w:sz w:val="24"/>
        </w:rPr>
      </w:pPr>
      <w:r>
        <w:rPr>
          <w:rFonts w:hint="eastAsia"/>
          <w:sz w:val="24"/>
        </w:rPr>
        <w:t xml:space="preserve">对接数据平台，获取或者检查申请单，并根据申请单状态及实际业务需求进行报道控制；根据患者阶段、周期类型进行自动分诊至不同叫号队列；</w:t>
      </w:r>
      <w:r>
        <w:rPr>
          <w:sz w:val="24"/>
        </w:rPr>
      </w:r>
      <w:r/>
    </w:p>
    <w:p>
      <w:pPr>
        <w:pStyle w:val="971"/>
        <w:numPr>
          <w:ilvl w:val="0"/>
          <w:numId w:val="20"/>
        </w:numPr>
        <w:ind w:firstLine="480"/>
        <w:spacing w:line="360" w:lineRule="auto"/>
        <w:rPr>
          <w:sz w:val="24"/>
        </w:rPr>
      </w:pPr>
      <w:r>
        <w:rPr>
          <w:rFonts w:hint="eastAsia" w:ascii="宋体" w:hAnsi="宋体" w:cs="宋体"/>
          <w:sz w:val="24"/>
          <w:szCs w:val="24"/>
        </w:rPr>
        <w:t xml:space="preserve">▲</w:t>
      </w:r>
      <w:r>
        <w:rPr>
          <w:rFonts w:hint="eastAsia"/>
          <w:sz w:val="24"/>
        </w:rPr>
        <w:t xml:space="preserve">门诊早孕B超、门诊促排B超、周期促排B超不同类型记录；可根据科室需求定制结构化报告模板；录入结果后可自动生成b超报告单；</w:t>
      </w:r>
      <w:r>
        <w:rPr>
          <w:sz w:val="24"/>
        </w:rPr>
      </w:r>
      <w:r/>
    </w:p>
    <w:p>
      <w:pPr>
        <w:pStyle w:val="971"/>
        <w:numPr>
          <w:ilvl w:val="0"/>
          <w:numId w:val="20"/>
        </w:numPr>
        <w:ind w:firstLine="480"/>
        <w:spacing w:line="360" w:lineRule="auto"/>
        <w:rPr>
          <w:sz w:val="24"/>
        </w:rPr>
      </w:pPr>
      <w:r>
        <w:rPr>
          <w:rFonts w:hint="eastAsia"/>
          <w:sz w:val="24"/>
        </w:rPr>
        <w:t xml:space="preserve">报告预览查看及打印；支持后续对接自助机，自助打印报告；支持导入相关检查检验结果、HIS医嘱等信息（需对接医院数据平台）；支持对接CA电子签名；与院内数据平台对接，回传检查报告、执行状态闭环信息；根据科室业务执行情况，在相应节点，回写医嘱确费状态（统一接口）。</w:t>
      </w:r>
      <w:r>
        <w:rPr>
          <w:sz w:val="24"/>
        </w:rPr>
      </w:r>
      <w:r/>
    </w:p>
    <w:p>
      <w:pPr>
        <w:pStyle w:val="971"/>
        <w:numPr>
          <w:ilvl w:val="0"/>
          <w:numId w:val="5"/>
        </w:numPr>
        <w:ind w:firstLine="0"/>
        <w:spacing w:line="360" w:lineRule="auto"/>
        <w:rPr>
          <w:b/>
          <w:bCs/>
          <w:sz w:val="24"/>
        </w:rPr>
      </w:pPr>
      <w:r>
        <w:rPr>
          <w:rFonts w:hint="eastAsia"/>
          <w:b/>
          <w:bCs/>
          <w:sz w:val="24"/>
        </w:rPr>
        <w:t xml:space="preserve">实验室管理模块</w:t>
      </w:r>
      <w:r>
        <w:rPr>
          <w:b/>
          <w:bCs/>
          <w:sz w:val="24"/>
        </w:rPr>
      </w:r>
      <w:r/>
    </w:p>
    <w:p>
      <w:pPr>
        <w:pStyle w:val="971"/>
        <w:numPr>
          <w:ilvl w:val="0"/>
          <w:numId w:val="21"/>
        </w:numPr>
        <w:ind w:left="425" w:hanging="425"/>
        <w:spacing w:line="360" w:lineRule="auto"/>
        <w:rPr>
          <w:sz w:val="24"/>
        </w:rPr>
      </w:pPr>
      <w:r>
        <w:rPr>
          <w:rFonts w:hint="eastAsia"/>
          <w:sz w:val="24"/>
        </w:rPr>
        <w:t xml:space="preserve">标签打印：支持查询并展示每日取卵、移植、解冻等手术通知；支持批量打印或单独打印带有患者信息的标签，支持自定义标签打印内容；支持接入RFID标签，对实验室全流程进行核对跟踪；记录各个环节的操作者、核对者、操作时间等等，实现实验室流程闭环管理。</w:t>
      </w:r>
      <w:r>
        <w:rPr>
          <w:sz w:val="24"/>
        </w:rPr>
      </w:r>
      <w:r/>
    </w:p>
    <w:p>
      <w:pPr>
        <w:pStyle w:val="971"/>
        <w:numPr>
          <w:ilvl w:val="0"/>
          <w:numId w:val="21"/>
        </w:numPr>
        <w:ind w:left="425" w:hanging="425"/>
        <w:spacing w:line="360" w:lineRule="auto"/>
        <w:rPr>
          <w:sz w:val="24"/>
        </w:rPr>
      </w:pPr>
      <w:r>
        <w:rPr>
          <w:rFonts w:hint="eastAsia"/>
          <w:sz w:val="24"/>
        </w:rPr>
        <w:t xml:space="preserve">标本的核对</w:t>
      </w:r>
      <w:r>
        <w:rPr>
          <w:sz w:val="24"/>
        </w:rPr>
      </w:r>
      <w:r/>
    </w:p>
    <w:p>
      <w:pPr>
        <w:pStyle w:val="971"/>
        <w:numPr>
          <w:ilvl w:val="0"/>
          <w:numId w:val="22"/>
        </w:numPr>
        <w:ind w:firstLine="480"/>
        <w:spacing w:line="360" w:lineRule="auto"/>
        <w:rPr>
          <w:sz w:val="24"/>
        </w:rPr>
      </w:pPr>
      <w:r>
        <w:rPr>
          <w:rFonts w:hint="eastAsia"/>
          <w:sz w:val="24"/>
        </w:rPr>
        <w:t xml:space="preserve">捡卵、精液处理、IVF受精、短时拆卵、ICSI拆卵、ICSI受精、换液、胚胎移植、冷冻、解冻、胚胎活检等环节进行样品核对；</w:t>
      </w:r>
      <w:r>
        <w:rPr>
          <w:sz w:val="24"/>
        </w:rPr>
      </w:r>
      <w:r/>
    </w:p>
    <w:p>
      <w:pPr>
        <w:pStyle w:val="971"/>
        <w:numPr>
          <w:ilvl w:val="0"/>
          <w:numId w:val="22"/>
        </w:numPr>
        <w:ind w:firstLine="480"/>
        <w:spacing w:line="360" w:lineRule="auto"/>
        <w:rPr>
          <w:sz w:val="24"/>
        </w:rPr>
      </w:pPr>
      <w:r>
        <w:rPr>
          <w:rFonts w:hint="eastAsia"/>
          <w:sz w:val="24"/>
        </w:rPr>
        <w:t xml:space="preserve">可读取芯片后播报患者信息，启动自动核对，异常告警提示。核对成功后，自动记录当前流程的操作者、核对者以及操作时间、结束时间、持续时间等；</w:t>
      </w:r>
      <w:r>
        <w:rPr>
          <w:sz w:val="24"/>
        </w:rPr>
      </w:r>
      <w:r/>
    </w:p>
    <w:p>
      <w:pPr>
        <w:pStyle w:val="971"/>
        <w:numPr>
          <w:ilvl w:val="0"/>
          <w:numId w:val="22"/>
        </w:numPr>
        <w:ind w:firstLine="480"/>
        <w:spacing w:line="360" w:lineRule="auto"/>
        <w:rPr>
          <w:sz w:val="24"/>
        </w:rPr>
      </w:pPr>
      <w:r>
        <w:rPr>
          <w:rFonts w:hint="eastAsia"/>
          <w:sz w:val="24"/>
        </w:rPr>
        <w:t xml:space="preserve">支持同步取卵手术通知查询并展示待捡卵患者的信息，包括姓名、年龄、方案、HCG日卵泡数等信息，并支持自定义配置；</w:t>
      </w:r>
      <w:r>
        <w:rPr>
          <w:sz w:val="24"/>
        </w:rPr>
      </w:r>
      <w:r/>
    </w:p>
    <w:p>
      <w:pPr>
        <w:pStyle w:val="971"/>
        <w:numPr>
          <w:ilvl w:val="0"/>
          <w:numId w:val="22"/>
        </w:numPr>
        <w:ind w:firstLine="480"/>
        <w:spacing w:line="360" w:lineRule="auto"/>
        <w:rPr>
          <w:sz w:val="24"/>
        </w:rPr>
      </w:pPr>
      <w:r>
        <w:rPr>
          <w:rFonts w:hint="eastAsia"/>
          <w:sz w:val="24"/>
        </w:rPr>
        <w:t xml:space="preserve">取卵、移植前，支持患者在手术室完成身份认证后，待处理列表自动高亮提示；</w:t>
      </w:r>
      <w:r>
        <w:rPr>
          <w:sz w:val="24"/>
        </w:rPr>
      </w:r>
      <w:r/>
    </w:p>
    <w:p>
      <w:pPr>
        <w:pStyle w:val="971"/>
        <w:numPr>
          <w:ilvl w:val="0"/>
          <w:numId w:val="22"/>
        </w:numPr>
        <w:ind w:firstLine="480"/>
        <w:spacing w:line="360" w:lineRule="auto"/>
        <w:rPr>
          <w:sz w:val="24"/>
        </w:rPr>
      </w:pPr>
      <w:r>
        <w:rPr>
          <w:rFonts w:hint="eastAsia"/>
          <w:sz w:val="24"/>
        </w:rPr>
        <w:t xml:space="preserve">卵子冷冻记录，供受卵记录，通过编码实现双盲管理。</w:t>
      </w:r>
      <w:r>
        <w:rPr>
          <w:sz w:val="24"/>
        </w:rPr>
      </w:r>
      <w:r/>
    </w:p>
    <w:p>
      <w:pPr>
        <w:pStyle w:val="971"/>
        <w:numPr>
          <w:ilvl w:val="0"/>
          <w:numId w:val="21"/>
        </w:numPr>
        <w:ind w:left="425" w:hanging="425"/>
        <w:spacing w:line="360" w:lineRule="auto"/>
        <w:rPr>
          <w:sz w:val="24"/>
        </w:rPr>
      </w:pPr>
      <w:r>
        <w:rPr>
          <w:rFonts w:hint="eastAsia"/>
          <w:sz w:val="24"/>
        </w:rPr>
        <w:t xml:space="preserve">精液处理工作站：展示待处理患者信息及处理步骤。取精时间、精液处理前后的指标记录及精子处理的材料和方法、精液来源（夫精、供精、解冻）、处理时间、处理者和和核实者（支持手术取精的精液处理记录），实时录入精液处理记录。历史操作记录可追溯。可读取芯片后播报患者信息，启动自动核对，异常告警提示。</w:t>
      </w:r>
      <w:r>
        <w:rPr>
          <w:sz w:val="24"/>
        </w:rPr>
      </w:r>
      <w:r/>
    </w:p>
    <w:p>
      <w:pPr>
        <w:pStyle w:val="971"/>
        <w:numPr>
          <w:ilvl w:val="0"/>
          <w:numId w:val="21"/>
        </w:numPr>
        <w:ind w:left="425" w:hanging="425"/>
        <w:spacing w:line="360" w:lineRule="auto"/>
        <w:rPr>
          <w:sz w:val="24"/>
        </w:rPr>
      </w:pPr>
      <w:r>
        <w:rPr>
          <w:rFonts w:hint="eastAsia"/>
          <w:sz w:val="24"/>
        </w:rPr>
        <w:t xml:space="preserve">授精与拆卵工作站</w:t>
      </w:r>
      <w:r>
        <w:rPr>
          <w:sz w:val="24"/>
        </w:rPr>
      </w:r>
      <w:r/>
    </w:p>
    <w:p>
      <w:pPr>
        <w:pStyle w:val="971"/>
        <w:numPr>
          <w:ilvl w:val="0"/>
          <w:numId w:val="23"/>
        </w:numPr>
        <w:ind w:firstLine="480"/>
        <w:spacing w:line="360" w:lineRule="auto"/>
        <w:rPr>
          <w:sz w:val="24"/>
        </w:rPr>
      </w:pPr>
      <w:r>
        <w:rPr>
          <w:rFonts w:hint="eastAsia"/>
          <w:sz w:val="24"/>
        </w:rPr>
        <w:t xml:space="preserve">授精方式：IVF、ICSI、Rescue ICSI、IVF短时、长时授精，每卵加精量（授精浓度）；</w:t>
      </w:r>
      <w:r>
        <w:rPr>
          <w:sz w:val="24"/>
        </w:rPr>
      </w:r>
      <w:r/>
    </w:p>
    <w:p>
      <w:pPr>
        <w:pStyle w:val="971"/>
        <w:numPr>
          <w:ilvl w:val="0"/>
          <w:numId w:val="23"/>
        </w:numPr>
        <w:ind w:firstLine="480"/>
        <w:spacing w:line="360" w:lineRule="auto"/>
        <w:rPr>
          <w:sz w:val="24"/>
        </w:rPr>
      </w:pPr>
      <w:r>
        <w:rPr>
          <w:rFonts w:hint="eastAsia"/>
          <w:sz w:val="24"/>
        </w:rPr>
        <w:t xml:space="preserve">自动根据手术和方案查询并展示当天待拆卵/受精的患者信息，包括患者的姓名、年龄、方案、培养箱号等信息；</w:t>
      </w:r>
      <w:r>
        <w:rPr>
          <w:sz w:val="24"/>
        </w:rPr>
      </w:r>
      <w:r/>
    </w:p>
    <w:p>
      <w:pPr>
        <w:pStyle w:val="971"/>
        <w:numPr>
          <w:ilvl w:val="0"/>
          <w:numId w:val="23"/>
        </w:numPr>
        <w:ind w:firstLine="480"/>
        <w:spacing w:line="360" w:lineRule="auto"/>
        <w:rPr>
          <w:sz w:val="24"/>
        </w:rPr>
      </w:pPr>
      <w:r>
        <w:rPr>
          <w:rFonts w:hint="eastAsia"/>
          <w:sz w:val="24"/>
        </w:rPr>
        <w:t xml:space="preserve">录入每一个卵子的成熟度等形态，录入项可自定义；可以标记卵子去向，包括IVM、放弃、ICSI授精、冻卵；记录拆蛋后的卵子评价、早拆蛋的2pb记录；记录授精及授精后的培养液及批号。</w:t>
      </w:r>
      <w:r>
        <w:rPr>
          <w:sz w:val="24"/>
        </w:rPr>
      </w:r>
      <w:r/>
    </w:p>
    <w:p>
      <w:pPr>
        <w:pStyle w:val="971"/>
        <w:numPr>
          <w:ilvl w:val="0"/>
          <w:numId w:val="21"/>
        </w:numPr>
        <w:ind w:left="425" w:hanging="425"/>
        <w:spacing w:line="360" w:lineRule="auto"/>
        <w:rPr>
          <w:sz w:val="24"/>
        </w:rPr>
      </w:pPr>
      <w:r>
        <w:rPr>
          <w:rFonts w:hint="eastAsia"/>
          <w:sz w:val="24"/>
        </w:rPr>
        <w:t xml:space="preserve">胚胎培养与观察记录</w:t>
      </w:r>
      <w:r>
        <w:rPr>
          <w:sz w:val="24"/>
        </w:rPr>
      </w:r>
      <w:r/>
    </w:p>
    <w:p>
      <w:pPr>
        <w:pStyle w:val="971"/>
        <w:numPr>
          <w:ilvl w:val="0"/>
          <w:numId w:val="24"/>
        </w:numPr>
        <w:ind w:firstLine="480"/>
        <w:spacing w:line="360" w:lineRule="auto"/>
        <w:rPr>
          <w:sz w:val="24"/>
        </w:rPr>
      </w:pPr>
      <w:r>
        <w:rPr>
          <w:sz w:val="24"/>
        </w:rPr>
        <w:t xml:space="preserve">换液/胚胎观察/挑胚胎/移植/冷冻工作站</w:t>
      </w:r>
      <w:r>
        <w:rPr>
          <w:rFonts w:hint="eastAsia"/>
          <w:sz w:val="24"/>
        </w:rPr>
        <w:t xml:space="preserve">：按授精时间展示各环节待操作患者信息，包括姓名、年龄、方案、授精情况、胚胎情况等信息。提供胚胎培养总结，移植胚胎记录、冻胚胎记录、胚胎解冻记录及交班通知单、新鲜移植通知单、复苏移植通知单记录、PGD通知单等；</w:t>
      </w:r>
      <w:r>
        <w:rPr>
          <w:sz w:val="24"/>
        </w:rPr>
        <w:t xml:space="preserve">支持周期完结/取消操作</w:t>
      </w:r>
      <w:r>
        <w:rPr>
          <w:rFonts w:hint="eastAsia"/>
          <w:sz w:val="24"/>
        </w:rPr>
        <w:t xml:space="preserve">；</w:t>
      </w:r>
      <w:r>
        <w:rPr>
          <w:sz w:val="24"/>
        </w:rPr>
      </w:r>
      <w:r/>
    </w:p>
    <w:p>
      <w:pPr>
        <w:pStyle w:val="971"/>
        <w:numPr>
          <w:ilvl w:val="0"/>
          <w:numId w:val="24"/>
        </w:numPr>
        <w:ind w:firstLine="480"/>
        <w:spacing w:line="360" w:lineRule="auto"/>
        <w:rPr>
          <w:sz w:val="24"/>
        </w:rPr>
      </w:pPr>
      <w:r>
        <w:rPr>
          <w:sz w:val="24"/>
        </w:rPr>
        <w:t xml:space="preserve">胚胎发育图表化展示（历史形态+去向）</w:t>
      </w:r>
      <w:r>
        <w:rPr>
          <w:rFonts w:hint="eastAsia"/>
          <w:sz w:val="24"/>
        </w:rPr>
        <w:t xml:space="preserve">，包括冷冻、移植、活检、放弃、养囊等并生成后续流程；支持标记冷冻去向同时对冷冻胚胎进行分组；</w:t>
      </w:r>
      <w:r>
        <w:rPr>
          <w:sz w:val="24"/>
        </w:rPr>
      </w:r>
      <w:r/>
    </w:p>
    <w:p>
      <w:pPr>
        <w:pStyle w:val="971"/>
        <w:numPr>
          <w:ilvl w:val="0"/>
          <w:numId w:val="24"/>
        </w:numPr>
        <w:ind w:firstLine="480"/>
        <w:spacing w:line="360" w:lineRule="auto"/>
        <w:rPr>
          <w:sz w:val="24"/>
        </w:rPr>
      </w:pPr>
      <w:r>
        <w:rPr>
          <w:sz w:val="24"/>
        </w:rPr>
        <w:t xml:space="preserve">自动生成胚胎小结（2PN数/优胚率等）</w:t>
      </w:r>
      <w:r>
        <w:rPr>
          <w:rFonts w:hint="eastAsia"/>
          <w:sz w:val="24"/>
        </w:rPr>
        <w:t xml:space="preserve">；自动记录当前流程操作者、核对者、操作时间、结束时间、持续时间等信息，操作日志可查询；</w:t>
      </w:r>
      <w:r>
        <w:rPr>
          <w:sz w:val="24"/>
        </w:rPr>
      </w:r>
      <w:r/>
    </w:p>
    <w:p>
      <w:pPr>
        <w:pStyle w:val="971"/>
        <w:numPr>
          <w:ilvl w:val="0"/>
          <w:numId w:val="24"/>
        </w:numPr>
        <w:ind w:firstLine="480"/>
        <w:spacing w:line="360" w:lineRule="auto"/>
        <w:rPr>
          <w:sz w:val="24"/>
        </w:rPr>
      </w:pPr>
      <w:r>
        <w:rPr>
          <w:rFonts w:hint="eastAsia"/>
          <w:sz w:val="24"/>
        </w:rPr>
        <w:t xml:space="preserve">▲观察记录：登记观察者、时间、距授精时长，胚胎图像采集保存。</w:t>
      </w:r>
      <w:r>
        <w:rPr>
          <w:sz w:val="24"/>
        </w:rPr>
      </w:r>
      <w:r/>
    </w:p>
    <w:p>
      <w:pPr>
        <w:pStyle w:val="971"/>
        <w:numPr>
          <w:ilvl w:val="0"/>
          <w:numId w:val="21"/>
        </w:numPr>
        <w:ind w:left="425" w:hanging="425"/>
        <w:spacing w:line="360" w:lineRule="auto"/>
        <w:rPr>
          <w:sz w:val="24"/>
        </w:rPr>
      </w:pPr>
      <w:r>
        <w:rPr>
          <w:rFonts w:hint="eastAsia"/>
          <w:sz w:val="24"/>
        </w:rPr>
        <w:t xml:space="preserve">胚胎入库：可根据操作时间、姓名、病历号查询患者冷冻胚胎入库记录；可导出患者冷冻胚胎入库记录Excel；</w:t>
      </w:r>
      <w:r>
        <w:rPr>
          <w:sz w:val="24"/>
        </w:rPr>
      </w:r>
      <w:r/>
    </w:p>
    <w:p>
      <w:pPr>
        <w:pStyle w:val="971"/>
        <w:numPr>
          <w:ilvl w:val="0"/>
          <w:numId w:val="21"/>
        </w:numPr>
        <w:ind w:left="425" w:hanging="425"/>
        <w:spacing w:line="360" w:lineRule="auto"/>
        <w:rPr>
          <w:sz w:val="24"/>
        </w:rPr>
      </w:pPr>
      <w:r>
        <w:rPr>
          <w:rFonts w:hint="eastAsia"/>
          <w:sz w:val="24"/>
        </w:rPr>
        <w:t xml:space="preserve">冷冻位置管理</w:t>
      </w:r>
      <w:r>
        <w:rPr>
          <w:sz w:val="24"/>
        </w:rPr>
      </w:r>
      <w:r/>
    </w:p>
    <w:p>
      <w:pPr>
        <w:pStyle w:val="971"/>
        <w:numPr>
          <w:ilvl w:val="0"/>
          <w:numId w:val="25"/>
        </w:numPr>
        <w:ind w:firstLine="480"/>
        <w:spacing w:line="360" w:lineRule="auto"/>
        <w:rPr>
          <w:sz w:val="24"/>
        </w:rPr>
      </w:pPr>
      <w:r>
        <w:rPr>
          <w:rFonts w:hint="eastAsia"/>
          <w:sz w:val="24"/>
        </w:rPr>
        <w:t xml:space="preserve">根据配置名称、配置类型查询载体配置信息；可根据传染病名称查询液氮罐传染病配置信息，维护传染病名称、排序规则、阳性数据匹配规则等信息；可维护液氮罐、提篮、载体、支架的最大容积、名称命名规则等基础配置信息；</w:t>
      </w:r>
      <w:r>
        <w:rPr>
          <w:sz w:val="24"/>
        </w:rPr>
      </w:r>
      <w:r/>
    </w:p>
    <w:p>
      <w:pPr>
        <w:pStyle w:val="971"/>
        <w:numPr>
          <w:ilvl w:val="0"/>
          <w:numId w:val="25"/>
        </w:numPr>
        <w:ind w:firstLine="480"/>
        <w:spacing w:line="360" w:lineRule="auto"/>
        <w:rPr>
          <w:sz w:val="24"/>
        </w:rPr>
      </w:pPr>
      <w:r>
        <w:rPr>
          <w:rFonts w:hint="eastAsia" w:ascii="宋体" w:hAnsi="宋体" w:cs="宋体"/>
          <w:sz w:val="24"/>
          <w:szCs w:val="24"/>
        </w:rPr>
        <w:t xml:space="preserve">▲</w:t>
      </w:r>
      <w:r>
        <w:rPr>
          <w:rFonts w:hint="eastAsia"/>
          <w:sz w:val="24"/>
        </w:rPr>
        <w:t xml:space="preserve">标本管理(患者)：标本需要完整的入库信息包括：病历号、女方姓名、男方姓名、冷冻日期、发育天数、管号、冷冻位置、冷冻编号、形态、是否供精、是否PGT；可查看液氮罐位置绑定的冷冻标本详细信息；可根据病历号、姓名、冷冻时间、冷冻位置、数量等等多维度管理冷冻标本；</w:t>
      </w:r>
      <w:r>
        <w:rPr>
          <w:sz w:val="24"/>
        </w:rPr>
      </w:r>
      <w:r/>
    </w:p>
    <w:p>
      <w:pPr>
        <w:pStyle w:val="971"/>
        <w:numPr>
          <w:ilvl w:val="0"/>
          <w:numId w:val="25"/>
        </w:numPr>
        <w:ind w:firstLine="480"/>
        <w:spacing w:line="360" w:lineRule="auto"/>
        <w:rPr>
          <w:sz w:val="24"/>
        </w:rPr>
      </w:pPr>
      <w:r>
        <w:rPr>
          <w:rFonts w:hint="eastAsia"/>
          <w:sz w:val="24"/>
        </w:rPr>
        <w:t xml:space="preserve">标本管理(位置)：可根据液氮罐及其中提篮支架的类型、位置、数量、使用状态等等多维度进行管理维护；可对液氮罐位置绑定的冷冻标本进行批量解冻出库、移库，有相应的操作日志记录；</w:t>
      </w:r>
      <w:r>
        <w:rPr>
          <w:sz w:val="24"/>
        </w:rPr>
      </w:r>
      <w:r/>
    </w:p>
    <w:p>
      <w:pPr>
        <w:pStyle w:val="971"/>
        <w:numPr>
          <w:ilvl w:val="0"/>
          <w:numId w:val="25"/>
        </w:numPr>
        <w:ind w:firstLine="480"/>
        <w:spacing w:line="360" w:lineRule="auto"/>
        <w:rPr>
          <w:sz w:val="24"/>
        </w:rPr>
      </w:pPr>
      <w:r>
        <w:rPr>
          <w:rFonts w:hint="eastAsia"/>
          <w:sz w:val="24"/>
        </w:rPr>
        <w:t xml:space="preserve">历史数据管理：根据病历号、周期ID、患者ID、异常类型、是否异常数据、是否导入成功查询历史数据导入记录；异常数据支持导出修复后再导入；根据科室需求提供相应的胚胎入库报表、卵子入库报表、标本移库报表。</w:t>
      </w:r>
      <w:r>
        <w:rPr>
          <w:sz w:val="24"/>
        </w:rPr>
      </w:r>
      <w:r/>
    </w:p>
    <w:p>
      <w:pPr>
        <w:pStyle w:val="971"/>
        <w:numPr>
          <w:ilvl w:val="0"/>
          <w:numId w:val="21"/>
        </w:numPr>
        <w:ind w:left="425" w:hanging="425"/>
        <w:spacing w:line="360" w:lineRule="auto"/>
        <w:rPr>
          <w:sz w:val="24"/>
        </w:rPr>
      </w:pPr>
      <w:r>
        <w:rPr>
          <w:rFonts w:hint="eastAsia"/>
          <w:sz w:val="24"/>
        </w:rPr>
        <w:t xml:space="preserve">冷冻要求</w:t>
      </w:r>
      <w:r>
        <w:rPr>
          <w:sz w:val="24"/>
        </w:rPr>
      </w:r>
      <w:r/>
    </w:p>
    <w:p>
      <w:pPr>
        <w:pStyle w:val="971"/>
        <w:numPr>
          <w:ilvl w:val="0"/>
          <w:numId w:val="26"/>
        </w:numPr>
        <w:ind w:firstLine="480"/>
        <w:spacing w:line="360" w:lineRule="auto"/>
        <w:rPr>
          <w:sz w:val="24"/>
        </w:rPr>
      </w:pPr>
      <w:r>
        <w:rPr>
          <w:rFonts w:hint="eastAsia"/>
          <w:sz w:val="24"/>
        </w:rPr>
        <w:t xml:space="preserve">录入冷冻记录，关联胚胎信息；可通过芯片核对触发语音播报；根据挑胚胎结果查询并展示待分配冷冻位置的患者列表；能够展示患者的相关基本信息，方案信息，以及计划冷冻的胚胎数和冷冻分组信息；</w:t>
      </w:r>
      <w:r>
        <w:rPr>
          <w:sz w:val="24"/>
        </w:rPr>
      </w:r>
      <w:r/>
    </w:p>
    <w:p>
      <w:pPr>
        <w:pStyle w:val="971"/>
        <w:numPr>
          <w:ilvl w:val="0"/>
          <w:numId w:val="26"/>
        </w:numPr>
        <w:ind w:firstLine="480"/>
        <w:spacing w:line="360" w:lineRule="auto"/>
        <w:rPr>
          <w:sz w:val="24"/>
        </w:rPr>
      </w:pPr>
      <w:r>
        <w:rPr>
          <w:rFonts w:hint="eastAsia"/>
          <w:sz w:val="24"/>
        </w:rPr>
        <w:t xml:space="preserve">能够查看液氮罐的使用情况，并选择需要占用的位置；可一键全自动分配冷冻位置；可指定罐或提篮后自动分配冷冻位置；支持批量打印冷冻标签；批量打印当前选择冷冻管对应液氮罐位置详情信息列表。</w:t>
      </w:r>
      <w:r>
        <w:rPr>
          <w:sz w:val="24"/>
        </w:rPr>
      </w:r>
      <w:r/>
    </w:p>
    <w:p>
      <w:pPr>
        <w:pStyle w:val="971"/>
        <w:numPr>
          <w:ilvl w:val="0"/>
          <w:numId w:val="21"/>
        </w:numPr>
        <w:ind w:left="425" w:hanging="425"/>
        <w:spacing w:line="360" w:lineRule="auto"/>
      </w:pPr>
      <w:r>
        <w:rPr>
          <w:rFonts w:hint="eastAsia"/>
          <w:sz w:val="24"/>
        </w:rPr>
        <w:t xml:space="preserve">解冻要求：解冻后自动释放冷冻位置；打印解冻出库列表。</w:t>
      </w:r>
      <w:r>
        <w:rPr>
          <w:sz w:val="24"/>
        </w:rPr>
      </w:r>
      <w:r/>
    </w:p>
    <w:p>
      <w:pPr>
        <w:pStyle w:val="971"/>
        <w:numPr>
          <w:ilvl w:val="0"/>
          <w:numId w:val="21"/>
        </w:numPr>
        <w:ind w:left="425" w:hanging="425"/>
        <w:spacing w:line="360" w:lineRule="auto"/>
        <w:rPr>
          <w:sz w:val="24"/>
        </w:rPr>
      </w:pPr>
      <w:r>
        <w:rPr>
          <w:rFonts w:hint="eastAsia"/>
          <w:sz w:val="24"/>
        </w:rPr>
        <w:t xml:space="preserve">胚胎活检：生成唯一活检编号，不可移植胚胎不可出库（规则可自定义）；关联胚胎形态信息，录入活检记录。</w:t>
      </w:r>
      <w:r>
        <w:rPr>
          <w:sz w:val="24"/>
        </w:rPr>
      </w:r>
      <w:r/>
    </w:p>
    <w:p>
      <w:pPr>
        <w:pStyle w:val="971"/>
        <w:numPr>
          <w:ilvl w:val="0"/>
          <w:numId w:val="21"/>
        </w:numPr>
        <w:ind w:left="425" w:hanging="425"/>
        <w:spacing w:line="360" w:lineRule="auto"/>
        <w:rPr>
          <w:sz w:val="24"/>
        </w:rPr>
      </w:pPr>
      <w:r>
        <w:rPr>
          <w:rFonts w:hint="eastAsia"/>
          <w:sz w:val="24"/>
        </w:rPr>
        <w:t xml:space="preserve">临床实验室交互</w:t>
      </w:r>
      <w:r>
        <w:rPr>
          <w:sz w:val="24"/>
        </w:rPr>
      </w:r>
      <w:r/>
    </w:p>
    <w:p>
      <w:pPr>
        <w:pStyle w:val="971"/>
        <w:numPr>
          <w:ilvl w:val="0"/>
          <w:numId w:val="27"/>
        </w:numPr>
        <w:ind w:firstLine="480"/>
        <w:spacing w:line="360" w:lineRule="auto"/>
        <w:rPr>
          <w:sz w:val="24"/>
        </w:rPr>
      </w:pPr>
      <w:r>
        <w:rPr>
          <w:rFonts w:hint="eastAsia"/>
          <w:sz w:val="24"/>
        </w:rPr>
        <w:t xml:space="preserve">D0方案谈话，D3胚胎培养结果谈话等不同类型的临床实验室沟通的谈话流程记录；统一查询展示待谈话患者信息，包括姓名、年龄、周期信息、谈话状态等；支持打印谈话结果；</w:t>
      </w:r>
      <w:r>
        <w:rPr>
          <w:sz w:val="24"/>
        </w:rPr>
      </w:r>
      <w:r/>
    </w:p>
    <w:p>
      <w:pPr>
        <w:pStyle w:val="971"/>
        <w:numPr>
          <w:ilvl w:val="0"/>
          <w:numId w:val="27"/>
        </w:numPr>
        <w:ind w:firstLine="480"/>
        <w:spacing w:line="360" w:lineRule="auto"/>
        <w:rPr>
          <w:sz w:val="24"/>
        </w:rPr>
      </w:pPr>
      <w:r>
        <w:rPr>
          <w:rFonts w:hint="eastAsia"/>
          <w:sz w:val="24"/>
        </w:rPr>
        <w:t xml:space="preserve">交互流程支持驳回、撤回、审批通过等操作，可以自定义；支持对流程节点进行自定义，包括流程节点数量，每个节点的操作者等。支持对流程节点的输入项进行自定义，支持自动获取培养结果，查看培养记录；</w:t>
      </w:r>
      <w:r>
        <w:rPr>
          <w:sz w:val="24"/>
        </w:rPr>
      </w:r>
      <w:r/>
    </w:p>
    <w:p>
      <w:pPr>
        <w:pStyle w:val="971"/>
        <w:numPr>
          <w:ilvl w:val="0"/>
          <w:numId w:val="27"/>
        </w:numPr>
        <w:ind w:firstLine="480"/>
        <w:spacing w:line="360" w:lineRule="auto"/>
        <w:rPr>
          <w:sz w:val="24"/>
        </w:rPr>
      </w:pPr>
      <w:r>
        <w:rPr>
          <w:rFonts w:hint="eastAsia"/>
          <w:sz w:val="24"/>
        </w:rPr>
        <w:t xml:space="preserve">患者数据统一管理，互联互通，实验室数据可自动回传或展示在周期管理模块，方便诊疗。</w:t>
      </w:r>
      <w:r>
        <w:rPr>
          <w:sz w:val="24"/>
        </w:rPr>
      </w:r>
      <w:r/>
    </w:p>
    <w:p>
      <w:pPr>
        <w:pStyle w:val="971"/>
        <w:numPr>
          <w:ilvl w:val="0"/>
          <w:numId w:val="21"/>
        </w:numPr>
        <w:ind w:left="425" w:hanging="425"/>
        <w:spacing w:line="360" w:lineRule="auto"/>
        <w:rPr>
          <w:sz w:val="24"/>
        </w:rPr>
      </w:pPr>
      <w:r>
        <w:rPr>
          <w:rFonts w:hint="eastAsia"/>
          <w:sz w:val="24"/>
        </w:rPr>
        <w:t xml:space="preserve">数据管理统计</w:t>
      </w:r>
      <w:r>
        <w:rPr>
          <w:sz w:val="24"/>
        </w:rPr>
      </w:r>
      <w:r/>
    </w:p>
    <w:p>
      <w:pPr>
        <w:pStyle w:val="971"/>
        <w:numPr>
          <w:ilvl w:val="0"/>
          <w:numId w:val="28"/>
        </w:numPr>
        <w:ind w:firstLine="480"/>
        <w:spacing w:line="360" w:lineRule="auto"/>
        <w:rPr>
          <w:sz w:val="24"/>
        </w:rPr>
      </w:pPr>
      <w:r>
        <w:rPr>
          <w:rFonts w:hint="eastAsia" w:ascii="宋体" w:hAnsi="宋体" w:cs="宋体"/>
          <w:sz w:val="24"/>
          <w:szCs w:val="24"/>
        </w:rPr>
        <w:t xml:space="preserve">展示当日实验室各岗位所有待办事项和进度，包括取卵、移植、IVF、ICSI等，实时动态展示最新的操作信息；</w:t>
      </w:r>
      <w:r>
        <w:rPr>
          <w:sz w:val="24"/>
        </w:rPr>
      </w:r>
      <w:r/>
    </w:p>
    <w:p>
      <w:pPr>
        <w:pStyle w:val="971"/>
        <w:numPr>
          <w:ilvl w:val="0"/>
          <w:numId w:val="28"/>
        </w:numPr>
        <w:ind w:firstLine="480"/>
        <w:spacing w:line="360" w:lineRule="auto"/>
        <w:rPr>
          <w:sz w:val="24"/>
        </w:rPr>
      </w:pPr>
      <w:r>
        <w:rPr>
          <w:rFonts w:hint="eastAsia" w:ascii="宋体" w:hAnsi="宋体" w:cs="宋体"/>
          <w:sz w:val="24"/>
          <w:szCs w:val="24"/>
        </w:rPr>
        <w:t xml:space="preserve">▲</w:t>
      </w:r>
      <w:r>
        <w:rPr>
          <w:rFonts w:hint="eastAsia"/>
          <w:sz w:val="24"/>
        </w:rPr>
        <w:t xml:space="preserve">提供移动端及电脑端实验室模块使用界面，电脑端系统具有数据统计管理功能、对实验室数据进行审核、统计</w:t>
      </w:r>
      <w:r>
        <w:rPr>
          <w:sz w:val="24"/>
        </w:rPr>
        <w:t xml:space="preserve">；</w:t>
      </w:r>
      <w:r/>
    </w:p>
    <w:p>
      <w:pPr>
        <w:pStyle w:val="971"/>
        <w:numPr>
          <w:ilvl w:val="0"/>
          <w:numId w:val="28"/>
        </w:numPr>
        <w:ind w:firstLine="480"/>
        <w:spacing w:line="360" w:lineRule="auto"/>
        <w:rPr>
          <w:sz w:val="24"/>
        </w:rPr>
      </w:pPr>
      <w:r>
        <w:rPr>
          <w:rFonts w:hint="eastAsia"/>
          <w:sz w:val="24"/>
        </w:rPr>
        <w:t xml:space="preserve">提供医疗质量分析管理功能，为医疗管理层作出管理决策提供实际资料；可根据多种查询条件（日期、助孕方案等自定义条件），查询实验室相关参数包括但不限于2PN率、卵裂率、优胚率、囊胚率、优质囊胚率、可用囊胚率、卵子可用率、移植周期率、冷冻周期率等参数，提供详细的统计图表（树状图、条形图、excle基础数据导出）。可根据科室需求定制相关统计报表；</w:t>
      </w:r>
      <w:r>
        <w:rPr>
          <w:sz w:val="24"/>
        </w:rPr>
      </w:r>
      <w:r/>
    </w:p>
    <w:p>
      <w:pPr>
        <w:pStyle w:val="971"/>
        <w:numPr>
          <w:ilvl w:val="0"/>
          <w:numId w:val="28"/>
        </w:numPr>
        <w:ind w:firstLine="480"/>
        <w:spacing w:line="360" w:lineRule="auto"/>
        <w:rPr>
          <w:sz w:val="24"/>
        </w:rPr>
      </w:pPr>
      <w:r>
        <w:rPr>
          <w:rFonts w:hint="eastAsia"/>
          <w:sz w:val="24"/>
        </w:rPr>
        <w:t xml:space="preserve">移动端和患者端的电子签名功能，如有需要可配合指纹验证、面部识别等，为无纸化提供基础。</w:t>
      </w:r>
      <w:r>
        <w:rPr>
          <w:sz w:val="24"/>
        </w:rPr>
      </w:r>
      <w:r/>
    </w:p>
    <w:p>
      <w:pPr>
        <w:pStyle w:val="971"/>
        <w:numPr>
          <w:ilvl w:val="0"/>
          <w:numId w:val="21"/>
        </w:numPr>
        <w:ind w:left="425" w:hanging="425"/>
        <w:spacing w:line="360" w:lineRule="auto"/>
        <w:rPr>
          <w:sz w:val="24"/>
        </w:rPr>
      </w:pPr>
      <w:r>
        <w:rPr>
          <w:rFonts w:hint="eastAsia"/>
          <w:sz w:val="24"/>
        </w:rPr>
        <w:t xml:space="preserve">试剂耗材管理 </w:t>
      </w:r>
      <w:r>
        <w:rPr>
          <w:sz w:val="24"/>
        </w:rPr>
      </w:r>
      <w:r/>
    </w:p>
    <w:p>
      <w:pPr>
        <w:pStyle w:val="971"/>
        <w:numPr>
          <w:ilvl w:val="0"/>
          <w:numId w:val="29"/>
        </w:numPr>
        <w:ind w:firstLine="480"/>
        <w:spacing w:line="360" w:lineRule="auto"/>
        <w:rPr>
          <w:sz w:val="24"/>
        </w:rPr>
      </w:pPr>
      <w:r>
        <w:rPr>
          <w:rFonts w:hint="eastAsia"/>
          <w:sz w:val="24"/>
        </w:rPr>
        <w:t xml:space="preserve">扫码功能：入库/出库/移库/质控（支持摄像头/激光扫码）；支持按类型或批次操作；</w:t>
      </w:r>
      <w:r>
        <w:rPr>
          <w:sz w:val="24"/>
        </w:rPr>
      </w:r>
      <w:r/>
    </w:p>
    <w:p>
      <w:pPr>
        <w:pStyle w:val="971"/>
        <w:numPr>
          <w:ilvl w:val="0"/>
          <w:numId w:val="29"/>
        </w:numPr>
        <w:ind w:firstLine="480"/>
        <w:spacing w:line="360" w:lineRule="auto"/>
        <w:rPr>
          <w:sz w:val="24"/>
        </w:rPr>
      </w:pPr>
      <w:r>
        <w:rPr>
          <w:rFonts w:hint="eastAsia" w:ascii="宋体" w:hAnsi="宋体" w:cs="宋体"/>
          <w:sz w:val="24"/>
          <w:szCs w:val="24"/>
        </w:rPr>
        <w:t xml:space="preserve">▲</w:t>
      </w:r>
      <w:r>
        <w:rPr>
          <w:rFonts w:hint="eastAsia"/>
          <w:sz w:val="24"/>
        </w:rPr>
        <w:t xml:space="preserve">库存管理：关联备液系统，多方式出库（先扫码或先选位）</w:t>
      </w:r>
      <w:r>
        <w:rPr>
          <w:sz w:val="24"/>
        </w:rPr>
        <w:t xml:space="preserve">；</w:t>
      </w:r>
      <w:r>
        <w:rPr>
          <w:rFonts w:hint="eastAsia"/>
          <w:sz w:val="24"/>
        </w:rPr>
        <w:t xml:space="preserve">预警设置：自定义预警规则（库存/临期）及通知方式</w:t>
      </w:r>
      <w:r>
        <w:rPr>
          <w:sz w:val="24"/>
        </w:rPr>
        <w:t xml:space="preserve">；入库/出库/质控记录追溯与导出；</w:t>
      </w:r>
      <w:r/>
    </w:p>
    <w:p>
      <w:pPr>
        <w:pStyle w:val="971"/>
        <w:numPr>
          <w:ilvl w:val="0"/>
          <w:numId w:val="29"/>
        </w:numPr>
        <w:ind w:firstLine="480"/>
        <w:spacing w:line="360" w:lineRule="auto"/>
        <w:rPr>
          <w:sz w:val="24"/>
        </w:rPr>
      </w:pPr>
      <w:r>
        <w:rPr>
          <w:rFonts w:hint="eastAsia"/>
          <w:sz w:val="24"/>
        </w:rPr>
        <w:t xml:space="preserve">可提供移动端耗材管理软件：支持各类扫码操作、</w:t>
      </w:r>
      <w:r>
        <w:rPr>
          <w:sz w:val="24"/>
          <w:u w:val="single"/>
        </w:rPr>
        <w:t xml:space="preserve">库存</w:t>
      </w:r>
      <w:r>
        <w:rPr>
          <w:rFonts w:hint="eastAsia"/>
          <w:sz w:val="24"/>
        </w:rPr>
        <w:t xml:space="preserve">管理（内网）</w:t>
      </w:r>
      <w:r>
        <w:rPr>
          <w:sz w:val="24"/>
        </w:rPr>
        <w:t xml:space="preserve">。</w:t>
      </w:r>
      <w:r/>
    </w:p>
    <w:p>
      <w:pPr>
        <w:pStyle w:val="971"/>
        <w:numPr>
          <w:ilvl w:val="0"/>
          <w:numId w:val="5"/>
        </w:numPr>
        <w:ind w:firstLine="0"/>
        <w:spacing w:line="360" w:lineRule="auto"/>
        <w:rPr>
          <w:b/>
          <w:bCs/>
          <w:sz w:val="24"/>
        </w:rPr>
      </w:pPr>
      <w:r>
        <w:rPr>
          <w:rFonts w:hint="eastAsia"/>
          <w:b/>
          <w:bCs/>
          <w:sz w:val="24"/>
        </w:rPr>
        <w:t xml:space="preserve">数据统计查询、数据上报</w:t>
      </w:r>
      <w:r>
        <w:rPr>
          <w:b/>
          <w:bCs/>
          <w:sz w:val="24"/>
        </w:rPr>
      </w:r>
      <w:r/>
    </w:p>
    <w:p>
      <w:pPr>
        <w:pStyle w:val="971"/>
        <w:numPr>
          <w:ilvl w:val="0"/>
          <w:numId w:val="30"/>
        </w:numPr>
        <w:ind w:left="425" w:hanging="425"/>
        <w:spacing w:line="360" w:lineRule="auto"/>
        <w:rPr>
          <w:sz w:val="24"/>
        </w:rPr>
      </w:pPr>
      <w:r>
        <w:rPr>
          <w:rFonts w:hint="eastAsia"/>
          <w:sz w:val="24"/>
        </w:rPr>
        <w:t xml:space="preserve">数据统计：用户可根据不同的数据源配置查询项目，查询条件自定义配置；可动态配置统计项目、统计项目指标、统计项目横向/纵向分组；统计指标可根据科室需求定制</w:t>
      </w:r>
      <w:r>
        <w:rPr>
          <w:sz w:val="24"/>
        </w:rPr>
        <w:t xml:space="preserve">。</w:t>
      </w:r>
      <w:r/>
    </w:p>
    <w:p>
      <w:pPr>
        <w:pStyle w:val="971"/>
        <w:numPr>
          <w:ilvl w:val="0"/>
          <w:numId w:val="30"/>
        </w:numPr>
        <w:ind w:left="425" w:hanging="425"/>
        <w:spacing w:line="360" w:lineRule="auto"/>
        <w:rPr>
          <w:sz w:val="24"/>
        </w:rPr>
      </w:pPr>
      <w:r>
        <w:rPr>
          <w:rFonts w:hint="eastAsia"/>
          <w:sz w:val="24"/>
        </w:rPr>
        <w:t xml:space="preserve">生殖医学中心数据可视化平台：可动态配置统计指标展示的图表样式（柱状图、折线图、饼状图），支持自定义各种数据基线、警戒线（动态配置样式、颜色、阈值）；支持大屏动态展示科室业务情况，展示内容根据科室需求自定义配置</w:t>
      </w:r>
      <w:r>
        <w:rPr>
          <w:sz w:val="24"/>
        </w:rPr>
        <w:t xml:space="preserve">。</w:t>
      </w:r>
      <w:r/>
    </w:p>
    <w:p>
      <w:pPr>
        <w:pStyle w:val="971"/>
        <w:numPr>
          <w:ilvl w:val="0"/>
          <w:numId w:val="30"/>
        </w:numPr>
        <w:ind w:left="425" w:hanging="425"/>
        <w:spacing w:line="360" w:lineRule="auto"/>
        <w:rPr>
          <w:sz w:val="24"/>
        </w:rPr>
      </w:pPr>
      <w:r>
        <w:rPr>
          <w:rFonts w:hint="eastAsia"/>
          <w:sz w:val="24"/>
        </w:rPr>
        <w:t xml:space="preserve">根据日、周、月、季、年配置各种数据质控相关统计指标及图表展示；支持指标关联配置，异常数据路径分析；根据用户权限，配置数据导出及打印报表功能</w:t>
      </w:r>
      <w:r>
        <w:rPr>
          <w:sz w:val="24"/>
        </w:rPr>
        <w:t xml:space="preserve">。</w:t>
      </w:r>
      <w:r/>
    </w:p>
    <w:p>
      <w:pPr>
        <w:pStyle w:val="971"/>
        <w:numPr>
          <w:ilvl w:val="0"/>
          <w:numId w:val="30"/>
        </w:numPr>
        <w:ind w:left="425" w:hanging="425"/>
        <w:spacing w:line="360" w:lineRule="auto"/>
        <w:rPr>
          <w:sz w:val="24"/>
        </w:rPr>
      </w:pPr>
      <w:r>
        <w:rPr>
          <w:rFonts w:hint="eastAsia"/>
          <w:sz w:val="24"/>
        </w:rPr>
        <w:t xml:space="preserve">根据不同业务模块多维度统计工作量；可按照周期/患者/冷冻管数/解冻观数据配置统计；支持固定业务工作量统计</w:t>
      </w:r>
      <w:r>
        <w:rPr>
          <w:sz w:val="24"/>
        </w:rPr>
        <w:t xml:space="preserve">。</w:t>
      </w:r>
      <w:r/>
    </w:p>
    <w:p>
      <w:pPr>
        <w:pStyle w:val="971"/>
        <w:numPr>
          <w:ilvl w:val="0"/>
          <w:numId w:val="30"/>
        </w:numPr>
        <w:ind w:left="425" w:hanging="425"/>
        <w:spacing w:line="360" w:lineRule="auto"/>
        <w:rPr>
          <w:sz w:val="24"/>
        </w:rPr>
      </w:pPr>
      <w:r>
        <w:rPr>
          <w:rFonts w:hint="eastAsia"/>
          <w:sz w:val="24"/>
        </w:rPr>
        <w:t xml:space="preserve">根据</w:t>
      </w:r>
      <w:r>
        <w:rPr>
          <w:sz w:val="24"/>
        </w:rPr>
        <w:t xml:space="preserve">卫健委、卫生部、CDC</w:t>
      </w:r>
      <w:r>
        <w:rPr>
          <w:rFonts w:hint="eastAsia"/>
          <w:sz w:val="24"/>
        </w:rPr>
        <w:t xml:space="preserve">要求定制统计</w:t>
      </w:r>
      <w:r>
        <w:rPr>
          <w:sz w:val="24"/>
        </w:rPr>
        <w:t xml:space="preserve">报表</w:t>
      </w:r>
      <w:r>
        <w:rPr>
          <w:rFonts w:hint="eastAsia"/>
          <w:sz w:val="24"/>
        </w:rPr>
        <w:t xml:space="preserve">，定期生成上报数据</w:t>
      </w:r>
      <w:r>
        <w:rPr>
          <w:sz w:val="24"/>
        </w:rPr>
        <w:t xml:space="preserve">。</w:t>
      </w:r>
      <w:r/>
    </w:p>
    <w:p>
      <w:pPr>
        <w:pStyle w:val="971"/>
        <w:numPr>
          <w:ilvl w:val="0"/>
          <w:numId w:val="30"/>
        </w:numPr>
        <w:ind w:left="425" w:hanging="425"/>
        <w:spacing w:line="360" w:lineRule="auto"/>
        <w:rPr>
          <w:sz w:val="24"/>
        </w:rPr>
      </w:pPr>
      <w:r>
        <w:rPr>
          <w:rFonts w:hint="eastAsia"/>
          <w:sz w:val="24"/>
        </w:rPr>
        <w:t xml:space="preserve">对接江苏省妇幼健康信息系统，上传生殖专科数据</w:t>
      </w:r>
      <w:r>
        <w:rPr>
          <w:sz w:val="24"/>
        </w:rPr>
        <w:t xml:space="preserve">。</w:t>
      </w:r>
      <w:r/>
    </w:p>
    <w:p>
      <w:pPr>
        <w:pStyle w:val="971"/>
        <w:numPr>
          <w:ilvl w:val="0"/>
          <w:numId w:val="30"/>
        </w:numPr>
        <w:ind w:left="425" w:hanging="425"/>
        <w:spacing w:line="360" w:lineRule="auto"/>
        <w:rPr>
          <w:sz w:val="24"/>
        </w:rPr>
      </w:pPr>
      <w:r>
        <w:rPr>
          <w:rFonts w:hint="eastAsia" w:ascii="宋体" w:hAnsi="宋体" w:cs="宋体"/>
          <w:sz w:val="24"/>
          <w:szCs w:val="24"/>
        </w:rPr>
        <w:t xml:space="preserve">▲</w:t>
      </w:r>
      <w:r>
        <w:rPr>
          <w:rFonts w:hint="eastAsia"/>
          <w:sz w:val="24"/>
        </w:rPr>
        <w:t xml:space="preserve">根据医生、胚胎师、护士电子签名抓取个人工作量，为绩效考核提供准确及时的数据。</w:t>
      </w:r>
      <w:r>
        <w:rPr>
          <w:sz w:val="24"/>
        </w:rPr>
      </w:r>
      <w:r/>
    </w:p>
    <w:p>
      <w:pPr>
        <w:pStyle w:val="971"/>
        <w:numPr>
          <w:ilvl w:val="0"/>
          <w:numId w:val="5"/>
        </w:numPr>
        <w:ind w:firstLine="0"/>
        <w:spacing w:line="360" w:lineRule="auto"/>
        <w:rPr>
          <w:b/>
          <w:bCs/>
          <w:sz w:val="24"/>
        </w:rPr>
      </w:pPr>
      <w:r>
        <w:rPr>
          <w:rFonts w:hint="eastAsia"/>
          <w:b/>
          <w:bCs/>
          <w:sz w:val="24"/>
        </w:rPr>
        <w:t xml:space="preserve">移动端服务</w:t>
      </w:r>
      <w:r>
        <w:rPr>
          <w:b/>
          <w:bCs/>
          <w:sz w:val="24"/>
        </w:rPr>
      </w:r>
      <w:r/>
    </w:p>
    <w:p>
      <w:pPr>
        <w:pStyle w:val="971"/>
        <w:numPr>
          <w:ilvl w:val="0"/>
          <w:numId w:val="31"/>
        </w:numPr>
        <w:ind w:left="425" w:hanging="425"/>
        <w:spacing w:line="360" w:lineRule="auto"/>
        <w:rPr>
          <w:sz w:val="24"/>
        </w:rPr>
      </w:pPr>
      <w:r>
        <w:rPr>
          <w:rFonts w:hint="eastAsia"/>
          <w:sz w:val="24"/>
        </w:rPr>
        <w:t xml:space="preserve">患者端小程序</w:t>
      </w:r>
      <w:r>
        <w:rPr>
          <w:sz w:val="24"/>
        </w:rPr>
      </w:r>
      <w:r/>
    </w:p>
    <w:p>
      <w:pPr>
        <w:pStyle w:val="971"/>
        <w:numPr>
          <w:ilvl w:val="0"/>
          <w:numId w:val="32"/>
        </w:numPr>
        <w:ind w:firstLine="480"/>
        <w:spacing w:line="360" w:lineRule="auto"/>
        <w:rPr>
          <w:sz w:val="24"/>
        </w:rPr>
      </w:pPr>
      <w:r>
        <w:rPr>
          <w:rFonts w:hint="eastAsia"/>
          <w:sz w:val="24"/>
        </w:rPr>
        <w:t xml:space="preserve">支持患者端小程序医院本地化部署，数据不出医院；</w:t>
      </w:r>
      <w:r>
        <w:rPr>
          <w:sz w:val="24"/>
        </w:rPr>
        <w:t xml:space="preserve">与</w:t>
      </w:r>
      <w:r>
        <w:rPr>
          <w:rFonts w:hint="eastAsia"/>
          <w:sz w:val="24"/>
        </w:rPr>
        <w:t xml:space="preserve">HIS、</w:t>
      </w:r>
      <w:r>
        <w:rPr>
          <w:sz w:val="24"/>
        </w:rPr>
        <w:t xml:space="preserve">生殖病历系统相结合，实现生殖中心个性化预约挂号</w:t>
      </w:r>
      <w:r>
        <w:rPr>
          <w:rFonts w:hint="eastAsia"/>
          <w:sz w:val="24"/>
        </w:rPr>
        <w:t xml:space="preserve">、到检叫号</w:t>
      </w:r>
      <w:r>
        <w:rPr>
          <w:sz w:val="24"/>
        </w:rPr>
        <w:t xml:space="preserve">；</w:t>
      </w:r>
      <w:r>
        <w:rPr>
          <w:rFonts w:hint="eastAsia"/>
          <w:sz w:val="24"/>
        </w:rPr>
        <w:t xml:space="preserve">患者就诊信息、周期情况、检查检验等诊疗流程都可通过小程序查看并自动进行相应的下一步就诊流程安排；</w:t>
      </w:r>
      <w:r>
        <w:rPr>
          <w:sz w:val="24"/>
        </w:rPr>
      </w:r>
      <w:r/>
    </w:p>
    <w:p>
      <w:pPr>
        <w:pStyle w:val="971"/>
        <w:numPr>
          <w:ilvl w:val="0"/>
          <w:numId w:val="32"/>
        </w:numPr>
        <w:ind w:firstLine="480"/>
        <w:spacing w:line="360" w:lineRule="auto"/>
        <w:rPr>
          <w:sz w:val="24"/>
        </w:rPr>
      </w:pPr>
      <w:r>
        <w:rPr>
          <w:rFonts w:hint="eastAsia" w:ascii="宋体" w:hAnsi="宋体" w:cs="宋体"/>
          <w:sz w:val="24"/>
          <w:szCs w:val="24"/>
        </w:rPr>
        <w:t xml:space="preserve">▲</w:t>
      </w:r>
      <w:r>
        <w:rPr>
          <w:sz w:val="24"/>
        </w:rPr>
        <w:t xml:space="preserve">冷冻续费：根据冷冻续费到期日期，推送提醒缴费信息；</w:t>
      </w:r>
      <w:r>
        <w:rPr>
          <w:rFonts w:hint="eastAsia"/>
          <w:sz w:val="24"/>
        </w:rPr>
        <w:t xml:space="preserve">对接HIS/一体化系统接口，实现患者线上自助冷冻续费；缴费后，自动同步续费时长到生殖病历系统，无需人工更新；各环节有相应日志，方便后续跟踪核对。根据业务需求对接</w:t>
      </w:r>
      <w:r>
        <w:rPr>
          <w:sz w:val="24"/>
        </w:rPr>
        <w:t xml:space="preserve">HIS系统</w:t>
      </w:r>
      <w:r>
        <w:rPr>
          <w:rFonts w:hint="eastAsia"/>
          <w:sz w:val="24"/>
        </w:rPr>
        <w:t xml:space="preserve">医嘱及缴费系统。</w:t>
      </w:r>
      <w:r>
        <w:rPr>
          <w:sz w:val="24"/>
        </w:rPr>
      </w:r>
      <w:r/>
    </w:p>
    <w:p>
      <w:pPr>
        <w:pStyle w:val="971"/>
        <w:numPr>
          <w:ilvl w:val="0"/>
          <w:numId w:val="32"/>
        </w:numPr>
        <w:ind w:firstLine="480"/>
        <w:spacing w:line="360" w:lineRule="auto"/>
        <w:rPr>
          <w:sz w:val="24"/>
        </w:rPr>
      </w:pPr>
      <w:r>
        <w:rPr>
          <w:rFonts w:hint="eastAsia"/>
          <w:sz w:val="24"/>
        </w:rPr>
        <w:t xml:space="preserve">支持从时差培养箱获取胚胎图像及形态学评分，胚胎图像及培养结果可以通过患者端小程序推送给患者。</w:t>
      </w:r>
      <w:r>
        <w:rPr>
          <w:sz w:val="24"/>
        </w:rPr>
        <w:t xml:space="preserve">  </w:t>
      </w:r>
      <w:r/>
    </w:p>
    <w:p>
      <w:pPr>
        <w:pStyle w:val="971"/>
        <w:numPr>
          <w:ilvl w:val="0"/>
          <w:numId w:val="32"/>
        </w:numPr>
        <w:ind w:firstLine="480"/>
        <w:spacing w:line="360" w:lineRule="auto"/>
        <w:rPr>
          <w:sz w:val="24"/>
        </w:rPr>
      </w:pPr>
      <w:r>
        <w:rPr>
          <w:rFonts w:hint="eastAsia"/>
          <w:sz w:val="24"/>
        </w:rPr>
        <w:t xml:space="preserve">可提供</w:t>
      </w:r>
      <w:r>
        <w:rPr>
          <w:sz w:val="24"/>
        </w:rPr>
        <w:t xml:space="preserve">在线咨询</w:t>
      </w:r>
      <w:r>
        <w:rPr>
          <w:rFonts w:hint="eastAsia"/>
          <w:sz w:val="24"/>
        </w:rPr>
        <w:t xml:space="preserve">、</w:t>
      </w:r>
      <w:r>
        <w:rPr>
          <w:sz w:val="24"/>
        </w:rPr>
        <w:t xml:space="preserve">短信</w:t>
      </w:r>
      <w:r>
        <w:rPr>
          <w:rFonts w:hint="eastAsia"/>
          <w:sz w:val="24"/>
        </w:rPr>
        <w:t xml:space="preserve">或消息推送</w:t>
      </w:r>
      <w:r>
        <w:rPr>
          <w:sz w:val="24"/>
        </w:rPr>
        <w:t xml:space="preserve">平台</w:t>
      </w:r>
      <w:r>
        <w:rPr>
          <w:rFonts w:hint="eastAsia"/>
          <w:sz w:val="24"/>
        </w:rPr>
        <w:t xml:space="preserve">（宣教提醒、手术提醒、检验检查结果推送、</w:t>
      </w:r>
      <w:r>
        <w:rPr>
          <w:sz w:val="24"/>
        </w:rPr>
        <w:t xml:space="preserve">胚胎培养结果</w:t>
      </w:r>
      <w:r>
        <w:rPr>
          <w:rFonts w:hint="eastAsia"/>
          <w:sz w:val="24"/>
        </w:rPr>
        <w:t xml:space="preserve">、</w:t>
      </w:r>
      <w:r>
        <w:rPr>
          <w:sz w:val="24"/>
        </w:rPr>
        <w:t xml:space="preserve">PGD活检结果</w:t>
      </w:r>
      <w:r>
        <w:rPr>
          <w:rFonts w:hint="eastAsia"/>
          <w:sz w:val="24"/>
        </w:rPr>
        <w:t xml:space="preserve">推送、随访推送等等）、</w:t>
      </w:r>
      <w:r>
        <w:rPr>
          <w:sz w:val="24"/>
        </w:rPr>
        <w:t xml:space="preserve">通知公告</w:t>
      </w:r>
      <w:r>
        <w:rPr>
          <w:rFonts w:hint="eastAsia"/>
          <w:sz w:val="24"/>
        </w:rPr>
        <w:t xml:space="preserve">、专科</w:t>
      </w:r>
      <w:r>
        <w:rPr>
          <w:sz w:val="24"/>
        </w:rPr>
        <w:t xml:space="preserve">在线宣教与问卷调查</w:t>
      </w:r>
      <w:r>
        <w:rPr>
          <w:rFonts w:hint="eastAsia"/>
          <w:sz w:val="24"/>
        </w:rPr>
        <w:t xml:space="preserve">；可根据需要对接可对接医院导航系统。</w:t>
      </w:r>
      <w:r>
        <w:rPr>
          <w:sz w:val="24"/>
        </w:rPr>
      </w:r>
      <w:r/>
    </w:p>
    <w:p>
      <w:pPr>
        <w:pStyle w:val="971"/>
        <w:numPr>
          <w:ilvl w:val="0"/>
          <w:numId w:val="31"/>
        </w:numPr>
        <w:ind w:left="425" w:hanging="425"/>
        <w:spacing w:line="360" w:lineRule="auto"/>
        <w:rPr>
          <w:sz w:val="24"/>
        </w:rPr>
      </w:pPr>
      <w:r>
        <w:rPr>
          <w:rFonts w:hint="eastAsia"/>
          <w:sz w:val="24"/>
        </w:rPr>
        <w:t xml:space="preserve">患者群聊</w:t>
      </w:r>
      <w:r>
        <w:rPr>
          <w:sz w:val="24"/>
        </w:rPr>
      </w:r>
      <w:r/>
    </w:p>
    <w:p>
      <w:pPr>
        <w:pStyle w:val="971"/>
        <w:numPr>
          <w:ilvl w:val="0"/>
          <w:numId w:val="33"/>
        </w:numPr>
        <w:ind w:firstLine="480"/>
        <w:spacing w:line="360" w:lineRule="auto"/>
        <w:rPr>
          <w:sz w:val="24"/>
        </w:rPr>
      </w:pPr>
      <w:r>
        <w:rPr>
          <w:sz w:val="24"/>
        </w:rPr>
        <w:t xml:space="preserve">自动群组管理，无需手动维护群组成员，可根据患者治疗节点组群；自定义管理群里医护人员并设置管理员</w:t>
      </w:r>
      <w:r/>
    </w:p>
    <w:p>
      <w:pPr>
        <w:pStyle w:val="971"/>
        <w:numPr>
          <w:ilvl w:val="0"/>
          <w:numId w:val="33"/>
        </w:numPr>
        <w:ind w:firstLine="480"/>
        <w:spacing w:line="360" w:lineRule="auto"/>
        <w:rPr>
          <w:sz w:val="24"/>
        </w:rPr>
      </w:pPr>
      <w:r>
        <w:rPr>
          <w:sz w:val="24"/>
        </w:rPr>
        <w:t xml:space="preserve">患者隐私保护，患者间消息不可互见；AI机器人回复，降低医护人员工作量，仅需针对特殊问题进行解答。</w:t>
      </w:r>
      <w:r/>
    </w:p>
    <w:p>
      <w:pPr>
        <w:pStyle w:val="971"/>
        <w:numPr>
          <w:ilvl w:val="0"/>
          <w:numId w:val="31"/>
        </w:numPr>
        <w:ind w:left="425" w:hanging="425"/>
        <w:spacing w:line="360" w:lineRule="auto"/>
        <w:rPr>
          <w:sz w:val="24"/>
        </w:rPr>
      </w:pPr>
      <w:r>
        <w:rPr>
          <w:rFonts w:hint="eastAsia" w:ascii="宋体" w:hAnsi="宋体" w:cs="宋体"/>
          <w:sz w:val="24"/>
          <w:szCs w:val="24"/>
        </w:rPr>
        <w:t xml:space="preserve">▲</w:t>
      </w:r>
      <w:r>
        <w:rPr>
          <w:sz w:val="24"/>
        </w:rPr>
        <w:t xml:space="preserve">医生版</w:t>
      </w:r>
      <w:r>
        <w:rPr>
          <w:rFonts w:hint="eastAsia"/>
          <w:sz w:val="24"/>
        </w:rPr>
        <w:t xml:space="preserve">移动管理端</w:t>
      </w:r>
      <w:r>
        <w:rPr>
          <w:sz w:val="24"/>
        </w:rPr>
        <w:t xml:space="preserve">：</w:t>
      </w:r>
      <w:r>
        <w:rPr>
          <w:rFonts w:hint="eastAsia"/>
          <w:sz w:val="24"/>
        </w:rPr>
        <w:t xml:space="preserve">支持HTML5，本地化部署并对接医院企业微信，接入企业微信安全网关。</w:t>
      </w:r>
      <w:r>
        <w:rPr>
          <w:sz w:val="24"/>
        </w:rPr>
        <w:t xml:space="preserve">医生在</w:t>
      </w:r>
      <w:r>
        <w:rPr>
          <w:rFonts w:hint="eastAsia"/>
          <w:sz w:val="24"/>
        </w:rPr>
        <w:t xml:space="preserve">管理端</w:t>
      </w:r>
      <w:r>
        <w:rPr>
          <w:sz w:val="24"/>
        </w:rPr>
        <w:t xml:space="preserve">实现对病人的分组管理</w:t>
      </w:r>
      <w:r>
        <w:rPr>
          <w:rFonts w:hint="eastAsia"/>
          <w:sz w:val="24"/>
        </w:rPr>
        <w:t xml:space="preserve">，</w:t>
      </w:r>
      <w:r>
        <w:rPr>
          <w:sz w:val="24"/>
        </w:rPr>
        <w:t xml:space="preserve">查看患者病历信息、排卵监测数据、胚胎培养数据</w:t>
      </w:r>
      <w:r>
        <w:rPr>
          <w:rFonts w:hint="eastAsia"/>
          <w:sz w:val="24"/>
        </w:rPr>
        <w:t xml:space="preserve">。</w:t>
      </w:r>
      <w:r>
        <w:rPr>
          <w:sz w:val="24"/>
        </w:rPr>
      </w:r>
      <w:r/>
    </w:p>
    <w:p>
      <w:pPr>
        <w:pStyle w:val="971"/>
        <w:numPr>
          <w:ilvl w:val="0"/>
          <w:numId w:val="5"/>
        </w:numPr>
        <w:ind w:firstLine="0"/>
        <w:spacing w:line="360" w:lineRule="auto"/>
        <w:rPr>
          <w:b/>
          <w:bCs/>
          <w:sz w:val="24"/>
        </w:rPr>
      </w:pPr>
      <w:r>
        <w:rPr>
          <w:rFonts w:hint="eastAsia"/>
          <w:b/>
          <w:bCs/>
          <w:sz w:val="24"/>
        </w:rPr>
        <w:t xml:space="preserve">其他要求</w:t>
      </w:r>
      <w:r>
        <w:rPr>
          <w:b/>
          <w:bCs/>
          <w:sz w:val="24"/>
        </w:rPr>
      </w:r>
      <w:r/>
    </w:p>
    <w:p>
      <w:pPr>
        <w:pStyle w:val="971"/>
        <w:numPr>
          <w:ilvl w:val="0"/>
          <w:numId w:val="34"/>
        </w:numPr>
        <w:ind w:left="425" w:hanging="425"/>
        <w:spacing w:line="360" w:lineRule="auto"/>
        <w:rPr>
          <w:sz w:val="24"/>
        </w:rPr>
      </w:pPr>
      <w:r>
        <w:rPr>
          <w:rFonts w:hint="eastAsia"/>
          <w:sz w:val="24"/>
        </w:rPr>
        <w:t xml:space="preserve">支持包括但不限于HIS、门急诊电子病历、住院一体化、集成平台、互联网应用、、医保、单点登录、LIS、PACS等第三方系统对接，实现数据交互；可根据医院需求进行页面改造，统一风格</w:t>
      </w:r>
      <w:r>
        <w:rPr>
          <w:sz w:val="24"/>
        </w:rPr>
        <w:t xml:space="preserve">。</w:t>
      </w:r>
      <w:r>
        <w:rPr>
          <w:rFonts w:hint="eastAsia"/>
          <w:sz w:val="24"/>
        </w:rPr>
        <w:t xml:space="preserve">对接医生端、患者端电子签名，推进无纸化建设</w:t>
      </w:r>
      <w:r>
        <w:rPr>
          <w:sz w:val="24"/>
        </w:rPr>
        <w:t xml:space="preserve">。</w:t>
      </w:r>
      <w:r/>
    </w:p>
    <w:p>
      <w:pPr>
        <w:pStyle w:val="971"/>
        <w:numPr>
          <w:ilvl w:val="0"/>
          <w:numId w:val="34"/>
        </w:numPr>
        <w:ind w:left="425" w:hanging="425"/>
        <w:spacing w:line="360" w:lineRule="auto"/>
        <w:rPr>
          <w:sz w:val="24"/>
        </w:rPr>
      </w:pPr>
      <w:r>
        <w:rPr>
          <w:rFonts w:hint="eastAsia"/>
          <w:sz w:val="24"/>
        </w:rPr>
        <w:t xml:space="preserve">可配合各类评级要求进行系统优化改造，包括电子病历、智慧医院、互联互通等等</w:t>
      </w:r>
      <w:r>
        <w:rPr>
          <w:sz w:val="24"/>
        </w:rPr>
        <w:t xml:space="preserve">。</w:t>
      </w:r>
      <w:r>
        <w:rPr>
          <w:rFonts w:hint="eastAsia"/>
          <w:sz w:val="24"/>
        </w:rPr>
        <w:t xml:space="preserve">支持多院区架构</w:t>
      </w:r>
      <w:r>
        <w:rPr>
          <w:sz w:val="24"/>
        </w:rPr>
        <w:t xml:space="preserve">。</w:t>
      </w:r>
      <w:r/>
    </w:p>
    <w:p>
      <w:pPr>
        <w:pStyle w:val="971"/>
        <w:numPr>
          <w:ilvl w:val="0"/>
          <w:numId w:val="34"/>
        </w:numPr>
        <w:ind w:left="425" w:hanging="425"/>
        <w:spacing w:line="360" w:lineRule="auto"/>
        <w:rPr>
          <w:rFonts w:ascii="宋体" w:hAnsi="宋体" w:cs="宋体"/>
          <w:sz w:val="24"/>
          <w:szCs w:val="24"/>
        </w:rPr>
      </w:pPr>
      <w:r>
        <w:rPr>
          <w:rFonts w:hint="eastAsia" w:ascii="宋体" w:hAnsi="宋体" w:cs="宋体"/>
          <w:sz w:val="24"/>
          <w:szCs w:val="24"/>
        </w:rPr>
        <w:t xml:space="preserve">安全性：</w:t>
      </w:r>
      <w:r>
        <w:rPr>
          <w:rFonts w:hint="eastAsia"/>
          <w:sz w:val="24"/>
        </w:rPr>
        <w:t xml:space="preserve">满足《网络安全法》《数据安全法》《个人信息保护法》和三级等保测评等法律法规要求</w:t>
      </w:r>
      <w:r>
        <w:rPr>
          <w:rFonts w:hint="eastAsia" w:ascii="宋体" w:hAnsi="宋体" w:cs="宋体"/>
          <w:sz w:val="24"/>
          <w:szCs w:val="24"/>
        </w:rPr>
        <w:t xml:space="preserve">，对某些关键数据需要采用高可靠的、防篡改的密码加密算法。系统具有抵御外界环境和人为操作失误的能力；有足够的防护措施，防止非法用户侵入。</w:t>
      </w:r>
      <w:r>
        <w:rPr>
          <w:rFonts w:hint="eastAsia"/>
          <w:sz w:val="24"/>
        </w:rPr>
        <w:t xml:space="preserve">可配合医院统一要求从分级授权、访问及操作日志记录、信息安全防护技术、管理制度等多角度进行数据安全控制</w:t>
      </w:r>
      <w:r>
        <w:rPr>
          <w:sz w:val="24"/>
        </w:rPr>
        <w:t xml:space="preserve">。</w:t>
      </w:r>
      <w:r>
        <w:rPr>
          <w:rFonts w:ascii="宋体" w:hAnsi="宋体" w:cs="宋体"/>
          <w:sz w:val="24"/>
          <w:szCs w:val="24"/>
        </w:rPr>
      </w:r>
      <w:r/>
    </w:p>
    <w:p>
      <w:pPr>
        <w:pStyle w:val="971"/>
        <w:numPr>
          <w:ilvl w:val="0"/>
          <w:numId w:val="34"/>
        </w:numPr>
        <w:ind w:left="425" w:hanging="425"/>
        <w:spacing w:line="360" w:lineRule="auto"/>
        <w:rPr>
          <w:rFonts w:ascii="宋体" w:hAnsi="宋体" w:cs="宋体"/>
          <w:sz w:val="24"/>
          <w:szCs w:val="24"/>
        </w:rPr>
      </w:pPr>
      <w:r>
        <w:rPr>
          <w:rFonts w:hint="eastAsia" w:ascii="宋体" w:hAnsi="宋体" w:cs="宋体"/>
          <w:sz w:val="24"/>
          <w:szCs w:val="24"/>
        </w:rPr>
        <w:t xml:space="preserve">可靠性：A. 系统不应在正常操作中丢失数据，当用户正在使用系统时，系统不应瘫痪。B. 系统应对所有的外部使用提供7×24小时的服务，年上线率99.99%；</w:t>
      </w:r>
      <w:r>
        <w:rPr>
          <w:rFonts w:ascii="宋体" w:hAnsi="宋体" w:cs="宋体"/>
          <w:sz w:val="24"/>
          <w:szCs w:val="24"/>
        </w:rPr>
      </w:r>
      <w:r/>
    </w:p>
    <w:p>
      <w:pPr>
        <w:pStyle w:val="971"/>
        <w:numPr>
          <w:ilvl w:val="0"/>
          <w:numId w:val="34"/>
        </w:numPr>
        <w:ind w:left="425" w:hanging="425"/>
        <w:spacing w:line="360" w:lineRule="auto"/>
        <w:rPr>
          <w:rFonts w:ascii="宋体" w:hAnsi="宋体" w:cs="宋体"/>
          <w:sz w:val="24"/>
          <w:szCs w:val="24"/>
        </w:rPr>
      </w:pPr>
      <w:r>
        <w:rPr>
          <w:rFonts w:hint="eastAsia" w:ascii="宋体" w:hAnsi="宋体" w:cs="宋体"/>
          <w:sz w:val="24"/>
          <w:szCs w:val="24"/>
        </w:rPr>
        <w:t xml:space="preserve">易用性：A. 系统的管理、操作界面应友善、易于使用，对使用人员的培训时间保持在较短的时间内。B. 系统应提供系统使用手册或操作视频来帮助用户熟悉系统的使用；</w:t>
      </w:r>
      <w:r>
        <w:rPr>
          <w:rFonts w:ascii="宋体" w:hAnsi="宋体" w:cs="宋体"/>
          <w:sz w:val="24"/>
          <w:szCs w:val="24"/>
        </w:rPr>
      </w:r>
      <w:r/>
    </w:p>
    <w:p>
      <w:pPr>
        <w:pStyle w:val="971"/>
        <w:numPr>
          <w:ilvl w:val="0"/>
          <w:numId w:val="34"/>
        </w:numPr>
        <w:ind w:left="425" w:hanging="425"/>
        <w:spacing w:line="360" w:lineRule="auto"/>
        <w:rPr>
          <w:rFonts w:ascii="宋体" w:hAnsi="宋体" w:cs="宋体"/>
          <w:sz w:val="24"/>
          <w:szCs w:val="24"/>
        </w:rPr>
      </w:pPr>
      <w:r>
        <w:rPr>
          <w:rFonts w:hint="eastAsia" w:ascii="宋体" w:hAnsi="宋体" w:cs="宋体"/>
          <w:sz w:val="24"/>
          <w:szCs w:val="24"/>
        </w:rPr>
        <w:t xml:space="preserve">备份及恢复：应提供积极有效的备份和恢复机制，保证系统的正常运行；具体、详实的应急处置方案；</w:t>
      </w:r>
      <w:r>
        <w:rPr>
          <w:rFonts w:ascii="宋体" w:hAnsi="宋体" w:cs="宋体"/>
          <w:sz w:val="24"/>
          <w:szCs w:val="24"/>
        </w:rPr>
      </w:r>
      <w:r/>
    </w:p>
    <w:p>
      <w:pPr>
        <w:pStyle w:val="971"/>
        <w:numPr>
          <w:ilvl w:val="0"/>
          <w:numId w:val="34"/>
        </w:numPr>
        <w:ind w:left="425" w:hanging="425"/>
        <w:spacing w:line="360" w:lineRule="auto"/>
        <w:rPr>
          <w:rFonts w:ascii="宋体" w:hAnsi="宋体" w:cs="宋体"/>
          <w:sz w:val="24"/>
          <w:szCs w:val="24"/>
        </w:rPr>
      </w:pPr>
      <w:r>
        <w:rPr>
          <w:rFonts w:hint="eastAsia" w:ascii="宋体" w:hAnsi="宋体" w:cs="宋体"/>
          <w:sz w:val="24"/>
          <w:szCs w:val="24"/>
        </w:rPr>
        <w:t xml:space="preserve">响应速度快：高峰期操作系统时无明显等待时间，查询操作进行预处理以加快查询速度。额定用户同时运行时不能出现堵塞现象。各类日报表统计及日常查询响应时间快，日常操作的系统响应时间不得超过5秒；</w:t>
      </w:r>
      <w:r>
        <w:rPr>
          <w:rFonts w:ascii="宋体" w:hAnsi="宋体" w:cs="宋体"/>
          <w:sz w:val="24"/>
          <w:szCs w:val="24"/>
        </w:rPr>
      </w:r>
      <w:r/>
    </w:p>
    <w:p>
      <w:pPr>
        <w:pStyle w:val="971"/>
        <w:numPr>
          <w:ilvl w:val="0"/>
          <w:numId w:val="34"/>
        </w:numPr>
        <w:ind w:left="425" w:hanging="425"/>
        <w:spacing w:line="360" w:lineRule="auto"/>
        <w:rPr>
          <w:rFonts w:ascii="宋体" w:hAnsi="宋体" w:cs="宋体"/>
          <w:sz w:val="24"/>
          <w:szCs w:val="24"/>
        </w:rPr>
      </w:pPr>
      <w:r>
        <w:rPr>
          <w:rFonts w:hint="eastAsia" w:ascii="宋体" w:hAnsi="宋体" w:cs="宋体"/>
          <w:sz w:val="24"/>
          <w:szCs w:val="24"/>
        </w:rPr>
        <w:t xml:space="preserve">数据完整性：所有操作均需支持事务，不能产生垃圾数据；</w:t>
      </w:r>
      <w:r>
        <w:rPr>
          <w:rFonts w:ascii="宋体" w:hAnsi="宋体" w:cs="宋体"/>
          <w:sz w:val="24"/>
          <w:szCs w:val="24"/>
        </w:rPr>
      </w:r>
      <w:r/>
    </w:p>
    <w:p>
      <w:pPr>
        <w:pStyle w:val="971"/>
        <w:numPr>
          <w:ilvl w:val="0"/>
          <w:numId w:val="35"/>
        </w:numPr>
        <w:ind w:left="0" w:firstLine="480"/>
        <w:spacing w:line="360" w:lineRule="auto"/>
        <w:rPr>
          <w:rFonts w:ascii="宋体" w:hAnsi="宋体" w:cs="宋体"/>
          <w:sz w:val="24"/>
          <w:szCs w:val="24"/>
        </w:rPr>
      </w:pPr>
      <w:r>
        <w:rPr>
          <w:rFonts w:hint="eastAsia" w:ascii="宋体" w:hAnsi="宋体" w:cs="宋体"/>
          <w:sz w:val="24"/>
          <w:szCs w:val="24"/>
        </w:rPr>
        <w:t xml:space="preserve">服务响应：若出现系统故障，能够在7×24小时保证由熟悉该系统且有能力进行维护的工程师负责提供系统维护；</w:t>
      </w:r>
      <w:r>
        <w:rPr>
          <w:rFonts w:ascii="宋体" w:hAnsi="宋体" w:cs="宋体"/>
          <w:sz w:val="24"/>
          <w:szCs w:val="24"/>
        </w:rPr>
      </w:r>
      <w:r/>
    </w:p>
    <w:p>
      <w:pPr>
        <w:pStyle w:val="971"/>
        <w:numPr>
          <w:ilvl w:val="0"/>
          <w:numId w:val="34"/>
        </w:numPr>
        <w:ind w:left="425" w:hanging="425"/>
        <w:spacing w:line="360" w:lineRule="auto"/>
        <w:rPr>
          <w:rFonts w:ascii="宋体" w:hAnsi="宋体" w:cs="宋体"/>
          <w:sz w:val="24"/>
          <w:szCs w:val="24"/>
        </w:rPr>
      </w:pPr>
      <w:r>
        <w:rPr>
          <w:rFonts w:hint="eastAsia" w:ascii="宋体" w:hAnsi="宋体" w:cs="宋体"/>
          <w:sz w:val="24"/>
          <w:szCs w:val="24"/>
        </w:rPr>
        <w:t xml:space="preserve">本地化：系统的应用和数据均需部署在院内；</w:t>
      </w:r>
      <w:r>
        <w:rPr>
          <w:rFonts w:ascii="宋体" w:hAnsi="宋体" w:cs="宋体"/>
          <w:sz w:val="24"/>
          <w:szCs w:val="24"/>
        </w:rPr>
      </w:r>
      <w:r/>
    </w:p>
    <w:p>
      <w:pPr>
        <w:pStyle w:val="971"/>
        <w:numPr>
          <w:ilvl w:val="0"/>
          <w:numId w:val="34"/>
        </w:numPr>
        <w:ind w:left="425" w:hanging="425"/>
        <w:spacing w:line="360" w:lineRule="auto"/>
        <w:rPr>
          <w:rFonts w:hint="eastAsia" w:ascii="宋体" w:hAnsi="宋体" w:cs="宋体"/>
          <w:sz w:val="24"/>
          <w:szCs w:val="24"/>
        </w:rPr>
      </w:pPr>
      <w:r>
        <w:rPr>
          <w:rFonts w:hint="eastAsia" w:ascii="宋体" w:hAnsi="宋体" w:cs="宋体"/>
          <w:sz w:val="24"/>
          <w:szCs w:val="24"/>
        </w:rPr>
        <w:t xml:space="preserve">正版化：投标人须提供与系统相配的软件环境要求，所安装的各类软件均需使用正版。</w:t>
      </w:r>
      <w:r>
        <w:rPr>
          <w:rFonts w:hint="eastAsia" w:ascii="宋体" w:hAnsi="宋体" w:cs="宋体"/>
          <w:sz w:val="24"/>
          <w:szCs w:val="24"/>
        </w:rPr>
      </w:r>
      <w:r/>
    </w:p>
    <w:p>
      <w:pPr>
        <w:pStyle w:val="971"/>
        <w:ind w:left="400"/>
        <w:spacing w:line="360" w:lineRule="auto"/>
        <w:rPr>
          <w:b/>
          <w:bCs/>
          <w:color w:val="000000"/>
          <w:sz w:val="24"/>
          <w:highlight w:val="green"/>
        </w:rPr>
      </w:pPr>
      <w:r>
        <w:rPr>
          <w:rFonts w:hint="eastAsia"/>
          <w:b/>
          <w:bCs/>
          <w:sz w:val="24"/>
        </w:rPr>
        <w:t xml:space="preserve">（七）硬件要求</w:t>
      </w:r>
      <w:r>
        <w:rPr>
          <w:rFonts w:hint="eastAsia"/>
          <w:b/>
          <w:bCs/>
          <w:color w:val="000000"/>
          <w:sz w:val="24"/>
        </w:rPr>
        <w:t xml:space="preserve">（每项硬件为一个常规技术条款）</w:t>
      </w:r>
      <w:r>
        <w:rPr>
          <w:b/>
          <w:bCs/>
          <w:color w:val="000000"/>
          <w:sz w:val="24"/>
          <w:highlight w:val="green"/>
        </w:rPr>
      </w:r>
      <w:r/>
    </w:p>
    <w:tbl>
      <w:tblPr>
        <w:tblW w:w="8869" w:type="dxa"/>
        <w:tblInd w:w="96" w:type="dxa"/>
        <w:tblLayout w:type="fixed"/>
        <w:tblCellMar>
          <w:left w:w="108" w:type="dxa"/>
          <w:top w:w="0" w:type="dxa"/>
          <w:right w:w="108" w:type="dxa"/>
          <w:bottom w:w="0" w:type="dxa"/>
        </w:tblCellMar>
        <w:tblLook w:val="04A0" w:firstRow="1" w:lastRow="0" w:firstColumn="1" w:lastColumn="0" w:noHBand="0" w:noVBand="1"/>
      </w:tblPr>
      <w:tblGrid>
        <w:gridCol w:w="1839"/>
        <w:gridCol w:w="6394"/>
        <w:gridCol w:w="636"/>
      </w:tblGrid>
      <w:tr>
        <w:trPr>
          <w:trHeight w:val="520"/>
        </w:trPr>
        <w:tc>
          <w:tcPr>
            <w:shd w:val="clear" w:color="auto" w:fill="d9d9d9"/>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硬件</w:t>
            </w:r>
            <w:r>
              <w:rPr>
                <w:rFonts w:ascii="宋体" w:hAnsi="宋体" w:cs="宋体"/>
                <w:color w:val="000000"/>
                <w:sz w:val="24"/>
                <w:szCs w:val="24"/>
              </w:rPr>
            </w:r>
            <w:r/>
          </w:p>
        </w:tc>
        <w:tc>
          <w:tcPr>
            <w:shd w:val="clear" w:color="auto" w:fill="d9d9d9"/>
            <w:tcBorders>
              <w:top w:val="single" w:color="000000" w:sz="4" w:space="0"/>
              <w:left w:val="single" w:color="000000" w:sz="4" w:space="0"/>
              <w:bottom w:val="single" w:color="000000" w:sz="4" w:space="0"/>
              <w:right w:val="none" w:color="000000" w:sz="4" w:space="0"/>
            </w:tcBorders>
            <w:tcW w:w="6394" w:type="dxa"/>
            <w:vAlign w:val="center"/>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参数</w:t>
            </w:r>
            <w:r>
              <w:rPr>
                <w:rFonts w:ascii="宋体" w:hAnsi="宋体" w:cs="宋体"/>
                <w:color w:val="000000"/>
                <w:sz w:val="24"/>
                <w:szCs w:val="24"/>
              </w:rPr>
            </w:r>
            <w:r/>
          </w:p>
        </w:tc>
        <w:tc>
          <w:tcPr>
            <w:shd w:val="clear" w:color="auto" w:fill="d9d9d9"/>
            <w:tcBorders>
              <w:top w:val="single" w:color="000000" w:sz="4" w:space="0"/>
              <w:left w:val="single" w:color="000000" w:sz="4" w:space="0"/>
              <w:bottom w:val="single" w:color="000000" w:sz="4" w:space="0"/>
              <w:right w:val="none" w:color="000000" w:sz="4" w:space="0"/>
            </w:tcBorders>
            <w:tcW w:w="636" w:type="dxa"/>
            <w:vAlign w:val="center"/>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数量</w:t>
            </w:r>
            <w:r>
              <w:rPr>
                <w:rFonts w:ascii="宋体" w:hAnsi="宋体" w:cs="宋体"/>
                <w:color w:val="000000"/>
                <w:sz w:val="24"/>
                <w:szCs w:val="24"/>
              </w:rPr>
            </w:r>
            <w:r/>
          </w:p>
        </w:tc>
      </w:tr>
      <w:tr>
        <w:trPr>
          <w:trHeight w:val="1000"/>
        </w:trPr>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台式居民身份证阅读机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tcPr>
          <w:p>
            <w:pPr>
              <w:pStyle w:val="971"/>
              <w:jc w:val="left"/>
              <w:widowControl/>
              <w:rPr>
                <w:rFonts w:ascii="宋体" w:hAnsi="宋体" w:cs="宋体"/>
                <w:color w:val="000000"/>
                <w:sz w:val="24"/>
                <w:szCs w:val="24"/>
              </w:rPr>
            </w:pPr>
            <w:r>
              <w:rPr>
                <w:rFonts w:hint="eastAsia" w:ascii="宋体" w:hAnsi="宋体" w:cs="宋体"/>
                <w:color w:val="000000"/>
                <w:sz w:val="24"/>
                <w:szCs w:val="24"/>
                <w:lang w:bidi="ar"/>
              </w:rPr>
              <w:t xml:space="preserve">国家公安部认证或授权，二代身份证读卡</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高拍仪</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pStyle w:val="97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摄像头数量：2个 500W/200W及以上,LED补光 </w:t>
            </w:r>
            <w:r/>
          </w:p>
          <w:p>
            <w:pPr>
              <w:pStyle w:val="971"/>
              <w:jc w:val="left"/>
              <w:widowControl/>
              <w:rPr>
                <w:rFonts w:ascii="宋体" w:hAnsi="宋体" w:cs="宋体"/>
                <w:color w:val="000000"/>
                <w:sz w:val="24"/>
                <w:szCs w:val="24"/>
              </w:rPr>
            </w:pPr>
            <w:r>
              <w:rPr>
                <w:rFonts w:hint="eastAsia" w:ascii="宋体" w:hAnsi="宋体" w:cs="宋体"/>
                <w:color w:val="000000"/>
                <w:sz w:val="24"/>
                <w:szCs w:val="24"/>
                <w:lang w:bidi="ar"/>
              </w:rPr>
              <w:t xml:space="preserve">（1）主摄像头</w:t>
              <w:br w:type="textWrapping" w:clear="all"/>
              <w:t xml:space="preserve">拍摄尺寸：A4、A5、卡片、身份证等</w:t>
              <w:br w:type="textWrapping" w:clear="all"/>
              <w:t xml:space="preserve">成像速度：&lt;1秒</w:t>
              <w:br w:type="textWrapping" w:clear="all"/>
              <w:t xml:space="preserve">图像色彩：24位</w:t>
              <w:br w:type="textWrapping" w:clear="all"/>
              <w:t xml:space="preserve">图片格式：JPG/BMP</w:t>
              <w:br w:type="textWrapping" w:clear="all"/>
              <w:t xml:space="preserve">（2）辅助摄像头</w:t>
              <w:br w:type="textWrapping" w:clear="all"/>
              <w:t xml:space="preserve">图像帧率：CIF:30帧/秒 640X480:10-15帧/秒</w:t>
              <w:br w:type="textWrapping" w:clear="all"/>
              <w:t xml:space="preserve">调焦范围：30cm至极远</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r>
      <w:tr>
        <w:trPr>
          <w:trHeight w:val="2360"/>
        </w:trPr>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指纹采集器</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pStyle w:val="971"/>
              <w:jc w:val="left"/>
              <w:widowControl/>
              <w:rPr>
                <w:rFonts w:ascii="宋体" w:hAnsi="宋体" w:cs="宋体"/>
                <w:color w:val="000000"/>
                <w:sz w:val="24"/>
                <w:szCs w:val="24"/>
              </w:rPr>
            </w:pPr>
            <w:r>
              <w:rPr>
                <w:rFonts w:hint="eastAsia" w:ascii="宋体" w:hAnsi="宋体" w:cs="宋体"/>
                <w:color w:val="000000"/>
                <w:sz w:val="24"/>
                <w:szCs w:val="24"/>
                <w:lang w:bidi="ar"/>
              </w:rPr>
              <w:t xml:space="preserve">传感器类型：光学指纹</w:t>
              <w:br w:type="textWrapping" w:clear="all"/>
              <w:t xml:space="preserve">图像分辨率：≥500DPI</w:t>
              <w:br w:type="textWrapping" w:clear="all"/>
              <w:t xml:space="preserve">有效采集窗口：≥15.2*20.3mm</w:t>
              <w:br w:type="textWrapping" w:clear="all"/>
              <w:t xml:space="preserve">畸变率：＜1%</w:t>
              <w:br w:type="textWrapping" w:clear="all"/>
              <w:t xml:space="preserve">灰度等级：8 bit</w:t>
              <w:br w:type="textWrapping" w:clear="all"/>
              <w:t xml:space="preserve">接口类型：标准USB接口</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rPr>
                <w:rFonts w:ascii="宋体" w:hAnsi="宋体" w:cs="宋体"/>
                <w:color w:val="000000"/>
                <w:sz w:val="24"/>
                <w:szCs w:val="24"/>
              </w:rPr>
            </w:r>
            <w:r/>
          </w:p>
        </w:tc>
      </w:tr>
      <w:tr>
        <w:trPr>
          <w:trHeight w:val="4660"/>
        </w:trPr>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人证核验终端</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pStyle w:val="971"/>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主控：四核，主频：1.8GB及以上</w:t>
              <w:br w:type="textWrapping" w:clear="all"/>
              <w:t xml:space="preserve">内存：DDR3  ≥2G</w:t>
              <w:br w:type="textWrapping" w:clear="all"/>
              <w:t xml:space="preserve">储存：≥8G，可支持TF卡扩展</w:t>
              <w:br w:type="textWrapping" w:clear="all"/>
              <w:t xml:space="preserve">像素：200万双目宽</w:t>
            </w:r>
            <w:r>
              <w:rPr>
                <w:rFonts w:hint="eastAsia" w:ascii="宋体" w:hAnsi="宋体" w:cs="宋体"/>
                <w:color w:val="000000"/>
                <w:sz w:val="24"/>
                <w:szCs w:val="24"/>
                <w:lang w:bidi="ar"/>
              </w:rPr>
              <w:t xml:space="preserve">动态摄像头及以上</w:t>
              <w:br/>
              <w:t xml:space="preserve">最高分辨率：≥1920*1080</w:t>
              <w:br/>
              <w:t xml:space="preserve">感光元件：COMS </w:t>
              <w:br/>
              <w:t xml:space="preserve">黑白：3.6MM 850滤光片</w:t>
              <w:br/>
              <w:t xml:space="preserve">LED补光灯：850nm 60°红外LED，可见光补光灯</w:t>
              <w:br/>
              <w:t xml:space="preserve">主屏：≥10.1寸电容式触摸屏，分辨率：≥800（H）*1280(V); 支持10点及以上触控</w:t>
              <w:br/>
              <w:t xml:space="preserve">客屏：≥10.1寸高清显示屏，可选配电容式触摸屏，分辨率：≥800（H）*1280(V); 支持10点及以上触控</w:t>
              <w:br/>
              <w:t xml:space="preserve">身份证阅读器：集成内置式身份证阅读机具，读卡时间＜1s；读卡距离：0-3cm，支持IC卡读取</w:t>
              <w:br/>
              <w:t xml:space="preserve">指纹模块：符合二代证标准的专用光学指纹模块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ascii="宋体" w:hAnsi="宋体" w:cs="宋体"/>
                <w:color w:val="000000"/>
                <w:sz w:val="24"/>
                <w:szCs w:val="24"/>
              </w:rPr>
            </w:r>
            <w:r/>
          </w:p>
        </w:tc>
      </w:tr>
      <w:tr>
        <w:trPr>
          <w:trHeight w:val="6360"/>
        </w:trPr>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人证门禁机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pStyle w:val="971"/>
              <w:jc w:val="left"/>
              <w:widowControl/>
              <w:rPr>
                <w:rFonts w:ascii="宋体" w:hAnsi="宋体" w:cs="宋体"/>
                <w:color w:val="000000"/>
                <w:sz w:val="24"/>
                <w:szCs w:val="24"/>
              </w:rPr>
            </w:pPr>
            <w:r>
              <w:rPr>
                <w:rFonts w:hint="eastAsia" w:ascii="宋体" w:hAnsi="宋体" w:cs="宋体"/>
                <w:color w:val="000000"/>
                <w:sz w:val="24"/>
                <w:szCs w:val="24"/>
                <w:lang w:bidi="ar"/>
              </w:rPr>
              <w:t xml:space="preserve">处理器：四核 1.8G Hz及以上</w:t>
              <w:br w:type="textWrapping" w:clear="all"/>
              <w:t xml:space="preserve">操作系统：Android 5.1及以上</w:t>
              <w:br w:type="textWrapping" w:clear="all"/>
              <w:t xml:space="preserve">内存运存：DDR3 ≥2G； 存储：≥16 G</w:t>
              <w:br w:type="textWrapping" w:clear="all"/>
              <w:t xml:space="preserve">读卡时间：&lt;1S；读卡距离：0-3cm</w:t>
              <w:br w:type="textWrapping" w:clear="all"/>
              <w:t xml:space="preserve">指纹模组：符合二代证标准的专用光学指纹模块</w:t>
              <w:br w:type="textWrapping" w:clear="all"/>
              <w:t xml:space="preserve">屏幕规格：7寸高清触摸屏及以上，分辨率：≥1280*720</w:t>
              <w:br w:type="textWrapping" w:clear="all"/>
              <w:t xml:space="preserve">人脸识别模组：200万双目宽动态摄像头，红外</w:t>
            </w:r>
            <w:r>
              <w:rPr>
                <w:rFonts w:hint="eastAsia" w:ascii="宋体" w:hAnsi="宋体" w:cs="宋体"/>
                <w:color w:val="000000"/>
                <w:sz w:val="24"/>
                <w:szCs w:val="24"/>
                <w:lang w:bidi="ar"/>
              </w:rPr>
              <w:t xml:space="preserve">摄像头波长850nm</w:t>
              <w:br/>
              <w:t xml:space="preserve">人脸识别率：在非目标人误识率为1%时，目标人正确识别率大于95%</w:t>
              <w:br/>
              <w:t xml:space="preserve">识别时间：≤2s（身份证+指纹/人脸）</w:t>
              <w:br/>
              <w:t xml:space="preserve">识别距离：0.3-1.8m</w:t>
              <w:br/>
              <w:t xml:space="preserve">白名单：支持身份证号白名单功能，容量：≥5000</w:t>
              <w:br/>
              <w:t xml:space="preserve">比对方式指纹比对：1：1/1:N（N≤30000枚）；人脸比对：1：1/1:N （N≤10000张）</w:t>
              <w:br/>
              <w:t xml:space="preserve">通讯方式：RS485、TCP/IP、WIFI、Bluetooth 4.0</w:t>
              <w:br/>
              <w:t xml:space="preserve">外部接口：USB、RJ45、RS485接口</w:t>
              <w:br/>
              <w:t xml:space="preserve">使用环境：工作温度：0-+55°；贮运温度：--20-+60°；相对湿度≤93%   </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rPr>
                <w:rFonts w:ascii="宋体" w:hAnsi="宋体" w:cs="宋体"/>
                <w:color w:val="000000"/>
                <w:sz w:val="24"/>
                <w:szCs w:val="24"/>
              </w:rPr>
            </w:r>
            <w:r/>
          </w:p>
        </w:tc>
      </w:tr>
      <w:tr>
        <w:trPr>
          <w:trHeight w:val="5304"/>
        </w:trPr>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人证面板机</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pStyle w:val="971"/>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处理器：四核 1.8G Hz及以上</w:t>
              <w:br w:type="textWrapping" w:clear="all"/>
              <w:t xml:space="preserve">操作系统：Android 5.1及以上</w:t>
              <w:br w:type="textWrapping" w:clear="all"/>
              <w:t xml:space="preserve">内存运存：≥DDR3 2G； 存储：≥16 G</w:t>
              <w:br w:type="textWrapping" w:clear="all"/>
              <w:t xml:space="preserve">读卡时间：&lt;1S；读卡距离：0-3cm</w:t>
              <w:br w:type="textWrapping" w:clear="all"/>
              <w:t xml:space="preserve">指纹模组：符合二代证标准的专用光学指纹模块</w:t>
              <w:br w:type="textWrapping" w:clear="all"/>
              <w:t xml:space="preserve">屏幕规格：7寸高清触摸屏及以上，分辨率：≥1280*720</w:t>
              <w:br w:type="textWrapping" w:clear="all"/>
              <w:t xml:space="preserve">人脸识别模组：200万双目宽动态摄像头，红外</w:t>
            </w:r>
            <w:r>
              <w:rPr>
                <w:rFonts w:hint="eastAsia" w:ascii="宋体" w:hAnsi="宋体" w:cs="宋体"/>
                <w:color w:val="000000"/>
                <w:sz w:val="24"/>
                <w:szCs w:val="24"/>
                <w:lang w:bidi="ar"/>
              </w:rPr>
              <w:t xml:space="preserve">摄像头波长850nm</w:t>
              <w:br/>
              <w:t xml:space="preserve">人脸识别率：在非目标人误识率为1%时，目标人正确识别率大于95%</w:t>
              <w:br/>
              <w:t xml:space="preserve">识别时间：≤2s（身份证+指纹/人脸）</w:t>
              <w:br/>
              <w:t xml:space="preserve">识别距离：0.3-1.8m</w:t>
              <w:br/>
              <w:t xml:space="preserve">白名单：支持身份证号白名单功能，容量：≥5000</w:t>
              <w:br/>
              <w:t xml:space="preserve">比对方式指纹比对：1：1/1:N（N≤30000枚）；人脸比对：1：1/1:N （N≤10000张）</w:t>
              <w:br/>
              <w:t xml:space="preserve">通讯方式：RS485、TCP/IP、WIFI、Bluetooth 4.0</w:t>
              <w:br/>
              <w:t xml:space="preserve">外部接口：USB、RJ45、RS485接口</w:t>
              <w:br/>
              <w:t xml:space="preserve">使用环境：工作温度：0-+55°；贮运温度：--20-+60°；相对湿度≤93%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rPr>
                <w:rFonts w:ascii="宋体" w:hAnsi="宋体" w:cs="宋体"/>
                <w:color w:val="000000"/>
                <w:sz w:val="24"/>
                <w:szCs w:val="24"/>
              </w:rPr>
            </w:r>
            <w:r/>
          </w:p>
        </w:tc>
      </w:tr>
      <w:tr>
        <w:trPr>
          <w:trHeight w:val="1154"/>
        </w:trPr>
        <w:tc>
          <w:tcPr>
            <w:tcBorders>
              <w:top w:val="single" w:color="000000" w:sz="4" w:space="0"/>
              <w:left w:val="single" w:color="000000" w:sz="4" w:space="0"/>
              <w:bottom w:val="single" w:color="000000" w:sz="4" w:space="0"/>
              <w:right w:val="single" w:color="000000" w:sz="4" w:space="0"/>
            </w:tcBorders>
            <w:tcW w:w="1839" w:type="dxa"/>
            <w:vAlign w:val="center"/>
            <w:textDirection w:val="lrTb"/>
            <w:noWrap/>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平板电脑</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94" w:type="dxa"/>
            <w:vAlign w:val="center"/>
            <w:textDirection w:val="lrTb"/>
            <w:noWrap w:val="false"/>
          </w:tcPr>
          <w:p>
            <w:pPr>
              <w:pStyle w:val="971"/>
              <w:jc w:val="left"/>
              <w:widowControl/>
              <w:rPr>
                <w:rFonts w:ascii="宋体" w:hAnsi="宋体" w:cs="宋体"/>
                <w:color w:val="000000"/>
                <w:sz w:val="24"/>
                <w:szCs w:val="24"/>
              </w:rPr>
            </w:pPr>
            <w:r>
              <w:rPr>
                <w:rFonts w:hint="eastAsia" w:ascii="宋体" w:hAnsi="宋体" w:cs="宋体"/>
                <w:color w:val="000000"/>
                <w:sz w:val="24"/>
                <w:szCs w:val="24"/>
                <w:lang w:bidi="ar"/>
              </w:rPr>
              <w:t xml:space="preserve">尺寸：≥11.5英寸</w:t>
              <w:br w:type="textWrapping" w:clear="all"/>
              <w:t xml:space="preserve">分辨率：≥2800*1840</w:t>
              <w:br w:type="textWrapping" w:clear="all"/>
              <w:t xml:space="preserve">系统：HarmonyOS 4.2及以上或其他基于安卓内核主流系统</w:t>
              <w:br w:type="textWrapping" w:clear="all"/>
              <w:t xml:space="preserve">运行内存：≥8GB</w:t>
              <w:br w:type="textWrapping" w:clear="all"/>
              <w:t xml:space="preserve">存储内存：≥128GB</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rPr>
                <w:rFonts w:ascii="宋体" w:hAnsi="宋体" w:cs="宋体"/>
                <w:color w:val="000000"/>
                <w:sz w:val="24"/>
                <w:szCs w:val="24"/>
              </w:rPr>
            </w:r>
            <w:r/>
          </w:p>
        </w:tc>
      </w:tr>
      <w:tr>
        <w:trPr>
          <w:cantSplit/>
          <w:trHeight w:val="580"/>
        </w:trPr>
        <w:tc>
          <w:tcPr>
            <w:tcBorders>
              <w:top w:val="single" w:color="000000" w:sz="4" w:space="0"/>
              <w:left w:val="single" w:color="000000" w:sz="4" w:space="0"/>
              <w:bottom w:val="single" w:color="000000" w:sz="4" w:space="0"/>
              <w:right w:val="single" w:color="000000" w:sz="4" w:space="0"/>
            </w:tcBorders>
            <w:tcW w:w="1839" w:type="dxa"/>
            <w:vAlign w:val="center"/>
            <w:vMerge w:val="restart"/>
            <w:textDirection w:val="lrTb"/>
            <w:noWrap/>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RFID标签打印工作站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94" w:type="dxa"/>
            <w:vAlign w:val="center"/>
            <w:vMerge w:val="restart"/>
            <w:textDirection w:val="lrTb"/>
            <w:noWrap w:val="false"/>
          </w:tcPr>
          <w:p>
            <w:pPr>
              <w:pStyle w:val="971"/>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打印方式：热转式/热敏式</w:t>
              <w:br w:type="textWrapping" w:clear="all"/>
              <w:t xml:space="preserve">打印分辨率：≥203 dpi（8 dots/mm）</w:t>
              <w:br w:type="textWrapping" w:clear="all"/>
              <w:t xml:space="preserve">通讯接口：并口，串口（RS232），USB</w:t>
              <w:br w:type="textWrapping" w:clear="all"/>
              <w:t xml:space="preserve">工作模式：RFID标签打印与读写同步 </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rPr>
                <w:rFonts w:ascii="宋体" w:hAnsi="宋体" w:cs="宋体"/>
                <w:color w:val="000000"/>
                <w:sz w:val="24"/>
                <w:szCs w:val="24"/>
              </w:rPr>
            </w:r>
            <w:r/>
          </w:p>
        </w:tc>
      </w:tr>
      <w:tr>
        <w:trPr>
          <w:cantSplit/>
          <w:trHeight w:val="2820"/>
        </w:trPr>
        <w:tc>
          <w:tcPr>
            <w:tcBorders>
              <w:top w:val="single" w:color="000000" w:sz="4" w:space="0"/>
              <w:left w:val="single" w:color="000000" w:sz="4" w:space="0"/>
              <w:bottom w:val="single" w:color="000000" w:sz="4" w:space="0"/>
              <w:right w:val="single" w:color="000000" w:sz="4" w:space="0"/>
            </w:tcBorders>
            <w:tcW w:w="1839" w:type="dxa"/>
            <w:vAlign w:val="center"/>
            <w:vMerge w:val="restart"/>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精液处理工作站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94" w:type="dxa"/>
            <w:vAlign w:val="center"/>
            <w:vMerge w:val="restart"/>
            <w:textDirection w:val="lrTb"/>
            <w:noWrap w:val="false"/>
          </w:tcPr>
          <w:p>
            <w:pPr>
              <w:pStyle w:val="971"/>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RFID主机：</w:t>
              <w:br w:type="textWrapping" w:clear="all"/>
              <w:t xml:space="preserve">处理器：≥1.33GHz</w:t>
              <w:br w:type="textWrapping" w:clear="all"/>
              <w:t xml:space="preserve">屏幕尺寸：≥10.1寸</w:t>
              <w:br w:type="textWrapping" w:clear="all"/>
              <w:t xml:space="preserve">操作系统： Win10 32 bit/Win10 64 bit及以上</w:t>
              <w:br w:type="textWrapping" w:clear="all"/>
              <w:t xml:space="preserve">屏幕分辨率：≥1080 x 800 @ 60 Hz</w:t>
              <w:br w:type="textWrapping" w:clear="all"/>
              <w:t xml:space="preserve">网络连接方式：TCP-IP、WIFI</w:t>
              <w:br w:type="textWrapping" w:clear="all"/>
              <w:t xml:space="preserve">RFID频段：HF高频</w:t>
              <w:br w:type="textWrapping" w:clear="all"/>
              <w:t xml:space="preserve">射频接口：4个SMA及以上</w:t>
            </w:r>
            <w:r/>
          </w:p>
          <w:p>
            <w:pPr>
              <w:pStyle w:val="971"/>
              <w:jc w:val="left"/>
              <w:widowControl/>
              <w:rPr>
                <w:rFonts w:ascii="宋体" w:hAnsi="宋体" w:cs="宋体"/>
                <w:color w:val="000000"/>
                <w:sz w:val="24"/>
                <w:szCs w:val="24"/>
              </w:rPr>
            </w:pPr>
            <w:r>
              <w:rPr>
                <w:rFonts w:hint="eastAsia" w:ascii="宋体" w:hAnsi="宋体" w:cs="宋体"/>
                <w:color w:val="000000"/>
                <w:sz w:val="24"/>
                <w:szCs w:val="24"/>
                <w:lang w:bidi="ar"/>
              </w:rPr>
              <w:t xml:space="preserve">RFID部分必须具有CE认证报告</w:t>
              <w:br w:type="textWrapping" w:clear="all"/>
              <w:t xml:space="preserve">主机、RFID阅读器一体化集成，可安装在显微镜支架上</w:t>
              <w:br w:type="textWrapping" w:clear="all"/>
              <w:t xml:space="preserve">RFID天线：工作频率：13.56MHZ  射频接口：4个SMA及以上</w:t>
              <w:br w:type="textWrapping" w:clear="all"/>
              <w:t xml:space="preserve">3D全向感应：支持</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6</w:t>
            </w:r>
            <w:r>
              <w:rPr>
                <w:rFonts w:ascii="宋体" w:hAnsi="宋体" w:cs="宋体"/>
                <w:color w:val="000000"/>
                <w:sz w:val="24"/>
                <w:szCs w:val="24"/>
              </w:rPr>
            </w:r>
            <w:r/>
          </w:p>
        </w:tc>
      </w:tr>
      <w:tr>
        <w:trPr>
          <w:cantSplit/>
          <w:trHeight w:val="2394"/>
        </w:trPr>
        <w:tc>
          <w:tcPr>
            <w:tcBorders>
              <w:top w:val="single" w:color="000000" w:sz="4" w:space="0"/>
              <w:left w:val="single" w:color="000000" w:sz="4" w:space="0"/>
              <w:bottom w:val="single" w:color="000000" w:sz="4" w:space="0"/>
              <w:right w:val="single" w:color="000000" w:sz="4" w:space="0"/>
            </w:tcBorders>
            <w:tcW w:w="1839" w:type="dxa"/>
            <w:vAlign w:val="center"/>
            <w:vMerge w:val="restart"/>
            <w:textDirection w:val="lrTb"/>
            <w:noWrap w:val="false"/>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取卵、核对、移植工作站</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94" w:type="dxa"/>
            <w:vAlign w:val="center"/>
            <w:vMerge w:val="restart"/>
            <w:textDirection w:val="lrTb"/>
            <w:noWrap w:val="false"/>
          </w:tcPr>
          <w:p>
            <w:pPr>
              <w:pStyle w:val="971"/>
              <w:jc w:val="left"/>
              <w:widowControl/>
              <w:rPr>
                <w:rFonts w:ascii="宋体" w:hAnsi="宋体" w:cs="宋体"/>
                <w:color w:val="000000"/>
                <w:sz w:val="24"/>
                <w:szCs w:val="24"/>
              </w:rPr>
            </w:pPr>
            <w:r>
              <w:rPr>
                <w:rFonts w:hint="eastAsia" w:ascii="宋体" w:hAnsi="宋体" w:cs="宋体"/>
                <w:color w:val="000000"/>
                <w:sz w:val="24"/>
                <w:szCs w:val="24"/>
                <w:lang w:bidi="ar"/>
              </w:rPr>
              <w:t xml:space="preserve">RFID主机： </w:t>
              <w:br w:type="textWrapping" w:clear="all"/>
              <w:t xml:space="preserve">处理器：≥1.33GHz</w:t>
              <w:br w:type="textWrapping" w:clear="all"/>
              <w:t xml:space="preserve">屏幕尺寸：≥10.1</w:t>
              <w:br w:type="textWrapping" w:clear="all"/>
              <w:t xml:space="preserve">操作系统： Win10 32 bit/Win10 64 bit及以上</w:t>
              <w:br w:type="textWrapping" w:clear="all"/>
              <w:t xml:space="preserve">屏幕分辨率：≥1080 x 800 @ 60 Hz</w:t>
              <w:br w:type="textWrapping" w:clear="all"/>
              <w:t xml:space="preserve">网络连接方式：TCP-IP、WIFI</w:t>
              <w:br w:type="textWrapping" w:clear="all"/>
              <w:t xml:space="preserve">RFID阅读器：内置</w:t>
              <w:br w:type="textWrapping" w:clear="all"/>
              <w:t xml:space="preserve">RFID频段：HF高频</w:t>
              <w:br w:type="textWrapping" w:clear="all"/>
              <w:t xml:space="preserve">射频接口：SMA</w:t>
              <w:br w:type="textWrapping" w:clear="all"/>
              <w:t xml:space="preserve">RFID部分须具有CE认证报告</w:t>
              <w:br w:type="textWrapping" w:clear="all"/>
              <w:t xml:space="preserve">主机、RFID阅读器一体化集成，可安装在显微镜支架上</w:t>
              <w:br w:type="textWrapping" w:clear="all"/>
              <w:t xml:space="preserve">RFID天线：</w:t>
              <w:br w:type="textWrapping" w:clear="all"/>
              <w:t xml:space="preserve">工作频率：13.56MHZ</w:t>
              <w:br w:type="textWrapping" w:clear="all"/>
              <w:t xml:space="preserve">射频接口：SMA</w:t>
              <w:br w:type="textWrapping" w:clear="all"/>
              <w:t xml:space="preserve">3D全向感应：支持</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tcPr>
          <w:p>
            <w:pPr>
              <w:pStyle w:val="971"/>
              <w:jc w:val="center"/>
              <w:widowControl/>
              <w:rPr>
                <w:rFonts w:ascii="宋体" w:hAnsi="宋体" w:cs="宋体"/>
                <w:color w:val="000000"/>
                <w:sz w:val="24"/>
                <w:szCs w:val="24"/>
              </w:rPr>
            </w:pPr>
            <w:r>
              <w:rPr>
                <w:rFonts w:hint="eastAsia" w:ascii="宋体" w:hAnsi="宋体" w:cs="宋体"/>
                <w:color w:val="000000"/>
                <w:sz w:val="24"/>
                <w:szCs w:val="24"/>
                <w:lang w:bidi="ar"/>
              </w:rPr>
              <w:t xml:space="preserve">8</w:t>
            </w:r>
            <w:r>
              <w:rPr>
                <w:rFonts w:ascii="宋体" w:hAnsi="宋体" w:cs="宋体"/>
                <w:color w:val="000000"/>
                <w:sz w:val="24"/>
                <w:szCs w:val="24"/>
              </w:rPr>
            </w:r>
            <w:r/>
          </w:p>
        </w:tc>
      </w:tr>
      <w:tr>
        <w:trPr>
          <w:trHeight w:val="1880"/>
        </w:trPr>
        <w:tc>
          <w:tcPr>
            <w:shd w:val="clear" w:color="auto" w:fill="ffffff"/>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pStyle w:val="971"/>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条码打印机</w:t>
            </w:r>
            <w:r>
              <w:rPr>
                <w:rFonts w:ascii="宋体" w:hAnsi="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none" w:color="000000" w:sz="4" w:space="0"/>
            </w:tcBorders>
            <w:tcW w:w="6394" w:type="dxa"/>
            <w:vAlign w:val="center"/>
            <w:textDirection w:val="lrTb"/>
            <w:noWrap w:val="false"/>
          </w:tcPr>
          <w:p>
            <w:pPr>
              <w:pStyle w:val="971"/>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打印方式：热转移</w:t>
              <w:br w:type="textWrapping" w:clear="all"/>
              <w:t xml:space="preserve">打印分辨率：≥300dpi</w:t>
              <w:br w:type="textWrapping" w:clear="all"/>
              <w:t xml:space="preserve">标签宽度：≤116mm</w:t>
              <w:br w:type="textWrapping" w:clear="all"/>
              <w:t xml:space="preserve">打印颜色：单色</w:t>
              <w:br w:type="textWrapping" w:clear="all"/>
              <w:t xml:space="preserve">内存：≥64MB</w:t>
              <w:br w:type="textWrapping" w:clear="all"/>
              <w:t xml:space="preserve">接口：串口/USB/以太网</w:t>
            </w:r>
            <w:r>
              <w:rPr>
                <w:rFonts w:ascii="宋体" w:hAnsi="宋体" w:cs="宋体"/>
                <w:color w:val="000000"/>
                <w:sz w:val="24"/>
                <w:szCs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71"/>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r>
            <w:r/>
          </w:p>
        </w:tc>
      </w:tr>
    </w:tbl>
    <w:p>
      <w:pPr>
        <w:pStyle w:val="971"/>
        <w:spacing w:line="480" w:lineRule="atLeast"/>
        <w:rPr>
          <w:rFonts w:ascii="宋体" w:hAnsi="宋体"/>
          <w:b/>
          <w:sz w:val="24"/>
          <w:szCs w:val="24"/>
        </w:rPr>
        <w:outlineLvl w:val="1"/>
      </w:pPr>
      <w:r>
        <w:rPr>
          <w:rFonts w:hint="eastAsia" w:ascii="宋体" w:hAnsi="宋体"/>
          <w:b/>
          <w:sz w:val="24"/>
          <w:szCs w:val="24"/>
        </w:rPr>
        <w:t xml:space="preserve">三、项目管理与实施要求</w:t>
      </w:r>
      <w:r>
        <w:rPr>
          <w:rFonts w:ascii="宋体" w:hAnsi="宋体"/>
          <w:b/>
          <w:sz w:val="24"/>
          <w:szCs w:val="24"/>
        </w:rPr>
      </w:r>
      <w:r/>
    </w:p>
    <w:p>
      <w:pPr>
        <w:pStyle w:val="971"/>
        <w:ind w:firstLine="480"/>
        <w:spacing w:line="480" w:lineRule="atLeast"/>
        <w:rPr>
          <w:rFonts w:ascii="宋体" w:hAnsi="宋体"/>
          <w:sz w:val="24"/>
          <w:szCs w:val="24"/>
        </w:rPr>
      </w:pPr>
      <w:r>
        <w:rPr>
          <w:rFonts w:hint="eastAsia" w:ascii="宋体" w:hAnsi="宋体"/>
          <w:sz w:val="24"/>
          <w:szCs w:val="24"/>
        </w:rPr>
        <w:t xml:space="preserve">投标人应具有健全的项目管理制度和流程，以及合格的项目实施人员，对系统建设进行全过程质量管理，确保项目实施的顺利。</w:t>
      </w:r>
      <w:r>
        <w:rPr>
          <w:rFonts w:ascii="宋体" w:hAnsi="宋体"/>
          <w:sz w:val="24"/>
          <w:szCs w:val="24"/>
        </w:rPr>
      </w:r>
      <w:r/>
    </w:p>
    <w:p>
      <w:pPr>
        <w:pStyle w:val="971"/>
        <w:ind w:firstLine="480"/>
        <w:spacing w:line="480" w:lineRule="atLeast"/>
        <w:rPr>
          <w:rFonts w:ascii="宋体" w:hAnsi="宋体"/>
          <w:sz w:val="24"/>
          <w:szCs w:val="24"/>
        </w:rPr>
      </w:pPr>
      <w:r>
        <w:rPr>
          <w:rFonts w:hint="eastAsia" w:ascii="宋体" w:hAnsi="宋体"/>
          <w:sz w:val="24"/>
          <w:szCs w:val="24"/>
        </w:rPr>
        <w:t xml:space="preserve">项目实施周期：6个月。</w:t>
      </w:r>
      <w:r>
        <w:rPr>
          <w:rFonts w:ascii="宋体" w:hAnsi="宋体"/>
          <w:sz w:val="24"/>
          <w:szCs w:val="24"/>
        </w:rPr>
      </w:r>
      <w:r/>
    </w:p>
    <w:p>
      <w:pPr>
        <w:pStyle w:val="971"/>
        <w:numPr>
          <w:ilvl w:val="0"/>
          <w:numId w:val="36"/>
        </w:numPr>
        <w:spacing w:line="480" w:lineRule="atLeast"/>
        <w:rPr>
          <w:rFonts w:ascii="宋体" w:hAnsi="宋体"/>
          <w:b/>
          <w:bCs/>
          <w:sz w:val="24"/>
          <w:szCs w:val="24"/>
        </w:rPr>
      </w:pPr>
      <w:r>
        <w:rPr>
          <w:rFonts w:hint="eastAsia" w:ascii="宋体" w:hAnsi="宋体"/>
          <w:b/>
          <w:bCs/>
          <w:sz w:val="24"/>
          <w:szCs w:val="24"/>
        </w:rPr>
        <w:t xml:space="preserve">项目实施方案要求</w:t>
      </w:r>
      <w:r>
        <w:rPr>
          <w:rFonts w:ascii="宋体" w:hAnsi="宋体"/>
          <w:b/>
          <w:bCs/>
          <w:sz w:val="24"/>
          <w:szCs w:val="24"/>
        </w:rPr>
      </w:r>
      <w:r/>
    </w:p>
    <w:p>
      <w:pPr>
        <w:pStyle w:val="971"/>
        <w:ind w:firstLine="480"/>
        <w:spacing w:line="480" w:lineRule="atLeast"/>
        <w:rPr>
          <w:rFonts w:ascii="宋体" w:hAnsi="宋体"/>
          <w:sz w:val="24"/>
          <w:szCs w:val="24"/>
        </w:rPr>
      </w:pPr>
      <w:r>
        <w:rPr>
          <w:rFonts w:hint="eastAsia" w:ascii="宋体" w:hAnsi="宋体"/>
          <w:sz w:val="24"/>
          <w:szCs w:val="24"/>
        </w:rPr>
        <w:t xml:space="preserve">投标人应根据项目建设目标和建设内容提供详细的实施方案，包括系统架构设计、功能实现等。</w:t>
      </w:r>
      <w:r>
        <w:rPr>
          <w:rFonts w:ascii="宋体" w:hAnsi="宋体"/>
          <w:sz w:val="24"/>
          <w:szCs w:val="24"/>
        </w:rPr>
      </w:r>
      <w:r/>
    </w:p>
    <w:p>
      <w:pPr>
        <w:pStyle w:val="971"/>
        <w:numPr>
          <w:ilvl w:val="0"/>
          <w:numId w:val="37"/>
        </w:numPr>
        <w:ind w:left="-60" w:firstLine="480"/>
        <w:spacing w:line="480" w:lineRule="atLeast"/>
        <w:rPr>
          <w:rFonts w:ascii="宋体" w:hAnsi="宋体"/>
          <w:sz w:val="24"/>
          <w:szCs w:val="24"/>
        </w:rPr>
      </w:pPr>
      <w:r>
        <w:rPr>
          <w:rFonts w:hint="eastAsia" w:ascii="宋体" w:hAnsi="宋体"/>
          <w:sz w:val="24"/>
          <w:szCs w:val="24"/>
        </w:rPr>
        <w:t xml:space="preserve">系统架构设计：要求采用模块化、可扩展的架构设计，确保系统能够灵活应对未来功能扩展和数据增长。</w:t>
      </w:r>
      <w:r>
        <w:rPr>
          <w:rFonts w:ascii="宋体" w:hAnsi="宋体"/>
          <w:sz w:val="24"/>
          <w:szCs w:val="24"/>
        </w:rPr>
      </w:r>
      <w:r/>
    </w:p>
    <w:p>
      <w:pPr>
        <w:pStyle w:val="971"/>
        <w:numPr>
          <w:ilvl w:val="0"/>
          <w:numId w:val="37"/>
        </w:numPr>
        <w:ind w:left="-60" w:firstLine="480"/>
        <w:spacing w:line="480" w:lineRule="atLeast"/>
        <w:rPr>
          <w:rFonts w:ascii="宋体" w:hAnsi="宋体"/>
          <w:sz w:val="24"/>
          <w:szCs w:val="24"/>
        </w:rPr>
      </w:pPr>
      <w:r>
        <w:rPr>
          <w:rFonts w:hint="eastAsia" w:ascii="宋体" w:hAnsi="宋体"/>
          <w:sz w:val="24"/>
          <w:szCs w:val="24"/>
        </w:rPr>
        <w:t xml:space="preserve">功能实现：根据项目建设要求，详细列出实现功能模块的实施路径。</w:t>
      </w:r>
      <w:r>
        <w:rPr>
          <w:rFonts w:ascii="宋体" w:hAnsi="宋体"/>
          <w:sz w:val="24"/>
          <w:szCs w:val="24"/>
        </w:rPr>
      </w:r>
      <w:r/>
    </w:p>
    <w:p>
      <w:pPr>
        <w:pStyle w:val="971"/>
        <w:numPr>
          <w:ilvl w:val="0"/>
          <w:numId w:val="36"/>
        </w:numPr>
        <w:spacing w:line="480" w:lineRule="atLeast"/>
        <w:rPr>
          <w:rFonts w:ascii="宋体" w:hAnsi="宋体"/>
          <w:b/>
          <w:bCs/>
          <w:sz w:val="24"/>
          <w:szCs w:val="24"/>
        </w:rPr>
      </w:pPr>
      <w:r>
        <w:rPr>
          <w:rFonts w:hint="eastAsia" w:ascii="宋体" w:hAnsi="宋体"/>
          <w:b/>
          <w:bCs/>
          <w:sz w:val="24"/>
          <w:szCs w:val="24"/>
        </w:rPr>
        <w:t xml:space="preserve">项目质量管理方案要求</w:t>
      </w:r>
      <w:r>
        <w:rPr>
          <w:rFonts w:ascii="宋体" w:hAnsi="宋体"/>
          <w:b/>
          <w:bCs/>
          <w:sz w:val="24"/>
          <w:szCs w:val="24"/>
        </w:rPr>
      </w:r>
      <w:r/>
    </w:p>
    <w:p>
      <w:pPr>
        <w:pStyle w:val="971"/>
        <w:ind w:firstLine="480"/>
        <w:spacing w:line="480" w:lineRule="atLeast"/>
        <w:rPr>
          <w:rFonts w:ascii="宋体" w:hAnsi="宋体"/>
          <w:sz w:val="24"/>
          <w:szCs w:val="24"/>
        </w:rPr>
      </w:pPr>
      <w:r>
        <w:rPr>
          <w:rFonts w:ascii="宋体" w:hAnsi="宋体"/>
          <w:sz w:val="24"/>
          <w:szCs w:val="24"/>
        </w:rPr>
        <w:t xml:space="preserve">为确保项目的质量达到既定标准，</w:t>
      </w:r>
      <w:r>
        <w:rPr>
          <w:rFonts w:hint="eastAsia" w:ascii="宋体" w:hAnsi="宋体"/>
          <w:sz w:val="24"/>
          <w:szCs w:val="24"/>
        </w:rPr>
        <w:t xml:space="preserve">投标人应</w:t>
      </w:r>
      <w:r>
        <w:rPr>
          <w:rFonts w:ascii="宋体" w:hAnsi="宋体"/>
          <w:sz w:val="24"/>
          <w:szCs w:val="24"/>
        </w:rPr>
        <w:t xml:space="preserve">详细阐述项目质量管理方案，包括质量标准、质量管理体系、质量控制措施以及风险管理</w:t>
      </w:r>
      <w:r>
        <w:rPr>
          <w:rFonts w:hint="eastAsia" w:ascii="宋体" w:hAnsi="宋体"/>
          <w:sz w:val="24"/>
          <w:szCs w:val="24"/>
        </w:rPr>
        <w:t xml:space="preserve">等</w:t>
      </w:r>
      <w:r>
        <w:rPr>
          <w:rFonts w:ascii="宋体" w:hAnsi="宋体"/>
          <w:sz w:val="24"/>
          <w:szCs w:val="24"/>
        </w:rPr>
        <w:t xml:space="preserve">。</w:t>
      </w:r>
      <w:r/>
    </w:p>
    <w:p>
      <w:pPr>
        <w:pStyle w:val="971"/>
        <w:numPr>
          <w:ilvl w:val="0"/>
          <w:numId w:val="38"/>
        </w:numPr>
        <w:ind w:firstLine="480"/>
        <w:spacing w:line="480" w:lineRule="atLeast"/>
        <w:rPr>
          <w:rFonts w:ascii="宋体" w:hAnsi="宋体"/>
          <w:sz w:val="24"/>
          <w:szCs w:val="24"/>
        </w:rPr>
      </w:pPr>
      <w:r>
        <w:rPr>
          <w:rFonts w:hint="eastAsia" w:ascii="宋体" w:hAnsi="宋体"/>
          <w:sz w:val="24"/>
          <w:szCs w:val="24"/>
        </w:rPr>
        <w:t xml:space="preserve">质量标准：项目需严格遵守国家及行业关于临床数据管理、信息安全、软件开发等方面的相关法律法规、标准规范及最佳实践。</w:t>
      </w:r>
      <w:r>
        <w:rPr>
          <w:rFonts w:ascii="宋体" w:hAnsi="宋体"/>
          <w:sz w:val="24"/>
          <w:szCs w:val="24"/>
        </w:rPr>
      </w:r>
      <w:r/>
    </w:p>
    <w:p>
      <w:pPr>
        <w:pStyle w:val="971"/>
        <w:numPr>
          <w:ilvl w:val="0"/>
          <w:numId w:val="38"/>
        </w:numPr>
        <w:ind w:firstLine="480"/>
        <w:spacing w:line="480" w:lineRule="atLeast"/>
        <w:rPr>
          <w:rFonts w:ascii="宋体" w:hAnsi="宋体"/>
          <w:sz w:val="24"/>
          <w:szCs w:val="24"/>
        </w:rPr>
      </w:pPr>
      <w:r>
        <w:rPr>
          <w:rFonts w:hint="eastAsia" w:ascii="宋体" w:hAnsi="宋体"/>
          <w:sz w:val="24"/>
          <w:szCs w:val="24"/>
        </w:rPr>
        <w:t xml:space="preserve">质量管理体系：投标人需建立完善的质量管理体系，包括质量策划、质量控制、质量保证和质量改进等环节，确保项目全生命周期的质量管理。</w:t>
      </w:r>
      <w:r>
        <w:rPr>
          <w:rFonts w:ascii="宋体" w:hAnsi="宋体"/>
          <w:sz w:val="24"/>
          <w:szCs w:val="24"/>
        </w:rPr>
      </w:r>
      <w:r/>
    </w:p>
    <w:p>
      <w:pPr>
        <w:pStyle w:val="971"/>
        <w:numPr>
          <w:ilvl w:val="0"/>
          <w:numId w:val="38"/>
        </w:numPr>
        <w:ind w:firstLine="480"/>
        <w:spacing w:line="480" w:lineRule="atLeast"/>
        <w:rPr>
          <w:rFonts w:ascii="宋体" w:hAnsi="宋体"/>
          <w:sz w:val="24"/>
          <w:szCs w:val="24"/>
        </w:rPr>
      </w:pPr>
      <w:r>
        <w:rPr>
          <w:rFonts w:hint="eastAsia" w:ascii="宋体" w:hAnsi="宋体"/>
          <w:sz w:val="24"/>
          <w:szCs w:val="24"/>
        </w:rPr>
        <w:t xml:space="preserve">质量控制措施：在项目关键节点（如需求分析、设计、开发、测试等阶段）进行严格的评审与检查，确保各阶段输出物的质量符合预期。</w:t>
      </w:r>
      <w:r>
        <w:rPr>
          <w:rFonts w:ascii="宋体" w:hAnsi="宋体"/>
          <w:sz w:val="24"/>
          <w:szCs w:val="24"/>
        </w:rPr>
      </w:r>
      <w:r/>
    </w:p>
    <w:p>
      <w:pPr>
        <w:pStyle w:val="971"/>
        <w:numPr>
          <w:ilvl w:val="0"/>
          <w:numId w:val="38"/>
        </w:numPr>
        <w:ind w:firstLine="480"/>
        <w:spacing w:line="480" w:lineRule="atLeast"/>
        <w:rPr>
          <w:rFonts w:ascii="宋体" w:hAnsi="宋体"/>
          <w:sz w:val="24"/>
          <w:szCs w:val="24"/>
        </w:rPr>
      </w:pPr>
      <w:r>
        <w:rPr>
          <w:rFonts w:hint="eastAsia" w:ascii="宋体" w:hAnsi="宋体"/>
          <w:sz w:val="24"/>
          <w:szCs w:val="24"/>
        </w:rPr>
        <w:t xml:space="preserve">风险管理：需对项目可能面临的风险进行全面识别和评估，包括技术风险、管理风险、安全风险等识别项目潜在风险，制定风险应对策略和预案，降低风险对项目的影响。</w:t>
      </w:r>
      <w:r>
        <w:rPr>
          <w:rFonts w:ascii="宋体" w:hAnsi="宋体"/>
          <w:sz w:val="24"/>
          <w:szCs w:val="24"/>
        </w:rPr>
      </w:r>
      <w:r/>
    </w:p>
    <w:p>
      <w:pPr>
        <w:pStyle w:val="971"/>
        <w:numPr>
          <w:ilvl w:val="0"/>
          <w:numId w:val="36"/>
        </w:numPr>
        <w:spacing w:line="480" w:lineRule="atLeast"/>
        <w:rPr>
          <w:rFonts w:ascii="宋体" w:hAnsi="宋体"/>
          <w:b/>
          <w:bCs/>
          <w:sz w:val="24"/>
          <w:szCs w:val="24"/>
        </w:rPr>
      </w:pPr>
      <w:r>
        <w:rPr>
          <w:rFonts w:hint="eastAsia" w:ascii="宋体" w:hAnsi="宋体"/>
          <w:b/>
          <w:bCs/>
          <w:sz w:val="24"/>
          <w:szCs w:val="24"/>
        </w:rPr>
        <w:t xml:space="preserve">项目测试管理方案要求</w:t>
      </w:r>
      <w:r>
        <w:rPr>
          <w:rFonts w:ascii="宋体" w:hAnsi="宋体"/>
          <w:b/>
          <w:bCs/>
          <w:sz w:val="24"/>
          <w:szCs w:val="24"/>
        </w:rPr>
      </w:r>
      <w:r/>
    </w:p>
    <w:p>
      <w:pPr>
        <w:pStyle w:val="971"/>
        <w:ind w:firstLine="480"/>
        <w:spacing w:line="480" w:lineRule="atLeast"/>
        <w:rPr>
          <w:rFonts w:ascii="宋体" w:hAnsi="宋体"/>
          <w:sz w:val="24"/>
          <w:szCs w:val="24"/>
        </w:rPr>
      </w:pPr>
      <w:r>
        <w:rPr>
          <w:rFonts w:hint="eastAsia" w:ascii="宋体" w:hAnsi="宋体"/>
          <w:sz w:val="24"/>
          <w:szCs w:val="24"/>
        </w:rPr>
        <w:t xml:space="preserve">为确保项目的软件质量，项目测试管理方案至关重要。投标人需详细阐述项目测试管理的具体要求，包括测试计划、测试用例设计、测试执行以及测试报告等。</w:t>
      </w:r>
      <w:r>
        <w:rPr>
          <w:rFonts w:ascii="宋体" w:hAnsi="宋体"/>
          <w:sz w:val="24"/>
          <w:szCs w:val="24"/>
        </w:rPr>
      </w:r>
      <w:r/>
    </w:p>
    <w:p>
      <w:pPr>
        <w:pStyle w:val="971"/>
        <w:numPr>
          <w:ilvl w:val="0"/>
          <w:numId w:val="39"/>
        </w:numPr>
        <w:ind w:firstLine="480"/>
        <w:spacing w:line="480" w:lineRule="atLeast"/>
        <w:rPr>
          <w:rFonts w:ascii="宋体" w:hAnsi="宋体"/>
          <w:sz w:val="24"/>
          <w:szCs w:val="24"/>
        </w:rPr>
      </w:pPr>
      <w:r>
        <w:rPr>
          <w:rFonts w:hint="eastAsia" w:ascii="宋体" w:hAnsi="宋体"/>
          <w:sz w:val="24"/>
          <w:szCs w:val="24"/>
        </w:rPr>
        <w:t xml:space="preserve">测试计划：制定测试计划应清晰定义测试的目标、范围、策略、资源需求及时间表，确保测试活动有序进行。</w:t>
      </w:r>
      <w:r>
        <w:rPr>
          <w:rFonts w:ascii="宋体" w:hAnsi="宋体"/>
          <w:sz w:val="24"/>
          <w:szCs w:val="24"/>
        </w:rPr>
      </w:r>
      <w:r/>
    </w:p>
    <w:p>
      <w:pPr>
        <w:pStyle w:val="971"/>
        <w:numPr>
          <w:ilvl w:val="0"/>
          <w:numId w:val="39"/>
        </w:numPr>
        <w:ind w:firstLine="480"/>
        <w:spacing w:line="480" w:lineRule="atLeast"/>
        <w:rPr>
          <w:rFonts w:ascii="宋体" w:hAnsi="宋体"/>
          <w:sz w:val="24"/>
          <w:szCs w:val="24"/>
        </w:rPr>
      </w:pPr>
      <w:r>
        <w:rPr>
          <w:rFonts w:hint="eastAsia" w:ascii="宋体" w:hAnsi="宋体"/>
          <w:sz w:val="24"/>
          <w:szCs w:val="24"/>
        </w:rPr>
        <w:t xml:space="preserve">测试用例设计：每个测试用例应包含测试步骤、预期结果、前置条件及后置处理，确保测试执行的准确性和可重复性。能够根据测试用例的重要性和风险等级，合理划分测试优先级，确保关键功能得到优先测试。</w:t>
      </w:r>
      <w:r>
        <w:rPr>
          <w:rFonts w:ascii="宋体" w:hAnsi="宋体"/>
          <w:sz w:val="24"/>
          <w:szCs w:val="24"/>
        </w:rPr>
      </w:r>
      <w:r/>
    </w:p>
    <w:p>
      <w:pPr>
        <w:pStyle w:val="971"/>
        <w:numPr>
          <w:ilvl w:val="0"/>
          <w:numId w:val="39"/>
        </w:numPr>
        <w:ind w:firstLine="480"/>
        <w:spacing w:line="480" w:lineRule="atLeast"/>
        <w:rPr>
          <w:rFonts w:ascii="宋体" w:hAnsi="宋体"/>
          <w:sz w:val="24"/>
          <w:szCs w:val="24"/>
        </w:rPr>
      </w:pPr>
      <w:r>
        <w:rPr>
          <w:rFonts w:hint="eastAsia" w:ascii="宋体" w:hAnsi="宋体"/>
          <w:sz w:val="24"/>
          <w:szCs w:val="24"/>
        </w:rPr>
        <w:t xml:space="preserve">测试质性：建立有效的缺陷管理流程，及时记录、跟踪、分析和解决测试过程中发现的缺陷，确保缺陷得到及时修复。</w:t>
      </w:r>
      <w:r>
        <w:rPr>
          <w:rFonts w:ascii="宋体" w:hAnsi="宋体"/>
          <w:sz w:val="24"/>
          <w:szCs w:val="24"/>
        </w:rPr>
      </w:r>
      <w:r/>
    </w:p>
    <w:p>
      <w:pPr>
        <w:pStyle w:val="971"/>
        <w:numPr>
          <w:ilvl w:val="0"/>
          <w:numId w:val="39"/>
        </w:numPr>
        <w:ind w:firstLine="480"/>
        <w:spacing w:line="480" w:lineRule="atLeast"/>
        <w:rPr>
          <w:rFonts w:ascii="宋体" w:hAnsi="宋体"/>
          <w:sz w:val="24"/>
          <w:szCs w:val="24"/>
        </w:rPr>
      </w:pPr>
      <w:r>
        <w:rPr>
          <w:rFonts w:hint="eastAsia" w:ascii="宋体" w:hAnsi="宋体"/>
          <w:sz w:val="24"/>
          <w:szCs w:val="24"/>
        </w:rPr>
        <w:t xml:space="preserve">测试报告：对性能测试结果进行详细分析，评估系统性能是否满足要求，并提出性能优化建议，形成详细测试报告。</w:t>
      </w:r>
      <w:r>
        <w:rPr>
          <w:rFonts w:ascii="宋体" w:hAnsi="宋体"/>
          <w:sz w:val="24"/>
          <w:szCs w:val="24"/>
        </w:rPr>
      </w:r>
      <w:r/>
    </w:p>
    <w:p>
      <w:pPr>
        <w:pStyle w:val="971"/>
        <w:numPr>
          <w:ilvl w:val="0"/>
          <w:numId w:val="36"/>
        </w:numPr>
        <w:spacing w:line="480" w:lineRule="atLeast"/>
        <w:rPr>
          <w:rFonts w:ascii="宋体" w:hAnsi="宋体"/>
          <w:b/>
          <w:bCs/>
          <w:sz w:val="24"/>
          <w:szCs w:val="24"/>
        </w:rPr>
      </w:pPr>
      <w:r>
        <w:rPr>
          <w:rFonts w:hint="eastAsia" w:ascii="宋体" w:hAnsi="宋体"/>
          <w:b/>
          <w:bCs/>
          <w:sz w:val="24"/>
          <w:szCs w:val="24"/>
        </w:rPr>
        <w:t xml:space="preserve">项目培训管理方案要求</w:t>
      </w:r>
      <w:r>
        <w:rPr>
          <w:rFonts w:ascii="宋体" w:hAnsi="宋体"/>
          <w:b/>
          <w:bCs/>
          <w:sz w:val="24"/>
          <w:szCs w:val="24"/>
        </w:rPr>
      </w:r>
      <w:r/>
    </w:p>
    <w:p>
      <w:pPr>
        <w:pStyle w:val="971"/>
        <w:ind w:firstLine="480"/>
        <w:spacing w:line="480" w:lineRule="atLeast"/>
        <w:rPr>
          <w:rFonts w:ascii="宋体" w:hAnsi="宋体"/>
          <w:sz w:val="24"/>
          <w:szCs w:val="24"/>
        </w:rPr>
      </w:pPr>
      <w:r>
        <w:rPr>
          <w:rFonts w:ascii="宋体" w:hAnsi="宋体"/>
          <w:sz w:val="24"/>
          <w:szCs w:val="24"/>
        </w:rPr>
        <w:t xml:space="preserve">为确保项目的顺利实施与后续高效运维，项目培训管理方案的设计与实施至关重要。</w:t>
      </w:r>
      <w:r>
        <w:rPr>
          <w:rFonts w:hint="eastAsia" w:ascii="宋体" w:hAnsi="宋体"/>
          <w:sz w:val="24"/>
          <w:szCs w:val="24"/>
        </w:rPr>
        <w:t xml:space="preserve">投标人需</w:t>
      </w:r>
      <w:r>
        <w:rPr>
          <w:rFonts w:ascii="宋体" w:hAnsi="宋体"/>
          <w:sz w:val="24"/>
          <w:szCs w:val="24"/>
        </w:rPr>
        <w:t xml:space="preserve">详细阐述项目培训管理的具体要求，包括培训方案、培训内容、培训材料、培训计划等方面。</w:t>
      </w:r>
      <w:r/>
    </w:p>
    <w:p>
      <w:pPr>
        <w:pStyle w:val="971"/>
        <w:numPr>
          <w:ilvl w:val="0"/>
          <w:numId w:val="38"/>
        </w:numPr>
        <w:ind w:firstLine="480"/>
        <w:spacing w:line="480" w:lineRule="atLeast"/>
        <w:rPr>
          <w:rFonts w:ascii="宋体" w:hAnsi="宋体"/>
          <w:sz w:val="24"/>
          <w:szCs w:val="24"/>
        </w:rPr>
      </w:pPr>
      <w:r>
        <w:rPr>
          <w:rFonts w:ascii="宋体" w:hAnsi="宋体"/>
          <w:sz w:val="24"/>
          <w:szCs w:val="24"/>
        </w:rPr>
        <w:t xml:space="preserve">培训方案</w:t>
      </w:r>
      <w:r>
        <w:rPr>
          <w:rFonts w:hint="eastAsia" w:ascii="宋体" w:hAnsi="宋体"/>
          <w:sz w:val="24"/>
          <w:szCs w:val="24"/>
        </w:rPr>
        <w:t xml:space="preserve">：应提供完善的培训方案，培训方案包含培训内容、培训课时等。系统的培训工作要在系统上线试运行前实施，并在培训实施前编制专门的培训材料。</w:t>
      </w:r>
      <w:r>
        <w:rPr>
          <w:rFonts w:ascii="宋体" w:hAnsi="宋体"/>
          <w:sz w:val="24"/>
          <w:szCs w:val="24"/>
        </w:rPr>
      </w:r>
      <w:r/>
    </w:p>
    <w:p>
      <w:pPr>
        <w:pStyle w:val="971"/>
        <w:numPr>
          <w:ilvl w:val="0"/>
          <w:numId w:val="38"/>
        </w:numPr>
        <w:ind w:firstLine="480"/>
        <w:spacing w:line="480" w:lineRule="atLeast"/>
        <w:rPr>
          <w:rFonts w:ascii="宋体" w:hAnsi="宋体"/>
          <w:sz w:val="24"/>
          <w:szCs w:val="24"/>
        </w:rPr>
      </w:pPr>
      <w:r>
        <w:rPr>
          <w:rFonts w:ascii="宋体" w:hAnsi="宋体"/>
          <w:sz w:val="24"/>
          <w:szCs w:val="24"/>
        </w:rPr>
        <w:t xml:space="preserve">培训内容</w:t>
      </w:r>
      <w:r>
        <w:rPr>
          <w:rFonts w:hint="eastAsia" w:ascii="宋体" w:hAnsi="宋体"/>
          <w:sz w:val="24"/>
          <w:szCs w:val="24"/>
        </w:rPr>
        <w:t xml:space="preserve">：对采购人主要技术人员和骨干用户提供使用及维护培训，对普通用户提供使用培训；对采购人主要技术人员提供对系统开发用到的主要技术培训，如操作系统、数据库、开发工具的厂家认证培训，以及应用系统平台的二次开发培训。</w:t>
      </w:r>
      <w:r>
        <w:rPr>
          <w:rFonts w:ascii="宋体" w:hAnsi="宋体"/>
          <w:sz w:val="24"/>
          <w:szCs w:val="24"/>
        </w:rPr>
      </w:r>
      <w:r/>
    </w:p>
    <w:p>
      <w:pPr>
        <w:pStyle w:val="971"/>
        <w:numPr>
          <w:ilvl w:val="0"/>
          <w:numId w:val="38"/>
        </w:numPr>
        <w:ind w:firstLine="480"/>
        <w:spacing w:line="480" w:lineRule="atLeast"/>
        <w:rPr>
          <w:rFonts w:ascii="宋体" w:hAnsi="宋体"/>
          <w:sz w:val="24"/>
          <w:szCs w:val="24"/>
        </w:rPr>
      </w:pPr>
      <w:r>
        <w:rPr>
          <w:rFonts w:hint="eastAsia" w:ascii="宋体" w:hAnsi="宋体"/>
          <w:sz w:val="24"/>
          <w:szCs w:val="24"/>
        </w:rPr>
        <w:t xml:space="preserve">培训材料：投标人在采购人现场的培训，投标人必须无偿提供培训资料、讲稿的电子稿、培训用文字资料和讲义等相关用品，所有的资料必须是中文书写，同时允许采购人在单位内部使用。</w:t>
      </w:r>
      <w:r>
        <w:rPr>
          <w:rFonts w:ascii="宋体" w:hAnsi="宋体"/>
          <w:sz w:val="24"/>
          <w:szCs w:val="24"/>
        </w:rPr>
      </w:r>
      <w:r/>
    </w:p>
    <w:p>
      <w:pPr>
        <w:pStyle w:val="971"/>
        <w:numPr>
          <w:ilvl w:val="0"/>
          <w:numId w:val="38"/>
        </w:numPr>
        <w:ind w:firstLine="480"/>
        <w:spacing w:line="480" w:lineRule="atLeast"/>
        <w:rPr>
          <w:rFonts w:ascii="宋体" w:hAnsi="宋体"/>
          <w:sz w:val="24"/>
          <w:szCs w:val="24"/>
        </w:rPr>
      </w:pPr>
      <w:r>
        <w:rPr>
          <w:rFonts w:hint="eastAsia" w:ascii="宋体" w:hAnsi="宋体"/>
          <w:sz w:val="24"/>
          <w:szCs w:val="24"/>
        </w:rPr>
        <w:t xml:space="preserve">培训计划：培训工作贯穿于项目的整个过程，所有的培训需提前制定培训计划，明确培训内容、培训时间、培训方式、所需要培训环境等，提供培训所需的资料、文档，针对培训，还需要制定培训用的PPT讲演稿。</w:t>
      </w:r>
      <w:r>
        <w:rPr>
          <w:rFonts w:ascii="宋体" w:hAnsi="宋体"/>
          <w:sz w:val="24"/>
          <w:szCs w:val="24"/>
        </w:rPr>
      </w:r>
      <w:r/>
    </w:p>
    <w:p>
      <w:pPr>
        <w:pStyle w:val="971"/>
        <w:numPr>
          <w:ilvl w:val="0"/>
          <w:numId w:val="36"/>
        </w:numPr>
        <w:spacing w:line="480" w:lineRule="atLeast"/>
        <w:rPr>
          <w:rFonts w:ascii="宋体" w:hAnsi="宋体"/>
          <w:b/>
          <w:bCs/>
          <w:sz w:val="24"/>
          <w:szCs w:val="24"/>
        </w:rPr>
      </w:pPr>
      <w:r>
        <w:rPr>
          <w:rFonts w:hint="eastAsia" w:ascii="宋体" w:hAnsi="宋体"/>
          <w:b/>
          <w:bCs/>
          <w:sz w:val="24"/>
          <w:szCs w:val="24"/>
        </w:rPr>
        <w:t xml:space="preserve">项目售后管理方案要求</w:t>
      </w:r>
      <w:r>
        <w:rPr>
          <w:rFonts w:ascii="宋体" w:hAnsi="宋体"/>
          <w:b/>
          <w:bCs/>
          <w:sz w:val="24"/>
          <w:szCs w:val="24"/>
        </w:rPr>
      </w:r>
      <w:r/>
    </w:p>
    <w:p>
      <w:pPr>
        <w:pStyle w:val="971"/>
        <w:ind w:firstLine="480"/>
        <w:spacing w:line="480" w:lineRule="atLeast"/>
        <w:rPr>
          <w:rFonts w:ascii="宋体" w:hAnsi="宋体"/>
          <w:sz w:val="24"/>
          <w:szCs w:val="24"/>
        </w:rPr>
      </w:pPr>
      <w:r>
        <w:rPr>
          <w:rFonts w:ascii="宋体" w:hAnsi="宋体"/>
          <w:sz w:val="24"/>
          <w:szCs w:val="24"/>
        </w:rPr>
        <w:t xml:space="preserve">为了保障项目的长期稳定运行，提供高效、专业的售后服务至关重要。</w:t>
      </w:r>
      <w:r>
        <w:rPr>
          <w:rFonts w:hint="eastAsia" w:ascii="宋体" w:hAnsi="宋体"/>
          <w:sz w:val="24"/>
          <w:szCs w:val="24"/>
        </w:rPr>
        <w:t xml:space="preserve">投标人需</w:t>
      </w:r>
      <w:r>
        <w:rPr>
          <w:rFonts w:ascii="宋体" w:hAnsi="宋体"/>
          <w:sz w:val="24"/>
          <w:szCs w:val="24"/>
        </w:rPr>
        <w:t xml:space="preserve">详细阐述项目售后管理方案的具体要求，包括售后时间、售后要求、售后内容以及售后人员</w:t>
      </w:r>
      <w:r>
        <w:rPr>
          <w:rFonts w:hint="eastAsia" w:ascii="宋体" w:hAnsi="宋体"/>
          <w:sz w:val="24"/>
          <w:szCs w:val="24"/>
        </w:rPr>
        <w:t xml:space="preserve">等</w:t>
      </w:r>
      <w:r>
        <w:rPr>
          <w:rFonts w:ascii="宋体" w:hAnsi="宋体"/>
          <w:sz w:val="24"/>
          <w:szCs w:val="24"/>
        </w:rPr>
        <w:t xml:space="preserve">。</w:t>
      </w:r>
      <w:r/>
    </w:p>
    <w:p>
      <w:pPr>
        <w:pStyle w:val="971"/>
        <w:numPr>
          <w:ilvl w:val="0"/>
          <w:numId w:val="40"/>
        </w:numPr>
        <w:ind w:firstLine="480"/>
        <w:spacing w:line="480" w:lineRule="atLeast"/>
        <w:rPr>
          <w:rFonts w:ascii="宋体" w:hAnsi="宋体"/>
          <w:sz w:val="24"/>
          <w:szCs w:val="24"/>
        </w:rPr>
      </w:pPr>
      <w:r>
        <w:rPr>
          <w:rFonts w:hint="eastAsia" w:ascii="宋体" w:hAnsi="宋体"/>
          <w:sz w:val="24"/>
          <w:szCs w:val="24"/>
        </w:rPr>
        <w:t xml:space="preserve">售后时间：自交货验收完毕之日算起，所有产品免费维保1年。</w:t>
      </w:r>
      <w:r>
        <w:rPr>
          <w:rFonts w:ascii="宋体" w:hAnsi="宋体"/>
          <w:sz w:val="24"/>
          <w:szCs w:val="24"/>
        </w:rPr>
      </w:r>
      <w:r/>
    </w:p>
    <w:p>
      <w:pPr>
        <w:pStyle w:val="971"/>
        <w:numPr>
          <w:ilvl w:val="0"/>
          <w:numId w:val="40"/>
        </w:numPr>
        <w:ind w:firstLine="480"/>
        <w:spacing w:line="480" w:lineRule="atLeast"/>
        <w:rPr>
          <w:rFonts w:ascii="宋体" w:hAnsi="宋体"/>
          <w:sz w:val="24"/>
          <w:szCs w:val="24"/>
        </w:rPr>
      </w:pPr>
      <w:r>
        <w:rPr>
          <w:rFonts w:hint="eastAsia" w:ascii="宋体" w:hAnsi="宋体"/>
          <w:sz w:val="24"/>
          <w:szCs w:val="24"/>
        </w:rPr>
        <w:t xml:space="preserve">售后要求：投标供应商须承诺，7*24小时立即响应，2小时内到现场，4小时内解决。</w:t>
      </w:r>
      <w:r>
        <w:rPr>
          <w:rFonts w:ascii="宋体" w:hAnsi="宋体"/>
          <w:sz w:val="24"/>
          <w:szCs w:val="24"/>
        </w:rPr>
      </w:r>
      <w:r/>
    </w:p>
    <w:p>
      <w:pPr>
        <w:pStyle w:val="971"/>
        <w:numPr>
          <w:ilvl w:val="0"/>
          <w:numId w:val="40"/>
        </w:numPr>
        <w:ind w:firstLine="480"/>
        <w:spacing w:line="480" w:lineRule="atLeast"/>
        <w:rPr>
          <w:rFonts w:ascii="宋体" w:hAnsi="宋体"/>
          <w:sz w:val="24"/>
          <w:szCs w:val="24"/>
        </w:rPr>
      </w:pPr>
      <w:r>
        <w:rPr>
          <w:rFonts w:hint="eastAsia" w:ascii="宋体" w:hAnsi="宋体"/>
          <w:sz w:val="24"/>
          <w:szCs w:val="24"/>
        </w:rPr>
        <w:t xml:space="preserve">售后内容：投标供应商须承诺提供该产品的技术培训、技术支持和维修巡检服务，并在投标文件中提供相应书面方案。</w:t>
      </w:r>
      <w:r>
        <w:rPr>
          <w:rFonts w:ascii="宋体" w:hAnsi="宋体"/>
          <w:sz w:val="24"/>
          <w:szCs w:val="24"/>
        </w:rPr>
      </w:r>
      <w:r/>
    </w:p>
    <w:p>
      <w:pPr>
        <w:pStyle w:val="971"/>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971"/>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p>
    <w:p>
      <w:pPr>
        <w:pStyle w:val="971"/>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971"/>
              <w:jc w:val="center"/>
              <w:rPr>
                <w:rFonts w:hint="eastAsia" w:ascii="宋体" w:hAnsi="宋体"/>
              </w:rPr>
            </w:pPr>
            <w:r>
              <w:rPr>
                <w:rFonts w:hint="eastAsia" w:ascii="宋体" w:hAnsi="宋体"/>
              </w:rPr>
              <w:t xml:space="preserve">采购包号</w:t>
            </w:r>
            <w:r/>
          </w:p>
        </w:tc>
        <w:tc>
          <w:tcPr>
            <w:tcW w:w="3094" w:type="dxa"/>
            <w:vAlign w:val="top"/>
            <w:textDirection w:val="lrTb"/>
            <w:noWrap w:val="false"/>
          </w:tcPr>
          <w:p>
            <w:pPr>
              <w:pStyle w:val="971"/>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vAlign w:val="top"/>
            <w:textDirection w:val="lrTb"/>
            <w:noWrap w:val="false"/>
          </w:tcPr>
          <w:p>
            <w:pPr>
              <w:pStyle w:val="971"/>
              <w:jc w:val="center"/>
              <w:rPr>
                <w:rFonts w:ascii="宋体" w:hAnsi="宋体"/>
              </w:rPr>
            </w:pPr>
            <w:r>
              <w:rPr>
                <w:rFonts w:hint="eastAsia" w:ascii="宋体" w:hAnsi="宋体"/>
              </w:rPr>
              <w:t xml:space="preserve">1</w:t>
            </w:r>
            <w:r>
              <w:rPr>
                <w:rFonts w:ascii="宋体" w:hAnsi="宋体"/>
              </w:rPr>
            </w:r>
            <w:r/>
          </w:p>
        </w:tc>
        <w:tc>
          <w:tcPr>
            <w:tcW w:w="3094" w:type="dxa"/>
            <w:vAlign w:val="top"/>
            <w:textDirection w:val="lrTb"/>
            <w:noWrap w:val="false"/>
          </w:tcPr>
          <w:p>
            <w:pPr>
              <w:pStyle w:val="971"/>
              <w:jc w:val="center"/>
              <w:rPr>
                <w:rFonts w:hint="eastAsia" w:ascii="宋体" w:hAnsi="宋体"/>
              </w:rPr>
            </w:pPr>
            <w:r>
              <w:rPr>
                <w:rFonts w:hint="eastAsia" w:ascii="宋体" w:hAnsi="宋体"/>
              </w:rPr>
              <w:t xml:space="preserve">否</w:t>
            </w:r>
            <w:r/>
          </w:p>
        </w:tc>
      </w:tr>
    </w:tbl>
    <w:p>
      <w:pPr>
        <w:pStyle w:val="971"/>
        <w:spacing w:line="0" w:lineRule="atLeast"/>
        <w:rPr>
          <w:rFonts w:hint="eastAsia"/>
          <w:color w:val="000000"/>
          <w:sz w:val="24"/>
          <w:szCs w:val="24"/>
        </w:rPr>
      </w:pPr>
      <w:r>
        <w:rPr>
          <w:rFonts w:ascii="宋体" w:hAnsi="宋体"/>
          <w:color w:val="000000"/>
          <w:sz w:val="24"/>
        </w:rPr>
        <w:t xml:space="preserve">3</w:t>
      </w:r>
      <w:r>
        <w:rPr>
          <w:rFonts w:hint="eastAsia" w:ascii="宋体" w:hAnsi="宋体"/>
          <w:color w:val="000000"/>
          <w:sz w:val="24"/>
        </w:rPr>
        <w:t xml:space="preserve">.</w:t>
      </w:r>
      <w:r>
        <w:rPr>
          <w:rFonts w:hint="eastAsia"/>
          <w:color w:val="000000"/>
          <w:sz w:val="24"/>
          <w:szCs w:val="24"/>
        </w:rPr>
        <w:t xml:space="preserve">演示要求</w:t>
      </w:r>
      <w:r>
        <w:rPr>
          <w:rFonts w:hint="eastAsia"/>
          <w:color w:val="000000"/>
          <w:sz w:val="24"/>
          <w:szCs w:val="24"/>
        </w:rPr>
      </w:r>
      <w:r/>
    </w:p>
    <w:p>
      <w:pPr>
        <w:pStyle w:val="971"/>
        <w:ind w:firstLine="480"/>
        <w:rPr>
          <w:rFonts w:hint="eastAsia"/>
          <w:sz w:val="24"/>
          <w:szCs w:val="24"/>
        </w:rPr>
      </w:pPr>
      <w:r>
        <w:rPr>
          <w:rFonts w:hint="eastAsia"/>
          <w:sz w:val="24"/>
          <w:szCs w:val="24"/>
        </w:rPr>
        <w:t xml:space="preserve">演示方式</w:t>
      </w:r>
      <w:r>
        <w:rPr>
          <w:rFonts w:hint="eastAsia"/>
          <w:sz w:val="24"/>
          <w:szCs w:val="24"/>
        </w:rPr>
        <w:t xml:space="preserve">：</w:t>
      </w:r>
      <w:r>
        <w:rPr>
          <w:rFonts w:hint="eastAsia"/>
          <w:sz w:val="24"/>
          <w:szCs w:val="24"/>
        </w:rPr>
        <w:t xml:space="preserve">上传视频演示</w:t>
      </w:r>
      <w:r/>
    </w:p>
    <w:p>
      <w:pPr>
        <w:pStyle w:val="971"/>
        <w:ind w:firstLine="482"/>
        <w:spacing w:line="480" w:lineRule="exact"/>
        <w:rPr>
          <w:rFonts w:ascii="宋体" w:hAnsi="宋体"/>
          <w:color w:val="000000"/>
          <w:sz w:val="24"/>
          <w:szCs w:val="24"/>
        </w:rPr>
      </w:pPr>
      <w:r>
        <w:rPr>
          <w:rFonts w:hint="eastAsia" w:ascii="宋体" w:hAnsi="宋体"/>
          <w:color w:val="000000"/>
          <w:sz w:val="24"/>
        </w:rPr>
        <w:t xml:space="preserve">1.投标人需按照招标文件规定的演示内容制作演示视频文件，视频文件的格式为</w:t>
      </w:r>
      <w:r>
        <w:rPr>
          <w:rFonts w:ascii="宋体" w:hAnsi="宋体"/>
          <w:color w:val="000000"/>
          <w:sz w:val="24"/>
        </w:rPr>
        <w:t xml:space="preserve">*</w:t>
      </w:r>
      <w:r>
        <w:rPr>
          <w:rFonts w:hint="eastAsia" w:ascii="宋体" w:hAnsi="宋体"/>
          <w:color w:val="000000"/>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olor w:val="000000"/>
          <w:sz w:val="24"/>
          <w:u w:val="single"/>
        </w:rPr>
        <w:t xml:space="preserve">15</w:t>
      </w:r>
      <w:r>
        <w:rPr>
          <w:rFonts w:hint="eastAsia" w:ascii="宋体" w:hAnsi="宋体"/>
          <w:color w:val="000000"/>
          <w:sz w:val="24"/>
        </w:rPr>
        <w:t xml:space="preserve">分钟</w:t>
      </w:r>
      <w:r>
        <w:rPr>
          <w:rFonts w:hint="eastAsia" w:ascii="宋体" w:hAnsi="宋体"/>
          <w:color w:val="000000"/>
          <w:sz w:val="24"/>
        </w:rPr>
        <w:t xml:space="preserve">。</w:t>
      </w:r>
      <w:r>
        <w:rPr>
          <w:rFonts w:hint="eastAsia" w:ascii="宋体" w:hAnsi="宋体" w:cs="宋体"/>
          <w:color w:val="000000"/>
          <w:sz w:val="24"/>
          <w:szCs w:val="24"/>
        </w:rPr>
        <w:t xml:space="preserve">使用真实系统或系统原型演示的最高可得满分，使用ppt、动画等其他形式演示的得分乘以0.5。</w:t>
      </w:r>
      <w:r>
        <w:rPr>
          <w:rFonts w:ascii="宋体" w:hAnsi="宋体"/>
          <w:color w:val="000000"/>
          <w:sz w:val="24"/>
          <w:szCs w:val="24"/>
        </w:rPr>
      </w:r>
      <w:r/>
    </w:p>
    <w:p>
      <w:pPr>
        <w:pStyle w:val="971"/>
        <w:ind w:firstLine="480"/>
        <w:spacing w:line="0" w:lineRule="atLeast"/>
        <w:rPr>
          <w:rFonts w:hint="eastAsia" w:ascii="宋体" w:hAnsi="宋体"/>
          <w:color w:val="000000"/>
          <w:sz w:val="24"/>
        </w:rPr>
      </w:pPr>
      <w:r>
        <w:rPr>
          <w:rFonts w:hint="eastAsia" w:ascii="宋体" w:hAnsi="宋体"/>
          <w:color w:val="000000"/>
          <w:sz w:val="24"/>
        </w:rPr>
        <w:t xml:space="preserve">2.演示内容如下：</w:t>
      </w:r>
      <w:r/>
    </w:p>
    <w:p>
      <w:pPr>
        <w:pStyle w:val="1063"/>
        <w:numPr>
          <w:ilvl w:val="0"/>
          <w:numId w:val="41"/>
        </w:numPr>
        <w:spacing w:after="160" w:line="480" w:lineRule="exact"/>
        <w:widowControl w:val="off"/>
        <w:rPr>
          <w:rFonts w:ascii="宋体" w:hAnsi="宋体"/>
          <w:color w:val="000000"/>
          <w:lang w:eastAsia="zh-CN"/>
        </w:rPr>
      </w:pPr>
      <w:r>
        <w:rPr>
          <w:rFonts w:hint="eastAsia" w:ascii="宋体" w:hAnsi="宋体"/>
          <w:color w:val="000000"/>
          <w:lang w:eastAsia="zh-CN"/>
        </w:rPr>
        <w:t xml:space="preserve">周期建档：患者做ART相关治疗后，可在移动端查看当前所有检查套餐信息及对应项目状态；在外院做的项目可通过手机端进行上传报告；医护人员在院内查看并审核患者上传的报告。审核完成后，患者对应套餐信息则会相应更新。</w:t>
      </w:r>
      <w:r>
        <w:rPr>
          <w:rFonts w:ascii="宋体" w:hAnsi="宋体"/>
          <w:color w:val="000000"/>
          <w:lang w:eastAsia="zh-CN"/>
        </w:rPr>
      </w:r>
      <w:r/>
    </w:p>
    <w:p>
      <w:pPr>
        <w:pStyle w:val="1063"/>
        <w:numPr>
          <w:ilvl w:val="0"/>
          <w:numId w:val="41"/>
        </w:numPr>
        <w:spacing w:after="160" w:line="480" w:lineRule="exact"/>
        <w:widowControl w:val="off"/>
        <w:rPr>
          <w:rFonts w:ascii="宋体" w:hAnsi="宋体"/>
          <w:color w:val="000000"/>
          <w:lang w:eastAsia="zh-CN"/>
        </w:rPr>
      </w:pPr>
      <w:r>
        <w:rPr>
          <w:rFonts w:hint="eastAsia" w:ascii="宋体" w:hAnsi="宋体"/>
          <w:color w:val="000000"/>
          <w:lang w:eastAsia="zh-CN"/>
        </w:rPr>
        <w:t xml:space="preserve">注射核对：医生在生殖系统录入医嘱信息后，如患者有院内注射需求，则可通过移动端进行自主报道注射，报道后，患者信息会转入医护人员注射核对平板上，医护人员可按需求进行呼叫并根据平板上显示当日主要药品信息进行核对或执行注射，同时系统校验可执行数量，自动预警；</w:t>
      </w:r>
      <w:r>
        <w:rPr>
          <w:rFonts w:ascii="宋体" w:hAnsi="宋体"/>
          <w:color w:val="000000"/>
          <w:lang w:eastAsia="zh-CN"/>
        </w:rPr>
      </w:r>
      <w:r/>
    </w:p>
    <w:p>
      <w:pPr>
        <w:pStyle w:val="1063"/>
        <w:numPr>
          <w:ilvl w:val="0"/>
          <w:numId w:val="41"/>
        </w:numPr>
        <w:spacing w:after="160" w:line="480" w:lineRule="exact"/>
        <w:widowControl w:val="off"/>
        <w:rPr>
          <w:rFonts w:ascii="宋体" w:hAnsi="宋体"/>
          <w:color w:val="000000"/>
          <w:lang w:eastAsia="zh-CN"/>
        </w:rPr>
      </w:pPr>
      <w:r>
        <w:rPr>
          <w:color w:val="000000"/>
          <w:lang w:eastAsia="zh-CN"/>
        </w:rPr>
        <w:t xml:space="preserve">医生版</w:t>
      </w:r>
      <w:r>
        <w:rPr>
          <w:rFonts w:hint="eastAsia"/>
          <w:color w:val="000000"/>
          <w:lang w:eastAsia="zh-CN"/>
        </w:rPr>
        <w:t xml:space="preserve">移动管理端</w:t>
      </w:r>
      <w:r>
        <w:rPr>
          <w:rFonts w:hint="eastAsia" w:ascii="宋体" w:hAnsi="宋体"/>
          <w:color w:val="000000"/>
          <w:lang w:eastAsia="zh-CN"/>
        </w:rPr>
        <w:t xml:space="preserve">：</w:t>
      </w:r>
      <w:r>
        <w:rPr>
          <w:rFonts w:hint="eastAsia" w:ascii="宋体" w:hAnsi="宋体" w:cs="宋体"/>
          <w:color w:val="000000"/>
          <w:lang w:eastAsia="zh-CN"/>
        </w:rPr>
        <w:t xml:space="preserve">医生通过工号登录手机移动端后：可查看当日手术计划：各类型手术患者数量、手术患者清单，并可以查看单个手术患者病历详情；医生也可检索查询单个患者：查看对应患者验单、周期、冷冻物信息。</w:t>
      </w:r>
      <w:r>
        <w:rPr>
          <w:rFonts w:ascii="宋体" w:hAnsi="宋体"/>
          <w:color w:val="000000"/>
          <w:lang w:eastAsia="zh-CN"/>
        </w:rPr>
      </w:r>
      <w:r/>
    </w:p>
    <w:p>
      <w:pPr>
        <w:pStyle w:val="1063"/>
        <w:numPr>
          <w:ilvl w:val="0"/>
          <w:numId w:val="41"/>
        </w:numPr>
        <w:spacing w:after="160" w:line="480" w:lineRule="exact"/>
        <w:widowControl w:val="off"/>
        <w:rPr>
          <w:rFonts w:ascii="宋体" w:hAnsi="宋体"/>
          <w:color w:val="000000"/>
          <w:lang w:eastAsia="zh-CN"/>
        </w:rPr>
      </w:pPr>
      <w:r>
        <w:rPr>
          <w:rFonts w:hint="eastAsia" w:ascii="宋体" w:hAnsi="宋体"/>
          <w:color w:val="000000"/>
          <w:lang w:eastAsia="zh-CN"/>
        </w:rPr>
        <w:t xml:space="preserve">胚胎观察（PAD）：</w:t>
      </w:r>
      <w:r>
        <w:rPr>
          <w:rFonts w:hint="eastAsia" w:ascii="宋体" w:hAnsi="宋体" w:cs="宋体"/>
          <w:color w:val="000000"/>
          <w:lang w:eastAsia="zh-CN"/>
        </w:rPr>
        <w:t xml:space="preserve">医务人员可直接通过平板移动端进行胚胎观察，系统会根据手术日期，自动生成观察节点待办（如D1观察、D3观察、D5上午观察、下午观察）。在录入胚胎形态时，可根据形态自动判断并跳转至下一胚胎；根据录入结果，系统自动判定对应去向（例如原核数录了3PN或多PN，该胚胎则标记为丢弃去向），不同去向展示不同颜色区分。</w:t>
      </w:r>
      <w:r>
        <w:rPr>
          <w:rFonts w:ascii="宋体" w:hAnsi="宋体"/>
          <w:color w:val="000000"/>
          <w:lang w:eastAsia="zh-CN"/>
        </w:rPr>
      </w:r>
      <w:r/>
    </w:p>
    <w:p>
      <w:pPr>
        <w:pStyle w:val="1063"/>
        <w:numPr>
          <w:ilvl w:val="0"/>
          <w:numId w:val="41"/>
        </w:numPr>
        <w:spacing w:after="160" w:line="480" w:lineRule="exact"/>
        <w:widowControl w:val="off"/>
        <w:rPr>
          <w:rFonts w:hint="eastAsia" w:ascii="宋体" w:hAnsi="宋体"/>
          <w:color w:val="000000"/>
          <w:lang w:eastAsia="zh-CN"/>
        </w:rPr>
      </w:pPr>
      <w:r>
        <w:rPr>
          <w:rFonts w:hint="eastAsia" w:ascii="宋体" w:hAnsi="宋体"/>
          <w:color w:val="000000"/>
          <w:lang w:eastAsia="zh-CN"/>
        </w:rPr>
        <w:t xml:space="preserve">方案调整：</w:t>
      </w:r>
      <w:r>
        <w:rPr>
          <w:rFonts w:hint="eastAsia" w:ascii="宋体" w:hAnsi="宋体" w:cs="宋体"/>
          <w:color w:val="000000"/>
          <w:lang w:eastAsia="zh-CN"/>
        </w:rPr>
        <w:t xml:space="preserve">系统实时展示当日所有取卵患者以及相关方案信息，医生可直接在实验室平板上，根据患者实际情况修改助孕方案。修改后，患者信息则会由原业务待办节点进行变更调整：如患者未取到精时，可将原助孕方案由IVF/ICSI改成冻卵,原“IVF/ICSI受精”节点下患者待办则会自动消失，冻卵+拆卵节点同步新增该患者待办数据。</w:t>
      </w:r>
      <w:r>
        <w:rPr>
          <w:rFonts w:hint="eastAsia" w:ascii="宋体" w:hAnsi="宋体"/>
          <w:color w:val="000000"/>
          <w:lang w:eastAsia="zh-CN"/>
        </w:rPr>
      </w:r>
      <w:r/>
    </w:p>
    <w:p>
      <w:pPr>
        <w:pStyle w:val="971"/>
        <w:spacing w:line="480" w:lineRule="atLeast"/>
        <w:rPr>
          <w:rFonts w:hint="eastAsia" w:ascii="宋体" w:hAnsi="宋体"/>
          <w:b/>
          <w:bCs/>
          <w:sz w:val="24"/>
          <w:szCs w:val="24"/>
        </w:rPr>
      </w:pPr>
      <w:r>
        <w:rPr>
          <w:rFonts w:hint="eastAsia" w:ascii="宋体" w:hAnsi="宋体"/>
          <w:b/>
          <w:bCs/>
          <w:sz w:val="24"/>
          <w:szCs w:val="24"/>
        </w:rPr>
        <w:t xml:space="preserve">五、商务要求</w:t>
      </w:r>
      <w:r/>
    </w:p>
    <w:p>
      <w:pPr>
        <w:pStyle w:val="971"/>
        <w:spacing w:line="0" w:lineRule="atLeast"/>
        <w:rPr>
          <w:rFonts w:ascii="宋体" w:hAnsi="宋体"/>
          <w:b/>
          <w:bCs/>
          <w:color w:val="000000"/>
          <w:sz w:val="32"/>
          <w:szCs w:val="32"/>
          <w:u w:val="single"/>
        </w:rPr>
      </w:pPr>
      <w:r>
        <w:rPr>
          <w:rFonts w:hint="eastAsia" w:ascii="宋体" w:hAnsi="宋体"/>
          <w:b/>
          <w:bCs/>
          <w:i/>
          <w:color w:val="000000"/>
          <w:sz w:val="32"/>
          <w:szCs w:val="32"/>
          <w:u w:val="single"/>
        </w:rPr>
        <w:t xml:space="preserve">斜体且有下划线部分</w:t>
      </w:r>
      <w:r>
        <w:rPr>
          <w:rFonts w:hint="eastAsia" w:ascii="宋体" w:hAnsi="宋体"/>
          <w:b/>
          <w:bCs/>
          <w:color w:val="000000"/>
          <w:sz w:val="32"/>
          <w:szCs w:val="32"/>
          <w:u w:val="single"/>
        </w:rPr>
        <w:t xml:space="preserve">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ascii="宋体" w:hAnsi="宋体"/>
          <w:b/>
          <w:bCs/>
          <w:color w:val="000000"/>
          <w:sz w:val="32"/>
          <w:szCs w:val="32"/>
          <w:u w:val="single"/>
        </w:rPr>
      </w:r>
      <w:r/>
    </w:p>
    <w:p>
      <w:pPr>
        <w:pStyle w:val="971"/>
        <w:spacing w:line="480" w:lineRule="exact"/>
        <w:rPr>
          <w:rFonts w:ascii="宋体" w:hAnsi="宋体"/>
          <w:color w:val="000000"/>
          <w:sz w:val="24"/>
          <w:szCs w:val="24"/>
        </w:rPr>
      </w:pPr>
      <w:r>
        <w:rPr>
          <w:rFonts w:hint="eastAsia" w:ascii="宋体" w:hAnsi="宋体"/>
          <w:color w:val="000000"/>
          <w:sz w:val="24"/>
          <w:szCs w:val="24"/>
        </w:rPr>
        <w:t xml:space="preserve">1.项目属性:服务类项目。</w:t>
      </w:r>
      <w:r>
        <w:rPr>
          <w:rFonts w:ascii="宋体" w:hAnsi="宋体"/>
          <w:color w:val="000000"/>
          <w:sz w:val="24"/>
          <w:szCs w:val="24"/>
        </w:rPr>
      </w:r>
      <w:r/>
    </w:p>
    <w:p>
      <w:pPr>
        <w:pStyle w:val="971"/>
        <w:numPr>
          <w:ilvl w:val="0"/>
          <w:numId w:val="42"/>
        </w:numPr>
        <w:spacing w:line="480" w:lineRule="exact"/>
        <w:rPr>
          <w:rFonts w:ascii="宋体" w:hAnsi="宋体"/>
          <w:b/>
          <w:bCs/>
          <w:color w:val="000000"/>
          <w:sz w:val="24"/>
          <w:szCs w:val="24"/>
        </w:rPr>
      </w:pPr>
      <w:r>
        <w:rPr>
          <w:rFonts w:hint="eastAsia" w:ascii="宋体" w:hAnsi="宋体"/>
          <w:b/>
          <w:bCs/>
          <w:color w:val="000000"/>
          <w:sz w:val="24"/>
          <w:szCs w:val="24"/>
        </w:rPr>
        <w:t xml:space="preserve">项目人员要求</w:t>
      </w:r>
      <w:r>
        <w:rPr>
          <w:rFonts w:ascii="宋体" w:hAnsi="宋体"/>
          <w:b/>
          <w:bCs/>
          <w:color w:val="000000"/>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中标人应成立针对本项目的项目工作组：</w:t>
      </w:r>
      <w:r>
        <w:rPr>
          <w:rFonts w:ascii="宋体" w:hAnsi="宋体"/>
          <w:sz w:val="24"/>
          <w:szCs w:val="24"/>
        </w:rPr>
      </w:r>
      <w:r/>
    </w:p>
    <w:p>
      <w:pPr>
        <w:pStyle w:val="971"/>
        <w:numPr>
          <w:ilvl w:val="0"/>
          <w:numId w:val="43"/>
        </w:numPr>
        <w:ind w:firstLine="480"/>
        <w:spacing w:line="480" w:lineRule="exact"/>
        <w:rPr>
          <w:rFonts w:ascii="宋体" w:hAnsi="宋体"/>
          <w:sz w:val="24"/>
          <w:szCs w:val="24"/>
        </w:rPr>
      </w:pPr>
      <w:r>
        <w:rPr>
          <w:rFonts w:hint="eastAsia" w:ascii="宋体" w:hAnsi="宋体"/>
          <w:b/>
          <w:bCs/>
          <w:sz w:val="24"/>
          <w:szCs w:val="24"/>
        </w:rPr>
        <w:t xml:space="preserve">项目配备项目经理一名</w:t>
      </w:r>
      <w:r>
        <w:rPr>
          <w:rFonts w:hint="eastAsia" w:ascii="宋体" w:hAnsi="宋体"/>
          <w:sz w:val="24"/>
          <w:szCs w:val="24"/>
        </w:rPr>
        <w:t xml:space="preserve">：需要项目经理具备信息系统项目管理师、软件设计师、大数据分析师、网络规划设计师、信息系统架构设计师、数据库系统或信息系统管理工程师高级证书（需提供资质证书），并具有</w:t>
      </w:r>
      <w:r>
        <w:rPr>
          <w:rFonts w:hint="eastAsia" w:ascii="宋体" w:hAnsi="宋体"/>
          <w:sz w:val="24"/>
          <w:szCs w:val="24"/>
        </w:rPr>
        <w:t xml:space="preserve">类似信息</w:t>
      </w:r>
      <w:r>
        <w:rPr>
          <w:rFonts w:hint="eastAsia" w:ascii="宋体" w:hAnsi="宋体"/>
          <w:sz w:val="24"/>
          <w:szCs w:val="24"/>
        </w:rPr>
        <w:t xml:space="preserve">化建设类项目经验。</w:t>
      </w:r>
      <w:r>
        <w:rPr>
          <w:rFonts w:ascii="宋体" w:hAnsi="宋体"/>
          <w:sz w:val="24"/>
          <w:szCs w:val="24"/>
        </w:rPr>
      </w:r>
      <w:r/>
    </w:p>
    <w:p>
      <w:pPr>
        <w:pStyle w:val="971"/>
        <w:numPr>
          <w:ilvl w:val="0"/>
          <w:numId w:val="43"/>
        </w:numPr>
        <w:ind w:firstLine="480"/>
        <w:spacing w:line="480" w:lineRule="exact"/>
        <w:rPr>
          <w:rFonts w:ascii="宋体" w:hAnsi="宋体"/>
          <w:sz w:val="24"/>
          <w:szCs w:val="24"/>
        </w:rPr>
      </w:pPr>
      <w:r>
        <w:rPr>
          <w:rFonts w:hint="eastAsia" w:ascii="宋体" w:hAnsi="宋体"/>
          <w:b/>
          <w:bCs/>
          <w:sz w:val="24"/>
          <w:szCs w:val="24"/>
        </w:rPr>
        <w:t xml:space="preserve">项目配备项目实施工程师三名</w:t>
      </w:r>
      <w:r>
        <w:rPr>
          <w:rFonts w:hint="eastAsia" w:ascii="宋体" w:hAnsi="宋体"/>
          <w:sz w:val="24"/>
          <w:szCs w:val="24"/>
        </w:rPr>
        <w:t xml:space="preserve">：需要具备软件设计师、网络工程师、数据库系统工程师、系统集成项目管理工程师、或信息安全工程师或软件评测师中级证书。</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3、项目实施人员：采购合同签订后，中标人须提供常驻项目实施人员在医院现场工作，并提供有类似项目实施管理经验的项目经理在现场进行项目管理与推进；</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4、项目管理与上线支持人员：系统上线期间，中标人须提供项目管理与上线支持人员。上线后免费运维期间，中标人必须提供现场运维人员。</w:t>
      </w:r>
      <w:r>
        <w:rPr>
          <w:rFonts w:ascii="宋体" w:hAnsi="宋体"/>
          <w:sz w:val="24"/>
          <w:szCs w:val="24"/>
        </w:rPr>
      </w:r>
      <w:r/>
    </w:p>
    <w:p>
      <w:pPr>
        <w:pStyle w:val="971"/>
        <w:numPr>
          <w:ilvl w:val="0"/>
          <w:numId w:val="42"/>
        </w:numPr>
        <w:spacing w:line="480" w:lineRule="exact"/>
        <w:rPr>
          <w:rFonts w:ascii="宋体" w:hAnsi="宋体"/>
          <w:b/>
          <w:bCs/>
          <w:color w:val="000000"/>
          <w:sz w:val="24"/>
          <w:szCs w:val="24"/>
        </w:rPr>
      </w:pPr>
      <w:r>
        <w:rPr>
          <w:rFonts w:hint="eastAsia" w:ascii="宋体" w:hAnsi="宋体"/>
          <w:b/>
          <w:bCs/>
          <w:color w:val="000000"/>
          <w:sz w:val="24"/>
          <w:szCs w:val="24"/>
        </w:rPr>
        <w:t xml:space="preserve">公司实力</w:t>
      </w:r>
      <w:r>
        <w:rPr>
          <w:rFonts w:ascii="宋体" w:hAnsi="宋体"/>
          <w:b/>
          <w:bCs/>
          <w:color w:val="000000"/>
          <w:sz w:val="24"/>
          <w:szCs w:val="24"/>
        </w:rPr>
      </w:r>
      <w:r/>
    </w:p>
    <w:p>
      <w:pPr>
        <w:pStyle w:val="971"/>
        <w:numPr>
          <w:ilvl w:val="0"/>
          <w:numId w:val="44"/>
        </w:numPr>
        <w:ind w:firstLine="480"/>
        <w:spacing w:line="480" w:lineRule="exact"/>
        <w:rPr>
          <w:rFonts w:ascii="宋体" w:hAnsi="宋体"/>
          <w:b/>
          <w:bCs/>
          <w:sz w:val="24"/>
          <w:szCs w:val="24"/>
        </w:rPr>
      </w:pPr>
      <w:r>
        <w:rPr>
          <w:rFonts w:hint="eastAsia" w:ascii="宋体" w:hAnsi="宋体"/>
          <w:b/>
          <w:bCs/>
          <w:sz w:val="24"/>
          <w:szCs w:val="24"/>
        </w:rPr>
        <w:t xml:space="preserve">企业资质</w:t>
      </w:r>
      <w:r>
        <w:rPr>
          <w:rFonts w:ascii="宋体" w:hAnsi="宋体"/>
          <w:b/>
          <w:bCs/>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投标人需具</w:t>
      </w:r>
      <w:r>
        <w:rPr>
          <w:rFonts w:hint="eastAsia" w:ascii="宋体" w:hAnsi="宋体"/>
          <w:color w:val="000000"/>
          <w:sz w:val="24"/>
          <w:szCs w:val="24"/>
        </w:rPr>
        <w:t xml:space="preserve">有</w:t>
      </w:r>
      <w:r>
        <w:rPr>
          <w:rFonts w:hint="eastAsia" w:ascii="宋体" w:hAnsi="宋体" w:cs="宋体"/>
          <w:color w:val="000000"/>
          <w:sz w:val="24"/>
          <w:szCs w:val="24"/>
        </w:rPr>
        <w:t xml:space="preserve">国家认监委认可的机构颁发的有效期内的</w:t>
      </w:r>
      <w:r>
        <w:rPr>
          <w:rFonts w:hint="eastAsia" w:ascii="宋体" w:hAnsi="宋体"/>
          <w:color w:val="000000"/>
          <w:sz w:val="24"/>
          <w:szCs w:val="24"/>
        </w:rPr>
        <w:t xml:space="preserve">ISO900</w:t>
      </w:r>
      <w:r>
        <w:rPr>
          <w:rFonts w:hint="eastAsia" w:ascii="宋体" w:hAnsi="宋体"/>
          <w:sz w:val="24"/>
          <w:szCs w:val="24"/>
        </w:rPr>
        <w:t xml:space="preserve">1质量管理体系认证、ISO20000信息技术服务管理体系认证、ISO27001信息安全管理体系认证。</w:t>
      </w:r>
      <w:r>
        <w:rPr>
          <w:rFonts w:ascii="宋体" w:hAnsi="宋体"/>
          <w:sz w:val="24"/>
          <w:szCs w:val="24"/>
        </w:rPr>
      </w:r>
      <w:r/>
    </w:p>
    <w:p>
      <w:pPr>
        <w:pStyle w:val="971"/>
        <w:numPr>
          <w:ilvl w:val="0"/>
          <w:numId w:val="44"/>
        </w:numPr>
        <w:ind w:firstLine="480"/>
        <w:spacing w:line="480" w:lineRule="exact"/>
        <w:rPr>
          <w:rFonts w:ascii="宋体" w:hAnsi="宋体"/>
          <w:b/>
          <w:bCs/>
          <w:sz w:val="24"/>
          <w:szCs w:val="24"/>
        </w:rPr>
      </w:pPr>
      <w:r>
        <w:rPr>
          <w:rFonts w:hint="eastAsia" w:ascii="宋体" w:hAnsi="宋体"/>
          <w:b/>
          <w:bCs/>
          <w:sz w:val="24"/>
          <w:szCs w:val="24"/>
        </w:rPr>
        <w:t xml:space="preserve">相关业绩要求</w:t>
      </w:r>
      <w:r>
        <w:rPr>
          <w:rFonts w:ascii="宋体" w:hAnsi="宋体"/>
          <w:b/>
          <w:bCs/>
          <w:sz w:val="24"/>
          <w:szCs w:val="24"/>
        </w:rPr>
      </w:r>
      <w:r/>
    </w:p>
    <w:p>
      <w:pPr>
        <w:pStyle w:val="971"/>
        <w:ind w:firstLine="480"/>
        <w:spacing w:line="480" w:lineRule="exact"/>
        <w:rPr>
          <w:rFonts w:ascii="宋体" w:hAnsi="宋体"/>
          <w:color w:val="000000"/>
          <w:sz w:val="24"/>
          <w:szCs w:val="24"/>
        </w:rPr>
      </w:pPr>
      <w:r>
        <w:rPr>
          <w:rFonts w:hint="eastAsia" w:ascii="宋体" w:hAnsi="宋体"/>
          <w:sz w:val="24"/>
          <w:szCs w:val="24"/>
        </w:rPr>
        <w:t xml:space="preserve">投标人近三年内完成（2022年1月1日至今</w:t>
      </w:r>
      <w:r>
        <w:rPr>
          <w:rFonts w:hint="eastAsia" w:ascii="宋体" w:hAnsi="宋体"/>
          <w:color w:val="000000"/>
          <w:sz w:val="24"/>
          <w:szCs w:val="24"/>
        </w:rPr>
        <w:t xml:space="preserve">）类似信息化相关建设项目。</w:t>
      </w:r>
      <w:r>
        <w:rPr>
          <w:rFonts w:ascii="宋体" w:hAnsi="宋体"/>
          <w:color w:val="000000"/>
          <w:sz w:val="24"/>
          <w:szCs w:val="24"/>
        </w:rPr>
      </w:r>
      <w:r/>
    </w:p>
    <w:p>
      <w:pPr>
        <w:pStyle w:val="971"/>
        <w:numPr>
          <w:ilvl w:val="0"/>
          <w:numId w:val="44"/>
        </w:numPr>
        <w:ind w:firstLine="480"/>
        <w:spacing w:line="480" w:lineRule="exact"/>
        <w:rPr>
          <w:rFonts w:ascii="宋体" w:hAnsi="宋体"/>
          <w:b/>
          <w:bCs/>
          <w:color w:val="000000"/>
          <w:sz w:val="24"/>
          <w:szCs w:val="24"/>
        </w:rPr>
      </w:pPr>
      <w:r>
        <w:rPr>
          <w:rFonts w:hint="eastAsia" w:ascii="宋体" w:hAnsi="宋体"/>
          <w:b/>
          <w:bCs/>
          <w:color w:val="000000"/>
          <w:sz w:val="24"/>
          <w:szCs w:val="24"/>
        </w:rPr>
        <w:t xml:space="preserve">企业能力</w:t>
      </w:r>
      <w:r>
        <w:rPr>
          <w:rFonts w:ascii="宋体" w:hAnsi="宋体"/>
          <w:b/>
          <w:bCs/>
          <w:color w:val="000000"/>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投标人具有</w:t>
      </w:r>
      <w:r>
        <w:rPr>
          <w:rFonts w:hint="eastAsia" w:ascii="宋体" w:hAnsi="宋体"/>
          <w:color w:val="000000"/>
          <w:sz w:val="24"/>
          <w:szCs w:val="24"/>
        </w:rPr>
        <w:t xml:space="preserve">生殖、胚胎、实验室</w:t>
      </w:r>
      <w:r>
        <w:rPr>
          <w:rFonts w:hint="eastAsia" w:ascii="宋体" w:hAnsi="宋体"/>
          <w:sz w:val="24"/>
          <w:szCs w:val="24"/>
        </w:rPr>
        <w:t xml:space="preserve">等相关软件著作权证书</w:t>
      </w:r>
      <w:r>
        <w:rPr>
          <w:rFonts w:hint="eastAsia" w:ascii="宋体" w:hAnsi="宋体" w:cs="宋体"/>
          <w:sz w:val="24"/>
          <w:szCs w:val="24"/>
        </w:rPr>
        <w:t xml:space="preserve">或专利登记证书</w:t>
      </w:r>
      <w:r>
        <w:rPr>
          <w:rFonts w:hint="eastAsia" w:ascii="宋体" w:hAnsi="宋体"/>
          <w:sz w:val="24"/>
          <w:szCs w:val="24"/>
        </w:rPr>
        <w:t xml:space="preserve">。</w:t>
      </w:r>
      <w:r>
        <w:rPr>
          <w:rFonts w:ascii="宋体" w:hAnsi="宋体"/>
          <w:sz w:val="24"/>
          <w:szCs w:val="24"/>
        </w:rPr>
      </w:r>
      <w:r/>
    </w:p>
    <w:p>
      <w:pPr>
        <w:pStyle w:val="971"/>
        <w:numPr>
          <w:ilvl w:val="0"/>
          <w:numId w:val="42"/>
        </w:numPr>
        <w:spacing w:line="480" w:lineRule="exact"/>
        <w:rPr>
          <w:rFonts w:ascii="宋体" w:hAnsi="宋体"/>
          <w:b/>
          <w:bCs/>
          <w:color w:val="000000"/>
          <w:sz w:val="24"/>
          <w:szCs w:val="24"/>
        </w:rPr>
      </w:pPr>
      <w:r>
        <w:rPr>
          <w:rFonts w:hint="eastAsia" w:ascii="宋体" w:hAnsi="宋体"/>
          <w:b/>
          <w:bCs/>
          <w:color w:val="000000"/>
          <w:sz w:val="24"/>
          <w:szCs w:val="24"/>
        </w:rPr>
        <w:t xml:space="preserve">付款方式</w:t>
      </w:r>
      <w:r>
        <w:rPr>
          <w:rFonts w:ascii="宋体" w:hAnsi="宋体"/>
          <w:b/>
          <w:bCs/>
          <w:color w:val="000000"/>
          <w:sz w:val="24"/>
          <w:szCs w:val="24"/>
        </w:rPr>
      </w:r>
      <w:r/>
    </w:p>
    <w:p>
      <w:pPr>
        <w:pStyle w:val="971"/>
        <w:ind w:firstLine="480"/>
        <w:spacing w:line="480" w:lineRule="atLeast"/>
        <w:rPr>
          <w:rFonts w:ascii="宋体" w:hAnsi="宋体"/>
          <w:sz w:val="24"/>
          <w:szCs w:val="24"/>
        </w:rPr>
      </w:pPr>
      <w:r>
        <w:rPr>
          <w:rFonts w:ascii="宋体" w:hAnsi="宋体"/>
          <w:sz w:val="24"/>
          <w:szCs w:val="24"/>
        </w:rPr>
        <w:t xml:space="preserve">合同生效且收到发票后支付30%，验收合格且收到发票后支付60%，验收合格半年后且收到发票后支付10%</w:t>
      </w:r>
      <w:r>
        <w:rPr>
          <w:rFonts w:hint="eastAsia" w:ascii="宋体" w:hAnsi="宋体"/>
          <w:sz w:val="24"/>
          <w:szCs w:val="24"/>
        </w:rPr>
        <w:t xml:space="preserve">。</w:t>
      </w:r>
      <w:r>
        <w:rPr>
          <w:rFonts w:ascii="宋体" w:hAnsi="宋体"/>
          <w:sz w:val="24"/>
          <w:szCs w:val="24"/>
        </w:rPr>
      </w:r>
      <w:r/>
    </w:p>
    <w:p>
      <w:pPr>
        <w:pStyle w:val="971"/>
        <w:numPr>
          <w:ilvl w:val="0"/>
          <w:numId w:val="42"/>
        </w:numPr>
        <w:spacing w:line="480" w:lineRule="exact"/>
        <w:rPr>
          <w:rFonts w:ascii="宋体" w:hAnsi="宋体"/>
          <w:b/>
          <w:bCs/>
          <w:color w:val="000000"/>
          <w:sz w:val="24"/>
          <w:szCs w:val="24"/>
        </w:rPr>
      </w:pPr>
      <w:r>
        <w:rPr>
          <w:rFonts w:hint="eastAsia" w:ascii="宋体" w:hAnsi="宋体"/>
          <w:b/>
          <w:bCs/>
          <w:color w:val="000000"/>
          <w:sz w:val="24"/>
          <w:szCs w:val="24"/>
        </w:rPr>
        <w:t xml:space="preserve">支持服务保证</w:t>
      </w:r>
      <w:r>
        <w:rPr>
          <w:rFonts w:ascii="宋体" w:hAnsi="宋体"/>
          <w:b/>
          <w:bCs/>
          <w:color w:val="000000"/>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针对采购项目，中标人应承诺如下支持服务保证：</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1、中标人必须提供支持服务以保证系统的平稳运行。</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2、中标人需要与采购人共同合作，统一安排运维管理，保证系统（特别是应用模块）的有效运转。</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3、中标人需要制定全面的工作计划，保证按照工作计划进行运维管理。</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4、中标人应在合同期内将系统的所有变动详细记录，并有反馈。</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5、中标人必须保证版本的控制，对所有的应用系统配置、源程序代码、文档等进行有效的管理。</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6、中标人必须制定安全管理手册，保证系统的可靠性。</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7、中标人必须遵从国家卫健委、地方卫生管理机构的统一安全标准。</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8、中标人对系统的任何改动都应该通知采购人。</w:t>
      </w:r>
      <w:r>
        <w:rPr>
          <w:rFonts w:ascii="宋体" w:hAnsi="宋体"/>
          <w:sz w:val="24"/>
          <w:szCs w:val="24"/>
        </w:rPr>
      </w:r>
      <w:r/>
    </w:p>
    <w:p>
      <w:pPr>
        <w:pStyle w:val="971"/>
        <w:numPr>
          <w:ilvl w:val="0"/>
          <w:numId w:val="42"/>
        </w:numPr>
        <w:spacing w:line="480" w:lineRule="exact"/>
        <w:rPr>
          <w:rFonts w:ascii="宋体" w:hAnsi="宋体"/>
          <w:b/>
          <w:bCs/>
          <w:color w:val="000000"/>
          <w:sz w:val="24"/>
          <w:szCs w:val="24"/>
        </w:rPr>
      </w:pPr>
      <w:r>
        <w:rPr>
          <w:rFonts w:hint="eastAsia" w:ascii="宋体" w:hAnsi="宋体"/>
          <w:b/>
          <w:bCs/>
          <w:color w:val="000000"/>
          <w:sz w:val="24"/>
          <w:szCs w:val="24"/>
        </w:rPr>
        <w:t xml:space="preserve">需求收集及开发</w:t>
      </w:r>
      <w:r>
        <w:rPr>
          <w:rFonts w:ascii="宋体" w:hAnsi="宋体"/>
          <w:b/>
          <w:bCs/>
          <w:color w:val="000000"/>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1、中标人承担从医院收集需求的工作，用户需求规格说明书由采购人确认。</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2、每个模块需要依据医院指定的业务科室负责人，对中标人收集的需求进行确认。在不超出模块整体业务架构的前提下，以业务科室确认的需求作为开发、上线和验收依据。</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3、中标人需要对用户需求做进一步的分析与处理，并将其转化成技术需求规格，报告给采购人。</w:t>
      </w:r>
      <w:r>
        <w:rPr>
          <w:rFonts w:ascii="宋体" w:hAnsi="宋体"/>
          <w:sz w:val="24"/>
          <w:szCs w:val="24"/>
        </w:rPr>
      </w:r>
      <w:r/>
    </w:p>
    <w:p>
      <w:pPr>
        <w:pStyle w:val="971"/>
        <w:numPr>
          <w:ilvl w:val="0"/>
          <w:numId w:val="42"/>
        </w:numPr>
        <w:spacing w:line="480" w:lineRule="exact"/>
        <w:rPr>
          <w:rFonts w:ascii="宋体" w:hAnsi="宋体"/>
          <w:b/>
          <w:bCs/>
          <w:color w:val="000000"/>
          <w:sz w:val="24"/>
          <w:szCs w:val="24"/>
        </w:rPr>
      </w:pPr>
      <w:r>
        <w:rPr>
          <w:rFonts w:hint="eastAsia" w:ascii="宋体" w:hAnsi="宋体"/>
          <w:b/>
          <w:bCs/>
          <w:color w:val="000000"/>
          <w:sz w:val="24"/>
          <w:szCs w:val="24"/>
        </w:rPr>
        <w:t xml:space="preserve">安全和可信要求</w:t>
      </w:r>
      <w:r>
        <w:rPr>
          <w:rFonts w:ascii="宋体" w:hAnsi="宋体"/>
          <w:b/>
          <w:bCs/>
          <w:color w:val="000000"/>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满足《网络安全法》《数据安全法》《个人信息保护法》和三级等保测评等法律法规要求。</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在项目建设的整个阶段，对于网络安全要同步规划、同步建设、同步使用。</w:t>
      </w:r>
      <w:r>
        <w:rPr>
          <w:rFonts w:ascii="宋体" w:hAnsi="宋体"/>
          <w:sz w:val="24"/>
          <w:szCs w:val="24"/>
        </w:rPr>
      </w:r>
      <w:r/>
    </w:p>
    <w:p>
      <w:pPr>
        <w:pStyle w:val="971"/>
        <w:ind w:firstLine="480"/>
        <w:spacing w:line="480" w:lineRule="exact"/>
        <w:rPr>
          <w:rFonts w:ascii="宋体" w:hAnsi="宋体"/>
          <w:sz w:val="24"/>
          <w:szCs w:val="24"/>
        </w:rPr>
      </w:pPr>
      <w:r>
        <w:rPr>
          <w:rFonts w:hint="eastAsia" w:ascii="宋体" w:hAnsi="宋体"/>
          <w:sz w:val="24"/>
          <w:szCs w:val="24"/>
        </w:rPr>
        <w:t xml:space="preserve">未来要支持并配合密码安全及数据安全有关建设或改造。</w:t>
      </w:r>
      <w:r>
        <w:rPr>
          <w:rFonts w:ascii="宋体" w:hAnsi="宋体"/>
          <w:sz w:val="24"/>
          <w:szCs w:val="24"/>
        </w:rPr>
      </w:r>
      <w:r/>
    </w:p>
    <w:p>
      <w:pPr>
        <w:pStyle w:val="971"/>
        <w:numPr>
          <w:ilvl w:val="0"/>
          <w:numId w:val="42"/>
        </w:numPr>
        <w:spacing w:line="480" w:lineRule="exact"/>
        <w:rPr>
          <w:rFonts w:ascii="宋体" w:hAnsi="宋体"/>
          <w:b/>
          <w:bCs/>
          <w:color w:val="000000"/>
          <w:sz w:val="24"/>
          <w:szCs w:val="24"/>
        </w:rPr>
      </w:pPr>
      <w:r>
        <w:rPr>
          <w:rFonts w:ascii="宋体" w:hAnsi="宋体"/>
          <w:b/>
          <w:bCs/>
          <w:color w:val="000000"/>
          <w:sz w:val="24"/>
          <w:szCs w:val="24"/>
        </w:rPr>
        <w:t xml:space="preserve">文档资料管理</w:t>
      </w:r>
      <w:r/>
    </w:p>
    <w:p>
      <w:pPr>
        <w:pStyle w:val="971"/>
        <w:ind w:firstLine="480"/>
        <w:spacing w:line="480" w:lineRule="exact"/>
        <w:rPr>
          <w:rFonts w:ascii="宋体" w:hAnsi="宋体"/>
          <w:sz w:val="24"/>
          <w:szCs w:val="24"/>
        </w:rPr>
      </w:pPr>
      <w:r>
        <w:rPr>
          <w:rFonts w:hint="eastAsia" w:ascii="宋体" w:hAnsi="宋体"/>
          <w:sz w:val="24"/>
          <w:szCs w:val="24"/>
        </w:rPr>
        <w:t xml:space="preserve">1、文档是保证项目实施连贯性的重要保证，中标人需要提供完善的文档，并对项目进行过程中的文档进行有效的管理，接受采购人对项目各阶段评估分析和监督管理。</w:t>
      </w:r>
      <w:r>
        <w:rPr>
          <w:rFonts w:ascii="宋体" w:hAnsi="宋体"/>
          <w:sz w:val="24"/>
          <w:szCs w:val="24"/>
        </w:rPr>
      </w:r>
      <w:r/>
    </w:p>
    <w:p>
      <w:pPr>
        <w:pStyle w:val="971"/>
        <w:ind w:firstLine="480"/>
        <w:spacing w:line="480" w:lineRule="exact"/>
        <w:rPr>
          <w:rFonts w:ascii="宋体" w:hAnsi="宋体"/>
          <w:b/>
          <w:bCs/>
          <w:sz w:val="24"/>
          <w:szCs w:val="24"/>
        </w:rPr>
      </w:pPr>
      <w:r>
        <w:rPr>
          <w:rFonts w:hint="eastAsia" w:ascii="宋体" w:hAnsi="宋体"/>
          <w:sz w:val="24"/>
          <w:szCs w:val="24"/>
        </w:rPr>
        <w:t xml:space="preserve">2、整个项目的过程包括后期修改维护提供系统、完整的项目管理、设计和开发、操作说明等书面文档及其电子版。</w:t>
      </w:r>
      <w:r>
        <w:rPr>
          <w:rFonts w:ascii="宋体" w:hAnsi="宋体"/>
          <w:b/>
          <w:bCs/>
          <w:sz w:val="24"/>
          <w:szCs w:val="24"/>
        </w:rPr>
      </w:r>
      <w:r/>
    </w:p>
    <w:p>
      <w:pPr>
        <w:pStyle w:val="971"/>
        <w:numPr>
          <w:ilvl w:val="0"/>
          <w:numId w:val="42"/>
        </w:numPr>
        <w:spacing w:line="480" w:lineRule="exact"/>
        <w:rPr>
          <w:rFonts w:ascii="宋体" w:hAnsi="宋体"/>
          <w:b/>
          <w:bCs/>
          <w:color w:val="000000"/>
          <w:sz w:val="24"/>
          <w:szCs w:val="24"/>
        </w:rPr>
      </w:pPr>
      <w:r>
        <w:rPr>
          <w:rFonts w:hint="eastAsia" w:ascii="宋体" w:hAnsi="宋体"/>
          <w:b/>
          <w:bCs/>
          <w:color w:val="000000"/>
          <w:sz w:val="24"/>
          <w:szCs w:val="24"/>
        </w:rPr>
        <w:t xml:space="preserve">验收标准及方式</w:t>
      </w:r>
      <w:r>
        <w:rPr>
          <w:rFonts w:ascii="宋体" w:hAnsi="宋体"/>
          <w:b/>
          <w:bCs/>
          <w:color w:val="000000"/>
          <w:sz w:val="24"/>
          <w:szCs w:val="24"/>
        </w:rPr>
      </w:r>
      <w:r/>
    </w:p>
    <w:p>
      <w:pPr>
        <w:pStyle w:val="971"/>
        <w:ind w:firstLine="480"/>
        <w:spacing w:line="480" w:lineRule="atLeast"/>
        <w:rPr>
          <w:rFonts w:ascii="宋体" w:hAnsi="宋体"/>
          <w:sz w:val="24"/>
          <w:szCs w:val="24"/>
        </w:rPr>
      </w:pPr>
      <w:r>
        <w:rPr>
          <w:rFonts w:hint="eastAsia" w:ascii="宋体" w:hAnsi="宋体"/>
          <w:sz w:val="24"/>
          <w:szCs w:val="24"/>
        </w:rPr>
        <w:t xml:space="preserve">1.产品交付前，乙方应对产品进行全面自检，符合甲方要求的交付条件后，由乙方发起验收申请，甲方评估后组织验收。</w:t>
      </w:r>
      <w:r>
        <w:rPr>
          <w:rFonts w:ascii="宋体" w:hAnsi="宋体"/>
          <w:sz w:val="24"/>
          <w:szCs w:val="24"/>
        </w:rPr>
      </w:r>
      <w:r/>
    </w:p>
    <w:p>
      <w:pPr>
        <w:pStyle w:val="971"/>
        <w:ind w:firstLine="480"/>
        <w:spacing w:line="480" w:lineRule="atLeast"/>
        <w:rPr>
          <w:rFonts w:ascii="宋体" w:hAnsi="宋体"/>
          <w:sz w:val="24"/>
          <w:szCs w:val="24"/>
        </w:rPr>
      </w:pPr>
      <w:r>
        <w:rPr>
          <w:rFonts w:hint="eastAsia" w:ascii="宋体" w:hAnsi="宋体"/>
          <w:sz w:val="24"/>
          <w:szCs w:val="24"/>
        </w:rPr>
        <w:t xml:space="preserve">2.在交货时乙方应对所提供的产品出具国家标准规定的产品合格证或国家认可的行业标准规定的产品合格证。</w:t>
      </w:r>
      <w:r>
        <w:rPr>
          <w:rFonts w:ascii="宋体" w:hAnsi="宋体"/>
          <w:sz w:val="24"/>
          <w:szCs w:val="24"/>
        </w:rPr>
      </w:r>
      <w:r/>
    </w:p>
    <w:p>
      <w:pPr>
        <w:pStyle w:val="971"/>
        <w:ind w:firstLine="480"/>
        <w:spacing w:line="480" w:lineRule="atLeast"/>
        <w:rPr>
          <w:rFonts w:ascii="宋体" w:hAnsi="宋体"/>
          <w:sz w:val="24"/>
          <w:szCs w:val="24"/>
        </w:rPr>
      </w:pPr>
      <w:r>
        <w:rPr>
          <w:rFonts w:hint="eastAsia" w:ascii="宋体" w:hAnsi="宋体"/>
          <w:sz w:val="24"/>
          <w:szCs w:val="24"/>
        </w:rPr>
        <w:t xml:space="preserve">3.甲方在交货前有权对乙方提供的产品、技术、服务提出异议，并采取相关措施确保质量合格。</w:t>
      </w:r>
      <w:r>
        <w:rPr>
          <w:rFonts w:ascii="宋体" w:hAnsi="宋体"/>
          <w:sz w:val="24"/>
          <w:szCs w:val="24"/>
        </w:rPr>
      </w:r>
      <w:r/>
    </w:p>
    <w:p>
      <w:pPr>
        <w:pStyle w:val="971"/>
        <w:ind w:firstLine="480"/>
        <w:spacing w:line="480" w:lineRule="atLeast"/>
        <w:rPr>
          <w:rFonts w:ascii="宋体" w:hAnsi="宋体"/>
          <w:sz w:val="24"/>
          <w:szCs w:val="24"/>
        </w:rPr>
      </w:pPr>
      <w:r>
        <w:rPr>
          <w:rFonts w:hint="eastAsia" w:ascii="宋体" w:hAnsi="宋体"/>
          <w:sz w:val="24"/>
          <w:szCs w:val="24"/>
        </w:rPr>
        <w:t xml:space="preserve">4.具体组织程序、验收标准和方法，按需求方规定程序执行，乙方配合。</w:t>
      </w:r>
      <w:r>
        <w:rPr>
          <w:rFonts w:ascii="宋体" w:hAnsi="宋体"/>
          <w:sz w:val="24"/>
          <w:szCs w:val="24"/>
        </w:rPr>
      </w:r>
      <w:r/>
    </w:p>
    <w:p>
      <w:pPr>
        <w:pStyle w:val="971"/>
        <w:ind w:firstLine="480"/>
        <w:spacing w:line="480" w:lineRule="atLeast"/>
        <w:rPr>
          <w:rFonts w:ascii="宋体" w:hAnsi="宋体"/>
          <w:sz w:val="24"/>
          <w:szCs w:val="24"/>
        </w:rPr>
      </w:pPr>
      <w:r>
        <w:rPr>
          <w:rFonts w:hint="eastAsia" w:ascii="宋体" w:hAnsi="宋体"/>
          <w:sz w:val="24"/>
          <w:szCs w:val="24"/>
        </w:rPr>
        <w:t xml:space="preserve">5.产品验收不合格，需求方、甲方有权拒收和解除采购合同，由此造成的损失，由中标供应商承担。验收过程中，中标供应商可有1次整改机会，若未通过，甲方有权解除合同并追回已支付款项。</w:t>
      </w:r>
      <w:r>
        <w:rPr>
          <w:rFonts w:ascii="宋体" w:hAnsi="宋体"/>
          <w:sz w:val="24"/>
          <w:szCs w:val="24"/>
        </w:rPr>
      </w:r>
      <w:r/>
    </w:p>
    <w:p>
      <w:pPr>
        <w:pStyle w:val="971"/>
        <w:ind w:firstLine="480"/>
        <w:spacing w:line="480" w:lineRule="atLeast"/>
        <w:rPr>
          <w:rFonts w:ascii="宋体" w:hAnsi="宋体"/>
          <w:sz w:val="24"/>
          <w:szCs w:val="24"/>
        </w:rPr>
      </w:pPr>
      <w:r>
        <w:rPr>
          <w:rFonts w:hint="eastAsia" w:ascii="宋体" w:hAnsi="宋体"/>
          <w:sz w:val="24"/>
          <w:szCs w:val="24"/>
        </w:rPr>
        <w:t xml:space="preserve">6.使用方在产品使用过程中，发现产品性能指标未达到要求的，中标供应商按照需求方明确的整改期限（不超过1个月），可有1次整改机会，在规定期限内未整改完毕的，由此造成的损失，由中标供应商承担。</w:t>
      </w:r>
      <w:r>
        <w:rPr>
          <w:rFonts w:ascii="宋体" w:hAnsi="宋体"/>
          <w:sz w:val="24"/>
          <w:szCs w:val="24"/>
        </w:rPr>
      </w:r>
      <w:r/>
    </w:p>
    <w:p>
      <w:pPr>
        <w:pStyle w:val="971"/>
        <w:ind w:firstLine="480"/>
        <w:spacing w:line="480" w:lineRule="atLeast"/>
        <w:rPr>
          <w:rFonts w:ascii="宋体" w:hAnsi="宋体"/>
          <w:sz w:val="24"/>
          <w:szCs w:val="24"/>
        </w:rPr>
      </w:pPr>
      <w:r>
        <w:rPr>
          <w:rFonts w:hint="eastAsia" w:ascii="宋体" w:hAnsi="宋体"/>
          <w:sz w:val="24"/>
          <w:szCs w:val="24"/>
        </w:rPr>
        <w:t xml:space="preserve">7.项目验收前，乙方须培训甲方至少1名工程师和需求部门管理人员。</w:t>
      </w:r>
      <w:r>
        <w:rPr>
          <w:rFonts w:ascii="宋体" w:hAnsi="宋体"/>
          <w:sz w:val="24"/>
          <w:szCs w:val="24"/>
        </w:rPr>
      </w:r>
      <w:r/>
    </w:p>
    <w:p>
      <w:pPr>
        <w:pStyle w:val="971"/>
        <w:numPr>
          <w:ilvl w:val="0"/>
          <w:numId w:val="42"/>
        </w:numPr>
        <w:spacing w:line="480" w:lineRule="exact"/>
        <w:rPr>
          <w:rFonts w:ascii="宋体" w:hAnsi="宋体"/>
          <w:b/>
          <w:bCs/>
          <w:color w:val="000000"/>
          <w:sz w:val="24"/>
          <w:szCs w:val="24"/>
        </w:rPr>
      </w:pPr>
      <w:r>
        <w:rPr>
          <w:rFonts w:hint="eastAsia" w:ascii="宋体" w:hAnsi="宋体"/>
          <w:b/>
          <w:bCs/>
          <w:color w:val="000000"/>
          <w:sz w:val="24"/>
          <w:szCs w:val="24"/>
        </w:rPr>
        <w:t xml:space="preserve">知识产权要求</w:t>
      </w:r>
      <w:r>
        <w:rPr>
          <w:rFonts w:ascii="宋体" w:hAnsi="宋体"/>
          <w:b/>
          <w:bCs/>
          <w:color w:val="000000"/>
          <w:sz w:val="24"/>
          <w:szCs w:val="24"/>
        </w:rPr>
      </w:r>
      <w:r/>
    </w:p>
    <w:p>
      <w:pPr>
        <w:pStyle w:val="971"/>
        <w:ind w:firstLine="480"/>
        <w:spacing w:line="480" w:lineRule="atLeast"/>
        <w:rPr>
          <w:rFonts w:ascii="宋体" w:hAnsi="宋体"/>
          <w:i/>
          <w:iCs/>
          <w:sz w:val="24"/>
          <w:szCs w:val="24"/>
          <w:u w:val="single"/>
        </w:rPr>
      </w:pPr>
      <w:r>
        <w:rPr>
          <w:rFonts w:hint="eastAsia" w:ascii="宋体" w:hAnsi="宋体"/>
          <w:i/>
          <w:iCs/>
          <w:sz w:val="24"/>
          <w:szCs w:val="24"/>
          <w:u w:val="single"/>
        </w:rPr>
        <w:t xml:space="preserve">投标供应商应保证使用方在使用该产品或其任何一部分时，不受第三方提出侵犯其专利权、商标权和工业设计权的起诉，建设单位不承担任何连</w:t>
      </w:r>
      <w:r>
        <w:rPr>
          <w:rFonts w:hint="eastAsia" w:ascii="宋体" w:hAnsi="宋体"/>
          <w:i/>
          <w:iCs/>
          <w:sz w:val="24"/>
          <w:szCs w:val="24"/>
          <w:u w:val="single"/>
        </w:rPr>
        <w:t xml:space="preserve">带责任和赔偿责任。</w:t>
      </w:r>
      <w:r>
        <w:rPr>
          <w:rFonts w:ascii="宋体" w:hAnsi="宋体"/>
          <w:i/>
          <w:iCs/>
          <w:sz w:val="24"/>
          <w:szCs w:val="24"/>
          <w:u w:val="single"/>
        </w:rPr>
      </w:r>
      <w:r/>
    </w:p>
    <w:p>
      <w:pPr>
        <w:pStyle w:val="971"/>
        <w:numPr>
          <w:ilvl w:val="0"/>
          <w:numId w:val="42"/>
        </w:numPr>
        <w:spacing w:line="480" w:lineRule="exact"/>
        <w:rPr>
          <w:rFonts w:ascii="宋体" w:hAnsi="宋体"/>
          <w:b/>
          <w:bCs/>
          <w:color w:val="000000"/>
          <w:sz w:val="24"/>
          <w:szCs w:val="24"/>
        </w:rPr>
      </w:pPr>
      <w:r>
        <w:rPr>
          <w:rFonts w:hint="eastAsia" w:ascii="宋体" w:hAnsi="宋体"/>
          <w:b/>
          <w:bCs/>
          <w:color w:val="000000"/>
          <w:sz w:val="24"/>
          <w:szCs w:val="24"/>
        </w:rPr>
        <w:t xml:space="preserve">保密要求</w:t>
      </w:r>
      <w:r>
        <w:rPr>
          <w:rFonts w:ascii="宋体" w:hAnsi="宋体"/>
          <w:b/>
          <w:bCs/>
          <w:color w:val="000000"/>
          <w:sz w:val="24"/>
          <w:szCs w:val="24"/>
        </w:rPr>
      </w:r>
      <w:r/>
    </w:p>
    <w:p>
      <w:pPr>
        <w:pStyle w:val="971"/>
        <w:ind w:firstLine="480"/>
        <w:spacing w:line="480" w:lineRule="atLeast"/>
        <w:rPr>
          <w:rFonts w:hint="eastAsia" w:ascii="宋体" w:hAnsi="宋体"/>
          <w:i/>
          <w:iCs/>
          <w:sz w:val="24"/>
          <w:szCs w:val="24"/>
          <w:u w:val="single"/>
        </w:rPr>
      </w:pPr>
      <w:r>
        <w:rPr>
          <w:rFonts w:hint="eastAsia" w:ascii="宋体" w:hAnsi="宋体"/>
          <w:i/>
          <w:iCs/>
          <w:sz w:val="24"/>
          <w:szCs w:val="24"/>
          <w:u w:val="single"/>
        </w:rPr>
        <w:t xml:space="preserve">投标供应商不得向第三方泄露采购机构提供的技术文件等资料。</w:t>
      </w:r>
      <w:bookmarkStart w:id="193" w:name="_Toc120614281"/>
      <w:r>
        <w:rPr>
          <w:rFonts w:hint="eastAsia" w:ascii="宋体" w:hAnsi="宋体"/>
          <w:i/>
          <w:iCs/>
          <w:sz w:val="24"/>
          <w:szCs w:val="24"/>
          <w:u w:val="single"/>
        </w:rPr>
      </w:r>
      <w:r/>
    </w:p>
    <w:p>
      <w:pPr>
        <w:ind w:firstLine="480"/>
        <w:spacing w:line="480" w:lineRule="atLeast"/>
        <w:rPr>
          <w:rFonts w:hint="eastAsia" w:ascii="宋体" w:hAnsi="宋体"/>
          <w:bCs/>
          <w:i/>
          <w:sz w:val="24"/>
          <w:szCs w:val="24"/>
          <w:u w:val="single"/>
        </w:rPr>
      </w:pPr>
      <w:r>
        <w:rPr>
          <w:rFonts w:hint="eastAsia" w:ascii="宋体" w:hAnsi="宋体"/>
          <w:i/>
          <w:iCs/>
          <w:sz w:val="24"/>
          <w:szCs w:val="24"/>
          <w:u w:val="single"/>
        </w:rPr>
      </w:r>
      <w:r>
        <w:rPr>
          <w:rFonts w:hint="eastAsia" w:ascii="宋体" w:hAnsi="宋体"/>
          <w:i/>
          <w:iCs/>
          <w:sz w:val="24"/>
          <w:szCs w:val="24"/>
          <w:u w:val="single"/>
        </w:rPr>
      </w:r>
      <w:r/>
    </w:p>
    <w:p>
      <w:pPr>
        <w:ind w:firstLine="480"/>
        <w:spacing w:line="480" w:lineRule="atLeast"/>
        <w:rPr>
          <w:rFonts w:hint="eastAsia" w:ascii="宋体" w:hAnsi="宋体"/>
          <w:bCs/>
          <w:i/>
          <w:sz w:val="24"/>
          <w:szCs w:val="24"/>
          <w:u w:val="single"/>
        </w:rPr>
      </w:pPr>
      <w:r>
        <w:rPr>
          <w:rFonts w:hint="eastAsia" w:ascii="宋体" w:hAnsi="宋体"/>
          <w:i/>
          <w:iCs/>
          <w:sz w:val="24"/>
          <w:szCs w:val="24"/>
          <w:u w:val="single"/>
        </w:rPr>
      </w:r>
      <w:r>
        <w:rPr>
          <w:rFonts w:hint="eastAsia" w:ascii="宋体" w:hAnsi="宋体"/>
          <w:i/>
          <w:iCs/>
          <w:sz w:val="24"/>
          <w:szCs w:val="24"/>
          <w:u w:val="single"/>
        </w:rPr>
      </w:r>
      <w:r/>
    </w:p>
    <w:p>
      <w:pPr>
        <w:ind w:firstLine="480"/>
        <w:spacing w:line="480" w:lineRule="atLeast"/>
        <w:rPr>
          <w:rFonts w:hint="eastAsia" w:ascii="宋体" w:hAnsi="宋体"/>
          <w:bCs/>
          <w:i/>
          <w:sz w:val="24"/>
          <w:szCs w:val="24"/>
          <w:u w:val="single"/>
        </w:rPr>
      </w:pPr>
      <w:r>
        <w:rPr>
          <w:rFonts w:hint="eastAsia" w:ascii="宋体" w:hAnsi="宋体"/>
          <w:i/>
          <w:iCs/>
          <w:sz w:val="24"/>
          <w:szCs w:val="24"/>
          <w:u w:val="single"/>
        </w:rPr>
      </w:r>
      <w:r>
        <w:rPr>
          <w:rFonts w:hint="eastAsia" w:ascii="宋体" w:hAnsi="宋体"/>
          <w:i/>
          <w:iCs/>
          <w:sz w:val="24"/>
          <w:szCs w:val="24"/>
          <w:u w:val="single"/>
        </w:rPr>
      </w:r>
      <w:r/>
    </w:p>
    <w:p>
      <w:pPr>
        <w:ind w:firstLine="480"/>
        <w:spacing w:line="480" w:lineRule="atLeast"/>
        <w:rPr>
          <w:rFonts w:hint="eastAsia" w:ascii="宋体" w:hAnsi="宋体"/>
          <w:bCs/>
          <w:i/>
          <w:sz w:val="24"/>
          <w:szCs w:val="24"/>
          <w:u w:val="single"/>
        </w:rPr>
      </w:pPr>
      <w:r>
        <w:rPr>
          <w:rFonts w:hint="eastAsia" w:ascii="宋体" w:hAnsi="宋体"/>
          <w:i/>
          <w:iCs/>
          <w:sz w:val="24"/>
          <w:szCs w:val="24"/>
          <w:u w:val="single"/>
        </w:rPr>
      </w:r>
      <w:r>
        <w:rPr>
          <w:rFonts w:hint="eastAsia" w:ascii="宋体" w:hAnsi="宋体"/>
          <w:i/>
          <w:iCs/>
          <w:sz w:val="24"/>
          <w:szCs w:val="24"/>
          <w:u w:val="single"/>
        </w:rPr>
      </w:r>
      <w:r/>
    </w:p>
    <w:p>
      <w:pPr>
        <w:ind w:firstLine="480"/>
        <w:spacing w:line="480" w:lineRule="atLeast"/>
        <w:rPr>
          <w:rFonts w:hint="eastAsia" w:ascii="宋体" w:hAnsi="宋体"/>
          <w:bCs/>
          <w:i/>
          <w:sz w:val="24"/>
          <w:szCs w:val="24"/>
          <w:u w:val="single"/>
        </w:rPr>
      </w:pPr>
      <w:r>
        <w:rPr>
          <w:rFonts w:hint="eastAsia" w:ascii="宋体" w:hAnsi="宋体"/>
          <w:i/>
          <w:iCs/>
          <w:sz w:val="24"/>
          <w:szCs w:val="24"/>
          <w:u w:val="single"/>
        </w:rPr>
      </w:r>
      <w:r>
        <w:rPr>
          <w:rFonts w:hint="eastAsia" w:ascii="宋体" w:hAnsi="宋体"/>
          <w:i/>
          <w:iCs/>
          <w:sz w:val="24"/>
          <w:szCs w:val="24"/>
          <w:u w:val="single"/>
        </w:rPr>
      </w:r>
      <w:r/>
    </w:p>
    <w:p>
      <w:pPr>
        <w:ind w:firstLine="480"/>
        <w:spacing w:line="480" w:lineRule="atLeast"/>
        <w:rPr>
          <w:rFonts w:hint="eastAsia" w:ascii="宋体" w:hAnsi="宋体"/>
          <w:bCs/>
          <w:i/>
          <w:sz w:val="24"/>
          <w:szCs w:val="24"/>
          <w:u w:val="single"/>
        </w:rPr>
      </w:pPr>
      <w:r>
        <w:rPr>
          <w:rFonts w:hint="eastAsia" w:ascii="宋体" w:hAnsi="宋体"/>
          <w:i/>
          <w:iCs/>
          <w:sz w:val="24"/>
          <w:szCs w:val="24"/>
          <w:u w:val="single"/>
        </w:rPr>
      </w:r>
      <w:r>
        <w:rPr>
          <w:rFonts w:hint="eastAsia" w:ascii="宋体" w:hAnsi="宋体"/>
          <w:i/>
          <w:iCs/>
          <w:sz w:val="24"/>
          <w:szCs w:val="24"/>
          <w:u w:val="single"/>
        </w:rPr>
      </w:r>
      <w:r/>
    </w:p>
    <w:p>
      <w:pPr>
        <w:ind w:firstLine="480"/>
        <w:spacing w:line="480" w:lineRule="atLeast"/>
        <w:rPr>
          <w:rFonts w:hint="eastAsia" w:ascii="宋体" w:hAnsi="宋体"/>
          <w:bCs/>
          <w:i/>
          <w:sz w:val="24"/>
          <w:szCs w:val="24"/>
          <w:u w:val="single"/>
        </w:rPr>
      </w:pPr>
      <w:r>
        <w:rPr>
          <w:rFonts w:hint="eastAsia" w:ascii="宋体" w:hAnsi="宋体"/>
          <w:i/>
          <w:iCs/>
          <w:sz w:val="24"/>
          <w:szCs w:val="24"/>
          <w:u w:val="single"/>
        </w:rPr>
      </w:r>
      <w:r>
        <w:rPr>
          <w:rFonts w:hint="eastAsia" w:ascii="宋体" w:hAnsi="宋体"/>
          <w:i/>
          <w:iCs/>
          <w:sz w:val="24"/>
          <w:szCs w:val="24"/>
          <w:u w:val="single"/>
        </w:rPr>
      </w:r>
      <w:r/>
    </w:p>
    <w:p>
      <w:pPr>
        <w:pStyle w:val="971"/>
        <w:ind w:firstLine="480"/>
        <w:spacing w:line="480" w:lineRule="atLeast"/>
        <w:rPr>
          <w:rFonts w:hint="eastAsia" w:ascii="宋体" w:hAnsi="宋体"/>
          <w:i/>
          <w:iCs/>
          <w:sz w:val="24"/>
          <w:szCs w:val="24"/>
          <w:u w:val="single"/>
        </w:rPr>
      </w:pPr>
      <w:r>
        <w:rPr>
          <w:rFonts w:hint="eastAsia" w:ascii="宋体" w:hAnsi="宋体"/>
          <w:i/>
          <w:iCs/>
          <w:sz w:val="24"/>
          <w:szCs w:val="24"/>
          <w:u w:val="single"/>
        </w:rPr>
      </w:r>
      <w:r/>
    </w:p>
    <w:p>
      <w:pPr>
        <w:pStyle w:val="97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71"/>
        <w:rPr>
          <w:rFonts w:hint="eastAsia"/>
        </w:rPr>
      </w:pPr>
      <w:r>
        <w:rPr>
          <w:rFonts w:hint="eastAsia"/>
        </w:rPr>
      </w:r>
      <w:r/>
    </w:p>
    <w:p>
      <w:pPr>
        <w:pStyle w:val="1058"/>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71"/>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971"/>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971"/>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971"/>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971"/>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971"/>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1058"/>
        <w:ind w:firstLine="482"/>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58"/>
        <w:spacing w:line="0" w:lineRule="atLeast"/>
        <w:rPr>
          <w:rFonts w:hint="eastAsia" w:ascii="宋体" w:hAnsi="宋体"/>
        </w:rPr>
      </w:pPr>
      <w:r>
        <w:rPr>
          <w:rFonts w:hint="eastAsia" w:ascii="宋体" w:hAnsi="宋体"/>
        </w:rPr>
        <w:t xml:space="preserve">1、小微型企业价格扣除</w:t>
      </w:r>
      <w:r/>
    </w:p>
    <w:p>
      <w:pPr>
        <w:pStyle w:val="105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1058"/>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1058"/>
        <w:spacing w:line="0" w:lineRule="atLeast"/>
        <w:rPr>
          <w:rFonts w:hint="eastAsia" w:ascii="宋体" w:hAnsi="宋体"/>
        </w:rPr>
      </w:pPr>
      <w:r>
        <w:rPr>
          <w:rFonts w:hint="eastAsia" w:ascii="宋体" w:hAnsi="宋体"/>
        </w:rPr>
        <w:t xml:space="preserve">2、残疾人福利单位价格扣除</w:t>
      </w:r>
      <w:r/>
    </w:p>
    <w:p>
      <w:pPr>
        <w:pStyle w:val="105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5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5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58"/>
        <w:spacing w:line="0" w:lineRule="atLeast"/>
        <w:rPr>
          <w:rFonts w:hint="eastAsia" w:ascii="宋体" w:hAnsi="宋体"/>
        </w:rPr>
      </w:pPr>
      <w:r>
        <w:rPr>
          <w:rFonts w:hint="eastAsia" w:ascii="宋体" w:hAnsi="宋体"/>
        </w:rPr>
        <w:t xml:space="preserve">3、监狱和戒毒企业价格扣除</w:t>
      </w:r>
      <w:r/>
    </w:p>
    <w:p>
      <w:pPr>
        <w:pStyle w:val="105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5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5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5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58"/>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105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1058"/>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971"/>
        <w:ind w:left="150"/>
        <w:keepLines/>
        <w:keepNext/>
        <w:spacing w:after="160" w:line="360" w:lineRule="auto"/>
        <w:rPr>
          <w:rFonts w:ascii="宋体" w:hAnsi="宋体" w:cs="宋体"/>
          <w:b/>
          <w:bCs/>
          <w:sz w:val="24"/>
          <w:szCs w:val="24"/>
        </w:rPr>
        <w:outlineLvl w:val="1"/>
      </w:pPr>
      <w:r/>
      <w:bookmarkStart w:id="194" w:name="_Toc169700852"/>
      <w:r/>
      <w:bookmarkStart w:id="195" w:name="_Hlk162472265"/>
      <w:r>
        <w:rPr>
          <w:rFonts w:hint="eastAsia" w:ascii="宋体" w:hAnsi="宋体" w:cs="宋体"/>
          <w:b/>
          <w:bCs/>
          <w:sz w:val="24"/>
          <w:szCs w:val="24"/>
        </w:rPr>
        <w:t xml:space="preserve">1、价格部分（10分）</w:t>
      </w:r>
      <w:bookmarkEnd w:id="194"/>
      <w:r>
        <w:rPr>
          <w:rFonts w:ascii="宋体" w:hAnsi="宋体" w:cs="宋体"/>
          <w:b/>
          <w:bCs/>
          <w:sz w:val="24"/>
          <w:szCs w:val="24"/>
        </w:rPr>
      </w:r>
      <w:r/>
    </w:p>
    <w:tbl>
      <w:tblPr>
        <w:tblW w:w="91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1125"/>
        <w:gridCol w:w="6696"/>
      </w:tblGrid>
      <w:tr>
        <w:trPr/>
        <w:tc>
          <w:tcPr>
            <w:tcW w:w="135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评分内容</w:t>
            </w:r>
            <w:r>
              <w:rPr>
                <w:rFonts w:ascii="宋体" w:hAnsi="宋体" w:cs="宋体"/>
                <w:sz w:val="24"/>
                <w:szCs w:val="24"/>
              </w:rPr>
            </w:r>
            <w:r/>
          </w:p>
        </w:tc>
        <w:tc>
          <w:tcPr>
            <w:tcW w:w="1125"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6696"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tc>
          <w:tcPr>
            <w:tcW w:w="135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投标报价</w:t>
            </w:r>
            <w:r>
              <w:rPr>
                <w:rFonts w:ascii="宋体" w:hAnsi="宋体" w:cs="宋体"/>
                <w:sz w:val="24"/>
                <w:szCs w:val="24"/>
              </w:rPr>
            </w:r>
            <w:r/>
          </w:p>
        </w:tc>
        <w:tc>
          <w:tcPr>
            <w:tcW w:w="1125"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6696"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10（小数点保留两位）</w:t>
            </w:r>
            <w:r>
              <w:rPr>
                <w:rFonts w:ascii="宋体" w:hAnsi="宋体" w:cs="宋体"/>
                <w:sz w:val="24"/>
                <w:szCs w:val="24"/>
              </w:rPr>
            </w:r>
            <w:r/>
          </w:p>
        </w:tc>
      </w:tr>
    </w:tbl>
    <w:p>
      <w:pPr>
        <w:pStyle w:val="971"/>
        <w:keepLines/>
        <w:keepNext/>
        <w:spacing w:after="160" w:line="360" w:lineRule="auto"/>
        <w:rPr>
          <w:rFonts w:ascii="宋体" w:hAnsi="宋体" w:cs="宋体"/>
          <w:b/>
          <w:bCs/>
          <w:sz w:val="24"/>
          <w:szCs w:val="24"/>
        </w:rPr>
        <w:outlineLvl w:val="1"/>
      </w:pPr>
      <w:r/>
      <w:bookmarkStart w:id="196" w:name="_Toc169700854"/>
      <w:r>
        <w:rPr>
          <w:rFonts w:hint="eastAsia" w:ascii="宋体" w:hAnsi="宋体" w:cs="宋体"/>
          <w:b/>
          <w:bCs/>
          <w:color w:val="000000"/>
          <w:sz w:val="24"/>
          <w:szCs w:val="24"/>
        </w:rPr>
        <w:t xml:space="preserve">2.</w:t>
      </w:r>
      <w:r>
        <w:rPr>
          <w:rFonts w:hint="eastAsia" w:ascii="宋体" w:hAnsi="宋体" w:cs="宋体"/>
          <w:b/>
          <w:bCs/>
          <w:sz w:val="24"/>
          <w:szCs w:val="24"/>
        </w:rPr>
        <w:t xml:space="preserve">技术部分（67分）</w:t>
      </w:r>
      <w:bookmarkEnd w:id="196"/>
      <w:r>
        <w:rPr>
          <w:rFonts w:ascii="宋体" w:hAnsi="宋体" w:cs="宋体"/>
          <w:b/>
          <w:bCs/>
          <w:sz w:val="24"/>
          <w:szCs w:val="24"/>
        </w:rPr>
      </w:r>
      <w:r/>
    </w:p>
    <w:tbl>
      <w:tblPr>
        <w:tblW w:w="90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992"/>
        <w:gridCol w:w="6823"/>
      </w:tblGrid>
      <w:tr>
        <w:trPr>
          <w:trHeight w:val="455"/>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评分内容</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6823"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trHeight w:val="90"/>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2.1技术指标响应</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r>
            <w:r/>
          </w:p>
        </w:tc>
        <w:tc>
          <w:tcPr>
            <w:tcW w:w="6823"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color w:val="000000"/>
                <w:sz w:val="24"/>
                <w:szCs w:val="24"/>
              </w:rPr>
              <w:t xml:space="preserve">招标文件第四章采购需求中“二、技术要求”</w:t>
            </w:r>
            <w:r>
              <w:rPr>
                <w:rFonts w:hint="eastAsia" w:ascii="宋体" w:hAnsi="宋体" w:cs="宋体"/>
                <w:color w:val="000000"/>
                <w:sz w:val="24"/>
                <w:szCs w:val="24"/>
              </w:rPr>
              <w:t xml:space="preserve">中打“▲”号条款为重要技术条款，</w:t>
            </w:r>
            <w:r>
              <w:rPr>
                <w:rFonts w:hint="eastAsia" w:ascii="宋体" w:hAnsi="宋体" w:cs="宋体"/>
                <w:sz w:val="24"/>
                <w:szCs w:val="24"/>
              </w:rPr>
              <w:t xml:space="preserve">投标人需提供相关</w:t>
            </w:r>
            <w:r>
              <w:rPr>
                <w:rFonts w:hint="eastAsia" w:ascii="宋体" w:hAnsi="宋体" w:cs="宋体"/>
                <w:sz w:val="24"/>
                <w:szCs w:val="24"/>
              </w:rPr>
              <w:t xml:space="preserve">系统功能截图证明，其余为常规技术条款。投标人未完全满足的，每一项常规技术条款扣0.2分，重要技术条款扣0.6分。本项总分32分，根据投标人响应情况进行扣分</w:t>
            </w:r>
            <w:r>
              <w:rPr>
                <w:rFonts w:hint="eastAsia" w:ascii="宋体" w:hAnsi="宋体" w:cs="宋体"/>
                <w:sz w:val="24"/>
                <w:szCs w:val="24"/>
              </w:rPr>
              <w:t xml:space="preserve">。</w:t>
            </w:r>
            <w:r>
              <w:rPr>
                <w:rFonts w:ascii="宋体" w:hAnsi="宋体" w:cs="宋体"/>
                <w:sz w:val="24"/>
                <w:szCs w:val="24"/>
              </w:rPr>
            </w:r>
            <w:r/>
          </w:p>
        </w:tc>
      </w:tr>
      <w:tr>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2.2项目实施方案</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6823"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投标人根据招标文件要求提供总体实施方案，投标人提供的方案优于招标文件要求的</w:t>
            </w:r>
            <w:r>
              <w:rPr>
                <w:rFonts w:hint="eastAsia" w:ascii="宋体" w:hAnsi="宋体" w:cs="宋体"/>
                <w:sz w:val="24"/>
                <w:szCs w:val="24"/>
              </w:rPr>
              <w:t xml:space="preserve">得</w:t>
            </w:r>
            <w:r>
              <w:rPr>
                <w:rFonts w:hint="eastAsia" w:ascii="宋体" w:hAnsi="宋体" w:cs="宋体"/>
                <w:sz w:val="24"/>
                <w:szCs w:val="24"/>
              </w:rPr>
              <w:t xml:space="preserve">5</w:t>
            </w:r>
            <w:r>
              <w:rPr>
                <w:rFonts w:hint="eastAsia" w:ascii="宋体" w:hAnsi="宋体" w:cs="宋体"/>
                <w:sz w:val="24"/>
                <w:szCs w:val="24"/>
              </w:rPr>
              <w:t xml:space="preserve">分，符合招标文件要求的得</w:t>
            </w:r>
            <w:r>
              <w:rPr>
                <w:rFonts w:hint="eastAsia" w:ascii="宋体" w:hAnsi="宋体" w:cs="宋体"/>
                <w:sz w:val="24"/>
                <w:szCs w:val="24"/>
              </w:rPr>
              <w:t xml:space="preserve">3</w:t>
            </w:r>
            <w:r>
              <w:rPr>
                <w:rFonts w:hint="eastAsia" w:ascii="宋体" w:hAnsi="宋体" w:cs="宋体"/>
                <w:sz w:val="24"/>
                <w:szCs w:val="24"/>
              </w:rPr>
              <w:t xml:space="preserve">分，不</w:t>
            </w:r>
            <w:r>
              <w:rPr>
                <w:rFonts w:hint="eastAsia" w:ascii="宋体" w:hAnsi="宋体" w:cs="宋体"/>
                <w:sz w:val="24"/>
                <w:szCs w:val="24"/>
              </w:rPr>
              <w:t xml:space="preserve">符合或不提供不得分。</w:t>
            </w:r>
            <w:r>
              <w:rPr>
                <w:rFonts w:ascii="宋体" w:hAnsi="宋体" w:cs="宋体"/>
                <w:sz w:val="24"/>
                <w:szCs w:val="24"/>
              </w:rPr>
            </w:r>
            <w:r/>
          </w:p>
        </w:tc>
      </w:tr>
      <w:tr>
        <w:trPr>
          <w:trHeight w:val="482"/>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2.3质量管理方案</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6823"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投标人根据招标文件要求提供质量管理方案，投标人提供的方案优于招标文件要求的得5分，符合招标文件要求的得3分，不符合或不提供不得分。</w:t>
            </w:r>
            <w:r>
              <w:rPr>
                <w:rFonts w:ascii="宋体" w:hAnsi="宋体" w:cs="宋体"/>
                <w:sz w:val="24"/>
                <w:szCs w:val="24"/>
              </w:rPr>
            </w:r>
            <w:r/>
          </w:p>
        </w:tc>
      </w:tr>
      <w:tr>
        <w:trPr>
          <w:trHeight w:val="482"/>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2.4测试管理方案</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6823"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投标人根据招标文件要求提供测试管理方案，投标人提供的方案优于招标文件要求的得5分，符合招标文件要求的得3分，不符合或不提供不得分。</w:t>
            </w:r>
            <w:r>
              <w:rPr>
                <w:rFonts w:ascii="宋体" w:hAnsi="宋体" w:cs="宋体"/>
                <w:sz w:val="24"/>
                <w:szCs w:val="24"/>
              </w:rPr>
            </w:r>
            <w:r/>
          </w:p>
        </w:tc>
      </w:tr>
      <w:tr>
        <w:trPr>
          <w:trHeight w:val="482"/>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2.5项目培训管理方案</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6823"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投标人根据招标文件要求提供培训方案，投标人提供的方案优于招标文件要求的得5分，符合招标文件要求的得3分，不符合或不提供不得分。</w:t>
            </w:r>
            <w:r>
              <w:rPr>
                <w:rFonts w:ascii="宋体" w:hAnsi="宋体" w:cs="宋体"/>
                <w:sz w:val="24"/>
                <w:szCs w:val="24"/>
              </w:rPr>
            </w:r>
            <w:r/>
          </w:p>
        </w:tc>
      </w:tr>
      <w:tr>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2.6售后管理方案</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6823"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投标人根据招标文件要求提供售后服务方案，投标人提供的方案优于招标文件要求的得5分，符合招标文件要求的得3分，不符合或不提供不得分。</w:t>
            </w:r>
            <w:r>
              <w:rPr>
                <w:rFonts w:ascii="宋体" w:hAnsi="宋体" w:cs="宋体"/>
                <w:sz w:val="24"/>
                <w:szCs w:val="24"/>
              </w:rPr>
            </w:r>
            <w:r/>
          </w:p>
        </w:tc>
      </w:tr>
      <w:tr>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2.7系统演示</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6823" w:type="dxa"/>
            <w:vAlign w:val="center"/>
            <w:textDirection w:val="lrTb"/>
            <w:noWrap w:val="false"/>
          </w:tcPr>
          <w:p>
            <w:pPr>
              <w:pStyle w:val="971"/>
              <w:spacing w:after="160" w:line="278" w:lineRule="auto"/>
              <w:rPr>
                <w:rFonts w:ascii="宋体" w:hAnsi="宋体" w:cs="宋体"/>
                <w:b/>
                <w:color w:val="000000"/>
                <w:sz w:val="24"/>
                <w:szCs w:val="24"/>
              </w:rPr>
            </w:pPr>
            <w:r>
              <w:rPr>
                <w:rFonts w:hint="eastAsia" w:ascii="宋体" w:hAnsi="宋体" w:cs="宋体"/>
                <w:b/>
                <w:color w:val="000000"/>
                <w:sz w:val="24"/>
                <w:szCs w:val="24"/>
              </w:rPr>
              <w:t xml:space="preserve">每项功能能够完全满足招标要求得2分，不能完全满足则不得分，演示中的分最高10分。使用真实系统或系统原型演示的最高可得满分，使用ppt、动画等其他形式演示的得分乘以0.5。</w:t>
            </w:r>
            <w:r>
              <w:rPr>
                <w:rFonts w:ascii="宋体" w:hAnsi="宋体" w:cs="宋体"/>
                <w:b/>
                <w:color w:val="000000"/>
                <w:sz w:val="24"/>
                <w:szCs w:val="24"/>
              </w:rPr>
            </w:r>
            <w:r/>
          </w:p>
          <w:p>
            <w:pPr>
              <w:pStyle w:val="971"/>
              <w:spacing w:after="160" w:line="278" w:lineRule="auto"/>
              <w:rPr>
                <w:rFonts w:ascii="宋体" w:hAnsi="宋体" w:cs="宋体"/>
                <w:sz w:val="24"/>
                <w:szCs w:val="24"/>
              </w:rPr>
            </w:pPr>
            <w:r>
              <w:rPr>
                <w:rFonts w:hint="eastAsia" w:ascii="宋体" w:hAnsi="宋体" w:cs="宋体"/>
                <w:sz w:val="24"/>
                <w:szCs w:val="24"/>
              </w:rPr>
              <w:t xml:space="preserve">演示内容如下：</w:t>
            </w:r>
            <w:r>
              <w:rPr>
                <w:rFonts w:ascii="宋体" w:hAnsi="宋体" w:cs="宋体"/>
                <w:sz w:val="24"/>
                <w:szCs w:val="24"/>
              </w:rPr>
            </w:r>
            <w:r/>
          </w:p>
          <w:p>
            <w:pPr>
              <w:pStyle w:val="1063"/>
              <w:ind w:left="0"/>
              <w:spacing w:after="160" w:line="278" w:lineRule="auto"/>
              <w:rPr>
                <w:rFonts w:hint="eastAsia" w:ascii="宋体" w:hAnsi="宋体" w:cs="宋体"/>
                <w:color w:val="000000"/>
                <w:lang w:eastAsia="zh-CN"/>
              </w:rPr>
            </w:pPr>
            <w:r>
              <w:rPr>
                <w:rFonts w:hint="eastAsia" w:ascii="宋体" w:hAnsi="宋体" w:cs="宋体"/>
                <w:color w:val="000000"/>
                <w:lang w:eastAsia="zh-CN"/>
              </w:rPr>
              <w:t xml:space="preserve">2.7.1周期建档</w:t>
            </w:r>
            <w:r/>
          </w:p>
          <w:p>
            <w:pPr>
              <w:pStyle w:val="1063"/>
              <w:ind w:left="0"/>
              <w:spacing w:after="160" w:line="278" w:lineRule="auto"/>
              <w:rPr>
                <w:rFonts w:ascii="宋体" w:hAnsi="宋体" w:cs="宋体"/>
                <w:color w:val="000000"/>
                <w:lang w:eastAsia="zh-CN"/>
              </w:rPr>
            </w:pPr>
            <w:r>
              <w:rPr>
                <w:rFonts w:hint="eastAsia" w:ascii="宋体" w:hAnsi="宋体" w:cs="宋体"/>
                <w:color w:val="000000"/>
                <w:lang w:eastAsia="zh-CN"/>
              </w:rPr>
              <w:t xml:space="preserve">患者做ART相关治疗后，可在移动端查看当前所有检查套餐信息及对应项目状态；在外院做的项目可通过手机端进行上传报告；医护人员在院内查看并审核患者上传报告。审核完成后，患者对应套餐信息则会相应更新。</w:t>
            </w:r>
            <w:r>
              <w:rPr>
                <w:rFonts w:ascii="宋体" w:hAnsi="宋体" w:cs="宋体"/>
                <w:color w:val="000000"/>
                <w:lang w:eastAsia="zh-CN"/>
              </w:rPr>
            </w:r>
            <w:r/>
          </w:p>
          <w:p>
            <w:pPr>
              <w:pStyle w:val="1063"/>
              <w:ind w:left="0"/>
              <w:spacing w:after="160" w:line="278" w:lineRule="auto"/>
              <w:rPr>
                <w:rFonts w:hint="eastAsia" w:ascii="宋体" w:hAnsi="宋体" w:cs="宋体"/>
                <w:color w:val="000000"/>
                <w:lang w:eastAsia="zh-CN"/>
              </w:rPr>
            </w:pPr>
            <w:r>
              <w:rPr>
                <w:rFonts w:hint="eastAsia" w:ascii="宋体" w:hAnsi="宋体" w:cs="宋体"/>
                <w:color w:val="000000"/>
                <w:lang w:eastAsia="zh-CN"/>
              </w:rPr>
              <w:t xml:space="preserve">2.7.2注射核对</w:t>
            </w:r>
            <w:r/>
          </w:p>
          <w:p>
            <w:pPr>
              <w:pStyle w:val="1063"/>
              <w:ind w:left="0"/>
              <w:spacing w:after="160" w:line="278" w:lineRule="auto"/>
              <w:rPr>
                <w:rFonts w:ascii="宋体" w:hAnsi="宋体" w:cs="宋体"/>
                <w:color w:val="000000"/>
                <w:lang w:eastAsia="zh-CN"/>
              </w:rPr>
            </w:pPr>
            <w:r>
              <w:rPr>
                <w:rFonts w:hint="eastAsia" w:ascii="宋体" w:hAnsi="宋体" w:cs="宋体"/>
                <w:color w:val="000000"/>
                <w:lang w:eastAsia="zh-CN"/>
              </w:rPr>
              <w:t xml:space="preserve">医生在生殖系统录入医嘱信息后，如患者有院内注射需求，则可通过移动端进行自主报道注射，报道后，患者信息会转入医护人员注射核对平板上，医护人员可按需求进行呼叫并根据平板上显示当日主要药品信息进行核对或执行注射，同时系统校验可执行数量，自动预警；</w:t>
            </w:r>
            <w:r>
              <w:rPr>
                <w:rFonts w:ascii="宋体" w:hAnsi="宋体" w:cs="宋体"/>
                <w:color w:val="000000"/>
                <w:lang w:eastAsia="zh-CN"/>
              </w:rPr>
            </w:r>
            <w:r/>
          </w:p>
          <w:p>
            <w:pPr>
              <w:pStyle w:val="1063"/>
              <w:ind w:left="0"/>
              <w:spacing w:after="160" w:line="278" w:lineRule="auto"/>
              <w:rPr>
                <w:rFonts w:ascii="宋体" w:hAnsi="宋体" w:cs="宋体"/>
                <w:color w:val="000000"/>
                <w:lang w:eastAsia="zh-CN"/>
              </w:rPr>
            </w:pPr>
            <w:r>
              <w:rPr>
                <w:rFonts w:hint="eastAsia" w:ascii="宋体" w:hAnsi="宋体" w:cs="宋体"/>
                <w:color w:val="000000"/>
                <w:lang w:eastAsia="zh-CN"/>
              </w:rPr>
              <w:t xml:space="preserve">2.7.3</w:t>
            </w:r>
            <w:r>
              <w:rPr>
                <w:color w:val="000000"/>
                <w:lang w:eastAsia="zh-CN"/>
              </w:rPr>
              <w:t xml:space="preserve">医生版</w:t>
            </w:r>
            <w:r>
              <w:rPr>
                <w:rFonts w:hint="eastAsia"/>
                <w:color w:val="000000"/>
                <w:lang w:eastAsia="zh-CN"/>
              </w:rPr>
              <w:t xml:space="preserve">移动管理端</w:t>
            </w:r>
            <w:r>
              <w:rPr>
                <w:rFonts w:ascii="宋体" w:hAnsi="宋体" w:cs="宋体"/>
                <w:color w:val="000000"/>
                <w:lang w:eastAsia="zh-CN"/>
              </w:rPr>
            </w:r>
            <w:r/>
          </w:p>
          <w:p>
            <w:pPr>
              <w:pStyle w:val="1063"/>
              <w:ind w:left="0"/>
              <w:jc w:val="both"/>
              <w:spacing w:after="160" w:line="278" w:lineRule="auto"/>
              <w:widowControl w:val="off"/>
              <w:rPr>
                <w:rFonts w:hint="eastAsia" w:ascii="宋体" w:hAnsi="宋体" w:cs="宋体"/>
                <w:color w:val="000000"/>
                <w:lang w:eastAsia="zh-CN"/>
              </w:rPr>
            </w:pPr>
            <w:r>
              <w:rPr>
                <w:rFonts w:hint="eastAsia" w:ascii="宋体" w:hAnsi="宋体" w:cs="宋体"/>
                <w:color w:val="000000"/>
                <w:lang w:eastAsia="zh-CN"/>
              </w:rPr>
              <w:t xml:space="preserve">医生通过工号登录手机移动端后：可查看当日手术计划：各类型手术患者数量、手术患者清单，并可以查看单个手术患者病历详情；医生也可检索查询单个患者：查看对应患者验单、周期、冷冻物信息。</w:t>
            </w:r>
            <w:r/>
          </w:p>
          <w:p>
            <w:pPr>
              <w:pStyle w:val="1063"/>
              <w:ind w:left="0"/>
              <w:jc w:val="both"/>
              <w:spacing w:after="160" w:line="278" w:lineRule="auto"/>
              <w:widowControl w:val="off"/>
              <w:rPr>
                <w:rFonts w:hint="eastAsia" w:ascii="宋体" w:hAnsi="宋体" w:cs="宋体"/>
                <w:color w:val="000000"/>
                <w:lang w:eastAsia="zh-CN"/>
              </w:rPr>
            </w:pPr>
            <w:r>
              <w:rPr>
                <w:rFonts w:hint="eastAsia" w:ascii="宋体" w:hAnsi="宋体" w:cs="宋体"/>
                <w:color w:val="000000"/>
                <w:lang w:eastAsia="zh-CN"/>
              </w:rPr>
              <w:t xml:space="preserve">2.7.4胚胎观察（PAD）</w:t>
            </w:r>
            <w:r/>
          </w:p>
          <w:p>
            <w:pPr>
              <w:pStyle w:val="1063"/>
              <w:ind w:left="0"/>
              <w:spacing w:after="160" w:line="278" w:lineRule="auto"/>
              <w:rPr>
                <w:rFonts w:ascii="宋体" w:hAnsi="宋体" w:cs="宋体"/>
                <w:color w:val="000000"/>
                <w:lang w:eastAsia="zh-CN"/>
              </w:rPr>
            </w:pPr>
            <w:r>
              <w:rPr>
                <w:rFonts w:hint="eastAsia" w:ascii="宋体" w:hAnsi="宋体" w:cs="宋体"/>
                <w:color w:val="000000"/>
                <w:lang w:eastAsia="zh-CN"/>
              </w:rPr>
              <w:t xml:space="preserve">医务人员可直接通过平板移动端进行胚胎观察，系统会根据手术日期，自动生成观察节点待办（如D1观察、D3观察、D5上午观察、下午观察）。在录入胚胎形态时，可根据形态自动判断并跳转至下一胚胎；根据录入结果，系统自动判定对应去向（例如原核数录了3PN或多PN，该胚胎则标记为丢弃去向），不同去向展示不同颜色区分。</w:t>
            </w:r>
            <w:r>
              <w:rPr>
                <w:rFonts w:ascii="宋体" w:hAnsi="宋体" w:cs="宋体"/>
                <w:color w:val="000000"/>
                <w:lang w:eastAsia="zh-CN"/>
              </w:rPr>
            </w:r>
            <w:r/>
          </w:p>
          <w:p>
            <w:pPr>
              <w:pStyle w:val="1063"/>
              <w:ind w:left="0"/>
              <w:spacing w:after="160" w:line="278" w:lineRule="auto"/>
              <w:rPr>
                <w:rFonts w:hint="eastAsia" w:ascii="宋体" w:hAnsi="宋体" w:cs="宋体"/>
                <w:color w:val="000000"/>
                <w:lang w:eastAsia="zh-CN"/>
              </w:rPr>
            </w:pPr>
            <w:r>
              <w:rPr>
                <w:rFonts w:hint="eastAsia" w:ascii="宋体" w:hAnsi="宋体" w:cs="宋体"/>
                <w:color w:val="000000"/>
                <w:lang w:eastAsia="zh-CN"/>
              </w:rPr>
              <w:t xml:space="preserve">2.7.5方案调整</w:t>
            </w:r>
            <w:r/>
          </w:p>
          <w:p>
            <w:pPr>
              <w:pStyle w:val="1063"/>
              <w:ind w:left="0"/>
              <w:spacing w:after="160" w:line="278" w:lineRule="auto"/>
              <w:rPr>
                <w:rFonts w:ascii="宋体" w:hAnsi="宋体" w:cs="宋体"/>
                <w:lang w:eastAsia="zh-CN"/>
              </w:rPr>
            </w:pPr>
            <w:r>
              <w:rPr>
                <w:rFonts w:hint="eastAsia" w:ascii="宋体" w:hAnsi="宋体" w:cs="宋体"/>
                <w:color w:val="000000"/>
                <w:lang w:eastAsia="zh-CN"/>
              </w:rPr>
              <w:t xml:space="preserve">系统实时展示当日所有取卵患者以及相关方案信息，医生可直接在实验室平板上，根据患者实际情况修改助孕方案。修改后，患者信息则会由原业务待办节点进行变更调整：如患者未取到精时，可将原助孕方案由IVF/ICSI改成冻卵,原“IVF/ICSI受精”节点下患者待办则会自动消失，冻卵+拆卵节点同步新增该患者待办数据；</w:t>
            </w:r>
            <w:r>
              <w:rPr>
                <w:rFonts w:ascii="宋体" w:hAnsi="宋体" w:cs="宋体"/>
                <w:lang w:eastAsia="zh-CN"/>
              </w:rPr>
            </w:r>
            <w:r/>
          </w:p>
        </w:tc>
      </w:tr>
    </w:tbl>
    <w:p>
      <w:pPr>
        <w:pStyle w:val="971"/>
        <w:keepLines/>
        <w:keepNext/>
        <w:spacing w:after="160" w:line="360" w:lineRule="auto"/>
        <w:rPr>
          <w:rFonts w:ascii="宋体" w:hAnsi="宋体" w:cs="宋体"/>
          <w:b/>
          <w:bCs/>
          <w:sz w:val="24"/>
          <w:szCs w:val="24"/>
        </w:rPr>
        <w:outlineLvl w:val="1"/>
      </w:pPr>
      <w:r/>
      <w:bookmarkStart w:id="197" w:name="_Toc169700853"/>
      <w:r>
        <w:rPr>
          <w:rFonts w:hint="eastAsia" w:ascii="宋体" w:hAnsi="宋体" w:cs="宋体"/>
          <w:b/>
          <w:bCs/>
          <w:color w:val="000000"/>
          <w:sz w:val="24"/>
          <w:szCs w:val="24"/>
        </w:rPr>
        <w:t xml:space="preserve">3、商务部分</w:t>
      </w:r>
      <w:r>
        <w:rPr>
          <w:rFonts w:hint="eastAsia" w:ascii="宋体" w:hAnsi="宋体" w:cs="宋体"/>
          <w:b/>
          <w:bCs/>
          <w:sz w:val="24"/>
          <w:szCs w:val="24"/>
        </w:rPr>
        <w:t xml:space="preserve">（23分）</w:t>
      </w:r>
      <w:bookmarkEnd w:id="197"/>
      <w:r>
        <w:rPr>
          <w:rFonts w:ascii="宋体" w:hAnsi="宋体" w:cs="宋体"/>
          <w:b/>
          <w:bCs/>
          <w:sz w:val="24"/>
          <w:szCs w:val="24"/>
        </w:rPr>
      </w:r>
      <w:r/>
    </w:p>
    <w:tbl>
      <w:tblPr>
        <w:tblW w:w="91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992"/>
        <w:gridCol w:w="6928"/>
      </w:tblGrid>
      <w:tr>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评分内容</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6928"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trHeight w:val="983"/>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3.1人员配备</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W w:w="6928" w:type="dxa"/>
            <w:vAlign w:val="top"/>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3.1.1</w:t>
            </w:r>
            <w:r>
              <w:rPr>
                <w:rFonts w:ascii="宋体" w:hAnsi="宋体" w:cs="宋体"/>
                <w:sz w:val="24"/>
                <w:szCs w:val="24"/>
              </w:rPr>
              <w:t xml:space="preserve">项目经</w:t>
            </w:r>
            <w:r>
              <w:rPr>
                <w:rFonts w:hint="eastAsia" w:ascii="宋体" w:hAnsi="宋体" w:cs="宋体"/>
                <w:sz w:val="24"/>
                <w:szCs w:val="24"/>
              </w:rPr>
              <w:t xml:space="preserve">理证书</w:t>
            </w:r>
            <w:r>
              <w:rPr>
                <w:rFonts w:ascii="宋体" w:hAnsi="宋体" w:cs="宋体"/>
                <w:sz w:val="24"/>
                <w:szCs w:val="24"/>
              </w:rPr>
            </w:r>
            <w:r/>
          </w:p>
          <w:p>
            <w:pPr>
              <w:pStyle w:val="971"/>
              <w:spacing w:after="160" w:line="278" w:lineRule="auto"/>
              <w:rPr>
                <w:rFonts w:ascii="宋体" w:hAnsi="宋体" w:cs="宋体"/>
                <w:color w:val="000000"/>
                <w:sz w:val="24"/>
                <w:szCs w:val="24"/>
              </w:rPr>
            </w:pPr>
            <w:r>
              <w:rPr>
                <w:rFonts w:ascii="宋体" w:hAnsi="宋体" w:cs="宋体"/>
                <w:sz w:val="24"/>
                <w:szCs w:val="24"/>
              </w:rPr>
              <w:t xml:space="preserve">项目经</w:t>
            </w:r>
            <w:r>
              <w:rPr>
                <w:rFonts w:hint="eastAsia" w:ascii="宋体" w:hAnsi="宋体" w:cs="宋体"/>
                <w:sz w:val="24"/>
                <w:szCs w:val="24"/>
              </w:rPr>
              <w:t xml:space="preserve">理具备信息系统项目管理师、软件设计师、大数据分析师、网络规划设计师、信息系统架构设计师、数据库系统或信息系统管理工程师高级证书的，</w:t>
            </w:r>
            <w:r>
              <w:rPr>
                <w:rFonts w:hint="eastAsia" w:ascii="宋体" w:hAnsi="宋体" w:cs="宋体"/>
                <w:color w:val="000000"/>
                <w:sz w:val="24"/>
                <w:szCs w:val="24"/>
              </w:rPr>
              <w:t xml:space="preserve">以上一个证书得2分，最高得2分。（提供证书复印件）</w:t>
            </w:r>
            <w:r>
              <w:rPr>
                <w:rFonts w:ascii="宋体" w:hAnsi="宋体" w:cs="宋体"/>
                <w:color w:val="000000"/>
                <w:sz w:val="24"/>
                <w:szCs w:val="24"/>
              </w:rPr>
            </w:r>
            <w:r/>
          </w:p>
          <w:p>
            <w:pPr>
              <w:pStyle w:val="971"/>
              <w:spacing w:after="160" w:line="278" w:lineRule="auto"/>
              <w:rPr>
                <w:rFonts w:ascii="宋体" w:hAnsi="宋体" w:cs="宋体"/>
                <w:sz w:val="24"/>
                <w:szCs w:val="24"/>
              </w:rPr>
            </w:pPr>
            <w:r>
              <w:rPr>
                <w:rFonts w:hint="eastAsia" w:ascii="宋体" w:hAnsi="宋体" w:cs="宋体"/>
                <w:sz w:val="24"/>
                <w:szCs w:val="24"/>
              </w:rPr>
              <w:t xml:space="preserve">3.1.2</w:t>
            </w:r>
            <w:r>
              <w:rPr>
                <w:rFonts w:ascii="宋体" w:hAnsi="宋体" w:cs="宋体"/>
                <w:sz w:val="24"/>
                <w:szCs w:val="24"/>
              </w:rPr>
              <w:t xml:space="preserve">项目经</w:t>
            </w:r>
            <w:r>
              <w:rPr>
                <w:rFonts w:hint="eastAsia" w:ascii="宋体" w:hAnsi="宋体" w:cs="宋体"/>
                <w:sz w:val="24"/>
                <w:szCs w:val="24"/>
              </w:rPr>
              <w:t xml:space="preserve">理经验</w:t>
            </w:r>
            <w:r>
              <w:rPr>
                <w:rFonts w:ascii="宋体" w:hAnsi="宋体" w:cs="宋体"/>
                <w:sz w:val="24"/>
                <w:szCs w:val="24"/>
              </w:rPr>
            </w:r>
            <w:r/>
          </w:p>
          <w:p>
            <w:pPr>
              <w:pStyle w:val="971"/>
              <w:spacing w:after="160" w:line="278" w:lineRule="auto"/>
              <w:rPr>
                <w:rFonts w:hint="eastAsia" w:ascii="宋体" w:hAnsi="宋体" w:cs="宋体"/>
                <w:sz w:val="24"/>
                <w:szCs w:val="24"/>
              </w:rPr>
            </w:pPr>
            <w:r>
              <w:rPr>
                <w:rFonts w:hint="eastAsia" w:ascii="宋体" w:hAnsi="宋体" w:cs="宋体"/>
                <w:sz w:val="24"/>
                <w:szCs w:val="24"/>
              </w:rPr>
              <w:t xml:space="preserve">项目经理</w:t>
            </w:r>
            <w:r>
              <w:rPr>
                <w:rFonts w:ascii="宋体" w:hAnsi="宋体" w:cs="宋体"/>
                <w:sz w:val="24"/>
                <w:szCs w:val="24"/>
              </w:rPr>
              <w:t xml:space="preserve">具有建设</w:t>
            </w:r>
            <w:r>
              <w:rPr>
                <w:rFonts w:hint="eastAsia" w:ascii="宋体" w:hAnsi="宋体" w:cs="宋体"/>
                <w:color w:val="000000"/>
                <w:sz w:val="24"/>
                <w:szCs w:val="24"/>
              </w:rPr>
              <w:t xml:space="preserve">类似</w:t>
            </w:r>
            <w:r>
              <w:rPr>
                <w:rFonts w:ascii="宋体" w:hAnsi="宋体" w:cs="宋体"/>
                <w:color w:val="000000"/>
                <w:sz w:val="24"/>
                <w:szCs w:val="24"/>
              </w:rPr>
              <w:t xml:space="preserve">项目</w:t>
            </w:r>
            <w:r>
              <w:rPr>
                <w:rFonts w:ascii="宋体" w:hAnsi="宋体" w:cs="宋体"/>
                <w:sz w:val="24"/>
                <w:szCs w:val="24"/>
              </w:rPr>
              <w:t xml:space="preserve">经验的，每提供一份相关经验证明文件得</w:t>
            </w:r>
            <w:r>
              <w:rPr>
                <w:rFonts w:hint="eastAsia" w:ascii="宋体" w:hAnsi="宋体" w:cs="宋体"/>
                <w:sz w:val="24"/>
                <w:szCs w:val="24"/>
              </w:rPr>
              <w:t xml:space="preserve">2</w:t>
            </w:r>
            <w:r>
              <w:rPr>
                <w:rFonts w:ascii="宋体" w:hAnsi="宋体" w:cs="宋体"/>
                <w:sz w:val="24"/>
                <w:szCs w:val="24"/>
              </w:rPr>
              <w:t xml:space="preserve">分，本项最高得</w:t>
            </w:r>
            <w:r>
              <w:rPr>
                <w:rFonts w:hint="eastAsia" w:ascii="宋体" w:hAnsi="宋体" w:cs="宋体"/>
                <w:sz w:val="24"/>
                <w:szCs w:val="24"/>
              </w:rPr>
              <w:t xml:space="preserve">4</w:t>
            </w:r>
            <w:r>
              <w:rPr>
                <w:rFonts w:ascii="宋体" w:hAnsi="宋体" w:cs="宋体"/>
                <w:sz w:val="24"/>
                <w:szCs w:val="24"/>
              </w:rPr>
              <w:t xml:space="preserve">分。</w:t>
            </w:r>
            <w:r>
              <w:rPr>
                <w:rFonts w:hint="eastAsia" w:ascii="宋体" w:hAnsi="宋体" w:cs="宋体"/>
                <w:sz w:val="24"/>
                <w:szCs w:val="24"/>
              </w:rPr>
              <w:t xml:space="preserve">（注：本项须提供①项目经理曾参与建设的项目合同或项目验收报告，验收报告需体现项目经理姓名；②项目经理与投标单位签订的劳务合同扫描件；</w:t>
            </w:r>
            <w:r>
              <w:rPr>
                <w:rFonts w:hint="eastAsia" w:ascii="宋体" w:hAnsi="宋体" w:cs="宋体"/>
                <w:color w:val="000000"/>
                <w:sz w:val="24"/>
                <w:szCs w:val="24"/>
              </w:rPr>
              <w:t xml:space="preserve">③近三个月内任意一个月投</w:t>
            </w:r>
            <w:r>
              <w:rPr>
                <w:rFonts w:hint="eastAsia" w:ascii="宋体" w:hAnsi="宋体" w:cs="宋体"/>
                <w:sz w:val="24"/>
                <w:szCs w:val="24"/>
              </w:rPr>
              <w:t xml:space="preserve">标人为项目经理缴纳社保的证明文件。上述三项需同时满足，否则不得分。）</w:t>
            </w:r>
            <w:r/>
          </w:p>
          <w:p>
            <w:pPr>
              <w:pStyle w:val="971"/>
              <w:spacing w:after="160" w:line="278" w:lineRule="auto"/>
              <w:rPr>
                <w:rFonts w:ascii="宋体" w:hAnsi="宋体" w:cs="宋体"/>
                <w:sz w:val="24"/>
                <w:szCs w:val="24"/>
              </w:rPr>
            </w:pPr>
            <w:r>
              <w:rPr>
                <w:rFonts w:hint="eastAsia" w:ascii="宋体" w:hAnsi="宋体" w:cs="宋体"/>
                <w:sz w:val="24"/>
                <w:szCs w:val="24"/>
              </w:rPr>
              <w:t xml:space="preserve">3.1.3项目实施人员</w:t>
            </w:r>
            <w:r>
              <w:rPr>
                <w:rFonts w:ascii="宋体" w:hAnsi="宋体" w:cs="宋体"/>
                <w:sz w:val="24"/>
                <w:szCs w:val="24"/>
              </w:rPr>
            </w:r>
            <w:r/>
          </w:p>
          <w:p>
            <w:pPr>
              <w:pStyle w:val="971"/>
              <w:spacing w:after="160" w:line="278" w:lineRule="auto"/>
              <w:rPr>
                <w:rFonts w:ascii="宋体" w:hAnsi="宋体" w:cs="宋体"/>
                <w:sz w:val="24"/>
                <w:szCs w:val="24"/>
              </w:rPr>
            </w:pPr>
            <w:r>
              <w:rPr>
                <w:rFonts w:ascii="宋体" w:hAnsi="宋体" w:cs="宋体"/>
                <w:sz w:val="24"/>
                <w:szCs w:val="24"/>
              </w:rPr>
              <w:t xml:space="preserve">项目组实施人员（项目经理除外）专业素质、技术能力、专业分布、经验等情况进行评价。项目实施人员中每有1人具有</w:t>
            </w:r>
            <w:r>
              <w:rPr>
                <w:rFonts w:hint="eastAsia" w:ascii="宋体" w:hAnsi="宋体" w:cs="宋体"/>
                <w:sz w:val="24"/>
                <w:szCs w:val="24"/>
              </w:rPr>
              <w:t xml:space="preserve">软件设计师、网络工程师、数据库系统工程师、系统集成项目管理工程师、信息安全工程师或软件评测师中级证书的得</w:t>
            </w:r>
            <w:r>
              <w:rPr>
                <w:rFonts w:ascii="宋体" w:hAnsi="宋体" w:cs="宋体"/>
                <w:sz w:val="24"/>
                <w:szCs w:val="24"/>
              </w:rPr>
              <w:t xml:space="preserve">1分，本项最高得</w:t>
            </w:r>
            <w:r>
              <w:rPr>
                <w:rFonts w:hint="eastAsia" w:ascii="宋体" w:hAnsi="宋体" w:cs="宋体"/>
                <w:sz w:val="24"/>
                <w:szCs w:val="24"/>
              </w:rPr>
              <w:t xml:space="preserve">3</w:t>
            </w:r>
            <w:r>
              <w:rPr>
                <w:rFonts w:ascii="宋体" w:hAnsi="宋体" w:cs="宋体"/>
                <w:sz w:val="24"/>
                <w:szCs w:val="24"/>
              </w:rPr>
              <w:t xml:space="preserve">分。</w:t>
            </w:r>
            <w:r>
              <w:rPr>
                <w:rFonts w:hint="eastAsia" w:ascii="宋体" w:hAnsi="宋体" w:cs="宋体"/>
                <w:sz w:val="24"/>
                <w:szCs w:val="24"/>
              </w:rPr>
              <w:t xml:space="preserve">（</w:t>
            </w:r>
            <w:r>
              <w:rPr>
                <w:rFonts w:ascii="宋体" w:hAnsi="宋体" w:cs="宋体"/>
                <w:sz w:val="24"/>
                <w:szCs w:val="24"/>
              </w:rPr>
              <w:t xml:space="preserve">注：需提供相关证书、投标人和项目组实施人员签订的劳务合同扫描件及</w:t>
            </w:r>
            <w:r>
              <w:rPr>
                <w:rFonts w:ascii="宋体" w:hAnsi="宋体" w:cs="宋体"/>
                <w:color w:val="000000"/>
                <w:sz w:val="24"/>
                <w:szCs w:val="24"/>
              </w:rPr>
              <w:t xml:space="preserve">近</w:t>
            </w:r>
            <w:r>
              <w:rPr>
                <w:rFonts w:hint="eastAsia" w:ascii="宋体" w:hAnsi="宋体" w:cs="宋体"/>
                <w:color w:val="000000"/>
                <w:sz w:val="24"/>
                <w:szCs w:val="24"/>
              </w:rPr>
              <w:t xml:space="preserve">三个月</w:t>
            </w:r>
            <w:r>
              <w:rPr>
                <w:rFonts w:ascii="宋体" w:hAnsi="宋体" w:cs="宋体"/>
                <w:sz w:val="24"/>
                <w:szCs w:val="24"/>
              </w:rPr>
              <w:t xml:space="preserve">内任意一个月投标人为实施人员缴纳社保的证明文件。</w:t>
            </w:r>
            <w:r>
              <w:rPr>
                <w:rFonts w:hint="eastAsia" w:ascii="宋体" w:hAnsi="宋体" w:cs="宋体"/>
                <w:sz w:val="24"/>
                <w:szCs w:val="24"/>
              </w:rPr>
              <w:t xml:space="preserve">）</w:t>
            </w:r>
            <w:r>
              <w:rPr>
                <w:rFonts w:ascii="宋体" w:hAnsi="宋体" w:cs="宋体"/>
                <w:sz w:val="24"/>
                <w:szCs w:val="24"/>
              </w:rPr>
            </w:r>
            <w:r/>
          </w:p>
        </w:tc>
      </w:tr>
      <w:tr>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3.2公司实力</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6928" w:type="dxa"/>
            <w:vAlign w:val="top"/>
            <w:textDirection w:val="lrTb"/>
            <w:noWrap w:val="false"/>
          </w:tcPr>
          <w:p>
            <w:pPr>
              <w:pStyle w:val="971"/>
              <w:rPr>
                <w:rFonts w:ascii="宋体" w:hAnsi="宋体" w:cs="宋体"/>
                <w:color w:val="000000"/>
                <w:sz w:val="24"/>
                <w:szCs w:val="24"/>
              </w:rPr>
            </w:pPr>
            <w:r>
              <w:rPr>
                <w:rFonts w:hint="eastAsia" w:ascii="宋体" w:hAnsi="宋体" w:cs="宋体"/>
                <w:color w:val="000000"/>
                <w:sz w:val="24"/>
                <w:szCs w:val="24"/>
              </w:rPr>
              <w:t xml:space="preserve">投标人具有国家认监委认可的机构颁发的有效期内的ISO9001质量管理体系认证、ISO20000信息技术服务管理体系认证、ISO27001信息安全管理体系认证，每提供一个计2分，最高计6分。</w:t>
            </w:r>
            <w:r>
              <w:rPr>
                <w:rFonts w:hint="eastAsia" w:ascii="宋体" w:hAnsi="宋体" w:cs="宋体"/>
                <w:color w:val="000000"/>
                <w:sz w:val="24"/>
                <w:szCs w:val="24"/>
              </w:rPr>
              <w:t xml:space="preserve">（注：须提供有效期内的证书扫描件，如处于换证期内的证书，则需提供颁发机构出具的换证证明，否则不得分。）</w:t>
            </w:r>
            <w:r>
              <w:rPr>
                <w:rFonts w:ascii="宋体" w:hAnsi="宋体" w:cs="宋体"/>
                <w:color w:val="000000"/>
                <w:sz w:val="24"/>
                <w:szCs w:val="24"/>
              </w:rPr>
            </w:r>
            <w:r/>
          </w:p>
        </w:tc>
      </w:tr>
      <w:tr>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3.3业绩</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6928" w:type="dxa"/>
            <w:vAlign w:val="top"/>
            <w:textDirection w:val="lrTb"/>
            <w:noWrap w:val="false"/>
          </w:tcPr>
          <w:p>
            <w:pPr>
              <w:pStyle w:val="971"/>
              <w:spacing w:after="160" w:line="278" w:lineRule="auto"/>
              <w:rPr>
                <w:rFonts w:ascii="宋体" w:hAnsi="宋体" w:cs="宋体"/>
                <w:color w:val="000000"/>
                <w:sz w:val="24"/>
                <w:szCs w:val="24"/>
              </w:rPr>
            </w:pPr>
            <w:r>
              <w:rPr>
                <w:rFonts w:hint="eastAsia" w:ascii="宋体" w:hAnsi="宋体" w:cs="宋体"/>
                <w:color w:val="000000"/>
                <w:sz w:val="24"/>
                <w:szCs w:val="24"/>
              </w:rPr>
              <w:t xml:space="preserve">投标人需提供2022年1月1日以来（以合同签订时间为准）类似信息化建设项目相关证明，每提供一个计1分，最高计5分。（</w:t>
            </w:r>
            <w:r>
              <w:rPr>
                <w:rFonts w:hint="eastAsia" w:ascii="宋体" w:hAnsi="宋体" w:cs="宋体"/>
                <w:color w:val="000000"/>
                <w:sz w:val="24"/>
                <w:szCs w:val="24"/>
              </w:rPr>
              <w:t xml:space="preserve">注∶须提供合同扫描件并加盖投标人公章，合同未注明时间的，不予计分。同一项目合同不重复计分，同一客户合同不重复计分，需提供合同复印件，否则不予计分。</w:t>
            </w:r>
            <w:r>
              <w:rPr>
                <w:rFonts w:hint="eastAsia" w:ascii="宋体" w:hAnsi="宋体" w:cs="宋体"/>
                <w:color w:val="000000"/>
                <w:sz w:val="24"/>
                <w:szCs w:val="24"/>
              </w:rPr>
              <w:t xml:space="preserve">）</w:t>
            </w:r>
            <w:r>
              <w:rPr>
                <w:rFonts w:ascii="宋体" w:hAnsi="宋体" w:cs="宋体"/>
                <w:color w:val="000000"/>
                <w:sz w:val="24"/>
                <w:szCs w:val="24"/>
              </w:rPr>
            </w:r>
            <w:r/>
          </w:p>
        </w:tc>
      </w:tr>
      <w:tr>
        <w:trPr/>
        <w:tc>
          <w:tcPr>
            <w:tcW w:w="1271"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3.4企业能力</w:t>
            </w:r>
            <w:r>
              <w:rPr>
                <w:rFonts w:ascii="宋体" w:hAnsi="宋体" w:cs="宋体"/>
                <w:sz w:val="24"/>
                <w:szCs w:val="24"/>
              </w:rPr>
            </w:r>
            <w:r/>
          </w:p>
        </w:tc>
        <w:tc>
          <w:tcPr>
            <w:tcW w:w="992" w:type="dxa"/>
            <w:vAlign w:val="center"/>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6928" w:type="dxa"/>
            <w:vAlign w:val="top"/>
            <w:textDirection w:val="lrTb"/>
            <w:noWrap w:val="false"/>
          </w:tcPr>
          <w:p>
            <w:pPr>
              <w:pStyle w:val="971"/>
              <w:spacing w:after="160" w:line="278" w:lineRule="auto"/>
              <w:rPr>
                <w:rFonts w:ascii="宋体" w:hAnsi="宋体" w:cs="宋体"/>
                <w:sz w:val="24"/>
                <w:szCs w:val="24"/>
              </w:rPr>
            </w:pPr>
            <w:r>
              <w:rPr>
                <w:rFonts w:hint="eastAsia" w:ascii="宋体" w:hAnsi="宋体" w:cs="宋体"/>
                <w:sz w:val="24"/>
                <w:szCs w:val="24"/>
              </w:rPr>
              <w:t xml:space="preserve">投标人每提供一个以下关键字的计算机软件著作权或专利登记证书得1分，最高分3分。包括：生殖、胚胎、实验室。</w:t>
            </w:r>
            <w:r>
              <w:rPr>
                <w:rFonts w:ascii="宋体" w:hAnsi="宋体" w:cs="宋体"/>
                <w:sz w:val="24"/>
                <w:szCs w:val="24"/>
              </w:rPr>
            </w:r>
            <w:r/>
          </w:p>
          <w:p>
            <w:pPr>
              <w:pStyle w:val="971"/>
              <w:spacing w:after="160" w:line="278" w:lineRule="auto"/>
              <w:rPr>
                <w:rFonts w:ascii="宋体" w:hAnsi="宋体" w:cs="宋体"/>
                <w:sz w:val="24"/>
                <w:szCs w:val="24"/>
              </w:rPr>
            </w:pPr>
            <w:r>
              <w:rPr>
                <w:rFonts w:hint="eastAsia" w:ascii="宋体" w:hAnsi="宋体" w:cs="宋体"/>
                <w:sz w:val="24"/>
                <w:szCs w:val="24"/>
              </w:rPr>
              <w:t xml:space="preserve">（提供证书复印件并加盖公章；如投标文件中提供的著作权名称表述与招标文件描述的关键字样不一致，而该投标文件中能证明投标人拥有的软件著作权具有相同或相似功能和效果，且评标委员会认可的，视同符合要求。）</w:t>
            </w:r>
            <w:r>
              <w:rPr>
                <w:rFonts w:ascii="宋体" w:hAnsi="宋体" w:cs="宋体"/>
                <w:sz w:val="24"/>
                <w:szCs w:val="24"/>
              </w:rPr>
            </w:r>
            <w:r/>
          </w:p>
        </w:tc>
      </w:tr>
    </w:tbl>
    <w:p>
      <w:pPr>
        <w:pStyle w:val="972"/>
        <w:jc w:val="both"/>
        <w:rPr>
          <w:rFonts w:hint="eastAsia" w:ascii="黑体" w:eastAsia="黑体"/>
          <w:bCs/>
          <w:sz w:val="44"/>
        </w:rPr>
      </w:pPr>
      <w:r/>
      <w:bookmarkEnd w:id="195"/>
      <w:r>
        <w:rPr>
          <w:rFonts w:hint="eastAsia" w:ascii="黑体" w:eastAsia="黑体"/>
          <w:bCs/>
          <w:sz w:val="44"/>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rPr>
          <w:rFonts w:hint="eastAsia"/>
        </w:rPr>
      </w:pPr>
      <w:r>
        <w:rPr>
          <w:rFonts w:hint="eastAsia"/>
        </w:rPr>
      </w:r>
      <w:r/>
    </w:p>
    <w:p>
      <w:pPr>
        <w:pStyle w:val="971"/>
      </w:pPr>
      <w:r/>
      <w:r/>
    </w:p>
    <w:p>
      <w:pPr>
        <w:pStyle w:val="972"/>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971"/>
        <w:jc w:val="center"/>
        <w:rPr>
          <w:rFonts w:hint="eastAsia" w:ascii="宋体" w:hAnsi="宋体"/>
          <w:b/>
          <w:sz w:val="72"/>
        </w:rPr>
      </w:pPr>
      <w:r/>
      <w:bookmarkStart w:id="198" w:name="_Hlt26671244"/>
      <w:r/>
      <w:bookmarkEnd w:id="198"/>
      <w:r/>
      <w:bookmarkStart w:id="199" w:name="_Hlt26955039"/>
      <w:r/>
      <w:bookmarkEnd w:id="199"/>
      <w:r/>
      <w:bookmarkStart w:id="200" w:name="_Toc120614282"/>
      <w:r/>
      <w:bookmarkStart w:id="201" w:name="_Toc49090576"/>
      <w:r/>
      <w:bookmarkStart w:id="202" w:name="_Toc26554094"/>
      <w:r>
        <w:rPr>
          <w:rFonts w:hint="eastAsia" w:ascii="宋体" w:hAnsi="宋体"/>
          <w:b/>
          <w:sz w:val="72"/>
        </w:rPr>
      </w:r>
      <w:r/>
    </w:p>
    <w:p>
      <w:pPr>
        <w:pStyle w:val="971"/>
        <w:jc w:val="center"/>
        <w:rPr>
          <w:rFonts w:hint="eastAsia" w:ascii="宋体" w:hAnsi="宋体"/>
          <w:b/>
          <w:sz w:val="72"/>
        </w:rPr>
      </w:pPr>
      <w:r>
        <w:rPr>
          <w:rFonts w:hint="eastAsia" w:ascii="宋体" w:hAnsi="宋体"/>
          <w:b/>
          <w:sz w:val="72"/>
        </w:rPr>
        <w:t xml:space="preserve">投  标  文  件</w:t>
      </w:r>
      <w:r/>
    </w:p>
    <w:p>
      <w:pPr>
        <w:pStyle w:val="971"/>
        <w:jc w:val="center"/>
        <w:rPr>
          <w:rFonts w:hint="eastAsia" w:ascii="宋体" w:hAnsi="宋体"/>
          <w:b/>
          <w:sz w:val="72"/>
        </w:rPr>
      </w:pPr>
      <w:r>
        <w:rPr>
          <w:rFonts w:hint="eastAsia" w:ascii="宋体" w:hAnsi="宋体"/>
          <w:b/>
          <w:sz w:val="72"/>
        </w:rPr>
      </w:r>
      <w:r/>
    </w:p>
    <w:p>
      <w:pPr>
        <w:pStyle w:val="971"/>
        <w:jc w:val="center"/>
        <w:rPr>
          <w:rFonts w:hint="eastAsia" w:ascii="宋体" w:hAnsi="宋体"/>
          <w:b/>
          <w:sz w:val="72"/>
        </w:rPr>
      </w:pPr>
      <w:r>
        <w:rPr>
          <w:rFonts w:hint="eastAsia" w:ascii="宋体" w:hAnsi="宋体"/>
          <w:b/>
          <w:sz w:val="72"/>
        </w:rPr>
      </w:r>
      <w:r/>
    </w:p>
    <w:p>
      <w:pPr>
        <w:pStyle w:val="971"/>
        <w:jc w:val="center"/>
        <w:rPr>
          <w:rFonts w:hint="eastAsia" w:ascii="宋体" w:hAnsi="宋体"/>
          <w:b/>
          <w:sz w:val="36"/>
        </w:rPr>
      </w:pPr>
      <w:r>
        <w:rPr>
          <w:rFonts w:hint="eastAsia" w:ascii="宋体" w:hAnsi="宋体"/>
          <w:b/>
          <w:sz w:val="36"/>
        </w:rPr>
      </w:r>
      <w:r/>
    </w:p>
    <w:p>
      <w:pPr>
        <w:pStyle w:val="971"/>
        <w:jc w:val="center"/>
        <w:rPr>
          <w:rFonts w:hint="eastAsia" w:ascii="宋体" w:hAnsi="宋体"/>
          <w:b/>
          <w:sz w:val="36"/>
        </w:rPr>
      </w:pPr>
      <w:r>
        <w:rPr>
          <w:rFonts w:hint="eastAsia" w:ascii="宋体" w:hAnsi="宋体"/>
          <w:b/>
          <w:sz w:val="36"/>
        </w:rPr>
      </w:r>
      <w:r/>
    </w:p>
    <w:p>
      <w:pPr>
        <w:pStyle w:val="971"/>
        <w:jc w:val="center"/>
        <w:rPr>
          <w:rFonts w:hint="eastAsia" w:ascii="宋体" w:hAnsi="宋体"/>
          <w:b/>
          <w:sz w:val="36"/>
        </w:rPr>
      </w:pPr>
      <w:r>
        <w:rPr>
          <w:rFonts w:hint="eastAsia" w:ascii="宋体" w:hAnsi="宋体"/>
          <w:b/>
          <w:sz w:val="36"/>
        </w:rPr>
      </w:r>
      <w:r/>
    </w:p>
    <w:p>
      <w:pPr>
        <w:pStyle w:val="97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71"/>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7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7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71"/>
        <w:jc w:val="center"/>
        <w:spacing w:line="440" w:lineRule="exact"/>
        <w:rPr>
          <w:rFonts w:hint="eastAsia" w:ascii="宋体" w:hAnsi="宋体"/>
          <w:b/>
          <w:bCs/>
          <w:sz w:val="32"/>
          <w:szCs w:val="32"/>
        </w:rPr>
      </w:pPr>
      <w:r>
        <w:rPr>
          <w:rFonts w:hint="eastAsia" w:ascii="宋体" w:hAnsi="宋体"/>
          <w:b/>
          <w:bCs/>
          <w:sz w:val="32"/>
          <w:szCs w:val="32"/>
        </w:rPr>
      </w:r>
      <w:r/>
    </w:p>
    <w:p>
      <w:pPr>
        <w:pStyle w:val="971"/>
        <w:spacing w:line="440" w:lineRule="exact"/>
        <w:rPr>
          <w:rFonts w:ascii="宋体" w:hAnsi="宋体"/>
        </w:rPr>
      </w:pPr>
      <w:r>
        <w:rPr>
          <w:rFonts w:ascii="宋体" w:hAnsi="宋体"/>
        </w:rPr>
      </w:r>
      <w:r/>
    </w:p>
    <w:p>
      <w:pPr>
        <w:pStyle w:val="97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71"/>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71"/>
        <w:jc w:val="center"/>
        <w:spacing w:line="440" w:lineRule="exact"/>
        <w:rPr>
          <w:rFonts w:hint="eastAsia" w:ascii="宋体" w:hAnsi="宋体"/>
          <w:b/>
          <w:bCs/>
          <w:sz w:val="32"/>
          <w:szCs w:val="32"/>
        </w:rPr>
      </w:pPr>
      <w:r>
        <w:rPr>
          <w:rFonts w:hint="eastAsia" w:ascii="宋体" w:hAnsi="宋体"/>
          <w:b/>
          <w:bCs/>
          <w:sz w:val="32"/>
          <w:szCs w:val="32"/>
        </w:rPr>
      </w:r>
      <w:r/>
    </w:p>
    <w:p>
      <w:pPr>
        <w:pStyle w:val="971"/>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971"/>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971"/>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971"/>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971"/>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hint="eastAsia" w:ascii="宋体" w:hAnsi="宋体"/>
          <w:sz w:val="24"/>
        </w:rPr>
      </w:r>
      <w:r/>
    </w:p>
    <w:p>
      <w:pPr>
        <w:pStyle w:val="971"/>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971"/>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971"/>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971"/>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971"/>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971"/>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971"/>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971"/>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971"/>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971"/>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971"/>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971"/>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971"/>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971"/>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971"/>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971"/>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971"/>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971"/>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971"/>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971"/>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971"/>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971"/>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971"/>
        <w:rPr>
          <w:rFonts w:ascii="宋体" w:hAnsi="宋体"/>
          <w:b/>
          <w:color w:val="ff0000"/>
          <w:sz w:val="24"/>
          <w:szCs w:val="24"/>
        </w:rPr>
      </w:pPr>
      <w:r>
        <w:rPr>
          <w:rFonts w:ascii="宋体" w:hAnsi="宋体"/>
          <w:b/>
          <w:color w:val="ff0000"/>
          <w:sz w:val="24"/>
          <w:szCs w:val="24"/>
        </w:rPr>
      </w:r>
      <w:r/>
    </w:p>
    <w:p>
      <w:pPr>
        <w:pStyle w:val="971"/>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971"/>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971"/>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971"/>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71"/>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7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5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71"/>
        <w:rPr>
          <w:rFonts w:ascii="宋体" w:hAnsi="宋体"/>
          <w:b/>
          <w:sz w:val="24"/>
          <w:szCs w:val="24"/>
        </w:rPr>
      </w:pPr>
      <w:r>
        <w:rPr>
          <w:rFonts w:ascii="宋体" w:hAnsi="宋体"/>
          <w:b/>
          <w:sz w:val="24"/>
          <w:szCs w:val="24"/>
        </w:rPr>
      </w:r>
      <w:r/>
    </w:p>
    <w:p>
      <w:pPr>
        <w:pStyle w:val="971"/>
        <w:jc w:val="center"/>
        <w:rPr>
          <w:rFonts w:hint="eastAsia" w:ascii="宋体" w:hAnsi="宋体"/>
          <w:b/>
          <w:sz w:val="24"/>
          <w:szCs w:val="24"/>
        </w:rPr>
      </w:pPr>
      <w:r>
        <w:rPr>
          <w:rFonts w:hint="eastAsia" w:ascii="宋体" w:hAnsi="宋体"/>
          <w:b/>
          <w:sz w:val="24"/>
          <w:szCs w:val="24"/>
        </w:rPr>
        <w:t xml:space="preserve">附件2 投标分项报价表</w:t>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分项</w:t>
            </w:r>
            <w:r/>
          </w:p>
          <w:p>
            <w:pPr>
              <w:pStyle w:val="971"/>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分项</w:t>
            </w:r>
            <w:r/>
          </w:p>
          <w:p>
            <w:pPr>
              <w:pStyle w:val="971"/>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971"/>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971"/>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pStyle w:val="971"/>
              <w:spacing w:line="0" w:lineRule="atLeast"/>
              <w:rPr>
                <w:rFonts w:hint="eastAsia" w:ascii="宋体" w:hAnsi="宋体"/>
                <w:sz w:val="24"/>
                <w:szCs w:val="24"/>
              </w:rPr>
            </w:pPr>
            <w:r>
              <w:rPr>
                <w:rFonts w:hint="eastAsia" w:ascii="宋体" w:hAnsi="宋体"/>
                <w:sz w:val="24"/>
                <w:szCs w:val="24"/>
              </w:rPr>
            </w:r>
            <w:r/>
          </w:p>
        </w:tc>
      </w:tr>
    </w:tbl>
    <w:p>
      <w:pPr>
        <w:pStyle w:val="971"/>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71"/>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971"/>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971"/>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rPr>
          <w:rFonts w:ascii="宋体" w:hAnsi="宋体"/>
          <w:sz w:val="24"/>
          <w:szCs w:val="24"/>
        </w:rPr>
      </w:pPr>
      <w:r>
        <w:rPr>
          <w:rFonts w:ascii="宋体" w:hAnsi="宋体"/>
          <w:sz w:val="24"/>
          <w:szCs w:val="24"/>
        </w:rPr>
      </w:r>
      <w:r>
        <w:rPr>
          <w:rFonts w:ascii="宋体" w:hAnsi="宋体"/>
          <w:sz w:val="24"/>
          <w:szCs w:val="24"/>
        </w:rPr>
      </w:r>
      <w:r/>
    </w:p>
    <w:p>
      <w:pPr>
        <w:pStyle w:val="971"/>
        <w:rPr>
          <w:rFonts w:ascii="宋体" w:hAnsi="宋体"/>
          <w:sz w:val="24"/>
          <w:szCs w:val="24"/>
        </w:rPr>
      </w:pPr>
      <w:r>
        <w:rPr>
          <w:rFonts w:ascii="宋体" w:hAnsi="宋体"/>
          <w:sz w:val="24"/>
          <w:szCs w:val="24"/>
        </w:rPr>
      </w:r>
      <w:r/>
    </w:p>
    <w:p>
      <w:pPr>
        <w:pStyle w:val="97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7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r>
    </w:tbl>
    <w:p>
      <w:pPr>
        <w:pStyle w:val="97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71"/>
        <w:spacing w:line="400" w:lineRule="exact"/>
        <w:rPr>
          <w:rFonts w:ascii="宋体" w:hAnsi="宋体"/>
          <w:sz w:val="24"/>
          <w:szCs w:val="24"/>
        </w:rPr>
      </w:pPr>
      <w:r>
        <w:rPr>
          <w:rFonts w:ascii="宋体" w:hAnsi="宋体"/>
          <w:sz w:val="24"/>
          <w:szCs w:val="24"/>
        </w:rPr>
      </w:r>
      <w:r/>
    </w:p>
    <w:p>
      <w:pPr>
        <w:pStyle w:val="97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71"/>
        <w:spacing w:line="400" w:lineRule="exact"/>
        <w:rPr>
          <w:rFonts w:ascii="宋体" w:hAnsi="宋体"/>
          <w:sz w:val="24"/>
          <w:szCs w:val="24"/>
        </w:rPr>
      </w:pPr>
      <w:r>
        <w:rPr>
          <w:rFonts w:hint="eastAsia" w:ascii="方正魏碑_GBK" w:hAnsi="方正魏碑_GBK" w:eastAsia="方正魏碑_GBK" w:cs="方正魏碑_GBK"/>
          <w:color w:val="000000"/>
          <w:sz w:val="30"/>
          <w:szCs w:val="30"/>
        </w:rPr>
        <w:t xml:space="preserve">1.投标人需对招标文件技术要求中非实质性要求（</w:t>
      </w:r>
      <w:r>
        <w:rPr>
          <w:rFonts w:hint="eastAsia" w:ascii="方正魏碑_GBK" w:hAnsi="方正魏碑_GBK" w:eastAsia="方正魏碑_GBK" w:cs="方正魏碑_GBK"/>
          <w:b/>
          <w:color w:val="000000"/>
          <w:sz w:val="30"/>
          <w:szCs w:val="30"/>
        </w:rPr>
        <w:t xml:space="preserve">未加</w:t>
      </w:r>
      <w:r>
        <w:rPr>
          <w:rFonts w:hint="eastAsia" w:ascii="方正魏碑_GBK" w:hAnsi="方正魏碑_GBK" w:eastAsia="方正魏碑_GBK" w:cs="方正魏碑_GBK"/>
          <w:b/>
          <w:i/>
          <w:color w:val="000000"/>
          <w:sz w:val="30"/>
          <w:szCs w:val="30"/>
          <w:u w:val="single"/>
        </w:rPr>
        <w:t xml:space="preserve">斜体下划线</w:t>
      </w:r>
      <w:r>
        <w:rPr>
          <w:rFonts w:hint="eastAsia" w:ascii="方正魏碑_GBK" w:hAnsi="方正魏碑_GBK" w:eastAsia="方正魏碑_GBK" w:cs="方正魏碑_GBK"/>
          <w:b/>
          <w:iCs/>
          <w:color w:val="000000"/>
          <w:sz w:val="30"/>
          <w:szCs w:val="30"/>
        </w:rPr>
        <w:t xml:space="preserve">部分</w:t>
      </w:r>
      <w:r>
        <w:rPr>
          <w:rFonts w:hint="eastAsia" w:ascii="方正魏碑_GBK" w:hAnsi="方正魏碑_GBK" w:eastAsia="方正魏碑_GBK" w:cs="方正魏碑_GBK"/>
          <w:color w:val="000000"/>
          <w:sz w:val="30"/>
          <w:szCs w:val="30"/>
        </w:rPr>
        <w:t xml:space="preserve">）</w:t>
      </w:r>
      <w:r>
        <w:rPr>
          <w:rFonts w:ascii="宋体" w:hAnsi="宋体"/>
          <w:color w:val="000000"/>
          <w:sz w:val="24"/>
          <w:szCs w:val="24"/>
        </w:rPr>
        <w:t xml:space="preserve">逐</w:t>
      </w:r>
      <w:r>
        <w:rPr>
          <w:rFonts w:ascii="宋体" w:hAnsi="宋体"/>
          <w:sz w:val="24"/>
          <w:szCs w:val="24"/>
        </w:rPr>
        <w:t xml:space="preserve">条做出明确响应</w:t>
      </w:r>
      <w:r>
        <w:rPr>
          <w:rFonts w:hint="eastAsia" w:ascii="宋体" w:hAnsi="宋体"/>
          <w:sz w:val="24"/>
          <w:szCs w:val="24"/>
        </w:rPr>
        <w:t xml:space="preserve">。</w:t>
      </w:r>
      <w:r>
        <w:rPr>
          <w:rFonts w:ascii="宋体" w:hAnsi="宋体"/>
          <w:sz w:val="24"/>
          <w:szCs w:val="24"/>
        </w:rPr>
      </w:r>
      <w:r/>
    </w:p>
    <w:p>
      <w:pPr>
        <w:pStyle w:val="97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71"/>
        <w:spacing w:line="400" w:lineRule="exact"/>
        <w:rPr>
          <w:rFonts w:hint="eastAsia" w:ascii="宋体" w:hAnsi="宋体"/>
          <w:sz w:val="24"/>
          <w:szCs w:val="24"/>
        </w:rPr>
      </w:pPr>
      <w:r>
        <w:rPr>
          <w:rFonts w:hint="eastAsia" w:ascii="宋体" w:hAnsi="宋体"/>
          <w:sz w:val="24"/>
          <w:szCs w:val="24"/>
        </w:rPr>
      </w:r>
      <w:r/>
    </w:p>
    <w:p>
      <w:pPr>
        <w:pStyle w:val="97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rPr>
          <w:rFonts w:hint="eastAsia" w:ascii="宋体" w:hAnsi="宋体"/>
          <w:b/>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7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r>
    </w:tbl>
    <w:p>
      <w:pPr>
        <w:pStyle w:val="971"/>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71"/>
        <w:spacing w:line="400" w:lineRule="exact"/>
        <w:rPr>
          <w:rFonts w:ascii="宋体" w:hAnsi="宋体"/>
          <w:sz w:val="24"/>
          <w:szCs w:val="24"/>
        </w:rPr>
      </w:pPr>
      <w:r>
        <w:rPr>
          <w:rFonts w:ascii="宋体" w:hAnsi="宋体"/>
          <w:sz w:val="24"/>
          <w:szCs w:val="24"/>
        </w:rPr>
      </w:r>
      <w:r/>
    </w:p>
    <w:p>
      <w:pPr>
        <w:pStyle w:val="97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71"/>
        <w:spacing w:line="400" w:lineRule="exact"/>
        <w:rPr>
          <w:rFonts w:hint="eastAsia" w:ascii="方正魏碑_GBK" w:hAnsi="方正魏碑_GBK" w:eastAsia="方正魏碑_GBK" w:cs="方正魏碑_GBK"/>
          <w:color w:val="000000"/>
          <w:sz w:val="30"/>
          <w:szCs w:val="30"/>
        </w:rPr>
      </w:pPr>
      <w:r>
        <w:rPr>
          <w:rFonts w:hint="eastAsia" w:ascii="方正魏碑_GBK" w:hAnsi="方正魏碑_GBK" w:eastAsia="方正魏碑_GBK" w:cs="方正魏碑_GBK"/>
          <w:color w:val="000000"/>
          <w:sz w:val="30"/>
          <w:szCs w:val="30"/>
        </w:rPr>
        <w:t xml:space="preserve">1.投标人需对招标文件商务要求中非实质性要求（</w:t>
      </w:r>
      <w:r>
        <w:rPr>
          <w:rFonts w:hint="eastAsia" w:ascii="方正魏碑_GBK" w:hAnsi="方正魏碑_GBK" w:eastAsia="方正魏碑_GBK" w:cs="方正魏碑_GBK"/>
          <w:b/>
          <w:color w:val="000000"/>
          <w:sz w:val="30"/>
          <w:szCs w:val="30"/>
        </w:rPr>
        <w:t xml:space="preserve">未加</w:t>
      </w:r>
      <w:r>
        <w:rPr>
          <w:rFonts w:hint="eastAsia" w:ascii="方正魏碑_GBK" w:hAnsi="方正魏碑_GBK" w:eastAsia="方正魏碑_GBK" w:cs="方正魏碑_GBK"/>
          <w:b/>
          <w:i/>
          <w:color w:val="000000"/>
          <w:sz w:val="30"/>
          <w:szCs w:val="30"/>
          <w:u w:val="single"/>
        </w:rPr>
        <w:t xml:space="preserve">斜体下划线</w:t>
      </w:r>
      <w:r>
        <w:rPr>
          <w:rFonts w:hint="eastAsia" w:ascii="方正魏碑_GBK" w:hAnsi="方正魏碑_GBK" w:eastAsia="方正魏碑_GBK" w:cs="方正魏碑_GBK"/>
          <w:b/>
          <w:iCs/>
          <w:color w:val="000000"/>
          <w:sz w:val="30"/>
          <w:szCs w:val="30"/>
        </w:rPr>
        <w:t xml:space="preserve">部分</w:t>
      </w:r>
      <w:r>
        <w:rPr>
          <w:rFonts w:hint="eastAsia" w:ascii="方正魏碑_GBK" w:hAnsi="方正魏碑_GBK" w:eastAsia="方正魏碑_GBK" w:cs="方正魏碑_GBK"/>
          <w:color w:val="000000"/>
          <w:sz w:val="30"/>
          <w:szCs w:val="30"/>
        </w:rPr>
        <w:t xml:space="preserve">）逐条做出明确响应。</w:t>
      </w:r>
      <w:r/>
    </w:p>
    <w:p>
      <w:pPr>
        <w:pStyle w:val="971"/>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71"/>
        <w:spacing w:line="440" w:lineRule="exact"/>
        <w:rPr>
          <w:rFonts w:ascii="宋体" w:hAnsi="宋体"/>
          <w:sz w:val="24"/>
        </w:rPr>
      </w:pPr>
      <w:r>
        <w:rPr>
          <w:rFonts w:ascii="宋体" w:hAnsi="宋体"/>
          <w:sz w:val="24"/>
        </w:rPr>
      </w:r>
      <w:r/>
    </w:p>
    <w:p>
      <w:pPr>
        <w:pStyle w:val="97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971"/>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971"/>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971"/>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971"/>
        <w:spacing w:line="460" w:lineRule="exact"/>
        <w:rPr>
          <w:rFonts w:hint="eastAsia" w:ascii="宋体" w:hAnsi="宋体"/>
          <w:color w:val="000000"/>
          <w:sz w:val="24"/>
          <w:szCs w:val="24"/>
        </w:rPr>
      </w:pPr>
      <w:r>
        <w:rPr>
          <w:rFonts w:hint="eastAsia" w:ascii="宋体" w:hAnsi="宋体"/>
          <w:bCs/>
          <w:color w:val="000000"/>
          <w:sz w:val="24"/>
        </w:rPr>
        <w:t xml:space="preserve">                   </w:t>
      </w:r>
      <w:r>
        <w:rPr>
          <w:rFonts w:hint="eastAsia" w:ascii="宋体" w:hAnsi="宋体"/>
          <w:bCs/>
          <w:color w:val="000000"/>
          <w:sz w:val="24"/>
        </w:rPr>
      </w:r>
      <w:r/>
    </w:p>
    <w:p>
      <w:pPr>
        <w:spacing w:line="460" w:lineRule="exact"/>
        <w:rPr>
          <w:rFonts w:hint="eastAsia" w:ascii="宋体" w:hAnsi="宋体"/>
          <w:color w:val="000000"/>
          <w:sz w:val="24"/>
          <w:szCs w:val="24"/>
        </w:rPr>
      </w:pPr>
      <w:r>
        <w:rPr>
          <w:rFonts w:hint="eastAsia" w:ascii="宋体" w:hAnsi="宋体"/>
          <w:bCs/>
          <w:color w:val="000000"/>
          <w:sz w:val="24"/>
        </w:rPr>
        <w:t xml:space="preserve">                  </w:t>
      </w:r>
      <w:r/>
    </w:p>
    <w:p>
      <w:pPr>
        <w:pStyle w:val="971"/>
        <w:ind w:left="480"/>
        <w:rPr>
          <w:rFonts w:ascii="宋体" w:hAnsi="宋体"/>
          <w:b/>
          <w:color w:val="000000"/>
          <w:sz w:val="24"/>
        </w:rPr>
      </w:pPr>
      <w:r>
        <w:rPr>
          <w:rFonts w:ascii="宋体" w:hAnsi="宋体"/>
          <w:b/>
          <w:color w:val="000000"/>
          <w:sz w:val="24"/>
        </w:rPr>
      </w:r>
      <w:r/>
    </w:p>
    <w:p>
      <w:pPr>
        <w:pStyle w:val="971"/>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971"/>
        <w:jc w:val="center"/>
        <w:spacing w:line="460" w:lineRule="exact"/>
        <w:rPr>
          <w:rFonts w:ascii="宋体" w:hAnsi="宋体"/>
          <w:b/>
          <w:bCs/>
          <w:color w:val="000000"/>
          <w:sz w:val="24"/>
        </w:rPr>
      </w:pPr>
      <w:r>
        <w:rPr>
          <w:rFonts w:ascii="宋体" w:hAnsi="宋体"/>
          <w:b/>
          <w:bCs/>
          <w:color w:val="000000"/>
          <w:sz w:val="24"/>
        </w:rPr>
      </w:r>
      <w:r/>
    </w:p>
    <w:p>
      <w:pPr>
        <w:pStyle w:val="971"/>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971"/>
        <w:ind w:left="480"/>
        <w:rPr>
          <w:rFonts w:ascii="宋体" w:hAnsi="宋体"/>
          <w:b/>
          <w:color w:val="ff0000"/>
          <w:sz w:val="24"/>
        </w:rPr>
      </w:pPr>
      <w:r>
        <w:rPr>
          <w:rFonts w:ascii="宋体" w:hAnsi="宋体"/>
          <w:b/>
          <w:color w:val="ff0000"/>
          <w:sz w:val="24"/>
        </w:rPr>
      </w:r>
      <w:r/>
    </w:p>
    <w:p>
      <w:pPr>
        <w:pStyle w:val="971"/>
        <w:ind w:firstLine="480"/>
        <w:spacing w:line="460" w:lineRule="exact"/>
        <w:rPr>
          <w:rFonts w:ascii="宋体" w:hAnsi="宋体"/>
          <w:b/>
          <w:color w:val="000000"/>
          <w:sz w:val="24"/>
        </w:rPr>
      </w:pPr>
      <w:r>
        <w:rPr>
          <w:rFonts w:ascii="宋体" w:hAnsi="宋体"/>
          <w:b/>
          <w:color w:val="000000"/>
          <w:sz w:val="24"/>
        </w:rPr>
      </w:r>
      <w:r/>
    </w:p>
    <w:p>
      <w:pPr>
        <w:pStyle w:val="971"/>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97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pStyle w:val="971"/>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971"/>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971"/>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971"/>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971"/>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71"/>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71"/>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71"/>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971"/>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971"/>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105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1058"/>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05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5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5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5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58"/>
        <w:ind w:left="420"/>
        <w:spacing w:before="0" w:after="0" w:line="420" w:lineRule="exact"/>
        <w:rPr>
          <w:rFonts w:hint="eastAsia" w:ascii="宋体" w:hAnsi="宋体"/>
          <w:szCs w:val="21"/>
        </w:rPr>
      </w:pPr>
      <w:r>
        <w:rPr>
          <w:rFonts w:hint="eastAsia" w:ascii="宋体" w:hAnsi="宋体"/>
          <w:szCs w:val="21"/>
        </w:rPr>
        <w:t xml:space="preserve">地          址：</w:t>
      </w:r>
      <w:r/>
    </w:p>
    <w:p>
      <w:pPr>
        <w:pStyle w:val="1058"/>
        <w:ind w:left="420"/>
        <w:spacing w:before="0" w:after="0" w:line="420" w:lineRule="exact"/>
        <w:rPr>
          <w:rFonts w:hint="eastAsia" w:ascii="宋体" w:hAnsi="宋体"/>
          <w:szCs w:val="21"/>
        </w:rPr>
      </w:pPr>
      <w:r>
        <w:rPr>
          <w:rFonts w:hint="eastAsia" w:ascii="宋体" w:hAnsi="宋体"/>
          <w:szCs w:val="21"/>
        </w:rPr>
        <w:t xml:space="preserve">邮          编：</w:t>
      </w:r>
      <w:r/>
    </w:p>
    <w:p>
      <w:pPr>
        <w:pStyle w:val="1058"/>
        <w:ind w:left="420"/>
        <w:spacing w:before="0" w:after="0" w:line="420" w:lineRule="exact"/>
        <w:rPr>
          <w:rFonts w:hint="eastAsia" w:ascii="宋体" w:hAnsi="宋体"/>
          <w:szCs w:val="21"/>
        </w:rPr>
      </w:pPr>
      <w:r>
        <w:rPr>
          <w:rFonts w:hint="eastAsia" w:ascii="宋体" w:hAnsi="宋体"/>
          <w:szCs w:val="21"/>
        </w:rPr>
        <w:t xml:space="preserve">电          话：</w:t>
      </w:r>
      <w:r/>
    </w:p>
    <w:p>
      <w:pPr>
        <w:pStyle w:val="1058"/>
        <w:ind w:left="420"/>
        <w:spacing w:before="0" w:after="0" w:line="420" w:lineRule="exact"/>
        <w:rPr>
          <w:rFonts w:hint="eastAsia" w:ascii="宋体" w:hAnsi="宋体"/>
          <w:szCs w:val="21"/>
        </w:rPr>
      </w:pPr>
      <w:r>
        <w:rPr>
          <w:rFonts w:hint="eastAsia" w:ascii="宋体" w:hAnsi="宋体"/>
          <w:szCs w:val="21"/>
        </w:rPr>
        <w:t xml:space="preserve">传          真：</w:t>
      </w:r>
      <w:r/>
    </w:p>
    <w:p>
      <w:pPr>
        <w:pStyle w:val="105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58"/>
        <w:ind w:left="420"/>
        <w:spacing w:before="0" w:after="0" w:line="420" w:lineRule="exact"/>
        <w:rPr>
          <w:rFonts w:hint="eastAsia" w:ascii="宋体" w:hAnsi="宋体"/>
          <w:szCs w:val="21"/>
        </w:rPr>
      </w:pPr>
      <w:r>
        <w:rPr>
          <w:rFonts w:hint="eastAsia" w:ascii="宋体" w:hAnsi="宋体"/>
          <w:szCs w:val="21"/>
        </w:rPr>
        <w:t xml:space="preserve">账          号： </w:t>
      </w:r>
      <w:r/>
    </w:p>
    <w:p>
      <w:pPr>
        <w:pStyle w:val="105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71"/>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71"/>
        <w:ind w:firstLine="480"/>
        <w:spacing w:line="440" w:lineRule="exact"/>
        <w:rPr>
          <w:rFonts w:ascii="宋体" w:hAnsi="宋体"/>
          <w:sz w:val="24"/>
        </w:rPr>
      </w:pPr>
      <w:r>
        <w:rPr>
          <w:rFonts w:ascii="宋体" w:hAnsi="宋体"/>
          <w:sz w:val="24"/>
        </w:rPr>
      </w:r>
      <w:r/>
    </w:p>
    <w:p>
      <w:pPr>
        <w:pStyle w:val="971"/>
        <w:ind w:firstLine="480"/>
        <w:spacing w:line="440" w:lineRule="exact"/>
        <w:rPr>
          <w:rFonts w:ascii="宋体" w:hAnsi="宋体"/>
          <w:sz w:val="24"/>
        </w:rPr>
      </w:pPr>
      <w:r>
        <w:rPr>
          <w:rFonts w:ascii="宋体" w:hAnsi="宋体"/>
          <w:sz w:val="24"/>
        </w:rPr>
      </w:r>
      <w:r/>
    </w:p>
    <w:p>
      <w:pPr>
        <w:pStyle w:val="971"/>
        <w:ind w:firstLine="480"/>
        <w:spacing w:line="440" w:lineRule="exact"/>
        <w:rPr>
          <w:rFonts w:ascii="宋体" w:hAnsi="宋体"/>
          <w:sz w:val="24"/>
        </w:rPr>
      </w:pPr>
      <w:r>
        <w:rPr>
          <w:rFonts w:ascii="宋体" w:hAnsi="宋体"/>
          <w:sz w:val="24"/>
        </w:rPr>
      </w:r>
      <w:r/>
    </w:p>
    <w:p>
      <w:pPr>
        <w:pStyle w:val="971"/>
        <w:ind w:firstLine="480"/>
        <w:spacing w:line="440" w:lineRule="exact"/>
        <w:rPr>
          <w:rFonts w:ascii="宋体" w:hAnsi="宋体"/>
          <w:sz w:val="24"/>
        </w:rPr>
      </w:pPr>
      <w:r>
        <w:rPr>
          <w:rFonts w:ascii="宋体" w:hAnsi="宋体"/>
          <w:sz w:val="24"/>
        </w:rPr>
      </w:r>
      <w:r/>
    </w:p>
    <w:p>
      <w:pPr>
        <w:pStyle w:val="971"/>
        <w:ind w:firstLine="480"/>
        <w:spacing w:line="440" w:lineRule="exact"/>
        <w:rPr>
          <w:rFonts w:ascii="宋体" w:hAnsi="宋体"/>
          <w:sz w:val="24"/>
        </w:rPr>
      </w:pPr>
      <w:r>
        <w:rPr>
          <w:rFonts w:ascii="宋体" w:hAnsi="宋体"/>
          <w:sz w:val="24"/>
        </w:rPr>
      </w:r>
      <w:r/>
    </w:p>
    <w:p>
      <w:pPr>
        <w:pStyle w:val="971"/>
        <w:spacing w:line="460" w:lineRule="exact"/>
        <w:rPr>
          <w:rFonts w:hint="eastAsia" w:ascii="黑体" w:hAnsi="黑体" w:eastAsia="黑体"/>
          <w:b/>
          <w:sz w:val="32"/>
          <w:szCs w:val="32"/>
        </w:rPr>
      </w:pPr>
      <w:r/>
      <w:bookmarkEnd w:id="200"/>
      <w:r/>
      <w:bookmarkEnd w:id="201"/>
      <w:r/>
      <w:bookmarkEnd w:id="202"/>
      <w:r/>
      <w:bookmarkStart w:id="203" w:name="_Toc120614284"/>
      <w:r>
        <w:rPr>
          <w:rFonts w:hint="eastAsia" w:ascii="黑体" w:hAnsi="黑体" w:eastAsia="黑体"/>
          <w:b/>
          <w:sz w:val="32"/>
          <w:szCs w:val="32"/>
        </w:rPr>
      </w:r>
      <w:r/>
    </w:p>
    <w:p>
      <w:pPr>
        <w:pStyle w:val="971"/>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w:t>
      </w:r>
      <w:r/>
    </w:p>
    <w:p>
      <w:pPr>
        <w:pStyle w:val="971"/>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pStyle w:val="971"/>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71"/>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71"/>
        <w:ind w:firstLine="360"/>
        <w:spacing w:line="400" w:lineRule="exact"/>
        <w:rPr>
          <w:rFonts w:hint="eastAsia" w:ascii="宋体" w:hAnsi="宋体"/>
          <w:sz w:val="24"/>
          <w:szCs w:val="24"/>
        </w:rPr>
      </w:pPr>
      <w:r>
        <w:rPr>
          <w:rFonts w:hint="eastAsia" w:ascii="宋体" w:hAnsi="宋体"/>
          <w:sz w:val="24"/>
          <w:szCs w:val="24"/>
        </w:rPr>
        <w:t xml:space="preserve">……</w:t>
      </w:r>
      <w:r/>
    </w:p>
    <w:p>
      <w:pPr>
        <w:pStyle w:val="971"/>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71"/>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71"/>
        <w:ind w:right="720"/>
        <w:spacing w:line="400" w:lineRule="exact"/>
        <w:rPr>
          <w:rFonts w:hint="eastAsia" w:ascii="宋体" w:hAnsi="宋体"/>
          <w:sz w:val="24"/>
          <w:szCs w:val="24"/>
        </w:rPr>
      </w:pPr>
      <w:r>
        <w:rPr>
          <w:rFonts w:hint="eastAsia" w:ascii="宋体" w:hAnsi="宋体"/>
          <w:sz w:val="24"/>
          <w:szCs w:val="24"/>
        </w:rPr>
      </w:r>
      <w:r/>
    </w:p>
    <w:p>
      <w:pPr>
        <w:pStyle w:val="971"/>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971"/>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971"/>
        <w:ind w:firstLine="240"/>
        <w:spacing w:line="400" w:lineRule="exact"/>
        <w:rPr>
          <w:rFonts w:hint="eastAsia" w:ascii="宋体" w:hAnsi="宋体"/>
          <w:sz w:val="24"/>
          <w:szCs w:val="24"/>
        </w:rPr>
      </w:pPr>
      <w:r>
        <w:rPr>
          <w:rFonts w:hint="eastAsia" w:ascii="宋体" w:hAnsi="宋体"/>
          <w:sz w:val="24"/>
          <w:szCs w:val="24"/>
        </w:rPr>
      </w:r>
      <w:r/>
    </w:p>
    <w:p>
      <w:pPr>
        <w:pStyle w:val="971"/>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71"/>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971"/>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71"/>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971"/>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w:t>
      </w:r>
      <w:r>
        <w:rPr>
          <w:rFonts w:hint="eastAsia" w:ascii="宋体" w:hAnsi="宋体"/>
          <w:color w:val="ff0000"/>
          <w:sz w:val="24"/>
          <w:szCs w:val="24"/>
        </w:rPr>
      </w:r>
      <w:r/>
    </w:p>
    <w:p>
      <w:pPr>
        <w:pStyle w:val="971"/>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pStyle w:val="971"/>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71"/>
        <w:ind w:firstLine="480"/>
        <w:spacing w:line="0" w:lineRule="atLeast"/>
        <w:rPr>
          <w:rFonts w:hint="eastAsia" w:ascii="宋体" w:hAnsi="宋体"/>
          <w:sz w:val="24"/>
        </w:rPr>
      </w:pPr>
      <w:r>
        <w:rPr>
          <w:rFonts w:hint="eastAsia" w:ascii="宋体" w:hAnsi="宋体"/>
          <w:sz w:val="24"/>
        </w:rPr>
      </w:r>
      <w:r/>
    </w:p>
    <w:p>
      <w:pPr>
        <w:pStyle w:val="971"/>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971"/>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971"/>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971"/>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97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71"/>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71"/>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71"/>
        <w:jc w:val="left"/>
        <w:spacing w:line="560" w:lineRule="exact"/>
        <w:rPr>
          <w:rFonts w:hint="eastAsia" w:ascii="黑体" w:hAnsi="黑体" w:eastAsia="黑体"/>
          <w:b/>
          <w:sz w:val="32"/>
          <w:szCs w:val="32"/>
        </w:rPr>
      </w:pPr>
      <w:r>
        <w:rPr>
          <w:rFonts w:hint="eastAsia" w:ascii="黑体" w:hAnsi="黑体" w:eastAsia="黑体"/>
          <w:b/>
          <w:sz w:val="32"/>
          <w:szCs w:val="32"/>
        </w:rPr>
      </w:r>
      <w:r/>
    </w:p>
    <w:p>
      <w:pPr>
        <w:pStyle w:val="971"/>
        <w:spacing w:line="560" w:lineRule="exact"/>
        <w:rPr>
          <w:rFonts w:hint="eastAsia" w:ascii="黑体" w:hAnsi="黑体" w:eastAsia="黑体"/>
          <w:b/>
          <w:sz w:val="32"/>
          <w:szCs w:val="32"/>
        </w:rPr>
      </w:pPr>
      <w:r>
        <w:rPr>
          <w:rFonts w:hint="eastAsia" w:ascii="黑体" w:hAnsi="黑体" w:eastAsia="黑体"/>
          <w:b/>
          <w:sz w:val="32"/>
          <w:szCs w:val="32"/>
        </w:rPr>
      </w:r>
      <w:r/>
    </w:p>
    <w:p>
      <w:pPr>
        <w:pStyle w:val="971"/>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w:t>
      </w:r>
      <w:r>
        <w:rPr>
          <w:rFonts w:ascii="宋体" w:hAnsi="宋体"/>
          <w:b/>
          <w:sz w:val="24"/>
          <w:szCs w:val="24"/>
        </w:rPr>
      </w:r>
      <w:r/>
    </w:p>
    <w:p>
      <w:pPr>
        <w:pStyle w:val="971"/>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71"/>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71"/>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71"/>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71"/>
        <w:ind w:firstLine="645"/>
        <w:spacing w:line="0" w:lineRule="atLeast"/>
        <w:rPr>
          <w:rFonts w:hint="eastAsia" w:ascii="宋体" w:hAnsi="宋体"/>
          <w:sz w:val="24"/>
        </w:rPr>
      </w:pPr>
      <w:r>
        <w:rPr>
          <w:rFonts w:hint="eastAsia" w:ascii="宋体" w:hAnsi="宋体"/>
          <w:sz w:val="24"/>
        </w:rPr>
      </w:r>
      <w:r/>
    </w:p>
    <w:p>
      <w:pPr>
        <w:pStyle w:val="971"/>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71"/>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71"/>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71"/>
        <w:ind w:firstLine="645"/>
        <w:spacing w:line="0" w:lineRule="atLeast"/>
        <w:rPr>
          <w:rFonts w:ascii="宋体" w:hAnsi="宋体"/>
          <w:sz w:val="24"/>
        </w:rPr>
      </w:pPr>
      <w:r>
        <w:rPr>
          <w:rFonts w:ascii="宋体" w:hAnsi="宋体"/>
          <w:sz w:val="24"/>
        </w:rPr>
      </w:r>
      <w:r/>
    </w:p>
    <w:p>
      <w:pPr>
        <w:pStyle w:val="971"/>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71"/>
        <w:ind w:firstLine="645"/>
        <w:spacing w:line="560" w:lineRule="exact"/>
        <w:rPr>
          <w:rFonts w:hint="eastAsia" w:ascii="宋体" w:hAnsi="宋体"/>
          <w:sz w:val="24"/>
        </w:rPr>
      </w:pPr>
      <w:r>
        <w:rPr>
          <w:rFonts w:hint="eastAsia" w:ascii="宋体" w:hAnsi="宋体"/>
          <w:sz w:val="24"/>
        </w:rPr>
      </w:r>
      <w:r/>
    </w:p>
    <w:p>
      <w:pPr>
        <w:pStyle w:val="971"/>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971"/>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w:t>
            </w:r>
            <w:r>
              <w:rPr>
                <w:rFonts w:hint="eastAsia" w:ascii="宋体" w:hAnsi="宋体"/>
                <w:sz w:val="24"/>
                <w:szCs w:val="24"/>
              </w:rPr>
            </w:r>
            <w:r/>
          </w:p>
        </w:tc>
        <w:tc>
          <w:tcPr>
            <w:tcW w:w="3317" w:type="dxa"/>
            <w:vAlign w:val="center"/>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971"/>
              <w:jc w:val="left"/>
              <w:spacing w:line="480" w:lineRule="atLeast"/>
              <w:rPr>
                <w:rFonts w:hint="eastAsia" w:ascii="宋体" w:hAnsi="宋体"/>
                <w:color w:val="000000"/>
                <w:sz w:val="24"/>
                <w:szCs w:val="24"/>
              </w:rPr>
            </w:pPr>
            <w:r>
              <w:rPr>
                <w:rFonts w:hint="eastAsia" w:ascii="宋体" w:hAnsi="宋体"/>
                <w:i/>
                <w:iCs/>
                <w:color w:val="000000"/>
                <w:sz w:val="24"/>
                <w:szCs w:val="24"/>
                <w:u w:val="single"/>
              </w:rPr>
              <w:t xml:space="preserve">投标供应商应保证使用方在使用该产品或其任何一部分时，不受第三方提出侵犯其专利权、商标权和工业设计权的起诉，建设单位不承担任何连带责任和赔偿责任。</w:t>
            </w:r>
            <w:r>
              <w:rPr>
                <w:rFonts w:hint="eastAsia" w:ascii="宋体" w:hAnsi="宋体"/>
                <w:color w:val="000000"/>
                <w:sz w:val="24"/>
                <w:szCs w:val="24"/>
              </w:rPr>
            </w:r>
            <w:r/>
          </w:p>
        </w:tc>
        <w:tc>
          <w:tcPr>
            <w:tcW w:w="3317"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971"/>
              <w:jc w:val="left"/>
              <w:spacing w:line="400" w:lineRule="exact"/>
              <w:rPr>
                <w:rFonts w:hint="eastAsia" w:ascii="宋体" w:hAnsi="宋体"/>
                <w:color w:val="000000"/>
                <w:sz w:val="24"/>
                <w:szCs w:val="24"/>
              </w:rPr>
            </w:pPr>
            <w:r>
              <w:rPr>
                <w:rFonts w:hint="eastAsia" w:ascii="宋体" w:hAnsi="宋体"/>
                <w:i/>
                <w:iCs/>
                <w:color w:val="000000"/>
                <w:sz w:val="24"/>
                <w:szCs w:val="24"/>
                <w:u w:val="single"/>
              </w:rPr>
              <w:t xml:space="preserve">投标供应商不得向第三方泄露采购机构提供的技术文件等资料。</w:t>
            </w:r>
            <w:r>
              <w:rPr>
                <w:rFonts w:hint="eastAsia" w:ascii="宋体" w:hAnsi="宋体"/>
                <w:color w:val="000000"/>
                <w:sz w:val="24"/>
                <w:szCs w:val="24"/>
              </w:rPr>
            </w:r>
            <w:r/>
          </w:p>
        </w:tc>
        <w:tc>
          <w:tcPr>
            <w:tcW w:w="3317"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71"/>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71"/>
              <w:jc w:val="center"/>
              <w:spacing w:line="400" w:lineRule="exact"/>
              <w:rPr>
                <w:rFonts w:hint="eastAsia" w:ascii="宋体" w:hAnsi="宋体"/>
                <w:sz w:val="24"/>
                <w:szCs w:val="24"/>
              </w:rPr>
            </w:pPr>
            <w:r>
              <w:rPr>
                <w:rFonts w:hint="eastAsia" w:ascii="宋体" w:hAnsi="宋体"/>
                <w:sz w:val="24"/>
                <w:szCs w:val="24"/>
              </w:rPr>
            </w:r>
            <w:r/>
          </w:p>
        </w:tc>
      </w:tr>
    </w:tbl>
    <w:p>
      <w:pPr>
        <w:pStyle w:val="971"/>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971"/>
        <w:spacing w:line="400" w:lineRule="exact"/>
        <w:rPr>
          <w:rFonts w:ascii="宋体" w:hAnsi="宋体"/>
          <w:sz w:val="24"/>
          <w:szCs w:val="24"/>
        </w:rPr>
      </w:pPr>
      <w:r>
        <w:rPr>
          <w:rFonts w:ascii="宋体" w:hAnsi="宋体"/>
          <w:sz w:val="24"/>
          <w:szCs w:val="24"/>
        </w:rPr>
      </w:r>
      <w:r/>
    </w:p>
    <w:p>
      <w:pPr>
        <w:pStyle w:val="971"/>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971"/>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971"/>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71"/>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971"/>
        <w:spacing w:line="400" w:lineRule="exact"/>
        <w:rPr>
          <w:rFonts w:hint="eastAsia" w:ascii="宋体" w:hAnsi="宋体"/>
          <w:color w:val="ff0000"/>
          <w:sz w:val="24"/>
          <w:szCs w:val="24"/>
        </w:rPr>
      </w:pPr>
      <w:r>
        <w:rPr>
          <w:rFonts w:hint="eastAsia" w:ascii="宋体" w:hAnsi="宋体"/>
          <w:color w:val="ff0000"/>
          <w:sz w:val="24"/>
          <w:szCs w:val="24"/>
        </w:rPr>
      </w:r>
      <w:r/>
    </w:p>
    <w:p>
      <w:pPr>
        <w:pStyle w:val="971"/>
        <w:spacing w:line="460" w:lineRule="exact"/>
        <w:rPr>
          <w:rFonts w:hint="eastAsia" w:ascii="宋体" w:hAnsi="宋体"/>
          <w:bCs/>
          <w:sz w:val="24"/>
        </w:rPr>
      </w:pPr>
      <w:r>
        <w:rPr>
          <w:rFonts w:hint="eastAsia" w:ascii="宋体" w:hAnsi="宋体"/>
          <w:bCs/>
          <w:sz w:val="24"/>
        </w:rPr>
      </w:r>
      <w:r/>
    </w:p>
    <w:p>
      <w:pPr>
        <w:pStyle w:val="971"/>
        <w:spacing w:line="460" w:lineRule="exact"/>
        <w:rPr>
          <w:rFonts w:hint="eastAsia" w:ascii="宋体" w:hAnsi="宋体"/>
          <w:bCs/>
          <w:sz w:val="24"/>
        </w:rPr>
      </w:pPr>
      <w:r>
        <w:rPr>
          <w:rFonts w:hint="eastAsia" w:ascii="宋体" w:hAnsi="宋体"/>
          <w:bCs/>
          <w:sz w:val="24"/>
        </w:rPr>
      </w:r>
      <w:r/>
    </w:p>
    <w:p>
      <w:pPr>
        <w:pStyle w:val="971"/>
        <w:spacing w:line="460" w:lineRule="exact"/>
        <w:rPr>
          <w:rFonts w:hint="eastAsia" w:ascii="宋体" w:hAnsi="宋体"/>
          <w:bCs/>
          <w:sz w:val="24"/>
        </w:rPr>
      </w:pPr>
      <w:r>
        <w:rPr>
          <w:rFonts w:hint="eastAsia" w:ascii="宋体" w:hAnsi="宋体"/>
          <w:bCs/>
          <w:sz w:val="24"/>
        </w:rPr>
      </w:r>
      <w:r/>
    </w:p>
    <w:p>
      <w:pPr>
        <w:pStyle w:val="971"/>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71"/>
        <w:spacing w:line="460" w:lineRule="exact"/>
        <w:rPr>
          <w:rFonts w:hint="eastAsia" w:ascii="宋体" w:hAnsi="宋体"/>
          <w:sz w:val="24"/>
          <w:szCs w:val="24"/>
        </w:rPr>
      </w:pPr>
      <w:r>
        <w:rPr>
          <w:rFonts w:hint="eastAsia" w:ascii="宋体" w:hAnsi="宋体"/>
          <w:bCs/>
          <w:sz w:val="24"/>
        </w:rPr>
      </w:r>
      <w:r/>
    </w:p>
    <w:p>
      <w:pPr>
        <w:pStyle w:val="971"/>
        <w:rPr>
          <w:rFonts w:hint="eastAsia" w:ascii="宋体" w:hAnsi="宋体" w:cs="仿宋"/>
          <w:b/>
          <w:bCs/>
          <w:sz w:val="32"/>
          <w:szCs w:val="32"/>
        </w:rPr>
      </w:pPr>
      <w:r/>
      <w:bookmarkEnd w:id="189"/>
      <w:r/>
      <w:bookmarkEnd w:id="190"/>
      <w:r/>
      <w:bookmarkEnd w:id="203"/>
      <w:r>
        <w:rPr>
          <w:rFonts w:hint="eastAsia" w:ascii="宋体" w:hAnsi="宋体" w:cs="仿宋"/>
          <w:b/>
          <w:bCs/>
          <w:sz w:val="32"/>
          <w:szCs w:val="32"/>
        </w:rPr>
      </w:r>
      <w:r/>
    </w:p>
    <w:p>
      <w:pPr>
        <w:pStyle w:val="97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7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7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7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7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7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7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7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7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7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7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7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7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7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7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7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7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7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7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7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86"/>
        <w:rPr>
          <w:rFonts w:hint="eastAsia"/>
          <w:sz w:val="24"/>
          <w:szCs w:val="24"/>
        </w:rPr>
      </w:pPr>
      <w:r>
        <w:rPr>
          <w:rFonts w:hint="eastAsia"/>
          <w:sz w:val="24"/>
          <w:szCs w:val="24"/>
        </w:rPr>
      </w:r>
      <w:r/>
    </w:p>
    <w:p>
      <w:pPr>
        <w:pStyle w:val="98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44"/>
        <w:rFonts w:ascii="宋体" w:hAnsi="宋体"/>
      </w:rPr>
      <w:framePr w:wrap="around" w:vAnchor="text" w:hAnchor="margin" w:xAlign="center" w:y="1"/>
    </w:pPr>
    <w:r>
      <w:rPr>
        <w:rFonts w:ascii="宋体" w:hAnsi="宋体"/>
      </w:rPr>
      <w:fldChar w:fldCharType="begin"/>
    </w:r>
    <w:r>
      <w:rPr>
        <w:rStyle w:val="1044"/>
        <w:rFonts w:ascii="宋体" w:hAnsi="宋体"/>
      </w:rPr>
      <w:instrText xml:space="preserve">PAGE  </w:instrText>
    </w:r>
    <w:r>
      <w:rPr>
        <w:rFonts w:ascii="宋体" w:hAnsi="宋体"/>
      </w:rPr>
      <w:fldChar w:fldCharType="separate"/>
    </w:r>
    <w:r>
      <w:rPr>
        <w:rStyle w:val="1044"/>
        <w:rFonts w:ascii="宋体" w:hAnsi="宋体"/>
      </w:rPr>
      <w:t xml:space="preserve">59</w:t>
    </w:r>
    <w:r>
      <w:rPr>
        <w:rFonts w:ascii="宋体" w:hAnsi="宋体"/>
      </w:rPr>
      <w:fldChar w:fldCharType="end"/>
    </w:r>
    <w:r>
      <w:rPr>
        <w:rStyle w:val="1044"/>
        <w:rFonts w:ascii="宋体" w:hAnsi="宋体"/>
      </w:rPr>
    </w:r>
    <w:r/>
  </w:p>
  <w:p>
    <w:pPr>
      <w:pStyle w:val="101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44"/>
      </w:rPr>
      <w:framePr w:wrap="around" w:vAnchor="text" w:hAnchor="margin" w:xAlign="center" w:y="1"/>
    </w:pPr>
    <w:r>
      <w:fldChar w:fldCharType="begin"/>
    </w:r>
    <w:r>
      <w:rPr>
        <w:rStyle w:val="1044"/>
      </w:rPr>
      <w:instrText xml:space="preserve">PAGE  </w:instrText>
    </w:r>
    <w:r>
      <w:fldChar w:fldCharType="separate"/>
    </w:r>
    <w:r>
      <w:rPr>
        <w:rStyle w:val="1044"/>
      </w:rPr>
      <w:t xml:space="preserve">1</w:t>
    </w:r>
    <w:r>
      <w:fldChar w:fldCharType="end"/>
    </w:r>
    <w:r>
      <w:rPr>
        <w:rStyle w:val="1044"/>
      </w:rPr>
    </w:r>
    <w:r/>
  </w:p>
  <w:p>
    <w:pPr>
      <w:pStyle w:val="10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center"/>
    </w:pPr>
    <w:r>
      <w:fldChar w:fldCharType="begin"/>
    </w:r>
    <w:r>
      <w:instrText xml:space="preserve">PAGE   \* MERGEFORMAT</w:instrText>
    </w:r>
    <w:r>
      <w:fldChar w:fldCharType="separate"/>
    </w:r>
    <w:r>
      <w:rPr>
        <w:lang w:val="zh-CN"/>
      </w:rPr>
      <w:t xml:space="preserve">1</w:t>
    </w:r>
    <w:r>
      <w:fldChar w:fldCharType="end"/>
    </w:r>
    <w:r/>
  </w:p>
  <w:p>
    <w:pPr>
      <w:pStyle w:val="10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7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7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7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971"/>
      </w:pPr>
    </w:lvl>
    <w:lvl w:ilvl="1">
      <w:start w:val="1"/>
      <w:numFmt w:val="bullet"/>
      <w:isLgl w:val="false"/>
      <w:suff w:val="tab"/>
      <w:lvlText w:val="o"/>
      <w:lvlJc w:val="left"/>
      <w:pPr>
        <w:pStyle w:val="971"/>
        <w:ind w:left="1440" w:hanging="360"/>
      </w:pPr>
      <w:rPr>
        <w:rFonts w:ascii="Courier New" w:hAnsi="Courier New" w:eastAsia="Courier New" w:cs="Courier New"/>
      </w:rPr>
    </w:lvl>
    <w:lvl w:ilvl="2">
      <w:start w:val="1"/>
      <w:numFmt w:val="bullet"/>
      <w:isLgl w:val="false"/>
      <w:suff w:val="tab"/>
      <w:lvlText w:val="§"/>
      <w:lvlJc w:val="left"/>
      <w:pPr>
        <w:pStyle w:val="971"/>
        <w:ind w:left="2160" w:hanging="360"/>
      </w:pPr>
      <w:rPr>
        <w:rFonts w:ascii="Wingdings" w:hAnsi="Wingdings" w:eastAsia="Wingdings" w:cs="Wingdings"/>
      </w:rPr>
    </w:lvl>
    <w:lvl w:ilvl="3">
      <w:start w:val="1"/>
      <w:numFmt w:val="bullet"/>
      <w:isLgl w:val="false"/>
      <w:suff w:val="tab"/>
      <w:lvlText w:val="·"/>
      <w:lvlJc w:val="left"/>
      <w:pPr>
        <w:pStyle w:val="971"/>
        <w:ind w:left="2880" w:hanging="360"/>
      </w:pPr>
      <w:rPr>
        <w:rFonts w:ascii="Symbol" w:hAnsi="Symbol" w:eastAsia="Symbol" w:cs="Symbol"/>
      </w:rPr>
    </w:lvl>
    <w:lvl w:ilvl="4">
      <w:start w:val="1"/>
      <w:numFmt w:val="bullet"/>
      <w:isLgl w:val="false"/>
      <w:suff w:val="tab"/>
      <w:lvlText w:val="o"/>
      <w:lvlJc w:val="left"/>
      <w:pPr>
        <w:pStyle w:val="971"/>
        <w:ind w:left="3600" w:hanging="360"/>
      </w:pPr>
      <w:rPr>
        <w:rFonts w:ascii="Courier New" w:hAnsi="Courier New" w:eastAsia="Courier New" w:cs="Courier New"/>
      </w:rPr>
    </w:lvl>
    <w:lvl w:ilvl="5">
      <w:start w:val="1"/>
      <w:numFmt w:val="bullet"/>
      <w:isLgl w:val="false"/>
      <w:suff w:val="tab"/>
      <w:lvlText w:val="§"/>
      <w:lvlJc w:val="left"/>
      <w:pPr>
        <w:pStyle w:val="971"/>
        <w:ind w:left="4320" w:hanging="360"/>
      </w:pPr>
      <w:rPr>
        <w:rFonts w:ascii="Wingdings" w:hAnsi="Wingdings" w:eastAsia="Wingdings" w:cs="Wingdings"/>
      </w:rPr>
    </w:lvl>
    <w:lvl w:ilvl="6">
      <w:start w:val="1"/>
      <w:numFmt w:val="bullet"/>
      <w:isLgl w:val="false"/>
      <w:suff w:val="tab"/>
      <w:lvlText w:val="·"/>
      <w:lvlJc w:val="left"/>
      <w:pPr>
        <w:pStyle w:val="971"/>
        <w:ind w:left="5040" w:hanging="360"/>
      </w:pPr>
      <w:rPr>
        <w:rFonts w:ascii="Symbol" w:hAnsi="Symbol" w:eastAsia="Symbol" w:cs="Symbol"/>
      </w:rPr>
    </w:lvl>
    <w:lvl w:ilvl="7">
      <w:start w:val="1"/>
      <w:numFmt w:val="bullet"/>
      <w:isLgl w:val="false"/>
      <w:suff w:val="tab"/>
      <w:lvlText w:val="o"/>
      <w:lvlJc w:val="left"/>
      <w:pPr>
        <w:pStyle w:val="971"/>
        <w:ind w:left="5760" w:hanging="360"/>
      </w:pPr>
      <w:rPr>
        <w:rFonts w:ascii="Courier New" w:hAnsi="Courier New" w:eastAsia="Courier New" w:cs="Courier New"/>
      </w:rPr>
    </w:lvl>
    <w:lvl w:ilvl="8">
      <w:start w:val="1"/>
      <w:numFmt w:val="bullet"/>
      <w:isLgl w:val="false"/>
      <w:suff w:val="tab"/>
      <w:lvlText w:val="§"/>
      <w:lvlJc w:val="left"/>
      <w:pPr>
        <w:pStyle w:val="971"/>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971"/>
        <w:ind w:left="720" w:hanging="720"/>
      </w:pPr>
    </w:lvl>
    <w:lvl w:ilvl="1">
      <w:start w:val="1"/>
      <w:numFmt w:val="lowerLetter"/>
      <w:isLgl w:val="false"/>
      <w:suff w:val="tab"/>
      <w:lvlText w:val="%2)"/>
      <w:lvlJc w:val="left"/>
      <w:pPr>
        <w:pStyle w:val="971"/>
        <w:ind w:left="880" w:hanging="440"/>
      </w:pPr>
    </w:lvl>
    <w:lvl w:ilvl="2">
      <w:start w:val="1"/>
      <w:numFmt w:val="lowerRoman"/>
      <w:isLgl w:val="false"/>
      <w:suff w:val="tab"/>
      <w:lvlText w:val="%3."/>
      <w:lvlJc w:val="right"/>
      <w:pPr>
        <w:pStyle w:val="971"/>
        <w:ind w:left="1320" w:hanging="440"/>
      </w:pPr>
    </w:lvl>
    <w:lvl w:ilvl="3">
      <w:start w:val="1"/>
      <w:numFmt w:val="decimal"/>
      <w:isLgl w:val="false"/>
      <w:suff w:val="tab"/>
      <w:lvlText w:val="%4."/>
      <w:lvlJc w:val="left"/>
      <w:pPr>
        <w:pStyle w:val="971"/>
        <w:ind w:left="1760" w:hanging="440"/>
      </w:pPr>
    </w:lvl>
    <w:lvl w:ilvl="4">
      <w:start w:val="1"/>
      <w:numFmt w:val="lowerLetter"/>
      <w:isLgl w:val="false"/>
      <w:suff w:val="tab"/>
      <w:lvlText w:val="%5)"/>
      <w:lvlJc w:val="left"/>
      <w:pPr>
        <w:pStyle w:val="971"/>
        <w:ind w:left="2200" w:hanging="440"/>
      </w:pPr>
    </w:lvl>
    <w:lvl w:ilvl="5">
      <w:start w:val="1"/>
      <w:numFmt w:val="lowerRoman"/>
      <w:isLgl w:val="false"/>
      <w:suff w:val="tab"/>
      <w:lvlText w:val="%6."/>
      <w:lvlJc w:val="right"/>
      <w:pPr>
        <w:pStyle w:val="971"/>
        <w:ind w:left="2640" w:hanging="440"/>
      </w:pPr>
    </w:lvl>
    <w:lvl w:ilvl="6">
      <w:start w:val="1"/>
      <w:numFmt w:val="decimal"/>
      <w:isLgl w:val="false"/>
      <w:suff w:val="tab"/>
      <w:lvlText w:val="%7."/>
      <w:lvlJc w:val="left"/>
      <w:pPr>
        <w:pStyle w:val="971"/>
        <w:ind w:left="3080" w:hanging="440"/>
      </w:pPr>
    </w:lvl>
    <w:lvl w:ilvl="7">
      <w:start w:val="1"/>
      <w:numFmt w:val="lowerLetter"/>
      <w:isLgl w:val="false"/>
      <w:suff w:val="tab"/>
      <w:lvlText w:val="%8)"/>
      <w:lvlJc w:val="left"/>
      <w:pPr>
        <w:pStyle w:val="971"/>
        <w:ind w:left="3520" w:hanging="440"/>
      </w:pPr>
    </w:lvl>
    <w:lvl w:ilvl="8">
      <w:start w:val="1"/>
      <w:numFmt w:val="lowerRoman"/>
      <w:isLgl w:val="false"/>
      <w:suff w:val="tab"/>
      <w:lvlText w:val="%9."/>
      <w:lvlJc w:val="right"/>
      <w:pPr>
        <w:pStyle w:val="971"/>
        <w:ind w:left="3960" w:hanging="440"/>
      </w:pPr>
    </w:lvl>
  </w:abstractNum>
  <w:abstractNum w:abstractNumId="12">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7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97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pStyle w:val="971"/>
      </w:pPr>
    </w:lvl>
    <w:lvl w:ilvl="1">
      <w:start w:val="1"/>
      <w:numFmt w:val="bullet"/>
      <w:isLgl w:val="false"/>
      <w:suff w:val="tab"/>
      <w:lvlText w:val="o"/>
      <w:lvlJc w:val="left"/>
      <w:pPr>
        <w:pStyle w:val="971"/>
        <w:ind w:left="1440" w:hanging="360"/>
      </w:pPr>
      <w:rPr>
        <w:rFonts w:ascii="Courier New" w:hAnsi="Courier New" w:eastAsia="Courier New" w:cs="Courier New"/>
      </w:rPr>
    </w:lvl>
    <w:lvl w:ilvl="2">
      <w:start w:val="1"/>
      <w:numFmt w:val="bullet"/>
      <w:isLgl w:val="false"/>
      <w:suff w:val="tab"/>
      <w:lvlText w:val="§"/>
      <w:lvlJc w:val="left"/>
      <w:pPr>
        <w:pStyle w:val="971"/>
        <w:ind w:left="2160" w:hanging="360"/>
      </w:pPr>
      <w:rPr>
        <w:rFonts w:ascii="Wingdings" w:hAnsi="Wingdings" w:eastAsia="Wingdings" w:cs="Wingdings"/>
      </w:rPr>
    </w:lvl>
    <w:lvl w:ilvl="3">
      <w:start w:val="1"/>
      <w:numFmt w:val="bullet"/>
      <w:isLgl w:val="false"/>
      <w:suff w:val="tab"/>
      <w:lvlText w:val="·"/>
      <w:lvlJc w:val="left"/>
      <w:pPr>
        <w:pStyle w:val="971"/>
        <w:ind w:left="2880" w:hanging="360"/>
      </w:pPr>
      <w:rPr>
        <w:rFonts w:ascii="Symbol" w:hAnsi="Symbol" w:eastAsia="Symbol" w:cs="Symbol"/>
      </w:rPr>
    </w:lvl>
    <w:lvl w:ilvl="4">
      <w:start w:val="1"/>
      <w:numFmt w:val="bullet"/>
      <w:isLgl w:val="false"/>
      <w:suff w:val="tab"/>
      <w:lvlText w:val="o"/>
      <w:lvlJc w:val="left"/>
      <w:pPr>
        <w:pStyle w:val="971"/>
        <w:ind w:left="3600" w:hanging="360"/>
      </w:pPr>
      <w:rPr>
        <w:rFonts w:ascii="Courier New" w:hAnsi="Courier New" w:eastAsia="Courier New" w:cs="Courier New"/>
      </w:rPr>
    </w:lvl>
    <w:lvl w:ilvl="5">
      <w:start w:val="1"/>
      <w:numFmt w:val="bullet"/>
      <w:isLgl w:val="false"/>
      <w:suff w:val="tab"/>
      <w:lvlText w:val="§"/>
      <w:lvlJc w:val="left"/>
      <w:pPr>
        <w:pStyle w:val="971"/>
        <w:ind w:left="4320" w:hanging="360"/>
      </w:pPr>
      <w:rPr>
        <w:rFonts w:ascii="Wingdings" w:hAnsi="Wingdings" w:eastAsia="Wingdings" w:cs="Wingdings"/>
      </w:rPr>
    </w:lvl>
    <w:lvl w:ilvl="6">
      <w:start w:val="1"/>
      <w:numFmt w:val="bullet"/>
      <w:isLgl w:val="false"/>
      <w:suff w:val="tab"/>
      <w:lvlText w:val="·"/>
      <w:lvlJc w:val="left"/>
      <w:pPr>
        <w:pStyle w:val="971"/>
        <w:ind w:left="5040" w:hanging="360"/>
      </w:pPr>
      <w:rPr>
        <w:rFonts w:ascii="Symbol" w:hAnsi="Symbol" w:eastAsia="Symbol" w:cs="Symbol"/>
      </w:rPr>
    </w:lvl>
    <w:lvl w:ilvl="7">
      <w:start w:val="1"/>
      <w:numFmt w:val="bullet"/>
      <w:isLgl w:val="false"/>
      <w:suff w:val="tab"/>
      <w:lvlText w:val="o"/>
      <w:lvlJc w:val="left"/>
      <w:pPr>
        <w:pStyle w:val="971"/>
        <w:ind w:left="5760" w:hanging="360"/>
      </w:pPr>
      <w:rPr>
        <w:rFonts w:ascii="Courier New" w:hAnsi="Courier New" w:eastAsia="Courier New" w:cs="Courier New"/>
      </w:rPr>
    </w:lvl>
    <w:lvl w:ilvl="8">
      <w:start w:val="1"/>
      <w:numFmt w:val="bullet"/>
      <w:isLgl w:val="false"/>
      <w:suff w:val="tab"/>
      <w:lvlText w:val="§"/>
      <w:lvlJc w:val="left"/>
      <w:pPr>
        <w:pStyle w:val="971"/>
        <w:ind w:left="6480" w:hanging="360"/>
      </w:pPr>
      <w:rPr>
        <w:rFonts w:ascii="Wingdings" w:hAnsi="Wingdings" w:eastAsia="Wingdings" w:cs="Wingdings"/>
      </w:rPr>
    </w:lvl>
  </w:abstractNum>
  <w:abstractNum w:abstractNumId="20">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971"/>
      </w:pPr>
    </w:lvl>
    <w:lvl w:ilvl="1">
      <w:start w:val="1"/>
      <w:numFmt w:val="bullet"/>
      <w:isLgl w:val="false"/>
      <w:suff w:val="tab"/>
      <w:lvlText w:val="o"/>
      <w:lvlJc w:val="left"/>
      <w:pPr>
        <w:pStyle w:val="971"/>
        <w:ind w:left="1440" w:hanging="360"/>
      </w:pPr>
      <w:rPr>
        <w:rFonts w:ascii="Courier New" w:hAnsi="Courier New" w:eastAsia="Courier New" w:cs="Courier New"/>
      </w:rPr>
    </w:lvl>
    <w:lvl w:ilvl="2">
      <w:start w:val="1"/>
      <w:numFmt w:val="bullet"/>
      <w:isLgl w:val="false"/>
      <w:suff w:val="tab"/>
      <w:lvlText w:val="§"/>
      <w:lvlJc w:val="left"/>
      <w:pPr>
        <w:pStyle w:val="971"/>
        <w:ind w:left="2160" w:hanging="360"/>
      </w:pPr>
      <w:rPr>
        <w:rFonts w:ascii="Wingdings" w:hAnsi="Wingdings" w:eastAsia="Wingdings" w:cs="Wingdings"/>
      </w:rPr>
    </w:lvl>
    <w:lvl w:ilvl="3">
      <w:start w:val="1"/>
      <w:numFmt w:val="bullet"/>
      <w:isLgl w:val="false"/>
      <w:suff w:val="tab"/>
      <w:lvlText w:val="·"/>
      <w:lvlJc w:val="left"/>
      <w:pPr>
        <w:pStyle w:val="971"/>
        <w:ind w:left="2880" w:hanging="360"/>
      </w:pPr>
      <w:rPr>
        <w:rFonts w:ascii="Symbol" w:hAnsi="Symbol" w:eastAsia="Symbol" w:cs="Symbol"/>
      </w:rPr>
    </w:lvl>
    <w:lvl w:ilvl="4">
      <w:start w:val="1"/>
      <w:numFmt w:val="bullet"/>
      <w:isLgl w:val="false"/>
      <w:suff w:val="tab"/>
      <w:lvlText w:val="o"/>
      <w:lvlJc w:val="left"/>
      <w:pPr>
        <w:pStyle w:val="971"/>
        <w:ind w:left="3600" w:hanging="360"/>
      </w:pPr>
      <w:rPr>
        <w:rFonts w:ascii="Courier New" w:hAnsi="Courier New" w:eastAsia="Courier New" w:cs="Courier New"/>
      </w:rPr>
    </w:lvl>
    <w:lvl w:ilvl="5">
      <w:start w:val="1"/>
      <w:numFmt w:val="bullet"/>
      <w:isLgl w:val="false"/>
      <w:suff w:val="tab"/>
      <w:lvlText w:val="§"/>
      <w:lvlJc w:val="left"/>
      <w:pPr>
        <w:pStyle w:val="971"/>
        <w:ind w:left="4320" w:hanging="360"/>
      </w:pPr>
      <w:rPr>
        <w:rFonts w:ascii="Wingdings" w:hAnsi="Wingdings" w:eastAsia="Wingdings" w:cs="Wingdings"/>
      </w:rPr>
    </w:lvl>
    <w:lvl w:ilvl="6">
      <w:start w:val="1"/>
      <w:numFmt w:val="bullet"/>
      <w:isLgl w:val="false"/>
      <w:suff w:val="tab"/>
      <w:lvlText w:val="·"/>
      <w:lvlJc w:val="left"/>
      <w:pPr>
        <w:pStyle w:val="971"/>
        <w:ind w:left="5040" w:hanging="360"/>
      </w:pPr>
      <w:rPr>
        <w:rFonts w:ascii="Symbol" w:hAnsi="Symbol" w:eastAsia="Symbol" w:cs="Symbol"/>
      </w:rPr>
    </w:lvl>
    <w:lvl w:ilvl="7">
      <w:start w:val="1"/>
      <w:numFmt w:val="bullet"/>
      <w:isLgl w:val="false"/>
      <w:suff w:val="tab"/>
      <w:lvlText w:val="o"/>
      <w:lvlJc w:val="left"/>
      <w:pPr>
        <w:pStyle w:val="971"/>
        <w:ind w:left="5760" w:hanging="360"/>
      </w:pPr>
      <w:rPr>
        <w:rFonts w:ascii="Courier New" w:hAnsi="Courier New" w:eastAsia="Courier New" w:cs="Courier New"/>
      </w:rPr>
    </w:lvl>
    <w:lvl w:ilvl="8">
      <w:start w:val="1"/>
      <w:numFmt w:val="bullet"/>
      <w:isLgl w:val="false"/>
      <w:suff w:val="tab"/>
      <w:lvlText w:val="§"/>
      <w:lvlJc w:val="left"/>
      <w:pPr>
        <w:pStyle w:val="971"/>
        <w:ind w:left="6480" w:hanging="360"/>
      </w:pPr>
      <w:rPr>
        <w:rFonts w:ascii="Wingdings" w:hAnsi="Wingdings" w:eastAsia="Wingdings" w:cs="Wingdings"/>
      </w:rPr>
    </w:lvl>
  </w:abstractNum>
  <w:abstractNum w:abstractNumId="25">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upperLetter"/>
      <w:pStyle w:val="1050"/>
      <w:isLgl w:val="false"/>
      <w:suff w:val="tab"/>
      <w:lvlText w:val="附录%1."/>
      <w:lvlJc w:val="left"/>
      <w:pPr>
        <w:pStyle w:val="9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97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pStyle w:val="971"/>
        <w:ind w:left="-355" w:hanging="425"/>
      </w:pPr>
    </w:lvl>
    <w:lvl w:ilvl="1">
      <w:start w:val="1"/>
      <w:numFmt w:val="bullet"/>
      <w:isLgl w:val="false"/>
      <w:suff w:val="tab"/>
      <w:lvlText w:val="o"/>
      <w:lvlJc w:val="left"/>
      <w:pPr>
        <w:pStyle w:val="971"/>
        <w:ind w:left="1440" w:hanging="360"/>
      </w:pPr>
      <w:rPr>
        <w:rFonts w:ascii="Courier New" w:hAnsi="Courier New" w:eastAsia="Courier New" w:cs="Courier New"/>
      </w:rPr>
    </w:lvl>
    <w:lvl w:ilvl="2">
      <w:start w:val="1"/>
      <w:numFmt w:val="bullet"/>
      <w:isLgl w:val="false"/>
      <w:suff w:val="tab"/>
      <w:lvlText w:val="§"/>
      <w:lvlJc w:val="left"/>
      <w:pPr>
        <w:pStyle w:val="971"/>
        <w:ind w:left="2160" w:hanging="360"/>
      </w:pPr>
      <w:rPr>
        <w:rFonts w:ascii="Wingdings" w:hAnsi="Wingdings" w:eastAsia="Wingdings" w:cs="Wingdings"/>
      </w:rPr>
    </w:lvl>
    <w:lvl w:ilvl="3">
      <w:start w:val="1"/>
      <w:numFmt w:val="bullet"/>
      <w:isLgl w:val="false"/>
      <w:suff w:val="tab"/>
      <w:lvlText w:val="·"/>
      <w:lvlJc w:val="left"/>
      <w:pPr>
        <w:pStyle w:val="971"/>
        <w:ind w:left="2880" w:hanging="360"/>
      </w:pPr>
      <w:rPr>
        <w:rFonts w:ascii="Symbol" w:hAnsi="Symbol" w:eastAsia="Symbol" w:cs="Symbol"/>
      </w:rPr>
    </w:lvl>
    <w:lvl w:ilvl="4">
      <w:start w:val="1"/>
      <w:numFmt w:val="bullet"/>
      <w:isLgl w:val="false"/>
      <w:suff w:val="tab"/>
      <w:lvlText w:val="o"/>
      <w:lvlJc w:val="left"/>
      <w:pPr>
        <w:pStyle w:val="971"/>
        <w:ind w:left="3600" w:hanging="360"/>
      </w:pPr>
      <w:rPr>
        <w:rFonts w:ascii="Courier New" w:hAnsi="Courier New" w:eastAsia="Courier New" w:cs="Courier New"/>
      </w:rPr>
    </w:lvl>
    <w:lvl w:ilvl="5">
      <w:start w:val="1"/>
      <w:numFmt w:val="bullet"/>
      <w:isLgl w:val="false"/>
      <w:suff w:val="tab"/>
      <w:lvlText w:val="§"/>
      <w:lvlJc w:val="left"/>
      <w:pPr>
        <w:pStyle w:val="971"/>
        <w:ind w:left="4320" w:hanging="360"/>
      </w:pPr>
      <w:rPr>
        <w:rFonts w:ascii="Wingdings" w:hAnsi="Wingdings" w:eastAsia="Wingdings" w:cs="Wingdings"/>
      </w:rPr>
    </w:lvl>
    <w:lvl w:ilvl="6">
      <w:start w:val="1"/>
      <w:numFmt w:val="bullet"/>
      <w:isLgl w:val="false"/>
      <w:suff w:val="tab"/>
      <w:lvlText w:val="·"/>
      <w:lvlJc w:val="left"/>
      <w:pPr>
        <w:pStyle w:val="971"/>
        <w:ind w:left="5040" w:hanging="360"/>
      </w:pPr>
      <w:rPr>
        <w:rFonts w:ascii="Symbol" w:hAnsi="Symbol" w:eastAsia="Symbol" w:cs="Symbol"/>
      </w:rPr>
    </w:lvl>
    <w:lvl w:ilvl="7">
      <w:start w:val="1"/>
      <w:numFmt w:val="bullet"/>
      <w:isLgl w:val="false"/>
      <w:suff w:val="tab"/>
      <w:lvlText w:val="o"/>
      <w:lvlJc w:val="left"/>
      <w:pPr>
        <w:pStyle w:val="971"/>
        <w:ind w:left="5760" w:hanging="360"/>
      </w:pPr>
      <w:rPr>
        <w:rFonts w:ascii="Courier New" w:hAnsi="Courier New" w:eastAsia="Courier New" w:cs="Courier New"/>
      </w:rPr>
    </w:lvl>
    <w:lvl w:ilvl="8">
      <w:start w:val="1"/>
      <w:numFmt w:val="bullet"/>
      <w:isLgl w:val="false"/>
      <w:suff w:val="tab"/>
      <w:lvlText w:val="§"/>
      <w:lvlJc w:val="left"/>
      <w:pPr>
        <w:pStyle w:val="971"/>
        <w:ind w:left="6480" w:hanging="360"/>
      </w:pPr>
      <w:rPr>
        <w:rFonts w:ascii="Wingdings" w:hAnsi="Wingdings" w:eastAsia="Wingdings" w:cs="Wingdings"/>
      </w:rPr>
    </w:lvl>
  </w:abstractNum>
  <w:abstractNum w:abstractNumId="30">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japaneseCounting"/>
      <w:isLgl w:val="false"/>
      <w:suff w:val="tab"/>
      <w:lvlText w:val="（%1）"/>
      <w:lvlJc w:val="left"/>
      <w:pPr>
        <w:pStyle w:val="971"/>
        <w:ind w:left="720" w:hanging="720"/>
      </w:pPr>
    </w:lvl>
    <w:lvl w:ilvl="1">
      <w:start w:val="1"/>
      <w:numFmt w:val="lowerLetter"/>
      <w:isLgl w:val="false"/>
      <w:suff w:val="tab"/>
      <w:lvlText w:val="%2)"/>
      <w:lvlJc w:val="left"/>
      <w:pPr>
        <w:pStyle w:val="971"/>
        <w:ind w:left="880" w:hanging="440"/>
      </w:pPr>
    </w:lvl>
    <w:lvl w:ilvl="2">
      <w:start w:val="1"/>
      <w:numFmt w:val="lowerRoman"/>
      <w:isLgl w:val="false"/>
      <w:suff w:val="tab"/>
      <w:lvlText w:val="%3."/>
      <w:lvlJc w:val="right"/>
      <w:pPr>
        <w:pStyle w:val="971"/>
        <w:ind w:left="1320" w:hanging="440"/>
      </w:pPr>
    </w:lvl>
    <w:lvl w:ilvl="3">
      <w:start w:val="1"/>
      <w:numFmt w:val="decimal"/>
      <w:isLgl w:val="false"/>
      <w:suff w:val="tab"/>
      <w:lvlText w:val="%4."/>
      <w:lvlJc w:val="left"/>
      <w:pPr>
        <w:pStyle w:val="971"/>
        <w:ind w:left="1760" w:hanging="440"/>
      </w:pPr>
    </w:lvl>
    <w:lvl w:ilvl="4">
      <w:start w:val="1"/>
      <w:numFmt w:val="lowerLetter"/>
      <w:isLgl w:val="false"/>
      <w:suff w:val="tab"/>
      <w:lvlText w:val="%5)"/>
      <w:lvlJc w:val="left"/>
      <w:pPr>
        <w:pStyle w:val="971"/>
        <w:ind w:left="2200" w:hanging="440"/>
      </w:pPr>
    </w:lvl>
    <w:lvl w:ilvl="5">
      <w:start w:val="1"/>
      <w:numFmt w:val="lowerRoman"/>
      <w:isLgl w:val="false"/>
      <w:suff w:val="tab"/>
      <w:lvlText w:val="%6."/>
      <w:lvlJc w:val="right"/>
      <w:pPr>
        <w:pStyle w:val="971"/>
        <w:ind w:left="2640" w:hanging="440"/>
      </w:pPr>
    </w:lvl>
    <w:lvl w:ilvl="6">
      <w:start w:val="1"/>
      <w:numFmt w:val="decimal"/>
      <w:isLgl w:val="false"/>
      <w:suff w:val="tab"/>
      <w:lvlText w:val="%7."/>
      <w:lvlJc w:val="left"/>
      <w:pPr>
        <w:pStyle w:val="971"/>
        <w:ind w:left="3080" w:hanging="440"/>
      </w:pPr>
    </w:lvl>
    <w:lvl w:ilvl="7">
      <w:start w:val="1"/>
      <w:numFmt w:val="lowerLetter"/>
      <w:isLgl w:val="false"/>
      <w:suff w:val="tab"/>
      <w:lvlText w:val="%8)"/>
      <w:lvlJc w:val="left"/>
      <w:pPr>
        <w:pStyle w:val="971"/>
        <w:ind w:left="3520" w:hanging="440"/>
      </w:pPr>
    </w:lvl>
    <w:lvl w:ilvl="8">
      <w:start w:val="1"/>
      <w:numFmt w:val="lowerRoman"/>
      <w:isLgl w:val="false"/>
      <w:suff w:val="tab"/>
      <w:lvlText w:val="%9."/>
      <w:lvlJc w:val="right"/>
      <w:pPr>
        <w:pStyle w:val="971"/>
        <w:ind w:left="3960" w:hanging="440"/>
      </w:pPr>
    </w:lvl>
  </w:abstractNum>
  <w:abstractNum w:abstractNumId="32">
    <w:multiLevelType w:val="hybridMultilevel"/>
    <w:lvl w:ilvl="0">
      <w:start w:val="1"/>
      <w:numFmt w:val="decimal"/>
      <w:isLgl w:val="false"/>
      <w:suff w:val="nothing"/>
      <w:lvlText w:val="%1．"/>
      <w:lvlJc w:val="left"/>
      <w:pPr>
        <w:pStyle w:val="97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97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1."/>
      <w:lvlJc w:val="left"/>
      <w:pPr>
        <w:pStyle w:val="971"/>
      </w:pPr>
    </w:lvl>
    <w:lvl w:ilvl="1">
      <w:start w:val="1"/>
      <w:numFmt w:val="bullet"/>
      <w:isLgl w:val="false"/>
      <w:suff w:val="tab"/>
      <w:lvlText w:val="o"/>
      <w:lvlJc w:val="left"/>
      <w:pPr>
        <w:pStyle w:val="971"/>
        <w:ind w:left="1440" w:hanging="360"/>
      </w:pPr>
      <w:rPr>
        <w:rFonts w:ascii="Courier New" w:hAnsi="Courier New" w:eastAsia="Courier New" w:cs="Courier New"/>
      </w:rPr>
    </w:lvl>
    <w:lvl w:ilvl="2">
      <w:start w:val="1"/>
      <w:numFmt w:val="bullet"/>
      <w:isLgl w:val="false"/>
      <w:suff w:val="tab"/>
      <w:lvlText w:val="§"/>
      <w:lvlJc w:val="left"/>
      <w:pPr>
        <w:pStyle w:val="971"/>
        <w:ind w:left="2160" w:hanging="360"/>
      </w:pPr>
      <w:rPr>
        <w:rFonts w:ascii="Wingdings" w:hAnsi="Wingdings" w:eastAsia="Wingdings" w:cs="Wingdings"/>
      </w:rPr>
    </w:lvl>
    <w:lvl w:ilvl="3">
      <w:start w:val="1"/>
      <w:numFmt w:val="bullet"/>
      <w:isLgl w:val="false"/>
      <w:suff w:val="tab"/>
      <w:lvlText w:val="·"/>
      <w:lvlJc w:val="left"/>
      <w:pPr>
        <w:pStyle w:val="971"/>
        <w:ind w:left="2880" w:hanging="360"/>
      </w:pPr>
      <w:rPr>
        <w:rFonts w:ascii="Symbol" w:hAnsi="Symbol" w:eastAsia="Symbol" w:cs="Symbol"/>
      </w:rPr>
    </w:lvl>
    <w:lvl w:ilvl="4">
      <w:start w:val="1"/>
      <w:numFmt w:val="bullet"/>
      <w:isLgl w:val="false"/>
      <w:suff w:val="tab"/>
      <w:lvlText w:val="o"/>
      <w:lvlJc w:val="left"/>
      <w:pPr>
        <w:pStyle w:val="971"/>
        <w:ind w:left="3600" w:hanging="360"/>
      </w:pPr>
      <w:rPr>
        <w:rFonts w:ascii="Courier New" w:hAnsi="Courier New" w:eastAsia="Courier New" w:cs="Courier New"/>
      </w:rPr>
    </w:lvl>
    <w:lvl w:ilvl="5">
      <w:start w:val="1"/>
      <w:numFmt w:val="bullet"/>
      <w:isLgl w:val="false"/>
      <w:suff w:val="tab"/>
      <w:lvlText w:val="§"/>
      <w:lvlJc w:val="left"/>
      <w:pPr>
        <w:pStyle w:val="971"/>
        <w:ind w:left="4320" w:hanging="360"/>
      </w:pPr>
      <w:rPr>
        <w:rFonts w:ascii="Wingdings" w:hAnsi="Wingdings" w:eastAsia="Wingdings" w:cs="Wingdings"/>
      </w:rPr>
    </w:lvl>
    <w:lvl w:ilvl="6">
      <w:start w:val="1"/>
      <w:numFmt w:val="bullet"/>
      <w:isLgl w:val="false"/>
      <w:suff w:val="tab"/>
      <w:lvlText w:val="·"/>
      <w:lvlJc w:val="left"/>
      <w:pPr>
        <w:pStyle w:val="971"/>
        <w:ind w:left="5040" w:hanging="360"/>
      </w:pPr>
      <w:rPr>
        <w:rFonts w:ascii="Symbol" w:hAnsi="Symbol" w:eastAsia="Symbol" w:cs="Symbol"/>
      </w:rPr>
    </w:lvl>
    <w:lvl w:ilvl="7">
      <w:start w:val="1"/>
      <w:numFmt w:val="bullet"/>
      <w:isLgl w:val="false"/>
      <w:suff w:val="tab"/>
      <w:lvlText w:val="o"/>
      <w:lvlJc w:val="left"/>
      <w:pPr>
        <w:pStyle w:val="971"/>
        <w:ind w:left="5760" w:hanging="360"/>
      </w:pPr>
      <w:rPr>
        <w:rFonts w:ascii="Courier New" w:hAnsi="Courier New" w:eastAsia="Courier New" w:cs="Courier New"/>
      </w:rPr>
    </w:lvl>
    <w:lvl w:ilvl="8">
      <w:start w:val="1"/>
      <w:numFmt w:val="bullet"/>
      <w:isLgl w:val="false"/>
      <w:suff w:val="tab"/>
      <w:lvlText w:val="§"/>
      <w:lvlJc w:val="left"/>
      <w:pPr>
        <w:pStyle w:val="971"/>
        <w:ind w:left="6480" w:hanging="360"/>
      </w:pPr>
      <w:rPr>
        <w:rFonts w:ascii="Wingdings" w:hAnsi="Wingdings" w:eastAsia="Wingdings" w:cs="Wingdings"/>
      </w:rPr>
    </w:lvl>
  </w:abstractNum>
  <w:abstractNum w:abstractNumId="35">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pStyle w:val="1067"/>
      <w:isLgl w:val="false"/>
      <w:suff w:val="tab"/>
      <w:lvlText w:val="%1."/>
      <w:lvlJc w:val="left"/>
      <w:pPr>
        <w:pStyle w:val="971"/>
        <w:ind w:left="709" w:hanging="709"/>
        <w:tabs>
          <w:tab w:val="num" w:pos="709" w:leader="none"/>
        </w:tabs>
      </w:pPr>
      <w:rPr>
        <w:rFonts w:hint="eastAsia"/>
      </w:rPr>
    </w:lvl>
    <w:lvl w:ilvl="1">
      <w:start w:val="1"/>
      <w:numFmt w:val="decimal"/>
      <w:isLgl w:val="false"/>
      <w:suff w:val="tab"/>
      <w:lvlText w:val="%1.%2"/>
      <w:lvlJc w:val="left"/>
      <w:pPr>
        <w:pStyle w:val="971"/>
        <w:ind w:left="709" w:hanging="709"/>
        <w:tabs>
          <w:tab w:val="num" w:pos="709" w:leader="none"/>
        </w:tabs>
      </w:pPr>
      <w:rPr>
        <w:rFonts w:hint="eastAsia"/>
      </w:rPr>
    </w:lvl>
    <w:lvl w:ilvl="2">
      <w:start w:val="1"/>
      <w:numFmt w:val="decimal"/>
      <w:isLgl w:val="false"/>
      <w:suff w:val="tab"/>
      <w:lvlText w:val="%1.%2.%3."/>
      <w:lvlJc w:val="left"/>
      <w:pPr>
        <w:pStyle w:val="971"/>
        <w:ind w:left="425" w:hanging="425"/>
        <w:tabs>
          <w:tab w:val="num" w:pos="425" w:leader="none"/>
        </w:tabs>
      </w:pPr>
      <w:rPr>
        <w:rFonts w:hint="eastAsia"/>
      </w:rPr>
    </w:lvl>
    <w:lvl w:ilvl="3">
      <w:start w:val="1"/>
      <w:numFmt w:val="decimal"/>
      <w:isLgl w:val="false"/>
      <w:suff w:val="tab"/>
      <w:lvlText w:val="%1.%2.%3.%4."/>
      <w:lvlJc w:val="left"/>
      <w:pPr>
        <w:pStyle w:val="971"/>
        <w:ind w:left="851" w:hanging="851"/>
        <w:tabs>
          <w:tab w:val="num" w:pos="851" w:leader="none"/>
        </w:tabs>
      </w:pPr>
      <w:rPr>
        <w:rFonts w:hint="eastAsia"/>
      </w:rPr>
    </w:lvl>
    <w:lvl w:ilvl="4">
      <w:start w:val="1"/>
      <w:numFmt w:val="decimal"/>
      <w:isLgl w:val="false"/>
      <w:suff w:val="tab"/>
      <w:lvlText w:val="%1.%2.%3.%4.%5."/>
      <w:lvlJc w:val="left"/>
      <w:pPr>
        <w:pStyle w:val="971"/>
        <w:ind w:left="992" w:hanging="992"/>
        <w:tabs>
          <w:tab w:val="num" w:pos="992" w:leader="none"/>
        </w:tabs>
      </w:pPr>
      <w:rPr>
        <w:rFonts w:hint="eastAsia"/>
      </w:rPr>
    </w:lvl>
    <w:lvl w:ilvl="5">
      <w:start w:val="1"/>
      <w:numFmt w:val="decimal"/>
      <w:isLgl w:val="false"/>
      <w:suff w:val="tab"/>
      <w:lvlText w:val="%1.%2.%3.%4.%5.%6."/>
      <w:lvlJc w:val="left"/>
      <w:pPr>
        <w:pStyle w:val="971"/>
        <w:ind w:left="1134" w:hanging="1134"/>
        <w:tabs>
          <w:tab w:val="num" w:pos="1134" w:leader="none"/>
        </w:tabs>
      </w:pPr>
      <w:rPr>
        <w:rFonts w:hint="eastAsia"/>
      </w:rPr>
    </w:lvl>
    <w:lvl w:ilvl="6">
      <w:start w:val="1"/>
      <w:numFmt w:val="decimal"/>
      <w:isLgl w:val="false"/>
      <w:suff w:val="tab"/>
      <w:lvlText w:val="%1.%2.%3.%4.%5.%6.%7."/>
      <w:lvlJc w:val="left"/>
      <w:pPr>
        <w:pStyle w:val="971"/>
        <w:ind w:left="1276" w:hanging="1276"/>
        <w:tabs>
          <w:tab w:val="num" w:pos="1276" w:leader="none"/>
        </w:tabs>
      </w:pPr>
      <w:rPr>
        <w:rFonts w:hint="eastAsia"/>
      </w:rPr>
    </w:lvl>
    <w:lvl w:ilvl="7">
      <w:start w:val="1"/>
      <w:numFmt w:val="decimal"/>
      <w:isLgl w:val="false"/>
      <w:suff w:val="tab"/>
      <w:lvlText w:val="%1.%2.%3.%4.%5.%6.%7.%8."/>
      <w:lvlJc w:val="left"/>
      <w:pPr>
        <w:pStyle w:val="971"/>
        <w:ind w:left="1418" w:hanging="1418"/>
        <w:tabs>
          <w:tab w:val="num" w:pos="1418" w:leader="none"/>
        </w:tabs>
      </w:pPr>
      <w:rPr>
        <w:rFonts w:hint="eastAsia"/>
      </w:rPr>
    </w:lvl>
    <w:lvl w:ilvl="8">
      <w:start w:val="1"/>
      <w:numFmt w:val="decimal"/>
      <w:isLgl w:val="false"/>
      <w:suff w:val="tab"/>
      <w:lvlText w:val="%1.%2.%3.%4.%5.%6.%7.%8.%9."/>
      <w:lvlJc w:val="left"/>
      <w:pPr>
        <w:pStyle w:val="971"/>
        <w:ind w:left="1559" w:hanging="1559"/>
        <w:tabs>
          <w:tab w:val="num" w:pos="1559" w:leader="none"/>
        </w:tabs>
      </w:pPr>
      <w:rPr>
        <w:rFonts w:hint="eastAsia"/>
      </w:rPr>
    </w:lvl>
  </w:abstractNum>
  <w:abstractNum w:abstractNumId="38">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chineseCounting"/>
      <w:isLgl w:val="false"/>
      <w:suff w:val="nothing"/>
      <w:lvlText w:val="（%1）"/>
      <w:lvlJc w:val="left"/>
      <w:pPr>
        <w:pStyle w:val="971"/>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pStyle w:val="971"/>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pStyle w:val="971"/>
        <w:ind w:left="720" w:hanging="720"/>
      </w:pPr>
    </w:lvl>
    <w:lvl w:ilvl="1">
      <w:start w:val="1"/>
      <w:numFmt w:val="lowerLetter"/>
      <w:isLgl w:val="false"/>
      <w:suff w:val="tab"/>
      <w:lvlText w:val="%2)"/>
      <w:lvlJc w:val="left"/>
      <w:pPr>
        <w:pStyle w:val="971"/>
        <w:ind w:left="840" w:hanging="420"/>
      </w:pPr>
    </w:lvl>
    <w:lvl w:ilvl="2">
      <w:start w:val="1"/>
      <w:numFmt w:val="lowerRoman"/>
      <w:isLgl w:val="false"/>
      <w:suff w:val="tab"/>
      <w:lvlText w:val="%3."/>
      <w:lvlJc w:val="right"/>
      <w:pPr>
        <w:pStyle w:val="971"/>
        <w:ind w:left="1260" w:hanging="420"/>
      </w:pPr>
    </w:lvl>
    <w:lvl w:ilvl="3">
      <w:start w:val="1"/>
      <w:numFmt w:val="decimal"/>
      <w:isLgl w:val="false"/>
      <w:suff w:val="tab"/>
      <w:lvlText w:val="%4."/>
      <w:lvlJc w:val="left"/>
      <w:pPr>
        <w:pStyle w:val="971"/>
        <w:ind w:left="1680" w:hanging="420"/>
      </w:pPr>
    </w:lvl>
    <w:lvl w:ilvl="4">
      <w:start w:val="1"/>
      <w:numFmt w:val="lowerLetter"/>
      <w:isLgl w:val="false"/>
      <w:suff w:val="tab"/>
      <w:lvlText w:val="%5)"/>
      <w:lvlJc w:val="left"/>
      <w:pPr>
        <w:pStyle w:val="971"/>
        <w:ind w:left="2100" w:hanging="420"/>
      </w:pPr>
    </w:lvl>
    <w:lvl w:ilvl="5">
      <w:start w:val="1"/>
      <w:numFmt w:val="lowerRoman"/>
      <w:isLgl w:val="false"/>
      <w:suff w:val="tab"/>
      <w:lvlText w:val="%6."/>
      <w:lvlJc w:val="right"/>
      <w:pPr>
        <w:pStyle w:val="971"/>
        <w:ind w:left="2520" w:hanging="420"/>
      </w:pPr>
    </w:lvl>
    <w:lvl w:ilvl="6">
      <w:start w:val="1"/>
      <w:numFmt w:val="decimal"/>
      <w:isLgl w:val="false"/>
      <w:suff w:val="tab"/>
      <w:lvlText w:val="%7."/>
      <w:lvlJc w:val="left"/>
      <w:pPr>
        <w:pStyle w:val="971"/>
        <w:ind w:left="2940" w:hanging="420"/>
      </w:pPr>
    </w:lvl>
    <w:lvl w:ilvl="7">
      <w:start w:val="1"/>
      <w:numFmt w:val="lowerLetter"/>
      <w:isLgl w:val="false"/>
      <w:suff w:val="tab"/>
      <w:lvlText w:val="%8)"/>
      <w:lvlJc w:val="left"/>
      <w:pPr>
        <w:pStyle w:val="971"/>
        <w:ind w:left="3360" w:hanging="420"/>
      </w:pPr>
    </w:lvl>
    <w:lvl w:ilvl="8">
      <w:start w:val="1"/>
      <w:numFmt w:val="lowerRoman"/>
      <w:isLgl w:val="false"/>
      <w:suff w:val="tab"/>
      <w:lvlText w:val="%9."/>
      <w:lvlJc w:val="right"/>
      <w:pPr>
        <w:pStyle w:val="971"/>
        <w:ind w:left="3780" w:hanging="420"/>
      </w:pPr>
    </w:lvl>
  </w:abstractNum>
  <w:abstractNum w:abstractNumId="42">
    <w:multiLevelType w:val="hybridMultilevel"/>
    <w:lvl w:ilvl="0">
      <w:start w:val="1"/>
      <w:numFmt w:val="chineseCountingThousand"/>
      <w:isLgl w:val="false"/>
      <w:suff w:val="nothing"/>
      <w:lvlText w:val="第%1章 "/>
      <w:lvlJc w:val="left"/>
      <w:pPr>
        <w:pStyle w:val="971"/>
        <w:ind w:left="0" w:firstLine="0"/>
      </w:pPr>
      <w:rPr>
        <w:rFonts w:hint="eastAsia"/>
      </w:rPr>
    </w:lvl>
    <w:lvl w:ilvl="1">
      <w:start w:val="1"/>
      <w:numFmt w:val="decimal"/>
      <w:isLgl w:val="false"/>
      <w:suff w:val="nothing"/>
      <w:lvlText w:val="%2、"/>
      <w:lvlJc w:val="left"/>
      <w:pPr>
        <w:pStyle w:val="971"/>
        <w:ind w:left="0" w:firstLine="0"/>
      </w:pPr>
      <w:rPr>
        <w:rFonts w:hint="eastAsia"/>
      </w:rPr>
    </w:lvl>
    <w:lvl w:ilvl="2">
      <w:start w:val="1"/>
      <w:numFmt w:val="decimal"/>
      <w:isLgl w:val="false"/>
      <w:suff w:val="nothing"/>
      <w:lvlText w:val="%2.%3 "/>
      <w:lvlJc w:val="left"/>
      <w:pPr>
        <w:pStyle w:val="971"/>
        <w:ind w:left="0" w:firstLine="0"/>
      </w:pPr>
      <w:rPr>
        <w:rFonts w:hint="eastAsia"/>
      </w:rPr>
    </w:lvl>
    <w:lvl w:ilvl="3">
      <w:start w:val="1"/>
      <w:numFmt w:val="decimal"/>
      <w:isLgl w:val="false"/>
      <w:suff w:val="nothing"/>
      <w:lvlText w:val="%2.%3.%4 "/>
      <w:lvlJc w:val="left"/>
      <w:pPr>
        <w:pStyle w:val="971"/>
        <w:ind w:left="0" w:firstLine="0"/>
      </w:pPr>
      <w:rPr>
        <w:rFonts w:hint="eastAsia"/>
      </w:rPr>
    </w:lvl>
    <w:lvl w:ilvl="4">
      <w:start w:val="1"/>
      <w:numFmt w:val="decimal"/>
      <w:isLgl w:val="false"/>
      <w:suff w:val="nothing"/>
      <w:lvlText w:val="%2.%3.%4.%5 "/>
      <w:lvlJc w:val="left"/>
      <w:pPr>
        <w:pStyle w:val="971"/>
        <w:ind w:left="0" w:firstLine="0"/>
      </w:pPr>
      <w:rPr>
        <w:rFonts w:hint="eastAsia"/>
      </w:rPr>
    </w:lvl>
    <w:lvl w:ilvl="5">
      <w:start w:val="1"/>
      <w:numFmt w:val="decimal"/>
      <w:pStyle w:val="977"/>
      <w:isLgl w:val="false"/>
      <w:suff w:val="nothing"/>
      <w:lvlText w:val=""/>
      <w:lvlJc w:val="left"/>
      <w:pPr>
        <w:pStyle w:val="971"/>
        <w:ind w:left="0" w:firstLine="0"/>
      </w:pPr>
      <w:rPr>
        <w:rFonts w:hint="eastAsia"/>
      </w:rPr>
    </w:lvl>
    <w:lvl w:ilvl="6">
      <w:start w:val="1"/>
      <w:numFmt w:val="decimal"/>
      <w:pStyle w:val="978"/>
      <w:isLgl w:val="false"/>
      <w:suff w:val="nothing"/>
      <w:lvlText w:val=""/>
      <w:lvlJc w:val="left"/>
      <w:pPr>
        <w:pStyle w:val="971"/>
        <w:ind w:left="0" w:firstLine="0"/>
      </w:pPr>
      <w:rPr>
        <w:rFonts w:hint="eastAsia"/>
      </w:rPr>
    </w:lvl>
    <w:lvl w:ilvl="7">
      <w:start w:val="1"/>
      <w:numFmt w:val="decimal"/>
      <w:pStyle w:val="979"/>
      <w:isLgl w:val="false"/>
      <w:suff w:val="nothing"/>
      <w:lvlText w:val=""/>
      <w:lvlJc w:val="left"/>
      <w:pPr>
        <w:pStyle w:val="971"/>
        <w:ind w:left="0" w:firstLine="0"/>
      </w:pPr>
      <w:rPr>
        <w:rFonts w:hint="eastAsia"/>
      </w:rPr>
    </w:lvl>
    <w:lvl w:ilvl="8">
      <w:start w:val="1"/>
      <w:numFmt w:val="decimal"/>
      <w:pStyle w:val="980"/>
      <w:isLgl w:val="false"/>
      <w:suff w:val="nothing"/>
      <w:lvlText w:val=""/>
      <w:lvlJc w:val="left"/>
      <w:pPr>
        <w:pStyle w:val="971"/>
        <w:ind w:left="0" w:firstLine="0"/>
      </w:pPr>
      <w:rPr>
        <w:rFonts w:hint="eastAsia"/>
      </w:rPr>
    </w:lvl>
  </w:abstractNum>
  <w:abstractNum w:abstractNumId="43">
    <w:multiLevelType w:val="hybridMultilevel"/>
    <w:lvl w:ilvl="0">
      <w:start w:val="1"/>
      <w:numFmt w:val="decimal"/>
      <w:isLgl w:val="false"/>
      <w:suff w:val="nothing"/>
      <w:lvlText w:val="%1、"/>
      <w:lvlJc w:val="left"/>
      <w:pPr>
        <w:pStyle w:val="971"/>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EnclosedCircleChinese"/>
      <w:isLgl w:val="false"/>
      <w:suff w:val="nothing"/>
      <w:lvlText w:val="%1　"/>
      <w:lvlJc w:val="left"/>
      <w:pPr>
        <w:pStyle w:val="97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japaneseCounting"/>
      <w:isLgl w:val="false"/>
      <w:suff w:val="tab"/>
      <w:lvlText w:val="第%1章"/>
      <w:lvlJc w:val="left"/>
      <w:pPr>
        <w:pStyle w:val="9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2"/>
  </w:num>
  <w:num w:numId="2">
    <w:abstractNumId w:val="26"/>
  </w:num>
  <w:num w:numId="3">
    <w:abstractNumId w:val="37"/>
  </w:num>
  <w:num w:numId="4">
    <w:abstractNumId w:val="45"/>
  </w:num>
  <w:num w:numId="5">
    <w:abstractNumId w:val="39"/>
  </w:num>
  <w:num w:numId="6">
    <w:abstractNumId w:val="32"/>
  </w:num>
  <w:num w:numId="7">
    <w:abstractNumId w:val="2"/>
  </w:num>
  <w:num w:numId="8">
    <w:abstractNumId w:val="13"/>
  </w:num>
  <w:num w:numId="9">
    <w:abstractNumId w:val="5"/>
  </w:num>
  <w:num w:numId="10">
    <w:abstractNumId w:val="12"/>
  </w:num>
  <w:num w:numId="11">
    <w:abstractNumId w:val="18"/>
  </w:num>
  <w:num w:numId="12">
    <w:abstractNumId w:val="28"/>
  </w:num>
  <w:num w:numId="13">
    <w:abstractNumId w:val="20"/>
  </w:num>
  <w:num w:numId="14">
    <w:abstractNumId w:val="0"/>
  </w:num>
  <w:num w:numId="15">
    <w:abstractNumId w:val="23"/>
  </w:num>
  <w:num w:numId="16">
    <w:abstractNumId w:val="38"/>
  </w:num>
  <w:num w:numId="17">
    <w:abstractNumId w:val="14"/>
  </w:num>
  <w:num w:numId="18">
    <w:abstractNumId w:val="22"/>
  </w:num>
  <w:num w:numId="19">
    <w:abstractNumId w:val="44"/>
  </w:num>
  <w:num w:numId="20">
    <w:abstractNumId w:val="27"/>
  </w:num>
  <w:num w:numId="21">
    <w:abstractNumId w:val="17"/>
  </w:num>
  <w:num w:numId="22">
    <w:abstractNumId w:val="36"/>
  </w:num>
  <w:num w:numId="23">
    <w:abstractNumId w:val="15"/>
  </w:num>
  <w:num w:numId="24">
    <w:abstractNumId w:val="25"/>
  </w:num>
  <w:num w:numId="25">
    <w:abstractNumId w:val="21"/>
  </w:num>
  <w:num w:numId="26">
    <w:abstractNumId w:val="8"/>
  </w:num>
  <w:num w:numId="27">
    <w:abstractNumId w:val="10"/>
  </w:num>
  <w:num w:numId="28">
    <w:abstractNumId w:val="9"/>
  </w:num>
  <w:num w:numId="29">
    <w:abstractNumId w:val="30"/>
  </w:num>
  <w:num w:numId="30">
    <w:abstractNumId w:val="40"/>
  </w:num>
  <w:num w:numId="31">
    <w:abstractNumId w:val="1"/>
  </w:num>
  <w:num w:numId="32">
    <w:abstractNumId w:val="35"/>
  </w:num>
  <w:num w:numId="33">
    <w:abstractNumId w:val="7"/>
  </w:num>
  <w:num w:numId="34">
    <w:abstractNumId w:val="4"/>
  </w:num>
  <w:num w:numId="35">
    <w:abstractNumId w:val="16"/>
  </w:num>
  <w:num w:numId="36">
    <w:abstractNumId w:val="11"/>
  </w:num>
  <w:num w:numId="37">
    <w:abstractNumId w:val="29"/>
  </w:num>
  <w:num w:numId="38">
    <w:abstractNumId w:val="6"/>
  </w:num>
  <w:num w:numId="39">
    <w:abstractNumId w:val="34"/>
  </w:num>
  <w:num w:numId="40">
    <w:abstractNumId w:val="19"/>
  </w:num>
  <w:num w:numId="41">
    <w:abstractNumId w:val="41"/>
  </w:num>
  <w:num w:numId="42">
    <w:abstractNumId w:val="31"/>
  </w:num>
  <w:num w:numId="43">
    <w:abstractNumId w:val="43"/>
  </w:num>
  <w:num w:numId="44">
    <w:abstractNumId w:val="24"/>
  </w:num>
  <w:num w:numId="45">
    <w:abstractNumId w:val="33"/>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971"/>
    <w:next w:val="971"/>
    <w:link w:val="794"/>
    <w:uiPriority w:val="9"/>
    <w:qFormat/>
    <w:pPr>
      <w:keepLines/>
      <w:keepNext/>
      <w:spacing w:before="480" w:after="200"/>
      <w:outlineLvl w:val="0"/>
    </w:pPr>
    <w:rPr>
      <w:rFonts w:ascii="Arial" w:hAnsi="Arial" w:eastAsia="Arial" w:cs="Arial"/>
      <w:sz w:val="40"/>
      <w:szCs w:val="40"/>
    </w:rPr>
  </w:style>
  <w:style w:type="character" w:styleId="794">
    <w:name w:val="Heading 1 Char"/>
    <w:link w:val="793"/>
    <w:uiPriority w:val="9"/>
    <w:rPr>
      <w:rFonts w:ascii="Arial" w:hAnsi="Arial" w:eastAsia="Arial" w:cs="Arial"/>
      <w:sz w:val="40"/>
      <w:szCs w:val="40"/>
    </w:rPr>
  </w:style>
  <w:style w:type="paragraph" w:styleId="795">
    <w:name w:val="Heading 2"/>
    <w:basedOn w:val="971"/>
    <w:next w:val="971"/>
    <w:link w:val="796"/>
    <w:uiPriority w:val="9"/>
    <w:unhideWhenUsed/>
    <w:qFormat/>
    <w:pPr>
      <w:keepLines/>
      <w:keepNext/>
      <w:spacing w:before="360" w:after="200"/>
      <w:outlineLvl w:val="1"/>
    </w:pPr>
    <w:rPr>
      <w:rFonts w:ascii="Arial" w:hAnsi="Arial" w:eastAsia="Arial" w:cs="Arial"/>
      <w:sz w:val="34"/>
    </w:rPr>
  </w:style>
  <w:style w:type="character" w:styleId="796">
    <w:name w:val="Heading 2 Char"/>
    <w:link w:val="795"/>
    <w:uiPriority w:val="9"/>
    <w:rPr>
      <w:rFonts w:ascii="Arial" w:hAnsi="Arial" w:eastAsia="Arial" w:cs="Arial"/>
      <w:sz w:val="34"/>
    </w:rPr>
  </w:style>
  <w:style w:type="paragraph" w:styleId="797">
    <w:name w:val="Heading 3"/>
    <w:basedOn w:val="971"/>
    <w:next w:val="971"/>
    <w:link w:val="798"/>
    <w:uiPriority w:val="9"/>
    <w:unhideWhenUsed/>
    <w:qFormat/>
    <w:pPr>
      <w:keepLines/>
      <w:keepNext/>
      <w:spacing w:before="320" w:after="200"/>
      <w:outlineLvl w:val="2"/>
    </w:pPr>
    <w:rPr>
      <w:rFonts w:ascii="Arial" w:hAnsi="Arial" w:eastAsia="Arial" w:cs="Arial"/>
      <w:sz w:val="30"/>
      <w:szCs w:val="30"/>
    </w:rPr>
  </w:style>
  <w:style w:type="character" w:styleId="798">
    <w:name w:val="Heading 3 Char"/>
    <w:link w:val="797"/>
    <w:uiPriority w:val="9"/>
    <w:rPr>
      <w:rFonts w:ascii="Arial" w:hAnsi="Arial" w:eastAsia="Arial" w:cs="Arial"/>
      <w:sz w:val="30"/>
      <w:szCs w:val="30"/>
    </w:rPr>
  </w:style>
  <w:style w:type="paragraph" w:styleId="799">
    <w:name w:val="Heading 4"/>
    <w:basedOn w:val="971"/>
    <w:next w:val="971"/>
    <w:link w:val="800"/>
    <w:uiPriority w:val="9"/>
    <w:unhideWhenUsed/>
    <w:qFormat/>
    <w:pPr>
      <w:keepLines/>
      <w:keepNext/>
      <w:spacing w:before="320" w:after="200"/>
      <w:outlineLvl w:val="3"/>
    </w:pPr>
    <w:rPr>
      <w:rFonts w:ascii="Arial" w:hAnsi="Arial" w:eastAsia="Arial" w:cs="Arial"/>
      <w:b/>
      <w:bCs/>
      <w:sz w:val="26"/>
      <w:szCs w:val="26"/>
    </w:rPr>
  </w:style>
  <w:style w:type="character" w:styleId="800">
    <w:name w:val="Heading 4 Char"/>
    <w:link w:val="799"/>
    <w:uiPriority w:val="9"/>
    <w:rPr>
      <w:rFonts w:ascii="Arial" w:hAnsi="Arial" w:eastAsia="Arial" w:cs="Arial"/>
      <w:b/>
      <w:bCs/>
      <w:sz w:val="26"/>
      <w:szCs w:val="26"/>
    </w:rPr>
  </w:style>
  <w:style w:type="paragraph" w:styleId="801">
    <w:name w:val="Heading 5"/>
    <w:basedOn w:val="971"/>
    <w:next w:val="971"/>
    <w:link w:val="802"/>
    <w:uiPriority w:val="9"/>
    <w:unhideWhenUsed/>
    <w:qFormat/>
    <w:pPr>
      <w:keepLines/>
      <w:keepNext/>
      <w:spacing w:before="320" w:after="200"/>
      <w:outlineLvl w:val="4"/>
    </w:pPr>
    <w:rPr>
      <w:rFonts w:ascii="Arial" w:hAnsi="Arial" w:eastAsia="Arial" w:cs="Arial"/>
      <w:b/>
      <w:bCs/>
      <w:sz w:val="24"/>
      <w:szCs w:val="24"/>
    </w:rPr>
  </w:style>
  <w:style w:type="character" w:styleId="802">
    <w:name w:val="Heading 5 Char"/>
    <w:link w:val="801"/>
    <w:uiPriority w:val="9"/>
    <w:rPr>
      <w:rFonts w:ascii="Arial" w:hAnsi="Arial" w:eastAsia="Arial" w:cs="Arial"/>
      <w:b/>
      <w:bCs/>
      <w:sz w:val="24"/>
      <w:szCs w:val="24"/>
    </w:rPr>
  </w:style>
  <w:style w:type="paragraph" w:styleId="803">
    <w:name w:val="Heading 6"/>
    <w:basedOn w:val="971"/>
    <w:next w:val="971"/>
    <w:link w:val="804"/>
    <w:uiPriority w:val="9"/>
    <w:unhideWhenUsed/>
    <w:qFormat/>
    <w:pPr>
      <w:keepLines/>
      <w:keepNext/>
      <w:spacing w:before="320" w:after="200"/>
      <w:outlineLvl w:val="5"/>
    </w:pPr>
    <w:rPr>
      <w:rFonts w:ascii="Arial" w:hAnsi="Arial" w:eastAsia="Arial" w:cs="Arial"/>
      <w:b/>
      <w:bCs/>
      <w:sz w:val="22"/>
      <w:szCs w:val="22"/>
    </w:rPr>
  </w:style>
  <w:style w:type="character" w:styleId="804">
    <w:name w:val="Heading 6 Char"/>
    <w:link w:val="803"/>
    <w:uiPriority w:val="9"/>
    <w:rPr>
      <w:rFonts w:ascii="Arial" w:hAnsi="Arial" w:eastAsia="Arial" w:cs="Arial"/>
      <w:b/>
      <w:bCs/>
      <w:sz w:val="22"/>
      <w:szCs w:val="22"/>
    </w:rPr>
  </w:style>
  <w:style w:type="paragraph" w:styleId="805">
    <w:name w:val="Heading 7"/>
    <w:basedOn w:val="971"/>
    <w:next w:val="971"/>
    <w:link w:val="806"/>
    <w:uiPriority w:val="9"/>
    <w:unhideWhenUsed/>
    <w:qFormat/>
    <w:pPr>
      <w:keepLines/>
      <w:keepNext/>
      <w:spacing w:before="320" w:after="200"/>
      <w:outlineLvl w:val="6"/>
    </w:pPr>
    <w:rPr>
      <w:rFonts w:ascii="Arial" w:hAnsi="Arial" w:eastAsia="Arial" w:cs="Arial"/>
      <w:b/>
      <w:bCs/>
      <w:i/>
      <w:iCs/>
      <w:sz w:val="22"/>
      <w:szCs w:val="22"/>
    </w:rPr>
  </w:style>
  <w:style w:type="character" w:styleId="806">
    <w:name w:val="Heading 7 Char"/>
    <w:link w:val="805"/>
    <w:uiPriority w:val="9"/>
    <w:rPr>
      <w:rFonts w:ascii="Arial" w:hAnsi="Arial" w:eastAsia="Arial" w:cs="Arial"/>
      <w:b/>
      <w:bCs/>
      <w:i/>
      <w:iCs/>
      <w:sz w:val="22"/>
      <w:szCs w:val="22"/>
    </w:rPr>
  </w:style>
  <w:style w:type="paragraph" w:styleId="807">
    <w:name w:val="Heading 8"/>
    <w:basedOn w:val="971"/>
    <w:next w:val="971"/>
    <w:link w:val="808"/>
    <w:uiPriority w:val="9"/>
    <w:unhideWhenUsed/>
    <w:qFormat/>
    <w:pPr>
      <w:keepLines/>
      <w:keepNext/>
      <w:spacing w:before="320" w:after="200"/>
      <w:outlineLvl w:val="7"/>
    </w:pPr>
    <w:rPr>
      <w:rFonts w:ascii="Arial" w:hAnsi="Arial" w:eastAsia="Arial" w:cs="Arial"/>
      <w:i/>
      <w:iCs/>
      <w:sz w:val="22"/>
      <w:szCs w:val="22"/>
    </w:rPr>
  </w:style>
  <w:style w:type="character" w:styleId="808">
    <w:name w:val="Heading 8 Char"/>
    <w:link w:val="807"/>
    <w:uiPriority w:val="9"/>
    <w:rPr>
      <w:rFonts w:ascii="Arial" w:hAnsi="Arial" w:eastAsia="Arial" w:cs="Arial"/>
      <w:i/>
      <w:iCs/>
      <w:sz w:val="22"/>
      <w:szCs w:val="22"/>
    </w:rPr>
  </w:style>
  <w:style w:type="paragraph" w:styleId="809">
    <w:name w:val="Heading 9"/>
    <w:basedOn w:val="971"/>
    <w:next w:val="971"/>
    <w:link w:val="810"/>
    <w:uiPriority w:val="9"/>
    <w:unhideWhenUsed/>
    <w:qFormat/>
    <w:pPr>
      <w:keepLines/>
      <w:keepNext/>
      <w:spacing w:before="320" w:after="200"/>
      <w:outlineLvl w:val="8"/>
    </w:pPr>
    <w:rPr>
      <w:rFonts w:ascii="Arial" w:hAnsi="Arial" w:eastAsia="Arial" w:cs="Arial"/>
      <w:i/>
      <w:iCs/>
      <w:sz w:val="21"/>
      <w:szCs w:val="21"/>
    </w:rPr>
  </w:style>
  <w:style w:type="character" w:styleId="810">
    <w:name w:val="Heading 9 Char"/>
    <w:link w:val="809"/>
    <w:uiPriority w:val="9"/>
    <w:rPr>
      <w:rFonts w:ascii="Arial" w:hAnsi="Arial" w:eastAsia="Arial" w:cs="Arial"/>
      <w:i/>
      <w:iCs/>
      <w:sz w:val="21"/>
      <w:szCs w:val="21"/>
    </w:rPr>
  </w:style>
  <w:style w:type="paragraph" w:styleId="811">
    <w:name w:val="List Paragraph"/>
    <w:basedOn w:val="971"/>
    <w:uiPriority w:val="34"/>
    <w:qFormat/>
    <w:pPr>
      <w:contextualSpacing/>
      <w:ind w:left="720"/>
    </w:pPr>
  </w:style>
  <w:style w:type="paragraph" w:styleId="812">
    <w:name w:val="No Spacing"/>
    <w:uiPriority w:val="1"/>
    <w:qFormat/>
    <w:pPr>
      <w:spacing w:before="0" w:after="0" w:line="240" w:lineRule="auto"/>
    </w:pPr>
  </w:style>
  <w:style w:type="paragraph" w:styleId="813">
    <w:name w:val="Title"/>
    <w:basedOn w:val="971"/>
    <w:next w:val="971"/>
    <w:link w:val="814"/>
    <w:uiPriority w:val="10"/>
    <w:qFormat/>
    <w:pPr>
      <w:contextualSpacing/>
      <w:spacing w:before="300" w:after="200"/>
    </w:pPr>
    <w:rPr>
      <w:sz w:val="48"/>
      <w:szCs w:val="48"/>
    </w:rPr>
  </w:style>
  <w:style w:type="character" w:styleId="814">
    <w:name w:val="Title Char"/>
    <w:link w:val="813"/>
    <w:uiPriority w:val="10"/>
    <w:rPr>
      <w:sz w:val="48"/>
      <w:szCs w:val="48"/>
    </w:rPr>
  </w:style>
  <w:style w:type="paragraph" w:styleId="815">
    <w:name w:val="Subtitle"/>
    <w:basedOn w:val="971"/>
    <w:next w:val="971"/>
    <w:link w:val="816"/>
    <w:uiPriority w:val="11"/>
    <w:qFormat/>
    <w:pPr>
      <w:spacing w:before="200" w:after="200"/>
    </w:pPr>
    <w:rPr>
      <w:sz w:val="24"/>
      <w:szCs w:val="24"/>
    </w:rPr>
  </w:style>
  <w:style w:type="character" w:styleId="816">
    <w:name w:val="Subtitle Char"/>
    <w:link w:val="815"/>
    <w:uiPriority w:val="11"/>
    <w:rPr>
      <w:sz w:val="24"/>
      <w:szCs w:val="24"/>
    </w:rPr>
  </w:style>
  <w:style w:type="paragraph" w:styleId="817">
    <w:name w:val="Quote"/>
    <w:basedOn w:val="971"/>
    <w:next w:val="971"/>
    <w:link w:val="818"/>
    <w:uiPriority w:val="29"/>
    <w:qFormat/>
    <w:pPr>
      <w:ind w:left="720" w:right="720"/>
    </w:pPr>
    <w:rPr>
      <w:i/>
    </w:rPr>
  </w:style>
  <w:style w:type="character" w:styleId="818">
    <w:name w:val="Quote Char"/>
    <w:link w:val="817"/>
    <w:uiPriority w:val="29"/>
    <w:rPr>
      <w:i/>
    </w:rPr>
  </w:style>
  <w:style w:type="paragraph" w:styleId="819">
    <w:name w:val="Intense Quote"/>
    <w:basedOn w:val="971"/>
    <w:next w:val="971"/>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paragraph" w:styleId="821">
    <w:name w:val="Header"/>
    <w:basedOn w:val="971"/>
    <w:link w:val="822"/>
    <w:uiPriority w:val="99"/>
    <w:unhideWhenUsed/>
    <w:pPr>
      <w:spacing w:after="0" w:line="240" w:lineRule="auto"/>
      <w:tabs>
        <w:tab w:val="center" w:pos="7143" w:leader="none"/>
        <w:tab w:val="right" w:pos="14287" w:leader="none"/>
      </w:tabs>
    </w:pPr>
  </w:style>
  <w:style w:type="character" w:styleId="822">
    <w:name w:val="Header Char"/>
    <w:link w:val="821"/>
    <w:uiPriority w:val="99"/>
  </w:style>
  <w:style w:type="paragraph" w:styleId="823">
    <w:name w:val="Footer"/>
    <w:basedOn w:val="971"/>
    <w:link w:val="826"/>
    <w:uiPriority w:val="99"/>
    <w:unhideWhenUsed/>
    <w:pPr>
      <w:spacing w:after="0" w:line="240" w:lineRule="auto"/>
      <w:tabs>
        <w:tab w:val="center" w:pos="7143" w:leader="none"/>
        <w:tab w:val="right" w:pos="14287" w:leader="none"/>
      </w:tabs>
    </w:pPr>
  </w:style>
  <w:style w:type="character" w:styleId="824">
    <w:name w:val="Footer Char"/>
    <w:link w:val="823"/>
    <w:uiPriority w:val="99"/>
  </w:style>
  <w:style w:type="paragraph" w:styleId="825">
    <w:name w:val="Caption"/>
    <w:basedOn w:val="971"/>
    <w:next w:val="971"/>
    <w:uiPriority w:val="35"/>
    <w:semiHidden/>
    <w:unhideWhenUsed/>
    <w:qFormat/>
    <w:pPr>
      <w:spacing w:line="276" w:lineRule="auto"/>
    </w:pPr>
    <w:rPr>
      <w:b/>
      <w:bCs/>
      <w:color w:val="4f81bd" w:themeColor="accent1"/>
      <w:sz w:val="18"/>
      <w:szCs w:val="18"/>
    </w:rPr>
  </w:style>
  <w:style w:type="character" w:styleId="826">
    <w:name w:val="Caption Char"/>
    <w:basedOn w:val="825"/>
    <w:link w:val="823"/>
    <w:uiPriority w:val="99"/>
  </w:style>
  <w:style w:type="table" w:styleId="8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3">
    <w:name w:val="Hyperlink"/>
    <w:uiPriority w:val="99"/>
    <w:unhideWhenUsed/>
    <w:rPr>
      <w:color w:val="0000ff" w:themeColor="hyperlink"/>
      <w:u w:val="single"/>
    </w:rPr>
  </w:style>
  <w:style w:type="paragraph" w:styleId="954">
    <w:name w:val="footnote text"/>
    <w:basedOn w:val="971"/>
    <w:link w:val="955"/>
    <w:uiPriority w:val="99"/>
    <w:semiHidden/>
    <w:unhideWhenUsed/>
    <w:pPr>
      <w:spacing w:after="40" w:line="240" w:lineRule="auto"/>
    </w:pPr>
    <w:rPr>
      <w:sz w:val="18"/>
    </w:rPr>
  </w:style>
  <w:style w:type="character" w:styleId="955">
    <w:name w:val="Footnote Text Char"/>
    <w:link w:val="954"/>
    <w:uiPriority w:val="99"/>
    <w:rPr>
      <w:sz w:val="18"/>
    </w:rPr>
  </w:style>
  <w:style w:type="character" w:styleId="956">
    <w:name w:val="footnote reference"/>
    <w:uiPriority w:val="99"/>
    <w:unhideWhenUsed/>
    <w:rPr>
      <w:vertAlign w:val="superscript"/>
    </w:rPr>
  </w:style>
  <w:style w:type="paragraph" w:styleId="957">
    <w:name w:val="endnote text"/>
    <w:basedOn w:val="971"/>
    <w:link w:val="958"/>
    <w:uiPriority w:val="99"/>
    <w:semiHidden/>
    <w:unhideWhenUsed/>
    <w:pPr>
      <w:spacing w:after="0" w:line="240" w:lineRule="auto"/>
    </w:pPr>
    <w:rPr>
      <w:sz w:val="20"/>
    </w:rPr>
  </w:style>
  <w:style w:type="character" w:styleId="958">
    <w:name w:val="Endnote Text Char"/>
    <w:link w:val="957"/>
    <w:uiPriority w:val="99"/>
    <w:rPr>
      <w:sz w:val="20"/>
    </w:rPr>
  </w:style>
  <w:style w:type="character" w:styleId="959">
    <w:name w:val="endnote reference"/>
    <w:uiPriority w:val="99"/>
    <w:semiHidden/>
    <w:unhideWhenUsed/>
    <w:rPr>
      <w:vertAlign w:val="superscript"/>
    </w:rPr>
  </w:style>
  <w:style w:type="paragraph" w:styleId="960">
    <w:name w:val="toc 1"/>
    <w:basedOn w:val="971"/>
    <w:next w:val="971"/>
    <w:uiPriority w:val="39"/>
    <w:unhideWhenUsed/>
    <w:pPr>
      <w:ind w:left="0" w:right="0" w:firstLine="0"/>
      <w:spacing w:after="57"/>
    </w:pPr>
  </w:style>
  <w:style w:type="paragraph" w:styleId="961">
    <w:name w:val="toc 2"/>
    <w:basedOn w:val="971"/>
    <w:next w:val="971"/>
    <w:uiPriority w:val="39"/>
    <w:unhideWhenUsed/>
    <w:pPr>
      <w:ind w:left="283" w:right="0" w:firstLine="0"/>
      <w:spacing w:after="57"/>
    </w:pPr>
  </w:style>
  <w:style w:type="paragraph" w:styleId="962">
    <w:name w:val="toc 3"/>
    <w:basedOn w:val="971"/>
    <w:next w:val="971"/>
    <w:uiPriority w:val="39"/>
    <w:unhideWhenUsed/>
    <w:pPr>
      <w:ind w:left="567" w:right="0" w:firstLine="0"/>
      <w:spacing w:after="57"/>
    </w:pPr>
  </w:style>
  <w:style w:type="paragraph" w:styleId="963">
    <w:name w:val="toc 4"/>
    <w:basedOn w:val="971"/>
    <w:next w:val="971"/>
    <w:uiPriority w:val="39"/>
    <w:unhideWhenUsed/>
    <w:pPr>
      <w:ind w:left="850" w:right="0" w:firstLine="0"/>
      <w:spacing w:after="57"/>
    </w:pPr>
  </w:style>
  <w:style w:type="paragraph" w:styleId="964">
    <w:name w:val="toc 5"/>
    <w:basedOn w:val="971"/>
    <w:next w:val="971"/>
    <w:uiPriority w:val="39"/>
    <w:unhideWhenUsed/>
    <w:pPr>
      <w:ind w:left="1134" w:right="0" w:firstLine="0"/>
      <w:spacing w:after="57"/>
    </w:pPr>
  </w:style>
  <w:style w:type="paragraph" w:styleId="965">
    <w:name w:val="toc 6"/>
    <w:basedOn w:val="971"/>
    <w:next w:val="971"/>
    <w:uiPriority w:val="39"/>
    <w:unhideWhenUsed/>
    <w:pPr>
      <w:ind w:left="1417" w:right="0" w:firstLine="0"/>
      <w:spacing w:after="57"/>
    </w:pPr>
  </w:style>
  <w:style w:type="paragraph" w:styleId="966">
    <w:name w:val="toc 7"/>
    <w:basedOn w:val="971"/>
    <w:next w:val="971"/>
    <w:uiPriority w:val="39"/>
    <w:unhideWhenUsed/>
    <w:pPr>
      <w:ind w:left="1701" w:right="0" w:firstLine="0"/>
      <w:spacing w:after="57"/>
    </w:pPr>
  </w:style>
  <w:style w:type="paragraph" w:styleId="967">
    <w:name w:val="toc 8"/>
    <w:basedOn w:val="971"/>
    <w:next w:val="971"/>
    <w:uiPriority w:val="39"/>
    <w:unhideWhenUsed/>
    <w:pPr>
      <w:ind w:left="1984" w:right="0" w:firstLine="0"/>
      <w:spacing w:after="57"/>
    </w:pPr>
  </w:style>
  <w:style w:type="paragraph" w:styleId="968">
    <w:name w:val="toc 9"/>
    <w:basedOn w:val="971"/>
    <w:next w:val="971"/>
    <w:uiPriority w:val="39"/>
    <w:unhideWhenUsed/>
    <w:pPr>
      <w:ind w:left="2268" w:right="0" w:firstLine="0"/>
      <w:spacing w:after="57"/>
    </w:pPr>
  </w:style>
  <w:style w:type="paragraph" w:styleId="969">
    <w:name w:val="TOC Heading"/>
    <w:uiPriority w:val="39"/>
    <w:unhideWhenUsed/>
  </w:style>
  <w:style w:type="paragraph" w:styleId="970">
    <w:name w:val="table of figures"/>
    <w:basedOn w:val="971"/>
    <w:next w:val="971"/>
    <w:uiPriority w:val="99"/>
    <w:unhideWhenUsed/>
    <w:pPr>
      <w:spacing w:after="0" w:afterAutospacing="0"/>
    </w:pPr>
  </w:style>
  <w:style w:type="paragraph" w:styleId="971" w:default="1">
    <w:name w:val="Normal"/>
    <w:next w:val="971"/>
    <w:link w:val="971"/>
    <w:qFormat/>
    <w:pPr>
      <w:jc w:val="both"/>
      <w:widowControl w:val="off"/>
    </w:pPr>
    <w:rPr>
      <w:rFonts w:ascii="Times New Roman" w:hAnsi="Times New Roman"/>
      <w:sz w:val="21"/>
      <w:szCs w:val="21"/>
      <w:lang w:val="en-US" w:eastAsia="zh-CN" w:bidi="ar-SA"/>
    </w:rPr>
  </w:style>
  <w:style w:type="paragraph" w:styleId="972">
    <w:name w:val="标题 1"/>
    <w:basedOn w:val="971"/>
    <w:next w:val="971"/>
    <w:link w:val="984"/>
    <w:qFormat/>
    <w:pPr>
      <w:jc w:val="center"/>
      <w:keepNext/>
      <w:outlineLvl w:val="0"/>
    </w:pPr>
    <w:rPr>
      <w:rFonts w:ascii="楷体_GB2312" w:eastAsia="楷体_GB2312"/>
      <w:sz w:val="28"/>
      <w:szCs w:val="28"/>
    </w:rPr>
  </w:style>
  <w:style w:type="paragraph" w:styleId="973">
    <w:name w:val="标题 2"/>
    <w:basedOn w:val="971"/>
    <w:next w:val="986"/>
    <w:link w:val="985"/>
    <w:qFormat/>
    <w:pPr>
      <w:jc w:val="center"/>
      <w:keepLines/>
      <w:keepNext/>
      <w:spacing w:before="260" w:after="260" w:line="416" w:lineRule="auto"/>
      <w:outlineLvl w:val="1"/>
    </w:pPr>
    <w:rPr>
      <w:rFonts w:ascii="Arial" w:hAnsi="Arial" w:eastAsia="幼圆" w:cs="Arial"/>
      <w:b/>
      <w:bCs/>
      <w:sz w:val="44"/>
      <w:szCs w:val="44"/>
    </w:rPr>
  </w:style>
  <w:style w:type="paragraph" w:styleId="974">
    <w:name w:val="标题 3"/>
    <w:basedOn w:val="971"/>
    <w:next w:val="986"/>
    <w:link w:val="988"/>
    <w:qFormat/>
    <w:pPr>
      <w:keepLines/>
      <w:keepNext/>
      <w:spacing w:before="260" w:after="260" w:line="416" w:lineRule="auto"/>
      <w:outlineLvl w:val="2"/>
    </w:pPr>
    <w:rPr>
      <w:b/>
      <w:bCs/>
      <w:sz w:val="32"/>
      <w:szCs w:val="32"/>
    </w:rPr>
  </w:style>
  <w:style w:type="paragraph" w:styleId="975">
    <w:name w:val="标题 4"/>
    <w:basedOn w:val="971"/>
    <w:next w:val="986"/>
    <w:link w:val="989"/>
    <w:qFormat/>
    <w:pPr>
      <w:keepLines/>
      <w:keepNext/>
      <w:spacing w:before="280" w:after="290" w:line="376" w:lineRule="auto"/>
      <w:outlineLvl w:val="3"/>
    </w:pPr>
    <w:rPr>
      <w:rFonts w:ascii="Arial" w:hAnsi="Arial" w:eastAsia="黑体" w:cs="Arial"/>
      <w:b/>
      <w:bCs/>
      <w:sz w:val="28"/>
      <w:szCs w:val="28"/>
    </w:rPr>
  </w:style>
  <w:style w:type="paragraph" w:styleId="976">
    <w:name w:val="标题 5"/>
    <w:basedOn w:val="971"/>
    <w:next w:val="986"/>
    <w:link w:val="990"/>
    <w:qFormat/>
    <w:pPr>
      <w:keepNext/>
      <w:outlineLvl w:val="4"/>
    </w:pPr>
    <w:rPr>
      <w:rFonts w:ascii="宋体"/>
      <w:color w:val="000000"/>
      <w:sz w:val="28"/>
      <w:szCs w:val="28"/>
    </w:rPr>
  </w:style>
  <w:style w:type="paragraph" w:styleId="977">
    <w:name w:val="标题 6"/>
    <w:basedOn w:val="971"/>
    <w:next w:val="971"/>
    <w:link w:val="991"/>
    <w:qFormat/>
    <w:pPr>
      <w:numPr>
        <w:ilvl w:val="5"/>
        <w:numId w:val="1"/>
      </w:numPr>
      <w:keepLines/>
      <w:keepNext/>
      <w:spacing w:before="240" w:after="64" w:line="320" w:lineRule="auto"/>
      <w:outlineLvl w:val="5"/>
    </w:pPr>
    <w:rPr>
      <w:rFonts w:ascii="Arial" w:hAnsi="Arial" w:eastAsia="黑体"/>
      <w:b/>
      <w:bCs/>
      <w:sz w:val="24"/>
      <w:szCs w:val="24"/>
    </w:rPr>
  </w:style>
  <w:style w:type="paragraph" w:styleId="978">
    <w:name w:val="标题 7"/>
    <w:basedOn w:val="971"/>
    <w:next w:val="971"/>
    <w:link w:val="992"/>
    <w:qFormat/>
    <w:pPr>
      <w:numPr>
        <w:ilvl w:val="6"/>
        <w:numId w:val="1"/>
      </w:numPr>
      <w:keepLines/>
      <w:keepNext/>
      <w:spacing w:before="240" w:after="64" w:line="320" w:lineRule="auto"/>
      <w:outlineLvl w:val="6"/>
    </w:pPr>
    <w:rPr>
      <w:b/>
      <w:bCs/>
      <w:sz w:val="24"/>
      <w:szCs w:val="24"/>
    </w:rPr>
  </w:style>
  <w:style w:type="paragraph" w:styleId="979">
    <w:name w:val="标题 8"/>
    <w:basedOn w:val="971"/>
    <w:next w:val="971"/>
    <w:link w:val="993"/>
    <w:qFormat/>
    <w:pPr>
      <w:numPr>
        <w:ilvl w:val="7"/>
        <w:numId w:val="1"/>
      </w:numPr>
      <w:keepLines/>
      <w:keepNext/>
      <w:spacing w:before="240" w:after="64" w:line="320" w:lineRule="auto"/>
      <w:outlineLvl w:val="7"/>
    </w:pPr>
    <w:rPr>
      <w:rFonts w:ascii="Arial" w:hAnsi="Arial" w:eastAsia="黑体"/>
      <w:sz w:val="24"/>
      <w:szCs w:val="24"/>
    </w:rPr>
  </w:style>
  <w:style w:type="paragraph" w:styleId="980">
    <w:name w:val="标题 9"/>
    <w:basedOn w:val="971"/>
    <w:next w:val="971"/>
    <w:link w:val="994"/>
    <w:qFormat/>
    <w:pPr>
      <w:numPr>
        <w:ilvl w:val="8"/>
        <w:numId w:val="1"/>
      </w:numPr>
      <w:keepLines/>
      <w:keepNext/>
      <w:spacing w:before="240" w:after="64" w:line="320" w:lineRule="auto"/>
      <w:outlineLvl w:val="8"/>
    </w:pPr>
    <w:rPr>
      <w:rFonts w:ascii="Arial" w:hAnsi="Arial" w:eastAsia="黑体"/>
    </w:rPr>
  </w:style>
  <w:style w:type="character" w:styleId="981">
    <w:name w:val="默认段落字体"/>
    <w:next w:val="981"/>
    <w:link w:val="971"/>
    <w:uiPriority w:val="1"/>
    <w:unhideWhenUsed/>
  </w:style>
  <w:style w:type="table" w:styleId="982">
    <w:name w:val="普通表格"/>
    <w:next w:val="982"/>
    <w:link w:val="971"/>
    <w:uiPriority w:val="99"/>
    <w:unhideWhenUsed/>
    <w:tblPr/>
  </w:style>
  <w:style w:type="numbering" w:styleId="983">
    <w:name w:val="无列表"/>
    <w:next w:val="983"/>
    <w:link w:val="971"/>
    <w:uiPriority w:val="99"/>
    <w:semiHidden/>
    <w:unhideWhenUsed/>
  </w:style>
  <w:style w:type="character" w:styleId="984">
    <w:name w:val="标题 1 Char"/>
    <w:next w:val="984"/>
    <w:link w:val="972"/>
    <w:rPr>
      <w:rFonts w:ascii="楷体_GB2312" w:hAnsi="Times New Roman" w:eastAsia="楷体_GB2312" w:cs="Times New Roman"/>
      <w:sz w:val="28"/>
      <w:szCs w:val="28"/>
    </w:rPr>
  </w:style>
  <w:style w:type="character" w:styleId="985">
    <w:name w:val="标题 2 Char"/>
    <w:next w:val="985"/>
    <w:link w:val="973"/>
    <w:rPr>
      <w:rFonts w:ascii="Arial" w:hAnsi="Arial" w:eastAsia="幼圆" w:cs="Arial"/>
      <w:b/>
      <w:bCs/>
      <w:sz w:val="44"/>
      <w:szCs w:val="44"/>
    </w:rPr>
  </w:style>
  <w:style w:type="paragraph" w:styleId="986">
    <w:name w:val="正文缩进"/>
    <w:basedOn w:val="971"/>
    <w:next w:val="986"/>
    <w:link w:val="987"/>
    <w:pPr>
      <w:ind w:firstLine="420"/>
    </w:pPr>
  </w:style>
  <w:style w:type="character" w:styleId="987">
    <w:name w:val="正文缩进 Char"/>
    <w:next w:val="987"/>
    <w:link w:val="986"/>
    <w:rPr>
      <w:rFonts w:ascii="Times New Roman" w:hAnsi="Times New Roman" w:eastAsia="宋体" w:cs="Times New Roman"/>
      <w:szCs w:val="21"/>
    </w:rPr>
  </w:style>
  <w:style w:type="character" w:styleId="988">
    <w:name w:val="标题 3 Char"/>
    <w:next w:val="988"/>
    <w:link w:val="974"/>
    <w:rPr>
      <w:rFonts w:ascii="Times New Roman" w:hAnsi="Times New Roman" w:eastAsia="宋体" w:cs="Times New Roman"/>
      <w:b/>
      <w:bCs/>
      <w:sz w:val="32"/>
      <w:szCs w:val="32"/>
    </w:rPr>
  </w:style>
  <w:style w:type="character" w:styleId="989">
    <w:name w:val="标题 4 Char"/>
    <w:next w:val="989"/>
    <w:link w:val="975"/>
    <w:rPr>
      <w:rFonts w:ascii="Arial" w:hAnsi="Arial" w:eastAsia="黑体" w:cs="Arial"/>
      <w:b/>
      <w:bCs/>
      <w:sz w:val="28"/>
      <w:szCs w:val="28"/>
    </w:rPr>
  </w:style>
  <w:style w:type="character" w:styleId="990">
    <w:name w:val="标题 5 Char"/>
    <w:next w:val="990"/>
    <w:link w:val="976"/>
    <w:rPr>
      <w:rFonts w:ascii="宋体" w:hAnsi="Times New Roman" w:eastAsia="宋体" w:cs="Times New Roman"/>
      <w:color w:val="000000"/>
      <w:sz w:val="28"/>
      <w:szCs w:val="28"/>
    </w:rPr>
  </w:style>
  <w:style w:type="character" w:styleId="991">
    <w:name w:val="标题 6 Char"/>
    <w:next w:val="991"/>
    <w:link w:val="977"/>
    <w:rPr>
      <w:rFonts w:ascii="Arial" w:hAnsi="Arial" w:eastAsia="黑体" w:cs="Times New Roman"/>
      <w:b/>
      <w:bCs/>
      <w:sz w:val="24"/>
      <w:szCs w:val="24"/>
    </w:rPr>
  </w:style>
  <w:style w:type="character" w:styleId="992">
    <w:name w:val="标题 7 Char"/>
    <w:next w:val="992"/>
    <w:link w:val="978"/>
    <w:rPr>
      <w:rFonts w:ascii="Times New Roman" w:hAnsi="Times New Roman" w:eastAsia="宋体" w:cs="Times New Roman"/>
      <w:b/>
      <w:bCs/>
      <w:sz w:val="24"/>
      <w:szCs w:val="24"/>
    </w:rPr>
  </w:style>
  <w:style w:type="character" w:styleId="993">
    <w:name w:val="标题 8 Char"/>
    <w:next w:val="993"/>
    <w:link w:val="979"/>
    <w:rPr>
      <w:rFonts w:ascii="Arial" w:hAnsi="Arial" w:eastAsia="黑体" w:cs="Times New Roman"/>
      <w:sz w:val="24"/>
      <w:szCs w:val="24"/>
    </w:rPr>
  </w:style>
  <w:style w:type="character" w:styleId="994">
    <w:name w:val="标题 9 Char"/>
    <w:next w:val="994"/>
    <w:link w:val="980"/>
    <w:rPr>
      <w:rFonts w:ascii="Arial" w:hAnsi="Arial" w:eastAsia="黑体" w:cs="Times New Roman"/>
      <w:szCs w:val="21"/>
    </w:rPr>
  </w:style>
  <w:style w:type="paragraph" w:styleId="995">
    <w:name w:val="列表 3"/>
    <w:basedOn w:val="971"/>
    <w:next w:val="995"/>
    <w:link w:val="971"/>
    <w:pPr>
      <w:ind w:left="100" w:hanging="200"/>
    </w:pPr>
  </w:style>
  <w:style w:type="paragraph" w:styleId="996">
    <w:name w:val="目录 7"/>
    <w:basedOn w:val="971"/>
    <w:next w:val="971"/>
    <w:link w:val="971"/>
    <w:semiHidden/>
    <w:pPr>
      <w:ind w:left="1260"/>
      <w:jc w:val="left"/>
    </w:pPr>
  </w:style>
  <w:style w:type="paragraph" w:styleId="997">
    <w:name w:val="文档结构图"/>
    <w:basedOn w:val="971"/>
    <w:next w:val="997"/>
    <w:link w:val="998"/>
    <w:semiHidden/>
    <w:pPr>
      <w:shd w:val="clear" w:color="auto" w:fill="000080"/>
    </w:pPr>
  </w:style>
  <w:style w:type="character" w:styleId="998">
    <w:name w:val="文档结构图 Char"/>
    <w:next w:val="998"/>
    <w:link w:val="997"/>
    <w:semiHidden/>
    <w:rPr>
      <w:rFonts w:ascii="Times New Roman" w:hAnsi="Times New Roman" w:eastAsia="宋体" w:cs="Times New Roman"/>
      <w:szCs w:val="21"/>
      <w:shd w:val="clear" w:color="auto" w:fill="000080"/>
    </w:rPr>
  </w:style>
  <w:style w:type="paragraph" w:styleId="999">
    <w:name w:val="批注文字"/>
    <w:basedOn w:val="971"/>
    <w:next w:val="999"/>
    <w:link w:val="1000"/>
    <w:semiHidden/>
    <w:pPr>
      <w:jc w:val="left"/>
    </w:pPr>
  </w:style>
  <w:style w:type="character" w:styleId="1000">
    <w:name w:val="批注文字 Char"/>
    <w:next w:val="1000"/>
    <w:link w:val="999"/>
    <w:semiHidden/>
    <w:rPr>
      <w:rFonts w:ascii="Times New Roman" w:hAnsi="Times New Roman" w:eastAsia="宋体" w:cs="Times New Roman"/>
      <w:szCs w:val="21"/>
    </w:rPr>
  </w:style>
  <w:style w:type="paragraph" w:styleId="1001">
    <w:name w:val="正文文本 3"/>
    <w:basedOn w:val="971"/>
    <w:next w:val="1001"/>
    <w:link w:val="1002"/>
    <w:rPr>
      <w:rFonts w:ascii="仿宋_GB2312" w:hAnsi="Arial" w:eastAsia="仿宋_GB2312"/>
      <w:sz w:val="32"/>
      <w:szCs w:val="32"/>
    </w:rPr>
  </w:style>
  <w:style w:type="character" w:styleId="1002">
    <w:name w:val="正文文本 3 Char"/>
    <w:next w:val="1002"/>
    <w:link w:val="1001"/>
    <w:rPr>
      <w:rFonts w:ascii="仿宋_GB2312" w:hAnsi="Arial" w:eastAsia="仿宋_GB2312" w:cs="Times New Roman"/>
      <w:sz w:val="32"/>
      <w:szCs w:val="32"/>
    </w:rPr>
  </w:style>
  <w:style w:type="paragraph" w:styleId="1003">
    <w:name w:val="正文文本"/>
    <w:basedOn w:val="971"/>
    <w:next w:val="1003"/>
    <w:link w:val="1004"/>
    <w:rPr>
      <w:rFonts w:ascii="楷体_GB2312" w:hAnsi="Arial" w:eastAsia="楷体_GB2312"/>
      <w:sz w:val="28"/>
      <w:szCs w:val="28"/>
    </w:rPr>
  </w:style>
  <w:style w:type="character" w:styleId="1004">
    <w:name w:val="正文文本 Char"/>
    <w:next w:val="1004"/>
    <w:link w:val="1003"/>
    <w:rPr>
      <w:rFonts w:ascii="楷体_GB2312" w:hAnsi="Arial" w:eastAsia="楷体_GB2312" w:cs="Times New Roman"/>
      <w:sz w:val="28"/>
      <w:szCs w:val="28"/>
    </w:rPr>
  </w:style>
  <w:style w:type="paragraph" w:styleId="1005">
    <w:name w:val="正文文本缩进"/>
    <w:basedOn w:val="971"/>
    <w:next w:val="1005"/>
    <w:link w:val="1006"/>
    <w:pPr>
      <w:ind w:firstLine="645"/>
    </w:pPr>
    <w:rPr>
      <w:rFonts w:ascii="楷体_GB2312" w:eastAsia="楷体_GB2312"/>
      <w:sz w:val="32"/>
      <w:szCs w:val="32"/>
    </w:rPr>
  </w:style>
  <w:style w:type="character" w:styleId="1006">
    <w:name w:val="正文文本缩进 Char"/>
    <w:next w:val="1006"/>
    <w:link w:val="1005"/>
    <w:rPr>
      <w:rFonts w:ascii="楷体_GB2312" w:hAnsi="Times New Roman" w:eastAsia="楷体_GB2312" w:cs="Times New Roman"/>
      <w:sz w:val="32"/>
      <w:szCs w:val="32"/>
    </w:rPr>
  </w:style>
  <w:style w:type="paragraph" w:styleId="1007">
    <w:name w:val="列表 2"/>
    <w:basedOn w:val="971"/>
    <w:next w:val="1007"/>
    <w:link w:val="971"/>
    <w:pPr>
      <w:ind w:left="100" w:hanging="200"/>
    </w:pPr>
  </w:style>
  <w:style w:type="paragraph" w:styleId="1008">
    <w:name w:val="目录 5"/>
    <w:basedOn w:val="971"/>
    <w:next w:val="971"/>
    <w:link w:val="971"/>
    <w:semiHidden/>
    <w:pPr>
      <w:ind w:left="840"/>
      <w:jc w:val="left"/>
    </w:pPr>
  </w:style>
  <w:style w:type="paragraph" w:styleId="1009">
    <w:name w:val="目录 3"/>
    <w:basedOn w:val="971"/>
    <w:next w:val="971"/>
    <w:link w:val="971"/>
    <w:semiHidden/>
    <w:pPr>
      <w:ind w:left="420"/>
      <w:jc w:val="left"/>
    </w:pPr>
    <w:rPr>
      <w:i/>
      <w:iCs/>
      <w:szCs w:val="24"/>
    </w:rPr>
  </w:style>
  <w:style w:type="paragraph" w:styleId="1010">
    <w:name w:val="纯文本"/>
    <w:basedOn w:val="971"/>
    <w:next w:val="1010"/>
    <w:link w:val="1011"/>
    <w:rPr>
      <w:rFonts w:ascii="宋体" w:hAnsi="Courier New" w:cs="Courier New"/>
    </w:rPr>
  </w:style>
  <w:style w:type="character" w:styleId="1011">
    <w:name w:val="纯文本 Char"/>
    <w:next w:val="1011"/>
    <w:link w:val="1010"/>
    <w:rPr>
      <w:rFonts w:ascii="宋体" w:hAnsi="Courier New" w:eastAsia="宋体" w:cs="Courier New"/>
      <w:szCs w:val="21"/>
    </w:rPr>
  </w:style>
  <w:style w:type="paragraph" w:styleId="1012">
    <w:name w:val="目录 8"/>
    <w:basedOn w:val="971"/>
    <w:next w:val="971"/>
    <w:link w:val="971"/>
    <w:semiHidden/>
    <w:pPr>
      <w:ind w:left="1470"/>
      <w:jc w:val="left"/>
    </w:pPr>
  </w:style>
  <w:style w:type="paragraph" w:styleId="1013">
    <w:name w:val="日期"/>
    <w:basedOn w:val="971"/>
    <w:next w:val="971"/>
    <w:link w:val="1014"/>
    <w:rPr>
      <w:sz w:val="24"/>
      <w:szCs w:val="24"/>
    </w:rPr>
  </w:style>
  <w:style w:type="character" w:styleId="1014">
    <w:name w:val="日期 Char"/>
    <w:next w:val="1014"/>
    <w:link w:val="1013"/>
    <w:rPr>
      <w:rFonts w:ascii="Times New Roman" w:hAnsi="Times New Roman" w:eastAsia="宋体" w:cs="Times New Roman"/>
      <w:sz w:val="24"/>
      <w:szCs w:val="24"/>
    </w:rPr>
  </w:style>
  <w:style w:type="paragraph" w:styleId="1015">
    <w:name w:val="正文文本缩进 2"/>
    <w:basedOn w:val="971"/>
    <w:next w:val="1015"/>
    <w:link w:val="1016"/>
    <w:pPr>
      <w:ind w:left="630" w:firstLine="645"/>
    </w:pPr>
    <w:rPr>
      <w:rFonts w:ascii="Arial" w:hAnsi="Arial" w:eastAsia="仿宋_GB2312" w:cs="Arial"/>
      <w:sz w:val="32"/>
      <w:szCs w:val="32"/>
    </w:rPr>
  </w:style>
  <w:style w:type="character" w:styleId="1016">
    <w:name w:val="正文文本缩进 2 Char"/>
    <w:next w:val="1016"/>
    <w:link w:val="1015"/>
    <w:rPr>
      <w:rFonts w:ascii="Arial" w:hAnsi="Arial" w:eastAsia="仿宋_GB2312" w:cs="Arial"/>
      <w:sz w:val="32"/>
      <w:szCs w:val="32"/>
    </w:rPr>
  </w:style>
  <w:style w:type="paragraph" w:styleId="1017">
    <w:name w:val="批注框文本"/>
    <w:basedOn w:val="971"/>
    <w:next w:val="1017"/>
    <w:link w:val="1018"/>
    <w:semiHidden/>
    <w:rPr>
      <w:sz w:val="18"/>
      <w:szCs w:val="18"/>
    </w:rPr>
  </w:style>
  <w:style w:type="character" w:styleId="1018">
    <w:name w:val="批注框文本 Char"/>
    <w:next w:val="1018"/>
    <w:link w:val="1017"/>
    <w:semiHidden/>
    <w:rPr>
      <w:rFonts w:ascii="Times New Roman" w:hAnsi="Times New Roman" w:eastAsia="宋体" w:cs="Times New Roman"/>
      <w:sz w:val="18"/>
      <w:szCs w:val="18"/>
    </w:rPr>
  </w:style>
  <w:style w:type="paragraph" w:styleId="1019">
    <w:name w:val="页脚"/>
    <w:basedOn w:val="971"/>
    <w:next w:val="1019"/>
    <w:link w:val="1020"/>
    <w:uiPriority w:val="99"/>
    <w:pPr>
      <w:jc w:val="left"/>
      <w:tabs>
        <w:tab w:val="center" w:pos="4153" w:leader="none"/>
        <w:tab w:val="right" w:pos="8306" w:leader="none"/>
      </w:tabs>
    </w:pPr>
    <w:rPr>
      <w:sz w:val="18"/>
      <w:szCs w:val="18"/>
    </w:rPr>
  </w:style>
  <w:style w:type="character" w:styleId="1020">
    <w:name w:val="页脚 Char"/>
    <w:next w:val="1020"/>
    <w:link w:val="1019"/>
    <w:uiPriority w:val="99"/>
    <w:rPr>
      <w:rFonts w:ascii="Times New Roman" w:hAnsi="Times New Roman" w:eastAsia="宋体" w:cs="Times New Roman"/>
      <w:sz w:val="18"/>
      <w:szCs w:val="18"/>
    </w:rPr>
  </w:style>
  <w:style w:type="paragraph" w:styleId="1021">
    <w:name w:val="页眉"/>
    <w:basedOn w:val="971"/>
    <w:next w:val="1021"/>
    <w:link w:val="1022"/>
    <w:pPr>
      <w:jc w:val="center"/>
      <w:tabs>
        <w:tab w:val="center" w:pos="4153" w:leader="none"/>
        <w:tab w:val="right" w:pos="8306" w:leader="none"/>
      </w:tabs>
      <w:pBdr>
        <w:bottom w:val="single" w:color="000000" w:sz="6" w:space="1"/>
      </w:pBdr>
    </w:pPr>
    <w:rPr>
      <w:sz w:val="18"/>
      <w:szCs w:val="18"/>
    </w:rPr>
  </w:style>
  <w:style w:type="character" w:styleId="1022">
    <w:name w:val="页眉 Char"/>
    <w:next w:val="1022"/>
    <w:link w:val="1021"/>
    <w:rPr>
      <w:rFonts w:ascii="Times New Roman" w:hAnsi="Times New Roman" w:eastAsia="宋体" w:cs="Times New Roman"/>
      <w:sz w:val="18"/>
      <w:szCs w:val="18"/>
    </w:rPr>
  </w:style>
  <w:style w:type="paragraph" w:styleId="1023">
    <w:name w:val="目录 1"/>
    <w:basedOn w:val="971"/>
    <w:next w:val="971"/>
    <w:link w:val="971"/>
    <w:semiHidden/>
    <w:pPr>
      <w:jc w:val="left"/>
      <w:spacing w:before="120" w:after="120" w:line="400" w:lineRule="exact"/>
      <w:tabs>
        <w:tab w:val="right" w:pos="8720" w:leader="dot"/>
      </w:tabs>
    </w:pPr>
    <w:rPr>
      <w:rFonts w:ascii="宋体" w:hAnsi="宋体"/>
      <w:caps/>
      <w:sz w:val="24"/>
      <w:szCs w:val="24"/>
    </w:rPr>
  </w:style>
  <w:style w:type="paragraph" w:styleId="1024">
    <w:name w:val="目录 4"/>
    <w:basedOn w:val="971"/>
    <w:next w:val="971"/>
    <w:link w:val="971"/>
    <w:semiHidden/>
    <w:pPr>
      <w:ind w:left="630"/>
      <w:jc w:val="left"/>
    </w:pPr>
  </w:style>
  <w:style w:type="paragraph" w:styleId="1025">
    <w:name w:val="列表"/>
    <w:basedOn w:val="971"/>
    <w:next w:val="1025"/>
    <w:link w:val="971"/>
    <w:pPr>
      <w:ind w:left="200" w:hanging="200"/>
    </w:pPr>
  </w:style>
  <w:style w:type="paragraph" w:styleId="1026">
    <w:name w:val="目录 6"/>
    <w:basedOn w:val="971"/>
    <w:next w:val="971"/>
    <w:link w:val="971"/>
    <w:semiHidden/>
    <w:pPr>
      <w:ind w:left="1050"/>
      <w:jc w:val="left"/>
    </w:pPr>
  </w:style>
  <w:style w:type="paragraph" w:styleId="1027">
    <w:name w:val="正文文本缩进 3"/>
    <w:basedOn w:val="971"/>
    <w:next w:val="1027"/>
    <w:link w:val="1028"/>
    <w:pPr>
      <w:ind w:left="645" w:firstLine="645"/>
    </w:pPr>
    <w:rPr>
      <w:rFonts w:ascii="Arial" w:hAnsi="Arial" w:eastAsia="仿宋_GB2312" w:cs="Arial"/>
      <w:color w:val="ffff00"/>
      <w:sz w:val="32"/>
      <w:szCs w:val="32"/>
    </w:rPr>
  </w:style>
  <w:style w:type="character" w:styleId="1028">
    <w:name w:val="正文文本缩进 3 Char"/>
    <w:next w:val="1028"/>
    <w:link w:val="1027"/>
    <w:rPr>
      <w:rFonts w:ascii="Arial" w:hAnsi="Arial" w:eastAsia="仿宋_GB2312" w:cs="Arial"/>
      <w:color w:val="ffff00"/>
      <w:sz w:val="32"/>
      <w:szCs w:val="32"/>
    </w:rPr>
  </w:style>
  <w:style w:type="paragraph" w:styleId="1029">
    <w:name w:val="图表目录"/>
    <w:basedOn w:val="971"/>
    <w:next w:val="971"/>
    <w:link w:val="971"/>
    <w:semiHidden/>
    <w:pPr>
      <w:ind w:left="840" w:hanging="420"/>
    </w:pPr>
  </w:style>
  <w:style w:type="paragraph" w:styleId="1030">
    <w:name w:val="目录 2"/>
    <w:basedOn w:val="971"/>
    <w:next w:val="971"/>
    <w:link w:val="971"/>
    <w:semiHidden/>
    <w:pPr>
      <w:ind w:left="210"/>
      <w:jc w:val="left"/>
    </w:pPr>
    <w:rPr>
      <w:smallCaps/>
      <w:szCs w:val="24"/>
    </w:rPr>
  </w:style>
  <w:style w:type="paragraph" w:styleId="1031">
    <w:name w:val="目录 9"/>
    <w:basedOn w:val="971"/>
    <w:next w:val="971"/>
    <w:link w:val="971"/>
    <w:semiHidden/>
    <w:pPr>
      <w:ind w:left="1680"/>
      <w:jc w:val="left"/>
    </w:pPr>
  </w:style>
  <w:style w:type="paragraph" w:styleId="1032">
    <w:name w:val="正文文本 2"/>
    <w:basedOn w:val="971"/>
    <w:next w:val="1032"/>
    <w:link w:val="1033"/>
    <w:pPr>
      <w:jc w:val="center"/>
      <w:widowControl/>
    </w:pPr>
    <w:rPr>
      <w:rFonts w:ascii="楷体_GB2312" w:eastAsia="楷体_GB2312"/>
      <w:sz w:val="28"/>
      <w:szCs w:val="28"/>
    </w:rPr>
  </w:style>
  <w:style w:type="character" w:styleId="1033">
    <w:name w:val="正文文本 2 Char"/>
    <w:next w:val="1033"/>
    <w:link w:val="1032"/>
    <w:rPr>
      <w:rFonts w:ascii="楷体_GB2312" w:hAnsi="Times New Roman" w:eastAsia="楷体_GB2312" w:cs="Times New Roman"/>
      <w:sz w:val="28"/>
      <w:szCs w:val="28"/>
    </w:rPr>
  </w:style>
  <w:style w:type="paragraph" w:styleId="1034">
    <w:name w:val="普通(网站)"/>
    <w:basedOn w:val="971"/>
    <w:next w:val="1034"/>
    <w:link w:val="971"/>
    <w:uiPriority w:val="99"/>
    <w:pPr>
      <w:jc w:val="left"/>
      <w:spacing w:before="100" w:beforeAutospacing="1" w:after="100" w:afterAutospacing="1"/>
      <w:widowControl/>
    </w:pPr>
    <w:rPr>
      <w:rFonts w:ascii="宋体" w:hAnsi="宋体" w:cs="宋体"/>
      <w:sz w:val="24"/>
      <w:szCs w:val="24"/>
    </w:rPr>
  </w:style>
  <w:style w:type="paragraph" w:styleId="1035">
    <w:name w:val="索引 1"/>
    <w:basedOn w:val="971"/>
    <w:next w:val="971"/>
    <w:link w:val="971"/>
    <w:semiHidden/>
    <w:pPr>
      <w:spacing w:line="240" w:lineRule="atLeast"/>
    </w:pPr>
    <w:rPr>
      <w:b/>
      <w:bCs/>
    </w:rPr>
  </w:style>
  <w:style w:type="paragraph" w:styleId="1036">
    <w:name w:val="批注主题"/>
    <w:basedOn w:val="999"/>
    <w:next w:val="999"/>
    <w:link w:val="1037"/>
    <w:semiHidden/>
    <w:rPr>
      <w:b/>
      <w:bCs/>
    </w:rPr>
  </w:style>
  <w:style w:type="character" w:styleId="1037">
    <w:name w:val="批注主题 Char"/>
    <w:next w:val="1037"/>
    <w:link w:val="1036"/>
    <w:semiHidden/>
    <w:rPr>
      <w:rFonts w:ascii="Times New Roman" w:hAnsi="Times New Roman" w:eastAsia="宋体" w:cs="Times New Roman"/>
      <w:b/>
      <w:bCs/>
      <w:szCs w:val="21"/>
    </w:rPr>
  </w:style>
  <w:style w:type="paragraph" w:styleId="1038">
    <w:name w:val="正文首行缩进"/>
    <w:basedOn w:val="971"/>
    <w:next w:val="1038"/>
    <w:link w:val="1039"/>
    <w:pPr>
      <w:ind w:firstLine="200"/>
      <w:spacing w:line="360" w:lineRule="auto"/>
    </w:pPr>
    <w:rPr>
      <w:rFonts w:ascii="仿宋_GB2312" w:eastAsia="仿宋_GB2312"/>
      <w:sz w:val="30"/>
      <w:szCs w:val="30"/>
    </w:rPr>
  </w:style>
  <w:style w:type="character" w:styleId="1039">
    <w:name w:val="正文首行缩进 Char"/>
    <w:next w:val="1039"/>
    <w:link w:val="1038"/>
    <w:rPr>
      <w:rFonts w:ascii="仿宋_GB2312" w:hAnsi="Times New Roman" w:eastAsia="仿宋_GB2312" w:cs="Times New Roman"/>
      <w:sz w:val="30"/>
      <w:szCs w:val="30"/>
    </w:rPr>
  </w:style>
  <w:style w:type="paragraph" w:styleId="1040">
    <w:name w:val="正文首行缩进 2"/>
    <w:basedOn w:val="1005"/>
    <w:next w:val="1040"/>
    <w:link w:val="1041"/>
    <w:pPr>
      <w:ind w:firstLine="420"/>
      <w:spacing w:line="360" w:lineRule="auto"/>
    </w:pPr>
    <w:rPr>
      <w:rFonts w:ascii="宋体" w:hAnsi="宋体" w:eastAsia="宋体"/>
      <w:sz w:val="21"/>
      <w:szCs w:val="20"/>
    </w:rPr>
  </w:style>
  <w:style w:type="character" w:styleId="1041">
    <w:name w:val="正文首行缩进 2 Char"/>
    <w:next w:val="1041"/>
    <w:link w:val="1040"/>
    <w:rPr>
      <w:rFonts w:ascii="宋体" w:hAnsi="宋体" w:eastAsia="宋体" w:cs="Times New Roman"/>
      <w:sz w:val="32"/>
      <w:szCs w:val="20"/>
    </w:rPr>
  </w:style>
  <w:style w:type="table" w:styleId="1042">
    <w:name w:val="网格型"/>
    <w:basedOn w:val="982"/>
    <w:next w:val="1042"/>
    <w:link w:val="971"/>
    <w:pPr>
      <w:jc w:val="both"/>
      <w:widowControl w:val="off"/>
    </w:pPr>
    <w:rPr>
      <w:rFonts w:ascii="Times New Roman" w:hAnsi="Times New Roman" w:eastAsia="宋体" w:cs="Times New Roman"/>
      <w:sz w:val="20"/>
      <w:szCs w:val="20"/>
    </w:rPr>
    <w:tblPr/>
  </w:style>
  <w:style w:type="character" w:styleId="1043">
    <w:name w:val="要点"/>
    <w:next w:val="1043"/>
    <w:link w:val="971"/>
    <w:qFormat/>
    <w:rPr>
      <w:b/>
      <w:bCs/>
    </w:rPr>
  </w:style>
  <w:style w:type="character" w:styleId="1044">
    <w:name w:val="页码"/>
    <w:next w:val="1044"/>
    <w:link w:val="971"/>
  </w:style>
  <w:style w:type="character" w:styleId="1045">
    <w:name w:val="访问过的超链接"/>
    <w:next w:val="1045"/>
    <w:link w:val="971"/>
    <w:rPr>
      <w:color w:val="800080"/>
      <w:u w:val="single"/>
    </w:rPr>
  </w:style>
  <w:style w:type="character" w:styleId="1046">
    <w:name w:val="超链接"/>
    <w:next w:val="1046"/>
    <w:link w:val="971"/>
    <w:rPr>
      <w:color w:val="0000ff"/>
      <w:u w:val="single"/>
    </w:rPr>
  </w:style>
  <w:style w:type="character" w:styleId="1047">
    <w:name w:val="批注引用"/>
    <w:next w:val="1047"/>
    <w:link w:val="971"/>
    <w:semiHidden/>
    <w:rPr>
      <w:sz w:val="21"/>
      <w:szCs w:val="21"/>
    </w:rPr>
  </w:style>
  <w:style w:type="character" w:styleId="1048">
    <w:name w:val="font5 Char"/>
    <w:next w:val="1048"/>
    <w:link w:val="971"/>
    <w:rPr>
      <w:rFonts w:ascii="宋体" w:hAnsi="宋体" w:eastAsia="宋体"/>
      <w:sz w:val="28"/>
      <w:szCs w:val="28"/>
      <w:lang w:val="en-US" w:eastAsia="zh-CN" w:bidi="ar-SA"/>
    </w:rPr>
  </w:style>
  <w:style w:type="character" w:styleId="1049">
    <w:name w:val="二级目录 Char"/>
    <w:next w:val="1049"/>
    <w:link w:val="1050"/>
    <w:rPr>
      <w:b/>
      <w:sz w:val="30"/>
      <w:szCs w:val="28"/>
    </w:rPr>
  </w:style>
  <w:style w:type="paragraph" w:styleId="1050">
    <w:name w:val="二级目录"/>
    <w:next w:val="971"/>
    <w:link w:val="1049"/>
    <w:pPr>
      <w:numPr>
        <w:ilvl w:val="0"/>
        <w:numId w:val="2"/>
      </w:numPr>
      <w:tabs>
        <w:tab w:val="left" w:pos="907" w:leader="none"/>
        <w:tab w:val="left" w:pos="1145" w:leader="none"/>
      </w:tabs>
      <w:outlineLvl w:val="1"/>
    </w:pPr>
    <w:rPr>
      <w:b/>
      <w:sz w:val="30"/>
      <w:szCs w:val="28"/>
      <w:lang w:val="en-US" w:eastAsia="zh-CN" w:bidi="ar-SA"/>
    </w:rPr>
  </w:style>
  <w:style w:type="character" w:styleId="1051">
    <w:name w:val="列出段落 Char,Bullet List Char,numbered Char,FooterText Char,List Paragraph1 Char,Paragraphe de liste1 Char"/>
    <w:next w:val="1051"/>
    <w:link w:val="1052"/>
    <w:rPr>
      <w:rFonts w:ascii="Calibri" w:hAnsi="Calibri"/>
      <w:sz w:val="24"/>
      <w:szCs w:val="24"/>
      <w:lang w:eastAsia="en-US" w:bidi="en-US"/>
    </w:rPr>
  </w:style>
  <w:style w:type="paragraph" w:styleId="1052">
    <w:name w:val="列出段落1"/>
    <w:basedOn w:val="971"/>
    <w:next w:val="1052"/>
    <w:link w:val="1051"/>
    <w:qFormat/>
    <w:pPr>
      <w:contextualSpacing/>
      <w:ind w:left="720"/>
      <w:jc w:val="left"/>
      <w:widowControl/>
    </w:pPr>
    <w:rPr>
      <w:rFonts w:ascii="Calibri" w:hAnsi="Calibri" w:eastAsia="宋体" w:cs="Times New Roman"/>
      <w:sz w:val="24"/>
      <w:szCs w:val="24"/>
      <w:lang w:eastAsia="en-US" w:bidi="en-US"/>
    </w:rPr>
  </w:style>
  <w:style w:type="paragraph" w:styleId="1053">
    <w:name w:val="Body Text(ch)"/>
    <w:basedOn w:val="971"/>
    <w:next w:val="1003"/>
    <w:link w:val="971"/>
    <w:pPr>
      <w:spacing w:after="120"/>
    </w:pPr>
    <w:rPr>
      <w:rFonts w:ascii="宋体" w:hAnsi="Arial"/>
      <w:bCs/>
      <w:iCs/>
      <w:szCs w:val="24"/>
    </w:rPr>
  </w:style>
  <w:style w:type="paragraph" w:styleId="1054">
    <w:name w:val="xl27"/>
    <w:basedOn w:val="971"/>
    <w:next w:val="1054"/>
    <w:link w:val="9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name w:val="xl26"/>
    <w:basedOn w:val="971"/>
    <w:next w:val="1055"/>
    <w:link w:val="9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6">
    <w:name w:val="Char"/>
    <w:basedOn w:val="971"/>
    <w:next w:val="1056"/>
    <w:link w:val="971"/>
    <w:pPr>
      <w:ind w:firstLine="200"/>
      <w:tabs>
        <w:tab w:val="left" w:pos="360" w:leader="none"/>
      </w:tabs>
    </w:pPr>
    <w:rPr>
      <w:sz w:val="28"/>
      <w:szCs w:val="30"/>
    </w:rPr>
  </w:style>
  <w:style w:type="paragraph" w:styleId="1057">
    <w:name w:val=" Char"/>
    <w:basedOn w:val="997"/>
    <w:next w:val="1057"/>
    <w:link w:val="971"/>
    <w:rPr>
      <w:rFonts w:ascii="Tahoma" w:hAnsi="Tahoma"/>
      <w:sz w:val="24"/>
      <w:szCs w:val="24"/>
    </w:rPr>
  </w:style>
  <w:style w:type="paragraph" w:styleId="1058">
    <w:name w:val="普通正文"/>
    <w:basedOn w:val="971"/>
    <w:next w:val="1058"/>
    <w:link w:val="971"/>
    <w:pPr>
      <w:ind w:firstLine="480"/>
      <w:jc w:val="left"/>
      <w:spacing w:before="120" w:after="120" w:line="360" w:lineRule="auto"/>
    </w:pPr>
    <w:rPr>
      <w:rFonts w:ascii="Arial" w:hAnsi="Arial"/>
      <w:sz w:val="24"/>
      <w:szCs w:val="24"/>
    </w:rPr>
  </w:style>
  <w:style w:type="paragraph" w:styleId="1059">
    <w:name w:val="table_lines"/>
    <w:basedOn w:val="971"/>
    <w:next w:val="1059"/>
    <w:link w:val="971"/>
    <w:pPr>
      <w:jc w:val="left"/>
      <w:widowControl/>
    </w:pPr>
    <w:rPr>
      <w:sz w:val="20"/>
      <w:szCs w:val="20"/>
      <w:lang w:val="de-DE" w:eastAsia="de-DE"/>
    </w:rPr>
  </w:style>
  <w:style w:type="paragraph" w:styleId="1060">
    <w:name w:val="附录1"/>
    <w:next w:val="1060"/>
    <w:link w:val="9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61">
    <w:name w:val="font7"/>
    <w:basedOn w:val="971"/>
    <w:next w:val="1061"/>
    <w:link w:val="971"/>
    <w:pPr>
      <w:jc w:val="left"/>
      <w:spacing w:before="100" w:beforeAutospacing="1" w:after="100" w:afterAutospacing="1"/>
      <w:widowControl/>
    </w:pPr>
    <w:rPr>
      <w:rFonts w:hint="eastAsia" w:ascii="宋体" w:hAnsi="宋体"/>
      <w:sz w:val="18"/>
      <w:szCs w:val="18"/>
    </w:rPr>
  </w:style>
  <w:style w:type="paragraph" w:styleId="1062">
    <w:name w:val=" Char Char Char Char"/>
    <w:basedOn w:val="997"/>
    <w:next w:val="1062"/>
    <w:link w:val="971"/>
    <w:pPr>
      <w:spacing w:line="360" w:lineRule="auto"/>
    </w:pPr>
    <w:rPr>
      <w:rFonts w:ascii="Tahoma" w:hAnsi="Tahoma"/>
      <w:sz w:val="24"/>
      <w:szCs w:val="24"/>
    </w:rPr>
  </w:style>
  <w:style w:type="paragraph" w:styleId="1063">
    <w:name w:val="列出段落"/>
    <w:basedOn w:val="971"/>
    <w:next w:val="1063"/>
    <w:link w:val="971"/>
    <w:uiPriority w:val="34"/>
    <w:qFormat/>
    <w:pPr>
      <w:contextualSpacing/>
      <w:ind w:left="720"/>
      <w:jc w:val="left"/>
      <w:widowControl/>
    </w:pPr>
    <w:rPr>
      <w:rFonts w:ascii="Calibri" w:hAnsi="Calibri"/>
      <w:sz w:val="24"/>
      <w:szCs w:val="24"/>
      <w:lang w:eastAsia="en-US" w:bidi="en-US"/>
    </w:rPr>
  </w:style>
  <w:style w:type="paragraph" w:styleId="1064">
    <w:name w:val="4"/>
    <w:basedOn w:val="971"/>
    <w:next w:val="1027"/>
    <w:link w:val="971"/>
    <w:pPr>
      <w:ind w:firstLine="420"/>
      <w:spacing w:line="360" w:lineRule="auto"/>
    </w:pPr>
    <w:rPr>
      <w:color w:val="ff0000"/>
      <w:sz w:val="24"/>
      <w:szCs w:val="24"/>
    </w:rPr>
  </w:style>
  <w:style w:type="paragraph" w:styleId="1065">
    <w:name w:val="普通 (Web)"/>
    <w:basedOn w:val="971"/>
    <w:next w:val="1065"/>
    <w:link w:val="971"/>
    <w:pPr>
      <w:jc w:val="left"/>
      <w:spacing w:before="100" w:beforeAutospacing="1" w:after="100" w:afterAutospacing="1"/>
      <w:widowControl/>
    </w:pPr>
    <w:rPr>
      <w:rFonts w:ascii="宋体" w:hAnsi="宋体"/>
      <w:sz w:val="24"/>
      <w:szCs w:val="24"/>
    </w:rPr>
  </w:style>
  <w:style w:type="paragraph" w:styleId="1066">
    <w:name w:val=" Char Char Char Char Char Char Char Char Char Char"/>
    <w:basedOn w:val="971"/>
    <w:next w:val="1066"/>
    <w:link w:val="971"/>
    <w:pPr>
      <w:spacing w:line="360" w:lineRule="auto"/>
    </w:pPr>
    <w:rPr>
      <w:sz w:val="24"/>
      <w:szCs w:val="20"/>
    </w:rPr>
  </w:style>
  <w:style w:type="paragraph" w:styleId="1067">
    <w:name w:val="样式1"/>
    <w:basedOn w:val="971"/>
    <w:next w:val="1067"/>
    <w:link w:val="971"/>
    <w:pPr>
      <w:numPr>
        <w:ilvl w:val="0"/>
        <w:numId w:val="3"/>
      </w:numPr>
      <w:tabs>
        <w:tab w:val="left" w:pos="709" w:leader="none"/>
      </w:tabs>
    </w:pPr>
    <w:rPr>
      <w:rFonts w:ascii="宋体" w:hAnsi="宋体"/>
    </w:rPr>
  </w:style>
  <w:style w:type="paragraph" w:styleId="1068">
    <w:name w:val="font6"/>
    <w:basedOn w:val="971"/>
    <w:next w:val="1068"/>
    <w:link w:val="971"/>
    <w:pPr>
      <w:jc w:val="left"/>
      <w:spacing w:before="100" w:beforeAutospacing="1" w:after="100" w:afterAutospacing="1"/>
      <w:widowControl/>
    </w:pPr>
    <w:rPr>
      <w:rFonts w:hint="eastAsia" w:ascii="宋体" w:hAnsi="宋体"/>
      <w:sz w:val="28"/>
      <w:szCs w:val="28"/>
      <w:u w:val="single"/>
    </w:rPr>
  </w:style>
  <w:style w:type="paragraph" w:styleId="1069">
    <w:name w:val="xl25"/>
    <w:basedOn w:val="971"/>
    <w:next w:val="1069"/>
    <w:link w:val="9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0">
    <w:name w:val="图标"/>
    <w:basedOn w:val="971"/>
    <w:next w:val="971"/>
    <w:link w:val="9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1">
    <w:name w:val="标题3"/>
    <w:basedOn w:val="971"/>
    <w:next w:val="971"/>
    <w:link w:val="971"/>
    <w:pPr>
      <w:ind w:firstLine="624"/>
      <w:spacing w:line="590" w:lineRule="atLeast"/>
    </w:pPr>
    <w:rPr>
      <w:rFonts w:ascii="方正黑体_GBK" w:eastAsia="方正黑体_GBK"/>
      <w:sz w:val="32"/>
      <w:szCs w:val="32"/>
    </w:rPr>
  </w:style>
  <w:style w:type="paragraph" w:styleId="1072">
    <w:name w:val="xl24"/>
    <w:basedOn w:val="971"/>
    <w:next w:val="1072"/>
    <w:link w:val="9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3">
    <w:name w:val="xl29"/>
    <w:basedOn w:val="971"/>
    <w:next w:val="1073"/>
    <w:link w:val="9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4">
    <w:name w:val="Char Char Char Char Char Char Char Char"/>
    <w:basedOn w:val="971"/>
    <w:next w:val="1074"/>
    <w:link w:val="971"/>
    <w:pPr>
      <w:jc w:val="left"/>
      <w:spacing w:after="160" w:line="240" w:lineRule="exact"/>
      <w:widowControl/>
    </w:pPr>
    <w:rPr>
      <w:rFonts w:ascii="Verdana" w:hAnsi="Verdana"/>
      <w:sz w:val="20"/>
      <w:szCs w:val="20"/>
      <w:lang w:eastAsia="en-US"/>
    </w:rPr>
  </w:style>
  <w:style w:type="paragraph" w:styleId="1075">
    <w:name w:val="xl28"/>
    <w:basedOn w:val="971"/>
    <w:next w:val="1075"/>
    <w:link w:val="9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6">
    <w:name w:val=" Char Char Char Char Char Char Char Char"/>
    <w:basedOn w:val="971"/>
    <w:next w:val="1076"/>
    <w:link w:val="971"/>
    <w:pPr>
      <w:jc w:val="left"/>
      <w:spacing w:after="160" w:line="240" w:lineRule="exact"/>
      <w:widowControl/>
    </w:pPr>
    <w:rPr>
      <w:rFonts w:ascii="Verdana" w:hAnsi="Verdana"/>
      <w:sz w:val="20"/>
      <w:szCs w:val="20"/>
      <w:lang w:eastAsia="en-US"/>
    </w:rPr>
  </w:style>
  <w:style w:type="paragraph" w:styleId="1077">
    <w:name w:val="xl30"/>
    <w:basedOn w:val="971"/>
    <w:next w:val="1077"/>
    <w:link w:val="971"/>
    <w:pPr>
      <w:jc w:val="center"/>
      <w:spacing w:before="100" w:beforeAutospacing="1" w:after="100" w:afterAutospacing="1"/>
      <w:widowControl/>
    </w:pPr>
    <w:rPr>
      <w:rFonts w:ascii="宋体" w:hAnsi="宋体"/>
      <w:b/>
      <w:bCs/>
      <w:sz w:val="36"/>
      <w:szCs w:val="36"/>
    </w:rPr>
  </w:style>
  <w:style w:type="paragraph" w:styleId="1078">
    <w:name w:val="Char Char Char Char"/>
    <w:basedOn w:val="997"/>
    <w:next w:val="1078"/>
    <w:link w:val="971"/>
    <w:pPr>
      <w:spacing w:line="360" w:lineRule="auto"/>
    </w:pPr>
    <w:rPr>
      <w:rFonts w:ascii="Tahoma" w:hAnsi="Tahoma"/>
      <w:sz w:val="24"/>
      <w:szCs w:val="24"/>
    </w:rPr>
  </w:style>
  <w:style w:type="paragraph" w:styleId="1079">
    <w:name w:val="table_1stline"/>
    <w:basedOn w:val="971"/>
    <w:next w:val="1079"/>
    <w:link w:val="971"/>
    <w:pPr>
      <w:jc w:val="left"/>
      <w:spacing w:before="120"/>
      <w:widowControl/>
    </w:pPr>
    <w:rPr>
      <w:bCs/>
      <w:sz w:val="20"/>
      <w:szCs w:val="20"/>
      <w:lang w:val="de-DE" w:eastAsia="de-DE"/>
    </w:rPr>
  </w:style>
  <w:style w:type="paragraph" w:styleId="1080">
    <w:name w:val="font5"/>
    <w:basedOn w:val="971"/>
    <w:next w:val="1080"/>
    <w:link w:val="971"/>
    <w:pPr>
      <w:jc w:val="left"/>
      <w:spacing w:before="100" w:beforeAutospacing="1" w:after="100" w:afterAutospacing="1"/>
      <w:widowControl/>
    </w:pPr>
    <w:rPr>
      <w:rFonts w:hint="eastAsia" w:ascii="宋体" w:hAnsi="宋体"/>
      <w:sz w:val="28"/>
      <w:szCs w:val="28"/>
    </w:rPr>
  </w:style>
  <w:style w:type="paragraph" w:styleId="1081">
    <w:name w:val="标题1"/>
    <w:basedOn w:val="971"/>
    <w:next w:val="971"/>
    <w:link w:val="97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2">
    <w:name w:val="修订"/>
    <w:next w:val="1082"/>
    <w:link w:val="971"/>
    <w:uiPriority w:val="99"/>
    <w:semiHidden/>
    <w:rPr>
      <w:rFonts w:ascii="Times New Roman" w:hAnsi="Times New Roman"/>
      <w:sz w:val="21"/>
      <w:szCs w:val="21"/>
      <w:lang w:val="en-US" w:eastAsia="zh-CN" w:bidi="ar-SA"/>
    </w:rPr>
  </w:style>
  <w:style w:type="paragraph" w:styleId="1083">
    <w:name w:val="无间隔"/>
    <w:next w:val="1083"/>
    <w:link w:val="971"/>
    <w:uiPriority w:val="99"/>
    <w:qFormat/>
    <w:pPr>
      <w:jc w:val="both"/>
      <w:widowControl w:val="off"/>
    </w:pPr>
    <w:rPr>
      <w:rFonts w:ascii="Times New Roman" w:hAnsi="Times New Roman"/>
      <w:sz w:val="21"/>
      <w:szCs w:val="21"/>
      <w:lang w:val="en-US" w:eastAsia="zh-CN" w:bidi="ar-SA"/>
    </w:rPr>
  </w:style>
  <w:style w:type="paragraph" w:styleId="1084">
    <w:name w:val="纯文本1"/>
    <w:basedOn w:val="971"/>
    <w:next w:val="1084"/>
    <w:link w:val="1085"/>
    <w:qFormat/>
    <w:rPr>
      <w:rFonts w:ascii="宋体" w:hAnsi="Courier New" w:cs="Courier New"/>
    </w:rPr>
  </w:style>
  <w:style w:type="character" w:styleId="1085">
    <w:name w:val="纯文本 字符"/>
    <w:next w:val="1085"/>
    <w:link w:val="1084"/>
    <w:qFormat/>
    <w:rPr>
      <w:rFonts w:ascii="宋体" w:hAnsi="Courier New" w:cs="Courier New"/>
      <w:sz w:val="21"/>
      <w:szCs w:val="21"/>
    </w:r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严晓薇</cp:lastModifiedBy>
  <cp:revision>20</cp:revision>
  <dcterms:created xsi:type="dcterms:W3CDTF">2023-03-16T02:16:00Z</dcterms:created>
  <dcterms:modified xsi:type="dcterms:W3CDTF">2025-09-09T02:40:22Z</dcterms:modified>
  <cp:version>917504</cp:version>
</cp:coreProperties>
</file>