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9pt,15.6pt" to="-8.9pt,15.6pt" fillcolor="#FFFFF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25"/>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25"/>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ind w:firstLine="419"/>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 </w:t>
      </w:r>
      <w:r>
        <w:rPr>
          <w:rFonts w:cs="仿宋" w:asciiTheme="minorEastAsia" w:hAnsiTheme="minorEastAsia" w:eastAsiaTheme="minorEastAsia"/>
          <w:b/>
          <w:bCs/>
          <w:color w:val="000000" w:themeColor="text1"/>
          <w:sz w:val="28"/>
          <w:szCs w:val="28"/>
        </w:rPr>
        <w:t xml:space="preserve">JSZC-321204-JSYC-G2024-0091</w:t>
      </w:r>
      <w:r/>
    </w:p>
    <w:p>
      <w:pPr>
        <w:ind w:left="1960" w:hanging="1541"/>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cs="仿宋" w:asciiTheme="minorEastAsia" w:hAnsiTheme="minorEastAsia" w:eastAsiaTheme="minorEastAsia"/>
          <w:b/>
          <w:bCs/>
          <w:color w:val="000000" w:themeColor="text1"/>
          <w:sz w:val="28"/>
          <w:szCs w:val="28"/>
        </w:rPr>
        <w:t xml:space="preserve"> </w:t>
      </w:r>
      <w:r>
        <w:rPr>
          <w:rFonts w:hint="eastAsia" w:cs="仿宋" w:asciiTheme="minorEastAsia" w:hAnsiTheme="minorEastAsia" w:eastAsiaTheme="minorEastAsia"/>
          <w:b/>
          <w:bCs/>
          <w:color w:val="000000" w:themeColor="text1"/>
          <w:sz w:val="28"/>
          <w:szCs w:val="28"/>
        </w:rPr>
        <w:t xml:space="preserve">蒋垛镇耕地有机质提升物化投入及作业补助项目</w:t>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人：泰州市姜堰区蒋垛镇人民政府</w:t>
      </w:r>
      <w:r/>
    </w:p>
    <w:p>
      <w:pPr>
        <w:pStyle w:val="870"/>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ind w:firstLine="419"/>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采购代理机构：江苏益诚建设工程咨询有限公司</w:t>
      </w:r>
      <w:r/>
    </w:p>
    <w:p>
      <w:pPr>
        <w:jc w:val="cente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2024年09月</w:t>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蒋垛镇耕地有机质提升物化投入及作业补助项目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73"/>
            <w:rFonts w:hint="eastAsia" w:cs="仿宋" w:asciiTheme="minorEastAsia" w:hAnsiTheme="minorEastAsia" w:eastAsiaTheme="minorEastAsia"/>
            <w:color w:val="000000" w:themeColor="text1"/>
            <w:sz w:val="24"/>
            <w:szCs w:val="24"/>
            <w:u w:val="none"/>
          </w:rPr>
          <w:t xml:space="preserve">，并于</w:t>
        </w:r>
        <w:r>
          <w:rPr>
            <w:rStyle w:val="873"/>
            <w:rFonts w:hint="eastAsia" w:cs="仿宋" w:asciiTheme="minorEastAsia" w:hAnsiTheme="minorEastAsia" w:eastAsiaTheme="minorEastAsia"/>
            <w:color w:val="000000" w:themeColor="text1"/>
            <w:sz w:val="24"/>
            <w:szCs w:val="24"/>
          </w:rPr>
          <w:t xml:space="preserve">2024年</w:t>
        </w:r>
        <w:r>
          <w:rPr>
            <w:rStyle w:val="873"/>
            <w:rFonts w:cs="仿宋" w:asciiTheme="minorEastAsia" w:hAnsiTheme="minorEastAsia" w:eastAsiaTheme="minorEastAsia"/>
            <w:color w:val="000000" w:themeColor="text1"/>
            <w:sz w:val="24"/>
            <w:szCs w:val="24"/>
          </w:rPr>
          <w:t xml:space="preserve">10</w:t>
        </w:r>
        <w:r>
          <w:rPr>
            <w:rStyle w:val="873"/>
            <w:rFonts w:hint="eastAsia" w:cs="仿宋" w:asciiTheme="minorEastAsia" w:hAnsiTheme="minorEastAsia" w:eastAsiaTheme="minorEastAsia"/>
            <w:color w:val="000000" w:themeColor="text1"/>
            <w:sz w:val="24"/>
            <w:szCs w:val="24"/>
          </w:rPr>
          <w:t xml:space="preserve">月</w:t>
        </w:r>
      </w:hyperlink>
      <w:r>
        <w:rPr>
          <w:u w:val="single"/>
        </w:rPr>
        <w:t xml:space="preserve">  </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22</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14</w:t>
      </w:r>
      <w:r>
        <w:rPr>
          <w:rFonts w:hint="eastAsia" w:cs="仿宋" w:asciiTheme="minorEastAsia" w:hAnsiTheme="minorEastAsia" w:eastAsiaTheme="minorEastAsia"/>
          <w:color w:val="000000" w:themeColor="text1"/>
          <w:sz w:val="24"/>
          <w:szCs w:val="24"/>
          <w:u w:val="single"/>
        </w:rPr>
        <w:t xml:space="preserve">时3</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5" w:name="_Toc28359079"/>
      <w:r/>
      <w:bookmarkStart w:id="6" w:name="_Toc28359002"/>
      <w:r/>
      <w:bookmarkStart w:id="7" w:name="_Toc35393621"/>
      <w:r/>
      <w:bookmarkStart w:id="8" w:name="_Toc35393790"/>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cs="仿宋" w:asciiTheme="minorEastAsia" w:hAnsiTheme="minorEastAsia" w:eastAsiaTheme="minorEastAsia"/>
          <w:color w:val="000000" w:themeColor="text1"/>
          <w:sz w:val="24"/>
          <w:szCs w:val="24"/>
        </w:rPr>
        <w:t xml:space="preserve"> </w:t>
      </w:r>
      <w:r>
        <w:rPr>
          <w:rFonts w:cs="仿宋" w:asciiTheme="minorEastAsia" w:hAnsiTheme="minorEastAsia" w:eastAsiaTheme="minorEastAsia"/>
          <w:color w:val="000000" w:themeColor="text1"/>
          <w:sz w:val="24"/>
          <w:szCs w:val="24"/>
        </w:rPr>
        <w:t xml:space="preserve">JSZC-321204-JSYC-G2024-0091</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蒋垛镇耕地有机质提升物化投入及作业补助项目</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600</w:t>
      </w:r>
      <w:r>
        <w:rPr>
          <w:rFonts w:hint="eastAsia" w:cs="仿宋" w:asciiTheme="minorEastAsia" w:hAnsiTheme="minorEastAsia" w:eastAsiaTheme="minorEastAsia"/>
          <w:color w:val="000000" w:themeColor="text1"/>
          <w:sz w:val="24"/>
          <w:szCs w:val="24"/>
        </w:rPr>
        <w:t xml:space="preserve">万元</w:t>
      </w:r>
      <w:bookmarkStart w:id="10" w:name="_GoBack"/>
      <w:r/>
      <w:bookmarkEnd w:id="10"/>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600</w:t>
      </w:r>
      <w:r>
        <w:rPr>
          <w:rFonts w:hint="eastAsia" w:cs="仿宋" w:asciiTheme="minorEastAsia" w:hAnsiTheme="minorEastAsia" w:eastAsiaTheme="minorEastAsia"/>
          <w:color w:val="000000" w:themeColor="text1"/>
          <w:sz w:val="24"/>
          <w:szCs w:val="24"/>
        </w:rPr>
        <w:t xml:space="preserve">万元</w:t>
      </w:r>
      <w:r/>
    </w:p>
    <w:p>
      <w:pPr>
        <w:ind w:firstLine="480"/>
        <w:jc w:val="left"/>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rPr>
          <w:rFonts w:hint="eastAsia" w:cs="仿宋" w:asciiTheme="minorEastAsia" w:hAnsiTheme="minorEastAsia" w:eastAsiaTheme="minorEastAsia"/>
          <w:color w:val="000000" w:themeColor="text1"/>
          <w:sz w:val="24"/>
          <w:szCs w:val="24"/>
        </w:rPr>
        <w:t xml:space="preserve">第一年采购</w:t>
      </w:r>
      <w:r>
        <w:rPr>
          <w:rFonts w:hint="eastAsia" w:cs="仿宋" w:asciiTheme="minorEastAsia" w:hAnsiTheme="minorEastAsia" w:eastAsiaTheme="minorEastAsia"/>
          <w:color w:val="000000" w:themeColor="text1"/>
          <w:sz w:val="24"/>
          <w:szCs w:val="24"/>
        </w:rPr>
        <w:t xml:space="preserve">腐熟粪肥</w:t>
      </w:r>
      <w:r>
        <w:rPr>
          <w:rFonts w:hint="eastAsia" w:cs="仿宋" w:asciiTheme="minorEastAsia" w:hAnsiTheme="minorEastAsia" w:eastAsiaTheme="minorEastAsia"/>
          <w:color w:val="000000" w:themeColor="text1"/>
          <w:sz w:val="24"/>
          <w:szCs w:val="24"/>
        </w:rPr>
        <w:t xml:space="preserve">9</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、商品有机肥</w:t>
      </w:r>
      <w:r>
        <w:rPr>
          <w:rFonts w:hint="eastAsia" w:cs="仿宋" w:asciiTheme="minorEastAsia" w:hAnsiTheme="minorEastAsia" w:eastAsiaTheme="minorEastAsia"/>
          <w:color w:val="000000" w:themeColor="text1"/>
          <w:sz w:val="24"/>
          <w:szCs w:val="24"/>
        </w:rPr>
        <w:t xml:space="preserve">6</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粪肥施工作业9</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吨/亩，作业面积5</w:t>
      </w:r>
      <w:r>
        <w:rPr>
          <w:rFonts w:ascii="宋体" w:hAnsi="宋体" w:eastAsia="宋体" w:cs="宋体"/>
          <w:sz w:val="24"/>
          <w:szCs w:val="24"/>
        </w:rPr>
        <w:t xml:space="preserve">000</w:t>
      </w:r>
      <w:r>
        <w:rPr>
          <w:rFonts w:hint="eastAsia" w:ascii="宋体" w:hAnsi="宋体" w:eastAsia="宋体" w:cs="宋体"/>
          <w:sz w:val="24"/>
          <w:szCs w:val="24"/>
        </w:rPr>
        <w:t xml:space="preserve">亩）</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商品有机肥撒施作业6</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吨/亩，作业面积5</w:t>
      </w:r>
      <w:r>
        <w:rPr>
          <w:rFonts w:ascii="宋体" w:hAnsi="宋体" w:eastAsia="宋体" w:cs="宋体"/>
          <w:sz w:val="24"/>
          <w:szCs w:val="24"/>
        </w:rPr>
        <w:t xml:space="preserve">000</w:t>
      </w:r>
      <w:r>
        <w:rPr>
          <w:rFonts w:hint="eastAsia" w:ascii="宋体" w:hAnsi="宋体" w:eastAsia="宋体" w:cs="宋体"/>
          <w:sz w:val="24"/>
          <w:szCs w:val="24"/>
        </w:rPr>
        <w:t xml:space="preserve">亩）</w:t>
      </w:r>
      <w:r>
        <w:rPr>
          <w:rFonts w:hint="eastAsia" w:cs="仿宋" w:asciiTheme="minorEastAsia" w:hAnsiTheme="minorEastAsia" w:eastAsiaTheme="minorEastAsia"/>
          <w:color w:val="000000" w:themeColor="text1"/>
          <w:sz w:val="24"/>
          <w:szCs w:val="24"/>
        </w:rPr>
        <w:t xml:space="preserve">，深耕机械作业1</w:t>
      </w:r>
      <w:r>
        <w:rPr>
          <w:rFonts w:cs="仿宋" w:asciiTheme="minorEastAsia" w:hAnsiTheme="minorEastAsia" w:eastAsiaTheme="minorEastAsia"/>
          <w:color w:val="000000" w:themeColor="text1"/>
          <w:sz w:val="24"/>
          <w:szCs w:val="24"/>
        </w:rPr>
        <w:t xml:space="preserve">0000</w:t>
      </w:r>
      <w:r>
        <w:rPr>
          <w:rFonts w:hint="eastAsia" w:cs="仿宋" w:asciiTheme="minorEastAsia" w:hAnsiTheme="minorEastAsia" w:eastAsiaTheme="minorEastAsia"/>
          <w:color w:val="000000" w:themeColor="text1"/>
          <w:sz w:val="24"/>
          <w:szCs w:val="24"/>
        </w:rPr>
        <w:t xml:space="preserve">亩；</w:t>
      </w:r>
      <w:r>
        <w:rPr>
          <w:rFonts w:hint="eastAsia" w:cs="仿宋" w:asciiTheme="minorEastAsia" w:hAnsiTheme="minorEastAsia" w:eastAsiaTheme="minorEastAsia"/>
          <w:color w:val="000000" w:themeColor="text1"/>
          <w:sz w:val="24"/>
          <w:szCs w:val="24"/>
        </w:rPr>
        <w:t xml:space="preserve">详见招标文件第三章采购需求。</w:t>
      </w:r>
      <w:r/>
    </w:p>
    <w:p>
      <w:pPr>
        <w:pStyle w:val="1028"/>
        <w:ind w:firstLine="480"/>
        <w:spacing w:line="500" w:lineRule="exact"/>
        <w:rPr>
          <w:rFonts w:asciiTheme="minorEastAsia" w:hAnsiTheme="minorEastAsia" w:eastAsiaTheme="minorEastAsia"/>
          <w:color w:val="ff0000"/>
        </w:rPr>
      </w:pPr>
      <w:r>
        <w:rPr>
          <w:rFonts w:hint="eastAsia" w:asciiTheme="minorEastAsia" w:hAnsiTheme="minorEastAsia" w:eastAsiaTheme="minorEastAsia"/>
          <w:color w:val="000000" w:themeColor="text1"/>
        </w:rPr>
        <w:t xml:space="preserve">合同履行期限：</w:t>
      </w:r>
      <w:r>
        <w:rPr>
          <w:rFonts w:hint="eastAsia" w:asciiTheme="minorEastAsia" w:hAnsiTheme="minorEastAsia" w:eastAsiaTheme="minorEastAsia"/>
          <w:color w:val="000000" w:themeColor="text1"/>
        </w:rPr>
        <w:t xml:space="preserve">自合同签订之日起至2</w:t>
      </w:r>
      <w:r>
        <w:rPr>
          <w:rFonts w:asciiTheme="minorEastAsia" w:hAnsiTheme="minorEastAsia" w:eastAsiaTheme="minorEastAsia"/>
          <w:color w:val="000000" w:themeColor="text1"/>
        </w:rPr>
        <w:t xml:space="preserve">0</w:t>
      </w:r>
      <w:r>
        <w:rPr>
          <w:rFonts w:asciiTheme="minorEastAsia" w:hAnsiTheme="minorEastAsia" w:eastAsiaTheme="minorEastAsia"/>
          <w:color w:val="000000" w:themeColor="text1"/>
        </w:rPr>
        <w:t xml:space="preserve">25</w:t>
      </w:r>
      <w:r>
        <w:rPr>
          <w:rFonts w:hint="eastAsia" w:asciiTheme="minorEastAsia" w:hAnsiTheme="minorEastAsia" w:eastAsiaTheme="minorEastAsia"/>
          <w:color w:val="000000" w:themeColor="text1"/>
        </w:rPr>
        <w:t xml:space="preserve">年</w:t>
      </w:r>
      <w:r>
        <w:rPr>
          <w:rFonts w:asciiTheme="minorEastAsia" w:hAnsiTheme="minorEastAsia" w:eastAsiaTheme="minorEastAsia"/>
          <w:color w:val="000000" w:themeColor="text1"/>
        </w:rPr>
        <w:t xml:space="preserve">7</w:t>
      </w:r>
      <w:r>
        <w:rPr>
          <w:rFonts w:hint="eastAsia" w:asciiTheme="minorEastAsia" w:hAnsiTheme="minorEastAsia" w:eastAsiaTheme="minorEastAsia"/>
          <w:color w:val="000000" w:themeColor="text1"/>
        </w:rPr>
        <w:t xml:space="preserve">月3</w:t>
      </w:r>
      <w:r>
        <w:rPr>
          <w:rFonts w:asciiTheme="minorEastAsia" w:hAnsiTheme="minorEastAsia" w:eastAsiaTheme="minorEastAsia"/>
          <w:color w:val="000000" w:themeColor="text1"/>
        </w:rPr>
        <w:t xml:space="preserve">1</w:t>
      </w:r>
      <w:r>
        <w:rPr>
          <w:rFonts w:hint="eastAsia" w:asciiTheme="minorEastAsia" w:hAnsiTheme="minorEastAsia" w:eastAsiaTheme="minorEastAsia"/>
          <w:color w:val="000000" w:themeColor="text1"/>
        </w:rPr>
        <w:t xml:space="preserve">日止，在采购人需求时间内</w:t>
      </w:r>
      <w:r>
        <w:rPr>
          <w:rFonts w:hint="eastAsia" w:asciiTheme="minorEastAsia" w:hAnsiTheme="minorEastAsia" w:eastAsiaTheme="minorEastAsia"/>
          <w:color w:val="000000" w:themeColor="text1"/>
        </w:rPr>
        <w:t xml:space="preserve">分批</w:t>
      </w:r>
      <w:r>
        <w:rPr>
          <w:rFonts w:hint="eastAsia" w:asciiTheme="minorEastAsia" w:hAnsiTheme="minorEastAsia" w:eastAsiaTheme="minorEastAsia"/>
          <w:color w:val="000000" w:themeColor="text1"/>
        </w:rPr>
        <w:t xml:space="preserve">完成供货及配套服务。</w:t>
      </w:r>
      <w:r/>
    </w:p>
    <w:p>
      <w:pPr>
        <w:pStyle w:val="1028"/>
        <w:ind w:firstLine="480"/>
        <w:spacing w:line="50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28359003"/>
      <w:r/>
      <w:bookmarkStart w:id="14" w:name="_Toc35393791"/>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480"/>
        <w:spacing w:line="500" w:lineRule="exact"/>
        <w:rPr>
          <w:rFonts w:cs="仿宋" w:asciiTheme="minorEastAsia" w:hAnsiTheme="minorEastAsia" w:eastAsiaTheme="minorEastAsia"/>
          <w:color w:val="000000" w:themeColor="text1"/>
          <w:sz w:val="24"/>
          <w:szCs w:val="24"/>
        </w:rPr>
      </w:pPr>
      <w:r/>
      <w:bookmarkStart w:id="15" w:name="_Toc28359004"/>
      <w:r/>
      <w:bookmarkStart w:id="16" w:name="_Toc28359081"/>
      <w:r>
        <w:rPr>
          <w:rFonts w:hint="eastAsia" w:cs="仿宋" w:asciiTheme="minorEastAsia" w:hAnsiTheme="minorEastAsia" w:eastAsiaTheme="minorEastAsia"/>
          <w:color w:val="000000" w:themeColor="text1"/>
          <w:sz w:val="24"/>
          <w:szCs w:val="24"/>
        </w:rPr>
        <w:t xml:space="preserve">1、满足《中华人民共和国政府采购法》第二十二条规定。</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（1）具有独立承担民事责任的能力【提供企事业法人（或其他组织）的营业执照（或相关部门的登记证明文件）】；</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（2）具有良好的商业信誉和健全的财务会计制度【近六个月中任意一个月份(不含投标文件递交当月)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（3）具有履行合同所必须的设备和专业技术能力【提供书面声明】；</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（4）有依法缴纳税收和社会保障资金的良好记录【近六个月中任意一个月</w:t>
      </w:r>
      <w:r>
        <w:rPr>
          <w:rFonts w:hint="eastAsia" w:cs="仿宋" w:asciiTheme="minorEastAsia" w:hAnsiTheme="minorEastAsia" w:eastAsiaTheme="minorEastAsia"/>
          <w:color w:val="000000" w:themeColor="text1"/>
          <w:sz w:val="24"/>
          <w:szCs w:val="24"/>
        </w:rPr>
        <w:t xml:space="preserve">份(不含投标文件递交当月) 的依法缴纳税收的相关材料（提供相关主管部门证明或银行代扣证明）；近六个月中任意一个月份(不含投标文件递交当月)的依法缴纳社会保障资金的相关材料（提供相关主管部门证明或银行代扣证明）】；</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（5）参加政府采购活动前三年内，在经营活动中没有重大违法记录【提供承诺函】；</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（6）法律、行政法规规定的其他条件。</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2、落实政府采购政策需满足的资格要求：根据《政府采购促进中小企业发展管理办法》规定，本项目</w:t>
      </w:r>
      <w:r>
        <w:rPr>
          <w:rFonts w:hint="eastAsia" w:cs="仿宋" w:asciiTheme="minorEastAsia" w:hAnsiTheme="minorEastAsia" w:eastAsiaTheme="minorEastAsia"/>
          <w:color w:val="000000" w:themeColor="text1"/>
          <w:sz w:val="24"/>
          <w:szCs w:val="24"/>
        </w:rPr>
        <w:t xml:space="preserve">不</w:t>
      </w:r>
      <w:r>
        <w:rPr>
          <w:rFonts w:hint="eastAsia" w:cs="仿宋" w:asciiTheme="minorEastAsia" w:hAnsiTheme="minorEastAsia" w:eastAsiaTheme="minorEastAsia"/>
          <w:color w:val="000000" w:themeColor="text1"/>
          <w:sz w:val="24"/>
          <w:szCs w:val="24"/>
        </w:rPr>
        <w:t xml:space="preserve">专门面向中小企业采购。</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3、本项目的特定资格要求：</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17" w:name="_Toc35393623"/>
      <w:r/>
      <w:bookmarkStart w:id="18" w:name="_Toc35393792"/>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w:t>
      </w:r>
      <w:r>
        <w:rPr>
          <w:rFonts w:hint="eastAsia" w:cs="仿宋" w:asciiTheme="minorEastAsia" w:hAnsiTheme="minorEastAsia" w:eastAsiaTheme="minorEastAsia"/>
          <w:color w:val="000000" w:themeColor="text1"/>
          <w:sz w:val="24"/>
          <w:szCs w:val="24"/>
        </w:rPr>
        <w:t xml:space="preserve">供潜在投标人下载或者查阅。</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19" w:name="_Toc28359005"/>
      <w:r/>
      <w:bookmarkStart w:id="20" w:name="_Toc28359082"/>
      <w:r/>
      <w:bookmarkStart w:id="21" w:name="_Toc35393624"/>
      <w:r/>
      <w:bookmarkStart w:id="22" w:name="_Toc35393793"/>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488"/>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时间：2024年10月</w:t>
      </w:r>
      <w:r>
        <w:rPr>
          <w:rFonts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14</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30</w:t>
      </w:r>
      <w:r>
        <w:rPr>
          <w:rFonts w:hint="eastAsia" w:cs="仿宋" w:asciiTheme="minorEastAsia" w:hAnsiTheme="minorEastAsia" w:eastAsiaTheme="minorEastAsia"/>
          <w:color w:val="000000" w:themeColor="text1"/>
          <w:sz w:val="24"/>
          <w:szCs w:val="24"/>
        </w:rPr>
        <w:t xml:space="preserve">分（北京时间）</w:t>
      </w:r>
      <w:r/>
    </w:p>
    <w:p>
      <w:pPr>
        <w:ind w:firstLine="54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23" w:name="_Toc28359084"/>
      <w:r/>
      <w:bookmarkStart w:id="24" w:name="_Toc35393794"/>
      <w:r/>
      <w:bookmarkStart w:id="25" w:name="_Toc35393625"/>
      <w:r/>
      <w:bookmarkStart w:id="26" w:name="_Toc28359007"/>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pStyle w:val="1027"/>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bookmarkStart w:id="29" w:name="_Toc35393796"/>
      <w:r/>
      <w:bookmarkStart w:id="30" w:name="_Toc28359085"/>
      <w:r/>
      <w:bookmarkStart w:id="31" w:name="_Toc35393627"/>
      <w:r/>
      <w:bookmarkStart w:id="32" w:name="_Toc28359008"/>
      <w:r>
        <w:rPr>
          <w:rFonts w:hint="eastAsia" w:cs="仿宋" w:asciiTheme="minorEastAsia" w:hAnsiTheme="minorEastAsia" w:eastAsiaTheme="minorEastAsia"/>
          <w:b w:val="0"/>
          <w:bCs w:val="0"/>
          <w:color w:val="000000" w:themeColor="text1"/>
          <w:sz w:val="24"/>
          <w:szCs w:val="24"/>
        </w:rPr>
        <w:t xml:space="preserve">（1）投标保证金</w:t>
      </w:r>
      <w:r/>
    </w:p>
    <w:p>
      <w:pPr>
        <w:pStyle w:val="1027"/>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本项目不收取投标保证金。</w:t>
      </w:r>
      <w:r/>
    </w:p>
    <w:p>
      <w:pPr>
        <w:pStyle w:val="1027"/>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27"/>
        <w:ind w:firstLine="480"/>
        <w:spacing w:before="0" w:after="0"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（3）在评标结束前，各投标人授权代表应保持手机畅通，以便及时澄清答疑。</w:t>
      </w:r>
      <w:r/>
    </w:p>
    <w:p>
      <w:pPr>
        <w:pStyle w:val="1027"/>
        <w:spacing w:before="0" w:after="0"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276"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称：泰州市姜堰区</w:t>
      </w:r>
      <w:r>
        <w:rPr>
          <w:rFonts w:hint="eastAsia" w:cs="仿宋" w:asciiTheme="minorEastAsia" w:hAnsiTheme="minorEastAsia" w:eastAsiaTheme="minorEastAsia"/>
          <w:color w:val="000000" w:themeColor="text1"/>
          <w:sz w:val="24"/>
          <w:szCs w:val="24"/>
        </w:rPr>
        <w:t xml:space="preserve">蒋垛镇人民政府</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址：姜堰区</w:t>
      </w:r>
      <w:r>
        <w:rPr>
          <w:rFonts w:hint="eastAsia" w:cs="仿宋" w:asciiTheme="minorEastAsia" w:hAnsiTheme="minorEastAsia" w:eastAsiaTheme="minorEastAsia"/>
          <w:color w:val="000000" w:themeColor="text1"/>
          <w:sz w:val="24"/>
          <w:szCs w:val="24"/>
        </w:rPr>
        <w:t xml:space="preserve">蒋垛镇蒋垛村</w:t>
      </w:r>
      <w:r>
        <w:rPr>
          <w:rFonts w:hint="eastAsia" w:cs="仿宋" w:asciiTheme="minorEastAsia" w:hAnsiTheme="minorEastAsia" w:eastAsiaTheme="minorEastAsia"/>
          <w:color w:val="000000" w:themeColor="text1"/>
          <w:sz w:val="24"/>
          <w:szCs w:val="24"/>
        </w:rPr>
        <w:t xml:space="preserve">   　  </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3" w:name="_Toc28359086"/>
      <w:r/>
      <w:bookmarkStart w:id="34" w:name="_Toc28359009"/>
      <w:r>
        <w:rPr>
          <w:rFonts w:hint="eastAsia" w:cs="仿宋" w:asciiTheme="minorEastAsia" w:hAnsiTheme="minorEastAsia" w:eastAsiaTheme="minorEastAsia"/>
          <w:color w:val="000000" w:themeColor="text1"/>
          <w:sz w:val="24"/>
          <w:szCs w:val="24"/>
        </w:rPr>
        <w:t xml:space="preserve">钱先生</w:t>
      </w:r>
      <w:r>
        <w:rPr>
          <w:rFonts w:cs="仿宋" w:asciiTheme="minorEastAsia" w:hAnsiTheme="minorEastAsia" w:eastAsiaTheme="minorEastAsia"/>
          <w:color w:val="000000" w:themeColor="text1"/>
          <w:sz w:val="24"/>
          <w:szCs w:val="24"/>
        </w:rPr>
        <w:t xml:space="preserve">644227</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3"/>
      <w:r/>
      <w:bookmarkEnd w:id="34"/>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称：江苏益诚建设工程咨询有限公司</w:t>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址：泰州市姜堰区</w:t>
      </w:r>
      <w:r>
        <w:rPr>
          <w:rFonts w:hint="eastAsia" w:cs="仿宋" w:asciiTheme="minorEastAsia" w:hAnsiTheme="minorEastAsia" w:eastAsiaTheme="minorEastAsia"/>
          <w:color w:val="000000" w:themeColor="text1"/>
          <w:sz w:val="24"/>
          <w:szCs w:val="24"/>
        </w:rPr>
        <w:t xml:space="preserve">天目山街道海上海中心街2</w:t>
      </w:r>
      <w:r>
        <w:rPr>
          <w:rFonts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号</w:t>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5" w:name="_Toc28359087"/>
      <w:r/>
      <w:bookmarkStart w:id="36" w:name="_Toc28359010"/>
      <w:r>
        <w:rPr>
          <w:rFonts w:hint="eastAsia" w:cs="仿宋" w:asciiTheme="minorEastAsia" w:hAnsiTheme="minorEastAsia" w:eastAsiaTheme="minorEastAsia"/>
          <w:color w:val="000000" w:themeColor="text1"/>
          <w:sz w:val="24"/>
          <w:szCs w:val="24"/>
        </w:rPr>
        <w:t xml:space="preserve">胡善棋1</w:t>
      </w:r>
      <w:r>
        <w:rPr>
          <w:rFonts w:cs="仿宋" w:asciiTheme="minorEastAsia" w:hAnsiTheme="minorEastAsia" w:eastAsiaTheme="minorEastAsia"/>
          <w:color w:val="000000" w:themeColor="text1"/>
          <w:sz w:val="24"/>
          <w:szCs w:val="24"/>
        </w:rPr>
        <w:t xml:space="preserve">3338897903</w:t>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5"/>
      <w:r/>
      <w:bookmarkEnd w:id="36"/>
      <w:r/>
      <w:r/>
    </w:p>
    <w:p>
      <w:pPr>
        <w:pStyle w:val="1029"/>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w:t>
      </w:r>
      <w:r>
        <w:rPr>
          <w:rFonts w:hint="eastAsia" w:cs="仿宋" w:asciiTheme="minorEastAsia" w:hAnsiTheme="minorEastAsia" w:eastAsiaTheme="minorEastAsia"/>
          <w:color w:val="000000" w:themeColor="text1"/>
          <w:sz w:val="24"/>
          <w:szCs w:val="24"/>
        </w:rPr>
        <w:t xml:space="preserve">胡善棋</w:t>
      </w:r>
      <w:r/>
    </w:p>
    <w:p>
      <w:pPr>
        <w:pStyle w:val="1029"/>
        <w:ind w:firstLine="480"/>
        <w:spacing w:line="276" w:lineRule="auto"/>
        <w:rPr>
          <w:rFonts w:cs="仿宋" w:asciiTheme="minorEastAsia" w:hAnsiTheme="minorEastAsia" w:eastAsiaTheme="minorEastAsia"/>
          <w:b/>
          <w:color w:val="000000" w:themeColor="text1"/>
          <w:szCs w:val="22"/>
        </w:rPr>
      </w:pPr>
      <w:r>
        <w:rPr>
          <w:rFonts w:hint="eastAsia" w:cs="仿宋" w:asciiTheme="minorEastAsia" w:hAnsiTheme="minorEastAsia" w:eastAsiaTheme="minorEastAsia"/>
          <w:color w:val="000000" w:themeColor="text1"/>
          <w:sz w:val="24"/>
          <w:szCs w:val="24"/>
        </w:rPr>
        <w:t xml:space="preserve">电　话：</w:t>
      </w:r>
      <w:r>
        <w:rPr>
          <w:rFonts w:cs="仿宋" w:asciiTheme="minorEastAsia" w:hAnsiTheme="minorEastAsia" w:eastAsiaTheme="minorEastAsia"/>
          <w:color w:val="000000" w:themeColor="text1"/>
          <w:sz w:val="24"/>
          <w:szCs w:val="24"/>
        </w:rPr>
        <w:t xml:space="preserve">13338897903</w:t>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蒋垛镇耕地有机质提升物化投入及作业补助项目</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腐熟粪肥9</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吨；商品有机肥6</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吨；粪肥施用作业9</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吨/亩，作业面积5</w:t>
            </w:r>
            <w:r>
              <w:rPr>
                <w:rFonts w:ascii="宋体" w:hAnsi="宋体" w:eastAsia="宋体" w:cs="宋体"/>
                <w:sz w:val="24"/>
                <w:szCs w:val="24"/>
              </w:rPr>
              <w:t xml:space="preserve">000</w:t>
            </w:r>
            <w:r>
              <w:rPr>
                <w:rFonts w:hint="eastAsia" w:ascii="宋体" w:hAnsi="宋体" w:eastAsia="宋体" w:cs="宋体"/>
                <w:sz w:val="24"/>
                <w:szCs w:val="24"/>
              </w:rPr>
              <w:t xml:space="preserve">亩</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；商品有机肥撒施作业6</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吨/亩，作业面积5</w:t>
            </w:r>
            <w:r>
              <w:rPr>
                <w:rFonts w:ascii="宋体" w:hAnsi="宋体" w:eastAsia="宋体" w:cs="宋体"/>
                <w:sz w:val="24"/>
                <w:szCs w:val="24"/>
              </w:rPr>
              <w:t xml:space="preserve">000</w:t>
            </w:r>
            <w:r>
              <w:rPr>
                <w:rFonts w:hint="eastAsia" w:ascii="宋体" w:hAnsi="宋体" w:eastAsia="宋体" w:cs="宋体"/>
                <w:sz w:val="24"/>
                <w:szCs w:val="24"/>
              </w:rPr>
              <w:t xml:space="preserve">亩</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；深耕机械作业1</w:t>
            </w:r>
            <w:r>
              <w:rPr>
                <w:rFonts w:cs="仿宋" w:asciiTheme="minorEastAsia" w:hAnsiTheme="minorEastAsia" w:eastAsiaTheme="minorEastAsia"/>
                <w:color w:val="000000" w:themeColor="text1"/>
                <w:sz w:val="24"/>
                <w:szCs w:val="24"/>
              </w:rPr>
              <w:t xml:space="preserve">0000</w:t>
            </w:r>
            <w:r>
              <w:rPr>
                <w:rFonts w:hint="eastAsia" w:cs="仿宋" w:asciiTheme="minorEastAsia" w:hAnsiTheme="minorEastAsia" w:eastAsiaTheme="minorEastAsia"/>
                <w:color w:val="000000" w:themeColor="text1"/>
                <w:sz w:val="24"/>
                <w:szCs w:val="24"/>
              </w:rPr>
              <w:t xml:space="preserve">亩。</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期及供货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期：</w:t>
            </w:r>
            <w:r>
              <w:rPr>
                <w:rFonts w:hint="eastAsia" w:cs="仿宋" w:asciiTheme="minorEastAsia" w:hAnsiTheme="minorEastAsia" w:eastAsiaTheme="minorEastAsia"/>
                <w:color w:val="000000" w:themeColor="text1"/>
                <w:sz w:val="24"/>
                <w:szCs w:val="24"/>
              </w:rPr>
              <w:t xml:space="preserve">自合同签订之日起至2</w:t>
            </w:r>
            <w:r>
              <w:rPr>
                <w:rFonts w:cs="仿宋" w:asciiTheme="minorEastAsia" w:hAnsiTheme="minorEastAsia" w:eastAsiaTheme="minorEastAsia"/>
                <w:color w:val="000000" w:themeColor="text1"/>
                <w:sz w:val="24"/>
                <w:szCs w:val="24"/>
              </w:rPr>
              <w:t xml:space="preserve">025</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rPr>
              <w:t xml:space="preserve">月3</w:t>
            </w:r>
            <w:r>
              <w:rPr>
                <w:rFonts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日止，在采购人需求时间内分批完成供货及配套服务。</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地点：由供应商负责办理运输和装卸等，费用由供应商负责，由采购人组织验收，检验不合格或不符合质量要求，供应商除无条件退货、返工外，还应</w:t>
            </w:r>
            <w:r>
              <w:rPr>
                <w:rFonts w:hint="eastAsia" w:cs="仿宋" w:asciiTheme="minorEastAsia" w:hAnsiTheme="minorEastAsia" w:eastAsiaTheme="minorEastAsia"/>
                <w:color w:val="000000" w:themeColor="text1"/>
                <w:sz w:val="24"/>
                <w:szCs w:val="24"/>
              </w:rPr>
              <w:t xml:space="preserve">承担采购人的一切损失</w:t>
            </w:r>
            <w:r>
              <w:rPr>
                <w:rFonts w:hint="eastAsia" w:cs="仿宋" w:asciiTheme="minorEastAsia" w:hAnsiTheme="minorEastAsia" w:eastAsiaTheme="minorEastAsia"/>
                <w:color w:val="000000" w:themeColor="text1"/>
                <w:sz w:val="24"/>
                <w:szCs w:val="24"/>
              </w:rPr>
              <w:t xml:space="preserve">。</w:t>
            </w:r>
            <w:r/>
          </w:p>
          <w:p>
            <w:pPr>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600</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600</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84"/>
              <w:numPr>
                <w:ilvl w:val="0"/>
                <w:numId w:val="6"/>
              </w:num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84"/>
              <w:numPr>
                <w:ilvl w:val="0"/>
                <w:numId w:val="6"/>
              </w:num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核心产品</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核心产品：</w:t>
            </w:r>
            <w:r>
              <w:rPr>
                <w:rFonts w:hint="eastAsia" w:cs="仿宋" w:asciiTheme="minorEastAsia" w:hAnsiTheme="minorEastAsia" w:eastAsiaTheme="minorEastAsia"/>
                <w:color w:val="000000" w:themeColor="text1"/>
                <w:sz w:val="24"/>
                <w:szCs w:val="24"/>
              </w:rPr>
              <w:t xml:space="preserve">商品有机肥</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60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2024 </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u w:val="single"/>
              </w:rPr>
              <w:t xml:space="preserve">22</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u w:val="single"/>
              </w:rPr>
              <w:t xml:space="preserve">14</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u w:val="single"/>
              </w:rPr>
              <w:t xml:space="preserve">30</w:t>
            </w:r>
            <w:r>
              <w:rPr>
                <w:rFonts w:hint="eastAsia" w:cs="仿宋" w:asciiTheme="minorEastAsia" w:hAnsiTheme="minorEastAsia" w:eastAsiaTheme="minorEastAsia"/>
                <w:color w:val="000000" w:themeColor="text1"/>
                <w:sz w:val="24"/>
                <w:szCs w:val="24"/>
              </w:rPr>
              <w:t xml:space="preserve">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2024 </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u w:val="single"/>
              </w:rPr>
              <w:t xml:space="preserve">22</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u w:val="single"/>
              </w:rPr>
              <w:t xml:space="preserve">14</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u w:val="single"/>
              </w:rPr>
              <w:t xml:space="preserve">30</w:t>
            </w:r>
            <w:r>
              <w:rPr>
                <w:rFonts w:hint="eastAsia" w:cs="仿宋" w:asciiTheme="minorEastAsia" w:hAnsiTheme="minorEastAsia" w:eastAsiaTheme="minorEastAsia"/>
                <w:color w:val="000000" w:themeColor="text1"/>
                <w:sz w:val="24"/>
                <w:szCs w:val="24"/>
              </w:rPr>
              <w:t xml:space="preserve">分</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cs="仿宋" w:asciiTheme="minorEastAsia" w:hAnsiTheme="minorEastAsia" w:eastAsiaTheme="minorEastAsia"/>
                <w:color w:val="000000" w:themeColor="text1"/>
                <w:sz w:val="24"/>
                <w:szCs w:val="24"/>
              </w:rPr>
              <w:t xml:space="preserve">提交</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 </w:t>
            </w:r>
            <w:r/>
          </w:p>
          <w:p>
            <w:pPr>
              <w:pStyle w:val="1030"/>
              <w:ind w:firstLine="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签订合同地点：泰州市姜堰区</w:t>
            </w:r>
            <w:r>
              <w:rPr>
                <w:rFonts w:hint="eastAsia" w:cs="仿宋" w:asciiTheme="minorEastAsia" w:hAnsiTheme="minorEastAsia" w:eastAsiaTheme="minorEastAsia"/>
                <w:color w:val="000000" w:themeColor="text1"/>
                <w:sz w:val="24"/>
                <w:szCs w:val="24"/>
              </w:rPr>
              <w:t xml:space="preserve">蒋垛镇人民政府</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ff0000"/>
                <w:sz w:val="24"/>
                <w:szCs w:val="24"/>
              </w:rPr>
              <w:t xml:space="preserve">合同签订后进场供货，经采购人确认后付至应付价款的8</w:t>
            </w:r>
            <w:r>
              <w:rPr>
                <w:rFonts w:cs="仿宋" w:asciiTheme="minorEastAsia" w:hAnsiTheme="minorEastAsia" w:eastAsiaTheme="minorEastAsia"/>
                <w:color w:val="ff0000"/>
                <w:sz w:val="24"/>
                <w:szCs w:val="24"/>
              </w:rPr>
              <w:t xml:space="preserve">0%</w:t>
            </w:r>
            <w:r>
              <w:rPr>
                <w:rFonts w:hint="eastAsia" w:cs="仿宋" w:asciiTheme="minorEastAsia" w:hAnsiTheme="minorEastAsia" w:eastAsiaTheme="minorEastAsia"/>
                <w:color w:val="ff0000"/>
                <w:sz w:val="24"/>
                <w:szCs w:val="24"/>
              </w:rPr>
              <w:t xml:space="preserve">，年底付至应付价款的9</w:t>
            </w:r>
            <w:r>
              <w:rPr>
                <w:rFonts w:cs="仿宋" w:asciiTheme="minorEastAsia" w:hAnsiTheme="minorEastAsia" w:eastAsiaTheme="minorEastAsia"/>
                <w:color w:val="ff0000"/>
                <w:sz w:val="24"/>
                <w:szCs w:val="24"/>
              </w:rPr>
              <w:t xml:space="preserve">0%</w:t>
            </w:r>
            <w:r>
              <w:rPr>
                <w:rFonts w:hint="eastAsia" w:cs="仿宋" w:asciiTheme="minorEastAsia" w:hAnsiTheme="minorEastAsia" w:eastAsiaTheme="minorEastAsia"/>
                <w:color w:val="ff0000"/>
                <w:sz w:val="24"/>
                <w:szCs w:val="24"/>
              </w:rPr>
              <w:t xml:space="preserve">，次年项目实施完成后一次性付清余款。</w:t>
            </w:r>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1030"/>
              <w:ind w:firstLine="0"/>
              <w:jc w:val="both"/>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1、该项目代理费用由中标人支付，中标服务费由中标单位在领取中标通知书时付清，</w:t>
            </w:r>
            <w:r>
              <w:rPr>
                <w:rFonts w:hint="eastAsia" w:cs="仿宋" w:asciiTheme="minorEastAsia" w:hAnsiTheme="minorEastAsia" w:eastAsiaTheme="minorEastAsia"/>
                <w:color w:val="000000" w:themeColor="text1"/>
                <w:szCs w:val="24"/>
              </w:rPr>
              <w:t xml:space="preserve">收费标准参照苏招协[</w:t>
            </w:r>
            <w:r>
              <w:rPr>
                <w:rFonts w:cs="仿宋" w:asciiTheme="minorEastAsia" w:hAnsiTheme="minorEastAsia" w:eastAsiaTheme="minorEastAsia"/>
                <w:color w:val="000000" w:themeColor="text1"/>
                <w:szCs w:val="24"/>
              </w:rPr>
              <w:t xml:space="preserve">2022</w:t>
            </w:r>
            <w:r>
              <w:rPr>
                <w:rFonts w:hint="eastAsia" w:cs="仿宋" w:asciiTheme="minorEastAsia" w:hAnsiTheme="minorEastAsia" w:eastAsiaTheme="minorEastAsia"/>
                <w:color w:val="000000" w:themeColor="text1"/>
                <w:szCs w:val="24"/>
              </w:rPr>
              <w:t xml:space="preserve">]</w:t>
            </w:r>
            <w:r>
              <w:rPr>
                <w:rFonts w:cs="仿宋" w:asciiTheme="minorEastAsia" w:hAnsiTheme="minorEastAsia" w:eastAsiaTheme="minorEastAsia"/>
                <w:color w:val="000000" w:themeColor="text1"/>
                <w:szCs w:val="24"/>
              </w:rPr>
              <w:t xml:space="preserve">002</w:t>
            </w:r>
            <w:r>
              <w:rPr>
                <w:rFonts w:hint="eastAsia" w:cs="仿宋" w:asciiTheme="minorEastAsia" w:hAnsiTheme="minorEastAsia" w:eastAsiaTheme="minorEastAsia"/>
                <w:color w:val="000000" w:themeColor="text1"/>
                <w:szCs w:val="24"/>
              </w:rPr>
              <w:t xml:space="preserve">号文，以中标金额作为收费基数标准，按收费比例差额定率分档累进法计算。</w:t>
            </w:r>
            <w:r/>
          </w:p>
          <w:p>
            <w:pPr>
              <w:pStyle w:val="1030"/>
              <w:ind w:firstLine="0"/>
              <w:jc w:val="both"/>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 </w:t>
            </w:r>
            <w:r>
              <w:rPr>
                <w:rFonts w:hint="eastAsia" w:cs="仿宋" w:asciiTheme="minorEastAsia" w:hAnsiTheme="minorEastAsia" w:eastAsiaTheme="minorEastAsia"/>
                <w:color w:val="000000" w:themeColor="text1"/>
                <w:szCs w:val="24"/>
              </w:rPr>
              <w:t xml:space="preserve">2、评标费由采购人支付。</w:t>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30"/>
              <w:ind w:firstLine="0"/>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30"/>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30"/>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w:t>
      </w:r>
      <w:r>
        <w:rPr>
          <w:rFonts w:hint="eastAsia" w:cs="仿宋" w:asciiTheme="minorEastAsia" w:hAnsiTheme="minorEastAsia" w:eastAsiaTheme="minorEastAsia"/>
          <w:bCs/>
          <w:color w:val="000000" w:themeColor="text1"/>
          <w:sz w:val="24"/>
          <w:szCs w:val="24"/>
        </w:rPr>
        <w:t xml:space="preserve">容做出实质性响应。</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w:t>
      </w:r>
      <w:r>
        <w:rPr>
          <w:rFonts w:hint="eastAsia" w:cs="仿宋" w:asciiTheme="minorEastAsia" w:hAnsiTheme="minorEastAsia" w:eastAsiaTheme="minorEastAsia"/>
          <w:color w:val="000000" w:themeColor="text1"/>
          <w:szCs w:val="24"/>
        </w:rPr>
        <w:t xml:space="preserve">现场，但投标人不得因此使招标采购单位承担有关的责任和蒙受损失。投标人应承担勘察现场的责任和风险。</w:t>
      </w:r>
      <w:r/>
    </w:p>
    <w:p>
      <w:pPr>
        <w:pStyle w:val="1030"/>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30"/>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9"/>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7" w:name="_Toc217446047"/>
      <w:r>
        <w:rPr>
          <w:rFonts w:hint="eastAsia" w:cs="仿宋" w:asciiTheme="minorEastAsia" w:hAnsiTheme="minorEastAsia" w:eastAsiaTheme="minorEastAsia"/>
          <w:b/>
          <w:color w:val="000000" w:themeColor="text1"/>
          <w:sz w:val="24"/>
          <w:szCs w:val="24"/>
        </w:rPr>
        <w:t xml:space="preserve">2.知识产权</w:t>
      </w:r>
      <w:bookmarkEnd w:id="37"/>
      <w:r/>
      <w:r/>
    </w:p>
    <w:p>
      <w:pPr>
        <w:pStyle w:val="1030"/>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w:t>
      </w:r>
      <w:r>
        <w:rPr>
          <w:rFonts w:hint="eastAsia" w:cs="仿宋" w:asciiTheme="minorEastAsia" w:hAnsiTheme="minorEastAsia" w:eastAsiaTheme="minorEastAsia"/>
          <w:color w:val="000000" w:themeColor="text1"/>
          <w:szCs w:val="24"/>
        </w:rPr>
        <w:t xml:space="preserve">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84"/>
        <w:numPr>
          <w:ilvl w:val="1"/>
          <w:numId w:val="1"/>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关于资格的声明函（格式见附件）</w:t>
      </w:r>
      <w:r/>
    </w:p>
    <w:p>
      <w:pPr>
        <w:pStyle w:val="884"/>
        <w:numPr>
          <w:ilvl w:val="1"/>
          <w:numId w:val="1"/>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1031"/>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30"/>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30"/>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30"/>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30"/>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41"/>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w:t>
      </w:r>
      <w:r>
        <w:rPr>
          <w:rFonts w:hint="eastAsia" w:cs="仿宋" w:asciiTheme="minorEastAsia" w:hAnsiTheme="minorEastAsia" w:eastAsiaTheme="minorEastAsia"/>
          <w:color w:val="000000" w:themeColor="text1"/>
          <w:sz w:val="24"/>
          <w:szCs w:val="24"/>
        </w:rPr>
        <w:t xml:space="preserve">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30"/>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30"/>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w:t>
      </w:r>
      <w:r>
        <w:rPr>
          <w:rFonts w:hint="eastAsia" w:cs="仿宋" w:asciiTheme="minorEastAsia" w:hAnsiTheme="minorEastAsia" w:eastAsiaTheme="minorEastAsia"/>
          <w:color w:val="000000" w:themeColor="text1"/>
          <w:sz w:val="24"/>
          <w:szCs w:val="24"/>
        </w:rPr>
        <w:t xml:space="preserve">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30"/>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w:t>
      </w:r>
      <w:r>
        <w:rPr>
          <w:rFonts w:hint="eastAsia" w:cs="仿宋" w:asciiTheme="minorEastAsia" w:hAnsiTheme="minorEastAsia" w:eastAsiaTheme="minorEastAsia"/>
          <w:color w:val="000000" w:themeColor="text1"/>
          <w:szCs w:val="24"/>
        </w:rPr>
        <w:t xml:space="preserve">的投标文件进行商务和技术评估，综合比较与评价。</w:t>
      </w:r>
      <w:r/>
    </w:p>
    <w:p>
      <w:pPr>
        <w:pStyle w:val="1030"/>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30"/>
        <w:ind w:firstLine="431"/>
        <w:jc w:val="both"/>
        <w:spacing w:line="360" w:lineRule="auto"/>
        <w:rPr>
          <w:rFonts w:cs="仿宋" w:asciiTheme="minorEastAsia" w:hAnsiTheme="minorEastAsia" w:eastAsiaTheme="minorEastAsia"/>
          <w:color w:val="000000" w:themeColor="text1"/>
          <w:szCs w:val="24"/>
        </w:rPr>
      </w:pPr>
      <w:r/>
      <w:bookmarkStart w:id="38"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30"/>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8pt;height:119.5pt;mso-wrap-distance-left:0.0pt;mso-wrap-distance-top:0.0pt;mso-wrap-distance-right:0.0pt;mso-wrap-distance-bottom:0.0pt;" stroked="f">
                <v:path textboxrect="0,0,0,0"/>
                <v:imagedata r:id="rId17" o:title=""/>
              </v:shape>
            </w:pict>
          </mc:Fallback>
        </mc:AlternateConten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30"/>
        <w:numPr>
          <w:ilvl w:val="0"/>
          <w:numId w:val="2"/>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30"/>
        <w:ind w:firstLine="0"/>
        <w:jc w:val="center"/>
        <w:spacing w:line="360" w:lineRule="auto"/>
        <w:rPr>
          <w:rFonts w:cs="仿宋" w:asciiTheme="minorEastAsia" w:hAnsiTheme="minorEastAsia" w:eastAsiaTheme="minorEastAsia"/>
          <w:b/>
          <w:color w:val="000000" w:themeColor="text1"/>
          <w:sz w:val="32"/>
          <w:szCs w:val="32"/>
        </w:rPr>
      </w:pPr>
      <w:r/>
      <w:bookmarkStart w:id="39" w:name="_Toc388026586"/>
      <w:r/>
      <w:bookmarkEnd w:id="38"/>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第三章 采购</w:t>
      </w:r>
      <w:bookmarkEnd w:id="39"/>
      <w:r>
        <w:rPr>
          <w:rFonts w:hint="eastAsia" w:cs="仿宋" w:asciiTheme="minorEastAsia" w:hAnsiTheme="minorEastAsia" w:eastAsiaTheme="minorEastAsia"/>
          <w:b/>
          <w:color w:val="000000" w:themeColor="text1"/>
          <w:sz w:val="32"/>
          <w:szCs w:val="32"/>
        </w:rPr>
        <w:t xml:space="preserve">需求</w:t>
      </w:r>
      <w:r/>
    </w:p>
    <w:p>
      <w:pPr>
        <w:spacing w:line="520" w:lineRule="exact"/>
        <w:tabs>
          <w:tab w:val="left" w:pos="1260" w:leader="none"/>
        </w:tabs>
        <w:rPr>
          <w:rFonts w:ascii="宋体" w:hAnsi="宋体" w:eastAsia="宋体"/>
          <w:b/>
          <w:sz w:val="24"/>
          <w:szCs w:val="24"/>
        </w:rPr>
      </w:pPr>
      <w:r/>
      <w:bookmarkStart w:id="40" w:name="_Toc388026588"/>
      <w:r/>
      <w:bookmarkStart w:id="41" w:name="_Toc409438821"/>
      <w:r>
        <w:rPr>
          <w:rFonts w:hint="eastAsia" w:ascii="宋体" w:hAnsi="宋体" w:eastAsia="宋体"/>
          <w:b/>
          <w:sz w:val="24"/>
          <w:szCs w:val="24"/>
        </w:rPr>
        <w:t xml:space="preserve">一、采购需求</w:t>
      </w:r>
      <w:r/>
    </w:p>
    <w:tbl>
      <w:tblPr>
        <w:tblpPr w:horzAnchor="page" w:tblpX="1473" w:vertAnchor="page" w:tblpY="3081" w:leftFromText="180" w:topFromText="0" w:rightFromText="180" w:bottomFromText="0"/>
        <w:tblW w:w="96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7"/>
        <w:gridCol w:w="2080"/>
        <w:gridCol w:w="1276"/>
        <w:gridCol w:w="1276"/>
        <w:gridCol w:w="3402"/>
        <w:gridCol w:w="850"/>
      </w:tblGrid>
      <w:tr>
        <w:trPr>
          <w:trHeight w:val="355"/>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6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8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名称</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预算价</w:t>
            </w:r>
            <w:r/>
          </w:p>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（元）</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402"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sz w:val="24"/>
                <w:szCs w:val="24"/>
              </w:rPr>
              <w:t xml:space="preserve">技术</w:t>
            </w:r>
            <w:r>
              <w:rPr>
                <w:rFonts w:hint="eastAsia" w:ascii="宋体" w:hAnsi="宋体" w:eastAsia="宋体" w:cs="宋体"/>
                <w:color w:val="000000"/>
                <w:sz w:val="24"/>
                <w:szCs w:val="24"/>
              </w:rPr>
              <w:t xml:space="preserve">参</w:t>
            </w:r>
            <w:r>
              <w:rPr>
                <w:rFonts w:hint="eastAsia" w:ascii="宋体" w:hAnsi="宋体" w:eastAsia="宋体" w:cs="宋体"/>
                <w:sz w:val="24"/>
                <w:szCs w:val="24"/>
              </w:rPr>
              <w:t xml:space="preserve">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1343"/>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6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8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腐熟粪肥</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t xml:space="preserve">9000</w:t>
            </w:r>
            <w:r>
              <w:rPr>
                <w:rFonts w:hint="eastAsia" w:ascii="宋体" w:hAnsi="宋体" w:eastAsia="宋体" w:cs="宋体"/>
                <w:sz w:val="24"/>
                <w:szCs w:val="24"/>
              </w:rPr>
              <w:t xml:space="preserve">吨</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t xml:space="preserve">2250000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402"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总砷（以干基计）≤</w:t>
            </w:r>
            <w:r>
              <w:rPr>
                <w:rFonts w:ascii="宋体" w:hAnsi="宋体" w:eastAsia="宋体" w:cs="宋体"/>
                <w:sz w:val="24"/>
                <w:szCs w:val="24"/>
              </w:rPr>
              <w:t xml:space="preserve">15mg/kg</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总汞（以干基计）≤</w:t>
            </w:r>
            <w:r>
              <w:rPr>
                <w:rFonts w:ascii="宋体" w:hAnsi="宋体" w:eastAsia="宋体" w:cs="宋体"/>
                <w:sz w:val="24"/>
                <w:szCs w:val="24"/>
              </w:rPr>
              <w:t xml:space="preserve">2mg/kg</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总铅（以干基计）≤</w:t>
            </w:r>
            <w:r>
              <w:rPr>
                <w:rFonts w:ascii="宋体" w:hAnsi="宋体" w:eastAsia="宋体" w:cs="宋体"/>
                <w:sz w:val="24"/>
                <w:szCs w:val="24"/>
              </w:rPr>
              <w:t xml:space="preserve">50mg/kg</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总镉（以干基计）≤</w:t>
            </w:r>
            <w:r>
              <w:rPr>
                <w:rFonts w:ascii="宋体" w:hAnsi="宋体" w:eastAsia="宋体" w:cs="宋体"/>
                <w:sz w:val="24"/>
                <w:szCs w:val="24"/>
              </w:rPr>
              <w:t xml:space="preserve">3mg/kg</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总铬（以干基计）≤</w:t>
            </w:r>
            <w:r>
              <w:rPr>
                <w:rFonts w:ascii="宋体" w:hAnsi="宋体" w:eastAsia="宋体" w:cs="宋体"/>
                <w:sz w:val="24"/>
                <w:szCs w:val="24"/>
              </w:rPr>
              <w:t xml:space="preserve">150mg/kg</w:t>
            </w:r>
            <w:r>
              <w:rPr>
                <w:rFonts w:hint="eastAsia" w:ascii="宋体" w:hAnsi="宋体" w:eastAsia="宋体" w:cs="宋体"/>
                <w:sz w:val="24"/>
                <w:szCs w:val="24"/>
              </w:rPr>
              <w:t xml:space="preserve">；</w:t>
            </w:r>
            <w:r/>
          </w:p>
          <w:p>
            <w:pPr>
              <w:jc w:val="left"/>
            </w:pPr>
            <w:r>
              <w:rPr>
                <w:rFonts w:hint="eastAsia" w:ascii="宋体" w:hAnsi="宋体" w:eastAsia="宋体" w:cs="宋体"/>
                <w:sz w:val="24"/>
                <w:szCs w:val="24"/>
              </w:rPr>
              <w:t xml:space="preserve">其他参照GB/T36195畜禽粪便无害化处理技术规范执行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1457"/>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6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8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商品有机肥</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t xml:space="preserve">6000</w:t>
            </w:r>
            <w:r>
              <w:rPr>
                <w:rFonts w:hint="eastAsia" w:ascii="宋体" w:hAnsi="宋体" w:eastAsia="宋体" w:cs="宋体"/>
                <w:sz w:val="24"/>
                <w:szCs w:val="24"/>
              </w:rPr>
              <w:t xml:space="preserve">吨</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left"/>
              <w:rPr>
                <w:rFonts w:ascii="宋体" w:hAnsi="宋体" w:eastAsia="宋体" w:cs="宋体"/>
                <w:bCs/>
                <w:sz w:val="24"/>
                <w:szCs w:val="24"/>
              </w:rPr>
            </w:pPr>
            <w:r>
              <w:rPr>
                <w:rFonts w:ascii="宋体" w:hAnsi="宋体" w:eastAsia="宋体" w:cs="宋体"/>
                <w:bCs/>
                <w:sz w:val="24"/>
                <w:szCs w:val="24"/>
              </w:rPr>
              <w:t xml:space="preserve">2400000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402" w:type="dxa"/>
            <w:vAlign w:val="center"/>
            <w:textDirection w:val="lrTb"/>
            <w:noWrap/>
          </w:tcPr>
          <w:p>
            <w:pPr>
              <w:jc w:val="left"/>
              <w:rPr>
                <w:rFonts w:ascii="宋体" w:hAnsi="宋体" w:eastAsia="宋体" w:cs="宋体"/>
                <w:bCs/>
                <w:sz w:val="24"/>
                <w:szCs w:val="24"/>
              </w:rPr>
            </w:pPr>
            <w:r>
              <w:rPr>
                <w:rFonts w:hint="eastAsia" w:ascii="宋体" w:hAnsi="宋体" w:eastAsia="宋体" w:cs="宋体"/>
                <w:bCs/>
                <w:sz w:val="24"/>
                <w:szCs w:val="24"/>
              </w:rPr>
              <w:t xml:space="preserve">产品质量必须符合N</w:t>
            </w:r>
            <w:r>
              <w:rPr>
                <w:rFonts w:ascii="宋体" w:hAnsi="宋体" w:eastAsia="宋体" w:cs="宋体"/>
                <w:bCs/>
                <w:sz w:val="24"/>
                <w:szCs w:val="24"/>
              </w:rPr>
              <w:t xml:space="preserve">Y/T 525-2021</w:t>
            </w:r>
            <w:r>
              <w:rPr>
                <w:rFonts w:hint="eastAsia" w:ascii="宋体" w:hAnsi="宋体" w:eastAsia="宋体" w:cs="宋体"/>
                <w:bCs/>
                <w:sz w:val="24"/>
                <w:szCs w:val="24"/>
              </w:rPr>
              <w:t xml:space="preserve">标准；包装标识符合G</w:t>
            </w:r>
            <w:r>
              <w:rPr>
                <w:rFonts w:ascii="宋体" w:hAnsi="宋体" w:eastAsia="宋体" w:cs="宋体"/>
                <w:bCs/>
                <w:sz w:val="24"/>
                <w:szCs w:val="24"/>
              </w:rPr>
              <w:t xml:space="preserve">B18382-2021</w:t>
            </w:r>
            <w:r>
              <w:rPr>
                <w:rFonts w:hint="eastAsia" w:ascii="宋体" w:hAnsi="宋体" w:eastAsia="宋体" w:cs="宋体"/>
                <w:bCs/>
                <w:sz w:val="24"/>
                <w:szCs w:val="24"/>
              </w:rPr>
              <w:t xml:space="preserve">《肥料标识、内容和要求》</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（须提供2</w:t>
            </w:r>
            <w:r>
              <w:rPr>
                <w:rFonts w:ascii="宋体" w:hAnsi="宋体" w:eastAsia="宋体" w:cs="宋体"/>
                <w:bCs/>
                <w:sz w:val="24"/>
                <w:szCs w:val="24"/>
              </w:rPr>
              <w:t xml:space="preserve">022</w:t>
            </w:r>
            <w:r>
              <w:rPr>
                <w:rFonts w:hint="eastAsia" w:ascii="宋体" w:hAnsi="宋体" w:eastAsia="宋体" w:cs="宋体"/>
                <w:bCs/>
                <w:sz w:val="24"/>
                <w:szCs w:val="24"/>
              </w:rPr>
              <w:t xml:space="preserve">年以来任意一年省级及以上具备检测资质的单位出具的检测报告）</w:t>
            </w:r>
            <w:r/>
          </w:p>
          <w:p>
            <w:pPr>
              <w:jc w:val="left"/>
              <w:rPr>
                <w:rFonts w:ascii="宋体" w:hAnsi="宋体" w:eastAsia="宋体" w:cs="宋体"/>
                <w:bCs/>
                <w:sz w:val="24"/>
                <w:szCs w:val="24"/>
              </w:rPr>
            </w:pPr>
            <w:r>
              <w:rPr>
                <w:rFonts w:hint="eastAsia" w:ascii="宋体" w:hAnsi="宋体" w:eastAsia="宋体" w:cs="宋体"/>
                <w:bCs/>
                <w:sz w:val="24"/>
                <w:szCs w:val="24"/>
              </w:rPr>
              <w:t xml:space="preserve">总养分（</w:t>
            </w:r>
            <w:r>
              <w:rPr>
                <w:rFonts w:ascii="宋体" w:hAnsi="宋体" w:eastAsia="宋体" w:cs="宋体"/>
                <w:bCs/>
                <w:sz w:val="24"/>
                <w:szCs w:val="24"/>
              </w:rPr>
              <w:t xml:space="preserve">N+P2O5+K2O</w:t>
            </w:r>
            <w:r>
              <w:rPr>
                <w:rFonts w:hint="eastAsia" w:ascii="宋体" w:hAnsi="宋体" w:eastAsia="宋体" w:cs="宋体"/>
                <w:bCs/>
                <w:sz w:val="24"/>
                <w:szCs w:val="24"/>
              </w:rPr>
              <w:t xml:space="preserve">）的质量分数（以烘干基计）≥</w:t>
            </w:r>
            <w:r>
              <w:rPr>
                <w:rFonts w:ascii="宋体" w:hAnsi="宋体" w:eastAsia="宋体" w:cs="宋体"/>
                <w:bCs/>
                <w:sz w:val="24"/>
                <w:szCs w:val="24"/>
              </w:rPr>
              <w:t xml:space="preserve">4%</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有机质的质量分数（以烘干基计）≥</w:t>
            </w:r>
            <w:r>
              <w:rPr>
                <w:rFonts w:ascii="宋体" w:hAnsi="宋体" w:eastAsia="宋体" w:cs="宋体"/>
                <w:bCs/>
                <w:sz w:val="24"/>
                <w:szCs w:val="24"/>
              </w:rPr>
              <w:t xml:space="preserve">30%</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水分≤</w:t>
            </w:r>
            <w:r>
              <w:rPr>
                <w:rFonts w:ascii="宋体" w:hAnsi="宋体" w:eastAsia="宋体" w:cs="宋体"/>
                <w:bCs/>
                <w:sz w:val="24"/>
                <w:szCs w:val="24"/>
              </w:rPr>
              <w:t xml:space="preserve">30%</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ascii="宋体" w:hAnsi="宋体" w:eastAsia="宋体" w:cs="宋体"/>
                <w:bCs/>
                <w:sz w:val="24"/>
                <w:szCs w:val="24"/>
              </w:rPr>
              <w:t xml:space="preserve">PH</w:t>
            </w:r>
            <w:r>
              <w:rPr>
                <w:rFonts w:hint="eastAsia" w:ascii="宋体" w:hAnsi="宋体" w:eastAsia="宋体" w:cs="宋体"/>
                <w:bCs/>
                <w:sz w:val="24"/>
                <w:szCs w:val="24"/>
              </w:rPr>
              <w:t xml:space="preserve">：</w:t>
            </w:r>
            <w:r>
              <w:rPr>
                <w:rFonts w:ascii="宋体" w:hAnsi="宋体" w:eastAsia="宋体" w:cs="宋体"/>
                <w:bCs/>
                <w:sz w:val="24"/>
                <w:szCs w:val="24"/>
              </w:rPr>
              <w:t xml:space="preserve">5.5-8.5</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种子发芽指数≥</w:t>
            </w:r>
            <w:r>
              <w:rPr>
                <w:rFonts w:ascii="宋体" w:hAnsi="宋体" w:eastAsia="宋体" w:cs="宋体"/>
                <w:bCs/>
                <w:sz w:val="24"/>
                <w:szCs w:val="24"/>
              </w:rPr>
              <w:t xml:space="preserve">70%</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机械杂质的质量分数≤</w:t>
            </w:r>
            <w:r>
              <w:rPr>
                <w:rFonts w:ascii="宋体" w:hAnsi="宋体" w:eastAsia="宋体" w:cs="宋体"/>
                <w:bCs/>
                <w:sz w:val="24"/>
                <w:szCs w:val="24"/>
              </w:rPr>
              <w:t xml:space="preserve">0.5%</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蛔虫卵死亡率≥</w:t>
            </w:r>
            <w:r>
              <w:rPr>
                <w:rFonts w:ascii="宋体" w:hAnsi="宋体" w:eastAsia="宋体" w:cs="宋体"/>
                <w:bCs/>
                <w:sz w:val="24"/>
                <w:szCs w:val="24"/>
              </w:rPr>
              <w:t xml:space="preserve">95%</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粪大肠菌群数≤</w:t>
            </w:r>
            <w:r>
              <w:rPr>
                <w:rFonts w:ascii="宋体" w:hAnsi="宋体" w:eastAsia="宋体" w:cs="宋体"/>
                <w:bCs/>
                <w:sz w:val="24"/>
                <w:szCs w:val="24"/>
              </w:rPr>
              <w:t xml:space="preserve">100</w:t>
            </w:r>
            <w:r>
              <w:rPr>
                <w:rFonts w:hint="eastAsia" w:ascii="宋体" w:hAnsi="宋体" w:eastAsia="宋体" w:cs="宋体"/>
                <w:bCs/>
                <w:sz w:val="24"/>
                <w:szCs w:val="24"/>
              </w:rPr>
              <w:t xml:space="preserve">个</w:t>
            </w:r>
            <w:r>
              <w:rPr>
                <w:rFonts w:ascii="宋体" w:hAnsi="宋体" w:eastAsia="宋体" w:cs="宋体"/>
                <w:bCs/>
                <w:sz w:val="24"/>
                <w:szCs w:val="24"/>
              </w:rPr>
              <w:t xml:space="preserve">/g</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总砷（</w:t>
            </w:r>
            <w:r>
              <w:rPr>
                <w:rFonts w:ascii="宋体" w:hAnsi="宋体" w:eastAsia="宋体" w:cs="宋体"/>
                <w:bCs/>
                <w:sz w:val="24"/>
                <w:szCs w:val="24"/>
              </w:rPr>
              <w:t xml:space="preserve">As</w:t>
            </w:r>
            <w:r>
              <w:rPr>
                <w:rFonts w:hint="eastAsia" w:ascii="宋体" w:hAnsi="宋体" w:eastAsia="宋体" w:cs="宋体"/>
                <w:bCs/>
                <w:sz w:val="24"/>
                <w:szCs w:val="24"/>
              </w:rPr>
              <w:t xml:space="preserve">）≤</w:t>
            </w:r>
            <w:r>
              <w:rPr>
                <w:rFonts w:ascii="宋体" w:hAnsi="宋体" w:eastAsia="宋体" w:cs="宋体"/>
                <w:bCs/>
                <w:sz w:val="24"/>
                <w:szCs w:val="24"/>
              </w:rPr>
              <w:t xml:space="preserve">15mg/kg</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总汞（</w:t>
            </w:r>
            <w:r>
              <w:rPr>
                <w:rFonts w:ascii="宋体" w:hAnsi="宋体" w:eastAsia="宋体" w:cs="宋体"/>
                <w:bCs/>
                <w:sz w:val="24"/>
                <w:szCs w:val="24"/>
              </w:rPr>
              <w:t xml:space="preserve">Hg</w:t>
            </w:r>
            <w:r>
              <w:rPr>
                <w:rFonts w:hint="eastAsia" w:ascii="宋体" w:hAnsi="宋体" w:eastAsia="宋体" w:cs="宋体"/>
                <w:bCs/>
                <w:sz w:val="24"/>
                <w:szCs w:val="24"/>
              </w:rPr>
              <w:t xml:space="preserve">）≤</w:t>
            </w:r>
            <w:r>
              <w:rPr>
                <w:rFonts w:ascii="宋体" w:hAnsi="宋体" w:eastAsia="宋体" w:cs="宋体"/>
                <w:bCs/>
                <w:sz w:val="24"/>
                <w:szCs w:val="24"/>
              </w:rPr>
              <w:t xml:space="preserve">2mg/kg</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总铅（</w:t>
            </w:r>
            <w:r>
              <w:rPr>
                <w:rFonts w:ascii="宋体" w:hAnsi="宋体" w:eastAsia="宋体" w:cs="宋体"/>
                <w:bCs/>
                <w:sz w:val="24"/>
                <w:szCs w:val="24"/>
              </w:rPr>
              <w:t xml:space="preserve">Pb</w:t>
            </w:r>
            <w:r>
              <w:rPr>
                <w:rFonts w:hint="eastAsia" w:ascii="宋体" w:hAnsi="宋体" w:eastAsia="宋体" w:cs="宋体"/>
                <w:bCs/>
                <w:sz w:val="24"/>
                <w:szCs w:val="24"/>
              </w:rPr>
              <w:t xml:space="preserve">）≤</w:t>
            </w:r>
            <w:r>
              <w:rPr>
                <w:rFonts w:ascii="宋体" w:hAnsi="宋体" w:eastAsia="宋体" w:cs="宋体"/>
                <w:bCs/>
                <w:sz w:val="24"/>
                <w:szCs w:val="24"/>
              </w:rPr>
              <w:t xml:space="preserve">50mg/kg</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总镉（</w:t>
            </w:r>
            <w:r>
              <w:rPr>
                <w:rFonts w:ascii="宋体" w:hAnsi="宋体" w:eastAsia="宋体" w:cs="宋体"/>
                <w:bCs/>
                <w:sz w:val="24"/>
                <w:szCs w:val="24"/>
              </w:rPr>
              <w:t xml:space="preserve">Cd</w:t>
            </w:r>
            <w:r>
              <w:rPr>
                <w:rFonts w:hint="eastAsia" w:ascii="宋体" w:hAnsi="宋体" w:eastAsia="宋体" w:cs="宋体"/>
                <w:bCs/>
                <w:sz w:val="24"/>
                <w:szCs w:val="24"/>
              </w:rPr>
              <w:t xml:space="preserve">）≤</w:t>
            </w:r>
            <w:r>
              <w:rPr>
                <w:rFonts w:ascii="宋体" w:hAnsi="宋体" w:eastAsia="宋体" w:cs="宋体"/>
                <w:bCs/>
                <w:sz w:val="24"/>
                <w:szCs w:val="24"/>
              </w:rPr>
              <w:t xml:space="preserve">3mg/kg</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总铬（</w:t>
            </w:r>
            <w:r>
              <w:rPr>
                <w:rFonts w:ascii="宋体" w:hAnsi="宋体" w:eastAsia="宋体" w:cs="宋体"/>
                <w:bCs/>
                <w:sz w:val="24"/>
                <w:szCs w:val="24"/>
              </w:rPr>
              <w:t xml:space="preserve">Cr</w:t>
            </w:r>
            <w:r>
              <w:rPr>
                <w:rFonts w:hint="eastAsia" w:ascii="宋体" w:hAnsi="宋体" w:eastAsia="宋体" w:cs="宋体"/>
                <w:bCs/>
                <w:sz w:val="24"/>
                <w:szCs w:val="24"/>
              </w:rPr>
              <w:t xml:space="preserve">）≤</w:t>
            </w:r>
            <w:r>
              <w:rPr>
                <w:rFonts w:ascii="宋体" w:hAnsi="宋体" w:eastAsia="宋体" w:cs="宋体"/>
                <w:bCs/>
                <w:sz w:val="24"/>
                <w:szCs w:val="24"/>
              </w:rPr>
              <w:t xml:space="preserve">150mg/kg</w:t>
            </w:r>
            <w:r>
              <w:rPr>
                <w:rFonts w:hint="eastAsia" w:ascii="宋体" w:hAnsi="宋体" w:eastAsia="宋体" w:cs="宋体"/>
                <w:bCs/>
                <w:sz w:val="24"/>
                <w:szCs w:val="24"/>
              </w:rPr>
              <w:t xml:space="preserve">；</w:t>
            </w:r>
            <w:r/>
          </w:p>
          <w:p>
            <w:pPr>
              <w:jc w:val="left"/>
              <w:rPr>
                <w:rFonts w:ascii="宋体" w:hAnsi="宋体" w:eastAsia="宋体" w:cs="宋体"/>
                <w:bCs/>
                <w:sz w:val="24"/>
                <w:szCs w:val="24"/>
              </w:rPr>
            </w:pPr>
            <w:r>
              <w:rPr>
                <w:rFonts w:hint="eastAsia" w:ascii="宋体" w:hAnsi="宋体" w:eastAsia="宋体" w:cs="宋体"/>
                <w:bCs/>
                <w:sz w:val="24"/>
                <w:szCs w:val="24"/>
              </w:rPr>
              <w:t xml:space="preserve">粪大肠菌群数≤1</w:t>
            </w:r>
            <w:r>
              <w:rPr>
                <w:rFonts w:ascii="宋体" w:hAnsi="宋体" w:eastAsia="宋体" w:cs="宋体"/>
                <w:bCs/>
                <w:sz w:val="24"/>
                <w:szCs w:val="24"/>
              </w:rPr>
              <w:t xml:space="preserve">00</w:t>
            </w:r>
            <w:r>
              <w:rPr>
                <w:rFonts w:hint="eastAsia" w:ascii="宋体" w:hAnsi="宋体" w:eastAsia="宋体" w:cs="宋体"/>
                <w:bCs/>
                <w:sz w:val="24"/>
                <w:szCs w:val="24"/>
              </w:rPr>
              <w:t xml:space="preserve">个/g</w:t>
            </w:r>
            <w:r>
              <w:rPr>
                <w:rFonts w:hint="eastAsia" w:ascii="宋体" w:hAnsi="宋体" w:eastAsia="宋体" w:cs="宋体"/>
                <w:bCs/>
                <w:sz w:val="24"/>
                <w:szCs w:val="24"/>
              </w:rPr>
              <w:t xml:space="preserve">；</w:t>
            </w:r>
            <w:r/>
          </w:p>
          <w:p>
            <w:pPr>
              <w:jc w:val="left"/>
              <w:rPr>
                <w:rFonts w:eastAsiaTheme="minorEastAsia"/>
              </w:rPr>
            </w:pPr>
            <w:r>
              <w:rPr>
                <w:rFonts w:hint="eastAsia" w:ascii="宋体" w:hAnsi="宋体" w:eastAsia="宋体" w:cs="宋体"/>
                <w:bCs/>
                <w:sz w:val="24"/>
                <w:szCs w:val="24"/>
              </w:rPr>
              <w:t xml:space="preserve">蛔虫卵死亡率≥</w:t>
            </w:r>
            <w:r>
              <w:rPr>
                <w:rFonts w:ascii="宋体" w:hAnsi="宋体" w:eastAsia="宋体" w:cs="宋体"/>
                <w:bCs/>
                <w:sz w:val="24"/>
                <w:szCs w:val="24"/>
              </w:rPr>
              <w:t xml:space="preserve">95%</w:t>
            </w:r>
            <w:r>
              <w:rPr>
                <w:rFonts w:hint="eastAsia" w:ascii="宋体" w:hAnsi="宋体" w:eastAsia="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ascii="宋体" w:hAnsi="宋体" w:eastAsia="宋体" w:cs="宋体"/>
                <w:sz w:val="24"/>
                <w:szCs w:val="24"/>
                <w:lang w:val="zh-CN"/>
              </w:rPr>
            </w:pPr>
            <w:r>
              <w:rPr>
                <w:rFonts w:ascii="宋体" w:hAnsi="宋体" w:eastAsia="宋体" w:cs="宋体"/>
                <w:sz w:val="24"/>
                <w:szCs w:val="24"/>
                <w:lang w:val="zh-CN"/>
              </w:rPr>
            </w:r>
            <w:r/>
          </w:p>
        </w:tc>
      </w:tr>
      <w:tr>
        <w:trPr>
          <w:trHeight w:val="1457"/>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6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80" w:type="dxa"/>
            <w:vAlign w:val="center"/>
            <w:textDirection w:val="lrTb"/>
            <w:noWrap/>
          </w:tcPr>
          <w:p>
            <w:pPr>
              <w:jc w:val="center"/>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粪肥施用作业</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000</w:t>
            </w:r>
            <w:r>
              <w:rPr>
                <w:rFonts w:hint="eastAsia" w:ascii="宋体" w:hAnsi="宋体" w:eastAsia="宋体" w:cs="宋体"/>
                <w:sz w:val="24"/>
                <w:szCs w:val="24"/>
              </w:rPr>
              <w:t xml:space="preserve">吨</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50000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402"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吨/亩</w:t>
            </w:r>
            <w:r>
              <w:rPr>
                <w:rFonts w:hint="eastAsia" w:ascii="宋体" w:hAnsi="宋体" w:eastAsia="宋体" w:cs="宋体"/>
                <w:sz w:val="24"/>
                <w:szCs w:val="24"/>
              </w:rPr>
              <w:t xml:space="preserve">，作业面积5</w:t>
            </w:r>
            <w:r>
              <w:rPr>
                <w:rFonts w:ascii="宋体" w:hAnsi="宋体" w:eastAsia="宋体" w:cs="宋体"/>
                <w:sz w:val="24"/>
                <w:szCs w:val="24"/>
              </w:rPr>
              <w:t xml:space="preserve">000</w:t>
            </w:r>
            <w:r>
              <w:rPr>
                <w:rFonts w:hint="eastAsia" w:ascii="宋体" w:hAnsi="宋体" w:eastAsia="宋体" w:cs="宋体"/>
                <w:sz w:val="24"/>
                <w:szCs w:val="24"/>
              </w:rPr>
              <w:t xml:space="preserve">亩</w:t>
            </w:r>
            <w:r>
              <w:rPr>
                <w:rFonts w:hint="eastAsia" w:ascii="宋体" w:hAnsi="宋体" w:eastAsia="宋体" w:cs="宋体"/>
                <w:sz w:val="24"/>
                <w:szCs w:val="24"/>
              </w:rPr>
              <w:t xml:space="preserve">；</w:t>
            </w:r>
            <w:r>
              <w:rPr>
                <w:rFonts w:hint="eastAsia" w:ascii="宋体" w:hAnsi="宋体" w:eastAsia="宋体" w:cs="宋体"/>
                <w:sz w:val="24"/>
                <w:szCs w:val="24"/>
              </w:rPr>
              <w:t xml:space="preserve">（含基肥施用一次、追肥施用一次）</w:t>
            </w:r>
            <w:r>
              <w:rPr>
                <w:rFonts w:hint="eastAsia" w:ascii="宋体" w:hAnsi="宋体" w:eastAsia="宋体" w:cs="宋体"/>
                <w:sz w:val="24"/>
                <w:szCs w:val="24"/>
              </w:rPr>
              <w:t xml:space="preserve">；</w:t>
            </w:r>
            <w:r>
              <w:rPr>
                <w:rFonts w:hint="eastAsia" w:ascii="宋体" w:hAnsi="宋体" w:eastAsia="宋体" w:cs="宋体"/>
                <w:sz w:val="24"/>
                <w:szCs w:val="24"/>
              </w:rPr>
              <w:t xml:space="preserve">技术规范需符合G</w:t>
            </w:r>
            <w:r>
              <w:rPr>
                <w:rFonts w:ascii="宋体" w:hAnsi="宋体" w:eastAsia="宋体" w:cs="宋体"/>
                <w:sz w:val="24"/>
                <w:szCs w:val="24"/>
              </w:rPr>
              <w:t xml:space="preserve">B/T 25246-2010</w:t>
            </w:r>
            <w:r>
              <w:rPr>
                <w:rFonts w:hint="eastAsia" w:ascii="宋体" w:hAnsi="宋体" w:eastAsia="宋体" w:cs="宋体"/>
                <w:sz w:val="24"/>
                <w:szCs w:val="24"/>
              </w:rPr>
              <w:t xml:space="preserve">标准；将粪肥一次或分次均匀撒于表面</w:t>
            </w:r>
            <w:r>
              <w:rPr>
                <w:rFonts w:hint="eastAsia" w:ascii="宋体" w:hAnsi="宋体" w:eastAsia="宋体" w:cs="宋体"/>
                <w:sz w:val="24"/>
                <w:szCs w:val="24"/>
              </w:rPr>
              <w:t xml:space="preserve">，适</w:t>
            </w:r>
            <w:r>
              <w:rPr>
                <w:rFonts w:hint="eastAsia" w:ascii="宋体" w:hAnsi="宋体" w:eastAsia="宋体" w:cs="宋体"/>
                <w:sz w:val="24"/>
                <w:szCs w:val="24"/>
              </w:rPr>
              <w:t xml:space="preserve">墒</w:t>
            </w:r>
            <w:r>
              <w:rPr>
                <w:rFonts w:hint="eastAsia" w:ascii="宋体" w:hAnsi="宋体" w:eastAsia="宋体" w:cs="宋体"/>
                <w:sz w:val="24"/>
                <w:szCs w:val="24"/>
              </w:rPr>
              <w:t xml:space="preserve">整地，翻耕入土。</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ascii="宋体" w:hAnsi="宋体" w:eastAsia="宋体" w:cs="宋体"/>
                <w:sz w:val="24"/>
                <w:szCs w:val="24"/>
                <w:lang w:val="zh-CN"/>
              </w:rPr>
            </w:pPr>
            <w:r>
              <w:rPr>
                <w:rFonts w:ascii="宋体" w:hAnsi="宋体" w:eastAsia="宋体" w:cs="宋体"/>
                <w:sz w:val="24"/>
                <w:szCs w:val="24"/>
                <w:lang w:val="zh-CN"/>
              </w:rPr>
            </w:r>
            <w:r/>
          </w:p>
        </w:tc>
      </w:tr>
      <w:tr>
        <w:trPr>
          <w:trHeight w:val="1457"/>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6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80" w:type="dxa"/>
            <w:vAlign w:val="center"/>
            <w:textDirection w:val="lrTb"/>
            <w:noWrap/>
          </w:tcPr>
          <w:p>
            <w:pPr>
              <w:jc w:val="center"/>
              <w:widowControl/>
              <w:rPr>
                <w:rFonts w:cs="仿宋" w:asciiTheme="minorEastAsia" w:hAnsiTheme="minorEastAsia" w:eastAsiaTheme="minorEastAsia"/>
                <w:color w:val="000000" w:themeColor="text1"/>
                <w:sz w:val="24"/>
                <w:szCs w:val="24"/>
              </w:rPr>
            </w:pPr>
            <w:r>
              <w:rPr>
                <w:rFonts w:hint="eastAsia" w:ascii="宋体" w:hAnsi="宋体" w:eastAsia="宋体" w:cs="宋体"/>
                <w:color w:val="000000"/>
                <w:sz w:val="24"/>
                <w:szCs w:val="24"/>
              </w:rPr>
              <w:t xml:space="preserve">商品有机肥撒施作业</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000</w:t>
            </w:r>
            <w:r>
              <w:rPr>
                <w:rFonts w:hint="eastAsia" w:ascii="宋体" w:hAnsi="宋体" w:eastAsia="宋体" w:cs="宋体"/>
                <w:sz w:val="24"/>
                <w:szCs w:val="24"/>
              </w:rPr>
              <w:t xml:space="preserve">吨</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00000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402"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吨/亩</w:t>
            </w:r>
            <w:r>
              <w:rPr>
                <w:rFonts w:hint="eastAsia" w:ascii="宋体" w:hAnsi="宋体" w:eastAsia="宋体" w:cs="宋体"/>
                <w:sz w:val="24"/>
                <w:szCs w:val="24"/>
              </w:rPr>
              <w:t xml:space="preserve">，作业面积5</w:t>
            </w:r>
            <w:r>
              <w:rPr>
                <w:rFonts w:ascii="宋体" w:hAnsi="宋体" w:eastAsia="宋体" w:cs="宋体"/>
                <w:sz w:val="24"/>
                <w:szCs w:val="24"/>
              </w:rPr>
              <w:t xml:space="preserve">000</w:t>
            </w:r>
            <w:r>
              <w:rPr>
                <w:rFonts w:hint="eastAsia" w:ascii="宋体" w:hAnsi="宋体" w:eastAsia="宋体" w:cs="宋体"/>
                <w:sz w:val="24"/>
                <w:szCs w:val="24"/>
              </w:rPr>
              <w:t xml:space="preserve">亩</w:t>
            </w:r>
            <w:r>
              <w:rPr>
                <w:rFonts w:hint="eastAsia" w:ascii="宋体" w:hAnsi="宋体" w:eastAsia="宋体" w:cs="宋体"/>
                <w:sz w:val="24"/>
                <w:szCs w:val="24"/>
              </w:rPr>
              <w:t xml:space="preserve">；</w:t>
            </w:r>
            <w:r>
              <w:rPr>
                <w:rFonts w:hint="eastAsia" w:ascii="宋体" w:hAnsi="宋体" w:eastAsia="宋体" w:cs="宋体"/>
                <w:sz w:val="24"/>
                <w:szCs w:val="24"/>
              </w:rPr>
              <w:t xml:space="preserve">（含基肥施用一次、追肥施用一次）</w:t>
            </w:r>
            <w:r>
              <w:rPr>
                <w:rFonts w:hint="eastAsia" w:ascii="宋体" w:hAnsi="宋体" w:eastAsia="宋体" w:cs="宋体"/>
                <w:sz w:val="24"/>
                <w:szCs w:val="24"/>
              </w:rPr>
              <w:t xml:space="preserve">；采用抛肥机</w:t>
            </w:r>
            <w:r>
              <w:rPr>
                <w:rFonts w:hint="eastAsia" w:ascii="宋体" w:hAnsi="宋体" w:eastAsia="宋体" w:cs="宋体"/>
                <w:sz w:val="24"/>
                <w:szCs w:val="24"/>
              </w:rPr>
              <w:t xml:space="preserve">或其他施肥机械</w:t>
            </w:r>
            <w:r>
              <w:rPr>
                <w:rFonts w:hint="eastAsia" w:ascii="宋体" w:hAnsi="宋体" w:eastAsia="宋体" w:cs="宋体"/>
                <w:sz w:val="24"/>
                <w:szCs w:val="24"/>
              </w:rPr>
              <w:t xml:space="preserve">施肥，结合深耕或在播种时均匀地撒施在根系集中分布的区域或经常保持湿润状态的土层中，做到土肥相融。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ascii="宋体" w:hAnsi="宋体" w:eastAsia="宋体" w:cs="宋体"/>
                <w:sz w:val="24"/>
                <w:szCs w:val="24"/>
                <w:lang w:val="zh-CN"/>
              </w:rPr>
            </w:pPr>
            <w:r>
              <w:rPr>
                <w:rFonts w:ascii="宋体" w:hAnsi="宋体" w:eastAsia="宋体" w:cs="宋体"/>
                <w:sz w:val="24"/>
                <w:szCs w:val="24"/>
                <w:lang w:val="zh-CN"/>
              </w:rPr>
            </w:r>
            <w:r/>
          </w:p>
        </w:tc>
      </w:tr>
      <w:tr>
        <w:trPr>
          <w:trHeight w:val="1457"/>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6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80" w:type="dxa"/>
            <w:vAlign w:val="center"/>
            <w:textDirection w:val="lrTb"/>
            <w:noWrap/>
          </w:tcPr>
          <w:p>
            <w:pPr>
              <w:jc w:val="center"/>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深耕机械作业</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0000</w:t>
            </w:r>
            <w:r>
              <w:rPr>
                <w:rFonts w:hint="eastAsia" w:ascii="宋体" w:hAnsi="宋体" w:eastAsia="宋体" w:cs="宋体"/>
                <w:sz w:val="24"/>
                <w:szCs w:val="24"/>
              </w:rPr>
              <w:t xml:space="preserve">亩</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00000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402"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秸秆深翻还田（翻耕深度≥2</w:t>
            </w:r>
            <w:r>
              <w:rPr>
                <w:rFonts w:ascii="宋体" w:hAnsi="宋体" w:eastAsia="宋体" w:cs="宋体"/>
                <w:sz w:val="24"/>
                <w:szCs w:val="24"/>
              </w:rPr>
              <w:t xml:space="preserve">2</w:t>
            </w:r>
            <w:r>
              <w:rPr>
                <w:rFonts w:hint="eastAsia" w:ascii="宋体" w:hAnsi="宋体" w:eastAsia="宋体" w:cs="宋体"/>
                <w:sz w:val="24"/>
                <w:szCs w:val="24"/>
              </w:rPr>
              <w:t xml:space="preserve">cm）</w:t>
            </w:r>
            <w:r>
              <w:rPr>
                <w:rFonts w:hint="eastAsia" w:ascii="宋体" w:hAnsi="宋体" w:eastAsia="宋体" w:cs="宋体"/>
                <w:sz w:val="24"/>
                <w:szCs w:val="24"/>
              </w:rPr>
              <w:t xml:space="preserve">；采用螺旋式犁壁犁或翻转犁进行土层翻转作业。土层翻转9</w:t>
            </w:r>
            <w:r>
              <w:rPr>
                <w:rFonts w:ascii="宋体" w:hAnsi="宋体" w:eastAsia="宋体" w:cs="宋体"/>
                <w:sz w:val="24"/>
                <w:szCs w:val="24"/>
              </w:rPr>
              <w:t xml:space="preserve">0</w:t>
            </w:r>
            <w:r>
              <w:rPr>
                <w:rFonts w:hint="eastAsia" w:ascii="宋体" w:hAnsi="宋体" w:eastAsia="宋体" w:cs="宋体"/>
                <w:sz w:val="24"/>
                <w:szCs w:val="24"/>
              </w:rPr>
              <w:t xml:space="preserve">度，</w:t>
            </w:r>
            <w:r>
              <w:rPr>
                <w:rFonts w:hint="eastAsia" w:ascii="宋体" w:hAnsi="宋体" w:eastAsia="宋体" w:cs="宋体"/>
                <w:sz w:val="24"/>
                <w:szCs w:val="24"/>
              </w:rPr>
              <w:t xml:space="preserve">翻耕作业要求做到田面平整，土壤细碎，基本无漏松，深浅基本一致。</w:t>
            </w:r>
            <w:r>
              <w:rPr>
                <w:rFonts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ascii="宋体" w:hAnsi="宋体" w:eastAsia="宋体" w:cs="宋体"/>
                <w:sz w:val="24"/>
                <w:szCs w:val="24"/>
                <w:lang w:val="zh-CN"/>
              </w:rPr>
            </w:pPr>
            <w:r>
              <w:rPr>
                <w:rFonts w:ascii="宋体" w:hAnsi="宋体" w:eastAsia="宋体" w:cs="宋体"/>
                <w:sz w:val="24"/>
                <w:szCs w:val="24"/>
                <w:lang w:val="zh-CN"/>
              </w:rPr>
            </w:r>
            <w:r/>
          </w:p>
        </w:tc>
      </w:tr>
    </w:tbl>
    <w:p>
      <w:pPr>
        <w:spacing w:line="52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二、供货要求及交货地点</w:t>
      </w:r>
      <w:r/>
    </w:p>
    <w:p>
      <w:pPr>
        <w:ind w:firstLine="24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供应商在采购单位要求供货时间前完成供肥（撒施、深耕），具体供货时间按照实施主体需求确定，按照采购方提供的信息，送至指定地点并负责卸货，进行统一撒施，同时做好供货台账记录、技术指导等服务，对上述要求做出详细工作方案；</w:t>
      </w:r>
      <w:r/>
    </w:p>
    <w:p>
      <w:pPr>
        <w:spacing w:line="52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三</w:t>
      </w:r>
      <w:r>
        <w:rPr>
          <w:rFonts w:hint="eastAsia" w:ascii="宋体" w:hAnsi="宋体" w:eastAsia="宋体"/>
          <w:b/>
          <w:sz w:val="24"/>
          <w:szCs w:val="24"/>
        </w:rPr>
        <w:t xml:space="preserve">、质量及商务等要求</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1、投标供应商能按采购人要求将货物分批次及时供应到指定地点，并完成卸货</w:t>
      </w:r>
      <w:r>
        <w:rPr>
          <w:rFonts w:hint="eastAsia" w:ascii="宋体" w:hAnsi="宋体" w:eastAsia="宋体" w:cs="宋体"/>
          <w:sz w:val="24"/>
          <w:szCs w:val="24"/>
        </w:rPr>
        <w:t xml:space="preserve">（服务）</w:t>
      </w:r>
      <w:r>
        <w:rPr>
          <w:rFonts w:hint="eastAsia" w:ascii="宋体" w:hAnsi="宋体" w:eastAsia="宋体" w:cs="宋体"/>
          <w:sz w:val="24"/>
          <w:szCs w:val="24"/>
        </w:rPr>
        <w:t xml:space="preserve">。供应商如提供假、冒、伪、劣商品，将按政府采购法的有关规定处罚。</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2、本次采购中标后不允许转包。</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3、投标报价应为完成本次采购所需的全部费用，包括产品生产、运输、配送、卸货、售后服务、税金、</w:t>
      </w:r>
      <w:r>
        <w:rPr>
          <w:rFonts w:hint="eastAsia" w:ascii="宋体" w:hAnsi="宋体" w:eastAsia="宋体" w:cs="宋体"/>
          <w:sz w:val="24"/>
          <w:szCs w:val="24"/>
        </w:rPr>
        <w:t xml:space="preserve">配合</w:t>
      </w:r>
      <w:r>
        <w:rPr>
          <w:rFonts w:hint="eastAsia" w:ascii="宋体" w:hAnsi="宋体" w:eastAsia="宋体" w:cs="宋体"/>
          <w:sz w:val="24"/>
          <w:szCs w:val="24"/>
        </w:rPr>
        <w:t xml:space="preserve">抽样检测以及供货全部工作需支付的一切费用和拟获得的利润，并考虑应承担的风险。</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5、货物质保期：验收合格后至少一年。</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6、交货</w:t>
      </w:r>
      <w:r>
        <w:rPr>
          <w:rFonts w:hint="eastAsia" w:ascii="宋体" w:hAnsi="宋体" w:eastAsia="宋体" w:cs="宋体"/>
          <w:sz w:val="24"/>
          <w:szCs w:val="24"/>
        </w:rPr>
        <w:t xml:space="preserve">（服务）</w:t>
      </w:r>
      <w:r>
        <w:rPr>
          <w:rFonts w:hint="eastAsia" w:ascii="宋体" w:hAnsi="宋体" w:eastAsia="宋体" w:cs="宋体"/>
          <w:sz w:val="24"/>
          <w:szCs w:val="24"/>
        </w:rPr>
        <w:t xml:space="preserve">期：</w:t>
      </w:r>
      <w:r>
        <w:rPr>
          <w:rFonts w:ascii="宋体" w:hAnsi="宋体" w:eastAsia="宋体" w:cs="宋体"/>
          <w:sz w:val="24"/>
          <w:szCs w:val="24"/>
        </w:rPr>
        <w:t xml:space="preserve"> </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本项目为</w:t>
      </w:r>
      <w:r>
        <w:rPr>
          <w:rFonts w:hint="eastAsia" w:ascii="宋体" w:hAnsi="宋体" w:eastAsia="宋体" w:cs="宋体"/>
          <w:sz w:val="24"/>
          <w:szCs w:val="24"/>
        </w:rPr>
        <w:t xml:space="preserve">固定总价合同，供应商供货量不得少于采购需求量且施撒作业及深耕机械作业必须满足相关要求</w:t>
      </w:r>
      <w:r>
        <w:rPr>
          <w:rFonts w:hint="eastAsia" w:ascii="宋体" w:hAnsi="宋体" w:eastAsia="宋体" w:cs="宋体"/>
          <w:sz w:val="24"/>
          <w:szCs w:val="24"/>
        </w:rPr>
        <w:t xml:space="preserve">。</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eastAsia="宋体" w:cs="宋体"/>
          <w:b/>
          <w:sz w:val="24"/>
          <w:szCs w:val="24"/>
        </w:rPr>
        <w:t xml:space="preserve">、付款方式</w:t>
      </w:r>
      <w:r/>
    </w:p>
    <w:p>
      <w:pPr>
        <w:spacing w:line="360" w:lineRule="auto"/>
        <w:rPr>
          <w:rFonts w:cs="仿宋" w:asciiTheme="minorEastAsia" w:hAnsiTheme="minorEastAsia" w:eastAsiaTheme="minorEastAsia"/>
          <w:color w:val="ff0000"/>
          <w:sz w:val="24"/>
          <w:szCs w:val="24"/>
        </w:rPr>
      </w:pPr>
      <w:r>
        <w:rPr>
          <w:rFonts w:hint="eastAsia" w:cs="仿宋" w:asciiTheme="minorEastAsia" w:hAnsiTheme="minorEastAsia" w:eastAsiaTheme="minorEastAsia"/>
          <w:color w:val="ff0000"/>
          <w:sz w:val="24"/>
          <w:szCs w:val="24"/>
        </w:rPr>
        <w:t xml:space="preserve">合同签订后进场供货，经采购人确认后付至应付价款的8</w:t>
      </w:r>
      <w:r>
        <w:rPr>
          <w:rFonts w:cs="仿宋" w:asciiTheme="minorEastAsia" w:hAnsiTheme="minorEastAsia" w:eastAsiaTheme="minorEastAsia"/>
          <w:color w:val="ff0000"/>
          <w:sz w:val="24"/>
          <w:szCs w:val="24"/>
        </w:rPr>
        <w:t xml:space="preserve">0%</w:t>
      </w:r>
      <w:r>
        <w:rPr>
          <w:rFonts w:hint="eastAsia" w:cs="仿宋" w:asciiTheme="minorEastAsia" w:hAnsiTheme="minorEastAsia" w:eastAsiaTheme="minorEastAsia"/>
          <w:color w:val="ff0000"/>
          <w:sz w:val="24"/>
          <w:szCs w:val="24"/>
        </w:rPr>
        <w:t xml:space="preserve">，年底付至应付价款的9</w:t>
      </w:r>
      <w:r>
        <w:rPr>
          <w:rFonts w:cs="仿宋" w:asciiTheme="minorEastAsia" w:hAnsiTheme="minorEastAsia" w:eastAsiaTheme="minorEastAsia"/>
          <w:color w:val="ff0000"/>
          <w:sz w:val="24"/>
          <w:szCs w:val="24"/>
        </w:rPr>
        <w:t xml:space="preserve">0%</w:t>
      </w:r>
      <w:r>
        <w:rPr>
          <w:rFonts w:hint="eastAsia" w:cs="仿宋" w:asciiTheme="minorEastAsia" w:hAnsiTheme="minorEastAsia" w:eastAsiaTheme="minorEastAsia"/>
          <w:color w:val="ff0000"/>
          <w:sz w:val="24"/>
          <w:szCs w:val="24"/>
        </w:rPr>
        <w:t xml:space="preserve">，次年项目实施完成后一次性付清余款。</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五、验收</w:t>
      </w:r>
      <w:r>
        <w:rPr>
          <w:rFonts w:hint="eastAsia" w:cs="仿宋" w:asciiTheme="minorEastAsia" w:hAnsiTheme="minorEastAsia" w:eastAsiaTheme="minorEastAsia"/>
          <w:b/>
          <w:bCs/>
          <w:color w:val="000000" w:themeColor="text1"/>
          <w:sz w:val="24"/>
          <w:szCs w:val="24"/>
        </w:rPr>
        <w:t xml:space="preserve">要求</w:t>
      </w:r>
      <w:r/>
    </w:p>
    <w:p>
      <w:pPr>
        <w:ind w:firstLine="240"/>
        <w:jc w:val="left"/>
        <w:spacing w:line="360" w:lineRule="auto"/>
        <w:tabs>
          <w:tab w:val="left" w:pos="323" w:leader="none"/>
        </w:tabs>
        <w:rPr>
          <w:rFonts w:ascii="宋体" w:hAnsi="宋体" w:eastAsia="宋体" w:cs="宋体"/>
          <w:color w:val="ff0000"/>
          <w:sz w:val="24"/>
          <w:szCs w:val="24"/>
        </w:rPr>
      </w:pPr>
      <w:r>
        <w:rPr>
          <w:rFonts w:hint="eastAsia" w:ascii="宋体" w:hAnsi="宋体" w:eastAsia="宋体" w:cs="宋体"/>
          <w:color w:val="ff0000"/>
          <w:sz w:val="24"/>
          <w:szCs w:val="24"/>
        </w:rPr>
        <w:t xml:space="preserve">1</w:t>
      </w:r>
      <w:r>
        <w:rPr>
          <w:rFonts w:ascii="宋体" w:hAnsi="宋体" w:eastAsia="宋体" w:cs="宋体"/>
          <w:color w:val="ff0000"/>
          <w:sz w:val="24"/>
          <w:szCs w:val="24"/>
        </w:rPr>
        <w:t xml:space="preserve">.</w:t>
      </w:r>
      <w:r>
        <w:rPr>
          <w:rFonts w:hint="eastAsia" w:ascii="宋体" w:hAnsi="宋体" w:eastAsia="宋体" w:cs="宋体"/>
          <w:color w:val="ff0000"/>
          <w:sz w:val="24"/>
          <w:szCs w:val="24"/>
        </w:rPr>
        <w:t xml:space="preserve">实施过程中将委托第三方开展肥料质量检测，重点对应用的腐熟粪肥、商品有机质、等进行抽样检测。腐熟粪肥执行国家标准《畜禽粪便无害化处理技术规范》（GB/T36195），商品有机肥执行农业部标准《有机肥料》（NY525）。 其中，腐熟粪肥和商品有机肥按1000吨抽样1</w:t>
      </w:r>
      <w:r>
        <w:rPr>
          <w:rFonts w:hint="eastAsia" w:ascii="宋体" w:hAnsi="宋体" w:eastAsia="宋体" w:cs="宋体"/>
          <w:color w:val="ff0000"/>
          <w:sz w:val="24"/>
          <w:szCs w:val="24"/>
        </w:rPr>
        <w:t xml:space="preserve">个。</w:t>
      </w:r>
      <w:r/>
    </w:p>
    <w:p>
      <w:pPr>
        <w:ind w:firstLine="24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 如</w:t>
      </w:r>
      <w:r>
        <w:rPr>
          <w:rFonts w:hint="eastAsia" w:ascii="宋体" w:hAnsi="宋体" w:eastAsia="宋体" w:cs="宋体"/>
          <w:sz w:val="24"/>
          <w:szCs w:val="24"/>
        </w:rPr>
        <w:t xml:space="preserve">采购单位</w:t>
      </w:r>
      <w:r>
        <w:rPr>
          <w:rFonts w:hint="eastAsia" w:ascii="宋体" w:hAnsi="宋体" w:eastAsia="宋体" w:cs="宋体"/>
          <w:sz w:val="24"/>
          <w:szCs w:val="24"/>
        </w:rPr>
        <w:t xml:space="preserve">在使用过程中提出异议或举报有质量问题应重新验收，包括产品质量抽检，采购人可请国家认可的专业检测机构进行检测并出具质量检测报告。</w:t>
      </w:r>
      <w:r/>
    </w:p>
    <w:p>
      <w:pPr>
        <w:ind w:firstLine="240"/>
        <w:jc w:val="left"/>
        <w:spacing w:line="360" w:lineRule="auto"/>
        <w:tabs>
          <w:tab w:val="left" w:pos="323" w:leader="none"/>
        </w:tabs>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检验不符合质量要求，中标供应商除无条件退货、返工外，还应承担采购人的一切损失。</w:t>
      </w:r>
      <w:r/>
    </w:p>
    <w:p>
      <w:pPr>
        <w:ind w:firstLine="240"/>
        <w:jc w:val="left"/>
        <w:spacing w:line="360" w:lineRule="auto"/>
        <w:tabs>
          <w:tab w:val="left" w:pos="323" w:leader="none"/>
        </w:tabs>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售后服务</w:t>
      </w:r>
      <w:r>
        <w:rPr>
          <w:rFonts w:ascii="宋体" w:hAnsi="宋体" w:eastAsia="宋体" w:cs="宋体"/>
          <w:sz w:val="24"/>
          <w:szCs w:val="24"/>
        </w:rPr>
        <w:t xml:space="preserve"> </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）供应商提供</w:t>
      </w:r>
      <w:r>
        <w:rPr>
          <w:rFonts w:ascii="宋体" w:hAnsi="宋体" w:eastAsia="宋体" w:cs="宋体"/>
          <w:sz w:val="24"/>
          <w:szCs w:val="24"/>
        </w:rPr>
        <w:t xml:space="preserve"> 7×24 </w:t>
      </w:r>
      <w:r>
        <w:rPr>
          <w:rFonts w:hint="eastAsia" w:ascii="宋体" w:hAnsi="宋体" w:eastAsia="宋体" w:cs="宋体"/>
          <w:sz w:val="24"/>
          <w:szCs w:val="24"/>
        </w:rPr>
        <w:t xml:space="preserve">小时的技术咨询服务。</w:t>
      </w:r>
      <w:r>
        <w:rPr>
          <w:rFonts w:ascii="宋体" w:hAnsi="宋体" w:eastAsia="宋体" w:cs="宋体"/>
          <w:sz w:val="24"/>
          <w:szCs w:val="24"/>
        </w:rPr>
        <w:t xml:space="preserve"> </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）供应商提供敏感时期、重大节假日提供技术人员值守服务。</w:t>
      </w:r>
      <w:r/>
    </w:p>
    <w:p>
      <w:pPr>
        <w:ind w:firstLine="240"/>
        <w:jc w:val="left"/>
        <w:spacing w:line="360" w:lineRule="auto"/>
        <w:tabs>
          <w:tab w:val="left" w:pos="323" w:leader="none"/>
        </w:tabs>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产品使用说明书发放</w:t>
      </w:r>
      <w:r>
        <w:rPr>
          <w:rFonts w:ascii="宋体" w:hAnsi="宋体" w:eastAsia="宋体" w:cs="宋体"/>
          <w:sz w:val="24"/>
          <w:szCs w:val="24"/>
        </w:rPr>
        <w:t xml:space="preserve"> </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）中标供应商将所投产品的产品使用说明书、合格证免费发放到农户手中。</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六</w:t>
      </w:r>
      <w:r>
        <w:rPr>
          <w:rFonts w:hint="eastAsia" w:cs="仿宋" w:asciiTheme="minorEastAsia" w:hAnsiTheme="minorEastAsia" w:eastAsiaTheme="minorEastAsia"/>
          <w:b/>
          <w:bCs/>
          <w:color w:val="000000" w:themeColor="text1"/>
          <w:sz w:val="24"/>
          <w:szCs w:val="24"/>
        </w:rPr>
        <w:t xml:space="preserve">、其他要求</w:t>
      </w:r>
      <w:r/>
    </w:p>
    <w:p>
      <w:pPr>
        <w:ind w:firstLine="240"/>
        <w:jc w:val="left"/>
        <w:spacing w:line="360" w:lineRule="auto"/>
        <w:tabs>
          <w:tab w:val="left" w:pos="323" w:leader="none"/>
        </w:tabs>
        <w:rPr>
          <w:rFonts w:ascii="宋体" w:hAnsi="宋体" w:eastAsia="宋体" w:cs="宋体"/>
          <w:color w:val="ff0000"/>
          <w:sz w:val="24"/>
          <w:szCs w:val="24"/>
        </w:rPr>
      </w:pPr>
      <w:r>
        <w:rPr>
          <w:rFonts w:ascii="宋体" w:hAnsi="宋体" w:eastAsia="宋体" w:cs="宋体"/>
          <w:color w:val="ff0000"/>
          <w:sz w:val="24"/>
          <w:szCs w:val="24"/>
        </w:rPr>
        <w:t xml:space="preserve">1.</w:t>
      </w:r>
      <w:r>
        <w:rPr>
          <w:rFonts w:hint="eastAsia" w:ascii="宋体" w:hAnsi="宋体" w:eastAsia="宋体" w:cs="宋体"/>
          <w:color w:val="ff0000"/>
          <w:sz w:val="24"/>
          <w:szCs w:val="24"/>
        </w:rPr>
        <w:t xml:space="preserve">成交供应商需配合</w:t>
      </w:r>
      <w:r>
        <w:rPr>
          <w:rFonts w:hint="eastAsia" w:ascii="宋体" w:hAnsi="宋体" w:eastAsia="宋体" w:cs="宋体"/>
          <w:color w:val="ff0000"/>
          <w:sz w:val="24"/>
          <w:szCs w:val="24"/>
        </w:rPr>
        <w:t xml:space="preserve">主管部门</w:t>
      </w:r>
      <w:r>
        <w:rPr>
          <w:rFonts w:hint="eastAsia" w:ascii="宋体" w:hAnsi="宋体" w:eastAsia="宋体" w:cs="宋体"/>
          <w:color w:val="ff0000"/>
          <w:sz w:val="24"/>
          <w:szCs w:val="24"/>
        </w:rPr>
        <w:t xml:space="preserve">构建粪肥流向全程可追溯管理机制，建立粪肥还田数据平台，实现粪污收集、粪肥检测、粪肥施用及效果监测等数据入网。追溯内容包括粪肥来源与数量、收集处理组织与方式、应用区域与主体、应用作物与数量等。</w:t>
      </w:r>
      <w:r/>
    </w:p>
    <w:p>
      <w:pPr>
        <w:ind w:firstLine="240"/>
        <w:jc w:val="left"/>
        <w:spacing w:line="360" w:lineRule="auto"/>
        <w:tabs>
          <w:tab w:val="left" w:pos="323" w:leader="none"/>
        </w:tabs>
        <w:rPr>
          <w:rFonts w:ascii="宋体" w:hAnsi="宋体" w:eastAsia="宋体" w:cs="宋体"/>
          <w:color w:val="ff0000"/>
          <w:sz w:val="24"/>
          <w:szCs w:val="24"/>
        </w:rPr>
      </w:pPr>
      <w:r>
        <w:rPr>
          <w:rFonts w:ascii="宋体" w:hAnsi="宋体" w:eastAsia="宋体" w:cs="宋体"/>
          <w:color w:val="ff0000"/>
          <w:sz w:val="24"/>
          <w:szCs w:val="24"/>
        </w:rPr>
        <w:t xml:space="preserve">2.</w:t>
      </w:r>
      <w:r>
        <w:rPr>
          <w:rFonts w:hint="eastAsia" w:ascii="宋体" w:hAnsi="宋体" w:eastAsia="宋体" w:cs="宋体"/>
          <w:color w:val="ff0000"/>
          <w:sz w:val="24"/>
          <w:szCs w:val="24"/>
        </w:rPr>
        <w:t xml:space="preserve">成交供应商需</w:t>
      </w:r>
      <w:r>
        <w:rPr>
          <w:rFonts w:ascii="宋体" w:hAnsi="宋体" w:eastAsia="宋体" w:cs="宋体"/>
          <w:color w:val="ff0000"/>
          <w:sz w:val="24"/>
          <w:szCs w:val="24"/>
        </w:rPr>
        <w:t xml:space="preserve">做好物化产品落地、深耕翻的现场实时举牌监督，相关信息在公示牌详细记录，施工完后留存监督人员手举公示牌照片影像资料，实现物化品落地及深翻耕实施责任可追朔。</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七</w:t>
      </w:r>
      <w:r>
        <w:rPr>
          <w:rFonts w:hint="eastAsia" w:cs="仿宋" w:asciiTheme="minorEastAsia" w:hAnsiTheme="minorEastAsia" w:eastAsiaTheme="minorEastAsia"/>
          <w:b/>
          <w:bCs/>
          <w:color w:val="000000" w:themeColor="text1"/>
          <w:sz w:val="24"/>
          <w:szCs w:val="24"/>
        </w:rPr>
        <w:t xml:space="preserve">、采购标的的所属行业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33"/>
        <w:numPr>
          <w:ilvl w:val="0"/>
          <w:numId w:val="3"/>
        </w:numPr>
        <w:jc w:val="center"/>
        <w:spacing w:before="0" w:after="0" w:line="24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0"/>
      <w:r/>
      <w:bookmarkEnd w:id="41"/>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numPr>
          <w:ilvl w:val="0"/>
          <w:numId w:val="4"/>
        </w:numPr>
        <w:spacing w:line="360" w:lineRule="auto"/>
        <w:rPr>
          <w:rFonts w:cs="仿宋" w:asciiTheme="minorEastAsia" w:hAnsiTheme="minorEastAsia" w:eastAsiaTheme="minorEastAsia"/>
          <w:b/>
          <w:color w:val="000000" w:themeColor="text1"/>
          <w:sz w:val="24"/>
          <w:szCs w:val="24"/>
        </w:rPr>
      </w:pPr>
      <w:r/>
      <w:bookmarkStart w:id="42"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w:t>
            </w:r>
            <w:r>
              <w:rPr>
                <w:rFonts w:ascii="宋体" w:hAnsi="宋体" w:eastAsia="宋体" w:cs="宋体"/>
                <w:sz w:val="24"/>
                <w:szCs w:val="24"/>
              </w:rPr>
              <w:t xml:space="preserve">30</w:t>
            </w:r>
            <w:r>
              <w:rPr>
                <w:rFonts w:hint="eastAsia" w:ascii="宋体" w:hAnsi="宋体" w:eastAsia="宋体" w:cs="宋体"/>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spacing w:line="440" w:lineRule="exact"/>
              <w:widowControl/>
              <w:rPr>
                <w:rFonts w:ascii="宋体" w:hAnsi="宋体" w:eastAsia="宋体" w:cs="宋体"/>
                <w:color w:val="ff0000"/>
                <w:sz w:val="24"/>
                <w:szCs w:val="24"/>
              </w:rPr>
            </w:pPr>
            <w:r>
              <w:rPr>
                <w:rFonts w:ascii="宋体" w:hAnsi="宋体" w:eastAsia="宋体" w:cs="宋体"/>
                <w:color w:val="000000"/>
                <w:sz w:val="24"/>
                <w:szCs w:val="24"/>
              </w:rPr>
              <w:t xml:space="preserve">  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对满足招标文件要求的投标人，以投标报价的最低报价为评审基准价，其他投标人的价格分统一按照下列公式计算：价格得分=</w:t>
            </w:r>
            <w:r>
              <w:rPr>
                <w:rFonts w:ascii="宋体" w:hAnsi="宋体" w:eastAsia="宋体" w:cs="宋体"/>
                <w:sz w:val="24"/>
                <w:szCs w:val="24"/>
              </w:rPr>
              <w:t xml:space="preserve"> 30</w:t>
            </w:r>
            <w:r>
              <w:rPr>
                <w:rFonts w:hint="eastAsia" w:ascii="宋体" w:hAnsi="宋体" w:eastAsia="宋体" w:cs="宋体"/>
                <w:sz w:val="24"/>
                <w:szCs w:val="24"/>
              </w:rPr>
              <w:t xml:space="preserve">×（评审基准价/投标报价）；结果四舍五入，小数点后保留两位。</w:t>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w:t>
            </w:r>
            <w:r>
              <w:rPr>
                <w:rFonts w:ascii="宋体" w:hAnsi="宋体" w:eastAsia="宋体" w:cs="宋体"/>
                <w:sz w:val="24"/>
                <w:szCs w:val="24"/>
              </w:rPr>
              <w:t xml:space="preserve">70</w:t>
            </w:r>
            <w:r>
              <w:rPr>
                <w:rFonts w:hint="eastAsia" w:ascii="宋体" w:hAnsi="宋体" w:eastAsia="宋体" w:cs="宋体"/>
                <w:sz w:val="24"/>
                <w:szCs w:val="24"/>
              </w:rPr>
              <w:t xml:space="preserve">分</w:t>
            </w:r>
            <w:r/>
          </w:p>
        </w:tc>
      </w:tr>
      <w:tr>
        <w:trPr>
          <w:jc w:val="center"/>
          <w:trHeight w:val="1550"/>
        </w:trPr>
        <w:tc>
          <w:tcPr>
            <w:tcBorders>
              <w:top w:val="single" w:color="auto" w:sz="4" w:space="0"/>
              <w:left w:val="single" w:color="auto" w:sz="4" w:space="0"/>
              <w:right w:val="single" w:color="auto" w:sz="4" w:space="0"/>
            </w:tcBorders>
            <w:tcW w:w="1973" w:type="dxa"/>
            <w:vAlign w:val="center"/>
            <w:vMerge w:val="restart"/>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企业信誉</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widowControl/>
              <w:rPr>
                <w:rFonts w:ascii="宋体" w:hAnsi="宋体" w:eastAsia="宋体" w:cs="宋体"/>
                <w:sz w:val="24"/>
                <w:szCs w:val="24"/>
              </w:rPr>
            </w:pPr>
            <w:r>
              <w:rPr>
                <w:rFonts w:hint="eastAsia" w:ascii="宋体" w:hAnsi="宋体" w:eastAsia="宋体" w:cs="宋体"/>
                <w:sz w:val="24"/>
                <w:szCs w:val="24"/>
              </w:rPr>
              <w:t xml:space="preserve">投标人被评定为在有效期内的农业产业化市级龙头企业的得3分。</w:t>
            </w:r>
            <w:r/>
          </w:p>
          <w:p>
            <w:pPr>
              <w:widowControl/>
              <w:rPr>
                <w:rFonts w:ascii="宋体" w:hAnsi="宋体" w:eastAsia="宋体" w:cs="宋体"/>
                <w:sz w:val="24"/>
                <w:szCs w:val="24"/>
              </w:rPr>
            </w:pPr>
            <w:r>
              <w:rPr>
                <w:rFonts w:hint="eastAsia" w:ascii="宋体" w:hAnsi="宋体" w:eastAsia="宋体" w:cs="宋体"/>
                <w:sz w:val="24"/>
                <w:szCs w:val="24"/>
              </w:rPr>
              <w:t xml:space="preserve">注：提供相关证明资料，投标文件提供复印件并加盖公章备查，未按要求提供不得分。</w:t>
            </w:r>
            <w:r/>
          </w:p>
        </w:tc>
      </w:tr>
      <w:tr>
        <w:trPr>
          <w:jc w:val="center"/>
          <w:trHeight w:val="477"/>
        </w:trPr>
        <w:tc>
          <w:tcPr>
            <w:tcBorders>
              <w:left w:val="single" w:color="auto" w:sz="4" w:space="0"/>
              <w:right w:val="single" w:color="auto" w:sz="4" w:space="0"/>
            </w:tcBorders>
            <w:tcW w:w="1973" w:type="dxa"/>
            <w:vAlign w:val="center"/>
            <w:vMerge w:val="continue"/>
            <w:textDirection w:val="lrTb"/>
            <w:noWrap/>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280" w:lineRule="exact"/>
              <w:rPr>
                <w:color w:val="000000"/>
                <w:szCs w:val="21"/>
              </w:rPr>
            </w:pPr>
            <w:r>
              <w:rPr>
                <w:rFonts w:hint="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280" w:lineRule="exact"/>
              <w:widowControl/>
              <w:rPr>
                <w:rFonts w:ascii="宋体" w:hAnsi="宋体" w:eastAsia="宋体" w:cs="宋体"/>
                <w:sz w:val="24"/>
                <w:szCs w:val="24"/>
              </w:rPr>
            </w:pPr>
            <w:r>
              <w:rPr>
                <w:rFonts w:hint="eastAsia" w:ascii="宋体" w:hAnsi="宋体" w:eastAsia="宋体" w:cs="宋体"/>
                <w:sz w:val="24"/>
                <w:szCs w:val="24"/>
              </w:rPr>
              <w:t xml:space="preserve">投标人获得国家级节能环保产品得1分，获得国家级绿色环保产品得1分，最高得2分，没有不得分。</w:t>
            </w:r>
            <w:r/>
          </w:p>
          <w:p>
            <w:pPr>
              <w:spacing w:line="280" w:lineRule="exact"/>
              <w:widowControl/>
              <w:rPr>
                <w:rFonts w:ascii="宋体" w:hAnsi="宋体" w:eastAsia="宋体" w:cs="宋体"/>
                <w:sz w:val="24"/>
                <w:szCs w:val="24"/>
              </w:rPr>
            </w:pPr>
            <w:r>
              <w:rPr>
                <w:rFonts w:hint="eastAsia" w:ascii="宋体" w:hAnsi="宋体" w:eastAsia="宋体" w:cs="宋体"/>
                <w:sz w:val="24"/>
                <w:szCs w:val="24"/>
              </w:rPr>
              <w:t xml:space="preserve">注：提供相关证明资料，投标文件提供复印件并加盖公章备查，未按要求提供不得分。</w:t>
            </w:r>
            <w:r/>
          </w:p>
        </w:tc>
      </w:tr>
      <w:tr>
        <w:trPr>
          <w:jc w:val="center"/>
          <w:trHeight w:val="1646"/>
        </w:trPr>
        <w:tc>
          <w:tcPr>
            <w:tcBorders>
              <w:left w:val="single" w:color="auto" w:sz="4" w:space="0"/>
              <w:right w:val="single" w:color="auto" w:sz="4" w:space="0"/>
            </w:tcBorders>
            <w:tcW w:w="1973" w:type="dxa"/>
            <w:vAlign w:val="center"/>
            <w:vMerge w:val="continue"/>
            <w:textDirection w:val="lrTb"/>
            <w:noWrap/>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280" w:lineRule="exact"/>
              <w:rPr>
                <w:color w:val="000000"/>
                <w:szCs w:val="21"/>
              </w:rPr>
            </w:pPr>
            <w:r>
              <w:rPr>
                <w:color w:val="000000"/>
                <w:szCs w:val="21"/>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280" w:lineRule="exact"/>
              <w:widowControl/>
              <w:rPr>
                <w:rFonts w:ascii="宋体" w:hAnsi="宋体" w:eastAsia="宋体" w:cs="宋体"/>
                <w:sz w:val="24"/>
                <w:szCs w:val="24"/>
              </w:rPr>
            </w:pPr>
            <w:r>
              <w:rPr>
                <w:rFonts w:hint="eastAsia" w:ascii="宋体" w:hAnsi="宋体" w:eastAsia="宋体" w:cs="宋体"/>
                <w:sz w:val="24"/>
                <w:szCs w:val="24"/>
              </w:rPr>
              <w:t xml:space="preserve">投标人获得国家级农业科技创新品牌奖项得6分，获得</w:t>
            </w:r>
            <w:r>
              <w:rPr>
                <w:rFonts w:hint="eastAsia" w:ascii="宋体" w:hAnsi="宋体" w:eastAsia="宋体" w:cs="宋体"/>
                <w:sz w:val="24"/>
                <w:szCs w:val="24"/>
              </w:rPr>
              <w:t xml:space="preserve">省</w:t>
            </w:r>
            <w:r>
              <w:rPr>
                <w:rFonts w:hint="eastAsia" w:ascii="宋体" w:hAnsi="宋体" w:eastAsia="宋体" w:cs="宋体"/>
                <w:sz w:val="24"/>
                <w:szCs w:val="24"/>
              </w:rPr>
              <w:t xml:space="preserve">级有机肥标杆企业或优秀企业得2分，被评为省级科技型中小企业得2分。</w:t>
            </w:r>
            <w:r/>
          </w:p>
          <w:p>
            <w:pPr>
              <w:spacing w:line="280" w:lineRule="exact"/>
              <w:widowControl/>
              <w:rPr>
                <w:rFonts w:ascii="宋体" w:hAnsi="宋体" w:eastAsia="宋体" w:cs="宋体"/>
                <w:sz w:val="24"/>
                <w:szCs w:val="24"/>
              </w:rPr>
            </w:pPr>
            <w:r>
              <w:rPr>
                <w:rFonts w:hint="eastAsia" w:ascii="宋体" w:hAnsi="宋体" w:eastAsia="宋体" w:cs="宋体"/>
                <w:sz w:val="24"/>
                <w:szCs w:val="24"/>
              </w:rPr>
              <w:t xml:space="preserve">注：提供相关证明资料，投标文件提供复印件并加盖公章备查，未按要求提供不得分。</w:t>
            </w:r>
            <w:r/>
          </w:p>
        </w:tc>
      </w:tr>
      <w:tr>
        <w:trPr>
          <w:jc w:val="center"/>
          <w:trHeight w:val="1646"/>
        </w:trPr>
        <w:tc>
          <w:tcPr>
            <w:tcBorders>
              <w:left w:val="single" w:color="auto" w:sz="4" w:space="0"/>
              <w:bottom w:val="single" w:color="auto" w:sz="4" w:space="0"/>
              <w:right w:val="single" w:color="auto" w:sz="4" w:space="0"/>
            </w:tcBorders>
            <w:tcW w:w="1973" w:type="dxa"/>
            <w:vAlign w:val="center"/>
            <w:vMerge w:val="continue"/>
            <w:textDirection w:val="lrTb"/>
            <w:noWrap/>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Cs w:val="21"/>
                <w:lang w:bidi="ar"/>
              </w:rPr>
            </w:pPr>
            <w:r>
              <w:rPr>
                <w:rFonts w:hint="eastAsia"/>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280" w:lineRule="exact"/>
              <w:widowControl/>
              <w:rPr>
                <w:rFonts w:ascii="宋体" w:hAnsi="宋体" w:eastAsia="宋体" w:cs="宋体"/>
                <w:sz w:val="24"/>
                <w:szCs w:val="24"/>
              </w:rPr>
            </w:pPr>
            <w:r>
              <w:rPr>
                <w:rFonts w:hint="eastAsia" w:ascii="宋体" w:hAnsi="宋体" w:eastAsia="宋体" w:cs="宋体"/>
                <w:sz w:val="24"/>
                <w:szCs w:val="24"/>
              </w:rPr>
              <w:t xml:space="preserve">投标人有环境管理体系认证证书、质量管理体系认证证书、职业健康安全体系认证证书、诚信供应商企业证书、诚信经营示范单位证书、农业科技行业诚信单位证书。每提供1个得1分。</w:t>
            </w:r>
            <w:r/>
          </w:p>
          <w:p>
            <w:pPr>
              <w:spacing w:line="280" w:lineRule="exact"/>
              <w:widowControl/>
              <w:rPr>
                <w:rFonts w:ascii="宋体" w:hAnsi="宋体" w:eastAsia="宋体" w:cs="宋体"/>
                <w:sz w:val="24"/>
                <w:szCs w:val="24"/>
              </w:rPr>
            </w:pPr>
            <w:r>
              <w:rPr>
                <w:rFonts w:hint="eastAsia" w:ascii="宋体" w:hAnsi="宋体" w:eastAsia="宋体" w:cs="宋体"/>
                <w:sz w:val="24"/>
                <w:szCs w:val="24"/>
              </w:rPr>
              <w:t xml:space="preserve">注：提供相关证明资料，投标文件提供复印件并加盖公章备查，未按要求提供不得分。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Cs w:val="21"/>
                <w:lang w:bidi="ar"/>
              </w:rPr>
            </w:pPr>
            <w:r>
              <w:rPr>
                <w:rFonts w:hint="eastAsia"/>
                <w:color w:val="000000"/>
                <w:szCs w:val="21"/>
                <w:lang w:bidi="ar"/>
              </w:rPr>
              <w:t xml:space="preserve">3</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投标人提供自2</w:t>
            </w:r>
            <w:r>
              <w:rPr>
                <w:rFonts w:ascii="宋体" w:hAnsi="宋体" w:eastAsia="宋体" w:cs="宋体"/>
                <w:sz w:val="24"/>
                <w:szCs w:val="24"/>
              </w:rPr>
              <w:t xml:space="preserve">021</w:t>
            </w:r>
            <w:r>
              <w:rPr>
                <w:rFonts w:hint="eastAsia" w:ascii="宋体" w:hAnsi="宋体" w:eastAsia="宋体" w:cs="宋体"/>
                <w:sz w:val="24"/>
                <w:szCs w:val="24"/>
              </w:rPr>
              <w:t xml:space="preserve">年以来（以合同签订时间为准）类似业绩的，有一个得1分。最高得3分。</w:t>
            </w:r>
            <w:r/>
          </w:p>
          <w:p>
            <w:pPr>
              <w:rPr>
                <w:rFonts w:ascii="宋体" w:hAnsi="宋体" w:eastAsia="宋体" w:cs="宋体"/>
                <w:sz w:val="24"/>
                <w:szCs w:val="24"/>
              </w:rPr>
            </w:pPr>
            <w:r>
              <w:rPr>
                <w:rFonts w:hint="eastAsia" w:ascii="宋体" w:hAnsi="宋体" w:eastAsia="宋体" w:cs="宋体"/>
                <w:sz w:val="24"/>
                <w:szCs w:val="24"/>
              </w:rPr>
              <w:t xml:space="preserve">注：需提供中标通知书或合同，投标文件提供复印件并加盖公章备查，未按要求提供不得分。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技术参数响应情况</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Cs w:val="21"/>
                <w:lang w:bidi="ar"/>
              </w:rPr>
            </w:pPr>
            <w:r>
              <w:rPr>
                <w:rFonts w:hint="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必须提供2024年以来地省级以上（含省级）检测部门出具的产品检测报告，列表说明本企业所供应产品的技术参数响应及偏离表。要求对招标文件相关产品技术参数有实质性响应，产品质量必须符合NY/T 525-2021《有机肥料》（organic fertilizer）要求，且投标产品的各项技术指标与登记的产品相同。完全符合、没有负偏离的得</w:t>
            </w:r>
            <w:r>
              <w:rPr>
                <w:rFonts w:ascii="宋体" w:hAnsi="宋体" w:eastAsia="宋体" w:cs="宋体"/>
                <w:sz w:val="24"/>
                <w:szCs w:val="24"/>
              </w:rPr>
              <w:t xml:space="preserve">2</w:t>
            </w:r>
            <w:r>
              <w:rPr>
                <w:rFonts w:hint="eastAsia" w:ascii="宋体" w:hAnsi="宋体" w:eastAsia="宋体" w:cs="宋体"/>
                <w:sz w:val="24"/>
                <w:szCs w:val="24"/>
              </w:rPr>
              <w:t xml:space="preserve">分。每项偏离扣0.5分，扣完为止。检测结果不合格的不得分。注：提供报告资料原件备查，投标文件中提供复印件，未按要求提供不得分。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原、辅料组成</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Cs w:val="21"/>
                <w:lang w:bidi="ar"/>
              </w:rPr>
            </w:pPr>
            <w:r>
              <w:rPr>
                <w:rFonts w:hint="eastAsia"/>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应详细阐明原、辅料的名称、组成、来源，肥料生产配比。为策应省厅有机质提升项目的要求，切实解决畜禽养殖粪污排问题，进一步提升农业生态环境，做到变废为宝，投标企业提供与畜禽养殖企业签订的畜禽粪便处理收集协议（合同）的得6分，没有的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产品生产能力与质量控制关键技术</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说明企业具备的生产场地、设施、设备和年生产能力。详细阐述投标产品生产场地及采用的生产工艺、主要设备（列表说明名称、型号、数量）、生产周期以及产品储存、运输、保管、销售和使用等技术方案等内容，由评委综合比较，分为优，良，一般、差四个等级，优：8分，良：</w:t>
            </w:r>
            <w:r>
              <w:rPr>
                <w:rFonts w:ascii="宋体" w:hAnsi="宋体" w:eastAsia="宋体" w:cs="宋体"/>
                <w:sz w:val="24"/>
                <w:szCs w:val="24"/>
              </w:rPr>
              <w:t xml:space="preserve">4</w:t>
            </w:r>
            <w:r>
              <w:rPr>
                <w:rFonts w:hint="eastAsia" w:ascii="宋体" w:hAnsi="宋体" w:eastAsia="宋体" w:cs="宋体"/>
                <w:sz w:val="24"/>
                <w:szCs w:val="24"/>
              </w:rPr>
              <w:t xml:space="preserve">分，一般： 2分，差或没有内容不得分。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产品自检能力及制度</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rPr>
              <w:t xml:space="preserve">提供所投产品自检能力、制度证明、化验人员名单、设备清单、自检报告等材料。优:5分，良： 3分，一般得1分，没有内容不得分。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根据投标文件中投标人服务机构的设置、服务内容、服务人员配备、服务响应时间、障碍应急措施及修复时限等情况综合比较。分为优、良、一般、差四个等级，优：</w:t>
            </w:r>
            <w:r>
              <w:rPr>
                <w:rFonts w:ascii="宋体" w:hAnsi="宋体" w:eastAsia="宋体" w:cs="宋体"/>
                <w:sz w:val="24"/>
                <w:szCs w:val="24"/>
              </w:rPr>
              <w:t xml:space="preserve">5</w:t>
            </w:r>
            <w:r>
              <w:rPr>
                <w:rFonts w:hint="eastAsia" w:ascii="宋体" w:hAnsi="宋体" w:eastAsia="宋体" w:cs="宋体"/>
                <w:sz w:val="24"/>
                <w:szCs w:val="24"/>
              </w:rPr>
              <w:t xml:space="preserve">分，良：</w:t>
            </w:r>
            <w:r>
              <w:rPr>
                <w:rFonts w:ascii="宋体" w:hAnsi="宋体" w:eastAsia="宋体" w:cs="宋体"/>
                <w:sz w:val="24"/>
                <w:szCs w:val="24"/>
              </w:rPr>
              <w:t xml:space="preserve">3</w:t>
            </w:r>
            <w:r>
              <w:rPr>
                <w:rFonts w:hint="eastAsia" w:ascii="宋体" w:hAnsi="宋体" w:eastAsia="宋体" w:cs="宋体"/>
                <w:sz w:val="24"/>
                <w:szCs w:val="24"/>
              </w:rPr>
              <w:t xml:space="preserve">分，一般： </w:t>
            </w:r>
            <w:r>
              <w:rPr>
                <w:rFonts w:ascii="宋体" w:hAnsi="宋体" w:eastAsia="宋体" w:cs="宋体"/>
                <w:sz w:val="24"/>
                <w:szCs w:val="24"/>
              </w:rPr>
              <w:t xml:space="preserve">1</w:t>
            </w:r>
            <w:r>
              <w:rPr>
                <w:rFonts w:hint="eastAsia" w:ascii="宋体" w:hAnsi="宋体" w:eastAsia="宋体" w:cs="宋体"/>
                <w:sz w:val="24"/>
                <w:szCs w:val="24"/>
              </w:rPr>
              <w:t xml:space="preserve">分，差或没有内容不得分。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腐熟粪肥的处理方案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根据投标文件中投标人</w:t>
            </w:r>
            <w:r>
              <w:rPr>
                <w:rFonts w:hint="eastAsia" w:ascii="宋体" w:hAnsi="宋体" w:eastAsia="宋体" w:cs="宋体"/>
                <w:sz w:val="24"/>
                <w:szCs w:val="24"/>
              </w:rPr>
              <w:t xml:space="preserve">关于腐熟粪肥的处置方案情况综合比较。分为优、良、一般、差四个等级</w:t>
            </w:r>
            <w:r>
              <w:rPr>
                <w:rFonts w:hint="eastAsia" w:ascii="宋体" w:hAnsi="宋体" w:eastAsia="宋体" w:cs="宋体"/>
                <w:sz w:val="24"/>
                <w:szCs w:val="24"/>
              </w:rPr>
              <w:t xml:space="preserve">，优：</w:t>
            </w:r>
            <w:r>
              <w:rPr>
                <w:rFonts w:ascii="宋体" w:hAnsi="宋体" w:eastAsia="宋体" w:cs="宋体"/>
                <w:sz w:val="24"/>
                <w:szCs w:val="24"/>
              </w:rPr>
              <w:t xml:space="preserve">5</w:t>
            </w:r>
            <w:r>
              <w:rPr>
                <w:rFonts w:hint="eastAsia" w:ascii="宋体" w:hAnsi="宋体" w:eastAsia="宋体" w:cs="宋体"/>
                <w:sz w:val="24"/>
                <w:szCs w:val="24"/>
              </w:rPr>
              <w:t xml:space="preserve">分，良：</w:t>
            </w:r>
            <w:r>
              <w:rPr>
                <w:rFonts w:ascii="宋体" w:hAnsi="宋体" w:eastAsia="宋体" w:cs="宋体"/>
                <w:sz w:val="24"/>
                <w:szCs w:val="24"/>
              </w:rPr>
              <w:t xml:space="preserve">3</w:t>
            </w:r>
            <w:r>
              <w:rPr>
                <w:rFonts w:hint="eastAsia" w:ascii="宋体" w:hAnsi="宋体" w:eastAsia="宋体" w:cs="宋体"/>
                <w:sz w:val="24"/>
                <w:szCs w:val="24"/>
              </w:rPr>
              <w:t xml:space="preserve">分，一般： </w:t>
            </w:r>
            <w:r>
              <w:rPr>
                <w:rFonts w:ascii="宋体" w:hAnsi="宋体" w:eastAsia="宋体" w:cs="宋体"/>
                <w:sz w:val="24"/>
                <w:szCs w:val="24"/>
              </w:rPr>
              <w:t xml:space="preserve">1</w:t>
            </w:r>
            <w:r>
              <w:rPr>
                <w:rFonts w:hint="eastAsia" w:ascii="宋体" w:hAnsi="宋体" w:eastAsia="宋体" w:cs="宋体"/>
                <w:sz w:val="24"/>
                <w:szCs w:val="24"/>
              </w:rPr>
              <w:t xml:space="preserve">分，差或没有内容不得分。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粪肥施用作业方案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r>
              <w:rPr>
                <w:rFonts w:hint="eastAsia" w:ascii="宋体" w:hAnsi="宋体" w:eastAsia="宋体" w:cs="宋体"/>
                <w:sz w:val="24"/>
                <w:szCs w:val="24"/>
              </w:rPr>
              <w:t xml:space="preserve">根据投标文件中投标人关于</w:t>
            </w:r>
            <w:r>
              <w:rPr>
                <w:rFonts w:hint="eastAsia" w:cs="仿宋" w:asciiTheme="minorEastAsia" w:hAnsiTheme="minorEastAsia" w:eastAsiaTheme="minorEastAsia"/>
                <w:color w:val="000000" w:themeColor="text1"/>
                <w:sz w:val="24"/>
                <w:szCs w:val="24"/>
              </w:rPr>
              <w:t xml:space="preserve">粪肥施用作业方案</w:t>
            </w:r>
            <w:r>
              <w:rPr>
                <w:rFonts w:hint="eastAsia" w:ascii="宋体" w:hAnsi="宋体" w:eastAsia="宋体" w:cs="宋体"/>
                <w:sz w:val="24"/>
                <w:szCs w:val="24"/>
              </w:rPr>
              <w:t xml:space="preserve">情况综合比较。</w:t>
            </w:r>
            <w:r>
              <w:rPr>
                <w:rFonts w:hint="eastAsia" w:ascii="宋体" w:hAnsi="宋体" w:eastAsia="宋体" w:cs="宋体"/>
                <w:sz w:val="24"/>
                <w:szCs w:val="24"/>
              </w:rPr>
              <w:t xml:space="preserve">分为优、良、一般、差四个等级，优：</w:t>
            </w:r>
            <w:r>
              <w:rPr>
                <w:rFonts w:ascii="宋体" w:hAnsi="宋体" w:eastAsia="宋体" w:cs="宋体"/>
                <w:sz w:val="24"/>
                <w:szCs w:val="24"/>
              </w:rPr>
              <w:t xml:space="preserve">5</w:t>
            </w:r>
            <w:r>
              <w:rPr>
                <w:rFonts w:hint="eastAsia" w:ascii="宋体" w:hAnsi="宋体" w:eastAsia="宋体" w:cs="宋体"/>
                <w:sz w:val="24"/>
                <w:szCs w:val="24"/>
              </w:rPr>
              <w:t xml:space="preserve">分，良：</w:t>
            </w:r>
            <w:r>
              <w:rPr>
                <w:rFonts w:ascii="宋体" w:hAnsi="宋体" w:eastAsia="宋体" w:cs="宋体"/>
                <w:sz w:val="24"/>
                <w:szCs w:val="24"/>
              </w:rPr>
              <w:t xml:space="preserve">3</w:t>
            </w:r>
            <w:r>
              <w:rPr>
                <w:rFonts w:hint="eastAsia" w:ascii="宋体" w:hAnsi="宋体" w:eastAsia="宋体" w:cs="宋体"/>
                <w:sz w:val="24"/>
                <w:szCs w:val="24"/>
              </w:rPr>
              <w:t xml:space="preserve">分，一般： </w:t>
            </w:r>
            <w:r>
              <w:rPr>
                <w:rFonts w:ascii="宋体" w:hAnsi="宋体" w:eastAsia="宋体" w:cs="宋体"/>
                <w:sz w:val="24"/>
                <w:szCs w:val="24"/>
              </w:rPr>
              <w:t xml:space="preserve">1</w:t>
            </w:r>
            <w:r>
              <w:rPr>
                <w:rFonts w:hint="eastAsia" w:ascii="宋体" w:hAnsi="宋体" w:eastAsia="宋体" w:cs="宋体"/>
                <w:sz w:val="24"/>
                <w:szCs w:val="24"/>
              </w:rPr>
              <w:t xml:space="preserve">分，差或没有内容不得分。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商品有机肥撒施作业方案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r>
              <w:rPr>
                <w:rFonts w:hint="eastAsia" w:ascii="宋体" w:hAnsi="宋体" w:eastAsia="宋体" w:cs="宋体"/>
                <w:sz w:val="24"/>
                <w:szCs w:val="24"/>
              </w:rPr>
              <w:t xml:space="preserve">根据投标文件中投标人关于</w:t>
            </w:r>
            <w:r>
              <w:rPr>
                <w:rFonts w:hint="eastAsia" w:ascii="宋体" w:hAnsi="宋体" w:eastAsia="宋体" w:cs="宋体"/>
                <w:color w:val="000000"/>
                <w:sz w:val="24"/>
                <w:szCs w:val="24"/>
              </w:rPr>
              <w:t xml:space="preserve">商品有机肥撒施作业方案</w:t>
            </w:r>
            <w:r>
              <w:rPr>
                <w:rFonts w:hint="eastAsia" w:ascii="宋体" w:hAnsi="宋体" w:eastAsia="宋体" w:cs="宋体"/>
                <w:sz w:val="24"/>
                <w:szCs w:val="24"/>
              </w:rPr>
              <w:t xml:space="preserve">情况综合比较。</w:t>
            </w:r>
            <w:r>
              <w:rPr>
                <w:rFonts w:hint="eastAsia" w:ascii="宋体" w:hAnsi="宋体" w:eastAsia="宋体" w:cs="宋体"/>
                <w:sz w:val="24"/>
                <w:szCs w:val="24"/>
              </w:rPr>
              <w:t xml:space="preserve">分为优、良、一般、差四个等级，优：</w:t>
            </w:r>
            <w:r>
              <w:rPr>
                <w:rFonts w:ascii="宋体" w:hAnsi="宋体" w:eastAsia="宋体" w:cs="宋体"/>
                <w:sz w:val="24"/>
                <w:szCs w:val="24"/>
              </w:rPr>
              <w:t xml:space="preserve">5</w:t>
            </w:r>
            <w:r>
              <w:rPr>
                <w:rFonts w:hint="eastAsia" w:ascii="宋体" w:hAnsi="宋体" w:eastAsia="宋体" w:cs="宋体"/>
                <w:sz w:val="24"/>
                <w:szCs w:val="24"/>
              </w:rPr>
              <w:t xml:space="preserve">分，良：</w:t>
            </w:r>
            <w:r>
              <w:rPr>
                <w:rFonts w:ascii="宋体" w:hAnsi="宋体" w:eastAsia="宋体" w:cs="宋体"/>
                <w:sz w:val="24"/>
                <w:szCs w:val="24"/>
              </w:rPr>
              <w:t xml:space="preserve">3</w:t>
            </w:r>
            <w:r>
              <w:rPr>
                <w:rFonts w:hint="eastAsia" w:ascii="宋体" w:hAnsi="宋体" w:eastAsia="宋体" w:cs="宋体"/>
                <w:sz w:val="24"/>
                <w:szCs w:val="24"/>
              </w:rPr>
              <w:t xml:space="preserve">分，一般： </w:t>
            </w:r>
            <w:r>
              <w:rPr>
                <w:rFonts w:ascii="宋体" w:hAnsi="宋体" w:eastAsia="宋体" w:cs="宋体"/>
                <w:sz w:val="24"/>
                <w:szCs w:val="24"/>
              </w:rPr>
              <w:t xml:space="preserve">1</w:t>
            </w:r>
            <w:r>
              <w:rPr>
                <w:rFonts w:hint="eastAsia" w:ascii="宋体" w:hAnsi="宋体" w:eastAsia="宋体" w:cs="宋体"/>
                <w:sz w:val="24"/>
                <w:szCs w:val="24"/>
              </w:rPr>
              <w:t xml:space="preserve">分，差或没有内容不得分。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深耕机械作业方案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r>
              <w:rPr>
                <w:rFonts w:hint="eastAsia" w:ascii="宋体" w:hAnsi="宋体" w:eastAsia="宋体" w:cs="宋体"/>
                <w:sz w:val="24"/>
                <w:szCs w:val="24"/>
              </w:rPr>
              <w:t xml:space="preserve">根据投标文件中投标人关于</w:t>
            </w:r>
            <w:r>
              <w:rPr>
                <w:rFonts w:hint="eastAsia" w:cs="仿宋" w:asciiTheme="minorEastAsia" w:hAnsiTheme="minorEastAsia" w:eastAsiaTheme="minorEastAsia"/>
                <w:color w:val="000000" w:themeColor="text1"/>
                <w:sz w:val="24"/>
                <w:szCs w:val="24"/>
              </w:rPr>
              <w:t xml:space="preserve">深耕机械作业方案</w:t>
            </w:r>
            <w:r>
              <w:rPr>
                <w:rFonts w:hint="eastAsia" w:ascii="宋体" w:hAnsi="宋体" w:eastAsia="宋体" w:cs="宋体"/>
                <w:sz w:val="24"/>
                <w:szCs w:val="24"/>
              </w:rPr>
              <w:t xml:space="preserve">情况综合比较。</w:t>
            </w:r>
            <w:r>
              <w:rPr>
                <w:rFonts w:hint="eastAsia" w:ascii="宋体" w:hAnsi="宋体" w:eastAsia="宋体" w:cs="宋体"/>
                <w:sz w:val="24"/>
                <w:szCs w:val="24"/>
              </w:rPr>
              <w:t xml:space="preserve">分为优、良、一般、差四个等级，优：</w:t>
            </w:r>
            <w:r>
              <w:rPr>
                <w:rFonts w:ascii="宋体" w:hAnsi="宋体" w:eastAsia="宋体" w:cs="宋体"/>
                <w:sz w:val="24"/>
                <w:szCs w:val="24"/>
              </w:rPr>
              <w:t xml:space="preserve">5</w:t>
            </w:r>
            <w:r>
              <w:rPr>
                <w:rFonts w:hint="eastAsia" w:ascii="宋体" w:hAnsi="宋体" w:eastAsia="宋体" w:cs="宋体"/>
                <w:sz w:val="24"/>
                <w:szCs w:val="24"/>
              </w:rPr>
              <w:t xml:space="preserve">分，良：</w:t>
            </w:r>
            <w:r>
              <w:rPr>
                <w:rFonts w:ascii="宋体" w:hAnsi="宋体" w:eastAsia="宋体" w:cs="宋体"/>
                <w:sz w:val="24"/>
                <w:szCs w:val="24"/>
              </w:rPr>
              <w:t xml:space="preserve">3</w:t>
            </w:r>
            <w:r>
              <w:rPr>
                <w:rFonts w:hint="eastAsia" w:ascii="宋体" w:hAnsi="宋体" w:eastAsia="宋体" w:cs="宋体"/>
                <w:sz w:val="24"/>
                <w:szCs w:val="24"/>
              </w:rPr>
              <w:t xml:space="preserve">分，一般： </w:t>
            </w:r>
            <w:r>
              <w:rPr>
                <w:rFonts w:ascii="宋体" w:hAnsi="宋体" w:eastAsia="宋体" w:cs="宋体"/>
                <w:sz w:val="24"/>
                <w:szCs w:val="24"/>
              </w:rPr>
              <w:t xml:space="preserve">1</w:t>
            </w:r>
            <w:r>
              <w:rPr>
                <w:rFonts w:hint="eastAsia" w:ascii="宋体" w:hAnsi="宋体" w:eastAsia="宋体" w:cs="宋体"/>
                <w:sz w:val="24"/>
                <w:szCs w:val="24"/>
              </w:rPr>
              <w:t xml:space="preserve">分，差或没有内容不得分。</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2"/>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asciiTheme="minorEastAsia" w:hAnsiTheme="minorEastAsia" w:eastAsiaTheme="minorEastAsia"/>
        </w:rPr>
      </w:r>
      <w:r/>
    </w:p>
    <w:p>
      <w:pPr>
        <w:jc w:val="center"/>
        <w:spacing w:line="300" w:lineRule="auto"/>
        <w:rPr>
          <w:rFonts w:cs="仿宋" w:asciiTheme="minorEastAsia" w:hAnsiTheme="minorEastAsia" w:eastAsiaTheme="minorEastAsia"/>
          <w:b/>
          <w:color w:val="000000" w:themeColor="text1"/>
          <w:sz w:val="32"/>
          <w:szCs w:val="32"/>
        </w:rPr>
        <w:outlineLvl w:val="0"/>
      </w:pPr>
      <w:r>
        <w:rPr>
          <w:rFonts w:cs="仿宋" w:asciiTheme="minorEastAsia" w:hAnsiTheme="minorEastAsia" w:eastAsiaTheme="minorEastAsia"/>
          <w:b/>
          <w:color w:val="000000" w:themeColor="text1"/>
          <w:sz w:val="32"/>
          <w:szCs w:val="32"/>
        </w:rPr>
      </w:r>
      <w:r/>
    </w:p>
    <w:p>
      <w:pPr>
        <w:jc w:val="center"/>
        <w:spacing w:line="30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ind w:firstLine="480"/>
        <w:spacing w:line="500" w:lineRule="exact"/>
        <w:rPr>
          <w:rFonts w:cs="仿宋" w:asciiTheme="minorEastAsia" w:hAnsiTheme="minorEastAsia" w:eastAsiaTheme="minorEastAsia"/>
          <w:bCs/>
          <w:color w:val="000000" w:themeColor="text1"/>
          <w:sz w:val="24"/>
          <w:szCs w:val="24"/>
        </w:rPr>
      </w:pPr>
      <w:r/>
      <w:bookmarkStart w:id="43" w:name="_Toc513029243"/>
      <w:r/>
      <w:bookmarkStart w:id="44" w:name="_Toc20823315"/>
      <w:r/>
      <w:bookmarkStart w:id="45" w:name="_Toc16938559"/>
      <w:r>
        <w:rPr>
          <w:rFonts w:hint="eastAsia" w:cs="仿宋" w:asciiTheme="minorEastAsia" w:hAnsiTheme="minorEastAsia" w:eastAsiaTheme="minorEastAsia"/>
          <w:bCs/>
          <w:color w:val="000000" w:themeColor="text1"/>
          <w:sz w:val="24"/>
          <w:szCs w:val="24"/>
        </w:rPr>
        <w:t xml:space="preserve">以下为中标后签定本项目合同的通用条款，中标人不得提出实质性的修改。</w:t>
      </w:r>
      <w:r/>
    </w:p>
    <w:p>
      <w:pPr>
        <w:jc w:val="center"/>
        <w:spacing w:before="145" w:after="145"/>
        <w:rPr>
          <w:rFonts w:cs="仿宋" w:asciiTheme="minorEastAsia" w:hAnsiTheme="minorEastAsia" w:eastAsiaTheme="minorEastAsia"/>
          <w:b/>
          <w:bCs/>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江苏省政府采购合同（货物）（合同编号）</w:t>
      </w:r>
      <w:r/>
    </w:p>
    <w:p>
      <w:pPr>
        <w:jc w:val="left"/>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                                        </w:t>
      </w:r>
      <w:r/>
    </w:p>
    <w:p>
      <w:pPr>
        <w:jc w:val="left"/>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 </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甲方：（买方）_________</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乙方：（卖方）_________</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甲、乙双方根据江苏益诚建设工程咨询有限公司项目公开招标的结果，签署本合同。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一、合同内容</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 标的名称：</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 标的质量：</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 标的数量（规模）：</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 履行时间（期限）：</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 履行地点：</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 履行方式：</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 包装方式：</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二、合同金额</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 本合同金额为（大写）：_______圆（___元）人民币或其他币种。</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三、技术资料</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3.1乙方应按招标文件规定的时间向甲方提供使用货物(包含与货物相关的服务)的有关技术资料。</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四、知识产权</w:t>
      </w:r>
      <w:r/>
    </w:p>
    <w:p>
      <w:pPr>
        <w:spacing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b/>
          <w:color w:val="000000" w:themeColor="text1"/>
          <w:sz w:val="24"/>
          <w:szCs w:val="24"/>
        </w:rPr>
        <w:t xml:space="preserve">五、产权担保</w:t>
      </w:r>
      <w:r/>
    </w:p>
    <w:p>
      <w:pPr>
        <w:ind w:left="408" w:hanging="408"/>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5.1 乙方保证所交付的货物（包含与货物相关的服务）的所有权完全属于乙方且无任何抵押、查封等产权瑕疵。</w:t>
      </w:r>
      <w:r/>
    </w:p>
    <w:p>
      <w:pPr>
        <w:ind w:left="410" w:hanging="410"/>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六、履约保证金</w:t>
      </w:r>
      <w:r/>
    </w:p>
    <w:p>
      <w:pPr>
        <w:ind w:left="408" w:hanging="408"/>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6.1本项目履约保证金。</w:t>
      </w:r>
      <w:r/>
    </w:p>
    <w:p>
      <w:pPr>
        <w:spacing w:before="145" w:after="145"/>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七、合同转包</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7.1乙方不得将合同标的转包给他人履行。</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7.2乙方如有转包或未经甲方同意的分包行为，甲方有权给予终止合同。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八、合同款项支付</w:t>
      </w:r>
      <w:r/>
    </w:p>
    <w:p>
      <w:pPr>
        <w:spacing w:before="120" w:after="120"/>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8.1合同款项的支付方式及进度安排</w:t>
      </w:r>
      <w:r/>
    </w:p>
    <w:p>
      <w:pPr>
        <w:spacing w:before="120" w:after="120"/>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8．1.1 预付款支付时间：</w:t>
      </w:r>
      <w:r>
        <w:rPr>
          <w:rFonts w:hint="eastAsia" w:cs="仿宋" w:asciiTheme="minorEastAsia" w:hAnsiTheme="minorEastAsia" w:eastAsiaTheme="minorEastAsia"/>
          <w:bCs/>
          <w:color w:val="000000" w:themeColor="text1"/>
          <w:sz w:val="24"/>
          <w:szCs w:val="24"/>
          <w:u w:val="single"/>
        </w:rPr>
        <w:t xml:space="preserve">合同签订后   日内</w:t>
      </w:r>
      <w:r>
        <w:rPr>
          <w:rFonts w:hint="eastAsia" w:cs="仿宋" w:asciiTheme="minorEastAsia" w:hAnsiTheme="minorEastAsia" w:eastAsiaTheme="minorEastAsia"/>
          <w:bCs/>
          <w:color w:val="000000" w:themeColor="text1"/>
          <w:sz w:val="24"/>
          <w:szCs w:val="24"/>
        </w:rPr>
        <w:t xml:space="preserve">，预付款支付比例：</w:t>
      </w:r>
      <w:r>
        <w:rPr>
          <w:rFonts w:hint="eastAsia" w:cs="仿宋" w:asciiTheme="minorEastAsia" w:hAnsiTheme="minorEastAsia" w:eastAsiaTheme="minorEastAsia"/>
          <w:bCs/>
          <w:color w:val="000000" w:themeColor="text1"/>
          <w:sz w:val="24"/>
          <w:szCs w:val="24"/>
          <w:u w:val="single"/>
        </w:rPr>
        <w:t xml:space="preserve">合同金额的  %</w:t>
      </w:r>
      <w:r>
        <w:rPr>
          <w:rFonts w:hint="eastAsia" w:cs="仿宋" w:asciiTheme="minorEastAsia" w:hAnsiTheme="minorEastAsia" w:eastAsiaTheme="minorEastAsia"/>
          <w:bCs/>
          <w:color w:val="000000" w:themeColor="text1"/>
          <w:sz w:val="24"/>
          <w:szCs w:val="24"/>
        </w:rPr>
        <w:t xml:space="preserve">。</w:t>
      </w:r>
      <w:r/>
    </w:p>
    <w:p>
      <w:pPr>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bCs/>
          <w:color w:val="000000" w:themeColor="text1"/>
          <w:sz w:val="24"/>
          <w:szCs w:val="24"/>
        </w:rPr>
        <w:t xml:space="preserve">8.1.2 尾款支付时间：产品验收通过,采购人收到发票后30日内，尾款支付比例：</w:t>
      </w:r>
      <w:r>
        <w:rPr>
          <w:rFonts w:hint="eastAsia" w:cs="仿宋" w:asciiTheme="minorEastAsia" w:hAnsiTheme="minorEastAsia" w:eastAsiaTheme="minorEastAsia"/>
          <w:bCs/>
          <w:color w:val="000000" w:themeColor="text1"/>
          <w:sz w:val="24"/>
          <w:szCs w:val="24"/>
          <w:u w:val="single"/>
        </w:rPr>
        <w:t xml:space="preserve">合同金额的  %</w:t>
      </w:r>
      <w:r>
        <w:rPr>
          <w:rFonts w:hint="eastAsia" w:cs="仿宋" w:asciiTheme="minorEastAsia" w:hAnsiTheme="minorEastAsia" w:eastAsiaTheme="minorEastAsia"/>
          <w:bCs/>
          <w:color w:val="000000" w:themeColor="text1"/>
          <w:sz w:val="24"/>
          <w:szCs w:val="24"/>
        </w:rPr>
        <w:t xml:space="preserve">。</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8.2</w:t>
      </w:r>
      <w:r>
        <w:rPr>
          <w:rFonts w:hint="eastAsia" w:cs="仿宋" w:asciiTheme="minorEastAsia" w:hAnsiTheme="minorEastAsia" w:eastAsiaTheme="minorEastAsia"/>
          <w:color w:val="000000" w:themeColor="text1"/>
          <w:sz w:val="24"/>
          <w:szCs w:val="24"/>
        </w:rPr>
        <w:t xml:space="preserve">当采购数量与实际使用数量不一致时，乙方应根据实际使用量供货，合同的最终结</w:t>
      </w:r>
      <w:r/>
    </w:p>
    <w:p>
      <w:pPr>
        <w:ind w:left="480" w:hanging="480"/>
        <w:spacing w:before="120" w:after="120"/>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color w:val="000000" w:themeColor="text1"/>
          <w:sz w:val="24"/>
          <w:szCs w:val="24"/>
        </w:rPr>
        <w:t xml:space="preserve">算金额按实际使用量乘以成交单价进行计算。</w:t>
      </w:r>
      <w:r/>
    </w:p>
    <w:p>
      <w:pPr>
        <w:spacing w:before="145" w:after="145"/>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九、税费</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9.1本合同执行中相关的一切税费均由乙方负担。</w:t>
      </w:r>
      <w:r/>
    </w:p>
    <w:p>
      <w:pPr>
        <w:ind w:left="412" w:hanging="412"/>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
          <w:color w:val="000000" w:themeColor="text1"/>
          <w:sz w:val="24"/>
          <w:szCs w:val="24"/>
        </w:rPr>
        <w:t xml:space="preserve">十、质量保修范围和保修期及售后服务</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10.1 乙方应按招标文件规定的货物性能、技术要求、质量标准向甲方提供未经使用的全新产品。</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⑴更换：由乙方承担所发生的全部费用。</w:t>
      </w:r>
      <w:r/>
    </w:p>
    <w:p>
      <w:pPr>
        <w:ind w:firstLine="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⑵贬值处理：由甲乙双方合议定价。</w:t>
      </w:r>
      <w:r/>
    </w:p>
    <w:p>
      <w:pPr>
        <w:ind w:left="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⑶退货处理：乙方应退还甲方支付的合同款，同时应承担该货物的直接费用（运输、保险、检验、货款利息及银行手续费等）。</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10.3 如在使用过程中发生质量问题，乙方在接到甲方通知后在_________小时内到达甲方现场。</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10.4 在质保期内，乙方应对货物出现的质量及安全问题负责处理解决并承担一切费用。</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10.5上述的货物免费保修期为年（自交货验收合格之日起计），因人为因素出现的故障不在免费保修范围内。超过保修期的机器设备，终生维修，维修时只收部件成本费。</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十一、项目验收</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11.1 甲方依法组织履约验收工作。</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 对于实际使用人和甲方分离的项目，甲方邀请实际使用人参与验收。</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11.4 如有必要，甲方邀请参加本项目的其他供应商或第三方专业机构及专家参与验收，相关意见将作为验收书的参考资料。</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十二、货物的包装、发运及运输</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12.2 使用说明书、质量检验证明书、随配附件和工具以及清单一并附于货物内。</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12.3 乙方在货物发运手续办理完毕后24小时内或货到甲方48小时前通知甲方，以准备接货。</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12.4 货物在交付甲方前发生的风险均由乙方负责。</w:t>
      </w:r>
      <w:r/>
    </w:p>
    <w:p>
      <w:pPr>
        <w:ind w:left="480" w:right="26" w:hanging="480"/>
        <w:spacing w:before="156" w:after="156"/>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12.5 货物在规定的交付期限内由乙方送达甲方指定的地点视为交付，乙方同时需通知甲方货物已送达。</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十三、违约责任</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13.1 甲方无正当理由拒收货物的，甲方向乙方偿付拒收货款总值的违约金。</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13.2 甲方无故逾期验收和办理货款支付手续的,甲方应按逾期付款总额每日向乙方支付违约金。</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w:t>
      </w:r>
      <w:r>
        <w:rPr>
          <w:rFonts w:hint="eastAsia" w:cs="仿宋" w:asciiTheme="minorEastAsia" w:hAnsiTheme="minorEastAsia" w:eastAsiaTheme="minorEastAsia"/>
          <w:color w:val="000000" w:themeColor="text1"/>
          <w:sz w:val="24"/>
          <w:szCs w:val="24"/>
        </w:rPr>
        <w:t xml:space="preserve">金的，超出部分由乙方继续承担赔偿责任。 </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十四、不可抗力事件处理</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 在合同有效期内，任何一方因不可抗力事件导致不能履行合同，则合同履行期可延长，其延长期与不可抗力影响期相同。</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 不可抗力事件发生后，应立即通知对方，并寄送有关权威机构出具的证明。</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 不可抗力事件延续120天以上，双方应通过友好协商，确定是否继续履行合同。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十五、解决争议的方法</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15.1甲乙双方因合同签订、履行而发生的一切争议，应通过友好协商解决。如协商不成由甲方住所地人民法院管辖。</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十六、合同生效及其它</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16.1 合同经双方法定代表人或授权委托代表人签字并加盖单位公章后生效。</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16.2本合同未尽事宜，遵照《民法典》、《政府采购法》有关条文执行。</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16.3 本合同正本一式两份，具有同等法律效力，甲方、乙方各执一份。</w:t>
      </w:r>
      <w:r/>
    </w:p>
    <w:p>
      <w:pPr>
        <w:ind w:left="480" w:hanging="480"/>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甲方：                        乙方： </w:t>
      </w:r>
      <w:r/>
    </w:p>
    <w:p>
      <w:pPr>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地址：                        地址： </w:t>
      </w:r>
      <w:r/>
    </w:p>
    <w:p>
      <w:pPr>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法定代表人或授权代表：        法定代表人或授权代表：</w:t>
      </w:r>
      <w:r/>
    </w:p>
    <w:p>
      <w:pPr>
        <w:ind w:firstLine="240"/>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                    联系电话：          </w:t>
      </w:r>
      <w:r/>
    </w:p>
    <w:p>
      <w:pPr>
        <w:jc w:val="center"/>
        <w:spacing w:before="120" w:after="120" w:line="0" w:lineRule="atLeas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before="120" w:after="120" w:line="0" w:lineRule="atLeas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line="48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                    签订日期：      年    月   日</w:t>
      </w:r>
      <w:bookmarkEnd w:id="43"/>
      <w:r/>
      <w:bookmarkEnd w:id="44"/>
      <w:r/>
      <w:bookmarkEnd w:id="45"/>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ind w:firstLine="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1033"/>
        <w:jc w:val="center"/>
        <w:spacing w:before="0" w:after="0" w:line="36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第六章 投标文件格式</w:t>
      </w:r>
      <w:r/>
    </w:p>
    <w:p>
      <w:pPr>
        <w:pStyle w:val="1030"/>
        <w:ind w:firstLine="240"/>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30"/>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24"/>
          <w:szCs w:val="24"/>
        </w:rPr>
        <w:t xml:space="preserve">  2、投标人应按标段准备投标文件并清楚注明标段名称,否则造成的一切后果由投标人自行承担。</w:t>
      </w:r>
      <w:r>
        <w:rPr>
          <w:rFonts w:hint="eastAsia" w:cs="仿宋" w:asciiTheme="minorEastAsia" w:hAnsiTheme="minorEastAsia" w:eastAsiaTheme="minorEastAsia"/>
          <w:color w:val="000000" w:themeColor="text1"/>
          <w:sz w:val="32"/>
          <w:szCs w:val="32"/>
        </w:rPr>
        <w:br w:type="page" w:clear="all"/>
      </w:r>
      <w:bookmarkStart w:id="46" w:name="_Toc297204985"/>
      <w:r/>
      <w:bookmarkStart w:id="47" w:name="_Toc237145385"/>
      <w:r/>
      <w:bookmarkStart w:id="48" w:name="_Toc217446085"/>
      <w:r/>
      <w:bookmarkStart w:id="49" w:name="_Toc256175382"/>
      <w:r/>
      <w:bookmarkStart w:id="50" w:name="_Toc263768864"/>
      <w:r/>
      <w:bookmarkStart w:id="51" w:name="_Toc263753600"/>
      <w:r/>
      <w:bookmarkStart w:id="52" w:name="_Toc250041691"/>
      <w:r/>
      <w:r/>
    </w:p>
    <w:p>
      <w:pPr>
        <w:pStyle w:val="1033"/>
        <w:jc w:val="center"/>
        <w:keepLines w:val="0"/>
        <w:keepNext w:val="0"/>
        <w:widowControl/>
        <w:rPr>
          <w:rFonts w:cs="仿宋" w:asciiTheme="minorEastAsia" w:hAnsiTheme="minorEastAsia" w:eastAsiaTheme="minorEastAsia"/>
          <w:color w:val="000000" w:themeColor="text1"/>
        </w:rPr>
      </w:pPr>
      <w:r/>
      <w:bookmarkStart w:id="53" w:name="_Toc217446086"/>
      <w:r>
        <w:rPr>
          <w:rStyle w:val="1036"/>
          <w:rFonts w:hint="eastAsia" w:cs="仿宋" w:asciiTheme="minorEastAsia" w:hAnsiTheme="minorEastAsia" w:eastAsiaTheme="minorEastAsia"/>
          <w:color w:val="000000" w:themeColor="text1"/>
        </w:rPr>
        <w:t xml:space="preserve">开标一览表</w:t>
      </w:r>
      <w:r/>
    </w:p>
    <w:p>
      <w:pPr>
        <w:pStyle w:val="1037"/>
        <w:rPr>
          <w:rFonts w:cs="仿宋" w:asciiTheme="minorEastAsia" w:hAnsiTheme="minorEastAsia" w:eastAsiaTheme="minorEastAsia"/>
          <w:color w:val="000000" w:themeColor="text1"/>
          <w:sz w:val="27"/>
          <w:szCs w:val="27"/>
        </w:rPr>
      </w:pPr>
      <w:r>
        <w:rPr>
          <w:rFonts w:hint="eastAsia" w:cs="仿宋" w:asciiTheme="minorEastAsia" w:hAnsiTheme="minorEastAsia" w:eastAsiaTheme="minorEastAsia"/>
          <w:color w:val="000000" w:themeColor="text1"/>
          <w:sz w:val="27"/>
          <w:szCs w:val="27"/>
        </w:rPr>
        <w:t xml:space="preserve">项目名称：                           项目编号：</w:t>
      </w:r>
      <w:r/>
    </w:p>
    <w:p>
      <w:pPr>
        <w:pStyle w:val="1037"/>
        <w:rPr>
          <w:rFonts w:cs="仿宋" w:asciiTheme="minorEastAsia" w:hAnsiTheme="minorEastAsia" w:eastAsiaTheme="minorEastAsia"/>
          <w:color w:val="000000" w:themeColor="text1"/>
          <w:sz w:val="27"/>
          <w:szCs w:val="27"/>
        </w:rPr>
      </w:pPr>
      <w:r>
        <w:rPr>
          <w:rFonts w:hint="eastAsia" w:cs="仿宋" w:asciiTheme="minorEastAsia" w:hAnsiTheme="minorEastAsia" w:eastAsiaTheme="minorEastAsia"/>
          <w:color w:val="000000" w:themeColor="text1"/>
          <w:sz w:val="27"/>
          <w:szCs w:val="27"/>
        </w:rPr>
        <w:t xml:space="preserve">货币单位：人民币元</w:t>
      </w:r>
      <w:r/>
    </w:p>
    <w:tbl>
      <w:tblPr>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项目名称</w:t>
            </w:r>
            <w:r/>
          </w:p>
        </w:tc>
        <w:tc>
          <w:tcPr>
            <w:tcW w:w="2551"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项目内容</w:t>
            </w:r>
            <w:r/>
          </w:p>
        </w:tc>
        <w:tc>
          <w:tcPr>
            <w:tcW w:w="3779" w:type="dxa"/>
            <w:vAlign w:val="center"/>
            <w:textDirection w:val="lrTb"/>
            <w:noWrap w:val="false"/>
          </w:tcPr>
          <w:p>
            <w:pPr>
              <w:pStyle w:val="1037"/>
              <w:rPr>
                <w:rFonts w:cs="仿宋" w:asciiTheme="minorEastAsia" w:hAnsiTheme="minorEastAsia" w:eastAsiaTheme="minorEastAsia"/>
                <w:color w:val="000000" w:themeColor="text1"/>
              </w:rPr>
            </w:pPr>
            <w:r>
              <w:rPr>
                <w:rFonts w:hint="eastAsia" w:asciiTheme="minorEastAsia" w:hAnsiTheme="minorEastAsia" w:eastAsiaTheme="minorEastAsia"/>
                <w:color w:val="000000" w:themeColor="text1"/>
                <w:sz w:val="27"/>
                <w:szCs w:val="27"/>
              </w:rPr>
              <w:t xml:space="preserve"> </w:t>
            </w:r>
            <w:r>
              <w:rPr>
                <w:rFonts w:hint="eastAsia" w:cs="仿宋" w:asciiTheme="minorEastAsia" w:hAnsiTheme="minorEastAsia" w:eastAsiaTheme="minorEastAsia"/>
                <w:color w:val="000000" w:themeColor="text1"/>
                <w:sz w:val="27"/>
                <w:szCs w:val="27"/>
              </w:rPr>
              <w:t xml:space="preserve">总价（小写）</w:t>
            </w:r>
            <w:r/>
          </w:p>
        </w:tc>
      </w:tr>
      <w:tr>
        <w:trPr>
          <w:trHeight w:val="1091"/>
        </w:trPr>
        <w:tc>
          <w:tcPr>
            <w:tcW w:w="2567" w:type="dxa"/>
            <w:vAlign w:val="center"/>
            <w:textDirection w:val="lrTb"/>
            <w:noWrap w:val="false"/>
          </w:tcPr>
          <w:p>
            <w:pPr>
              <w:spacing w:line="500" w:lineRule="exact"/>
              <w:rPr>
                <w:rFonts w:cs="仿宋" w:asciiTheme="minorEastAsia" w:hAnsiTheme="minorEastAsia" w:eastAsiaTheme="minorEastAsia"/>
                <w:color w:val="000000" w:themeColor="text1"/>
                <w:sz w:val="22"/>
                <w:szCs w:val="22"/>
              </w:rPr>
            </w:pPr>
            <w:r>
              <w:rPr>
                <w:rFonts w:hint="eastAsia" w:cs="仿宋" w:asciiTheme="minorEastAsia" w:hAnsiTheme="minorEastAsia" w:eastAsiaTheme="minorEastAsia"/>
                <w:color w:val="000000" w:themeColor="text1"/>
                <w:sz w:val="27"/>
                <w:szCs w:val="27"/>
              </w:rPr>
              <w:t xml:space="preserve">项目名称</w:t>
            </w:r>
            <w:r/>
          </w:p>
        </w:tc>
        <w:tc>
          <w:tcPr>
            <w:tcW w:w="2551" w:type="dxa"/>
            <w:vAlign w:val="center"/>
            <w:textDirection w:val="lrTb"/>
            <w:noWrap w:val="false"/>
          </w:tcPr>
          <w:p>
            <w:pPr>
              <w:pStyle w:val="1037"/>
              <w:rPr>
                <w:rFonts w:cs="仿宋" w:asciiTheme="minorEastAsia" w:hAnsiTheme="minorEastAsia" w:eastAsiaTheme="minorEastAsia"/>
                <w:color w:val="000000" w:themeColor="text1"/>
                <w:sz w:val="22"/>
                <w:szCs w:val="22"/>
              </w:rPr>
            </w:pPr>
            <w:r>
              <w:rPr>
                <w:rFonts w:hint="eastAsia" w:cs="仿宋" w:asciiTheme="minorEastAsia" w:hAnsiTheme="minorEastAsia" w:eastAsiaTheme="minorEastAsia"/>
                <w:color w:val="000000" w:themeColor="text1"/>
                <w:sz w:val="22"/>
                <w:szCs w:val="22"/>
              </w:rPr>
              <w:t xml:space="preserve">详见投标文件</w:t>
            </w:r>
            <w:r/>
          </w:p>
        </w:tc>
        <w:tc>
          <w:tcPr>
            <w:tcW w:w="3779" w:type="dxa"/>
            <w:vAlign w:val="center"/>
            <w:textDirection w:val="lrTb"/>
            <w:noWrap w:val="false"/>
          </w:tcPr>
          <w:p>
            <w:pPr>
              <w:pStyle w:val="1037"/>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sz w:val="27"/>
                <w:szCs w:val="27"/>
                <w:shd w:val="clear" w:color="auto" w:fill="ffffff"/>
              </w:rPr>
              <mc:AlternateContent>
                <mc:Choice Requires="wpg">
                  <w:drawing>
                    <wp:inline xmlns:wp="http://schemas.openxmlformats.org/drawingml/2006/wordprocessingDrawing" distT="0" distB="0" distL="0" distR="0">
                      <wp:extent cx="621030" cy="233045"/>
                      <wp:effectExtent l="0" t="0" r="127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8"/>
                              <a:stretch/>
                            </pic:blipFill>
                            <pic:spPr bwMode="auto">
                              <a:xfrm>
                                <a:off x="0" y="0"/>
                                <a:ext cx="621030"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9pt;height:18.3pt;mso-wrap-distance-left:0.0pt;mso-wrap-distance-top:0.0pt;mso-wrap-distance-right:0.0pt;mso-wrap-distance-bottom:0.0pt;" stroked="f">
                      <v:path textboxrect="0,0,0,0"/>
                      <v:imagedata r:id="rId18" o:title=""/>
                    </v:shape>
                  </w:pict>
                </mc:Fallback>
              </mc:AlternateContent>
            </w:r>
            <w:r>
              <w:rPr>
                <w:rFonts w:hint="eastAsia" w:asciiTheme="minorEastAsia" w:hAnsiTheme="minorEastAsia" w:eastAsiaTheme="minorEastAsia"/>
                <w:color w:val="000000" w:themeColor="text1"/>
                <w:sz w:val="27"/>
                <w:szCs w:val="27"/>
              </w:rPr>
              <w:t xml:space="preserve"> </w:t>
            </w:r>
            <w:r>
              <w:rPr>
                <w:rFonts w:hint="eastAsia" w:cs="仿宋" w:asciiTheme="minorEastAsia" w:hAnsiTheme="minorEastAsia" w:eastAsiaTheme="minorEastAsia"/>
                <w:color w:val="000000" w:themeColor="text1"/>
                <w:sz w:val="27"/>
                <w:szCs w:val="27"/>
              </w:rPr>
              <w:t xml:space="preserve">元 </w:t>
            </w:r>
            <w:r/>
          </w:p>
        </w:tc>
      </w:tr>
      <w:tr>
        <w:trPr>
          <w:trHeight w:val="627"/>
        </w:trPr>
        <w:tc>
          <w:tcPr>
            <w:tcW w:w="2567"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总价（大写）：</w:t>
            </w:r>
            <w:r/>
          </w:p>
        </w:tc>
        <w:tc>
          <w:tcPr>
            <w:gridSpan w:val="2"/>
            <w:tcW w:w="6330"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金额大写</w:t>
            </w:r>
            <w:r>
              <w:rPr>
                <w:rFonts w:hint="eastAsia" w:asciiTheme="minorEastAsia" w:hAnsiTheme="minorEastAsia" w:eastAsiaTheme="minorEastAsia"/>
                <w:color w:val="000000" w:themeColor="text1"/>
                <w:sz w:val="27"/>
                <w:szCs w:val="27"/>
              </w:rPr>
              <w:t xml:space="preserve"> </w:t>
            </w:r>
            <w:r/>
          </w:p>
        </w:tc>
      </w:tr>
    </w:tbl>
    <w:p>
      <w:pPr>
        <w:pStyle w:val="1037"/>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pStyle w:val="1037"/>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pStyle w:val="1037"/>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ind w:firstLine="540"/>
        <w:jc w:val="left"/>
        <w:spacing w:line="4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7"/>
          <w:szCs w:val="27"/>
        </w:rPr>
        <w:t xml:space="preserve">投标人公章： （电子签章）</w:t>
      </w:r>
      <w:r/>
    </w:p>
    <w:p>
      <w:pPr>
        <w:jc w:val="lef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000000" w:themeColor="text1"/>
          <w:sz w:val="32"/>
          <w:szCs w:val="32"/>
        </w:rPr>
        <w:t xml:space="preserve">投标分项报价表</w:t>
      </w:r>
      <w:r/>
    </w:p>
    <w:tbl>
      <w:tblPr>
        <w:tblW w:w="0" w:type="auto"/>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603"/>
        <w:gridCol w:w="1042"/>
        <w:gridCol w:w="890"/>
        <w:gridCol w:w="1259"/>
        <w:gridCol w:w="740"/>
        <w:gridCol w:w="902"/>
        <w:gridCol w:w="693"/>
        <w:gridCol w:w="1225"/>
        <w:gridCol w:w="1122"/>
      </w:tblGrid>
      <w:tr>
        <w:trPr>
          <w:tblCellSpacing w:w="0" w:type="dxa"/>
          <w:trHeight w:val="660"/>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序号</w:t>
            </w:r>
            <w:r/>
          </w:p>
        </w:tc>
        <w:tc>
          <w:tcPr>
            <w:tcW w:w="104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w:t>
            </w:r>
            <w:r/>
          </w:p>
        </w:tc>
        <w:tc>
          <w:tcPr>
            <w:tcW w:w="89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w:t>
            </w:r>
            <w:r/>
          </w:p>
        </w:tc>
        <w:tc>
          <w:tcPr>
            <w:tcW w:w="1259"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3</w:t>
            </w:r>
            <w:r/>
          </w:p>
        </w:tc>
        <w:tc>
          <w:tcPr>
            <w:tcW w:w="74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4</w:t>
            </w:r>
            <w:r/>
          </w:p>
        </w:tc>
        <w:tc>
          <w:tcPr>
            <w:tcW w:w="90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5</w:t>
            </w:r>
            <w:r/>
          </w:p>
        </w:tc>
        <w:tc>
          <w:tcPr>
            <w:tcW w:w="69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6</w:t>
            </w:r>
            <w:r/>
          </w:p>
        </w:tc>
        <w:tc>
          <w:tcPr>
            <w:tcW w:w="1225"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7</w:t>
            </w:r>
            <w:r/>
          </w:p>
        </w:tc>
        <w:tc>
          <w:tcPr>
            <w:tcW w:w="112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8</w:t>
            </w:r>
            <w:r/>
          </w:p>
        </w:tc>
      </w:tr>
      <w:tr>
        <w:trPr>
          <w:tblCellSpacing w:w="0" w:type="dxa"/>
          <w:trHeight w:val="640"/>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w:t>
            </w:r>
            <w:r/>
          </w:p>
        </w:tc>
        <w:tc>
          <w:tcPr>
            <w:tcW w:w="104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产品</w:t>
            </w:r>
            <w:r/>
          </w:p>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名称</w:t>
            </w:r>
            <w:r/>
          </w:p>
        </w:tc>
        <w:tc>
          <w:tcPr>
            <w:tcW w:w="89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品牌</w:t>
            </w:r>
            <w:r/>
          </w:p>
        </w:tc>
        <w:tc>
          <w:tcPr>
            <w:tcW w:w="1259"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规格</w:t>
            </w:r>
            <w:r/>
          </w:p>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型号</w:t>
            </w:r>
            <w:r/>
          </w:p>
        </w:tc>
        <w:tc>
          <w:tcPr>
            <w:tcW w:w="74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产地</w:t>
            </w:r>
            <w:r/>
          </w:p>
        </w:tc>
        <w:tc>
          <w:tcPr>
            <w:tcW w:w="90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交付期</w:t>
            </w:r>
            <w:r/>
          </w:p>
        </w:tc>
        <w:tc>
          <w:tcPr>
            <w:tcW w:w="69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数量</w:t>
            </w:r>
            <w:r/>
          </w:p>
        </w:tc>
        <w:tc>
          <w:tcPr>
            <w:tcW w:w="1225"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分项单价</w:t>
            </w:r>
            <w:r/>
          </w:p>
        </w:tc>
        <w:tc>
          <w:tcPr>
            <w:tcW w:w="112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分项总价</w:t>
            </w:r>
            <w:r/>
          </w:p>
        </w:tc>
      </w:tr>
      <w:tr>
        <w:trPr>
          <w:tblCellSpacing w:w="0" w:type="dxa"/>
          <w:trHeight w:val="714"/>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742"/>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3</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658"/>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4</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598"/>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1047"/>
        </w:trPr>
        <w:tc>
          <w:tcPr>
            <w:gridSpan w:val="8"/>
            <w:tcW w:w="7354"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投标总报价（人民币：元）</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bl>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s="宋体" w:asciiTheme="minorEastAsia" w:hAnsiTheme="minorEastAsia" w:eastAsiaTheme="minorEastAsia"/>
          <w:color w:val="000000" w:themeColor="text1"/>
          <w:sz w:val="22"/>
          <w:szCs w:val="22"/>
        </w:rPr>
        <w:t xml:space="preserve"> </w:t>
      </w:r>
      <w:r>
        <w:rPr>
          <w:rFonts w:hint="eastAsia" w:cs="仿宋" w:asciiTheme="minorEastAsia" w:hAnsiTheme="minorEastAsia" w:eastAsiaTheme="minorEastAsia"/>
          <w:color w:val="000000" w:themeColor="text1"/>
          <w:sz w:val="22"/>
          <w:szCs w:val="22"/>
        </w:rPr>
        <w:t xml:space="preserve">“</w:t>
      </w:r>
      <w:r>
        <w:rPr>
          <w:rFonts w:hint="eastAsia" w:cs="仿宋" w:asciiTheme="minorEastAsia" w:hAnsiTheme="minorEastAsia" w:eastAsiaTheme="minorEastAsia"/>
          <w:color w:val="000000" w:themeColor="text1"/>
        </w:rPr>
        <w:t xml:space="preserve">投标分项报价表</w:t>
      </w:r>
      <w:r>
        <w:rPr>
          <w:rFonts w:hint="eastAsia" w:cs="仿宋" w:asciiTheme="minorEastAsia" w:hAnsiTheme="minorEastAsia" w:eastAsiaTheme="minorEastAsia"/>
          <w:color w:val="000000" w:themeColor="text1"/>
          <w:sz w:val="22"/>
          <w:szCs w:val="22"/>
        </w:rPr>
        <w:t xml:space="preserve">”</w:t>
      </w:r>
      <w:r>
        <w:rPr>
          <w:rFonts w:hint="eastAsia" w:cs="仿宋" w:asciiTheme="minorEastAsia" w:hAnsiTheme="minorEastAsia" w:eastAsiaTheme="minorEastAsia"/>
          <w:color w:val="000000" w:themeColor="text1"/>
        </w:rPr>
        <w:t xml:space="preserve">中“投标总报价”数额应当与“开标一览表”中“投标总报价”数额一致。</w:t>
      </w:r>
      <w:r/>
    </w:p>
    <w:p>
      <w:pPr>
        <w:pStyle w:val="869"/>
        <w:ind w:firstLine="280"/>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pStyle w:val="870"/>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right"/>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投标人名称：（加盖CA电子公章）</w:t>
      </w:r>
      <w:r/>
    </w:p>
    <w:p>
      <w:pPr>
        <w:jc w:val="right"/>
        <w:spacing w:line="360" w:lineRule="auto"/>
        <w:rPr>
          <w:rFonts w:cs="仿宋" w:asciiTheme="minorEastAsia" w:hAnsiTheme="minorEastAsia" w:eastAsiaTheme="minorEastAsia"/>
          <w:b/>
          <w:color w:val="000000" w:themeColor="text1"/>
          <w:sz w:val="32"/>
          <w:szCs w:val="32"/>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 w:val="24"/>
        </w:rPr>
        <w:t xml:space="preserve">法定代表人或授权委托人：（签字或盖章）</w:t>
      </w:r>
      <w:bookmarkEnd w:id="53"/>
      <w:r/>
      <w:r/>
    </w:p>
    <w:p>
      <w:pPr>
        <w:jc w:val="center"/>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投 标 函</w:t>
      </w:r>
      <w:r/>
    </w:p>
    <w:p>
      <w:pPr>
        <w:ind w:left="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38"/>
        <w:ind w:left="0"/>
        <w:spacing w:after="0" w:line="360" w:lineRule="auto"/>
        <w:rPr>
          <w:rFonts w:cs="仿宋" w:asciiTheme="minorEastAsia" w:hAnsiTheme="minorEastAsia" w:eastAsiaTheme="minorEastAsia"/>
          <w:bCs/>
          <w:iCs/>
          <w:color w:val="000000" w:themeColor="text1"/>
          <w:sz w:val="24"/>
          <w:szCs w:val="24"/>
        </w:rPr>
      </w:pPr>
      <w:r>
        <w:rPr>
          <w:rFonts w:hint="eastAsia" w:cs="仿宋" w:asciiTheme="minorEastAsia" w:hAnsiTheme="minorEastAsia" w:eastAsiaTheme="minorEastAsia"/>
          <w:bCs/>
          <w:iCs/>
          <w:color w:val="000000" w:themeColor="text1"/>
          <w:sz w:val="24"/>
          <w:szCs w:val="24"/>
        </w:rPr>
        <w:t xml:space="preserve">：</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iCs/>
          <w:color w:val="000000" w:themeColor="text1"/>
          <w:sz w:val="24"/>
          <w:szCs w:val="24"/>
        </w:rPr>
        <w:t xml:space="preserve">我方全面研究了</w:t>
      </w:r>
      <w:r>
        <w:rPr>
          <w:rFonts w:hint="eastAsia" w:cs="仿宋" w:asciiTheme="minorEastAsia" w:hAnsiTheme="minorEastAsia" w:eastAsiaTheme="minorEastAsia"/>
          <w:bCs/>
          <w:color w:val="000000" w:themeColor="text1"/>
          <w:sz w:val="24"/>
          <w:szCs w:val="24"/>
        </w:rPr>
        <w:t xml:space="preserve">项目招标文件，决定参加贵单位组织的本项目投标。</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1、我方自愿按照招标文件规定的各项要求向采购人提供所需货物及服务。</w:t>
      </w:r>
      <w:r/>
    </w:p>
    <w:p>
      <w:pPr>
        <w:pStyle w:val="1038"/>
        <w:ind w:left="0" w:firstLine="600"/>
        <w:spacing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2、一旦我方中标，</w:t>
      </w:r>
      <w:r>
        <w:rPr>
          <w:rFonts w:hint="eastAsia" w:cs="仿宋" w:asciiTheme="minorEastAsia" w:hAnsiTheme="minorEastAsia" w:eastAsiaTheme="minorEastAsia"/>
          <w:color w:val="000000" w:themeColor="text1"/>
          <w:sz w:val="24"/>
          <w:szCs w:val="24"/>
        </w:rPr>
        <w:t xml:space="preserve">我们将严格履行招标文件中规定的每一项要求，按期、按质、按量履行合同的义务。</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3、我们已详细审查全部招标文件，包括更正文件(如有)，对招标文件及更正公告(如有)无任何异议。我们完全理解并同意放弃对这方面有不明及误解的权力。</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4、我们同意按招标文件中的规定，本投标书的有效期限为自投标截止之日起60天。</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5、我们愿意提供招标采购单位在招标文件中要求的所有资料。</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6、我们愿意遵守招标文件中所列的收费标准。</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7、我们承诺该项投标在开标后的全过程中保持有效，不作任何更改和变动。</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8、我方愿意提供贵单位可能另外要求的，与投标有关的文件资料，并保证我方已提供和将要提供的文件资料是真实、准确的。</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投标人名称：        （</w:t>
      </w:r>
      <w:r>
        <w:rPr>
          <w:rFonts w:hint="eastAsia" w:cs="仿宋" w:asciiTheme="minorEastAsia" w:hAnsiTheme="minorEastAsia" w:eastAsiaTheme="minorEastAsia"/>
          <w:color w:val="000000" w:themeColor="text1"/>
          <w:sz w:val="24"/>
          <w:szCs w:val="24"/>
        </w:rPr>
        <w:t xml:space="preserve">加盖CA电子公章</w:t>
      </w:r>
      <w:r>
        <w:rPr>
          <w:rFonts w:hint="eastAsia" w:cs="仿宋" w:asciiTheme="minorEastAsia" w:hAnsiTheme="minorEastAsia" w:eastAsiaTheme="minorEastAsia"/>
          <w:bCs/>
          <w:color w:val="000000" w:themeColor="text1"/>
          <w:sz w:val="24"/>
          <w:szCs w:val="24"/>
        </w:rPr>
        <w:t xml:space="preserve">）</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法定代表人或</w:t>
      </w:r>
      <w:r>
        <w:rPr>
          <w:rFonts w:hint="eastAsia" w:cs="仿宋" w:asciiTheme="minorEastAsia" w:hAnsiTheme="minorEastAsia" w:eastAsiaTheme="minorEastAsia"/>
          <w:color w:val="000000" w:themeColor="text1"/>
          <w:szCs w:val="24"/>
        </w:rPr>
        <w:t xml:space="preserve">委托</w:t>
      </w:r>
      <w:r>
        <w:rPr>
          <w:rFonts w:hint="eastAsia" w:cs="仿宋" w:asciiTheme="minorEastAsia" w:hAnsiTheme="minorEastAsia" w:eastAsiaTheme="minorEastAsia"/>
          <w:bCs/>
          <w:color w:val="000000" w:themeColor="text1"/>
          <w:sz w:val="24"/>
          <w:szCs w:val="24"/>
        </w:rPr>
        <w:t xml:space="preserve">代理人（签字或盖章）：</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地址：</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邮政编码：</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联系电话：</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日    期：</w:t>
      </w:r>
      <w:r/>
    </w:p>
    <w:p>
      <w:pPr>
        <w:jc w:val="center"/>
        <w:rPr>
          <w:rFonts w:cs="仿宋" w:asciiTheme="minorEastAsia" w:hAnsiTheme="minorEastAsia" w:eastAsiaTheme="minorEastAsia"/>
          <w:bCs/>
          <w:color w:val="000000" w:themeColor="text1"/>
          <w:sz w:val="24"/>
          <w:szCs w:val="24"/>
        </w:rPr>
        <w:outlineLvl w:val="0"/>
      </w:pPr>
      <w:r>
        <w:rPr>
          <w:rFonts w:hint="eastAsia" w:cs="仿宋" w:asciiTheme="minorEastAsia" w:hAnsiTheme="minorEastAsia" w:eastAsiaTheme="minorEastAsia"/>
          <w:bCs/>
          <w:color w:val="000000" w:themeColor="text1"/>
          <w:sz w:val="24"/>
          <w:szCs w:val="24"/>
        </w:rPr>
        <w:br w:type="page" w:clear="all"/>
      </w:r>
      <w:r/>
    </w:p>
    <w:p>
      <w:pPr>
        <w:jc w:val="center"/>
        <w:rPr>
          <w:rFonts w:cs="仿宋" w:asciiTheme="minorEastAsia" w:hAnsiTheme="minorEastAsia" w:eastAsiaTheme="minorEastAsia"/>
          <w:b/>
          <w:color w:val="000000" w:themeColor="text1"/>
          <w:sz w:val="30"/>
          <w:szCs w:val="30"/>
        </w:rPr>
        <w:outlineLvl w:val="0"/>
      </w:pPr>
      <w:r>
        <w:rPr>
          <w:rFonts w:cs="仿宋" w:asciiTheme="minorEastAsia" w:hAnsiTheme="minorEastAsia" w:eastAsiaTheme="minorEastAsia"/>
          <w:b/>
          <w:color w:val="000000" w:themeColor="text1"/>
          <w:sz w:val="30"/>
          <w:szCs w:val="30"/>
        </w:rPr>
      </w:r>
      <w:r/>
    </w:p>
    <w:p>
      <w:pPr>
        <w:jc w:val="center"/>
        <w:rPr>
          <w:rFonts w:cs="仿宋" w:asciiTheme="minorEastAsia" w:hAnsiTheme="minorEastAsia" w:eastAsiaTheme="minorEastAsia"/>
          <w:b/>
          <w:color w:val="000000" w:themeColor="text1"/>
          <w:sz w:val="30"/>
          <w:szCs w:val="30"/>
        </w:rPr>
        <w:outlineLvl w:val="0"/>
      </w:pPr>
      <w:r>
        <w:rPr>
          <w:rFonts w:hint="eastAsia" w:cs="仿宋" w:asciiTheme="minorEastAsia" w:hAnsiTheme="minorEastAsia" w:eastAsiaTheme="minorEastAsia"/>
          <w:b/>
          <w:color w:val="000000" w:themeColor="text1"/>
          <w:sz w:val="30"/>
          <w:szCs w:val="30"/>
        </w:rPr>
        <w:t xml:space="preserve">关于参加政府采购活动前3年内在经营活动中没有重大违法记录的书面声明</w:t>
      </w:r>
      <w:r/>
    </w:p>
    <w:p>
      <w:pPr>
        <w:jc w:val="center"/>
        <w:rPr>
          <w:rFonts w:cs="仿宋" w:asciiTheme="minorEastAsia" w:hAnsiTheme="minorEastAsia" w:eastAsiaTheme="minorEastAsia"/>
          <w:bCs/>
          <w:color w:val="000000" w:themeColor="text1"/>
          <w:sz w:val="32"/>
        </w:rPr>
      </w:pPr>
      <w:r>
        <w:rPr>
          <w:rFonts w:cs="仿宋" w:asciiTheme="minorEastAsia" w:hAnsiTheme="minorEastAsia" w:eastAsiaTheme="minorEastAsia"/>
          <w:bCs/>
          <w:color w:val="000000" w:themeColor="text1"/>
          <w:sz w:val="32"/>
        </w:rPr>
      </w:r>
      <w:r/>
    </w:p>
    <w:p>
      <w:pPr>
        <w:pStyle w:val="1038"/>
        <w:ind w:left="0"/>
        <w:spacing w:after="0" w:line="360" w:lineRule="auto"/>
        <w:rPr>
          <w:rFonts w:cs="仿宋" w:asciiTheme="minorEastAsia" w:hAnsiTheme="minorEastAsia" w:eastAsiaTheme="minorEastAsia"/>
          <w:bCs/>
          <w:iCs/>
          <w:color w:val="000000" w:themeColor="text1"/>
          <w:sz w:val="24"/>
          <w:szCs w:val="24"/>
          <w:u w:val="single"/>
        </w:rPr>
      </w:pPr>
      <w:r>
        <w:rPr>
          <w:rFonts w:hint="eastAsia" w:cs="仿宋" w:asciiTheme="minorEastAsia" w:hAnsiTheme="minorEastAsia" w:eastAsiaTheme="minorEastAsia"/>
          <w:bCs/>
          <w:iCs/>
          <w:color w:val="000000" w:themeColor="text1"/>
          <w:sz w:val="24"/>
          <w:szCs w:val="24"/>
          <w:u w:val="single"/>
        </w:rPr>
        <w:t xml:space="preserve">                   ：</w:t>
      </w:r>
      <w:r/>
    </w:p>
    <w:p>
      <w:pPr>
        <w:ind w:firstLine="48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color w:val="000000" w:themeColor="text1"/>
          <w:sz w:val="24"/>
          <w:szCs w:val="24"/>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仿宋" w:asciiTheme="minorEastAsia" w:hAnsiTheme="minorEastAsia" w:eastAsiaTheme="minorEastAsia"/>
          <w:color w:val="000000" w:themeColor="text1"/>
          <w:sz w:val="24"/>
          <w:szCs w:val="24"/>
          <w:u w:val="single"/>
        </w:rPr>
        <w:t xml:space="preserve">公司（单位）</w:t>
      </w:r>
      <w:r>
        <w:rPr>
          <w:rFonts w:hint="eastAsia" w:cs="仿宋" w:asciiTheme="minorEastAsia" w:hAnsiTheme="minorEastAsia" w:eastAsiaTheme="minorEastAsia"/>
          <w:color w:val="000000" w:themeColor="text1"/>
          <w:sz w:val="24"/>
          <w:szCs w:val="24"/>
        </w:rPr>
        <w:t xml:space="preserve">愿意承担由此而产生的一切后果。</w:t>
      </w:r>
      <w:r/>
    </w:p>
    <w:p>
      <w:pPr>
        <w:spacing w:line="480" w:lineRule="auto"/>
        <w:rPr>
          <w:rFonts w:cs="仿宋" w:asciiTheme="minorEastAsia" w:hAnsiTheme="minorEastAsia" w:eastAsiaTheme="minorEastAsia"/>
          <w:bCs/>
          <w:color w:val="000000" w:themeColor="text1"/>
          <w:sz w:val="28"/>
          <w:szCs w:val="28"/>
        </w:rPr>
      </w:pPr>
      <w:r>
        <w:rPr>
          <w:rFonts w:cs="仿宋" w:asciiTheme="minorEastAsia" w:hAnsiTheme="minorEastAsia" w:eastAsiaTheme="minorEastAsia"/>
          <w:bCs/>
          <w:color w:val="000000" w:themeColor="text1"/>
          <w:sz w:val="28"/>
          <w:szCs w:val="28"/>
        </w:rPr>
      </w:r>
      <w:r/>
    </w:p>
    <w:p>
      <w:pPr>
        <w:ind w:firstLine="56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投标人（加盖CA电子公章）：</w:t>
      </w:r>
      <w:r/>
    </w:p>
    <w:p>
      <w:pPr>
        <w:ind w:firstLine="48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法定代表人或法定代表人授权代表（签字或盖章）：</w:t>
      </w:r>
      <w:r/>
    </w:p>
    <w:p>
      <w:pPr>
        <w:ind w:firstLine="48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日期：</w:t>
      </w:r>
      <w:r/>
    </w:p>
    <w:p>
      <w:pPr>
        <w:ind w:firstLine="480"/>
        <w:jc w:val="right"/>
        <w:spacing w:line="52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法定代表人授权委托书</w:t>
      </w:r>
      <w:r/>
    </w:p>
    <w:p>
      <w:pPr>
        <w:pStyle w:val="103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30"/>
        <w:rPr>
          <w:rFonts w:cs="仿宋" w:asciiTheme="minorEastAsia" w:hAnsiTheme="minorEastAsia" w:eastAsiaTheme="minorEastAsia"/>
          <w:bCs/>
          <w:iCs/>
          <w:color w:val="000000" w:themeColor="text1"/>
          <w:szCs w:val="24"/>
          <w:u w:val="single"/>
        </w:rPr>
      </w:pPr>
      <w:r>
        <w:rPr>
          <w:rFonts w:cs="仿宋" w:asciiTheme="minorEastAsia" w:hAnsiTheme="minorEastAsia" w:eastAsiaTheme="minorEastAsia"/>
          <w:bCs/>
          <w:iCs/>
          <w:color w:val="000000" w:themeColor="text1"/>
          <w:szCs w:val="24"/>
          <w:u w:val="single"/>
        </w:rPr>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本授权书声明：（投标人名称）授权（被授权人的姓名）为我方就号项目采购活动的合法代理人，以本单位名义全权处理一切与该项目采购有关的事务。</w:t>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本授权书于年月日起生效，特此声明</w:t>
      </w:r>
      <w:r/>
    </w:p>
    <w:p>
      <w:pPr>
        <w:pStyle w:val="867"/>
        <w:ind w:firstLine="360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被授权人身份证号码：</w:t>
      </w:r>
      <w:r>
        <w:rPr>
          <w:rFonts w:hint="eastAsia" w:cs="宋体" w:asciiTheme="minorEastAsia" w:hAnsiTheme="minorEastAsia" w:eastAsiaTheme="minorEastAsia"/>
          <w:color w:val="000000" w:themeColor="text1"/>
          <w:u w:val="single"/>
        </w:rPr>
        <w:t xml:space="preserve">         </w:t>
      </w:r>
      <w:r/>
    </w:p>
    <w:p>
      <w:pPr>
        <w:pStyle w:val="867"/>
        <w:ind w:firstLine="480"/>
        <w:jc w:val="right"/>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被</w:t>
      </w:r>
      <w:r>
        <w:rPr>
          <w:rFonts w:hint="eastAsia" w:cs="仿宋" w:asciiTheme="minorEastAsia" w:hAnsiTheme="minorEastAsia" w:eastAsiaTheme="minorEastAsia"/>
          <w:color w:val="000000" w:themeColor="text1"/>
        </w:rPr>
        <w:t xml:space="preserve">授权人联系电话：（手机）</w:t>
      </w:r>
      <w:r>
        <w:rPr>
          <w:rFonts w:hint="eastAsia" w:cs="宋体" w:asciiTheme="minorEastAsia" w:hAnsiTheme="minorEastAsia" w:eastAsiaTheme="minorEastAsia"/>
          <w:color w:val="000000" w:themeColor="text1"/>
          <w:u w:val="single"/>
        </w:rPr>
        <w:t xml:space="preserve">         </w:t>
      </w:r>
      <w:r/>
    </w:p>
    <w:p>
      <w:pPr>
        <w:pStyle w:val="867"/>
        <w:ind w:firstLine="336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授权单位名称：</w:t>
      </w:r>
      <w:r>
        <w:rPr>
          <w:rFonts w:hint="eastAsia" w:cs="仿宋" w:asciiTheme="minorEastAsia" w:hAnsiTheme="minorEastAsia" w:eastAsiaTheme="minorEastAsia"/>
          <w:color w:val="000000" w:themeColor="text1"/>
          <w:u w:val="single"/>
        </w:rPr>
        <w:t xml:space="preserve">（加盖CA电子公章）</w:t>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w:t>
      </w:r>
      <w:r>
        <w:rPr>
          <w:rFonts w:cs="仿宋"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单位地址：</w:t>
      </w:r>
      <w:r>
        <w:rPr>
          <w:rFonts w:hint="eastAsia" w:cs="宋体" w:asciiTheme="minorEastAsia" w:hAnsiTheme="minorEastAsia" w:eastAsiaTheme="minorEastAsia"/>
          <w:color w:val="000000" w:themeColor="text1"/>
          <w:u w:val="single"/>
        </w:rPr>
        <w:t xml:space="preserve">  </w:t>
      </w:r>
      <w:r>
        <w:rPr>
          <w:rFonts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u w:val="single"/>
        </w:rPr>
        <w:t xml:space="preserve">   </w:t>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日期：</w:t>
      </w:r>
      <w:r>
        <w:rPr>
          <w:rFonts w:hint="eastAsia" w:cs="宋体" w:asciiTheme="minorEastAsia" w:hAnsiTheme="minorEastAsia" w:eastAsiaTheme="minorEastAsia"/>
          <w:color w:val="000000" w:themeColor="text1"/>
          <w:u w:val="single"/>
        </w:rPr>
        <w:t xml:space="preserve">     </w:t>
      </w:r>
      <w:r>
        <w:rPr>
          <w:rFonts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u w:val="single"/>
        </w:rPr>
        <w:t xml:space="preserve">     </w:t>
      </w:r>
      <w:r/>
    </w:p>
    <w:p>
      <w:pPr>
        <w:ind w:firstLine="640"/>
        <w:spacing w:line="360" w:lineRule="auto"/>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r>
      <w:r/>
    </w:p>
    <w:p>
      <w:pPr>
        <w:pStyle w:val="1030"/>
        <w:ind w:firstLine="560"/>
        <w:spacing w:line="360" w:lineRule="auto"/>
        <w:rPr>
          <w:rFonts w:cs="仿宋" w:asciiTheme="minorEastAsia" w:hAnsiTheme="minorEastAsia" w:eastAsiaTheme="minorEastAsia"/>
          <w:color w:val="000000" w:themeColor="text1"/>
          <w:sz w:val="28"/>
          <w:szCs w:val="28"/>
          <w:u w:val="single"/>
        </w:rPr>
      </w:pPr>
      <w:r>
        <w:rPr>
          <w:rFonts w:cs="仿宋" w:asciiTheme="minorEastAsia" w:hAnsiTheme="minorEastAsia" w:eastAsiaTheme="minorEastAsia"/>
          <w:color w:val="000000" w:themeColor="text1"/>
          <w:sz w:val="28"/>
          <w:szCs w:val="28"/>
          <w:u w:val="single"/>
        </w:rPr>
      </w:r>
      <w:r/>
    </w:p>
    <w:p>
      <w:pPr>
        <w:jc w:val="center"/>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28"/>
          <w:u w:val="single"/>
        </w:rPr>
        <w:br w:type="page" w:clear="all"/>
      </w:r>
      <w:bookmarkEnd w:id="46"/>
      <w:r/>
      <w:bookmarkEnd w:id="47"/>
      <w:r/>
      <w:bookmarkEnd w:id="48"/>
      <w:r/>
      <w:bookmarkEnd w:id="49"/>
      <w:r/>
      <w:bookmarkEnd w:id="50"/>
      <w:r/>
      <w:bookmarkEnd w:id="51"/>
      <w:r/>
      <w:bookmarkEnd w:id="52"/>
      <w:r>
        <w:rPr>
          <w:rFonts w:hint="eastAsia" w:cs="仿宋" w:asciiTheme="minorEastAsia" w:hAnsiTheme="minorEastAsia" w:eastAsiaTheme="minorEastAsia"/>
          <w:b/>
          <w:color w:val="000000" w:themeColor="text1"/>
          <w:spacing w:val="20"/>
          <w:sz w:val="32"/>
          <w:szCs w:val="32"/>
        </w:rPr>
        <w:t xml:space="preserve">承诺书</w:t>
      </w:r>
      <w:r/>
    </w:p>
    <w:p>
      <w:pPr>
        <w:spacing w:line="4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（招标人名称）：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我单位郑重承诺以下事项：</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1.本公司（单位）对本项目（    ）所提供的服务不低于采购文件要求的标准；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2.本公司（单位）具备履行合同所必需的专业技术能力；</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3.本公司未被“信用中国”网站（www.creditchina.gov.cn）列入失信执行人、重大税收违法案件当事人名单、政府采购严重违法失信行为记录名单。</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4、我单位承诺响应招标文件所有内容；</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5、我单位提供的货物及服务不低于招标文件要求的标准；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7.如违背上述承诺，本公司（单位）将承担一切法律责任。  </w:t>
      </w:r>
      <w:r/>
    </w:p>
    <w:p>
      <w:pP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spacing w:line="4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40"/>
        <w:jc w:val="right"/>
        <w:spacing w:line="400" w:lineRule="exact"/>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投标人：（</w:t>
      </w:r>
      <w:r>
        <w:rPr>
          <w:rFonts w:hint="eastAsia" w:cs="仿宋" w:asciiTheme="minorEastAsia" w:hAnsiTheme="minorEastAsia" w:eastAsiaTheme="minorEastAsia"/>
          <w:color w:val="000000" w:themeColor="text1"/>
          <w:sz w:val="24"/>
          <w:szCs w:val="24"/>
        </w:rPr>
        <w:t xml:space="preserve">加盖CA电子公章</w:t>
      </w:r>
      <w:r>
        <w:rPr>
          <w:rFonts w:hint="eastAsia" w:cs="仿宋" w:asciiTheme="minorEastAsia" w:hAnsiTheme="minorEastAsia" w:eastAsiaTheme="minorEastAsia"/>
          <w:color w:val="000000" w:themeColor="text1"/>
        </w:rPr>
        <w:t xml:space="preserve">）</w:t>
      </w:r>
      <w:r/>
    </w:p>
    <w:p>
      <w:pPr>
        <w:spacing w:line="400" w:lineRule="exact"/>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keepLines/>
        <w:keepNext/>
        <w:spacing w:before="120" w:after="120"/>
        <w:rPr>
          <w:rFonts w:cs="仿宋" w:asciiTheme="minorEastAsia" w:hAnsiTheme="minorEastAsia" w:eastAsiaTheme="minorEastAsia"/>
          <w:color w:val="000000" w:themeColor="text1"/>
          <w:szCs w:val="21"/>
        </w:rPr>
        <w:outlineLvl w:val="0"/>
      </w:pPr>
      <w:r/>
      <w:bookmarkStart w:id="54" w:name="_Toc22881_WPSOffice_Level1"/>
      <w:r/>
      <w:bookmarkStart w:id="55" w:name="_Toc1623_WPSOffice_Level1"/>
      <w:r/>
      <w:bookmarkStart w:id="56" w:name="_Toc22143_WPSOffice_Level1"/>
      <w:r/>
      <w:bookmarkStart w:id="57" w:name="_Toc32173"/>
      <w:r>
        <w:rPr>
          <w:rFonts w:hint="eastAsia" w:cs="仿宋" w:asciiTheme="minorEastAsia" w:hAnsiTheme="minorEastAsia" w:eastAsiaTheme="minorEastAsia"/>
          <w:color w:val="000000" w:themeColor="text1"/>
          <w:szCs w:val="21"/>
        </w:rPr>
        <w:t xml:space="preserve"> </w:t>
      </w:r>
      <w:r>
        <w:rPr>
          <w:rFonts w:cs="仿宋" w:asciiTheme="minorEastAsia" w:hAnsiTheme="minorEastAsia" w:eastAsiaTheme="minorEastAsia"/>
          <w:color w:val="000000" w:themeColor="text1"/>
          <w:szCs w:val="21"/>
        </w:rPr>
        <w:t xml:space="preserve">                                           </w:t>
      </w:r>
      <w:r>
        <w:rPr>
          <w:rFonts w:cs="仿宋" w:asciiTheme="minorEastAsia" w:hAnsiTheme="minorEastAsia" w:eastAsiaTheme="minorEastAsia"/>
          <w:color w:val="000000" w:themeColor="text1"/>
          <w:szCs w:val="21"/>
          <w:u w:val="single"/>
        </w:rPr>
        <w:t xml:space="preserve">        </w:t>
      </w:r>
      <w:r>
        <w:rPr>
          <w:rFonts w:hint="eastAsia" w:cs="仿宋" w:asciiTheme="minorEastAsia" w:hAnsiTheme="minorEastAsia" w:eastAsiaTheme="minorEastAsia"/>
          <w:color w:val="000000" w:themeColor="text1"/>
          <w:szCs w:val="21"/>
        </w:rPr>
        <w:t xml:space="preserve">年</w:t>
      </w:r>
      <w:r>
        <w:rPr>
          <w:rFonts w:hint="eastAsia" w:cs="仿宋" w:asciiTheme="minorEastAsia" w:hAnsiTheme="minorEastAsia" w:eastAsiaTheme="minorEastAsia"/>
          <w:color w:val="000000" w:themeColor="text1"/>
          <w:szCs w:val="21"/>
          <w:u w:val="single"/>
        </w:rPr>
        <w:t xml:space="preserve"> </w:t>
      </w:r>
      <w:r>
        <w:rPr>
          <w:rFonts w:cs="仿宋" w:asciiTheme="minorEastAsia" w:hAnsiTheme="minorEastAsia" w:eastAsiaTheme="minorEastAsia"/>
          <w:color w:val="000000" w:themeColor="text1"/>
          <w:szCs w:val="21"/>
          <w:u w:val="single"/>
        </w:rPr>
        <w:t xml:space="preserve"> </w:t>
      </w:r>
      <w:r>
        <w:rPr>
          <w:rFonts w:hint="eastAsia" w:cs="仿宋" w:asciiTheme="minorEastAsia" w:hAnsiTheme="minorEastAsia" w:eastAsiaTheme="minorEastAsia"/>
          <w:color w:val="000000" w:themeColor="text1"/>
          <w:szCs w:val="21"/>
        </w:rPr>
        <w:t xml:space="preserve">月</w:t>
      </w:r>
      <w:r>
        <w:rPr>
          <w:rFonts w:hint="eastAsia" w:cs="仿宋" w:asciiTheme="minorEastAsia" w:hAnsiTheme="minorEastAsia" w:eastAsiaTheme="minorEastAsia"/>
          <w:color w:val="000000" w:themeColor="text1"/>
          <w:szCs w:val="21"/>
          <w:u w:val="single"/>
        </w:rPr>
        <w:t xml:space="preserve"> </w:t>
      </w:r>
      <w:r>
        <w:rPr>
          <w:rFonts w:cs="仿宋" w:asciiTheme="minorEastAsia" w:hAnsiTheme="minorEastAsia" w:eastAsiaTheme="minorEastAsia"/>
          <w:color w:val="000000" w:themeColor="text1"/>
          <w:szCs w:val="21"/>
          <w:u w:val="single"/>
        </w:rPr>
        <w:t xml:space="preserve"> </w:t>
      </w:r>
      <w:r>
        <w:rPr>
          <w:rFonts w:hint="eastAsia" w:cs="仿宋" w:asciiTheme="minorEastAsia" w:hAnsiTheme="minorEastAsia" w:eastAsiaTheme="minorEastAsia"/>
          <w:color w:val="000000" w:themeColor="text1"/>
          <w:szCs w:val="21"/>
        </w:rPr>
        <w:t xml:space="preserve">日</w:t>
      </w:r>
      <w:r/>
    </w:p>
    <w:p>
      <w:pPr>
        <w:pStyle w:val="841"/>
        <w:rPr>
          <w:rFonts w:eastAsiaTheme="minorEastAsia"/>
        </w:rPr>
      </w:pPr>
      <w:r>
        <w:rPr>
          <w:rFonts w:eastAsiaTheme="minorEastAsia"/>
        </w:rPr>
      </w:r>
      <w:r/>
    </w:p>
    <w:p>
      <w:pPr>
        <w:pStyle w:val="841"/>
        <w:rPr>
          <w:rFonts w:eastAsiaTheme="minorEastAsia"/>
        </w:rPr>
      </w:pPr>
      <w:r>
        <w:rPr>
          <w:rFonts w:eastAsiaTheme="minorEastAsia"/>
        </w:rPr>
      </w:r>
      <w:r/>
    </w:p>
    <w:p>
      <w:pPr>
        <w:rPr>
          <w:rFonts w:eastAsiaTheme="minorEastAsia"/>
        </w:rPr>
      </w:pPr>
      <w:r>
        <w:rPr>
          <w:rFonts w:eastAsiaTheme="minorEastAsia"/>
        </w:rPr>
      </w:r>
      <w:r/>
    </w:p>
    <w:p>
      <w:pPr>
        <w:pStyle w:val="841"/>
        <w:rPr>
          <w:rFonts w:eastAsiaTheme="minorEastAsia"/>
        </w:rPr>
      </w:pPr>
      <w:r>
        <w:rPr>
          <w:rFonts w:eastAsiaTheme="minorEastAsia"/>
        </w:rPr>
      </w:r>
      <w:r/>
    </w:p>
    <w:p>
      <w:pPr>
        <w:rPr>
          <w:rFonts w:eastAsiaTheme="minorEastAsia"/>
        </w:rPr>
      </w:pPr>
      <w:r>
        <w:rPr>
          <w:rFonts w:eastAsiaTheme="minorEastAsia"/>
        </w:rPr>
      </w:r>
      <w:r/>
    </w:p>
    <w:p>
      <w:pPr>
        <w:pStyle w:val="841"/>
        <w:rPr>
          <w:rFonts w:eastAsiaTheme="minorEastAsia"/>
        </w:rPr>
      </w:pPr>
      <w:r>
        <w:rPr>
          <w:rFonts w:eastAsiaTheme="minorEastAsia"/>
        </w:rPr>
      </w:r>
      <w:r/>
    </w:p>
    <w:p>
      <w:pPr>
        <w:rPr>
          <w:rFonts w:eastAsiaTheme="minorEastAsia"/>
        </w:rPr>
      </w:pPr>
      <w:r>
        <w:rPr>
          <w:rFonts w:eastAsiaTheme="minorEastAsia"/>
        </w:rPr>
      </w:r>
      <w:r/>
    </w:p>
    <w:p>
      <w:pPr>
        <w:jc w:val="center"/>
        <w:keepLines/>
        <w:keepNext/>
        <w:spacing w:before="120" w:after="120"/>
        <w:rPr>
          <w:rFonts w:cs="仿宋" w:asciiTheme="minorEastAsia" w:hAnsiTheme="minorEastAsia" w:eastAsiaTheme="minorEastAsia"/>
          <w:b/>
          <w:bCs/>
          <w:color w:val="000000" w:themeColor="text1"/>
          <w:sz w:val="30"/>
          <w:szCs w:val="30"/>
        </w:rPr>
        <w:outlineLvl w:val="0"/>
      </w:pPr>
      <w:r>
        <w:rPr>
          <w:rFonts w:hint="eastAsia" w:cs="仿宋" w:asciiTheme="minorEastAsia" w:hAnsiTheme="minorEastAsia" w:eastAsiaTheme="minorEastAsia"/>
          <w:b/>
          <w:bCs/>
          <w:color w:val="000000" w:themeColor="text1"/>
          <w:sz w:val="30"/>
          <w:szCs w:val="30"/>
        </w:rPr>
        <w:t xml:space="preserve">商务偏离表</w:t>
      </w:r>
      <w:bookmarkEnd w:id="54"/>
      <w:r/>
      <w:bookmarkEnd w:id="55"/>
      <w:r/>
      <w:bookmarkEnd w:id="56"/>
      <w:r/>
      <w:bookmarkEnd w:id="57"/>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招标文件的商务条款</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有无偏离</w:t>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偏离内容及原因</w:t>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服务期限</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服务地点</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支付方式</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bl>
    <w:p>
      <w:pPr>
        <w:ind w:firstLine="482"/>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r>
      <w:r/>
    </w:p>
    <w:p>
      <w:pPr>
        <w:ind w:firstLine="482"/>
        <w:spacing w:line="500" w:lineRule="exact"/>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注：若无偏离，在“有无偏离”栏中填写“无”；若有偏离在“有无偏离”栏中填写“有” 并在“偏离内容及原因”栏中作出说明。</w:t>
      </w:r>
      <w:r/>
    </w:p>
    <w:p>
      <w:pPr>
        <w:pStyle w:val="1037"/>
        <w:spacing w:before="0" w:beforeAutospacing="0" w:after="0" w:afterAutospacing="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37"/>
        <w:spacing w:before="0" w:beforeAutospacing="0" w:after="0" w:afterAutospacing="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投标人（加盖CA电子公章）：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法定代表人或法定代表人授权代表（签字或盖章）：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日期：</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pStyle w:val="841"/>
        <w:rPr>
          <w:rFonts w:eastAsiaTheme="minorEastAsia"/>
        </w:rPr>
      </w:pPr>
      <w:r>
        <w:rPr>
          <w:rFonts w:eastAsiaTheme="minorEastAsia"/>
        </w:rPr>
      </w:r>
      <w:r/>
    </w:p>
    <w:p>
      <w:pPr>
        <w:jc w:val="center"/>
        <w:spacing w:line="520" w:lineRule="exact"/>
        <w:tabs>
          <w:tab w:val="left" w:pos="2340" w:leader="none"/>
          <w:tab w:val="left" w:pos="2520" w:leader="none"/>
          <w:tab w:val="left" w:pos="2700" w:leader="none"/>
          <w:tab w:val="left" w:pos="3060" w:leader="none"/>
        </w:tabs>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技术偏离表</w:t>
      </w:r>
      <w:r/>
    </w:p>
    <w:p>
      <w:pPr>
        <w:pStyle w:val="1031"/>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tbl>
      <w:tblPr>
        <w:tblW w:w="0" w:type="auto"/>
        <w:tblInd w:w="-4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260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采购要求</w:t>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投标响应</w:t>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有无偏离</w:t>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偏离内容及原因</w:t>
            </w:r>
            <w:r/>
          </w:p>
        </w:tc>
      </w:tr>
      <w:tr>
        <w:trPr>
          <w:trHeight w:val="458"/>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5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bl>
    <w:p>
      <w:pPr>
        <w:ind w:firstLine="482"/>
        <w:spacing w:line="5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注：若无偏离，在“有无偏离”栏中填写“无”；若有偏离在“有无偏离”栏中填写“有” 并在“偏离内容及原因”栏中作出说明。</w:t>
      </w:r>
      <w:r/>
    </w:p>
    <w:p>
      <w:pPr>
        <w:spacing w:line="480" w:lineRule="exact"/>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ind w:firstLine="602"/>
        <w:spacing w:line="520" w:lineRule="exact"/>
        <w:rPr>
          <w:rFonts w:cs="仿宋" w:asciiTheme="minorEastAsia" w:hAnsiTheme="minorEastAsia" w:eastAsiaTheme="minorEastAsia"/>
          <w:b/>
          <w:color w:val="000000" w:themeColor="text1"/>
          <w:spacing w:val="20"/>
          <w:szCs w:val="21"/>
        </w:rPr>
      </w:pPr>
      <w:r>
        <w:rPr>
          <w:rFonts w:cs="仿宋" w:asciiTheme="minorEastAsia" w:hAnsiTheme="minorEastAsia" w:eastAsiaTheme="minorEastAsia"/>
          <w:b/>
          <w:color w:val="000000" w:themeColor="text1"/>
          <w:spacing w:val="20"/>
          <w:szCs w:val="21"/>
        </w:rPr>
      </w:r>
      <w:r/>
    </w:p>
    <w:p>
      <w:pPr>
        <w:spacing w:line="360" w:lineRule="auto"/>
        <w:rPr>
          <w:rFonts w:cs="仿宋" w:asciiTheme="minorEastAsia" w:hAnsiTheme="minorEastAsia" w:eastAsiaTheme="minorEastAsia"/>
          <w:b/>
          <w:color w:val="000000" w:themeColor="text1"/>
          <w:spacing w:val="-4"/>
          <w:sz w:val="24"/>
          <w:szCs w:val="24"/>
        </w:rPr>
      </w:pPr>
      <w:r>
        <w:rPr>
          <w:rFonts w:cs="仿宋" w:asciiTheme="minorEastAsia" w:hAnsiTheme="minorEastAsia" w:eastAsiaTheme="minorEastAsia"/>
          <w:b/>
          <w:color w:val="000000" w:themeColor="text1"/>
          <w:spacing w:val="-4"/>
          <w:sz w:val="24"/>
          <w:szCs w:val="24"/>
        </w:rPr>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投标人（加盖CA电子公章）：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法定代表人或法定代表人授权代表（签字或盖章）：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日期：</w:t>
      </w:r>
      <w:r/>
    </w:p>
    <w:p>
      <w:pPr>
        <w:jc w:val="center"/>
        <w:spacing w:line="520" w:lineRule="exact"/>
        <w:rPr>
          <w:rFonts w:cs="仿宋" w:asciiTheme="minorEastAsia" w:hAnsiTheme="minorEastAsia" w:eastAsiaTheme="minorEastAsia"/>
          <w:b/>
          <w:color w:val="000000" w:themeColor="text1"/>
          <w:spacing w:val="-4"/>
          <w:sz w:val="24"/>
          <w:szCs w:val="24"/>
        </w:rPr>
      </w:pPr>
      <w:r>
        <w:rPr>
          <w:rFonts w:cs="仿宋" w:asciiTheme="minorEastAsia" w:hAnsiTheme="minorEastAsia" w:eastAsiaTheme="minorEastAsia"/>
          <w:b/>
          <w:color w:val="000000" w:themeColor="text1"/>
          <w:spacing w:val="-4"/>
          <w:sz w:val="24"/>
          <w:szCs w:val="24"/>
        </w:rPr>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500" w:lineRule="exact"/>
        <w:rPr>
          <w:rFonts w:cs="仿宋" w:asciiTheme="minorEastAsia" w:hAnsiTheme="minorEastAsia" w:eastAsiaTheme="minorEastAsia"/>
          <w:color w:val="000000" w:themeColor="text1"/>
          <w:szCs w:val="21"/>
          <w:u w:val="single"/>
        </w:rPr>
      </w:pPr>
      <w:r>
        <w:rPr>
          <w:rFonts w:cs="仿宋" w:asciiTheme="minorEastAsia" w:hAnsiTheme="minorEastAsia" w:eastAsiaTheme="minorEastAsia"/>
          <w:color w:val="000000" w:themeColor="text1"/>
          <w:szCs w:val="21"/>
          <w:u w:val="single"/>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1"/>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1"/>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具备履行合同所必需的设备和专业技术能力的声明</w:t>
      </w:r>
      <w:r/>
    </w:p>
    <w:p>
      <w:pPr>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u w:val="single"/>
        </w:rPr>
        <w:t xml:space="preserve">               （采购单位名称）：</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主要设备有：                          。( 若有 )</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主要专业技术能力有：                  。( 若有 )</w:t>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2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声明人：（加盖CA电子公章）</w:t>
      </w:r>
      <w:r/>
    </w:p>
    <w:p>
      <w:pPr>
        <w:ind w:firstLine="48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日期：______年月日</w:t>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line="500" w:lineRule="exact"/>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 w:val="24"/>
          <w:szCs w:val="24"/>
        </w:rPr>
        <w:t xml:space="preserve">其他证明材料及文件：（如果投标人认为需要提供的话）</w:t>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中小企业声明函</w:t>
      </w:r>
      <w:r/>
    </w:p>
    <w:p>
      <w:pPr>
        <w:spacing w:line="5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本公司（联合体）郑重声明，根据《政府采购促进中小企业发展管理办法》（财库﹝2020﹞46 号）的规定，本公司（联合体）参加</w:t>
      </w:r>
      <w:r>
        <w:rPr>
          <w:rFonts w:hint="eastAsia" w:cs="仿宋" w:asciiTheme="minorEastAsia" w:hAnsiTheme="minorEastAsia" w:eastAsiaTheme="minorEastAsia"/>
          <w:color w:val="000000" w:themeColor="text1"/>
          <w:u w:val="single"/>
        </w:rPr>
        <w:t xml:space="preserve">（采购单位名称）</w:t>
      </w:r>
      <w:r>
        <w:rPr>
          <w:rFonts w:hint="eastAsia" w:cs="仿宋" w:asciiTheme="minorEastAsia" w:hAnsiTheme="minorEastAsia" w:eastAsiaTheme="minorEastAsia"/>
          <w:color w:val="000000" w:themeColor="text1"/>
        </w:rPr>
        <w:t xml:space="preserve">的</w:t>
      </w:r>
      <w:r>
        <w:rPr>
          <w:rFonts w:hint="eastAsia" w:cs="仿宋" w:asciiTheme="minorEastAsia" w:hAnsiTheme="minorEastAsia" w:eastAsiaTheme="minorEastAsia"/>
          <w:color w:val="000000" w:themeColor="text1"/>
          <w:u w:val="single"/>
        </w:rPr>
        <w:t xml:space="preserve">（项目名称）</w:t>
      </w:r>
      <w:r>
        <w:rPr>
          <w:rFonts w:hint="eastAsia" w:cs="仿宋" w:asciiTheme="minorEastAsia" w:hAnsiTheme="minorEastAsia" w:eastAsiaTheme="minorEastAsia"/>
          <w:color w:val="000000" w:themeColor="text1"/>
        </w:rPr>
        <w:t xml:space="preserve">采购活动，提供的货物全部由符合政策要求的中小企业制造。相关企业（含联合体中的中小企业、签订分包意向协议的中小企业） 的具体情况如下：</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 </w:t>
      </w:r>
      <w:r>
        <w:rPr>
          <w:rFonts w:hint="eastAsia" w:cs="仿宋" w:asciiTheme="minorEastAsia" w:hAnsiTheme="minorEastAsia" w:eastAsiaTheme="minorEastAsia"/>
          <w:color w:val="000000" w:themeColor="text1"/>
          <w:u w:val="single"/>
        </w:rPr>
        <w:t xml:space="preserve">（标的名称）</w:t>
      </w: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，属于</w:t>
      </w:r>
      <w:r>
        <w:rPr>
          <w:rFonts w:hint="eastAsia" w:cs="仿宋" w:asciiTheme="minorEastAsia" w:hAnsiTheme="minorEastAsia" w:eastAsiaTheme="minorEastAsia"/>
          <w:b/>
          <w:color w:val="000000" w:themeColor="text1"/>
          <w:u w:val="single"/>
        </w:rPr>
        <w:t xml:space="preserve">（工业）（不得对行业类别修改</w:t>
      </w:r>
      <w:r>
        <w:rPr>
          <w:rFonts w:hint="eastAsia" w:cs="仿宋" w:asciiTheme="minorEastAsia" w:hAnsiTheme="minorEastAsia" w:eastAsiaTheme="minorEastAsia"/>
          <w:color w:val="000000" w:themeColor="text1"/>
          <w:u w:val="single"/>
        </w:rPr>
        <w:t xml:space="preserve">）</w:t>
      </w:r>
      <w:r>
        <w:rPr>
          <w:rFonts w:hint="eastAsia" w:cs="仿宋" w:asciiTheme="minorEastAsia" w:hAnsiTheme="minorEastAsia" w:eastAsiaTheme="minorEastAsia"/>
          <w:color w:val="000000" w:themeColor="text1"/>
        </w:rPr>
        <w:t xml:space="preserve">行业；制造商为（企业名称），从业人员</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人，营业收入为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万元，资产总额为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万元，属于（</w:t>
      </w:r>
      <w:r>
        <w:rPr>
          <w:rFonts w:hint="eastAsia" w:cs="仿宋" w:asciiTheme="minorEastAsia" w:hAnsiTheme="minorEastAsia" w:eastAsiaTheme="minorEastAsia"/>
          <w:color w:val="000000" w:themeColor="text1"/>
          <w:u w:val="single"/>
        </w:rPr>
        <w:t xml:space="preserve">中型企业、小型企业、微型企业</w:t>
      </w:r>
      <w:r>
        <w:rPr>
          <w:rFonts w:hint="eastAsia" w:cs="仿宋" w:asciiTheme="minorEastAsia" w:hAnsiTheme="minorEastAsia" w:eastAsiaTheme="minorEastAsia"/>
          <w:color w:val="000000" w:themeColor="text1"/>
        </w:rPr>
        <w:t xml:space="preserve">）；</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 （标的名称） ，属于</w:t>
      </w:r>
      <w:r>
        <w:rPr>
          <w:rFonts w:hint="eastAsia" w:cs="仿宋" w:asciiTheme="minorEastAsia" w:hAnsiTheme="minorEastAsia" w:eastAsiaTheme="minorEastAsia"/>
          <w:b/>
          <w:color w:val="000000" w:themeColor="text1"/>
          <w:u w:val="single"/>
        </w:rPr>
        <w:t xml:space="preserve">（工业）（不得对行业类别修改）</w:t>
      </w:r>
      <w:r>
        <w:rPr>
          <w:rFonts w:hint="eastAsia" w:cs="仿宋" w:asciiTheme="minorEastAsia" w:hAnsiTheme="minorEastAsia" w:eastAsiaTheme="minorEastAsia"/>
          <w:color w:val="000000" w:themeColor="text1"/>
        </w:rPr>
        <w:t xml:space="preserve">行业；制造商为（企业名称），从业人员</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人，营业收入为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万元，资产总额为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万元，属于（</w:t>
      </w:r>
      <w:r>
        <w:rPr>
          <w:rFonts w:hint="eastAsia" w:cs="仿宋" w:asciiTheme="minorEastAsia" w:hAnsiTheme="minorEastAsia" w:eastAsiaTheme="minorEastAsia"/>
          <w:color w:val="000000" w:themeColor="text1"/>
          <w:u w:val="single"/>
        </w:rPr>
        <w:t xml:space="preserve">中型企业、小型企业、微型企业</w:t>
      </w:r>
      <w:r>
        <w:rPr>
          <w:rFonts w:hint="eastAsia" w:cs="仿宋" w:asciiTheme="minorEastAsia" w:hAnsiTheme="minorEastAsia" w:eastAsiaTheme="minorEastAsia"/>
          <w:color w:val="000000" w:themeColor="text1"/>
        </w:rPr>
        <w:t xml:space="preserve">）；</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以上企业，不属于大企业的分支机构，不存在控股股东为大企业的情形，也不存在与大企业的负责人为同一人的情形。</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本企业对上述声明内容的真实性负责。如有虚假，将依法承担相应责任</w:t>
      </w:r>
      <w:r/>
    </w:p>
    <w:p>
      <w:pPr>
        <w:pStyle w:val="867"/>
        <w:ind w:right="72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867"/>
        <w:ind w:right="180" w:firstLine="360"/>
        <w:jc w:val="right"/>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企业名称（加盖CA电子公章）：</w:t>
      </w:r>
      <w:r/>
    </w:p>
    <w:p>
      <w:pPr>
        <w:pStyle w:val="867"/>
        <w:ind w:right="480" w:firstLine="540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日期：</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6"/>
          <w:szCs w:val="36"/>
        </w:rPr>
        <w:t xml:space="preserve"> </w:t>
      </w:r>
      <w:r/>
    </w:p>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备注：从业人员、营业收入、资产总额填报上一年度数据，无上一年度数据的新成立企业可不填报。供应商如不提供此声明函，价格将不做相应扣除。</w:t>
      </w:r>
      <w:r/>
    </w:p>
    <w:p>
      <w:pPr>
        <w:pStyle w:val="1029"/>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br w:type="page" w:clear="all"/>
      </w:r>
      <w:r/>
    </w:p>
    <w:p>
      <w:pPr>
        <w:ind w:firstLine="643"/>
        <w:jc w:val="center"/>
        <w:spacing w:line="46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ind w:firstLine="643"/>
        <w:jc w:val="center"/>
        <w:spacing w:line="460" w:lineRule="exact"/>
        <w:rPr>
          <w:rFonts w:cs="仿宋" w:asciiTheme="minorEastAsia" w:hAnsiTheme="minorEastAsia" w:eastAsiaTheme="minorEastAsia"/>
          <w:color w:val="000000" w:themeColor="text1"/>
          <w:spacing w:val="6"/>
          <w:sz w:val="32"/>
          <w:szCs w:val="32"/>
        </w:rPr>
      </w:pPr>
      <w:r>
        <w:rPr>
          <w:rFonts w:hint="eastAsia" w:cs="仿宋" w:asciiTheme="minorEastAsia" w:hAnsiTheme="minorEastAsia" w:eastAsiaTheme="minorEastAsia"/>
          <w:b/>
          <w:color w:val="000000" w:themeColor="text1"/>
          <w:sz w:val="32"/>
          <w:szCs w:val="32"/>
        </w:rPr>
        <w:t xml:space="preserve">残疾人福利性单位声明函</w:t>
      </w:r>
      <w:r/>
    </w:p>
    <w:p>
      <w:pPr>
        <w:ind w:firstLine="480"/>
        <w:spacing w:line="588" w:lineRule="exact"/>
        <w:rPr>
          <w:rFonts w:cs="仿宋" w:asciiTheme="minorEastAsia" w:hAnsiTheme="minorEastAsia" w:eastAsiaTheme="minorEastAsia"/>
          <w:color w:val="000000" w:themeColor="text1"/>
          <w:sz w:val="21"/>
          <w:szCs w:val="16"/>
        </w:rPr>
      </w:pPr>
      <w:r>
        <w:rPr>
          <w:rFonts w:cs="仿宋" w:asciiTheme="minorEastAsia" w:hAnsiTheme="minorEastAsia" w:eastAsiaTheme="minorEastAsia"/>
          <w:color w:val="000000" w:themeColor="text1"/>
          <w:sz w:val="21"/>
          <w:szCs w:val="16"/>
        </w:rPr>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项目采购活动提供本单位制造的货物，或者提供其他残疾人福利性单位制造的货物（不包括使用非残疾人福利性单位注册商标的货物）。</w:t>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本单位对上述声明的真实性负责。如有虚假，将依法承担相应责任。</w:t>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（备注：1、供应商如不提供此声明函，价格将不做相应扣除。2、中标供应商为残疾人福利单位的，此声明函将随中标结果同时公告，接受社会监督）</w:t>
      </w:r>
      <w:r/>
    </w:p>
    <w:p>
      <w:pPr>
        <w:pStyle w:val="867"/>
        <w:ind w:firstLine="624"/>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rPr>
        <w:t xml:space="preserve"> </w:t>
      </w:r>
      <w:r/>
    </w:p>
    <w:p>
      <w:pPr>
        <w:pStyle w:val="867"/>
        <w:ind w:right="1560" w:firstLine="624"/>
        <w:jc w:val="center"/>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rPr>
        <w:t xml:space="preserve">             </w:t>
      </w: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供应商全称（加盖CA电子公章）：</w:t>
      </w:r>
      <w:r/>
    </w:p>
    <w:p>
      <w:pPr>
        <w:pStyle w:val="867"/>
        <w:ind w:right="1560" w:firstLine="480"/>
        <w:jc w:val="center"/>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日期：</w:t>
      </w:r>
      <w:r/>
    </w:p>
    <w:p>
      <w:pPr>
        <w:ind w:right="1560" w:firstLine="480"/>
        <w:jc w:val="center"/>
        <w:spacing w:line="588" w:lineRule="exact"/>
        <w:tabs>
          <w:tab w:val="left" w:pos="4860" w:leader="none"/>
        </w:tabs>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500" w:lineRule="exact"/>
        <w:rPr>
          <w:rFonts w:cs="仿宋" w:asciiTheme="minorEastAsia" w:hAnsiTheme="minorEastAsia" w:eastAsiaTheme="minorEastAsia"/>
          <w:bCs/>
          <w:color w:val="000000" w:themeColor="text1"/>
          <w:sz w:val="24"/>
        </w:rPr>
        <w:outlineLvl w:val="0"/>
      </w:pPr>
      <w:r>
        <w:rPr>
          <w:rFonts w:cs="仿宋" w:asciiTheme="minorEastAsia" w:hAnsiTheme="minorEastAsia" w:eastAsiaTheme="minorEastAsia"/>
          <w:bCs/>
          <w:color w:val="000000" w:themeColor="text1"/>
          <w:sz w:val="24"/>
        </w:rPr>
      </w:r>
      <w:r/>
    </w:p>
    <w:p>
      <w:pPr>
        <w:ind w:firstLine="420"/>
        <w:rPr>
          <w:rFonts w:cs="仿宋" w:asciiTheme="minorEastAsia" w:hAnsiTheme="minorEastAsia" w:eastAsiaTheme="minorEastAsia"/>
          <w:bCs/>
          <w:color w:val="000000" w:themeColor="text1"/>
          <w:sz w:val="24"/>
          <w:szCs w:val="24"/>
        </w:rPr>
        <w:outlineLvl w:val="0"/>
      </w:pPr>
      <w:r>
        <w:rPr>
          <w:rFonts w:cs="仿宋" w:asciiTheme="minorEastAsia" w:hAnsiTheme="minorEastAsia" w:eastAsiaTheme="minorEastAsia"/>
          <w:bCs/>
          <w:color w:val="000000" w:themeColor="text1"/>
          <w:sz w:val="24"/>
          <w:szCs w:val="24"/>
        </w:rPr>
      </w:r>
      <w:r/>
    </w:p>
    <w:p>
      <w:pPr>
        <w:ind w:firstLine="420"/>
        <w:rPr>
          <w:rFonts w:cs="仿宋" w:asciiTheme="minorEastAsia" w:hAnsiTheme="minorEastAsia" w:eastAsiaTheme="minorEastAsia"/>
          <w:bCs/>
          <w:color w:val="000000" w:themeColor="text1"/>
          <w:sz w:val="24"/>
          <w:szCs w:val="24"/>
        </w:rPr>
        <w:outlineLvl w:val="0"/>
      </w:pPr>
      <w:r>
        <w:rPr>
          <w:rFonts w:cs="仿宋" w:asciiTheme="minorEastAsia" w:hAnsiTheme="minorEastAsia" w:eastAsiaTheme="minorEastAsia"/>
          <w:bCs/>
          <w:color w:val="000000" w:themeColor="text1"/>
          <w:sz w:val="24"/>
          <w:szCs w:val="24"/>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1031"/>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rPr>
      </w:pPr>
      <w:r>
        <w:rPr>
          <w:rFonts w:cs="仿宋" w:asciiTheme="minorEastAsia" w:hAnsiTheme="minorEastAsia" w:eastAsiaTheme="minorEastAsia"/>
          <w:b/>
          <w:bCs/>
          <w:color w:val="000000" w:themeColor="text1"/>
          <w:sz w:val="28"/>
        </w:rPr>
      </w:r>
      <w:r/>
    </w:p>
    <w:p>
      <w:pPr>
        <w:jc w:val="center"/>
        <w:spacing w:line="360" w:lineRule="auto"/>
        <w:rPr>
          <w:rFonts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t xml:space="preserve">属于监狱企业的证明文件</w:t>
      </w:r>
      <w:r/>
    </w:p>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业绩一览表</w:t>
      </w:r>
      <w:r/>
    </w:p>
    <w:p>
      <w:pPr>
        <w:spacing w:line="360" w:lineRule="auto"/>
        <w:rPr>
          <w:rFonts w:cs="仿宋" w:asciiTheme="minorEastAsia" w:hAnsiTheme="minorEastAsia" w:eastAsiaTheme="minorEastAsia"/>
          <w:color w:val="000000" w:themeColor="text1"/>
          <w:sz w:val="11"/>
        </w:rPr>
      </w:pPr>
      <w:r>
        <w:rPr>
          <w:rFonts w:cs="仿宋" w:asciiTheme="minorEastAsia" w:hAnsiTheme="minorEastAsia" w:eastAsiaTheme="minorEastAsia"/>
          <w:color w:val="000000" w:themeColor="text1"/>
          <w:sz w:val="11"/>
        </w:rPr>
      </w:r>
      <w:r/>
    </w:p>
    <w:tbl>
      <w:tblPr>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序号</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项目名称</w:t>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合同金额</w:t>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实施时间</w:t>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业主联系人</w:t>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备  注</w:t>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3</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4</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5</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6</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7</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8</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9</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10</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bl>
    <w:p>
      <w:pPr>
        <w:ind w:firstLine="480"/>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注：1、请供应商提供上述表格中业绩的合同（合同首页、签字盖章页不可缺）等证明资料。</w:t>
      </w:r>
      <w:r/>
    </w:p>
    <w:p>
      <w:pPr>
        <w:ind w:firstLine="960"/>
        <w:spacing w:line="360" w:lineRule="auto"/>
        <w:tabs>
          <w:tab w:val="left" w:pos="0" w:leader="none"/>
        </w:tabs>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2、如有需要说明的事项，请在备注中列明。</w:t>
      </w:r>
      <w:r/>
    </w:p>
    <w:p>
      <w:pPr>
        <w:ind w:firstLine="480"/>
        <w:spacing w:line="360" w:lineRule="auto"/>
        <w:tabs>
          <w:tab w:val="left" w:pos="0" w:leader="none"/>
        </w:tabs>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投标人公章：</w:t>
      </w:r>
      <w:r/>
    </w:p>
    <w:p>
      <w:pPr>
        <w:ind w:firstLine="480"/>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法定代表人或授权代表（签字或盖章）：</w:t>
      </w:r>
      <w:r/>
    </w:p>
    <w:p>
      <w:pPr>
        <w:ind w:firstLine="480"/>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w:t>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pStyle w:val="1034"/>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pStyle w:val="1034"/>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cs="仿宋" w:asciiTheme="minorEastAsia" w:hAnsiTheme="minorEastAsia" w:eastAsiaTheme="minorEastAsia"/>
          <w:color w:val="000000" w:themeColor="text1"/>
          <w:sz w:val="24"/>
          <w:szCs w:val="24"/>
          <w:u w:val="single"/>
        </w:rPr>
      </w:pPr>
      <w:r>
        <w:rPr>
          <w:rFonts w:cs="仿宋" w:asciiTheme="minorEastAsia" w:hAnsiTheme="minorEastAsia" w:eastAsiaTheme="minorEastAsia"/>
          <w:color w:val="000000" w:themeColor="text1"/>
          <w:sz w:val="24"/>
          <w:szCs w:val="24"/>
          <w:u w:val="single"/>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签字(签章)：                   公章：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50279065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margin">
                <wp:align>center</wp:align>
              </wp:positionH>
              <wp:positionV relativeFrom="paragraph">
                <wp:posOffset>0</wp:posOffset>
              </wp:positionV>
              <wp:extent cx="114935" cy="51117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502791680;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4935" cy="5111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lang w:val="en-U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qFormat/>
    <w:pPr>
      <w:jc w:val="both"/>
      <w:widowControl w:val="off"/>
    </w:pPr>
    <w:rPr>
      <w:rFonts w:eastAsia="楷体_GB2312"/>
      <w:sz w:val="26"/>
    </w:rPr>
  </w:style>
  <w:style w:type="paragraph" w:styleId="793">
    <w:name w:val="Heading 1"/>
    <w:basedOn w:val="792"/>
    <w:next w:val="792"/>
    <w:link w:val="875"/>
    <w:qFormat/>
    <w:pPr>
      <w:jc w:val="center"/>
      <w:keepLines/>
      <w:keepNext/>
      <w:spacing w:line="360" w:lineRule="auto"/>
      <w:outlineLvl w:val="0"/>
    </w:pPr>
    <w:rPr>
      <w:rFonts w:eastAsia="宋体"/>
      <w:b/>
      <w:sz w:val="32"/>
    </w:rPr>
  </w:style>
  <w:style w:type="paragraph" w:styleId="794">
    <w:name w:val="Heading 2"/>
    <w:basedOn w:val="792"/>
    <w:next w:val="792"/>
    <w:link w:val="876"/>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7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78"/>
    <w:uiPriority w:val="9"/>
    <w:unhideWhenUsed/>
    <w:qFormat/>
    <w:pPr>
      <w:keepLines/>
      <w:keepNext/>
      <w:spacing w:before="320" w:after="200"/>
      <w:outlineLvl w:val="3"/>
    </w:pPr>
    <w:rPr>
      <w:rFonts w:ascii="Arial" w:hAnsi="Arial" w:eastAsia="Arial" w:cs="Arial"/>
      <w:b/>
      <w:bCs/>
      <w:szCs w:val="26"/>
    </w:rPr>
  </w:style>
  <w:style w:type="paragraph" w:styleId="797">
    <w:name w:val="Heading 5"/>
    <w:basedOn w:val="792"/>
    <w:next w:val="792"/>
    <w:link w:val="87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8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8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83"/>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character" w:styleId="805" w:customStyle="1">
    <w:name w:val="Heading 1 Char"/>
    <w:basedOn w:val="802"/>
    <w:uiPriority w:val="9"/>
    <w:rPr>
      <w:rFonts w:ascii="Arial" w:hAnsi="Arial" w:eastAsia="Arial" w:cs="Arial"/>
      <w:sz w:val="40"/>
      <w:szCs w:val="40"/>
    </w:rPr>
  </w:style>
  <w:style w:type="character" w:styleId="806" w:customStyle="1">
    <w:name w:val="Heading 2 Char"/>
    <w:basedOn w:val="802"/>
    <w:uiPriority w:val="9"/>
    <w:rPr>
      <w:rFonts w:ascii="Arial" w:hAnsi="Arial" w:eastAsia="Arial" w:cs="Arial"/>
      <w:sz w:val="34"/>
    </w:rPr>
  </w:style>
  <w:style w:type="character" w:styleId="807" w:customStyle="1">
    <w:name w:val="Heading 3 Char"/>
    <w:basedOn w:val="802"/>
    <w:uiPriority w:val="9"/>
    <w:rPr>
      <w:rFonts w:ascii="Arial" w:hAnsi="Arial" w:eastAsia="Arial" w:cs="Arial"/>
      <w:sz w:val="30"/>
      <w:szCs w:val="30"/>
    </w:rPr>
  </w:style>
  <w:style w:type="character" w:styleId="808" w:customStyle="1">
    <w:name w:val="Heading 4 Char"/>
    <w:basedOn w:val="802"/>
    <w:uiPriority w:val="9"/>
    <w:rPr>
      <w:rFonts w:ascii="Arial" w:hAnsi="Arial" w:eastAsia="Arial" w:cs="Arial"/>
      <w:b/>
      <w:bCs/>
      <w:sz w:val="26"/>
      <w:szCs w:val="26"/>
    </w:rPr>
  </w:style>
  <w:style w:type="character" w:styleId="809" w:customStyle="1">
    <w:name w:val="Heading 5 Char"/>
    <w:basedOn w:val="802"/>
    <w:uiPriority w:val="9"/>
    <w:rPr>
      <w:rFonts w:ascii="Arial" w:hAnsi="Arial" w:eastAsia="Arial" w:cs="Arial"/>
      <w:b/>
      <w:bCs/>
      <w:sz w:val="24"/>
      <w:szCs w:val="24"/>
    </w:rPr>
  </w:style>
  <w:style w:type="character" w:styleId="810" w:customStyle="1">
    <w:name w:val="Heading 6 Char"/>
    <w:basedOn w:val="802"/>
    <w:uiPriority w:val="9"/>
    <w:rPr>
      <w:rFonts w:ascii="Arial" w:hAnsi="Arial" w:eastAsia="Arial" w:cs="Arial"/>
      <w:b/>
      <w:bCs/>
      <w:sz w:val="22"/>
      <w:szCs w:val="22"/>
    </w:rPr>
  </w:style>
  <w:style w:type="character" w:styleId="811" w:customStyle="1">
    <w:name w:val="Heading 7 Char"/>
    <w:basedOn w:val="802"/>
    <w:uiPriority w:val="9"/>
    <w:rPr>
      <w:rFonts w:ascii="Arial" w:hAnsi="Arial" w:eastAsia="Arial" w:cs="Arial"/>
      <w:b/>
      <w:bCs/>
      <w:i/>
      <w:iCs/>
      <w:sz w:val="22"/>
      <w:szCs w:val="22"/>
    </w:rPr>
  </w:style>
  <w:style w:type="character" w:styleId="812" w:customStyle="1">
    <w:name w:val="Heading 8 Char"/>
    <w:basedOn w:val="802"/>
    <w:uiPriority w:val="9"/>
    <w:rPr>
      <w:rFonts w:ascii="Arial" w:hAnsi="Arial" w:eastAsia="Arial" w:cs="Arial"/>
      <w:i/>
      <w:iCs/>
      <w:sz w:val="22"/>
      <w:szCs w:val="22"/>
    </w:rPr>
  </w:style>
  <w:style w:type="character" w:styleId="813" w:customStyle="1">
    <w:name w:val="Heading 9 Char"/>
    <w:basedOn w:val="802"/>
    <w:uiPriority w:val="9"/>
    <w:rPr>
      <w:rFonts w:ascii="Arial" w:hAnsi="Arial" w:eastAsia="Arial" w:cs="Arial"/>
      <w:i/>
      <w:iCs/>
      <w:sz w:val="21"/>
      <w:szCs w:val="21"/>
    </w:rPr>
  </w:style>
  <w:style w:type="character" w:styleId="814" w:customStyle="1">
    <w:name w:val="Title Char"/>
    <w:basedOn w:val="802"/>
    <w:uiPriority w:val="10"/>
    <w:rPr>
      <w:sz w:val="48"/>
      <w:szCs w:val="48"/>
    </w:rPr>
  </w:style>
  <w:style w:type="character" w:styleId="815" w:customStyle="1">
    <w:name w:val="Subtitle Char"/>
    <w:basedOn w:val="802"/>
    <w:uiPriority w:val="11"/>
    <w:rPr>
      <w:sz w:val="24"/>
      <w:szCs w:val="24"/>
    </w:rPr>
  </w:style>
  <w:style w:type="character" w:styleId="816" w:customStyle="1">
    <w:name w:val="Quote Char"/>
    <w:uiPriority w:val="29"/>
    <w:rPr>
      <w:i/>
    </w:rPr>
  </w:style>
  <w:style w:type="character" w:styleId="817" w:customStyle="1">
    <w:name w:val="Intense Quote Char"/>
    <w:uiPriority w:val="30"/>
    <w:rPr>
      <w:i/>
    </w:rPr>
  </w:style>
  <w:style w:type="character" w:styleId="818" w:customStyle="1">
    <w:name w:val="Caption Char"/>
    <w:uiPriority w:val="99"/>
  </w:style>
  <w:style w:type="table" w:styleId="819">
    <w:name w:val="Plain Table 1"/>
    <w:basedOn w:val="80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0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name w:val="Grid Table 1 Light"/>
    <w:basedOn w:val="80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name w:val="Grid Table 3"/>
    <w:basedOn w:val="8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0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name w:val="Grid Table 6 Colorful"/>
    <w:basedOn w:val="80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0">
    <w:name w:val="Grid Table 7 Colorful"/>
    <w:basedOn w:val="80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name w:val="List Table 1 Light"/>
    <w:basedOn w:val="80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0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name w:val="List Table 3"/>
    <w:basedOn w:val="8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name w:val="List Table 4"/>
    <w:basedOn w:val="8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name w:val="List Table 5 Dark"/>
    <w:basedOn w:val="80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name w:val="List Table 6 Colorful"/>
    <w:basedOn w:val="80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name w:val="List Table 7 Colorful"/>
    <w:basedOn w:val="80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rPr>
      <w:sz w:val="18"/>
    </w:rPr>
  </w:style>
  <w:style w:type="character" w:styleId="839" w:customStyle="1">
    <w:name w:val="Endnote Text Char"/>
    <w:uiPriority w:val="99"/>
    <w:rPr>
      <w:sz w:val="20"/>
    </w:rPr>
  </w:style>
  <w:style w:type="paragraph" w:styleId="840">
    <w:name w:val="TOC Heading"/>
    <w:uiPriority w:val="39"/>
    <w:unhideWhenUsed/>
  </w:style>
  <w:style w:type="paragraph" w:styleId="841" w:customStyle="1">
    <w:name w:val="标题 31"/>
    <w:basedOn w:val="792"/>
    <w:next w:val="792"/>
    <w:qFormat/>
    <w:pPr>
      <w:keepLines/>
      <w:keepNext/>
      <w:spacing w:before="260" w:after="260" w:line="416" w:lineRule="auto"/>
      <w:outlineLvl w:val="2"/>
    </w:pPr>
    <w:rPr>
      <w:b/>
      <w:bCs/>
      <w:sz w:val="32"/>
      <w:szCs w:val="32"/>
    </w:rPr>
  </w:style>
  <w:style w:type="paragraph" w:styleId="842">
    <w:name w:val="toc 7"/>
    <w:basedOn w:val="792"/>
    <w:next w:val="792"/>
    <w:uiPriority w:val="39"/>
    <w:unhideWhenUsed/>
    <w:qFormat/>
    <w:pPr>
      <w:ind w:left="1701"/>
      <w:spacing w:after="57"/>
    </w:pPr>
  </w:style>
  <w:style w:type="paragraph" w:styleId="843">
    <w:name w:val="Normal Indent"/>
    <w:basedOn w:val="792"/>
    <w:next w:val="792"/>
    <w:qFormat/>
    <w:pPr>
      <w:ind w:firstLine="200"/>
    </w:pPr>
  </w:style>
  <w:style w:type="paragraph" w:styleId="844">
    <w:name w:val="Caption"/>
    <w:basedOn w:val="792"/>
    <w:next w:val="792"/>
    <w:uiPriority w:val="35"/>
    <w:semiHidden/>
    <w:unhideWhenUsed/>
    <w:qFormat/>
    <w:pPr>
      <w:spacing w:line="276" w:lineRule="auto"/>
    </w:pPr>
    <w:rPr>
      <w:b/>
      <w:bCs/>
      <w:color w:val="4f81bd"/>
      <w:sz w:val="18"/>
      <w:szCs w:val="18"/>
    </w:rPr>
  </w:style>
  <w:style w:type="paragraph" w:styleId="845">
    <w:name w:val="Body Text"/>
    <w:basedOn w:val="792"/>
    <w:next w:val="792"/>
    <w:qFormat/>
    <w:rPr>
      <w:rFonts w:ascii="楷体_GB2312" w:hAnsi="Arial"/>
      <w:sz w:val="28"/>
    </w:rPr>
  </w:style>
  <w:style w:type="paragraph" w:styleId="846">
    <w:name w:val="Body Text Indent"/>
    <w:basedOn w:val="792"/>
    <w:qFormat/>
    <w:pPr>
      <w:ind w:firstLine="645"/>
    </w:pPr>
    <w:rPr>
      <w:rFonts w:ascii="楷体_GB2312" w:hAnsi="Calibri"/>
      <w:sz w:val="32"/>
      <w:szCs w:val="22"/>
    </w:rPr>
  </w:style>
  <w:style w:type="paragraph" w:styleId="847">
    <w:name w:val="Block Text"/>
    <w:basedOn w:val="792"/>
    <w:qFormat/>
    <w:pPr>
      <w:ind w:left="525" w:right="-1" w:firstLine="525"/>
      <w:spacing w:line="312" w:lineRule="atLeast"/>
    </w:pPr>
    <w:rPr>
      <w:sz w:val="28"/>
      <w:szCs w:val="28"/>
    </w:rPr>
  </w:style>
  <w:style w:type="paragraph" w:styleId="848">
    <w:name w:val="toc 5"/>
    <w:basedOn w:val="792"/>
    <w:next w:val="792"/>
    <w:uiPriority w:val="39"/>
    <w:unhideWhenUsed/>
    <w:qFormat/>
    <w:pPr>
      <w:ind w:left="1134"/>
      <w:spacing w:after="57"/>
    </w:pPr>
  </w:style>
  <w:style w:type="paragraph" w:styleId="849">
    <w:name w:val="toc 3"/>
    <w:basedOn w:val="792"/>
    <w:next w:val="792"/>
    <w:uiPriority w:val="39"/>
    <w:unhideWhenUsed/>
    <w:qFormat/>
    <w:pPr>
      <w:ind w:left="567"/>
      <w:spacing w:after="57"/>
    </w:pPr>
  </w:style>
  <w:style w:type="paragraph" w:styleId="850">
    <w:name w:val="Plain Text"/>
    <w:basedOn w:val="792"/>
    <w:next w:val="843"/>
    <w:qFormat/>
    <w:rPr>
      <w:rFonts w:ascii="宋体"/>
    </w:rPr>
  </w:style>
  <w:style w:type="paragraph" w:styleId="851">
    <w:name w:val="toc 8"/>
    <w:basedOn w:val="792"/>
    <w:next w:val="792"/>
    <w:uiPriority w:val="39"/>
    <w:unhideWhenUsed/>
    <w:qFormat/>
    <w:pPr>
      <w:ind w:left="1984"/>
      <w:spacing w:after="57"/>
    </w:pPr>
  </w:style>
  <w:style w:type="paragraph" w:styleId="852">
    <w:name w:val="endnote text"/>
    <w:basedOn w:val="792"/>
    <w:link w:val="1021"/>
    <w:uiPriority w:val="99"/>
    <w:semiHidden/>
    <w:unhideWhenUsed/>
    <w:qFormat/>
    <w:rPr>
      <w:sz w:val="20"/>
    </w:rPr>
  </w:style>
  <w:style w:type="paragraph" w:styleId="853">
    <w:name w:val="Balloon Text"/>
    <w:basedOn w:val="792"/>
    <w:link w:val="1053"/>
    <w:uiPriority w:val="99"/>
    <w:semiHidden/>
    <w:unhideWhenUsed/>
    <w:qFormat/>
    <w:rPr>
      <w:sz w:val="18"/>
      <w:szCs w:val="18"/>
    </w:rPr>
  </w:style>
  <w:style w:type="paragraph" w:styleId="854">
    <w:name w:val="Footer"/>
    <w:basedOn w:val="792"/>
    <w:link w:val="894"/>
    <w:uiPriority w:val="99"/>
    <w:unhideWhenUsed/>
    <w:qFormat/>
    <w:pPr>
      <w:tabs>
        <w:tab w:val="center" w:pos="7143" w:leader="none"/>
        <w:tab w:val="right" w:pos="14287" w:leader="none"/>
      </w:tabs>
    </w:pPr>
  </w:style>
  <w:style w:type="paragraph" w:styleId="855">
    <w:name w:val="envelope return"/>
    <w:basedOn w:val="856"/>
    <w:uiPriority w:val="99"/>
    <w:unhideWhenUsed/>
    <w:qFormat/>
    <w:rPr>
      <w:rFonts w:ascii="Arial" w:hAnsi="Arial"/>
    </w:rPr>
  </w:style>
  <w:style w:type="paragraph" w:styleId="856" w:customStyle="1">
    <w:name w:val="Normal_19"/>
    <w:next w:val="857"/>
    <w:qFormat/>
    <w:pPr>
      <w:jc w:val="both"/>
      <w:widowControl w:val="off"/>
    </w:pPr>
    <w:rPr>
      <w:sz w:val="21"/>
      <w:szCs w:val="24"/>
    </w:rPr>
  </w:style>
  <w:style w:type="paragraph" w:styleId="857" w:customStyle="1">
    <w:name w:val="正文文本缩进1"/>
    <w:basedOn w:val="792"/>
    <w:next w:val="855"/>
    <w:unhideWhenUsed/>
    <w:qFormat/>
    <w:pPr>
      <w:ind w:firstLine="570"/>
    </w:pPr>
    <w:rPr>
      <w:rFonts w:ascii="宋体" w:eastAsia="宋体"/>
      <w:sz w:val="28"/>
    </w:rPr>
  </w:style>
  <w:style w:type="paragraph" w:styleId="858">
    <w:name w:val="Header"/>
    <w:basedOn w:val="792"/>
    <w:link w:val="1023"/>
    <w:qFormat/>
    <w:pPr>
      <w:jc w:val="center"/>
      <w:tabs>
        <w:tab w:val="center" w:pos="4153" w:leader="none"/>
        <w:tab w:val="right" w:pos="8306" w:leader="none"/>
      </w:tabs>
    </w:pPr>
    <w:rPr>
      <w:sz w:val="18"/>
      <w:szCs w:val="18"/>
    </w:rPr>
  </w:style>
  <w:style w:type="paragraph" w:styleId="859">
    <w:name w:val="toc 1"/>
    <w:basedOn w:val="792"/>
    <w:next w:val="792"/>
    <w:uiPriority w:val="39"/>
    <w:unhideWhenUsed/>
    <w:qFormat/>
    <w:pPr>
      <w:spacing w:after="57"/>
    </w:pPr>
  </w:style>
  <w:style w:type="paragraph" w:styleId="860">
    <w:name w:val="toc 4"/>
    <w:basedOn w:val="792"/>
    <w:next w:val="792"/>
    <w:uiPriority w:val="39"/>
    <w:unhideWhenUsed/>
    <w:qFormat/>
    <w:pPr>
      <w:ind w:left="850"/>
      <w:spacing w:after="57"/>
    </w:pPr>
  </w:style>
  <w:style w:type="paragraph" w:styleId="861">
    <w:name w:val="Subtitle"/>
    <w:basedOn w:val="792"/>
    <w:next w:val="792"/>
    <w:link w:val="887"/>
    <w:uiPriority w:val="11"/>
    <w:qFormat/>
    <w:pPr>
      <w:spacing w:before="200" w:after="200"/>
    </w:pPr>
    <w:rPr>
      <w:sz w:val="24"/>
      <w:szCs w:val="24"/>
    </w:rPr>
  </w:style>
  <w:style w:type="paragraph" w:styleId="862">
    <w:name w:val="footnote text"/>
    <w:basedOn w:val="792"/>
    <w:link w:val="1020"/>
    <w:uiPriority w:val="99"/>
    <w:semiHidden/>
    <w:unhideWhenUsed/>
    <w:qFormat/>
    <w:pPr>
      <w:spacing w:after="40"/>
    </w:pPr>
    <w:rPr>
      <w:sz w:val="18"/>
    </w:rPr>
  </w:style>
  <w:style w:type="paragraph" w:styleId="863">
    <w:name w:val="toc 6"/>
    <w:basedOn w:val="792"/>
    <w:next w:val="792"/>
    <w:uiPriority w:val="39"/>
    <w:unhideWhenUsed/>
    <w:qFormat/>
    <w:pPr>
      <w:ind w:left="1417"/>
      <w:spacing w:after="57"/>
    </w:pPr>
  </w:style>
  <w:style w:type="paragraph" w:styleId="864">
    <w:name w:val="table of figures"/>
    <w:basedOn w:val="792"/>
    <w:next w:val="792"/>
    <w:uiPriority w:val="99"/>
    <w:unhideWhenUsed/>
    <w:qFormat/>
  </w:style>
  <w:style w:type="paragraph" w:styleId="865">
    <w:name w:val="toc 2"/>
    <w:basedOn w:val="792"/>
    <w:next w:val="792"/>
    <w:uiPriority w:val="39"/>
    <w:unhideWhenUsed/>
    <w:qFormat/>
    <w:pPr>
      <w:ind w:left="283"/>
      <w:spacing w:after="57"/>
    </w:pPr>
  </w:style>
  <w:style w:type="paragraph" w:styleId="866">
    <w:name w:val="toc 9"/>
    <w:basedOn w:val="792"/>
    <w:next w:val="792"/>
    <w:uiPriority w:val="39"/>
    <w:unhideWhenUsed/>
    <w:qFormat/>
    <w:pPr>
      <w:ind w:left="2268"/>
      <w:spacing w:after="57"/>
    </w:pPr>
  </w:style>
  <w:style w:type="paragraph" w:styleId="867">
    <w:name w:val="Normal (Web)"/>
    <w:basedOn w:val="792"/>
    <w:qFormat/>
    <w:pPr>
      <w:jc w:val="left"/>
      <w:spacing w:before="100" w:beforeAutospacing="1" w:after="100" w:afterAutospacing="1"/>
      <w:widowControl/>
    </w:pPr>
    <w:rPr>
      <w:rFonts w:ascii="宋体" w:hAnsi="宋体"/>
      <w:color w:val="000000"/>
      <w:sz w:val="24"/>
      <w:szCs w:val="24"/>
    </w:rPr>
  </w:style>
  <w:style w:type="paragraph" w:styleId="868">
    <w:name w:val="Title"/>
    <w:basedOn w:val="792"/>
    <w:next w:val="792"/>
    <w:link w:val="886"/>
    <w:uiPriority w:val="10"/>
    <w:qFormat/>
    <w:pPr>
      <w:contextualSpacing/>
      <w:spacing w:before="300" w:after="200"/>
    </w:pPr>
    <w:rPr>
      <w:sz w:val="48"/>
      <w:szCs w:val="48"/>
    </w:rPr>
  </w:style>
  <w:style w:type="paragraph" w:styleId="869">
    <w:name w:val="Body Text First Indent"/>
    <w:basedOn w:val="845"/>
    <w:next w:val="870"/>
    <w:qFormat/>
    <w:pPr>
      <w:ind w:firstLine="420"/>
    </w:pPr>
  </w:style>
  <w:style w:type="paragraph" w:styleId="870">
    <w:name w:val="Body Text First Indent 2"/>
    <w:basedOn w:val="846"/>
    <w:uiPriority w:val="99"/>
    <w:unhideWhenUsed/>
    <w:qFormat/>
    <w:pPr>
      <w:ind w:firstLine="200"/>
    </w:pPr>
  </w:style>
  <w:style w:type="table" w:styleId="871">
    <w:name w:val="Table Grid"/>
    <w:basedOn w:val="803"/>
    <w:qFormat/>
    <w:pPr>
      <w:jc w:val="both"/>
      <w:widowControl w:val="off"/>
    </w:pPr>
    <w:tbl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563c1"/>
      <w:u w:val="single"/>
    </w:rPr>
  </w:style>
  <w:style w:type="character" w:styleId="874">
    <w:name w:val="footnote reference"/>
    <w:uiPriority w:val="99"/>
    <w:unhideWhenUsed/>
    <w:qFormat/>
    <w:rPr>
      <w:vertAlign w:val="superscript"/>
    </w:rPr>
  </w:style>
  <w:style w:type="character" w:styleId="875" w:customStyle="1">
    <w:name w:val="标题 1 字符"/>
    <w:link w:val="793"/>
    <w:uiPriority w:val="9"/>
    <w:qFormat/>
    <w:rPr>
      <w:rFonts w:ascii="Arial" w:hAnsi="Arial" w:eastAsia="Arial" w:cs="Arial"/>
      <w:sz w:val="40"/>
      <w:szCs w:val="40"/>
    </w:rPr>
  </w:style>
  <w:style w:type="character" w:styleId="876" w:customStyle="1">
    <w:name w:val="标题 2 字符"/>
    <w:link w:val="794"/>
    <w:uiPriority w:val="9"/>
    <w:qFormat/>
    <w:rPr>
      <w:rFonts w:ascii="Arial" w:hAnsi="Arial" w:eastAsia="Arial" w:cs="Arial"/>
      <w:sz w:val="34"/>
    </w:rPr>
  </w:style>
  <w:style w:type="character" w:styleId="877" w:customStyle="1">
    <w:name w:val="标题 3 字符"/>
    <w:link w:val="795"/>
    <w:uiPriority w:val="9"/>
    <w:qFormat/>
    <w:rPr>
      <w:rFonts w:ascii="Arial" w:hAnsi="Arial" w:eastAsia="Arial" w:cs="Arial"/>
      <w:sz w:val="30"/>
      <w:szCs w:val="30"/>
    </w:rPr>
  </w:style>
  <w:style w:type="character" w:styleId="878" w:customStyle="1">
    <w:name w:val="标题 4 字符"/>
    <w:link w:val="796"/>
    <w:uiPriority w:val="9"/>
    <w:qFormat/>
    <w:rPr>
      <w:rFonts w:ascii="Arial" w:hAnsi="Arial" w:eastAsia="Arial" w:cs="Arial"/>
      <w:b/>
      <w:bCs/>
      <w:sz w:val="26"/>
      <w:szCs w:val="26"/>
    </w:rPr>
  </w:style>
  <w:style w:type="character" w:styleId="879" w:customStyle="1">
    <w:name w:val="标题 5 字符"/>
    <w:link w:val="797"/>
    <w:uiPriority w:val="9"/>
    <w:qFormat/>
    <w:rPr>
      <w:rFonts w:ascii="Arial" w:hAnsi="Arial" w:eastAsia="Arial" w:cs="Arial"/>
      <w:b/>
      <w:bCs/>
      <w:sz w:val="24"/>
      <w:szCs w:val="24"/>
    </w:rPr>
  </w:style>
  <w:style w:type="character" w:styleId="880" w:customStyle="1">
    <w:name w:val="标题 6 字符"/>
    <w:link w:val="798"/>
    <w:uiPriority w:val="9"/>
    <w:qFormat/>
    <w:rPr>
      <w:rFonts w:ascii="Arial" w:hAnsi="Arial" w:eastAsia="Arial" w:cs="Arial"/>
      <w:b/>
      <w:bCs/>
      <w:sz w:val="22"/>
      <w:szCs w:val="22"/>
    </w:rPr>
  </w:style>
  <w:style w:type="character" w:styleId="881" w:customStyle="1">
    <w:name w:val="标题 7 字符"/>
    <w:link w:val="799"/>
    <w:uiPriority w:val="9"/>
    <w:qFormat/>
    <w:rPr>
      <w:rFonts w:ascii="Arial" w:hAnsi="Arial" w:eastAsia="Arial" w:cs="Arial"/>
      <w:b/>
      <w:bCs/>
      <w:i/>
      <w:iCs/>
      <w:sz w:val="22"/>
      <w:szCs w:val="22"/>
    </w:rPr>
  </w:style>
  <w:style w:type="character" w:styleId="882" w:customStyle="1">
    <w:name w:val="标题 8 字符"/>
    <w:link w:val="800"/>
    <w:uiPriority w:val="9"/>
    <w:qFormat/>
    <w:rPr>
      <w:rFonts w:ascii="Arial" w:hAnsi="Arial" w:eastAsia="Arial" w:cs="Arial"/>
      <w:i/>
      <w:iCs/>
      <w:sz w:val="22"/>
      <w:szCs w:val="22"/>
    </w:rPr>
  </w:style>
  <w:style w:type="character" w:styleId="883" w:customStyle="1">
    <w:name w:val="标题 9 字符"/>
    <w:link w:val="801"/>
    <w:uiPriority w:val="9"/>
    <w:qFormat/>
    <w:rPr>
      <w:rFonts w:ascii="Arial" w:hAnsi="Arial" w:eastAsia="Arial" w:cs="Arial"/>
      <w:i/>
      <w:iCs/>
      <w:sz w:val="21"/>
      <w:szCs w:val="21"/>
    </w:rPr>
  </w:style>
  <w:style w:type="paragraph" w:styleId="884">
    <w:name w:val="List Paragraph"/>
    <w:basedOn w:val="792"/>
    <w:qFormat/>
    <w:pPr>
      <w:ind w:firstLine="420"/>
    </w:pPr>
  </w:style>
  <w:style w:type="paragraph" w:styleId="885">
    <w:name w:val="No Spacing"/>
    <w:uiPriority w:val="1"/>
    <w:qFormat/>
  </w:style>
  <w:style w:type="character" w:styleId="886" w:customStyle="1">
    <w:name w:val="标题 字符"/>
    <w:link w:val="868"/>
    <w:uiPriority w:val="10"/>
    <w:qFormat/>
    <w:rPr>
      <w:sz w:val="48"/>
      <w:szCs w:val="48"/>
    </w:rPr>
  </w:style>
  <w:style w:type="character" w:styleId="887" w:customStyle="1">
    <w:name w:val="副标题 字符"/>
    <w:link w:val="861"/>
    <w:uiPriority w:val="11"/>
    <w:qFormat/>
    <w:rPr>
      <w:sz w:val="24"/>
      <w:szCs w:val="24"/>
    </w:rPr>
  </w:style>
  <w:style w:type="paragraph" w:styleId="888">
    <w:name w:val="Quote"/>
    <w:basedOn w:val="792"/>
    <w:next w:val="792"/>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792"/>
    <w:next w:val="792"/>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Header Char"/>
    <w:uiPriority w:val="99"/>
    <w:qFormat/>
  </w:style>
  <w:style w:type="character" w:styleId="893" w:customStyle="1">
    <w:name w:val="Footer Char"/>
    <w:uiPriority w:val="99"/>
    <w:qFormat/>
  </w:style>
  <w:style w:type="character" w:styleId="894" w:customStyle="1">
    <w:name w:val="页脚 字符"/>
    <w:link w:val="854"/>
    <w:uiPriority w:val="99"/>
    <w:qFormat/>
  </w:style>
  <w:style w:type="table" w:styleId="8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8" w:customStyle="1">
    <w:name w:val="无格式表格 31"/>
    <w:uiPriority w:val="99"/>
    <w:qFormat/>
    <w:tblPr>
      <w:tblCellMar>
        <w:left w:w="0" w:type="dxa"/>
        <w:top w:w="0" w:type="dxa"/>
        <w:right w:w="0" w:type="dxa"/>
        <w:bottom w:w="0" w:type="dxa"/>
      </w:tblCellMar>
    </w:tblPr>
  </w:style>
  <w:style w:type="table" w:styleId="899" w:customStyle="1">
    <w:name w:val="无格式表格 41"/>
    <w:uiPriority w:val="99"/>
    <w:qFormat/>
    <w:tblPr>
      <w:tblCellMar>
        <w:left w:w="0" w:type="dxa"/>
        <w:top w:w="0" w:type="dxa"/>
        <w:right w:w="0" w:type="dxa"/>
        <w:bottom w:w="0" w:type="dxa"/>
      </w:tblCellMar>
    </w:tblPr>
  </w:style>
  <w:style w:type="table" w:styleId="900" w:customStyle="1">
    <w:name w:val="无格式表格 51"/>
    <w:uiPriority w:val="99"/>
    <w:qFormat/>
    <w:tblPr>
      <w:tblCellMar>
        <w:left w:w="0" w:type="dxa"/>
        <w:top w:w="0" w:type="dxa"/>
        <w:right w:w="0" w:type="dxa"/>
        <w:bottom w:w="0" w:type="dxa"/>
      </w:tblCellMar>
    </w:tblPr>
  </w:style>
  <w:style w:type="table" w:styleId="9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清单表 1 浅色1"/>
    <w:uiPriority w:val="99"/>
    <w:qFormat/>
    <w:tblPr>
      <w:tblCellMar>
        <w:left w:w="0" w:type="dxa"/>
        <w:top w:w="0" w:type="dxa"/>
        <w:right w:w="0" w:type="dxa"/>
        <w:bottom w:w="0" w:type="dxa"/>
      </w:tblCellMar>
    </w:tblPr>
  </w:style>
  <w:style w:type="table" w:styleId="951" w:customStyle="1">
    <w:name w:val="List Table 1 Light - Accent 1"/>
    <w:uiPriority w:val="99"/>
    <w:qFormat/>
    <w:tblPr>
      <w:tblCellMar>
        <w:left w:w="0" w:type="dxa"/>
        <w:top w:w="0" w:type="dxa"/>
        <w:right w:w="0" w:type="dxa"/>
        <w:bottom w:w="0" w:type="dxa"/>
      </w:tblCellMar>
    </w:tblPr>
  </w:style>
  <w:style w:type="table" w:styleId="952" w:customStyle="1">
    <w:name w:val="List Table 1 Light - Accent 2"/>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List Table 1 Light - Accent 4"/>
    <w:uiPriority w:val="99"/>
    <w:qFormat/>
    <w:tblPr>
      <w:tblCellMar>
        <w:left w:w="0" w:type="dxa"/>
        <w:top w:w="0" w:type="dxa"/>
        <w:right w:w="0" w:type="dxa"/>
        <w:bottom w:w="0" w:type="dxa"/>
      </w:tblCellMar>
    </w:tblPr>
  </w:style>
  <w:style w:type="table" w:styleId="955" w:customStyle="1">
    <w:name w:val="List Table 1 Light - Accent 5"/>
    <w:uiPriority w:val="99"/>
    <w:qFormat/>
    <w:tblPr>
      <w:tblCellMar>
        <w:left w:w="0" w:type="dxa"/>
        <w:top w:w="0" w:type="dxa"/>
        <w:right w:w="0" w:type="dxa"/>
        <w:bottom w:w="0" w:type="dxa"/>
      </w:tblCellMar>
    </w:tblPr>
  </w:style>
  <w:style w:type="table" w:styleId="956" w:customStyle="1">
    <w:name w:val="List Table 1 Light - Accent 6"/>
    <w:uiPriority w:val="99"/>
    <w:qFormat/>
    <w:tblPr>
      <w:tblCellMar>
        <w:left w:w="0" w:type="dxa"/>
        <w:top w:w="0" w:type="dxa"/>
        <w:right w:w="0" w:type="dxa"/>
        <w:bottom w:w="0" w:type="dxa"/>
      </w:tblCellMar>
    </w:tblPr>
  </w:style>
  <w:style w:type="table" w:styleId="9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9" w:customStyle="1">
    <w:name w:val="Lined - Accent"/>
    <w:uiPriority w:val="99"/>
    <w:qFormat/>
    <w:rPr>
      <w:color w:val="404040"/>
    </w:rPr>
    <w:tblPr>
      <w:tblCellMar>
        <w:left w:w="0" w:type="dxa"/>
        <w:top w:w="0" w:type="dxa"/>
        <w:right w:w="0" w:type="dxa"/>
        <w:bottom w:w="0" w:type="dxa"/>
      </w:tblCellMar>
    </w:tblPr>
  </w:style>
  <w:style w:type="table" w:styleId="1000" w:customStyle="1">
    <w:name w:val="Lined - Accent 1"/>
    <w:uiPriority w:val="99"/>
    <w:qFormat/>
    <w:rPr>
      <w:color w:val="404040"/>
    </w:rPr>
    <w:tblPr>
      <w:tblCellMar>
        <w:left w:w="0" w:type="dxa"/>
        <w:top w:w="0" w:type="dxa"/>
        <w:right w:w="0" w:type="dxa"/>
        <w:bottom w:w="0" w:type="dxa"/>
      </w:tblCellMar>
    </w:tblPr>
  </w:style>
  <w:style w:type="table" w:styleId="1001" w:customStyle="1">
    <w:name w:val="Lined - Accent 2"/>
    <w:uiPriority w:val="99"/>
    <w:qFormat/>
    <w:rPr>
      <w:color w:val="404040"/>
    </w:rPr>
    <w:tblPr>
      <w:tblCellMar>
        <w:left w:w="0" w:type="dxa"/>
        <w:top w:w="0" w:type="dxa"/>
        <w:right w:w="0" w:type="dxa"/>
        <w:bottom w:w="0" w:type="dxa"/>
      </w:tblCellMar>
    </w:tblPr>
  </w:style>
  <w:style w:type="table" w:styleId="1002" w:customStyle="1">
    <w:name w:val="Lined - Accent 3"/>
    <w:uiPriority w:val="99"/>
    <w:qFormat/>
    <w:rPr>
      <w:color w:val="404040"/>
    </w:rPr>
    <w:tblPr>
      <w:tblCellMar>
        <w:left w:w="0" w:type="dxa"/>
        <w:top w:w="0" w:type="dxa"/>
        <w:right w:w="0" w:type="dxa"/>
        <w:bottom w:w="0" w:type="dxa"/>
      </w:tblCellMar>
    </w:tblPr>
  </w:style>
  <w:style w:type="table" w:styleId="1003" w:customStyle="1">
    <w:name w:val="Lined - Accent 4"/>
    <w:uiPriority w:val="99"/>
    <w:qFormat/>
    <w:rPr>
      <w:color w:val="404040"/>
    </w:rPr>
    <w:tblPr>
      <w:tblCellMar>
        <w:left w:w="0" w:type="dxa"/>
        <w:top w:w="0" w:type="dxa"/>
        <w:right w:w="0" w:type="dxa"/>
        <w:bottom w:w="0" w:type="dxa"/>
      </w:tblCellMar>
    </w:tblPr>
  </w:style>
  <w:style w:type="table" w:styleId="1004" w:customStyle="1">
    <w:name w:val="Lined - Accent 5"/>
    <w:uiPriority w:val="99"/>
    <w:qFormat/>
    <w:rPr>
      <w:color w:val="404040"/>
    </w:rPr>
    <w:tblPr>
      <w:tblCellMar>
        <w:left w:w="0" w:type="dxa"/>
        <w:top w:w="0" w:type="dxa"/>
        <w:right w:w="0" w:type="dxa"/>
        <w:bottom w:w="0" w:type="dxa"/>
      </w:tblCellMar>
    </w:tblPr>
  </w:style>
  <w:style w:type="table" w:styleId="1005" w:customStyle="1">
    <w:name w:val="Lined - Accent 6"/>
    <w:uiPriority w:val="99"/>
    <w:qFormat/>
    <w:rPr>
      <w:color w:val="404040"/>
    </w:rPr>
    <w:tblPr>
      <w:tblCellMar>
        <w:left w:w="0" w:type="dxa"/>
        <w:top w:w="0" w:type="dxa"/>
        <w:right w:w="0" w:type="dxa"/>
        <w:bottom w:w="0" w:type="dxa"/>
      </w:tblCellMar>
    </w:tblPr>
  </w:style>
  <w:style w:type="table" w:styleId="10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0" w:customStyle="1">
    <w:name w:val="脚注文本 字符"/>
    <w:link w:val="862"/>
    <w:uiPriority w:val="99"/>
    <w:qFormat/>
    <w:rPr>
      <w:sz w:val="18"/>
    </w:rPr>
  </w:style>
  <w:style w:type="character" w:styleId="1021" w:customStyle="1">
    <w:name w:val="尾注文本 字符"/>
    <w:link w:val="852"/>
    <w:uiPriority w:val="99"/>
    <w:qFormat/>
    <w:rPr>
      <w:sz w:val="20"/>
    </w:rPr>
  </w:style>
  <w:style w:type="paragraph" w:styleId="1022" w:customStyle="1">
    <w:name w:val="TOC 标题1"/>
    <w:uiPriority w:val="39"/>
    <w:unhideWhenUsed/>
    <w:qFormat/>
  </w:style>
  <w:style w:type="character" w:styleId="1023" w:customStyle="1">
    <w:name w:val="页眉 字符"/>
    <w:link w:val="858"/>
    <w:qFormat/>
    <w:rPr>
      <w:rFonts w:ascii="Times New Roman" w:hAnsi="Times New Roman" w:eastAsia="楷体_GB2312"/>
      <w:sz w:val="18"/>
      <w:szCs w:val="18"/>
    </w:rPr>
  </w:style>
  <w:style w:type="paragraph" w:styleId="1024" w:customStyle="1">
    <w:name w:val="索引 41"/>
    <w:basedOn w:val="792"/>
    <w:next w:val="792"/>
    <w:qFormat/>
    <w:pPr>
      <w:ind w:left="600"/>
    </w:pPr>
    <w:rPr>
      <w:szCs w:val="21"/>
    </w:rPr>
  </w:style>
  <w:style w:type="paragraph" w:styleId="1025" w:customStyle="1">
    <w:name w:val="正文首行缩进 21"/>
    <w:basedOn w:val="857"/>
    <w:uiPriority w:val="99"/>
    <w:unhideWhenUsed/>
    <w:qFormat/>
    <w:pPr>
      <w:ind w:firstLine="420"/>
    </w:pPr>
  </w:style>
  <w:style w:type="paragraph" w:styleId="1026" w:customStyle="1">
    <w:name w:val="目录 11"/>
    <w:basedOn w:val="792"/>
    <w:next w:val="792"/>
    <w:unhideWhenUsed/>
    <w:qFormat/>
    <w:pPr>
      <w:jc w:val="left"/>
    </w:pPr>
    <w:rPr>
      <w:sz w:val="24"/>
    </w:rPr>
  </w:style>
  <w:style w:type="paragraph" w:styleId="1027" w:customStyle="1">
    <w:name w:val="标题 21"/>
    <w:basedOn w:val="792"/>
    <w:next w:val="792"/>
    <w:qFormat/>
    <w:pPr>
      <w:keepLines/>
      <w:keepNext/>
      <w:spacing w:before="260" w:after="260" w:line="416" w:lineRule="auto"/>
      <w:outlineLvl w:val="1"/>
    </w:pPr>
    <w:rPr>
      <w:rFonts w:ascii="Cambria" w:hAnsi="Cambria" w:eastAsia="宋体"/>
      <w:b/>
      <w:bCs/>
      <w:sz w:val="32"/>
      <w:szCs w:val="32"/>
    </w:rPr>
  </w:style>
  <w:style w:type="paragraph" w:styleId="1028" w:customStyle="1">
    <w:name w:val="Default"/>
    <w:qFormat/>
    <w:pPr>
      <w:widowControl w:val="off"/>
    </w:pPr>
    <w:rPr>
      <w:rFonts w:ascii="仿宋" w:eastAsia="仿宋" w:cs="仿宋"/>
      <w:color w:val="000000"/>
      <w:sz w:val="24"/>
      <w:szCs w:val="24"/>
    </w:rPr>
  </w:style>
  <w:style w:type="paragraph" w:styleId="1029" w:customStyle="1">
    <w:name w:val="纯文本1111"/>
    <w:basedOn w:val="792"/>
    <w:next w:val="1030"/>
    <w:unhideWhenUsed/>
    <w:qFormat/>
    <w:rPr>
      <w:rFonts w:ascii="宋体" w:hAnsi="Courier New"/>
    </w:rPr>
  </w:style>
  <w:style w:type="paragraph" w:styleId="1030" w:customStyle="1">
    <w:name w:val="正文缩进1"/>
    <w:basedOn w:val="792"/>
    <w:unhideWhenUsed/>
    <w:qFormat/>
    <w:pPr>
      <w:ind w:firstLine="420"/>
      <w:jc w:val="left"/>
    </w:pPr>
    <w:rPr>
      <w:sz w:val="24"/>
    </w:rPr>
  </w:style>
  <w:style w:type="paragraph" w:styleId="1031" w:customStyle="1">
    <w:name w:val="首行缩进"/>
    <w:basedOn w:val="792"/>
    <w:qFormat/>
    <w:pPr>
      <w:ind w:firstLine="480"/>
      <w:spacing w:line="360" w:lineRule="auto"/>
    </w:pPr>
    <w:rPr>
      <w:rFonts w:hAnsi="宋体" w:eastAsia="宋体" w:cs="宋体"/>
      <w:sz w:val="24"/>
      <w:szCs w:val="24"/>
    </w:rPr>
  </w:style>
  <w:style w:type="paragraph" w:styleId="1032" w:customStyle="1">
    <w:name w:val="Char"/>
    <w:basedOn w:val="792"/>
    <w:qFormat/>
  </w:style>
  <w:style w:type="paragraph" w:styleId="1033" w:customStyle="1">
    <w:name w:val="标题 11"/>
    <w:basedOn w:val="792"/>
    <w:next w:val="792"/>
    <w:qFormat/>
    <w:pPr>
      <w:keepLines/>
      <w:keepNext/>
      <w:spacing w:before="340" w:after="330" w:line="578" w:lineRule="auto"/>
      <w:outlineLvl w:val="0"/>
    </w:pPr>
    <w:rPr>
      <w:b/>
      <w:sz w:val="44"/>
    </w:rPr>
  </w:style>
  <w:style w:type="paragraph" w:styleId="1034" w:customStyle="1">
    <w:name w:val="纯文本1"/>
    <w:basedOn w:val="792"/>
    <w:qFormat/>
    <w:rPr>
      <w:rFonts w:ascii="宋体" w:hAnsi="Courier New"/>
    </w:rPr>
  </w:style>
  <w:style w:type="paragraph" w:styleId="1035" w:customStyle="1">
    <w:name w:val="正文2"/>
    <w:basedOn w:val="792"/>
    <w:qFormat/>
    <w:pPr>
      <w:ind w:firstLine="510"/>
      <w:spacing w:before="156" w:line="360" w:lineRule="auto"/>
    </w:pPr>
    <w:rPr>
      <w:sz w:val="24"/>
    </w:rPr>
  </w:style>
  <w:style w:type="character" w:styleId="1036" w:customStyle="1">
    <w:name w:val="要点1"/>
    <w:qFormat/>
    <w:rPr>
      <w:b/>
      <w:bCs/>
    </w:rPr>
  </w:style>
  <w:style w:type="paragraph" w:styleId="1037" w:customStyle="1">
    <w:name w:val="普通(网站)1"/>
    <w:basedOn w:val="792"/>
    <w:unhideWhenUsed/>
    <w:qFormat/>
    <w:pPr>
      <w:jc w:val="left"/>
      <w:spacing w:before="100" w:beforeAutospacing="1" w:after="100" w:afterAutospacing="1"/>
      <w:widowControl/>
    </w:pPr>
    <w:rPr>
      <w:rFonts w:ascii="宋体" w:hAnsi="宋体" w:cs="宋体"/>
      <w:sz w:val="24"/>
    </w:rPr>
  </w:style>
  <w:style w:type="paragraph" w:styleId="1038" w:customStyle="1">
    <w:name w:val="正文文本缩进 21"/>
    <w:basedOn w:val="792"/>
    <w:unhideWhenUsed/>
    <w:qFormat/>
    <w:pPr>
      <w:ind w:left="420"/>
      <w:spacing w:after="120" w:line="480" w:lineRule="auto"/>
    </w:pPr>
  </w:style>
  <w:style w:type="paragraph" w:styleId="1039" w:customStyle="1">
    <w:name w:val="纯文本11"/>
    <w:basedOn w:val="792"/>
    <w:uiPriority w:val="99"/>
    <w:qFormat/>
    <w:rPr>
      <w:rFonts w:ascii="宋体" w:hAnsi="Courier New"/>
    </w:rPr>
  </w:style>
  <w:style w:type="paragraph" w:styleId="1040" w:customStyle="1">
    <w:name w:val="索引 11"/>
    <w:basedOn w:val="792"/>
    <w:next w:val="792"/>
    <w:unhideWhenUsed/>
    <w:qFormat/>
    <w:pPr>
      <w:jc w:val="center"/>
      <w:spacing w:line="220" w:lineRule="exact"/>
    </w:pPr>
    <w:rPr>
      <w:rFonts w:ascii="仿宋_GB2312" w:eastAsia="仿宋_GB2312"/>
      <w:szCs w:val="21"/>
    </w:rPr>
  </w:style>
  <w:style w:type="paragraph" w:styleId="1041" w:customStyle="1">
    <w:name w:val="正文文本1"/>
    <w:basedOn w:val="792"/>
    <w:unhideWhenUsed/>
    <w:qFormat/>
    <w:rPr>
      <w:rFonts w:ascii="楷体_GB2312"/>
      <w:b/>
      <w:bCs/>
      <w:sz w:val="28"/>
    </w:rPr>
  </w:style>
  <w:style w:type="paragraph" w:styleId="1042" w:customStyle="1">
    <w:name w:val="页眉1"/>
    <w:basedOn w:val="792"/>
    <w:unhideWhenUsed/>
    <w:qFormat/>
    <w:pPr>
      <w:jc w:val="center"/>
      <w:tabs>
        <w:tab w:val="center" w:pos="4153" w:leader="none"/>
        <w:tab w:val="right" w:pos="8306" w:leader="none"/>
      </w:tabs>
      <w:pBdr>
        <w:bottom w:val="single" w:color="000000" w:sz="6" w:space="1"/>
      </w:pBdr>
    </w:pPr>
    <w:rPr>
      <w:sz w:val="18"/>
    </w:rPr>
  </w:style>
  <w:style w:type="paragraph" w:styleId="1043" w:customStyle="1">
    <w:name w:val="页脚1"/>
    <w:basedOn w:val="792"/>
    <w:unhideWhenUsed/>
    <w:qFormat/>
    <w:pPr>
      <w:jc w:val="left"/>
      <w:tabs>
        <w:tab w:val="center" w:pos="4153" w:leader="none"/>
        <w:tab w:val="right" w:pos="8306" w:leader="none"/>
      </w:tabs>
    </w:pPr>
    <w:rPr>
      <w:sz w:val="18"/>
    </w:rPr>
  </w:style>
  <w:style w:type="character" w:styleId="1044" w:customStyle="1">
    <w:name w:val="font81"/>
    <w:qFormat/>
    <w:rPr>
      <w:rFonts w:ascii="Times New Roman" w:hAnsi="Times New Roman" w:cs="Times New Roman"/>
      <w:color w:val="000000"/>
      <w:sz w:val="22"/>
      <w:szCs w:val="22"/>
      <w:u w:val="none"/>
    </w:rPr>
  </w:style>
  <w:style w:type="character" w:styleId="1045" w:customStyle="1">
    <w:name w:val="font11"/>
    <w:qFormat/>
    <w:rPr>
      <w:rFonts w:hint="eastAsia" w:ascii="仿宋" w:hAnsi="仿宋" w:eastAsia="仿宋" w:cs="仿宋"/>
      <w:color w:val="000000"/>
      <w:sz w:val="22"/>
      <w:szCs w:val="22"/>
      <w:u w:val="none"/>
    </w:rPr>
  </w:style>
  <w:style w:type="character" w:styleId="1046" w:customStyle="1">
    <w:name w:val="font101"/>
    <w:qFormat/>
    <w:rPr>
      <w:rFonts w:ascii="Arial" w:hAnsi="Arial" w:cs="Arial"/>
      <w:color w:val="000000"/>
      <w:sz w:val="22"/>
      <w:szCs w:val="22"/>
      <w:u w:val="none"/>
    </w:rPr>
  </w:style>
  <w:style w:type="paragraph" w:styleId="1047" w:customStyle="1">
    <w:name w:val="List Paragraph_f0420307-4c65-4cf4-ac34-e8950b7bacb1"/>
    <w:basedOn w:val="792"/>
    <w:qFormat/>
    <w:pPr>
      <w:ind w:firstLine="420"/>
    </w:pPr>
    <w:rPr>
      <w:rFonts w:eastAsia="宋体"/>
      <w:sz w:val="21"/>
      <w:szCs w:val="21"/>
    </w:rPr>
  </w:style>
  <w:style w:type="character" w:styleId="1048" w:customStyle="1">
    <w:name w:val="font51"/>
    <w:basedOn w:val="802"/>
    <w:qFormat/>
    <w:rPr>
      <w:rFonts w:hint="default" w:ascii="Times New Roman" w:hAnsi="Times New Roman" w:cs="Times New Roman"/>
      <w:color w:val="000000"/>
      <w:sz w:val="21"/>
      <w:szCs w:val="21"/>
      <w:u w:val="none"/>
    </w:rPr>
  </w:style>
  <w:style w:type="character" w:styleId="1049" w:customStyle="1">
    <w:name w:val="font31"/>
    <w:basedOn w:val="802"/>
    <w:qFormat/>
    <w:rPr>
      <w:rFonts w:hint="eastAsia" w:ascii="宋体" w:hAnsi="宋体" w:eastAsia="宋体" w:cs="宋体"/>
      <w:color w:val="000000"/>
      <w:sz w:val="21"/>
      <w:szCs w:val="21"/>
      <w:u w:val="none"/>
    </w:rPr>
  </w:style>
  <w:style w:type="character" w:styleId="1050" w:customStyle="1">
    <w:name w:val="font21"/>
    <w:basedOn w:val="802"/>
    <w:qFormat/>
    <w:rPr>
      <w:rFonts w:hint="default" w:ascii="Times New Roman" w:hAnsi="Times New Roman" w:cs="Times New Roman"/>
      <w:color w:val="000000"/>
      <w:sz w:val="21"/>
      <w:szCs w:val="21"/>
      <w:u w:val="none"/>
    </w:rPr>
  </w:style>
  <w:style w:type="character" w:styleId="1051" w:customStyle="1">
    <w:name w:val="font61"/>
    <w:basedOn w:val="802"/>
    <w:qFormat/>
    <w:rPr>
      <w:rFonts w:hint="eastAsia" w:ascii="宋体" w:hAnsi="宋体" w:eastAsia="宋体" w:cs="宋体"/>
      <w:color w:val="000000"/>
      <w:sz w:val="21"/>
      <w:szCs w:val="21"/>
      <w:u w:val="none"/>
    </w:rPr>
  </w:style>
  <w:style w:type="character" w:styleId="1052" w:customStyle="1">
    <w:name w:val="font41"/>
    <w:basedOn w:val="802"/>
    <w:qFormat/>
    <w:rPr>
      <w:rFonts w:hint="default" w:ascii="Times New Roman" w:hAnsi="Times New Roman" w:cs="Times New Roman"/>
      <w:color w:val="000000"/>
      <w:sz w:val="20"/>
      <w:szCs w:val="20"/>
      <w:u w:val="none"/>
    </w:rPr>
  </w:style>
  <w:style w:type="character" w:styleId="1053" w:customStyle="1">
    <w:name w:val="批注框文本 字符"/>
    <w:basedOn w:val="802"/>
    <w:link w:val="853"/>
    <w:uiPriority w:val="99"/>
    <w:semiHidden/>
    <w:qFormat/>
    <w:rPr>
      <w:rFonts w:eastAsia="楷体_GB2312"/>
      <w:sz w:val="18"/>
      <w:szCs w:val="18"/>
    </w:rPr>
  </w:style>
  <w:style w:type="paragraph" w:styleId="1054" w:customStyle="1">
    <w:name w:val="Table Paragraph"/>
    <w:basedOn w:val="792"/>
    <w:uiPriority w:val="1"/>
    <w:qFormat/>
    <w:pPr>
      <w:jc w:val="left"/>
    </w:pPr>
    <w:rPr>
      <w:rFonts w:ascii="Calibri" w:hAnsi="Calibri" w:eastAsia="宋体"/>
      <w:sz w:val="22"/>
      <w:szCs w:val="22"/>
      <w:lang w:eastAsia="en-US"/>
    </w:rPr>
  </w:style>
  <w:style w:type="paragraph" w:styleId="1055" w:customStyle="1">
    <w:name w:val="Table Text"/>
    <w:basedOn w:val="792"/>
    <w:semiHidden/>
    <w:qFormat/>
    <w:rPr>
      <w:rFonts w:ascii="仿宋" w:hAnsi="仿宋" w:eastAsia="仿宋" w:cs="仿宋"/>
      <w:sz w:val="24"/>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2A8DCAF-06CF-4363-8750-4AC9449173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胡善棋</cp:lastModifiedBy>
  <cp:revision>43</cp:revision>
  <dcterms:created xsi:type="dcterms:W3CDTF">2024-09-03T08:46:00Z</dcterms:created>
  <dcterms:modified xsi:type="dcterms:W3CDTF">2024-09-30T08:53:08Z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25A69841DF1A403A9FC578C4644278BC_13</vt:lpwstr>
  </property>
</Properties>
</file>