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hint="eastAsia" w:asciiTheme="minorEastAsia" w:hAnsiTheme="minorEastAsia"/>
          <w:bCs/>
          <w:color w:val="auto"/>
          <w:sz w:val="30"/>
          <w:highlight w:val="none"/>
        </w:rPr>
      </w:pPr>
      <w:r>
        <w:rPr>
          <w:rFonts w:hint="eastAsia" w:asciiTheme="minorEastAsia" w:hAnsiTheme="minorEastAsia"/>
          <w:bCs/>
          <w:color w:val="auto"/>
          <w:sz w:val="30"/>
          <w:highlight w:val="none"/>
        </w:rPr>
      </w:r>
      <w:r/>
    </w:p>
    <w:p>
      <w:pPr>
        <w:ind w:left="660"/>
        <w:spacing w:line="360" w:lineRule="auto"/>
        <w:rPr>
          <w:rFonts w:hint="eastAsia" w:asciiTheme="minorEastAsia" w:hAnsiTheme="minorEastAsia"/>
          <w:bCs/>
          <w:color w:val="auto"/>
          <w:sz w:val="30"/>
          <w:highlight w:val="none"/>
        </w:rPr>
      </w:pPr>
      <w:r>
        <w:rPr>
          <w:rFonts w:hint="eastAsia" w:asciiTheme="minorEastAsia" w:hAnsiTheme="minorEastAsia"/>
          <w:bCs/>
          <w:color w:val="auto"/>
          <w:sz w:val="30"/>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spacing w:line="360" w:lineRule="auto"/>
        <w:rPr>
          <w:rFonts w:hint="eastAsia" w:asciiTheme="minorEastAsia" w:hAnsiTheme="minorEastAsia"/>
          <w:b/>
          <w:bCs/>
          <w:color w:val="auto"/>
          <w:sz w:val="30"/>
          <w:highlight w:val="none"/>
        </w:rPr>
      </w:pPr>
      <w:r>
        <w:rPr>
          <w:rFonts w:hint="eastAsia" w:asciiTheme="minorEastAsia" w:hAnsiTheme="minorEastAsia"/>
          <w:b/>
          <w:bCs/>
          <w:color w:val="auto"/>
          <w:sz w:val="30"/>
          <w:highlight w:val="none"/>
        </w:rPr>
        <w:t xml:space="preserve">（全流程电子化）</w:t>
      </w:r>
      <w:r/>
    </w:p>
    <w:p>
      <w:pPr>
        <w:jc w:val="center"/>
        <w:spacing w:line="360" w:lineRule="auto"/>
        <w:rPr>
          <w:rFonts w:hint="eastAsia" w:asciiTheme="minorEastAsia" w:hAnsiTheme="minorEastAsia"/>
          <w:b/>
          <w:bCs/>
          <w:color w:val="auto"/>
          <w:spacing w:val="20"/>
          <w:sz w:val="52"/>
          <w:szCs w:val="52"/>
          <w:highlight w:val="none"/>
        </w:rPr>
      </w:pPr>
      <w:r>
        <w:rPr>
          <w:rFonts w:hint="eastAsia" w:asciiTheme="minorEastAsia" w:hAnsiTheme="minorEastAsia"/>
          <w:b/>
          <w:bCs/>
          <w:color w:val="auto"/>
          <w:spacing w:val="20"/>
          <w:sz w:val="52"/>
          <w:szCs w:val="52"/>
          <w:highlight w:val="none"/>
        </w:rPr>
      </w:r>
      <w:r/>
    </w:p>
    <w:p>
      <w:pPr>
        <w:jc w:val="center"/>
        <w:spacing w:line="360" w:lineRule="auto"/>
        <w:rPr>
          <w:rFonts w:hint="eastAsia" w:asciiTheme="minorEastAsia" w:hAnsiTheme="minorEastAsia"/>
          <w:b/>
          <w:bCs/>
          <w:color w:val="auto"/>
          <w:spacing w:val="20"/>
          <w:sz w:val="52"/>
          <w:szCs w:val="52"/>
          <w:highlight w:val="none"/>
        </w:rPr>
      </w:pPr>
      <w:r>
        <w:rPr>
          <w:rFonts w:hint="eastAsia" w:asciiTheme="minorEastAsia" w:hAnsiTheme="minorEastAsia"/>
          <w:b/>
          <w:bCs/>
          <w:color w:val="auto"/>
          <w:spacing w:val="20"/>
          <w:sz w:val="52"/>
          <w:szCs w:val="52"/>
          <w:highlight w:val="none"/>
        </w:rPr>
        <w:t xml:space="preserve">公开</w:t>
      </w:r>
      <w:r>
        <w:rPr>
          <w:rFonts w:asciiTheme="minorEastAsia" w:hAnsiTheme="minorEastAsia"/>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0" cy="0"/>
                <wp:effectExtent l="0" t="0" r="0" b="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8.9pt,15.6pt" to="-8.9pt,15.6pt" fillcolor="#FFFFFF" strokecolor="#000000"/>
            </w:pict>
          </mc:Fallback>
        </mc:AlternateContent>
      </w:r>
      <w:r>
        <w:rPr>
          <w:rFonts w:hint="eastAsia" w:asciiTheme="minorEastAsia" w:hAnsiTheme="minorEastAsia"/>
          <w:b/>
          <w:bCs/>
          <w:color w:val="auto"/>
          <w:spacing w:val="20"/>
          <w:sz w:val="52"/>
          <w:szCs w:val="52"/>
          <w:highlight w:val="none"/>
        </w:rPr>
        <w:t xml:space="preserve">招标文件</w:t>
      </w:r>
      <w:r/>
    </w:p>
    <w:p>
      <w:pPr>
        <w:spacing w:line="360" w:lineRule="auto"/>
        <w:rPr>
          <w:rFonts w:hint="eastAsia" w:asciiTheme="minorEastAsia" w:hAnsiTheme="minorEastAsia"/>
          <w:b/>
          <w:bCs/>
          <w:color w:val="auto"/>
          <w:sz w:val="30"/>
          <w:highlight w:val="none"/>
        </w:rPr>
      </w:pPr>
      <w:r>
        <w:rPr>
          <w:rFonts w:hint="eastAsia" w:asciiTheme="minorEastAsia" w:hAnsiTheme="minorEastAsia"/>
          <w:b/>
          <w:bCs/>
          <w:color w:val="auto"/>
          <w:sz w:val="30"/>
          <w:highlight w:val="none"/>
        </w:rPr>
      </w:r>
      <w:r/>
    </w:p>
    <w:p>
      <w:pPr>
        <w:spacing w:line="360" w:lineRule="auto"/>
        <w:rPr>
          <w:rFonts w:hint="eastAsia" w:asciiTheme="minorEastAsia" w:hAnsiTheme="minorEastAsia"/>
          <w:b/>
          <w:bCs/>
          <w:color w:val="auto"/>
          <w:sz w:val="30"/>
          <w:highlight w:val="none"/>
        </w:rPr>
      </w:pPr>
      <w:r>
        <w:rPr>
          <w:rFonts w:hint="eastAsia" w:asciiTheme="minorEastAsia" w:hAnsiTheme="minorEastAsia"/>
          <w:b/>
          <w:bCs/>
          <w:color w:val="auto"/>
          <w:sz w:val="30"/>
          <w:highlight w:val="none"/>
        </w:rPr>
      </w:r>
      <w:r/>
    </w:p>
    <w:p>
      <w:pPr>
        <w:ind w:firstLine="1500"/>
        <w:spacing w:line="360" w:lineRule="auto"/>
        <w:rPr>
          <w:rFonts w:hint="eastAsia" w:asciiTheme="minorEastAsia" w:hAnsiTheme="minorEastAsia" w:eastAsiaTheme="minorEastAsia"/>
          <w:bCs/>
          <w:color w:val="auto"/>
          <w:sz w:val="30"/>
          <w:szCs w:val="30"/>
          <w:highlight w:val="none"/>
          <w:lang w:eastAsia="zh-CN"/>
        </w:rPr>
      </w:pPr>
      <w:r>
        <w:rPr>
          <w:rFonts w:hint="eastAsia" w:asciiTheme="minorEastAsia" w:hAnsiTheme="minorEastAsia"/>
          <w:bCs/>
          <w:color w:val="auto"/>
          <w:sz w:val="30"/>
          <w:szCs w:val="30"/>
          <w:highlight w:val="none"/>
        </w:rPr>
        <w:t xml:space="preserve">采购项目编号：</w:t>
      </w:r>
      <w:r>
        <w:rPr>
          <w:rFonts w:hint="eastAsia" w:asciiTheme="minorEastAsia" w:hAnsiTheme="minorEastAsia"/>
          <w:bCs/>
          <w:color w:val="auto"/>
          <w:sz w:val="30"/>
          <w:szCs w:val="30"/>
          <w:highlight w:val="none"/>
          <w:lang w:eastAsia="zh-CN"/>
        </w:rPr>
        <w:t xml:space="preserve">JSZC-320200-PXGJ-G2025-0116</w:t>
      </w:r>
      <w:r/>
    </w:p>
    <w:p>
      <w:pPr>
        <w:ind w:firstLine="1500"/>
        <w:spacing w:line="360" w:lineRule="auto"/>
        <w:rPr>
          <w:rFonts w:hint="eastAsia" w:asciiTheme="minorEastAsia" w:hAnsiTheme="minorEastAsia" w:eastAsiaTheme="minorEastAsia"/>
          <w:bCs/>
          <w:color w:val="auto"/>
          <w:sz w:val="30"/>
          <w:szCs w:val="30"/>
          <w:highlight w:val="none"/>
          <w:lang w:eastAsia="zh-CN"/>
        </w:rPr>
      </w:pPr>
      <w:r>
        <w:rPr>
          <w:rFonts w:hint="eastAsia" w:asciiTheme="minorEastAsia" w:hAnsiTheme="minorEastAsia"/>
          <w:bCs/>
          <w:color w:val="auto"/>
          <w:sz w:val="30"/>
          <w:szCs w:val="30"/>
          <w:highlight w:val="none"/>
        </w:rPr>
        <w:t xml:space="preserve">采购项目名称：</w:t>
      </w:r>
      <w:r>
        <w:rPr>
          <w:rFonts w:hint="eastAsia" w:eastAsia="宋体" w:asciiTheme="minorEastAsia" w:hAnsiTheme="minorEastAsia"/>
          <w:bCs/>
          <w:color w:val="auto"/>
          <w:sz w:val="30"/>
          <w:szCs w:val="30"/>
          <w:highlight w:val="none"/>
          <w:lang w:eastAsia="zh-CN"/>
        </w:rPr>
        <w:t xml:space="preserve">无锡市市建水站运维项目采购（第三次）</w:t>
      </w:r>
      <w:r/>
    </w:p>
    <w:p>
      <w:pPr>
        <w:ind w:firstLine="1500"/>
        <w:spacing w:line="360" w:lineRule="auto"/>
        <w:rPr>
          <w:rFonts w:hint="eastAsia" w:asciiTheme="minorEastAsia" w:hAnsiTheme="minorEastAsia"/>
          <w:bCs/>
          <w:color w:val="auto"/>
          <w:sz w:val="30"/>
          <w:szCs w:val="30"/>
          <w:highlight w:val="none"/>
        </w:rPr>
      </w:pPr>
      <w:r>
        <w:rPr>
          <w:rFonts w:hint="eastAsia" w:ascii="宋体" w:hAnsi="宋体" w:cs="宋体"/>
          <w:bCs/>
          <w:color w:val="auto"/>
          <w:sz w:val="30"/>
          <w:szCs w:val="30"/>
          <w:highlight w:val="none"/>
        </w:rPr>
        <w:t xml:space="preserve">采   购   人：</w:t>
      </w:r>
      <w:r>
        <w:rPr>
          <w:rFonts w:hint="eastAsia" w:ascii="宋体" w:hAnsi="宋体" w:cs="宋体"/>
          <w:bCs/>
          <w:color w:val="auto"/>
          <w:sz w:val="30"/>
          <w:szCs w:val="30"/>
          <w:highlight w:val="none"/>
          <w:lang w:eastAsia="zh-CN"/>
        </w:rPr>
        <w:t xml:space="preserve">无锡市生态环境监测监控中心</w:t>
      </w:r>
      <w:r>
        <w:rPr>
          <w:rFonts w:asciiTheme="minorEastAsia" w:hAnsiTheme="minorEastAsia"/>
          <w:bCs/>
          <w:color w:val="auto"/>
          <w:sz w:val="30"/>
          <w:szCs w:val="30"/>
          <w:highlight w:val="none"/>
        </w:rPr>
        <w:t xml:space="preserve"> </w:t>
      </w:r>
      <w:r/>
    </w:p>
    <w:p>
      <w:pPr>
        <w:ind w:firstLine="1500"/>
        <w:spacing w:line="360" w:lineRule="auto"/>
        <w:rPr>
          <w:rFonts w:hint="eastAsia" w:eastAsia="宋体" w:asciiTheme="minorEastAsia" w:hAnsiTheme="minorEastAsia"/>
          <w:bCs/>
          <w:color w:val="auto"/>
          <w:sz w:val="30"/>
          <w:szCs w:val="30"/>
          <w:highlight w:val="none"/>
        </w:rPr>
      </w:pPr>
      <w:r>
        <w:rPr>
          <w:rFonts w:hint="eastAsia" w:eastAsia="宋体" w:asciiTheme="minorEastAsia" w:hAnsiTheme="minorEastAsia"/>
          <w:bCs/>
          <w:color w:val="auto"/>
          <w:sz w:val="30"/>
          <w:szCs w:val="30"/>
          <w:highlight w:val="none"/>
        </w:rPr>
        <w:t xml:space="preserve">采购代理机构：普信国际工程咨询有限公司</w:t>
      </w:r>
      <w:r/>
    </w:p>
    <w:p>
      <w:pPr>
        <w:spacing w:line="360" w:lineRule="auto"/>
        <w:rPr>
          <w:rFonts w:hint="eastAsia" w:asciiTheme="minorEastAsia" w:hAnsiTheme="minorEastAsia"/>
          <w:bCs/>
          <w:color w:val="auto"/>
          <w:sz w:val="32"/>
          <w:highlight w:val="none"/>
        </w:rPr>
      </w:pPr>
      <w:r>
        <w:rPr>
          <w:rFonts w:hint="eastAsia" w:asciiTheme="minorEastAsia" w:hAnsiTheme="minorEastAsia"/>
          <w:bCs/>
          <w:color w:val="auto"/>
          <w:sz w:val="32"/>
          <w:highlight w:val="none"/>
        </w:rPr>
      </w:r>
      <w:r/>
    </w:p>
    <w:p>
      <w:pPr>
        <w:spacing w:line="360" w:lineRule="auto"/>
        <w:rPr>
          <w:rFonts w:hint="eastAsia" w:asciiTheme="minorEastAsia" w:hAnsiTheme="minorEastAsia"/>
          <w:bCs/>
          <w:color w:val="auto"/>
          <w:sz w:val="30"/>
          <w:highlight w:val="none"/>
        </w:rPr>
      </w:pPr>
      <w:r>
        <w:rPr>
          <w:rFonts w:hint="eastAsia" w:asciiTheme="minorEastAsia" w:hAnsiTheme="minorEastAsia"/>
          <w:bCs/>
          <w:color w:val="auto"/>
          <w:sz w:val="30"/>
          <w:highlight w:val="none"/>
        </w:rPr>
      </w:r>
      <w:r/>
    </w:p>
    <w:p>
      <w:pPr>
        <w:spacing w:line="360" w:lineRule="auto"/>
        <w:rPr>
          <w:rFonts w:hint="eastAsia" w:asciiTheme="minorEastAsia" w:hAnsiTheme="minorEastAsia"/>
          <w:bCs/>
          <w:color w:val="auto"/>
          <w:sz w:val="30"/>
          <w:highlight w:val="none"/>
        </w:rPr>
      </w:pPr>
      <w:r>
        <w:rPr>
          <w:rFonts w:hint="eastAsia" w:asciiTheme="minorEastAsia" w:hAnsiTheme="minorEastAsia"/>
          <w:bCs/>
          <w:color w:val="auto"/>
          <w:sz w:val="30"/>
          <w:highlight w:val="none"/>
        </w:rPr>
      </w:r>
      <w:r/>
    </w:p>
    <w:p>
      <w:pPr>
        <w:spacing w:line="360" w:lineRule="auto"/>
        <w:rPr>
          <w:rFonts w:hint="eastAsia" w:asciiTheme="minorEastAsia" w:hAnsiTheme="minorEastAsia"/>
          <w:bCs/>
          <w:color w:val="auto"/>
          <w:sz w:val="30"/>
          <w:highlight w:val="none"/>
        </w:rPr>
      </w:pPr>
      <w:r>
        <w:rPr>
          <w:rFonts w:hint="eastAsia" w:asciiTheme="minorEastAsia" w:hAnsiTheme="minorEastAsia"/>
          <w:bCs/>
          <w:color w:val="auto"/>
          <w:sz w:val="30"/>
          <w:highlight w:val="none"/>
        </w:rPr>
      </w:r>
      <w:r/>
    </w:p>
    <w:p>
      <w:pPr>
        <w:spacing w:line="360" w:lineRule="auto"/>
        <w:rPr>
          <w:rFonts w:hint="eastAsia" w:asciiTheme="minorEastAsia" w:hAnsiTheme="minorEastAsia"/>
          <w:bCs/>
          <w:color w:val="auto"/>
          <w:sz w:val="30"/>
          <w:highlight w:val="none"/>
        </w:rPr>
      </w:pPr>
      <w:r>
        <w:rPr>
          <w:rFonts w:hint="eastAsia" w:asciiTheme="minorEastAsia" w:hAnsiTheme="minorEastAsia"/>
          <w:bCs/>
          <w:color w:val="auto"/>
          <w:sz w:val="30"/>
          <w:highlight w:val="none"/>
        </w:rPr>
      </w:r>
      <w:r/>
    </w:p>
    <w:p>
      <w:pPr>
        <w:jc w:val="center"/>
        <w:spacing w:line="360" w:lineRule="auto"/>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w:t>
      </w:r>
      <w:r>
        <w:rPr>
          <w:rFonts w:hint="eastAsia" w:ascii="宋体" w:hAnsi="宋体" w:eastAsia="宋体" w:cs="宋体"/>
          <w:bCs/>
          <w:color w:val="auto"/>
          <w:sz w:val="44"/>
          <w:szCs w:val="44"/>
          <w:highlight w:val="none"/>
          <w:lang w:val="en-US" w:eastAsia="zh-CN"/>
        </w:rPr>
        <w:t xml:space="preserve">五</w:t>
      </w:r>
      <w:r>
        <w:rPr>
          <w:rFonts w:hint="eastAsia" w:ascii="宋体" w:hAnsi="宋体" w:eastAsia="宋体" w:cs="宋体"/>
          <w:bCs/>
          <w:color w:val="auto"/>
          <w:sz w:val="44"/>
          <w:szCs w:val="44"/>
          <w:highlight w:val="none"/>
        </w:rPr>
        <w:t xml:space="preserve">年</w:t>
      </w:r>
      <w:r>
        <w:rPr>
          <w:rFonts w:hint="eastAsia" w:ascii="宋体" w:hAnsi="宋体" w:eastAsia="宋体" w:cs="宋体"/>
          <w:bCs/>
          <w:color w:val="auto"/>
          <w:sz w:val="44"/>
          <w:szCs w:val="44"/>
          <w:highlight w:val="none"/>
          <w:lang w:val="en-US" w:eastAsia="zh-CN"/>
        </w:rPr>
        <w:t xml:space="preserve">九</w:t>
      </w:r>
      <w:r>
        <w:rPr>
          <w:rFonts w:hint="eastAsia" w:ascii="宋体" w:hAnsi="宋体" w:eastAsia="宋体" w:cs="宋体"/>
          <w:bCs/>
          <w:color w:val="auto"/>
          <w:sz w:val="44"/>
          <w:szCs w:val="44"/>
          <w:highlight w:val="none"/>
        </w:rPr>
        <w:t xml:space="preserve">月</w:t>
      </w:r>
      <w:r/>
    </w:p>
    <w:p>
      <w:pPr>
        <w:spacing w:line="360" w:lineRule="auto"/>
        <w:rPr>
          <w:rStyle w:val="777"/>
          <w:rFonts w:hint="eastAsia" w:asciiTheme="minorEastAsia" w:hAnsiTheme="minorEastAsia"/>
          <w:bCs/>
          <w:color w:val="auto"/>
          <w:sz w:val="48"/>
          <w:highlight w:val="none"/>
        </w:rPr>
      </w:pPr>
      <w:r>
        <w:rPr>
          <w:rFonts w:hint="eastAsia" w:asciiTheme="minorEastAsia" w:hAnsiTheme="minorEastAsia"/>
          <w:bCs/>
          <w:color w:val="auto"/>
          <w:sz w:val="48"/>
          <w:highlight w:val="none"/>
        </w:rPr>
      </w:r>
      <w:r/>
    </w:p>
    <w:p>
      <w:pPr>
        <w:rPr>
          <w:rFonts w:hint="eastAsia" w:ascii="黑体" w:hAnsi="黑体" w:eastAsia="黑体"/>
          <w:color w:val="auto"/>
          <w:sz w:val="36"/>
          <w:szCs w:val="36"/>
          <w:highlight w:val="none"/>
        </w:rPr>
      </w:pPr>
      <w:r>
        <w:rPr>
          <w:rFonts w:hint="eastAsia" w:ascii="黑体" w:hAnsi="黑体" w:eastAsia="黑体"/>
          <w:color w:val="auto"/>
          <w:sz w:val="36"/>
          <w:szCs w:val="36"/>
          <w:highlight w:val="none"/>
        </w:rPr>
        <w:br w:type="page" w:clear="all"/>
      </w:r>
      <w:r/>
    </w:p>
    <w:p>
      <w:pPr>
        <w:pStyle w:val="1139"/>
        <w:ind w:firstLine="0"/>
        <w:jc w:val="center"/>
        <w:rPr>
          <w:rFonts w:hint="eastAsia"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jc w:val="center"/>
        <w:spacing w:line="36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7"/>
        </w:numPr>
        <w:spacing w:line="36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eastAsia="宋体"/>
          <w:color w:val="auto"/>
          <w:sz w:val="30"/>
          <w:szCs w:val="30"/>
          <w:highlight w:val="none"/>
        </w:rPr>
        <w:t xml:space="preserve">函</w:t>
      </w:r>
      <w:r/>
    </w:p>
    <w:p>
      <w:pPr>
        <w:numPr>
          <w:ilvl w:val="0"/>
          <w:numId w:val="7"/>
        </w:numPr>
        <w:spacing w:line="36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7"/>
        </w:numPr>
        <w:spacing w:line="36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7"/>
        </w:numPr>
        <w:spacing w:line="36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7"/>
        </w:numPr>
        <w:spacing w:line="36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7"/>
        </w:numPr>
        <w:spacing w:line="36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spacing w:line="360" w:lineRule="auto"/>
        <w:rPr>
          <w:rFonts w:hint="eastAsia" w:asciiTheme="minorEastAsia" w:hAnsiTheme="minorEastAsia"/>
          <w:bCs/>
          <w:color w:val="auto"/>
          <w:sz w:val="28"/>
          <w:szCs w:val="28"/>
          <w:highlight w:val="none"/>
        </w:rPr>
      </w:pPr>
      <w:r>
        <w:rPr>
          <w:rFonts w:hint="eastAsia" w:asciiTheme="minorEastAsia" w:hAnsiTheme="minorEastAsia"/>
          <w:bCs/>
          <w:color w:val="auto"/>
          <w:sz w:val="28"/>
          <w:szCs w:val="28"/>
          <w:highlight w:val="none"/>
        </w:rPr>
      </w:r>
      <w:r/>
    </w:p>
    <w:p>
      <w:pPr>
        <w:spacing w:line="360" w:lineRule="auto"/>
        <w:rPr>
          <w:rFonts w:hint="eastAsia" w:asciiTheme="minorEastAsia" w:hAnsiTheme="minorEastAsia"/>
          <w:bCs/>
          <w:color w:val="auto"/>
          <w:sz w:val="32"/>
          <w:highlight w:val="none"/>
        </w:rPr>
      </w:pPr>
      <w:r>
        <w:rPr>
          <w:rFonts w:hint="eastAsia" w:asciiTheme="minorEastAsia" w:hAnsiTheme="minorEastAsia"/>
          <w:bCs/>
          <w:color w:val="auto"/>
          <w:sz w:val="32"/>
          <w:highlight w:val="none"/>
        </w:rPr>
      </w:r>
      <w:r/>
    </w:p>
    <w:p>
      <w:pPr>
        <w:spacing w:line="360" w:lineRule="auto"/>
        <w:rPr>
          <w:rFonts w:hint="eastAsia" w:asciiTheme="minorEastAsia" w:hAnsiTheme="minorEastAsia"/>
          <w:bCs/>
          <w:color w:val="auto"/>
          <w:sz w:val="32"/>
          <w:highlight w:val="none"/>
        </w:rPr>
      </w:pPr>
      <w:r>
        <w:rPr>
          <w:rFonts w:hint="eastAsia" w:asciiTheme="minorEastAsia" w:hAnsiTheme="minorEastAsia"/>
          <w:bCs/>
          <w:color w:val="auto"/>
          <w:sz w:val="32"/>
          <w:highlight w:val="none"/>
        </w:rPr>
      </w:r>
      <w:r/>
    </w:p>
    <w:p>
      <w:pPr>
        <w:spacing w:line="360" w:lineRule="auto"/>
        <w:rPr>
          <w:rFonts w:hint="eastAsia" w:asciiTheme="minorEastAsia" w:hAnsiTheme="minorEastAsia"/>
          <w:bCs/>
          <w:color w:val="auto"/>
          <w:sz w:val="32"/>
          <w:highlight w:val="none"/>
        </w:rPr>
      </w:pPr>
      <w:r>
        <w:rPr>
          <w:rFonts w:hint="eastAsia" w:asciiTheme="minorEastAsia" w:hAnsiTheme="minorEastAsia"/>
          <w:bCs/>
          <w:color w:val="auto"/>
          <w:sz w:val="32"/>
          <w:highlight w:val="none"/>
        </w:rPr>
      </w:r>
      <w:r/>
    </w:p>
    <w:p>
      <w:pPr>
        <w:spacing w:line="360" w:lineRule="auto"/>
        <w:rPr>
          <w:rFonts w:hint="eastAsia" w:eastAsia="宋体" w:asciiTheme="minorEastAsia" w:hAnsiTheme="minorEastAsia"/>
          <w:bCs/>
          <w:color w:val="auto"/>
          <w:sz w:val="32"/>
          <w:highlight w:val="none"/>
        </w:rPr>
      </w:pPr>
      <w:r>
        <w:rPr>
          <w:rFonts w:hint="eastAsia" w:eastAsia="宋体" w:asciiTheme="minorEastAsia" w:hAnsiTheme="minorEastAsia"/>
          <w:bCs/>
          <w:color w:val="auto"/>
          <w:sz w:val="32"/>
          <w:highlight w:val="none"/>
        </w:rPr>
        <w:t xml:space="preserve">  </w:t>
      </w:r>
      <w:r/>
    </w:p>
    <w:p>
      <w:pPr>
        <w:spacing w:line="360" w:lineRule="auto"/>
        <w:rPr>
          <w:rFonts w:hint="eastAsia" w:asciiTheme="minorEastAsia" w:hAnsiTheme="minorEastAsia"/>
          <w:color w:val="auto"/>
          <w:sz w:val="32"/>
          <w:szCs w:val="32"/>
          <w:highlight w:val="none"/>
        </w:rPr>
      </w:pPr>
      <w:r>
        <w:rPr>
          <w:rFonts w:hint="eastAsia" w:asciiTheme="minorEastAsia" w:hAnsiTheme="minorEastAsia"/>
          <w:color w:val="auto"/>
          <w:sz w:val="32"/>
          <w:szCs w:val="32"/>
          <w:highlight w:val="none"/>
        </w:rPr>
      </w:r>
      <w:r/>
    </w:p>
    <w:p>
      <w:pPr>
        <w:spacing w:line="360" w:lineRule="auto"/>
        <w:rPr>
          <w:rFonts w:hint="eastAsia" w:asciiTheme="minorEastAsia" w:hAnsiTheme="minorEastAsia"/>
          <w:color w:val="auto"/>
          <w:sz w:val="32"/>
          <w:szCs w:val="32"/>
          <w:highlight w:val="none"/>
        </w:rPr>
      </w:pPr>
      <w:r>
        <w:rPr>
          <w:rFonts w:hint="eastAsia" w:asciiTheme="minorEastAsia" w:hAnsiTheme="minorEastAsia"/>
          <w:color w:val="auto"/>
          <w:sz w:val="32"/>
          <w:szCs w:val="32"/>
          <w:highlight w:val="none"/>
        </w:rPr>
      </w:r>
      <w:r/>
    </w:p>
    <w:p>
      <w:pPr>
        <w:spacing w:line="360" w:lineRule="auto"/>
        <w:rPr>
          <w:rFonts w:hint="eastAsia" w:asciiTheme="minorEastAsia" w:hAnsiTheme="minorEastAsia"/>
          <w:bCs/>
          <w:color w:val="auto"/>
          <w:sz w:val="32"/>
          <w:highlight w:val="none"/>
        </w:rPr>
      </w:pPr>
      <w:r>
        <w:rPr>
          <w:rFonts w:hint="eastAsia" w:asciiTheme="minorEastAsia" w:hAnsiTheme="minorEastAsia"/>
          <w:bCs/>
          <w:color w:val="auto"/>
          <w:sz w:val="32"/>
          <w:highlight w:val="none"/>
        </w:rPr>
      </w:r>
      <w:r/>
    </w:p>
    <w:p>
      <w:pPr>
        <w:spacing w:line="360" w:lineRule="auto"/>
        <w:rPr>
          <w:rFonts w:hint="eastAsia" w:asciiTheme="minorEastAsia" w:hAnsiTheme="minorEastAsia"/>
          <w:bCs/>
          <w:color w:val="auto"/>
          <w:sz w:val="32"/>
          <w:highlight w:val="none"/>
        </w:rPr>
      </w:pPr>
      <w:r>
        <w:rPr>
          <w:rFonts w:hint="eastAsia" w:asciiTheme="minorEastAsia" w:hAnsiTheme="minorEastAsia"/>
          <w:bCs/>
          <w:color w:val="auto"/>
          <w:sz w:val="32"/>
          <w:highlight w:val="none"/>
        </w:rPr>
      </w:r>
      <w:r/>
    </w:p>
    <w:p>
      <w:pPr>
        <w:pStyle w:val="760"/>
        <w:ind w:firstLine="0"/>
        <w:jc w:val="both"/>
        <w:spacing w:line="360" w:lineRule="auto"/>
        <w:rPr>
          <w:rFonts w:hint="eastAsia" w:asciiTheme="minorEastAsia" w:hAnsiTheme="minorEastAsia"/>
          <w:color w:val="auto"/>
          <w:highlight w:val="none"/>
        </w:rPr>
      </w:pPr>
      <w:r/>
      <w:bookmarkStart w:id="0" w:name="报价方须知前附表"/>
      <w:r/>
      <w:bookmarkEnd w:id="0"/>
      <w:r/>
      <w:r/>
    </w:p>
    <w:p>
      <w:pPr>
        <w:jc w:val="center"/>
        <w:spacing w:line="360" w:lineRule="auto"/>
        <w:rPr>
          <w:rFonts w:hint="eastAsia" w:asciiTheme="minorEastAsia" w:hAnsiTheme="minorEastAsia"/>
          <w:b/>
          <w:bCs/>
          <w:color w:val="auto"/>
          <w:sz w:val="28"/>
          <w:szCs w:val="28"/>
          <w:highlight w:val="none"/>
        </w:rPr>
      </w:pPr>
      <w:r>
        <w:rPr>
          <w:rFonts w:hint="eastAsia" w:asciiTheme="minorEastAsia" w:hAnsiTheme="minorEastAsia"/>
          <w:b/>
          <w:bCs/>
          <w:color w:val="auto"/>
          <w:sz w:val="28"/>
          <w:szCs w:val="28"/>
          <w:highlight w:val="none"/>
        </w:rPr>
      </w:r>
      <w:r/>
    </w:p>
    <w:p>
      <w:pPr>
        <w:jc w:val="center"/>
        <w:spacing w:line="360" w:lineRule="auto"/>
        <w:rPr>
          <w:rFonts w:hint="eastAsia" w:ascii="黑体" w:hAnsi="黑体" w:eastAsia="黑体" w:cs="黑体"/>
          <w:color w:val="auto"/>
          <w:sz w:val="36"/>
          <w:szCs w:val="36"/>
          <w:highlight w:val="none"/>
        </w:rPr>
        <w:sectPr>
          <w:headerReference w:type="first" r:id="rId9"/>
          <w:footerReference w:type="first" r:id="rId10"/>
          <w:footnotePr/>
          <w:endnotePr/>
          <w:type w:val="nextPage"/>
          <w:pgSz w:w="11906" w:h="16838" w:orient="portrait"/>
          <w:pgMar w:top="850" w:right="851" w:bottom="850" w:left="1134" w:header="624" w:footer="907" w:gutter="0"/>
          <w:pgNumType w:start="0"/>
          <w:cols w:num="1" w:sep="0" w:space="425" w:equalWidth="1"/>
          <w:docGrid w:linePitch="360"/>
          <w:titlePg/>
        </w:sectPr>
      </w:pPr>
      <w:r>
        <w:rPr>
          <w:rFonts w:hint="eastAsia" w:ascii="黑体" w:hAnsi="黑体" w:eastAsia="黑体" w:cs="黑体"/>
          <w:color w:val="auto"/>
          <w:sz w:val="36"/>
          <w:szCs w:val="36"/>
          <w:highlight w:val="none"/>
        </w:rPr>
      </w:r>
      <w:r/>
    </w:p>
    <w:p>
      <w:pPr>
        <w:jc w:val="center"/>
        <w:spacing w:line="360" w:lineRule="auto"/>
        <w:rPr>
          <w:rFonts w:hint="eastAsia" w:asciiTheme="minorEastAsia" w:hAnsiTheme="minorEastAsia"/>
          <w:b/>
          <w:bCs/>
          <w:color w:val="auto"/>
          <w:sz w:val="28"/>
          <w:szCs w:val="28"/>
          <w:highlight w:val="none"/>
        </w:rPr>
      </w:pPr>
      <w:r>
        <w:rPr>
          <w:rFonts w:hint="eastAsia" w:ascii="黑体" w:hAnsi="黑体" w:eastAsia="黑体" w:cs="黑体"/>
          <w:color w:val="auto"/>
          <w:sz w:val="36"/>
          <w:szCs w:val="36"/>
          <w:highlight w:val="none"/>
        </w:rPr>
        <w:t xml:space="preserve">第一章  投标邀请函</w:t>
      </w:r>
      <w:r/>
    </w:p>
    <w:p>
      <w:pPr>
        <w:ind w:firstLine="480"/>
        <w:spacing w:line="360" w:lineRule="auto"/>
        <w:rPr>
          <w:rFonts w:hint="eastAsia" w:asciiTheme="minorEastAsia" w:hAnsiTheme="minorEastAsia"/>
          <w:bCs/>
          <w:color w:val="auto"/>
          <w:sz w:val="24"/>
          <w:szCs w:val="24"/>
          <w:highlight w:val="none"/>
        </w:rPr>
      </w:pPr>
      <w:r>
        <w:rPr>
          <w:rFonts w:hint="eastAsia" w:eastAsia="宋体" w:asciiTheme="minorEastAsia" w:hAnsiTheme="minorEastAsia"/>
          <w:bCs/>
          <w:color w:val="auto"/>
          <w:sz w:val="24"/>
          <w:szCs w:val="24"/>
          <w:highlight w:val="none"/>
          <w:u w:val="single"/>
        </w:rPr>
        <w:t xml:space="preserve">普信国际工程咨询有限公司</w:t>
      </w:r>
      <w:r>
        <w:rPr>
          <w:rFonts w:hint="eastAsia" w:asciiTheme="minorEastAsia" w:hAnsiTheme="minorEastAsia"/>
          <w:bCs/>
          <w:color w:val="auto"/>
          <w:sz w:val="24"/>
          <w:szCs w:val="24"/>
          <w:highlight w:val="none"/>
        </w:rPr>
        <w:t xml:space="preserve">受</w:t>
      </w:r>
      <w:r>
        <w:rPr>
          <w:rFonts w:hint="eastAsia" w:eastAsia="宋体" w:asciiTheme="minorEastAsia" w:hAnsiTheme="minorEastAsia"/>
          <w:bCs/>
          <w:color w:val="auto"/>
          <w:sz w:val="24"/>
          <w:highlight w:val="none"/>
          <w:u w:val="single"/>
          <w:lang w:eastAsia="zh-CN"/>
        </w:rPr>
        <w:t xml:space="preserve">无锡市生态环境监测监控中心</w:t>
      </w:r>
      <w:r>
        <w:rPr>
          <w:rFonts w:hint="eastAsia" w:asciiTheme="minorEastAsia" w:hAnsiTheme="minorEastAsia"/>
          <w:bCs/>
          <w:color w:val="auto"/>
          <w:sz w:val="24"/>
          <w:szCs w:val="24"/>
          <w:highlight w:val="none"/>
        </w:rPr>
        <w:t xml:space="preserve">的委托，对</w:t>
      </w:r>
      <w:r>
        <w:rPr>
          <w:rFonts w:hint="eastAsia" w:eastAsia="宋体" w:asciiTheme="minorEastAsia" w:hAnsiTheme="minorEastAsia"/>
          <w:bCs/>
          <w:color w:val="auto"/>
          <w:sz w:val="24"/>
          <w:highlight w:val="none"/>
          <w:u w:val="single"/>
          <w:lang w:eastAsia="zh-CN"/>
        </w:rPr>
        <w:t xml:space="preserve">无锡市市建水站运维项目采购（第三次）</w:t>
      </w:r>
      <w:r>
        <w:rPr>
          <w:rFonts w:hint="eastAsia" w:asciiTheme="minorEastAsia" w:hAnsiTheme="minorEastAsia"/>
          <w:bCs/>
          <w:color w:val="auto"/>
          <w:sz w:val="24"/>
          <w:szCs w:val="24"/>
          <w:highlight w:val="none"/>
        </w:rPr>
        <w:t xml:space="preserve">进行公开招标采购，欢迎符合相关条件的供应商参加投标。</w:t>
      </w:r>
      <w:r/>
    </w:p>
    <w:p>
      <w:pPr>
        <w:ind w:firstLine="480"/>
        <w:spacing w:line="360" w:lineRule="auto"/>
        <w:rPr>
          <w:rFonts w:hint="eastAsia" w:ascii="宋体" w:hAnsi="宋体" w:eastAsia="宋体" w:cs="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360" w:lineRule="auto"/>
        <w:rPr>
          <w:rFonts w:hint="eastAsia" w:ascii="宋体" w:hAnsi="宋体" w:eastAsia="宋体" w:cs="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lang w:eastAsia="zh-CN"/>
        </w:rPr>
        <w:t xml:space="preserve">无锡市市建水站运维项目采购（第三次）</w:t>
      </w:r>
      <w:r>
        <w:rPr>
          <w:rFonts w:hint="eastAsia" w:ascii="宋体" w:hAnsi="宋体" w:eastAsia="宋体" w:cs="宋体"/>
          <w:color w:val="auto"/>
          <w:sz w:val="24"/>
          <w:szCs w:val="24"/>
          <w:highlight w:val="none"/>
        </w:rPr>
        <w:t xml:space="preserve">的潜在投标人应在“江苏政府采购网”自行浏览招标文件，如有投标意向须在本招标文件有效获取期内通过登录“江苏省政府采购（苏采云）平台”下载的方式依法获取招标文件，并于</w:t>
      </w:r>
      <w:r>
        <w:rPr>
          <w:rFonts w:hint="eastAsia" w:ascii="宋体" w:hAnsi="宋体" w:eastAsia="宋体" w:cs="宋体"/>
          <w:b w:val="0"/>
          <w:bCs w:val="0"/>
          <w:color w:val="auto"/>
          <w:sz w:val="24"/>
          <w:szCs w:val="24"/>
          <w:highlight w:val="none"/>
          <w:lang w:eastAsia="zh-CN"/>
        </w:rPr>
        <w:t xml:space="preserve">2025年</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eastAsia="zh-CN"/>
        </w:rPr>
        <w:t xml:space="preserve">月</w:t>
      </w:r>
      <w:r>
        <w:rPr>
          <w:rFonts w:hint="eastAsia" w:ascii="宋体" w:hAnsi="宋体" w:eastAsia="宋体" w:cs="宋体"/>
          <w:b w:val="0"/>
          <w:bCs w:val="0"/>
          <w:color w:val="auto"/>
          <w:sz w:val="24"/>
          <w:szCs w:val="24"/>
          <w:highlight w:val="none"/>
          <w:lang w:val="en-US" w:eastAsia="zh-CN"/>
        </w:rPr>
        <w:t xml:space="preserve">17</w:t>
      </w:r>
      <w:r>
        <w:rPr>
          <w:rFonts w:hint="eastAsia" w:ascii="宋体" w:hAnsi="宋体" w:eastAsia="宋体" w:cs="宋体"/>
          <w:b w:val="0"/>
          <w:bCs w:val="0"/>
          <w:color w:val="auto"/>
          <w:sz w:val="24"/>
          <w:szCs w:val="24"/>
          <w:highlight w:val="none"/>
          <w:lang w:eastAsia="zh-CN"/>
        </w:rPr>
        <w:t xml:space="preserve">日</w:t>
      </w:r>
      <w:r>
        <w:rPr>
          <w:rFonts w:hint="eastAsia" w:ascii="宋体" w:hAnsi="宋体" w:eastAsia="宋体" w:cs="宋体"/>
          <w:b w:val="0"/>
          <w:bCs w:val="0"/>
          <w:color w:val="auto"/>
          <w:sz w:val="24"/>
          <w:szCs w:val="24"/>
          <w:highlight w:val="none"/>
          <w:lang w:val="en-US" w:eastAsia="zh-CN"/>
        </w:rPr>
        <w:t xml:space="preserve">09</w:t>
      </w:r>
      <w:r>
        <w:rPr>
          <w:rFonts w:hint="eastAsia" w:ascii="宋体" w:hAnsi="宋体" w:eastAsia="宋体" w:cs="宋体"/>
          <w:b w:val="0"/>
          <w:bCs w:val="0"/>
          <w:color w:val="auto"/>
          <w:sz w:val="24"/>
          <w:szCs w:val="24"/>
          <w:highlight w:val="none"/>
        </w:rPr>
        <w:t xml:space="preserve">点</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ind w:firstLine="241"/>
        <w:spacing w:line="360" w:lineRule="auto"/>
        <w:rPr>
          <w:rFonts w:hint="eastAsia"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 xml:space="preserve">（一）</w:t>
      </w:r>
      <w:r>
        <w:rPr>
          <w:rFonts w:hint="eastAsia" w:cs="宋体" w:asciiTheme="minorEastAsia" w:hAnsiTheme="minorEastAsia"/>
          <w:b/>
          <w:color w:val="auto"/>
          <w:sz w:val="24"/>
          <w:szCs w:val="24"/>
          <w:highlight w:val="none"/>
        </w:rPr>
        <w:t xml:space="preserve">招标项目信息</w:t>
      </w:r>
      <w:r/>
    </w:p>
    <w:p>
      <w:pPr>
        <w:ind w:firstLine="480"/>
        <w:jc w:val="left"/>
        <w:spacing w:line="360" w:lineRule="auto"/>
        <w:shd w:val="clear" w:color="auto" w:fill="ffffff"/>
        <w:widowControl/>
        <w:rPr>
          <w:rFonts w:hint="eastAsia" w:cs="宋体" w:asciiTheme="minorEastAsia" w:hAnsiTheme="minorEastAsia" w:eastAsiaTheme="minorEastAsia"/>
          <w:color w:val="auto"/>
          <w:sz w:val="24"/>
          <w:szCs w:val="24"/>
          <w:highlight w:val="none"/>
          <w:lang w:eastAsia="zh-CN"/>
        </w:rPr>
      </w:pPr>
      <w:r>
        <w:rPr>
          <w:rFonts w:hint="eastAsia" w:cs="宋体" w:asciiTheme="minorEastAsia" w:hAnsiTheme="minorEastAsia"/>
          <w:color w:val="auto"/>
          <w:sz w:val="24"/>
          <w:szCs w:val="24"/>
          <w:highlight w:val="none"/>
        </w:rPr>
        <w:t xml:space="preserve">1.项目名称：</w:t>
      </w:r>
      <w:r>
        <w:rPr>
          <w:rFonts w:hint="eastAsia" w:eastAsia="宋体" w:cs="宋体" w:asciiTheme="minorEastAsia" w:hAnsiTheme="minorEastAsia"/>
          <w:color w:val="auto"/>
          <w:sz w:val="24"/>
          <w:szCs w:val="24"/>
          <w:highlight w:val="none"/>
          <w:lang w:eastAsia="zh-CN"/>
        </w:rPr>
        <w:t xml:space="preserve">无锡市市建水站运维项目采购（第三次）</w:t>
      </w:r>
      <w:r/>
    </w:p>
    <w:p>
      <w:pPr>
        <w:ind w:firstLine="480"/>
        <w:jc w:val="left"/>
        <w:spacing w:line="360" w:lineRule="auto"/>
        <w:shd w:val="clear" w:color="auto" w:fill="ffffff"/>
        <w:widowControl/>
        <w:rPr>
          <w:rFonts w:hint="eastAsia" w:cs="宋体" w:asciiTheme="minorEastAsia" w:hAnsiTheme="minorEastAsia" w:eastAsiaTheme="minorEastAsia"/>
          <w:color w:val="auto"/>
          <w:sz w:val="24"/>
          <w:szCs w:val="24"/>
          <w:highlight w:val="none"/>
          <w:lang w:eastAsia="zh-CN"/>
        </w:rPr>
      </w:pPr>
      <w:r>
        <w:rPr>
          <w:rFonts w:hint="eastAsia" w:cs="宋体" w:asciiTheme="minorEastAsia" w:hAnsiTheme="minorEastAsia"/>
          <w:color w:val="auto"/>
          <w:sz w:val="24"/>
          <w:szCs w:val="24"/>
          <w:highlight w:val="none"/>
        </w:rPr>
        <w:t xml:space="preserve">2.项目编号：</w:t>
      </w:r>
      <w:r>
        <w:rPr>
          <w:rFonts w:hint="eastAsia" w:cs="宋体" w:asciiTheme="minorEastAsia" w:hAnsiTheme="minorEastAsia"/>
          <w:color w:val="auto"/>
          <w:sz w:val="24"/>
          <w:szCs w:val="24"/>
          <w:highlight w:val="none"/>
          <w:lang w:eastAsia="zh-CN"/>
        </w:rPr>
        <w:t xml:space="preserve">JSZC-320200-PXGJ-G2025-0116</w:t>
      </w:r>
      <w:r/>
    </w:p>
    <w:p>
      <w:pPr>
        <w:ind w:firstLine="480"/>
        <w:jc w:val="left"/>
        <w:spacing w:line="360" w:lineRule="auto"/>
        <w:shd w:val="clear" w:color="auto" w:fill="ffffff"/>
        <w:widowControl/>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3.</w:t>
      </w:r>
      <w:r>
        <w:rPr>
          <w:rFonts w:cs="宋体" w:asciiTheme="minorEastAsia" w:hAnsiTheme="minorEastAsia"/>
          <w:color w:val="auto"/>
          <w:sz w:val="24"/>
          <w:szCs w:val="24"/>
          <w:highlight w:val="none"/>
        </w:rPr>
        <w:t xml:space="preserve">项目</w:t>
      </w:r>
      <w:r>
        <w:rPr>
          <w:rFonts w:hint="eastAsia" w:cs="宋体" w:asciiTheme="minorEastAsia" w:hAnsiTheme="minorEastAsia"/>
          <w:color w:val="auto"/>
          <w:sz w:val="24"/>
          <w:szCs w:val="24"/>
          <w:highlight w:val="none"/>
        </w:rPr>
        <w:t xml:space="preserve">预算金额：</w:t>
      </w:r>
      <w:r>
        <w:rPr>
          <w:rFonts w:hint="eastAsia" w:cs="宋体" w:asciiTheme="minorEastAsia" w:hAnsiTheme="minorEastAsia"/>
          <w:color w:val="auto"/>
          <w:sz w:val="24"/>
          <w:szCs w:val="24"/>
          <w:highlight w:val="none"/>
          <w:lang w:val="en-US" w:eastAsia="zh-CN"/>
        </w:rPr>
        <w:t xml:space="preserve">149万元；其中采购包1预算金额为78.13万元，采购包2预算金额为46.11万元，采购包3预算金额为24.76 万元</w:t>
      </w:r>
      <w:r>
        <w:rPr>
          <w:rFonts w:hint="eastAsia" w:cs="宋体" w:asciiTheme="minorEastAsia" w:hAnsiTheme="minorEastAsia"/>
          <w:color w:val="auto"/>
          <w:sz w:val="24"/>
          <w:szCs w:val="24"/>
          <w:highlight w:val="none"/>
        </w:rPr>
        <w:t xml:space="preserve">。</w:t>
      </w:r>
      <w:r/>
    </w:p>
    <w:p>
      <w:pPr>
        <w:ind w:firstLine="480"/>
        <w:jc w:val="left"/>
        <w:spacing w:line="360" w:lineRule="auto"/>
        <w:shd w:val="clear" w:color="auto" w:fill="ffffff"/>
        <w:widowControl/>
        <w:rPr>
          <w:rFonts w:hint="default"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rPr>
        <w:t xml:space="preserve">4.项目</w:t>
      </w:r>
      <w:r>
        <w:rPr>
          <w:rFonts w:hint="eastAsia" w:asciiTheme="minorEastAsia" w:hAnsiTheme="minorEastAsia"/>
          <w:color w:val="auto"/>
          <w:sz w:val="24"/>
          <w:szCs w:val="24"/>
          <w:highlight w:val="none"/>
        </w:rPr>
        <w:t xml:space="preserve">最高限价</w:t>
      </w:r>
      <w:r>
        <w:rPr>
          <w:rFonts w:hint="eastAsia" w:cs="宋体" w:asciiTheme="minorEastAsia" w:hAnsiTheme="minorEastAsia"/>
          <w:color w:val="auto"/>
          <w:sz w:val="24"/>
          <w:szCs w:val="24"/>
          <w:highlight w:val="none"/>
        </w:rPr>
        <w:t xml:space="preserve">：</w:t>
      </w:r>
      <w:r>
        <w:rPr>
          <w:rFonts w:hint="eastAsia" w:cs="宋体" w:asciiTheme="minorEastAsia" w:hAnsiTheme="minorEastAsia"/>
          <w:color w:val="auto"/>
          <w:sz w:val="24"/>
          <w:szCs w:val="24"/>
          <w:highlight w:val="none"/>
          <w:lang w:val="en-US" w:eastAsia="zh-CN"/>
        </w:rPr>
        <w:t xml:space="preserve">采购包1</w:t>
      </w:r>
      <w:r>
        <w:rPr>
          <w:rFonts w:hint="eastAsia" w:asciiTheme="minorEastAsia" w:hAnsiTheme="minorEastAsia"/>
          <w:color w:val="auto"/>
          <w:sz w:val="24"/>
          <w:szCs w:val="24"/>
          <w:highlight w:val="none"/>
        </w:rPr>
        <w:t xml:space="preserve">最高限价</w:t>
      </w:r>
      <w:r>
        <w:rPr>
          <w:rFonts w:hint="eastAsia" w:cs="宋体" w:asciiTheme="minorEastAsia" w:hAnsiTheme="minorEastAsia"/>
          <w:color w:val="auto"/>
          <w:sz w:val="24"/>
          <w:szCs w:val="24"/>
          <w:highlight w:val="none"/>
          <w:lang w:val="en-US" w:eastAsia="zh-CN"/>
        </w:rPr>
        <w:t xml:space="preserve">：78.13万元，采购包2</w:t>
      </w:r>
      <w:r>
        <w:rPr>
          <w:rFonts w:hint="eastAsia" w:asciiTheme="minorEastAsia" w:hAnsiTheme="minorEastAsia"/>
          <w:color w:val="auto"/>
          <w:sz w:val="24"/>
          <w:szCs w:val="24"/>
          <w:highlight w:val="none"/>
        </w:rPr>
        <w:t xml:space="preserve">最高限价</w:t>
      </w:r>
      <w:r>
        <w:rPr>
          <w:rFonts w:hint="eastAsia" w:cs="宋体" w:asciiTheme="minorEastAsia" w:hAnsiTheme="minorEastAsia"/>
          <w:color w:val="auto"/>
          <w:sz w:val="24"/>
          <w:szCs w:val="24"/>
          <w:highlight w:val="none"/>
          <w:lang w:val="en-US" w:eastAsia="zh-CN"/>
        </w:rPr>
        <w:t xml:space="preserve">：46.11万元，采购包3</w:t>
      </w:r>
      <w:r>
        <w:rPr>
          <w:rFonts w:hint="eastAsia" w:asciiTheme="minorEastAsia" w:hAnsiTheme="minorEastAsia"/>
          <w:color w:val="auto"/>
          <w:sz w:val="24"/>
          <w:szCs w:val="24"/>
          <w:highlight w:val="none"/>
        </w:rPr>
        <w:t xml:space="preserve">最高限价</w:t>
      </w:r>
      <w:r>
        <w:rPr>
          <w:rFonts w:hint="eastAsia" w:cs="宋体" w:asciiTheme="minorEastAsia" w:hAnsiTheme="minorEastAsia"/>
          <w:color w:val="auto"/>
          <w:sz w:val="24"/>
          <w:szCs w:val="24"/>
          <w:highlight w:val="none"/>
          <w:lang w:val="en-US" w:eastAsia="zh-CN"/>
        </w:rPr>
        <w:t xml:space="preserve">：24.76 万元，</w:t>
      </w:r>
      <w:r>
        <w:rPr>
          <w:rFonts w:hint="eastAsia" w:ascii="宋体" w:hAnsi="宋体" w:cs="宋体"/>
          <w:color w:val="auto"/>
          <w:sz w:val="24"/>
          <w:highlight w:val="none"/>
        </w:rPr>
        <w:t xml:space="preserve">投标报价高于最高限价的作为无效投标处理</w:t>
      </w:r>
      <w:r>
        <w:rPr>
          <w:rFonts w:hint="eastAsia" w:cs="宋体" w:asciiTheme="minorEastAsia" w:hAnsiTheme="minorEastAsia"/>
          <w:color w:val="auto"/>
          <w:sz w:val="24"/>
          <w:szCs w:val="24"/>
          <w:highlight w:val="none"/>
          <w:lang w:val="en-US" w:eastAsia="zh-CN"/>
        </w:rPr>
        <w:t xml:space="preserve">。</w:t>
      </w:r>
      <w:r/>
    </w:p>
    <w:p>
      <w:pPr>
        <w:ind w:firstLine="480"/>
        <w:jc w:val="left"/>
        <w:spacing w:line="360" w:lineRule="auto"/>
        <w:shd w:val="clear" w:color="auto" w:fill="ffffff"/>
        <w:widowControl/>
        <w:rPr>
          <w:rFonts w:hint="eastAsia" w:cs="宋体" w:asciiTheme="minorEastAsia" w:hAnsiTheme="minorEastAsia" w:eastAsiaTheme="minorEastAsia"/>
          <w:color w:val="auto"/>
          <w:sz w:val="24"/>
          <w:szCs w:val="24"/>
          <w:highlight w:val="none"/>
          <w:lang w:eastAsia="zh-CN"/>
        </w:rPr>
      </w:pPr>
      <w:r>
        <w:rPr>
          <w:rFonts w:hint="eastAsia" w:cs="宋体" w:asciiTheme="minorEastAsia" w:hAnsiTheme="minorEastAsia"/>
          <w:color w:val="auto"/>
          <w:sz w:val="24"/>
          <w:szCs w:val="24"/>
          <w:highlight w:val="none"/>
        </w:rPr>
        <w:t xml:space="preserve">5.采购需求：无锡市市建水站运维项目，本项目共设</w:t>
      </w:r>
      <w:r>
        <w:rPr>
          <w:rFonts w:hint="eastAsia" w:cs="宋体" w:asciiTheme="minorEastAsia" w:hAnsiTheme="minorEastAsia"/>
          <w:color w:val="auto"/>
          <w:sz w:val="24"/>
          <w:szCs w:val="24"/>
          <w:highlight w:val="none"/>
          <w:lang w:val="en-US" w:eastAsia="zh-CN"/>
        </w:rPr>
        <w:t xml:space="preserve">3</w:t>
      </w:r>
      <w:r>
        <w:rPr>
          <w:rFonts w:hint="eastAsia" w:cs="宋体" w:asciiTheme="minorEastAsia" w:hAnsiTheme="minorEastAsia"/>
          <w:color w:val="auto"/>
          <w:sz w:val="24"/>
          <w:szCs w:val="24"/>
          <w:highlight w:val="none"/>
        </w:rPr>
        <w:t xml:space="preserve">个</w:t>
      </w:r>
      <w:r>
        <w:rPr>
          <w:rFonts w:hint="eastAsia" w:cs="宋体" w:asciiTheme="minorEastAsia" w:hAnsiTheme="minorEastAsia"/>
          <w:color w:val="auto"/>
          <w:sz w:val="24"/>
          <w:szCs w:val="24"/>
          <w:highlight w:val="none"/>
          <w:lang w:eastAsia="zh-CN"/>
        </w:rPr>
        <w:t xml:space="preserve">采购包</w:t>
      </w:r>
      <w:r>
        <w:rPr>
          <w:rFonts w:hint="eastAsia" w:cs="宋体" w:asciiTheme="minorEastAsia" w:hAnsiTheme="minorEastAsia"/>
          <w:color w:val="auto"/>
          <w:sz w:val="24"/>
          <w:szCs w:val="24"/>
          <w:highlight w:val="none"/>
        </w:rPr>
        <w:t xml:space="preserve">，其中</w:t>
      </w:r>
      <w:r>
        <w:rPr>
          <w:rFonts w:hint="eastAsia" w:cs="宋体" w:asciiTheme="minorEastAsia" w:hAnsiTheme="minorEastAsia"/>
          <w:color w:val="auto"/>
          <w:sz w:val="24"/>
          <w:szCs w:val="24"/>
          <w:highlight w:val="none"/>
          <w:lang w:eastAsia="zh-CN"/>
        </w:rPr>
        <w:t xml:space="preserve">采购包1</w:t>
      </w:r>
      <w:r>
        <w:rPr>
          <w:rFonts w:hint="eastAsia" w:cs="宋体" w:asciiTheme="minorEastAsia" w:hAnsiTheme="minorEastAsia"/>
          <w:color w:val="auto"/>
          <w:sz w:val="24"/>
          <w:szCs w:val="24"/>
          <w:highlight w:val="none"/>
        </w:rPr>
        <w:t xml:space="preserve">为无锡市市建水站运维项目（固定站）运维服务；</w:t>
      </w:r>
      <w:r>
        <w:rPr>
          <w:rFonts w:hint="eastAsia" w:cs="宋体" w:asciiTheme="minorEastAsia" w:hAnsiTheme="minorEastAsia"/>
          <w:color w:val="auto"/>
          <w:sz w:val="24"/>
          <w:szCs w:val="24"/>
          <w:highlight w:val="none"/>
          <w:lang w:eastAsia="zh-CN"/>
        </w:rPr>
        <w:t xml:space="preserve">采购包2</w:t>
      </w:r>
      <w:r>
        <w:rPr>
          <w:rFonts w:hint="eastAsia" w:cs="宋体" w:asciiTheme="minorEastAsia" w:hAnsiTheme="minorEastAsia"/>
          <w:color w:val="auto"/>
          <w:sz w:val="24"/>
          <w:szCs w:val="24"/>
          <w:highlight w:val="none"/>
        </w:rPr>
        <w:t xml:space="preserve">为无锡市市建水站运维项目（浮标站）运维服务</w:t>
      </w:r>
      <w:r>
        <w:rPr>
          <w:rFonts w:hint="eastAsia" w:cs="宋体" w:asciiTheme="minorEastAsia" w:hAnsiTheme="minorEastAsia"/>
          <w:color w:val="auto"/>
          <w:sz w:val="24"/>
          <w:szCs w:val="24"/>
          <w:highlight w:val="none"/>
          <w:lang w:eastAsia="zh-CN"/>
        </w:rPr>
        <w:t xml:space="preserve">；采购包3</w:t>
      </w:r>
      <w:r>
        <w:rPr>
          <w:rFonts w:hint="eastAsia" w:cs="宋体" w:asciiTheme="minorEastAsia" w:hAnsiTheme="minorEastAsia"/>
          <w:color w:val="auto"/>
          <w:sz w:val="24"/>
          <w:szCs w:val="24"/>
          <w:highlight w:val="none"/>
        </w:rPr>
        <w:t xml:space="preserve">为无锡市市建水站运维项目</w:t>
      </w:r>
      <w:r>
        <w:rPr>
          <w:rFonts w:hint="eastAsia" w:cs="宋体" w:asciiTheme="minorEastAsia" w:hAnsiTheme="minorEastAsia"/>
          <w:color w:val="auto"/>
          <w:sz w:val="24"/>
          <w:szCs w:val="24"/>
          <w:highlight w:val="none"/>
          <w:lang w:val="en-US" w:eastAsia="zh-CN"/>
        </w:rPr>
        <w:t xml:space="preserve">运维质控</w:t>
      </w:r>
      <w:r>
        <w:rPr>
          <w:rFonts w:hint="eastAsia" w:cs="宋体" w:asciiTheme="minorEastAsia" w:hAnsiTheme="minorEastAsia"/>
          <w:color w:val="auto"/>
          <w:sz w:val="24"/>
          <w:szCs w:val="24"/>
          <w:highlight w:val="none"/>
        </w:rPr>
        <w:t xml:space="preserve">服务</w:t>
      </w:r>
      <w:r>
        <w:rPr>
          <w:rFonts w:hint="eastAsia" w:cs="宋体" w:asciiTheme="minorEastAsia" w:hAnsiTheme="minorEastAsia"/>
          <w:color w:val="auto"/>
          <w:sz w:val="24"/>
          <w:szCs w:val="24"/>
          <w:highlight w:val="none"/>
          <w:lang w:eastAsia="zh-CN"/>
        </w:rPr>
        <w:t xml:space="preserve">。</w:t>
      </w:r>
      <w:r>
        <w:rPr>
          <w:rFonts w:hint="eastAsia" w:ascii="宋体" w:hAnsi="宋体" w:eastAsia="宋体" w:cs="宋体"/>
          <w:bCs/>
          <w:color w:val="auto"/>
          <w:sz w:val="24"/>
          <w:szCs w:val="20"/>
          <w:highlight w:val="none"/>
          <w:lang w:val="en-US" w:eastAsia="zh-CN"/>
        </w:rPr>
        <w:t xml:space="preserve">采购包1或采购包2的中标供应商不能中标采购包3，如发生此类情况则采购包3的中标供应</w:t>
      </w:r>
      <w:r>
        <w:rPr>
          <w:rFonts w:hint="eastAsia" w:hAnsi="宋体" w:cs="宋体"/>
          <w:bCs/>
          <w:color w:val="auto"/>
          <w:sz w:val="24"/>
          <w:szCs w:val="20"/>
          <w:highlight w:val="none"/>
          <w:lang w:val="en-US" w:eastAsia="zh-CN"/>
        </w:rPr>
        <w:t xml:space="preserve">商顺延。</w:t>
      </w:r>
      <w:r>
        <w:rPr>
          <w:rFonts w:hint="eastAsia" w:ascii="新宋体" w:hAnsi="新宋体" w:eastAsia="新宋体"/>
          <w:color w:val="auto"/>
          <w:sz w:val="24"/>
          <w:szCs w:val="20"/>
          <w:highlight w:val="none"/>
          <w:lang w:val="en-US" w:eastAsia="zh-CN"/>
        </w:rPr>
        <w:t xml:space="preserve">具体内容</w:t>
      </w:r>
      <w:r>
        <w:rPr>
          <w:rFonts w:hint="eastAsia" w:cs="宋体" w:asciiTheme="minorEastAsia" w:hAnsiTheme="minorEastAsia"/>
          <w:color w:val="auto"/>
          <w:sz w:val="24"/>
          <w:szCs w:val="24"/>
          <w:highlight w:val="none"/>
        </w:rPr>
        <w:t xml:space="preserve">详见招标文件第四章《采购需求》</w:t>
      </w:r>
      <w:r>
        <w:rPr>
          <w:rFonts w:hint="eastAsia" w:cs="宋体" w:asciiTheme="minorEastAsia" w:hAnsiTheme="minorEastAsia"/>
          <w:color w:val="auto"/>
          <w:sz w:val="24"/>
          <w:szCs w:val="24"/>
          <w:highlight w:val="none"/>
          <w:lang w:eastAsia="zh-CN"/>
        </w:rPr>
        <w:t xml:space="preserve">。</w:t>
      </w:r>
      <w:r/>
    </w:p>
    <w:p>
      <w:pPr>
        <w:ind w:firstLine="480"/>
        <w:jc w:val="left"/>
        <w:spacing w:line="360" w:lineRule="auto"/>
        <w:shd w:val="clear" w:color="auto" w:fill="ffffff"/>
        <w:widowControl/>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6.服务期限：</w:t>
      </w:r>
      <w:r>
        <w:rPr>
          <w:rFonts w:hint="eastAsia" w:ascii="宋体" w:hAnsi="宋体" w:cs="宋体"/>
          <w:color w:val="auto"/>
          <w:sz w:val="24"/>
          <w:highlight w:val="none"/>
          <w:u w:val="none"/>
          <w:lang w:val="en-US" w:eastAsia="zh-CN"/>
        </w:rPr>
        <w:t xml:space="preserve">自合同签订之日起一年</w:t>
      </w:r>
      <w:r>
        <w:rPr>
          <w:rFonts w:hint="eastAsia" w:cs="宋体" w:asciiTheme="minorEastAsia" w:hAnsiTheme="minorEastAsia"/>
          <w:color w:val="auto"/>
          <w:sz w:val="24"/>
          <w:szCs w:val="24"/>
          <w:highlight w:val="none"/>
        </w:rPr>
        <w:t xml:space="preserve">。</w:t>
      </w:r>
      <w:r/>
    </w:p>
    <w:p>
      <w:pPr>
        <w:ind w:firstLine="480"/>
        <w:jc w:val="left"/>
        <w:spacing w:line="360" w:lineRule="auto"/>
        <w:shd w:val="clear" w:color="auto" w:fill="ffffff"/>
        <w:widowControl/>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7.本项目标的所属行业：其他未列明行业。根据《中小企业划型标准规定》工信部联企业</w:t>
      </w:r>
      <w:r>
        <w:rPr>
          <w:rFonts w:hint="eastAsia" w:cs="宋体" w:asciiTheme="minorEastAsia" w:hAnsiTheme="minorEastAsia"/>
          <w:color w:val="auto"/>
          <w:sz w:val="24"/>
          <w:szCs w:val="24"/>
          <w:highlight w:val="none"/>
          <w:lang w:eastAsia="zh-CN"/>
        </w:rPr>
        <w:t xml:space="preserve">〔2011〕300号</w:t>
      </w:r>
      <w:r>
        <w:rPr>
          <w:rFonts w:hint="eastAsia" w:cs="宋体" w:asciiTheme="minorEastAsia" w:hAnsiTheme="minorEastAsia"/>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lang w:val="en-US" w:eastAsia="zh-CN"/>
        </w:rPr>
        <w:t xml:space="preserve">8.</w:t>
      </w:r>
      <w:r>
        <w:rPr>
          <w:rFonts w:hint="eastAsia" w:cs="宋体" w:asciiTheme="minorEastAsia" w:hAnsiTheme="minorEastAsia"/>
          <w:color w:val="auto"/>
          <w:sz w:val="24"/>
          <w:szCs w:val="24"/>
          <w:highlight w:val="none"/>
        </w:rPr>
        <w:t xml:space="preserve">本项目</w:t>
      </w:r>
      <w:r>
        <w:rPr>
          <w:rFonts w:hint="eastAsia" w:cs="宋体" w:asciiTheme="minorEastAsia" w:hAnsiTheme="minorEastAsia"/>
          <w:color w:val="auto"/>
          <w:sz w:val="24"/>
          <w:szCs w:val="24"/>
          <w:highlight w:val="none"/>
          <w:u w:val="single"/>
        </w:rPr>
        <w:t xml:space="preserve">不接受 </w:t>
      </w:r>
      <w:r>
        <w:rPr>
          <w:rFonts w:hint="eastAsia" w:cs="宋体" w:asciiTheme="minorEastAsia" w:hAnsiTheme="minorEastAsia"/>
          <w:color w:val="auto"/>
          <w:sz w:val="24"/>
          <w:szCs w:val="24"/>
          <w:highlight w:val="none"/>
        </w:rPr>
        <w:t xml:space="preserve">联合投标。</w:t>
      </w:r>
      <w:r/>
    </w:p>
    <w:p>
      <w:pPr>
        <w:ind w:firstLine="482"/>
        <w:jc w:val="left"/>
        <w:spacing w:line="360" w:lineRule="auto"/>
        <w:shd w:val="clear" w:color="auto" w:fill="ffffff"/>
        <w:widowControl/>
        <w:rPr>
          <w:rFonts w:hint="eastAsia"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（二）投标人资格要求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right="188" w:firstLine="481"/>
        <w:spacing w:before="41" w:line="314"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w:t>
      </w:r>
      <w:r>
        <w:rPr>
          <w:rFonts w:hint="eastAsia" w:ascii="宋体" w:hAnsi="宋体" w:eastAsia="宋体" w:cs="宋体"/>
          <w:color w:val="auto"/>
          <w:spacing w:val="-2"/>
          <w:sz w:val="24"/>
          <w:szCs w:val="24"/>
          <w:highlight w:val="none"/>
          <w:lang w:eastAsia="zh-CN"/>
        </w:rPr>
        <w:t xml:space="preserve">本项目专门面向中小企业（含监狱企业、</w:t>
      </w:r>
      <w:r>
        <w:rPr>
          <w:rFonts w:hint="eastAsia" w:ascii="宋体" w:hAnsi="宋体" w:eastAsia="宋体" w:cs="宋体"/>
          <w:b w:val="0"/>
          <w:bCs w:val="0"/>
          <w:color w:val="auto"/>
          <w:sz w:val="24"/>
          <w:szCs w:val="24"/>
          <w:highlight w:val="none"/>
          <w:lang w:eastAsia="zh-CN"/>
        </w:rPr>
        <w:t xml:space="preserve">残疾人福利性单位）采购，资格证明文件中必须提交《中小企业声明函》或《监狱企业证明文件》或《残疾人福利性单位声明函》</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查询，无被列入失信被执行人、</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、政府采购严重失信行为记录名单及其他不符合《中华人民共和国政府采购法》第二十二条规定条件的信用记录；</w:t>
      </w:r>
      <w:r/>
    </w:p>
    <w:p>
      <w:pPr>
        <w:ind w:firstLine="482"/>
        <w:jc w:val="left"/>
        <w:spacing w:line="360" w:lineRule="auto"/>
        <w:shd w:val="clear" w:color="auto" w:fill="ffffff"/>
        <w:widowControl/>
        <w:rPr>
          <w:rFonts w:hint="eastAsia" w:ascii="宋体" w:hAnsi="宋体" w:eastAsiaTheme="minorEastAsia"/>
          <w:color w:val="auto"/>
          <w:sz w:val="24"/>
          <w:szCs w:val="24"/>
          <w:highlight w:val="none"/>
          <w:lang w:val="en-US" w:eastAsia="zh-CN"/>
        </w:rPr>
      </w:pPr>
      <w:r>
        <w:rPr>
          <w:rFonts w:hint="eastAsia" w:ascii="宋体" w:hAnsi="宋体"/>
          <w:color w:val="auto"/>
          <w:sz w:val="24"/>
          <w:szCs w:val="24"/>
          <w:highlight w:val="none"/>
        </w:rPr>
        <w:t xml:space="preserve">本项目的特定资格要求：</w:t>
      </w:r>
      <w:r>
        <w:rPr>
          <w:rFonts w:hint="eastAsia" w:ascii="宋体" w:hAnsi="宋体"/>
          <w:color w:val="auto"/>
          <w:sz w:val="24"/>
          <w:szCs w:val="24"/>
          <w:highlight w:val="none"/>
          <w:lang w:val="en-US" w:eastAsia="zh-CN"/>
        </w:rPr>
        <w:t xml:space="preserve">无</w:t>
      </w:r>
      <w:r/>
    </w:p>
    <w:p>
      <w:pPr>
        <w:ind w:firstLine="482"/>
        <w:jc w:val="left"/>
        <w:spacing w:line="360" w:lineRule="auto"/>
        <w:shd w:val="clear" w:color="auto" w:fill="ffffff"/>
        <w:widowControl/>
        <w:rPr>
          <w:rFonts w:hint="eastAsia"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（三）获取采购文件的时间期限</w:t>
      </w:r>
      <w:r/>
    </w:p>
    <w:p>
      <w:pPr>
        <w:ind w:firstLine="5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ind w:firstLine="5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ind w:firstLine="482"/>
        <w:jc w:val="left"/>
        <w:spacing w:line="360" w:lineRule="auto"/>
        <w:shd w:val="clear" w:color="auto" w:fill="ffffff"/>
        <w:widowControl/>
        <w:rPr>
          <w:rFonts w:hint="eastAsia"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（四）提交投标文件截止时间、开标时间和地点</w:t>
      </w:r>
      <w:r/>
    </w:p>
    <w:p>
      <w:pPr>
        <w:ind w:firstLine="480"/>
        <w:spacing w:line="360" w:lineRule="auto"/>
        <w:rPr>
          <w:rFonts w:hint="eastAsia"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1.时间：</w:t>
      </w:r>
      <w:r>
        <w:rPr>
          <w:rFonts w:hint="eastAsia" w:ascii="宋体" w:hAnsi="宋体"/>
          <w:b/>
          <w:bCs/>
          <w:color w:val="auto"/>
          <w:sz w:val="24"/>
          <w:szCs w:val="24"/>
          <w:highlight w:val="none"/>
          <w:lang w:eastAsia="zh-CN"/>
        </w:rPr>
        <w:t xml:space="preserve">2025年</w:t>
      </w:r>
      <w:r>
        <w:rPr>
          <w:rFonts w:hint="eastAsia" w:ascii="宋体" w:hAnsi="宋体"/>
          <w:b/>
          <w:bCs/>
          <w:color w:val="auto"/>
          <w:sz w:val="24"/>
          <w:szCs w:val="24"/>
          <w:highlight w:val="none"/>
          <w:lang w:val="en-US" w:eastAsia="zh-CN"/>
        </w:rPr>
        <w:t xml:space="preserve">10</w:t>
      </w:r>
      <w:r>
        <w:rPr>
          <w:rFonts w:hint="eastAsia" w:ascii="宋体" w:hAnsi="宋体"/>
          <w:b/>
          <w:bCs/>
          <w:color w:val="auto"/>
          <w:sz w:val="24"/>
          <w:szCs w:val="24"/>
          <w:highlight w:val="none"/>
          <w:lang w:eastAsia="zh-CN"/>
        </w:rPr>
        <w:t xml:space="preserve">月</w:t>
      </w:r>
      <w:r>
        <w:rPr>
          <w:rFonts w:hint="eastAsia" w:ascii="宋体" w:hAnsi="宋体"/>
          <w:b/>
          <w:bCs/>
          <w:color w:val="auto"/>
          <w:sz w:val="24"/>
          <w:szCs w:val="24"/>
          <w:highlight w:val="none"/>
          <w:lang w:val="en-US" w:eastAsia="zh-CN"/>
        </w:rPr>
        <w:t xml:space="preserve">17</w:t>
      </w:r>
      <w:r>
        <w:rPr>
          <w:rFonts w:hint="eastAsia" w:ascii="宋体" w:hAnsi="宋体"/>
          <w:b/>
          <w:bCs/>
          <w:color w:val="auto"/>
          <w:sz w:val="24"/>
          <w:szCs w:val="24"/>
          <w:highlight w:val="none"/>
          <w:lang w:eastAsia="zh-CN"/>
        </w:rPr>
        <w:t xml:space="preserve">日</w:t>
      </w:r>
      <w:r>
        <w:rPr>
          <w:rFonts w:hint="eastAsia" w:ascii="宋体" w:hAnsi="宋体" w:eastAsia="宋体"/>
          <w:b/>
          <w:bCs/>
          <w:color w:val="auto"/>
          <w:sz w:val="24"/>
          <w:szCs w:val="24"/>
          <w:highlight w:val="none"/>
          <w:lang w:val="en-US" w:eastAsia="zh-CN"/>
        </w:rPr>
        <w:t xml:space="preserve">09</w:t>
      </w:r>
      <w:r>
        <w:rPr>
          <w:rFonts w:hint="eastAsia" w:ascii="宋体" w:hAnsi="宋体"/>
          <w:b/>
          <w:bCs/>
          <w:color w:val="auto"/>
          <w:sz w:val="24"/>
          <w:szCs w:val="24"/>
          <w:highlight w:val="none"/>
        </w:rPr>
        <w:t xml:space="preserve">点</w:t>
      </w:r>
      <w:r>
        <w:rPr>
          <w:rFonts w:hint="eastAsia" w:ascii="宋体" w:hAnsi="宋体"/>
          <w:b/>
          <w:bCs/>
          <w:color w:val="auto"/>
          <w:sz w:val="24"/>
          <w:szCs w:val="24"/>
          <w:highlight w:val="none"/>
          <w:lang w:val="en-US" w:eastAsia="zh-CN"/>
        </w:rPr>
        <w:t xml:space="preserve">3</w:t>
      </w:r>
      <w:r>
        <w:rPr>
          <w:rFonts w:hint="eastAsia" w:ascii="宋体" w:hAnsi="宋体"/>
          <w:b/>
          <w:bCs/>
          <w:color w:val="auto"/>
          <w:sz w:val="24"/>
          <w:szCs w:val="24"/>
          <w:highlight w:val="none"/>
        </w:rPr>
        <w:t xml:space="preserve">0分</w:t>
      </w:r>
      <w:r>
        <w:rPr>
          <w:rFonts w:hint="eastAsia" w:cs="Times New Roman" w:asciiTheme="minorEastAsia" w:hAnsiTheme="minorEastAsia"/>
          <w:bCs/>
          <w:color w:val="auto"/>
          <w:sz w:val="24"/>
          <w:szCs w:val="24"/>
          <w:highlight w:val="none"/>
        </w:rPr>
        <w:t xml:space="preserve">（北京时间），截止时间后上传的任何投标文件恕不接受。</w:t>
      </w:r>
      <w:r/>
    </w:p>
    <w:p>
      <w:pPr>
        <w:ind w:firstLine="480"/>
        <w:spacing w:line="360" w:lineRule="auto"/>
        <w:rPr>
          <w:rFonts w:hint="eastAsia"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890"/>
        <w:ind w:firstLine="452"/>
        <w:keepLines w:val="0"/>
        <w:keepNext w:val="0"/>
        <w:spacing w:before="0" w:after="0" w:line="360" w:lineRule="auto"/>
        <w:rPr>
          <w:rFonts w:hint="eastAsia" w:cs="宋体" w:asciiTheme="minorEastAsia" w:hAnsiTheme="minorEastAsia" w:eastAsiaTheme="minorEastAsia"/>
          <w:bCs w:val="0"/>
          <w:color w:val="auto"/>
          <w:sz w:val="24"/>
          <w:szCs w:val="24"/>
          <w:highlight w:val="none"/>
          <w:lang w:eastAsia="zh-CN"/>
        </w:rPr>
      </w:pPr>
      <w:r>
        <w:rPr>
          <w:rFonts w:hint="eastAsia" w:cs="宋体" w:asciiTheme="minorEastAsia" w:hAnsiTheme="minorEastAsia" w:eastAsiaTheme="minorEastAsia"/>
          <w:bCs w:val="0"/>
          <w:color w:val="auto"/>
          <w:sz w:val="24"/>
          <w:szCs w:val="24"/>
          <w:highlight w:val="none"/>
          <w:lang w:eastAsia="zh-CN"/>
        </w:rPr>
        <w:t xml:space="preserve">（五）公告期限</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（招标公告及招标文件公告期限）自本公告发布之日起5个工作日。</w:t>
      </w:r>
      <w:r/>
    </w:p>
    <w:p>
      <w:pPr>
        <w:ind w:firstLine="480"/>
        <w:spacing w:line="360" w:lineRule="auto"/>
        <w:rPr>
          <w:rFonts w:hint="eastAsia" w:ascii="宋体" w:hAnsi="宋体" w:cs="宋体"/>
          <w:b/>
          <w:bCs/>
          <w:color w:val="auto"/>
          <w:sz w:val="24"/>
          <w:szCs w:val="24"/>
          <w:highlight w:val="none"/>
        </w:rPr>
      </w:pPr>
      <w:r>
        <w:rPr>
          <w:rFonts w:hint="eastAsia" w:cs="宋体" w:asciiTheme="minorEastAsia" w:hAnsiTheme="minorEastAsia"/>
          <w:b/>
          <w:color w:val="auto"/>
          <w:sz w:val="24"/>
          <w:szCs w:val="24"/>
          <w:highlight w:val="none"/>
        </w:rPr>
        <w:t xml:space="preserve">（六）</w:t>
      </w:r>
      <w:r>
        <w:rPr>
          <w:rFonts w:hint="eastAsia" w:ascii="宋体" w:hAnsi="宋体" w:cs="宋体"/>
          <w:b/>
          <w:bCs/>
          <w:color w:val="auto"/>
          <w:sz w:val="24"/>
          <w:szCs w:val="24"/>
          <w:highlight w:val="none"/>
        </w:rPr>
        <w:t xml:space="preserve">其他补充事宜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ind w:firstLine="482"/>
        <w:spacing w:line="360" w:lineRule="auto"/>
        <w:rPr>
          <w:rFonts w:hint="eastAsia" w:asciiTheme="minorEastAsia" w:hAnsiTheme="minorEastAsia"/>
          <w:b/>
          <w:bCs/>
          <w:color w:val="auto"/>
          <w:sz w:val="24"/>
          <w:szCs w:val="24"/>
          <w:highlight w:val="none"/>
        </w:rPr>
      </w:pPr>
      <w:r>
        <w:rPr>
          <w:rFonts w:hint="eastAsia" w:cs="宋体" w:asciiTheme="minorEastAsia" w:hAnsiTheme="minorEastAsia"/>
          <w:b/>
          <w:color w:val="auto"/>
          <w:sz w:val="24"/>
          <w:szCs w:val="24"/>
          <w:highlight w:val="none"/>
        </w:rPr>
        <w:t xml:space="preserve">（七）</w:t>
      </w:r>
      <w:r>
        <w:rPr>
          <w:rFonts w:hint="eastAsia" w:asciiTheme="minorEastAsia" w:hAnsiTheme="minorEastAsia"/>
          <w:b/>
          <w:bCs/>
          <w:color w:val="auto"/>
          <w:sz w:val="24"/>
          <w:szCs w:val="24"/>
          <w:highlight w:val="none"/>
        </w:rPr>
        <w:t xml:space="preserve">本次招标联系方式</w:t>
      </w:r>
      <w:r/>
    </w:p>
    <w:p>
      <w:pPr>
        <w:ind w:firstLine="480"/>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w:t>
      </w:r>
      <w:r>
        <w:rPr>
          <w:rFonts w:hint="eastAsia" w:eastAsia="宋体" w:cs="宋体" w:asciiTheme="minorEastAsia" w:hAnsiTheme="minorEastAsia"/>
          <w:color w:val="auto"/>
          <w:sz w:val="24"/>
          <w:szCs w:val="24"/>
          <w:highlight w:val="none"/>
        </w:rPr>
        <w:t xml:space="preserve">采购代理机构</w:t>
      </w:r>
      <w:r>
        <w:rPr>
          <w:rFonts w:hint="eastAsia" w:cs="宋体" w:asciiTheme="minorEastAsia" w:hAnsiTheme="minorEastAsia"/>
          <w:color w:val="auto"/>
          <w:sz w:val="24"/>
          <w:szCs w:val="24"/>
          <w:highlight w:val="none"/>
        </w:rPr>
        <w:t xml:space="preserve">：</w:t>
      </w:r>
      <w:r/>
    </w:p>
    <w:p>
      <w:pPr>
        <w:ind w:firstLine="480"/>
        <w:spacing w:line="360" w:lineRule="auto"/>
        <w:rPr>
          <w:rFonts w:hint="eastAsia" w:eastAsia="宋体"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名称：</w:t>
      </w:r>
      <w:r>
        <w:rPr>
          <w:rFonts w:hint="eastAsia" w:eastAsia="宋体" w:cs="宋体" w:asciiTheme="minorEastAsia" w:hAnsiTheme="minorEastAsia"/>
          <w:color w:val="auto"/>
          <w:sz w:val="24"/>
          <w:szCs w:val="24"/>
          <w:highlight w:val="none"/>
        </w:rPr>
        <w:t xml:space="preserve">普信国际工程咨询有限公司</w:t>
      </w:r>
      <w:r/>
    </w:p>
    <w:p>
      <w:pPr>
        <w:ind w:firstLine="480"/>
        <w:jc w:val="left"/>
        <w:spacing w:line="360" w:lineRule="auto"/>
        <w:shd w:val="clear" w:color="auto" w:fill="ffffff"/>
        <w:widowControl/>
        <w:rPr>
          <w:rFonts w:hint="default" w:eastAsia="宋体"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rPr>
        <w:t xml:space="preserve">项目联系人</w:t>
      </w:r>
      <w:r>
        <w:rPr>
          <w:rFonts w:hint="eastAsia" w:eastAsia="宋体" w:cs="宋体" w:asciiTheme="minorEastAsia" w:hAnsiTheme="minorEastAsia"/>
          <w:color w:val="auto"/>
          <w:sz w:val="24"/>
          <w:szCs w:val="24"/>
          <w:highlight w:val="none"/>
        </w:rPr>
        <w:t xml:space="preserve">：</w:t>
      </w:r>
      <w:r>
        <w:rPr>
          <w:rFonts w:hint="eastAsia" w:eastAsia="宋体" w:cs="宋体" w:asciiTheme="minorEastAsia" w:hAnsiTheme="minorEastAsia"/>
          <w:color w:val="auto"/>
          <w:sz w:val="24"/>
          <w:szCs w:val="24"/>
          <w:highlight w:val="none"/>
          <w:lang w:val="en-US" w:eastAsia="zh-CN"/>
        </w:rPr>
        <w:t xml:space="preserve">许丽萍、</w:t>
      </w:r>
      <w:r>
        <w:rPr>
          <w:rFonts w:hint="eastAsia" w:ascii="宋体" w:hAnsi="宋体" w:eastAsia="宋体" w:cs="宋体"/>
          <w:color w:val="auto"/>
          <w:sz w:val="24"/>
          <w:highlight w:val="none"/>
        </w:rPr>
        <w:t xml:space="preserve">施晓旻（项目负责人）、</w:t>
      </w:r>
      <w:r>
        <w:rPr>
          <w:rFonts w:hint="eastAsia" w:ascii="宋体" w:hAnsi="宋体" w:eastAsia="宋体" w:cs="宋体"/>
          <w:color w:val="auto"/>
          <w:sz w:val="24"/>
          <w:highlight w:val="none"/>
          <w:lang w:val="en-US" w:eastAsia="zh-CN"/>
        </w:rPr>
        <w:t xml:space="preserve">戴永泰</w:t>
      </w:r>
      <w:r/>
    </w:p>
    <w:p>
      <w:pPr>
        <w:ind w:firstLine="480"/>
        <w:jc w:val="left"/>
        <w:spacing w:line="360" w:lineRule="auto"/>
        <w:shd w:val="clear" w:color="auto" w:fill="ffffff"/>
        <w:widowControl/>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电话：</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5961827501</w:t>
      </w:r>
      <w:r>
        <w:rPr>
          <w:rFonts w:hint="eastAsia" w:ascii="宋体" w:hAnsi="宋体" w:eastAsia="宋体" w:cs="宋体"/>
          <w:color w:val="auto"/>
          <w:sz w:val="24"/>
          <w:highlight w:val="none"/>
        </w:rPr>
        <w:t xml:space="preserve">、15651504035</w:t>
      </w:r>
      <w:r>
        <w:rPr>
          <w:rFonts w:hint="eastAsia" w:ascii="宋体" w:hAnsi="宋体" w:eastAsia="宋体" w:cs="宋体"/>
          <w:bCs/>
          <w:color w:val="auto"/>
          <w:sz w:val="24"/>
          <w:highlight w:val="none"/>
        </w:rPr>
        <w:t xml:space="preserve">  </w:t>
      </w:r>
      <w:r>
        <w:rPr>
          <w:rFonts w:hint="eastAsia" w:cs="宋体" w:asciiTheme="minorEastAsia" w:hAnsiTheme="minorEastAsia"/>
          <w:color w:val="auto"/>
          <w:sz w:val="24"/>
          <w:szCs w:val="24"/>
          <w:highlight w:val="none"/>
        </w:rPr>
        <w:t xml:space="preserve">             </w:t>
      </w:r>
      <w:r/>
    </w:p>
    <w:p>
      <w:pPr>
        <w:ind w:firstLine="480"/>
        <w:jc w:val="left"/>
        <w:spacing w:line="360" w:lineRule="auto"/>
        <w:shd w:val="clear" w:color="auto" w:fill="ffffff"/>
        <w:widowControl/>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地址</w:t>
      </w:r>
      <w:r>
        <w:rPr>
          <w:rFonts w:hint="eastAsia" w:eastAsia="宋体" w:cs="宋体" w:asciiTheme="minorEastAsia" w:hAnsiTheme="minorEastAsia"/>
          <w:color w:val="auto"/>
          <w:sz w:val="24"/>
          <w:szCs w:val="24"/>
          <w:highlight w:val="none"/>
        </w:rPr>
        <w:t xml:space="preserve">：</w:t>
      </w:r>
      <w:r>
        <w:rPr>
          <w:rFonts w:hint="eastAsia" w:cs="宋体" w:asciiTheme="minorEastAsia" w:hAnsiTheme="minorEastAsia"/>
          <w:color w:val="auto"/>
          <w:sz w:val="24"/>
          <w:szCs w:val="24"/>
          <w:highlight w:val="none"/>
        </w:rPr>
        <w:t xml:space="preserve">无锡市蠡湖大道2018号普信COPO 2号楼2楼213</w:t>
      </w:r>
      <w:r/>
    </w:p>
    <w:p>
      <w:pPr>
        <w:ind w:firstLine="480"/>
        <w:jc w:val="left"/>
        <w:spacing w:line="360" w:lineRule="auto"/>
        <w:shd w:val="clear" w:color="auto" w:fill="ffffff"/>
        <w:widowControl/>
        <w:rPr>
          <w:rFonts w:hint="eastAsia" w:eastAsia="宋体"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邮箱：</w:t>
      </w:r>
      <w:r>
        <w:rPr>
          <w:rFonts w:hint="eastAsia" w:eastAsia="宋体" w:cs="宋体" w:asciiTheme="minorEastAsia" w:hAnsiTheme="minorEastAsia"/>
          <w:color w:val="auto"/>
          <w:sz w:val="24"/>
          <w:szCs w:val="24"/>
          <w:highlight w:val="none"/>
        </w:rPr>
        <w:t xml:space="preserve">wxpx2b</w:t>
      </w:r>
      <w:r>
        <w:rPr>
          <w:rFonts w:hint="eastAsia" w:eastAsia="宋体" w:cs="宋体" w:asciiTheme="minorEastAsia" w:hAnsiTheme="minorEastAsia"/>
          <w:color w:val="auto"/>
          <w:sz w:val="24"/>
          <w:szCs w:val="24"/>
          <w:highlight w:val="none"/>
          <w:lang w:val="en-US" w:eastAsia="zh-CN"/>
        </w:rPr>
        <w:t xml:space="preserve">2</w:t>
      </w:r>
      <w:r>
        <w:rPr>
          <w:rFonts w:hint="eastAsia" w:eastAsia="宋体" w:cs="宋体" w:asciiTheme="minorEastAsia" w:hAnsiTheme="minorEastAsia"/>
          <w:color w:val="auto"/>
          <w:sz w:val="24"/>
          <w:szCs w:val="24"/>
          <w:highlight w:val="none"/>
        </w:rPr>
        <w:t xml:space="preserve">@163.com</w:t>
      </w:r>
      <w:r/>
    </w:p>
    <w:p>
      <w:pPr>
        <w:ind w:firstLine="480"/>
        <w:jc w:val="left"/>
        <w:spacing w:line="360" w:lineRule="auto"/>
        <w:shd w:val="clear" w:color="auto" w:fill="ffffff"/>
        <w:widowControl/>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2.采购人：</w:t>
      </w:r>
      <w:r/>
    </w:p>
    <w:p>
      <w:pPr>
        <w:ind w:firstLine="480"/>
        <w:jc w:val="left"/>
        <w:spacing w:line="360" w:lineRule="auto"/>
        <w:shd w:val="clear" w:color="auto" w:fill="ffffff"/>
        <w:widowControl/>
        <w:rPr>
          <w:rFonts w:hint="eastAsia" w:cs="宋体" w:asciiTheme="minorEastAsia" w:hAnsiTheme="minorEastAsia" w:eastAsiaTheme="minorEastAsia"/>
          <w:color w:val="auto"/>
          <w:sz w:val="24"/>
          <w:szCs w:val="24"/>
          <w:highlight w:val="none"/>
          <w:lang w:eastAsia="zh-CN"/>
        </w:rPr>
      </w:pPr>
      <w:r>
        <w:rPr>
          <w:rFonts w:hint="eastAsia" w:cs="宋体" w:asciiTheme="minorEastAsia" w:hAnsiTheme="minorEastAsia"/>
          <w:color w:val="auto"/>
          <w:sz w:val="24"/>
          <w:szCs w:val="24"/>
          <w:highlight w:val="none"/>
        </w:rPr>
        <w:t xml:space="preserve">名称：</w:t>
      </w:r>
      <w:r>
        <w:rPr>
          <w:rFonts w:hint="eastAsia" w:eastAsia="宋体" w:cs="宋体" w:asciiTheme="minorEastAsia" w:hAnsiTheme="minorEastAsia"/>
          <w:color w:val="auto"/>
          <w:sz w:val="24"/>
          <w:szCs w:val="24"/>
          <w:highlight w:val="none"/>
          <w:lang w:eastAsia="zh-CN"/>
        </w:rPr>
        <w:t xml:space="preserve">无锡市生态环境监测监控中心</w:t>
      </w:r>
      <w:r/>
    </w:p>
    <w:p>
      <w:pPr>
        <w:ind w:firstLine="480"/>
        <w:jc w:val="left"/>
        <w:spacing w:line="360" w:lineRule="auto"/>
        <w:shd w:val="clear" w:color="auto" w:fill="ffffff"/>
        <w:widowControl/>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联系人：</w:t>
      </w:r>
      <w:r>
        <w:rPr>
          <w:rFonts w:hint="eastAsia" w:cs="宋体" w:asciiTheme="minorEastAsia" w:hAnsiTheme="minorEastAsia"/>
          <w:color w:val="auto"/>
          <w:sz w:val="24"/>
          <w:szCs w:val="24"/>
          <w:highlight w:val="none"/>
          <w:lang w:val="en-US" w:eastAsia="zh-CN"/>
        </w:rPr>
        <w:t xml:space="preserve">严勇、</w:t>
      </w:r>
      <w:r>
        <w:rPr>
          <w:rFonts w:hint="eastAsia" w:ascii="宋体" w:hAnsi="宋体" w:eastAsia="宋体" w:cs="Times New Roman"/>
          <w:color w:val="auto"/>
          <w:sz w:val="24"/>
          <w:highlight w:val="none"/>
        </w:rPr>
        <w:t xml:space="preserve">钱庄</w:t>
      </w:r>
      <w:r/>
    </w:p>
    <w:p>
      <w:pPr>
        <w:ind w:firstLine="480"/>
        <w:jc w:val="left"/>
        <w:spacing w:line="360" w:lineRule="auto"/>
        <w:shd w:val="clear" w:color="auto" w:fill="ffffff"/>
        <w:widowControl/>
        <w:rPr>
          <w:rFonts w:hint="eastAsia" w:eastAsia="宋体"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联系电话</w:t>
      </w:r>
      <w:r>
        <w:rPr>
          <w:rFonts w:hint="eastAsia" w:cs="宋体" w:asciiTheme="minorEastAsia" w:hAnsiTheme="minorEastAsia"/>
          <w:color w:val="auto"/>
          <w:sz w:val="24"/>
          <w:szCs w:val="24"/>
          <w:highlight w:val="none"/>
          <w:lang w:eastAsia="zh-CN"/>
        </w:rPr>
        <w:t xml:space="preserve">：</w:t>
      </w:r>
      <w:r>
        <w:rPr>
          <w:rFonts w:hint="eastAsia" w:ascii="宋体" w:hAnsi="宋体" w:eastAsia="宋体" w:cs="Times New Roman"/>
          <w:color w:val="auto"/>
          <w:sz w:val="24"/>
          <w:highlight w:val="none"/>
        </w:rPr>
        <w:t xml:space="preserve">0510-</w:t>
      </w:r>
      <w:r>
        <w:rPr>
          <w:rFonts w:hint="eastAsia" w:ascii="宋体" w:hAnsi="宋体" w:eastAsia="宋体" w:cs="Times New Roman"/>
          <w:color w:val="auto"/>
          <w:sz w:val="24"/>
          <w:highlight w:val="none"/>
          <w:lang w:val="en-US" w:eastAsia="zh-CN"/>
        </w:rPr>
        <w:t xml:space="preserve">81835009、</w:t>
      </w:r>
      <w:r>
        <w:rPr>
          <w:rFonts w:hint="eastAsia" w:ascii="宋体" w:hAnsi="宋体" w:eastAsia="宋体" w:cs="Times New Roman"/>
          <w:color w:val="auto"/>
          <w:sz w:val="24"/>
          <w:highlight w:val="none"/>
        </w:rPr>
        <w:t xml:space="preserve">81835555</w:t>
      </w:r>
      <w:r/>
    </w:p>
    <w:p>
      <w:pPr>
        <w:ind w:firstLine="480"/>
        <w:jc w:val="left"/>
        <w:spacing w:line="360" w:lineRule="auto"/>
        <w:shd w:val="clear" w:color="auto" w:fill="ffffff"/>
        <w:widowControl/>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联系地址：</w:t>
      </w:r>
      <w:r>
        <w:rPr>
          <w:rFonts w:hint="eastAsia" w:cs="宋体" w:asciiTheme="minorEastAsia" w:hAnsiTheme="minorEastAsia"/>
          <w:color w:val="auto"/>
          <w:sz w:val="24"/>
          <w:szCs w:val="24"/>
          <w:highlight w:val="none"/>
          <w:lang w:val="en-US" w:eastAsia="zh-CN"/>
        </w:rPr>
        <w:t xml:space="preserve">无锡市滨湖区周新东路123号</w:t>
      </w:r>
      <w:r/>
    </w:p>
    <w:p>
      <w:pPr>
        <w:ind w:firstLine="482"/>
        <w:jc w:val="left"/>
        <w:spacing w:line="360" w:lineRule="auto"/>
        <w:shd w:val="clear" w:color="auto" w:fill="ffffff"/>
        <w:widowControl/>
        <w:rPr>
          <w:rFonts w:hint="eastAsia"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（八）其他</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360" w:lineRule="auto"/>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hint="eastAsia" w:ascii="宋体" w:hAnsi="宋体" w:eastAsia="宋体"/>
          <w:bCs/>
          <w:color w:val="auto"/>
          <w:sz w:val="24"/>
          <w:szCs w:val="24"/>
          <w:highlight w:val="none"/>
        </w:rPr>
        <w:t xml:space="preserve">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color w:val="auto"/>
          <w:highlight w:val="none"/>
        </w:rPr>
        <w:fldChar w:fldCharType="begin"/>
      </w:r>
      <w:r>
        <w:rPr>
          <w:color w:val="auto"/>
          <w:highlight w:val="none"/>
        </w:rPr>
        <w:instrText xml:space="preserve"> HYPERLINK "http://cz.wuxi.gov.cn/doc/2023/10/11/4080287.shtml" \o "http://cz.wuxi.gov.cn/doc/2023/10/11/4080287.shtml" </w:instrText>
      </w:r>
      <w:r>
        <w:rPr>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shd w:val="clear" w:color="auto" w:fill="ffffff"/>
        <w:widowControl/>
        <w:rPr>
          <w:rFonts w:hint="eastAsia"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360" w:lineRule="auto"/>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360" w:lineRule="auto"/>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在“江苏政府采购网”发布的更正公告。</w:t>
      </w:r>
      <w:r/>
    </w:p>
    <w:p>
      <w:pPr>
        <w:ind w:firstLine="480"/>
        <w:spacing w:line="360" w:lineRule="auto"/>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ind w:firstLine="480"/>
        <w:jc w:val="left"/>
        <w:spacing w:line="360" w:lineRule="auto"/>
        <w:shd w:val="clear" w:color="auto" w:fill="ffffff"/>
        <w:widowControl/>
        <w:rPr>
          <w:rFonts w:hint="eastAsia"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 xml:space="preserve">（五）其他事项</w:t>
      </w:r>
      <w:r/>
    </w:p>
    <w:p>
      <w:pPr>
        <w:ind w:firstLine="720"/>
        <w:spacing w:line="360" w:lineRule="auto"/>
        <w:rPr>
          <w:rFonts w:hint="eastAsia" w:eastAsia="宋体"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1）</w:t>
      </w:r>
      <w:r>
        <w:rPr>
          <w:rFonts w:hint="eastAsia" w:ascii="宋体" w:hAnsi="宋体" w:cs="宋体"/>
          <w:bCs/>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auto"/>
          <w:sz w:val="24"/>
          <w:szCs w:val="24"/>
          <w:highlight w:val="none"/>
        </w:rPr>
        <w:t xml:space="preserve">。</w:t>
      </w:r>
      <w:r/>
    </w:p>
    <w:p>
      <w:pPr>
        <w:ind w:firstLine="720"/>
        <w:spacing w:line="360" w:lineRule="auto"/>
        <w:rPr>
          <w:rFonts w:hint="eastAsia" w:cs="Times New Roman" w:asciiTheme="minorEastAsia" w:hAnsiTheme="minorEastAsia"/>
          <w:color w:val="auto"/>
          <w:sz w:val="24"/>
          <w:szCs w:val="24"/>
          <w:highlight w:val="none"/>
        </w:rPr>
      </w:pPr>
      <w:r>
        <w:rPr>
          <w:rFonts w:hint="eastAsia" w:eastAsia="宋体" w:cs="Times New Roman" w:asciiTheme="minorEastAsia" w:hAnsiTheme="minorEastAsia"/>
          <w:color w:val="auto"/>
          <w:sz w:val="24"/>
          <w:szCs w:val="24"/>
          <w:highlight w:val="none"/>
        </w:rPr>
        <w:t xml:space="preserve">2）</w:t>
      </w:r>
      <w:r>
        <w:rPr>
          <w:rFonts w:hint="eastAsia" w:cs="Times New Roman" w:asciiTheme="minorEastAsia" w:hAnsiTheme="minorEastAsia"/>
          <w:color w:val="auto"/>
          <w:sz w:val="24"/>
          <w:szCs w:val="24"/>
          <w:highlight w:val="none"/>
        </w:rPr>
        <w:t xml:space="preserve">纸质投标文件：本项目为不见面开标，</w:t>
      </w:r>
      <w:r>
        <w:rPr>
          <w:rFonts w:hint="eastAsia" w:eastAsia="宋体" w:cs="Times New Roman" w:asciiTheme="minorEastAsia" w:hAnsiTheme="minorEastAsia"/>
          <w:color w:val="auto"/>
          <w:sz w:val="24"/>
          <w:szCs w:val="24"/>
          <w:highlight w:val="none"/>
        </w:rPr>
        <w:t xml:space="preserve">投标</w:t>
      </w:r>
      <w:r>
        <w:rPr>
          <w:rFonts w:hint="eastAsia" w:cs="Times New Roman" w:asciiTheme="minorEastAsia" w:hAnsiTheme="minorEastAsia"/>
          <w:color w:val="auto"/>
          <w:sz w:val="24"/>
          <w:szCs w:val="24"/>
          <w:highlight w:val="none"/>
        </w:rPr>
        <w:t xml:space="preserve">人无需递交纸质投标文件至现场，</w:t>
      </w:r>
      <w:r>
        <w:rPr>
          <w:rFonts w:hint="eastAsia" w:cs="Times New Roman" w:asciiTheme="minorEastAsia" w:hAnsiTheme="minorEastAsia"/>
          <w:b/>
          <w:color w:val="auto"/>
          <w:sz w:val="24"/>
          <w:szCs w:val="24"/>
          <w:highlight w:val="none"/>
        </w:rPr>
        <w:t xml:space="preserve">中标后中标供应商向</w:t>
      </w:r>
      <w:r>
        <w:rPr>
          <w:rFonts w:hint="eastAsia" w:eastAsia="宋体" w:cs="Times New Roman" w:asciiTheme="minorEastAsia" w:hAnsiTheme="minorEastAsia"/>
          <w:b/>
          <w:color w:val="auto"/>
          <w:sz w:val="24"/>
          <w:szCs w:val="24"/>
          <w:highlight w:val="none"/>
        </w:rPr>
        <w:t xml:space="preserve">采购代理机构</w:t>
      </w:r>
      <w:r>
        <w:rPr>
          <w:rFonts w:hint="eastAsia" w:cs="Times New Roman" w:asciiTheme="minorEastAsia" w:hAnsiTheme="minorEastAsia"/>
          <w:b/>
          <w:color w:val="auto"/>
          <w:sz w:val="24"/>
          <w:szCs w:val="24"/>
          <w:highlight w:val="none"/>
        </w:rPr>
        <w:t xml:space="preserve">提供与电子投标文件完全一致的纸质投标文件（</w:t>
      </w:r>
      <w:r>
        <w:rPr>
          <w:rFonts w:hint="eastAsia" w:cs="Times New Roman" w:asciiTheme="minorEastAsia" w:hAnsiTheme="minorEastAsia"/>
          <w:b/>
          <w:color w:val="auto"/>
          <w:sz w:val="24"/>
          <w:szCs w:val="24"/>
          <w:highlight w:val="none"/>
          <w:lang w:val="en-US" w:eastAsia="zh-CN"/>
        </w:rPr>
        <w:t xml:space="preserve">2</w:t>
      </w:r>
      <w:r>
        <w:rPr>
          <w:rFonts w:hint="eastAsia" w:cs="Times New Roman" w:asciiTheme="minorEastAsia" w:hAnsiTheme="minorEastAsia"/>
          <w:b/>
          <w:color w:val="auto"/>
          <w:sz w:val="24"/>
          <w:szCs w:val="24"/>
          <w:highlight w:val="none"/>
        </w:rPr>
        <w:t xml:space="preserve">份：一正、</w:t>
      </w:r>
      <w:r>
        <w:rPr>
          <w:rFonts w:hint="eastAsia" w:cs="Times New Roman" w:asciiTheme="minorEastAsia" w:hAnsiTheme="minorEastAsia"/>
          <w:b/>
          <w:color w:val="auto"/>
          <w:sz w:val="24"/>
          <w:szCs w:val="24"/>
          <w:highlight w:val="none"/>
          <w:lang w:val="en-US" w:eastAsia="zh-CN"/>
        </w:rPr>
        <w:t xml:space="preserve">一</w:t>
      </w:r>
      <w:r>
        <w:rPr>
          <w:rFonts w:hint="eastAsia" w:cs="Times New Roman" w:asciiTheme="minorEastAsia" w:hAnsiTheme="minorEastAsia"/>
          <w:b/>
          <w:color w:val="auto"/>
          <w:sz w:val="24"/>
          <w:szCs w:val="24"/>
          <w:highlight w:val="none"/>
        </w:rPr>
        <w:t xml:space="preserve">副）。</w:t>
      </w:r>
      <w:r/>
    </w:p>
    <w:p>
      <w:pPr>
        <w:ind w:firstLine="720"/>
        <w:spacing w:line="360" w:lineRule="auto"/>
        <w:rPr>
          <w:rFonts w:hint="eastAsia" w:cs="Times New Roman" w:asciiTheme="minorEastAsia" w:hAnsiTheme="minorEastAsia"/>
          <w:color w:val="auto"/>
          <w:sz w:val="24"/>
          <w:szCs w:val="24"/>
          <w:highlight w:val="none"/>
        </w:rPr>
      </w:pPr>
      <w:r>
        <w:rPr>
          <w:rFonts w:hint="eastAsia" w:eastAsia="宋体" w:cs="Times New Roman" w:asciiTheme="minorEastAsia" w:hAnsiTheme="minorEastAsia"/>
          <w:color w:val="auto"/>
          <w:sz w:val="24"/>
          <w:szCs w:val="24"/>
          <w:highlight w:val="none"/>
        </w:rPr>
        <w:t xml:space="preserve">3</w:t>
      </w:r>
      <w:r>
        <w:rPr>
          <w:rFonts w:hint="eastAsia" w:cs="Times New Roman" w:asciiTheme="minorEastAsia" w:hAnsiTheme="minorEastAsia"/>
          <w:color w:val="auto"/>
          <w:sz w:val="24"/>
          <w:szCs w:val="24"/>
          <w:highlight w:val="none"/>
        </w:rPr>
        <w:t xml:space="preserve">）供应商请仔细阅读供应商注册流程和招标文件中关于电子开评标等相关事项，如有问题可发送邮件或电话咨询。</w:t>
      </w:r>
      <w:bookmarkStart w:id="1" w:name="_Toc120614211"/>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4）本招标文件中</w:t>
      </w:r>
      <w:r>
        <w:rPr>
          <w:rFonts w:hint="eastAsia" w:ascii="宋体" w:hAnsi="宋体" w:eastAsia="宋体" w:cs="宋体"/>
          <w:color w:val="auto"/>
          <w:sz w:val="24"/>
          <w:szCs w:val="24"/>
          <w:highlight w:val="none"/>
          <w:lang w:eastAsia="zh-CN"/>
        </w:rPr>
        <w:t xml:space="preserve">涉及的</w:t>
      </w:r>
      <w:r>
        <w:rPr>
          <w:rFonts w:hint="eastAsia" w:ascii="宋体" w:hAnsi="宋体" w:eastAsia="宋体" w:cs="宋体"/>
          <w:color w:val="auto"/>
          <w:sz w:val="24"/>
          <w:szCs w:val="24"/>
          <w:highlight w:val="none"/>
        </w:rPr>
        <w:t xml:space="preserve">盖章部分均可使用CA签章。</w:t>
      </w:r>
      <w:r/>
    </w:p>
    <w:p>
      <w:pPr>
        <w:ind w:firstLine="720"/>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r>
      <w:r/>
    </w:p>
    <w:p>
      <w:pPr>
        <w:ind w:firstLine="720"/>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r>
      <w:r/>
    </w:p>
    <w:p>
      <w:pPr>
        <w:ind w:firstLine="720"/>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r>
      <w:r/>
    </w:p>
    <w:p>
      <w:pPr>
        <w:ind w:firstLine="720"/>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r>
      <w:r/>
    </w:p>
    <w:p>
      <w:pPr>
        <w:ind w:firstLine="720"/>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r>
      <w:r/>
    </w:p>
    <w:p>
      <w:pPr>
        <w:ind w:firstLine="720"/>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r>
      <w:r/>
    </w:p>
    <w:p>
      <w:pPr>
        <w:ind w:firstLine="720"/>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r>
      <w:r/>
    </w:p>
    <w:p>
      <w:pPr>
        <w:ind w:firstLine="720"/>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r>
      <w:r/>
    </w:p>
    <w:p>
      <w:pPr>
        <w:ind w:firstLine="720"/>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r>
      <w:r/>
    </w:p>
    <w:p>
      <w:pPr>
        <w:ind w:firstLine="720"/>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r>
      <w:r/>
    </w:p>
    <w:p>
      <w:pPr>
        <w:ind w:firstLine="720"/>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r>
      <w:r/>
    </w:p>
    <w:p>
      <w:pPr>
        <w:ind w:firstLine="720"/>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r>
      <w:r/>
    </w:p>
    <w:p>
      <w:pPr>
        <w:ind w:firstLine="720"/>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r>
      <w:r/>
    </w:p>
    <w:p>
      <w:pPr>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br w:type="page" w:clear="all"/>
      </w:r>
      <w:r/>
    </w:p>
    <w:p>
      <w:p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 xml:space="preserve">第二章  </w:t>
      </w:r>
      <w:bookmarkEnd w:id="1"/>
      <w:r/>
      <w:bookmarkStart w:id="2" w:name="_Toc120614213"/>
      <w:r/>
      <w:bookmarkStart w:id="3" w:name="_Toc20823274"/>
      <w:r/>
      <w:bookmarkStart w:id="4" w:name="_Toc16938518"/>
      <w:r/>
      <w:bookmarkStart w:id="5" w:name="_Toc513029202"/>
      <w:r>
        <w:rPr>
          <w:rFonts w:hint="eastAsia" w:ascii="黑体" w:hAnsi="黑体" w:eastAsia="黑体" w:cs="黑体"/>
          <w:color w:val="auto"/>
          <w:sz w:val="36"/>
          <w:szCs w:val="36"/>
          <w:highlight w:val="none"/>
        </w:rPr>
        <w:t xml:space="preserve">投标人须知</w:t>
      </w:r>
      <w:bookmarkEnd w:id="2"/>
      <w:r/>
      <w:bookmarkEnd w:id="3"/>
      <w:r/>
      <w:bookmarkEnd w:id="4"/>
      <w:r/>
      <w:bookmarkEnd w:id="5"/>
      <w:r/>
      <w:r/>
    </w:p>
    <w:p>
      <w:pPr>
        <w:pStyle w:val="890"/>
        <w:ind w:firstLine="452"/>
        <w:keepLines w:val="0"/>
        <w:keepNext w:val="0"/>
        <w:spacing w:before="0" w:after="0" w:line="360" w:lineRule="auto"/>
        <w:rPr>
          <w:color w:val="auto"/>
          <w:sz w:val="30"/>
          <w:szCs w:val="30"/>
          <w:highlight w:val="none"/>
          <w:lang w:eastAsia="zh-CN"/>
        </w:rPr>
      </w:pPr>
      <w:r/>
      <w:bookmarkStart w:id="6" w:name="_Toc513029203"/>
      <w:r/>
      <w:bookmarkStart w:id="7" w:name="_Toc16938519"/>
      <w:r/>
      <w:bookmarkStart w:id="8" w:name="_Toc120614214"/>
      <w:r/>
      <w:bookmarkStart w:id="9" w:name="_Toc20823275"/>
      <w:r>
        <w:rPr>
          <w:rFonts w:hint="eastAsia"/>
          <w:color w:val="auto"/>
          <w:sz w:val="30"/>
          <w:szCs w:val="30"/>
          <w:highlight w:val="none"/>
          <w:lang w:eastAsia="zh-CN"/>
        </w:rPr>
        <w:t xml:space="preserve">一、总则</w:t>
      </w:r>
      <w:bookmarkEnd w:id="6"/>
      <w:r/>
      <w:bookmarkEnd w:id="7"/>
      <w:r/>
      <w:bookmarkEnd w:id="8"/>
      <w:r/>
      <w:bookmarkEnd w:id="9"/>
      <w:r/>
      <w:r/>
    </w:p>
    <w:p>
      <w:pPr>
        <w:pStyle w:val="1067"/>
        <w:ind w:firstLine="422"/>
        <w:keepLines w:val="0"/>
        <w:keepNext w:val="0"/>
        <w:spacing w:before="0" w:after="0" w:line="360" w:lineRule="auto"/>
        <w:rPr>
          <w:rFonts w:hint="eastAsia" w:ascii="宋体" w:hAnsi="宋体" w:eastAsia="宋体"/>
          <w:bCs w:val="0"/>
          <w:color w:val="auto"/>
          <w:highlight w:val="none"/>
          <w:lang w:eastAsia="zh-CN"/>
        </w:rPr>
      </w:pPr>
      <w:r/>
      <w:bookmarkStart w:id="10" w:name="_Hlt16619475"/>
      <w:r/>
      <w:bookmarkEnd w:id="10"/>
      <w:r/>
      <w:bookmarkStart w:id="11" w:name="_Toc16938520"/>
      <w:r/>
      <w:bookmarkStart w:id="12" w:name="_Toc513029204"/>
      <w:r/>
      <w:bookmarkStart w:id="13" w:name="_Toc20823276"/>
      <w:r>
        <w:rPr>
          <w:rFonts w:hint="eastAsia" w:ascii="宋体" w:hAnsi="宋体" w:eastAsia="宋体"/>
          <w:bCs w:val="0"/>
          <w:color w:val="auto"/>
          <w:highlight w:val="none"/>
          <w:lang w:eastAsia="zh-CN"/>
        </w:rPr>
        <w:t xml:space="preserve">1.招标方式</w:t>
      </w:r>
      <w:bookmarkEnd w:id="11"/>
      <w:r/>
      <w:bookmarkEnd w:id="12"/>
      <w:r/>
      <w:bookmarkEnd w:id="13"/>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1067"/>
        <w:ind w:firstLine="422"/>
        <w:keepLines w:val="0"/>
        <w:keepNext w:val="0"/>
        <w:spacing w:before="0" w:after="0" w:line="360" w:lineRule="auto"/>
        <w:rPr>
          <w:rFonts w:hint="eastAsia" w:ascii="宋体" w:hAnsi="宋体" w:eastAsia="宋体"/>
          <w:bCs w:val="0"/>
          <w:color w:val="auto"/>
          <w:highlight w:val="none"/>
          <w:lang w:eastAsia="zh-CN"/>
        </w:rPr>
      </w:pPr>
      <w:r/>
      <w:bookmarkStart w:id="14" w:name="_Toc513029205"/>
      <w:r/>
      <w:bookmarkStart w:id="15" w:name="_Toc20823277"/>
      <w:r/>
      <w:bookmarkStart w:id="16" w:name="_Toc16938521"/>
      <w:r>
        <w:rPr>
          <w:rFonts w:hint="eastAsia" w:ascii="宋体" w:hAnsi="宋体" w:eastAsia="宋体"/>
          <w:bCs w:val="0"/>
          <w:color w:val="auto"/>
          <w:highlight w:val="none"/>
          <w:lang w:eastAsia="zh-CN"/>
        </w:rPr>
        <w:t xml:space="preserve">2.</w:t>
      </w:r>
      <w:bookmarkEnd w:id="14"/>
      <w:r/>
      <w:bookmarkEnd w:id="15"/>
      <w:r/>
      <w:bookmarkEnd w:id="16"/>
      <w:r>
        <w:rPr>
          <w:rFonts w:hint="eastAsia" w:ascii="宋体" w:hAnsi="宋体" w:eastAsia="宋体"/>
          <w:bCs w:val="0"/>
          <w:color w:val="auto"/>
          <w:highlight w:val="none"/>
          <w:lang w:eastAsia="zh-CN"/>
        </w:rPr>
        <w:t xml:space="preserve">采购人、采购代理机构、投标人、联合体</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2.2投标人（也称“供应商</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067"/>
        <w:ind w:firstLine="422"/>
        <w:keepLines w:val="0"/>
        <w:keepNext w:val="0"/>
        <w:spacing w:before="0" w:after="0" w:line="360" w:lineRule="auto"/>
        <w:rPr>
          <w:rFonts w:hint="eastAsia" w:ascii="宋体" w:hAnsi="宋体" w:eastAsia="宋体"/>
          <w:bCs w:val="0"/>
          <w:color w:val="auto"/>
          <w:highlight w:val="none"/>
          <w:lang w:eastAsia="zh-CN"/>
        </w:rPr>
      </w:pPr>
      <w:r/>
      <w:bookmarkStart w:id="17" w:name="_Toc16938522"/>
      <w:r/>
      <w:bookmarkStart w:id="18" w:name="_Toc20823278"/>
      <w:r/>
      <w:bookmarkStart w:id="19" w:name="_Toc513029206"/>
      <w:r>
        <w:rPr>
          <w:rFonts w:hint="eastAsia" w:ascii="宋体" w:hAnsi="宋体" w:eastAsia="宋体"/>
          <w:bCs w:val="0"/>
          <w:color w:val="auto"/>
          <w:highlight w:val="none"/>
          <w:lang w:eastAsia="zh-CN"/>
        </w:rPr>
        <w:t xml:space="preserve">3.适用法律</w:t>
      </w:r>
      <w:bookmarkEnd w:id="17"/>
      <w:r/>
      <w:bookmarkEnd w:id="18"/>
      <w:r/>
      <w:bookmarkEnd w:id="19"/>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pStyle w:val="1067"/>
        <w:ind w:firstLine="422"/>
        <w:keepLines w:val="0"/>
        <w:keepNext w:val="0"/>
        <w:spacing w:before="0" w:after="0" w:line="360" w:lineRule="auto"/>
        <w:rPr>
          <w:rFonts w:hint="eastAsia" w:ascii="宋体" w:hAnsi="宋体" w:eastAsia="宋体"/>
          <w:bCs w:val="0"/>
          <w:color w:val="auto"/>
          <w:highlight w:val="none"/>
          <w:lang w:eastAsia="zh-CN"/>
        </w:rPr>
      </w:pPr>
      <w:r/>
      <w:bookmarkStart w:id="20" w:name="_Toc462564067"/>
      <w:r/>
      <w:bookmarkStart w:id="21" w:name="_Toc16938523"/>
      <w:r/>
      <w:bookmarkStart w:id="22" w:name="_Toc20823279"/>
      <w:r/>
      <w:bookmarkStart w:id="23" w:name="_Toc513029207"/>
      <w:r>
        <w:rPr>
          <w:rFonts w:hint="eastAsia" w:ascii="宋体" w:hAnsi="宋体" w:eastAsia="宋体"/>
          <w:bCs w:val="0"/>
          <w:color w:val="auto"/>
          <w:highlight w:val="none"/>
          <w:lang w:eastAsia="zh-CN"/>
        </w:rPr>
        <w:t xml:space="preserve">4.投标费用</w:t>
      </w:r>
      <w:bookmarkEnd w:id="20"/>
      <w:r/>
      <w:bookmarkEnd w:id="21"/>
      <w:r/>
      <w:bookmarkEnd w:id="22"/>
      <w:r/>
      <w:bookmarkEnd w:id="23"/>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w:t>
      </w:r>
      <w:r>
        <w:rPr>
          <w:rFonts w:hint="eastAsia" w:ascii="宋体" w:hAnsi="宋体" w:eastAsia="宋体"/>
          <w:color w:val="auto"/>
          <w:sz w:val="24"/>
          <w:highlight w:val="none"/>
        </w:rPr>
        <w:t xml:space="preserve">普信国际工程咨询有限公司</w:t>
      </w:r>
      <w:r>
        <w:rPr>
          <w:rFonts w:hint="eastAsia" w:ascii="宋体" w:hAnsi="宋体"/>
          <w:color w:val="auto"/>
          <w:sz w:val="24"/>
          <w:highlight w:val="none"/>
        </w:rPr>
        <w:t xml:space="preserve">在任何情况下均无义务和责任承担这些费用。</w:t>
      </w:r>
      <w:r/>
    </w:p>
    <w:p>
      <w:pPr>
        <w:ind w:firstLine="480"/>
        <w:spacing w:line="360" w:lineRule="auto"/>
        <w:rPr>
          <w:rFonts w:hint="eastAsia" w:ascii="宋体" w:hAnsi="宋体" w:eastAsiaTheme="minorEastAsia"/>
          <w:color w:val="auto"/>
          <w:sz w:val="24"/>
          <w:highlight w:val="none"/>
          <w:lang w:eastAsia="zh-CN"/>
        </w:rPr>
      </w:pPr>
      <w:r>
        <w:rPr>
          <w:rFonts w:hint="eastAsia" w:ascii="宋体" w:hAnsi="宋体"/>
          <w:color w:val="auto"/>
          <w:sz w:val="24"/>
          <w:highlight w:val="none"/>
        </w:rPr>
        <w:t xml:space="preserve">4.2本项目采购代理服务费由</w:t>
      </w:r>
      <w:r>
        <w:rPr>
          <w:rFonts w:hint="eastAsia" w:ascii="宋体" w:hAnsi="宋体" w:eastAsia="宋体"/>
          <w:color w:val="auto"/>
          <w:sz w:val="24"/>
          <w:highlight w:val="none"/>
        </w:rPr>
        <w:t xml:space="preserve">中标人</w:t>
      </w:r>
      <w:r>
        <w:rPr>
          <w:rFonts w:hint="eastAsia" w:ascii="宋体" w:hAnsi="宋体"/>
          <w:color w:val="auto"/>
          <w:sz w:val="24"/>
          <w:highlight w:val="none"/>
        </w:rPr>
        <w:t xml:space="preserve">支付</w:t>
      </w:r>
      <w:r>
        <w:rPr>
          <w:rFonts w:hint="eastAsia" w:ascii="宋体" w:hAnsi="宋体"/>
          <w:color w:val="auto"/>
          <w:sz w:val="24"/>
          <w:highlight w:val="none"/>
          <w:lang w:eastAsia="zh-CN"/>
        </w:rPr>
        <w:t xml:space="preserve">，以</w:t>
      </w:r>
      <w:r>
        <w:rPr>
          <w:rFonts w:hint="eastAsia" w:ascii="宋体" w:hAnsi="宋体"/>
          <w:color w:val="auto"/>
          <w:sz w:val="24"/>
          <w:highlight w:val="none"/>
          <w:lang w:val="en-US" w:eastAsia="zh-CN"/>
        </w:rPr>
        <w:t xml:space="preserve">中标</w:t>
      </w:r>
      <w:r>
        <w:rPr>
          <w:rFonts w:hint="eastAsia" w:ascii="宋体" w:hAnsi="宋体"/>
          <w:color w:val="auto"/>
          <w:sz w:val="24"/>
          <w:highlight w:val="none"/>
          <w:lang w:eastAsia="zh-CN"/>
        </w:rPr>
        <w:t xml:space="preserve">金额为计费基础，按差额定率累进法</w:t>
      </w:r>
      <w:r>
        <w:rPr>
          <w:rFonts w:hint="eastAsia" w:ascii="宋体" w:hAnsi="宋体"/>
          <w:color w:val="auto"/>
          <w:sz w:val="24"/>
          <w:highlight w:val="none"/>
          <w:lang w:val="en-US" w:eastAsia="zh-CN"/>
        </w:rPr>
        <w:t xml:space="preserve">计算</w:t>
      </w:r>
      <w:r>
        <w:rPr>
          <w:rFonts w:hint="eastAsia" w:ascii="宋体" w:hAnsi="宋体"/>
          <w:color w:val="auto"/>
          <w:sz w:val="24"/>
          <w:highlight w:val="none"/>
          <w:lang w:eastAsia="zh-CN"/>
        </w:rPr>
        <w:t xml:space="preserve">，收费标准为：金额100万以下</w:t>
      </w:r>
      <w:r>
        <w:rPr>
          <w:rFonts w:hint="eastAsia" w:ascii="宋体" w:hAnsi="宋体"/>
          <w:color w:val="auto"/>
          <w:sz w:val="24"/>
          <w:highlight w:val="none"/>
          <w:lang w:val="en-US" w:eastAsia="zh-CN"/>
        </w:rPr>
        <w:t xml:space="preserve">的</w:t>
      </w:r>
      <w:r>
        <w:rPr>
          <w:rFonts w:hint="eastAsia" w:ascii="宋体" w:hAnsi="宋体"/>
          <w:color w:val="auto"/>
          <w:sz w:val="24"/>
          <w:highlight w:val="none"/>
          <w:lang w:eastAsia="zh-CN"/>
        </w:rPr>
        <w:t xml:space="preserve">费率为1.5%；金额100万－500万</w:t>
      </w:r>
      <w:r>
        <w:rPr>
          <w:rFonts w:hint="eastAsia" w:ascii="宋体" w:hAnsi="宋体"/>
          <w:color w:val="auto"/>
          <w:sz w:val="24"/>
          <w:highlight w:val="none"/>
          <w:lang w:val="en-US" w:eastAsia="zh-CN"/>
        </w:rPr>
        <w:t xml:space="preserve">部分的</w:t>
      </w:r>
      <w:r>
        <w:rPr>
          <w:rFonts w:hint="eastAsia" w:ascii="宋体" w:hAnsi="宋体"/>
          <w:color w:val="auto"/>
          <w:sz w:val="24"/>
          <w:highlight w:val="none"/>
          <w:lang w:eastAsia="zh-CN"/>
        </w:rPr>
        <w:t xml:space="preserve">费率为0.8%，</w:t>
      </w:r>
      <w:r>
        <w:rPr>
          <w:rFonts w:hint="eastAsia" w:ascii="宋体" w:hAnsi="宋体"/>
          <w:color w:val="auto"/>
          <w:sz w:val="24"/>
          <w:highlight w:val="none"/>
          <w:lang w:val="en-US" w:eastAsia="zh-CN"/>
        </w:rPr>
        <w:t xml:space="preserve">按以上费率的75%计算。</w:t>
      </w:r>
      <w:r/>
    </w:p>
    <w:p>
      <w:pPr>
        <w:pStyle w:val="1067"/>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5.招标文件的约束力</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890"/>
        <w:ind w:firstLine="452"/>
        <w:keepLines w:val="0"/>
        <w:keepNext w:val="0"/>
        <w:spacing w:before="0" w:after="0" w:line="360" w:lineRule="auto"/>
        <w:rPr>
          <w:color w:val="auto"/>
          <w:sz w:val="30"/>
          <w:szCs w:val="30"/>
          <w:highlight w:val="none"/>
          <w:lang w:eastAsia="zh-CN"/>
        </w:rPr>
      </w:pPr>
      <w:r/>
      <w:bookmarkStart w:id="24" w:name="_Toc16938525"/>
      <w:r/>
      <w:bookmarkStart w:id="25" w:name="_Toc513029209"/>
      <w:r/>
      <w:bookmarkStart w:id="26" w:name="_Toc20823281"/>
      <w:r/>
      <w:bookmarkStart w:id="27" w:name="_Toc120614215"/>
      <w:r>
        <w:rPr>
          <w:rFonts w:hint="eastAsia"/>
          <w:color w:val="auto"/>
          <w:sz w:val="30"/>
          <w:szCs w:val="30"/>
          <w:highlight w:val="none"/>
          <w:lang w:eastAsia="zh-CN"/>
        </w:rPr>
        <w:t xml:space="preserve">二、招标文件</w:t>
      </w:r>
      <w:bookmarkEnd w:id="24"/>
      <w:r/>
      <w:bookmarkEnd w:id="25"/>
      <w:r/>
      <w:bookmarkEnd w:id="26"/>
      <w:r/>
      <w:bookmarkEnd w:id="27"/>
      <w:r/>
      <w:r/>
    </w:p>
    <w:p>
      <w:pPr>
        <w:pStyle w:val="1067"/>
        <w:ind w:firstLine="422"/>
        <w:keepLines w:val="0"/>
        <w:keepNext w:val="0"/>
        <w:spacing w:before="0" w:after="0" w:line="360" w:lineRule="auto"/>
        <w:rPr>
          <w:rFonts w:hint="eastAsia" w:ascii="宋体" w:hAnsi="宋体" w:eastAsia="宋体"/>
          <w:bCs w:val="0"/>
          <w:color w:val="auto"/>
          <w:highlight w:val="none"/>
          <w:lang w:eastAsia="zh-CN"/>
        </w:rPr>
      </w:pPr>
      <w:r/>
      <w:bookmarkStart w:id="28" w:name="_Toc16938526"/>
      <w:r/>
      <w:bookmarkStart w:id="29" w:name="_Toc20823282"/>
      <w:r/>
      <w:bookmarkStart w:id="30" w:name="_Toc513029210"/>
      <w:r>
        <w:rPr>
          <w:rFonts w:hint="eastAsia" w:ascii="宋体" w:hAnsi="宋体" w:eastAsia="宋体"/>
          <w:bCs w:val="0"/>
          <w:color w:val="auto"/>
          <w:highlight w:val="none"/>
          <w:lang w:eastAsia="zh-CN"/>
        </w:rPr>
        <w:t xml:space="preserve">6.招标文件构成</w:t>
      </w:r>
      <w:bookmarkEnd w:id="28"/>
      <w:r/>
      <w:bookmarkEnd w:id="29"/>
      <w:r/>
      <w:bookmarkEnd w:id="30"/>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rPr>
          <w:rFonts w:hint="eastAsia" w:ascii="宋体" w:hAnsi="宋体" w:eastAsia="宋体"/>
          <w:color w:val="auto"/>
          <w:sz w:val="24"/>
          <w:szCs w:val="24"/>
          <w:highlight w:val="none"/>
        </w:rPr>
        <w:t xml:space="preserve">函</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360" w:lineRule="auto"/>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联系解决。</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67"/>
        <w:ind w:firstLine="422"/>
        <w:keepLines w:val="0"/>
        <w:keepNext w:val="0"/>
        <w:spacing w:before="0" w:after="0" w:line="360" w:lineRule="auto"/>
        <w:rPr>
          <w:rFonts w:hint="eastAsia" w:ascii="宋体" w:hAnsi="宋体" w:eastAsia="宋体"/>
          <w:bCs w:val="0"/>
          <w:color w:val="auto"/>
          <w:highlight w:val="none"/>
          <w:lang w:eastAsia="zh-CN"/>
        </w:rPr>
      </w:pPr>
      <w:r/>
      <w:bookmarkStart w:id="31" w:name="_Toc462564070"/>
      <w:r/>
      <w:bookmarkStart w:id="32" w:name="_Toc20823283"/>
      <w:r/>
      <w:bookmarkStart w:id="33" w:name="_Toc513029211"/>
      <w:r/>
      <w:bookmarkStart w:id="34" w:name="_Toc16938527"/>
      <w:r>
        <w:rPr>
          <w:rFonts w:hint="eastAsia" w:ascii="宋体" w:hAnsi="宋体" w:eastAsia="宋体"/>
          <w:bCs w:val="0"/>
          <w:color w:val="auto"/>
          <w:highlight w:val="none"/>
          <w:lang w:eastAsia="zh-CN"/>
        </w:rPr>
        <w:t xml:space="preserve">7.招标文件的澄清</w:t>
      </w:r>
      <w:bookmarkEnd w:id="31"/>
      <w:r/>
      <w:bookmarkEnd w:id="32"/>
      <w:r/>
      <w:bookmarkEnd w:id="33"/>
      <w:r/>
      <w:bookmarkEnd w:id="34"/>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以书面形式提出。</w:t>
      </w:r>
      <w:r/>
    </w:p>
    <w:p>
      <w:pPr>
        <w:pStyle w:val="1067"/>
        <w:ind w:firstLine="422"/>
        <w:keepLines w:val="0"/>
        <w:keepNext w:val="0"/>
        <w:spacing w:before="0" w:after="0" w:line="360" w:lineRule="auto"/>
        <w:rPr>
          <w:rFonts w:hint="eastAsia" w:ascii="宋体" w:hAnsi="宋体" w:eastAsia="宋体"/>
          <w:bCs w:val="0"/>
          <w:color w:val="auto"/>
          <w:highlight w:val="none"/>
          <w:lang w:eastAsia="zh-CN"/>
        </w:rPr>
      </w:pPr>
      <w:r/>
      <w:bookmarkStart w:id="35" w:name="_Toc20823284"/>
      <w:r/>
      <w:bookmarkStart w:id="36" w:name="_Toc462564071"/>
      <w:r/>
      <w:bookmarkStart w:id="37" w:name="_Toc16938528"/>
      <w:r/>
      <w:bookmarkStart w:id="38" w:name="_Toc513029212"/>
      <w:r>
        <w:rPr>
          <w:rFonts w:hint="eastAsia" w:ascii="宋体" w:hAnsi="宋体" w:eastAsia="宋体"/>
          <w:bCs w:val="0"/>
          <w:color w:val="auto"/>
          <w:highlight w:val="none"/>
          <w:lang w:eastAsia="zh-CN"/>
        </w:rPr>
        <w:t xml:space="preserve">8.招标文件的修改</w:t>
      </w:r>
      <w:bookmarkEnd w:id="35"/>
      <w:r/>
      <w:bookmarkEnd w:id="36"/>
      <w:r/>
      <w:bookmarkEnd w:id="37"/>
      <w:r/>
      <w:bookmarkEnd w:id="38"/>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890"/>
        <w:ind w:firstLine="452"/>
        <w:keepLines w:val="0"/>
        <w:keepNext w:val="0"/>
        <w:spacing w:before="0" w:after="0" w:line="360" w:lineRule="auto"/>
        <w:rPr>
          <w:color w:val="auto"/>
          <w:sz w:val="30"/>
          <w:szCs w:val="30"/>
          <w:highlight w:val="none"/>
          <w:lang w:eastAsia="zh-CN"/>
        </w:rPr>
      </w:pPr>
      <w:r/>
      <w:bookmarkStart w:id="39" w:name="_Toc20823285"/>
      <w:r/>
      <w:bookmarkStart w:id="40" w:name="_Toc120614216"/>
      <w:r/>
      <w:bookmarkStart w:id="41" w:name="_Toc16938529"/>
      <w:r/>
      <w:bookmarkStart w:id="42" w:name="_Toc513029213"/>
      <w:r/>
      <w:bookmarkStart w:id="43" w:name="_Toc462564072"/>
      <w:r>
        <w:rPr>
          <w:rFonts w:hint="eastAsia"/>
          <w:color w:val="auto"/>
          <w:sz w:val="30"/>
          <w:szCs w:val="30"/>
          <w:highlight w:val="none"/>
          <w:lang w:eastAsia="zh-CN"/>
        </w:rPr>
        <w:t xml:space="preserve">三、投标文件的编制</w:t>
      </w:r>
      <w:bookmarkEnd w:id="39"/>
      <w:r/>
      <w:bookmarkEnd w:id="40"/>
      <w:r/>
      <w:bookmarkEnd w:id="41"/>
      <w:r/>
      <w:bookmarkEnd w:id="42"/>
      <w:r/>
      <w:bookmarkEnd w:id="43"/>
      <w:r/>
      <w:r/>
    </w:p>
    <w:p>
      <w:pPr>
        <w:pStyle w:val="1067"/>
        <w:ind w:firstLine="422"/>
        <w:keepLines w:val="0"/>
        <w:keepNext w:val="0"/>
        <w:spacing w:before="0" w:after="0" w:line="360" w:lineRule="auto"/>
        <w:rPr>
          <w:rFonts w:hint="eastAsia" w:ascii="宋体" w:hAnsi="宋体" w:eastAsia="宋体"/>
          <w:bCs w:val="0"/>
          <w:color w:val="auto"/>
          <w:highlight w:val="none"/>
          <w:lang w:eastAsia="zh-CN"/>
        </w:rPr>
      </w:pPr>
      <w:r/>
      <w:bookmarkStart w:id="44" w:name="_Toc16938530"/>
      <w:r/>
      <w:bookmarkStart w:id="45" w:name="_Toc513029214"/>
      <w:r/>
      <w:bookmarkStart w:id="46" w:name="_Toc462564073"/>
      <w:r/>
      <w:bookmarkStart w:id="47" w:name="_Toc20823286"/>
      <w:r>
        <w:rPr>
          <w:rFonts w:hint="eastAsia" w:ascii="宋体" w:hAnsi="宋体" w:eastAsia="宋体"/>
          <w:bCs w:val="0"/>
          <w:color w:val="auto"/>
          <w:highlight w:val="none"/>
          <w:lang w:eastAsia="zh-CN"/>
        </w:rPr>
        <w:t xml:space="preserve">9.投标文件的语言及度量衡单位</w:t>
      </w:r>
      <w:bookmarkEnd w:id="44"/>
      <w:r/>
      <w:bookmarkEnd w:id="45"/>
      <w:r/>
      <w:bookmarkEnd w:id="46"/>
      <w:r/>
      <w:bookmarkEnd w:id="47"/>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1067"/>
        <w:ind w:firstLine="422"/>
        <w:keepLines w:val="0"/>
        <w:keepNext w:val="0"/>
        <w:spacing w:before="0" w:after="0" w:line="360" w:lineRule="auto"/>
        <w:rPr>
          <w:rFonts w:hint="eastAsia" w:ascii="宋体" w:hAnsi="宋体" w:eastAsia="宋体"/>
          <w:bCs w:val="0"/>
          <w:color w:val="auto"/>
          <w:highlight w:val="none"/>
          <w:lang w:eastAsia="zh-CN"/>
        </w:rPr>
      </w:pPr>
      <w:r/>
      <w:bookmarkStart w:id="48" w:name="_Toc462564074"/>
      <w:r/>
      <w:bookmarkStart w:id="49" w:name="_Toc513029215"/>
      <w:r/>
      <w:bookmarkStart w:id="50" w:name="_Toc20823287"/>
      <w:r/>
      <w:bookmarkStart w:id="51" w:name="_Toc16938531"/>
      <w:r>
        <w:rPr>
          <w:rFonts w:hint="eastAsia" w:ascii="宋体" w:hAnsi="宋体" w:eastAsia="宋体"/>
          <w:bCs w:val="0"/>
          <w:color w:val="auto"/>
          <w:highlight w:val="none"/>
          <w:lang w:eastAsia="zh-CN"/>
        </w:rPr>
        <w:t xml:space="preserve">10.投标文件构成</w:t>
      </w:r>
      <w:bookmarkEnd w:id="48"/>
      <w:r/>
      <w:bookmarkEnd w:id="49"/>
      <w:r/>
      <w:bookmarkEnd w:id="50"/>
      <w:r/>
      <w:bookmarkEnd w:id="51"/>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投标偏离表、《采购需求》中如有要求须提供的证明文件等）、其他证明文件（《评标方法与评标标准》中涉及的证明文件、其他投标人认为应附的文件）等内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10.2投标人所</w:t>
      </w:r>
      <w:r>
        <w:rPr>
          <w:rFonts w:hint="eastAsia" w:ascii="宋体" w:hAnsi="宋体"/>
          <w:color w:val="auto"/>
          <w:sz w:val="24"/>
          <w:highlight w:val="none"/>
          <w:lang w:eastAsia="zh-CN"/>
        </w:rPr>
        <w:t xml:space="preserve">需</w:t>
      </w:r>
      <w:r>
        <w:rPr>
          <w:rFonts w:hint="eastAsia" w:ascii="宋体" w:hAnsi="宋体"/>
          <w:color w:val="auto"/>
          <w:sz w:val="24"/>
          <w:highlight w:val="none"/>
        </w:rPr>
        <w:t xml:space="preserve">提供的相关证明文件和要求以及投标文件的部分格式要求，详见第六章《投标文件内容与格式》。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1067"/>
        <w:ind w:firstLine="422"/>
        <w:keepLines w:val="0"/>
        <w:keepNext w:val="0"/>
        <w:spacing w:before="0" w:after="0" w:line="360" w:lineRule="auto"/>
        <w:rPr>
          <w:rFonts w:hint="eastAsia" w:ascii="宋体" w:hAnsi="宋体" w:eastAsia="宋体"/>
          <w:bCs w:val="0"/>
          <w:color w:val="auto"/>
          <w:highlight w:val="none"/>
          <w:lang w:eastAsia="zh-CN"/>
        </w:rPr>
      </w:pPr>
      <w:r/>
      <w:bookmarkStart w:id="52" w:name="_Hlt26954838"/>
      <w:r/>
      <w:bookmarkEnd w:id="52"/>
      <w:r/>
      <w:bookmarkStart w:id="53" w:name="_Hlt26668975"/>
      <w:r/>
      <w:bookmarkEnd w:id="53"/>
      <w:r/>
      <w:bookmarkStart w:id="54" w:name="_Hlt26670360"/>
      <w:r/>
      <w:bookmarkEnd w:id="54"/>
      <w:r/>
      <w:bookmarkStart w:id="55" w:name="_Toc513029219"/>
      <w:r/>
      <w:bookmarkStart w:id="56" w:name="_Toc49090509"/>
      <w:r/>
      <w:bookmarkStart w:id="57" w:name="_Toc49090507"/>
      <w:r/>
      <w:bookmarkStart w:id="58" w:name="_Toc14577354"/>
      <w:r/>
      <w:bookmarkStart w:id="59" w:name="_Toc513029216"/>
      <w:r/>
      <w:bookmarkStart w:id="60" w:name="_Toc14577357"/>
      <w:r>
        <w:rPr>
          <w:rFonts w:hint="eastAsia" w:ascii="宋体" w:hAnsi="宋体" w:eastAsia="宋体"/>
          <w:bCs w:val="0"/>
          <w:color w:val="auto"/>
          <w:highlight w:val="none"/>
          <w:lang w:eastAsia="zh-CN"/>
        </w:rPr>
        <w:t xml:space="preserve">11.证明投标人及投标标的符合招标文件规定的文件</w:t>
      </w:r>
      <w:bookmarkEnd w:id="55"/>
      <w:r/>
      <w:bookmarkEnd w:id="56"/>
      <w:r/>
      <w:bookmarkEnd w:id="57"/>
      <w:r/>
      <w:bookmarkEnd w:id="58"/>
      <w:r/>
      <w:bookmarkEnd w:id="59"/>
      <w:r/>
      <w:bookmarkEnd w:id="60"/>
      <w:r/>
      <w:r/>
    </w:p>
    <w:p>
      <w:pPr>
        <w:ind w:firstLine="480"/>
        <w:spacing w:line="360" w:lineRule="auto"/>
        <w:rPr>
          <w:rFonts w:hint="eastAsia" w:ascii="宋体" w:hAnsi="宋体"/>
          <w:bCs/>
          <w:color w:val="auto"/>
          <w:sz w:val="24"/>
          <w:highlight w:val="none"/>
        </w:rPr>
      </w:pPr>
      <w:r/>
      <w:bookmarkStart w:id="61" w:name="_Toc49090508"/>
      <w:r/>
      <w:bookmarkStart w:id="62" w:name="_Toc14577355"/>
      <w:r>
        <w:rPr>
          <w:rFonts w:hint="eastAsia" w:ascii="宋体" w:hAnsi="宋体"/>
          <w:bCs/>
          <w:color w:val="auto"/>
          <w:sz w:val="24"/>
          <w:highlight w:val="none"/>
        </w:rPr>
        <w:t xml:space="preserve">11.1投标人应按照</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、规章和规范性文件以及招标文件要求提交证明文件，证明</w:t>
      </w:r>
      <w:r>
        <w:rPr>
          <w:rFonts w:hint="eastAsia" w:ascii="宋体" w:hAnsi="宋体"/>
          <w:bCs/>
          <w:color w:val="auto"/>
          <w:sz w:val="24"/>
          <w:highlight w:val="none"/>
          <w:lang w:eastAsia="zh-CN"/>
        </w:rPr>
        <w:t xml:space="preserve">其</w:t>
      </w:r>
      <w:r>
        <w:rPr>
          <w:rFonts w:hint="eastAsia" w:ascii="宋体" w:hAnsi="宋体"/>
          <w:bCs/>
          <w:color w:val="auto"/>
          <w:sz w:val="24"/>
          <w:highlight w:val="none"/>
        </w:rPr>
        <w:t xml:space="preserve">投标标的符合招标文</w:t>
      </w:r>
      <w:r>
        <w:rPr>
          <w:rFonts w:hint="eastAsia" w:ascii="宋体" w:hAnsi="宋体"/>
          <w:bCs/>
          <w:color w:val="auto"/>
          <w:sz w:val="24"/>
          <w:highlight w:val="none"/>
          <w:lang w:eastAsia="zh-CN"/>
        </w:rPr>
        <w:t xml:space="preserve">件的</w:t>
      </w:r>
      <w:r>
        <w:rPr>
          <w:rFonts w:hint="eastAsia" w:ascii="宋体" w:hAnsi="宋体"/>
          <w:bCs/>
          <w:color w:val="auto"/>
          <w:sz w:val="24"/>
          <w:highlight w:val="none"/>
        </w:rPr>
        <w:t xml:space="preserve">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067"/>
        <w:ind w:firstLine="422"/>
        <w:keepLines w:val="0"/>
        <w:keepNext w:val="0"/>
        <w:spacing w:before="0" w:after="0" w:line="360" w:lineRule="auto"/>
        <w:rPr>
          <w:rFonts w:hint="eastAsia" w:ascii="宋体" w:hAnsi="宋体" w:eastAsia="宋体"/>
          <w:bCs w:val="0"/>
          <w:color w:val="auto"/>
          <w:highlight w:val="none"/>
          <w:lang w:eastAsia="zh-CN"/>
        </w:rPr>
      </w:pPr>
      <w:r/>
      <w:bookmarkStart w:id="63" w:name="_Toc49090510"/>
      <w:r/>
      <w:bookmarkStart w:id="64" w:name="_Toc14577359"/>
      <w:r>
        <w:rPr>
          <w:rFonts w:hint="eastAsia" w:ascii="宋体" w:hAnsi="宋体" w:eastAsia="宋体"/>
          <w:bCs w:val="0"/>
          <w:color w:val="auto"/>
          <w:highlight w:val="none"/>
          <w:lang w:eastAsia="zh-CN"/>
        </w:rPr>
        <w:t xml:space="preserve">12.投标函、承诺书和开标一览表</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pStyle w:val="1067"/>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13.</w:t>
      </w:r>
      <w:bookmarkEnd w:id="61"/>
      <w:r/>
      <w:bookmarkEnd w:id="62"/>
      <w:r>
        <w:rPr>
          <w:rFonts w:hint="eastAsia" w:ascii="宋体" w:hAnsi="宋体" w:eastAsia="宋体"/>
          <w:bCs w:val="0"/>
          <w:color w:val="auto"/>
          <w:highlight w:val="none"/>
          <w:lang w:eastAsia="zh-CN"/>
        </w:rPr>
        <w:t xml:space="preserve">分项报价表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65" w:name="_Hlt26954840"/>
      <w:r/>
      <w:bookmarkEnd w:id="65"/>
      <w:r>
        <w:rPr>
          <w:rFonts w:hint="eastAsia" w:ascii="宋体" w:hAnsi="宋体"/>
          <w:color w:val="auto"/>
          <w:sz w:val="24"/>
          <w:highlight w:val="none"/>
        </w:rPr>
        <w:t xml:space="preserve">标人应按照招标文件规定格式填报</w:t>
      </w:r>
      <w:bookmarkStart w:id="66" w:name="_Hlt26670399"/>
      <w:r/>
      <w:bookmarkEnd w:id="66"/>
      <w:r>
        <w:rPr>
          <w:rFonts w:hint="eastAsia" w:ascii="宋体" w:hAnsi="宋体"/>
          <w:color w:val="auto"/>
          <w:sz w:val="24"/>
          <w:highlight w:val="none"/>
        </w:rPr>
        <w:t xml:space="preserve">分项报价表。</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1067"/>
        <w:ind w:firstLine="422"/>
        <w:keepLines w:val="0"/>
        <w:keepNext w:val="0"/>
        <w:spacing w:before="0" w:after="0" w:line="360" w:lineRule="auto"/>
        <w:rPr>
          <w:rFonts w:hint="eastAsia" w:ascii="宋体" w:hAnsi="宋体" w:eastAsia="宋体"/>
          <w:bCs w:val="0"/>
          <w:color w:val="auto"/>
          <w:highlight w:val="none"/>
          <w:lang w:eastAsia="zh-CN"/>
        </w:rPr>
      </w:pPr>
      <w:r/>
      <w:bookmarkStart w:id="67" w:name="_Hlt26670486"/>
      <w:r/>
      <w:bookmarkEnd w:id="67"/>
      <w:r/>
      <w:bookmarkStart w:id="68" w:name="_Hlt26954842"/>
      <w:r/>
      <w:bookmarkEnd w:id="68"/>
      <w:r/>
      <w:bookmarkStart w:id="69" w:name="_Hlt26954846"/>
      <w:r/>
      <w:bookmarkEnd w:id="69"/>
      <w:r/>
      <w:bookmarkStart w:id="70" w:name="_Hlt26954731"/>
      <w:r/>
      <w:bookmarkEnd w:id="70"/>
      <w:r/>
      <w:bookmarkStart w:id="71" w:name="_Hlt26954848"/>
      <w:r/>
      <w:bookmarkEnd w:id="71"/>
      <w:r/>
      <w:bookmarkStart w:id="72" w:name="_Hlt26670425"/>
      <w:r/>
      <w:bookmarkEnd w:id="72"/>
      <w:r/>
      <w:bookmarkStart w:id="73" w:name="_Hlt26670482"/>
      <w:r/>
      <w:bookmarkEnd w:id="73"/>
      <w:r/>
      <w:bookmarkStart w:id="74" w:name="_Hlt26668983"/>
      <w:r/>
      <w:bookmarkEnd w:id="74"/>
      <w:r/>
      <w:bookmarkStart w:id="75" w:name="_Hlt26954844"/>
      <w:r/>
      <w:bookmarkEnd w:id="75"/>
      <w:r/>
      <w:bookmarkStart w:id="76" w:name="_Hlt26670403"/>
      <w:r/>
      <w:bookmarkEnd w:id="76"/>
      <w:r>
        <w:rPr>
          <w:rFonts w:hint="eastAsia" w:ascii="宋体" w:hAnsi="宋体" w:eastAsia="宋体"/>
          <w:bCs w:val="0"/>
          <w:color w:val="auto"/>
          <w:highlight w:val="none"/>
          <w:lang w:eastAsia="zh-CN"/>
        </w:rPr>
        <w:t xml:space="preserve">14.投标偏离表</w:t>
      </w:r>
      <w:r/>
    </w:p>
    <w:p>
      <w:pPr>
        <w:ind w:firstLine="480"/>
        <w:spacing w:line="360" w:lineRule="auto"/>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1067"/>
        <w:ind w:firstLine="422"/>
        <w:keepLines w:val="0"/>
        <w:keepNext w:val="0"/>
        <w:spacing w:before="0" w:after="0" w:line="360" w:lineRule="auto"/>
        <w:rPr>
          <w:rFonts w:hint="eastAsia" w:ascii="宋体" w:hAnsi="宋体" w:eastAsia="宋体"/>
          <w:bCs w:val="0"/>
          <w:color w:val="auto"/>
          <w:highlight w:val="none"/>
          <w:lang w:eastAsia="zh-CN"/>
        </w:rPr>
      </w:pPr>
      <w:r/>
      <w:bookmarkStart w:id="77" w:name="_Hlt26954734"/>
      <w:r/>
      <w:bookmarkEnd w:id="77"/>
      <w:r/>
      <w:bookmarkStart w:id="78" w:name="_Hlt26670489"/>
      <w:r/>
      <w:bookmarkEnd w:id="78"/>
      <w:r/>
      <w:bookmarkStart w:id="79" w:name="_Hlt26954850"/>
      <w:r/>
      <w:bookmarkEnd w:id="79"/>
      <w:r/>
      <w:bookmarkStart w:id="80" w:name="_Toc14577360"/>
      <w:r/>
      <w:bookmarkStart w:id="81" w:name="_Toc49090511"/>
      <w:r>
        <w:rPr>
          <w:rFonts w:hint="eastAsia" w:ascii="宋体" w:hAnsi="宋体" w:eastAsia="宋体"/>
          <w:bCs w:val="0"/>
          <w:color w:val="auto"/>
          <w:highlight w:val="none"/>
          <w:lang w:eastAsia="zh-CN"/>
        </w:rPr>
        <w:t xml:space="preserve">15.投标有效期</w:t>
      </w:r>
      <w:bookmarkEnd w:id="80"/>
      <w:r/>
      <w:bookmarkEnd w:id="81"/>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1067"/>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16.投标有效期的延长</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890"/>
        <w:ind w:firstLine="452"/>
        <w:keepLines w:val="0"/>
        <w:keepNext w:val="0"/>
        <w:spacing w:before="0" w:after="0" w:line="360" w:lineRule="auto"/>
        <w:rPr>
          <w:color w:val="auto"/>
          <w:sz w:val="30"/>
          <w:szCs w:val="30"/>
          <w:highlight w:val="none"/>
          <w:lang w:eastAsia="zh-CN"/>
        </w:rPr>
      </w:pPr>
      <w:r/>
      <w:bookmarkStart w:id="82" w:name="_Hlt26954852"/>
      <w:r/>
      <w:bookmarkEnd w:id="82"/>
      <w:r/>
      <w:bookmarkStart w:id="83" w:name="_Hlt26954739"/>
      <w:r/>
      <w:bookmarkEnd w:id="83"/>
      <w:r/>
      <w:bookmarkStart w:id="84" w:name="_Toc16938540"/>
      <w:r/>
      <w:bookmarkStart w:id="85" w:name="_Toc120614217"/>
      <w:r/>
      <w:bookmarkStart w:id="86" w:name="_Toc20823296"/>
      <w:r/>
      <w:bookmarkStart w:id="87" w:name="_Toc513029224"/>
      <w:r>
        <w:rPr>
          <w:rFonts w:hint="eastAsia"/>
          <w:color w:val="auto"/>
          <w:sz w:val="30"/>
          <w:szCs w:val="30"/>
          <w:highlight w:val="none"/>
          <w:lang w:eastAsia="zh-CN"/>
        </w:rPr>
        <w:t xml:space="preserve">四、投标文件的递交</w:t>
      </w:r>
      <w:bookmarkEnd w:id="84"/>
      <w:r/>
      <w:bookmarkEnd w:id="85"/>
      <w:r/>
      <w:bookmarkEnd w:id="86"/>
      <w:r/>
      <w:bookmarkEnd w:id="87"/>
      <w:r/>
      <w:r/>
    </w:p>
    <w:p>
      <w:pPr>
        <w:pStyle w:val="1067"/>
        <w:ind w:firstLine="422"/>
        <w:keepLines w:val="0"/>
        <w:keepNext w:val="0"/>
        <w:spacing w:before="0" w:after="0" w:line="360" w:lineRule="auto"/>
        <w:rPr>
          <w:rFonts w:hint="eastAsia" w:ascii="宋体" w:hAnsi="宋体" w:eastAsia="宋体"/>
          <w:bCs w:val="0"/>
          <w:color w:val="auto"/>
          <w:highlight w:val="none"/>
          <w:lang w:eastAsia="zh-CN"/>
        </w:rPr>
      </w:pPr>
      <w:r/>
      <w:bookmarkStart w:id="88" w:name="_Toc462564084"/>
      <w:r/>
      <w:bookmarkStart w:id="89" w:name="_Toc16938541"/>
      <w:r/>
      <w:bookmarkStart w:id="90" w:name="_Toc20823297"/>
      <w:r/>
      <w:bookmarkStart w:id="91" w:name="_Toc513029225"/>
      <w:r>
        <w:rPr>
          <w:rFonts w:hint="eastAsia" w:ascii="宋体" w:hAnsi="宋体" w:eastAsia="宋体"/>
          <w:bCs w:val="0"/>
          <w:color w:val="auto"/>
          <w:highlight w:val="none"/>
          <w:lang w:eastAsia="zh-CN"/>
        </w:rPr>
        <w:t xml:space="preserve">17.投标文件</w:t>
      </w:r>
      <w:bookmarkEnd w:id="88"/>
      <w:r/>
      <w:bookmarkEnd w:id="89"/>
      <w:r/>
      <w:bookmarkEnd w:id="90"/>
      <w:r/>
      <w:bookmarkEnd w:id="91"/>
      <w:r>
        <w:rPr>
          <w:rFonts w:hint="eastAsia" w:ascii="宋体" w:hAnsi="宋体" w:eastAsia="宋体"/>
          <w:bCs w:val="0"/>
          <w:color w:val="auto"/>
          <w:highlight w:val="none"/>
          <w:lang w:eastAsia="zh-CN"/>
        </w:rPr>
        <w:t xml:space="preserve">的递交</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153"/>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92" w:name="_Toc513029226"/>
      <w:r/>
      <w:bookmarkStart w:id="93" w:name="_Toc20823298"/>
      <w:r/>
      <w:bookmarkStart w:id="94" w:name="_Toc16938542"/>
      <w:r/>
      <w:r/>
    </w:p>
    <w:p>
      <w:pPr>
        <w:pStyle w:val="1067"/>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18.投标截止</w:t>
      </w:r>
      <w:bookmarkEnd w:id="92"/>
      <w:r/>
      <w:bookmarkEnd w:id="93"/>
      <w:r/>
      <w:bookmarkEnd w:id="94"/>
      <w:r>
        <w:rPr>
          <w:rFonts w:hint="eastAsia" w:ascii="宋体" w:hAnsi="宋体" w:eastAsia="宋体"/>
          <w:bCs w:val="0"/>
          <w:color w:val="auto"/>
          <w:highlight w:val="none"/>
          <w:lang w:eastAsia="zh-CN"/>
        </w:rPr>
        <w:t xml:space="preserve">时间</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投标人应</w:t>
      </w:r>
      <w:r>
        <w:rPr>
          <w:rFonts w:hint="eastAsia" w:ascii="宋体" w:hAnsi="宋体"/>
          <w:bCs/>
          <w:color w:val="auto"/>
          <w:sz w:val="24"/>
          <w:highlight w:val="none"/>
          <w:lang w:eastAsia="zh-CN"/>
        </w:rPr>
        <w:t xml:space="preserve">充分考虑</w:t>
      </w:r>
      <w:r>
        <w:rPr>
          <w:rFonts w:hint="eastAsia" w:ascii="宋体" w:hAnsi="宋体"/>
          <w:bCs/>
          <w:color w:val="auto"/>
          <w:sz w:val="24"/>
          <w:highlight w:val="none"/>
        </w:rPr>
        <w:t xml:space="preserve">网络环境、网络带宽等风险因素，如因投标人自身原因造成的电子投标文件上传不成功的视作投标人未按照招标文件要求上传电子投标文件，做无效投标处理。</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可以按照规定，通过更正公告修改投标截止时间，投标人的所有权利和义务以及投标人受制的截止时间均应以延长后新的截止时间为准。</w:t>
      </w:r>
      <w:r/>
    </w:p>
    <w:p>
      <w:pPr>
        <w:pStyle w:val="1067"/>
        <w:ind w:firstLine="422"/>
        <w:keepLines w:val="0"/>
        <w:keepNext w:val="0"/>
        <w:spacing w:before="0" w:after="0" w:line="360" w:lineRule="auto"/>
        <w:rPr>
          <w:rFonts w:hint="eastAsia" w:ascii="宋体" w:hAnsi="宋体" w:eastAsia="宋体"/>
          <w:bCs w:val="0"/>
          <w:color w:val="auto"/>
          <w:highlight w:val="none"/>
          <w:lang w:eastAsia="zh-CN"/>
        </w:rPr>
      </w:pPr>
      <w:r/>
      <w:bookmarkStart w:id="95" w:name="_Toc20823299"/>
      <w:r/>
      <w:bookmarkStart w:id="96" w:name="_Toc513029227"/>
      <w:r/>
      <w:bookmarkStart w:id="97" w:name="_Toc16938543"/>
      <w:r>
        <w:rPr>
          <w:rFonts w:hint="eastAsia" w:ascii="宋体" w:hAnsi="宋体" w:eastAsia="宋体"/>
          <w:bCs w:val="0"/>
          <w:color w:val="auto"/>
          <w:highlight w:val="none"/>
          <w:lang w:eastAsia="zh-CN"/>
        </w:rPr>
        <w:t xml:space="preserve">19.投标文件</w:t>
      </w:r>
      <w:bookmarkEnd w:id="95"/>
      <w:r/>
      <w:bookmarkEnd w:id="96"/>
      <w:r/>
      <w:bookmarkEnd w:id="97"/>
      <w:r>
        <w:rPr>
          <w:rFonts w:hint="eastAsia" w:ascii="宋体" w:hAnsi="宋体" w:eastAsia="宋体"/>
          <w:bCs w:val="0"/>
          <w:color w:val="auto"/>
          <w:highlight w:val="none"/>
          <w:lang w:eastAsia="zh-CN"/>
        </w:rPr>
        <w:t xml:space="preserve">的拒收</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拒绝接收在其规定的投标截止时间后上传的任何投标文件。</w:t>
      </w:r>
      <w:r/>
    </w:p>
    <w:p>
      <w:pPr>
        <w:pStyle w:val="1067"/>
        <w:ind w:firstLine="422"/>
        <w:keepLines w:val="0"/>
        <w:keepNext w:val="0"/>
        <w:spacing w:before="0" w:after="0" w:line="360" w:lineRule="auto"/>
        <w:rPr>
          <w:rFonts w:hint="eastAsia" w:ascii="宋体" w:hAnsi="宋体" w:eastAsia="宋体"/>
          <w:bCs w:val="0"/>
          <w:color w:val="auto"/>
          <w:highlight w:val="none"/>
          <w:lang w:eastAsia="zh-CN"/>
        </w:rPr>
      </w:pPr>
      <w:r/>
      <w:bookmarkStart w:id="98" w:name="_Toc16938544"/>
      <w:r/>
      <w:bookmarkStart w:id="99" w:name="_Toc513029228"/>
      <w:r/>
      <w:bookmarkStart w:id="100" w:name="_Toc20823300"/>
      <w:r>
        <w:rPr>
          <w:rFonts w:hint="eastAsia" w:ascii="宋体" w:hAnsi="宋体" w:eastAsia="宋体"/>
          <w:bCs w:val="0"/>
          <w:color w:val="auto"/>
          <w:highlight w:val="none"/>
          <w:lang w:eastAsia="zh-CN"/>
        </w:rPr>
        <w:t xml:space="preserve">20.投标文件的撤回和修改</w:t>
      </w:r>
      <w:bookmarkEnd w:id="98"/>
      <w:r/>
      <w:bookmarkEnd w:id="99"/>
      <w:r/>
      <w:bookmarkEnd w:id="100"/>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.1.1电子投标文件的撤回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w:t>
      </w:r>
      <w:r>
        <w:rPr>
          <w:rFonts w:hint="eastAsia" w:ascii="宋体" w:hAnsi="宋体"/>
          <w:bCs/>
          <w:color w:val="auto"/>
          <w:sz w:val="24"/>
          <w:highlight w:val="none"/>
          <w:lang w:eastAsia="zh-CN"/>
        </w:rPr>
        <w:t xml:space="preserve">做</w:t>
      </w:r>
      <w:r>
        <w:rPr>
          <w:rFonts w:hint="eastAsia" w:ascii="宋体" w:hAnsi="宋体"/>
          <w:bCs/>
          <w:color w:val="auto"/>
          <w:sz w:val="24"/>
          <w:highlight w:val="none"/>
        </w:rPr>
        <w:t xml:space="preserve">任何修改。</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890"/>
        <w:ind w:firstLine="452"/>
        <w:keepLines w:val="0"/>
        <w:keepNext w:val="0"/>
        <w:spacing w:before="0" w:after="0" w:line="360" w:lineRule="auto"/>
        <w:rPr>
          <w:color w:val="auto"/>
          <w:sz w:val="30"/>
          <w:szCs w:val="30"/>
          <w:highlight w:val="none"/>
          <w:lang w:eastAsia="zh-CN"/>
        </w:rPr>
      </w:pPr>
      <w:r/>
      <w:bookmarkStart w:id="101" w:name="_Toc20823301"/>
      <w:r/>
      <w:bookmarkStart w:id="102" w:name="_Toc16938545"/>
      <w:r/>
      <w:bookmarkStart w:id="103" w:name="_Toc120614218"/>
      <w:r/>
      <w:bookmarkStart w:id="104" w:name="_Toc513029229"/>
      <w:r>
        <w:rPr>
          <w:rFonts w:hint="eastAsia"/>
          <w:color w:val="auto"/>
          <w:sz w:val="30"/>
          <w:szCs w:val="30"/>
          <w:highlight w:val="none"/>
          <w:lang w:eastAsia="zh-CN"/>
        </w:rPr>
        <w:t xml:space="preserve">五、开标与评标</w:t>
      </w:r>
      <w:bookmarkEnd w:id="101"/>
      <w:r/>
      <w:bookmarkEnd w:id="102"/>
      <w:r/>
      <w:bookmarkEnd w:id="103"/>
      <w:r/>
      <w:bookmarkEnd w:id="104"/>
      <w:r/>
      <w:r/>
    </w:p>
    <w:p>
      <w:pPr>
        <w:pStyle w:val="1067"/>
        <w:ind w:firstLine="422"/>
        <w:keepLines w:val="0"/>
        <w:keepNext w:val="0"/>
        <w:spacing w:before="0" w:after="0" w:line="360" w:lineRule="auto"/>
        <w:rPr>
          <w:rFonts w:hint="eastAsia" w:ascii="宋体" w:hAnsi="宋体" w:eastAsia="宋体"/>
          <w:bCs w:val="0"/>
          <w:color w:val="auto"/>
          <w:highlight w:val="none"/>
          <w:lang w:eastAsia="zh-CN"/>
        </w:rPr>
      </w:pPr>
      <w:r/>
      <w:bookmarkStart w:id="105" w:name="_Toc20823302"/>
      <w:r/>
      <w:bookmarkStart w:id="106" w:name="_Toc513029230"/>
      <w:r/>
      <w:bookmarkStart w:id="107" w:name="_Toc16938546"/>
      <w:r>
        <w:rPr>
          <w:rFonts w:hint="eastAsia" w:ascii="宋体" w:hAnsi="宋体" w:eastAsia="宋体"/>
          <w:bCs w:val="0"/>
          <w:color w:val="auto"/>
          <w:highlight w:val="none"/>
          <w:lang w:eastAsia="zh-CN"/>
        </w:rPr>
        <w:t xml:space="preserve">21.开标</w:t>
      </w:r>
      <w:bookmarkEnd w:id="105"/>
      <w:r/>
      <w:bookmarkEnd w:id="106"/>
      <w:r/>
      <w:bookmarkEnd w:id="107"/>
      <w:r/>
      <w:r/>
    </w:p>
    <w:p>
      <w:pPr>
        <w:ind w:firstLine="480"/>
        <w:spacing w:line="360" w:lineRule="auto"/>
        <w:rPr>
          <w:color w:val="auto"/>
          <w:highlight w:val="none"/>
        </w:rPr>
      </w:pPr>
      <w:r>
        <w:rPr>
          <w:rFonts w:hint="eastAsia" w:ascii="宋体" w:hAnsi="宋体"/>
          <w:color w:val="auto"/>
          <w:sz w:val="24"/>
          <w:highlight w:val="none"/>
        </w:rPr>
        <w:t xml:space="preserve">21.1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21.2开标仪式由</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21.3投标人在开标过程中</w:t>
      </w:r>
      <w:r>
        <w:rPr>
          <w:rFonts w:hint="eastAsia" w:ascii="宋体" w:hAnsi="宋体" w:eastAsia="宋体"/>
          <w:color w:val="auto"/>
          <w:sz w:val="24"/>
          <w:highlight w:val="none"/>
        </w:rPr>
        <w:t xml:space="preserve">涉及的</w:t>
      </w:r>
      <w:r>
        <w:rPr>
          <w:rFonts w:hint="eastAsia" w:ascii="宋体" w:hAnsi="宋体"/>
          <w:color w:val="auto"/>
          <w:sz w:val="24"/>
          <w:highlight w:val="none"/>
        </w:rPr>
        <w:t xml:space="preserve">投标文件解密、开标结果确认等工作，应按照《操作手册》规定执行。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1067"/>
        <w:ind w:firstLine="422"/>
        <w:keepLines w:val="0"/>
        <w:keepNext w:val="0"/>
        <w:spacing w:before="0" w:after="0" w:line="360" w:lineRule="auto"/>
        <w:rPr>
          <w:rFonts w:hint="eastAsia" w:ascii="宋体" w:hAnsi="宋体" w:eastAsia="宋体"/>
          <w:bCs w:val="0"/>
          <w:color w:val="auto"/>
          <w:highlight w:val="none"/>
          <w:lang w:eastAsia="zh-CN"/>
        </w:rPr>
      </w:pPr>
      <w:r/>
      <w:bookmarkStart w:id="108" w:name="_Toc16938547"/>
      <w:r/>
      <w:bookmarkStart w:id="109" w:name="_Toc20823303"/>
      <w:r/>
      <w:bookmarkStart w:id="110" w:name="_Toc513029231"/>
      <w:r>
        <w:rPr>
          <w:rFonts w:hint="eastAsia" w:ascii="宋体" w:hAnsi="宋体" w:eastAsia="宋体"/>
          <w:bCs w:val="0"/>
          <w:color w:val="auto"/>
          <w:highlight w:val="none"/>
          <w:lang w:eastAsia="zh-CN"/>
        </w:rPr>
        <w:t xml:space="preserve">22.评标委员会</w:t>
      </w:r>
      <w:r/>
    </w:p>
    <w:p>
      <w:pPr>
        <w:ind w:firstLine="480"/>
        <w:spacing w:line="360" w:lineRule="auto"/>
        <w:rPr>
          <w:rFonts w:hint="eastAsia" w:ascii="宋体" w:hAnsi="宋体"/>
          <w:b/>
          <w:color w:val="auto"/>
          <w:sz w:val="24"/>
          <w:szCs w:val="24"/>
          <w:highlight w:val="none"/>
        </w:rPr>
      </w:pPr>
      <w:r>
        <w:rPr>
          <w:rFonts w:hint="eastAsia" w:ascii="宋体" w:hAnsi="宋体"/>
          <w:color w:val="auto"/>
          <w:sz w:val="24"/>
          <w:szCs w:val="24"/>
          <w:highlight w:val="none"/>
        </w:rPr>
        <w:t xml:space="preserve">22.1开标后，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将立即组织评标委员会（以下简称评委会）进行评标。</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1067"/>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23.评标过程的保密与公正</w:t>
      </w:r>
      <w:bookmarkEnd w:id="108"/>
      <w:r/>
      <w:bookmarkEnd w:id="109"/>
      <w:r/>
      <w:bookmarkEnd w:id="110"/>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color w:val="auto"/>
          <w:sz w:val="24"/>
          <w:highlight w:val="none"/>
          <w:lang w:eastAsia="zh-CN"/>
        </w:rPr>
        <w:t xml:space="preserve">凡</w:t>
      </w:r>
      <w:r>
        <w:rPr>
          <w:rFonts w:hint="eastAsia" w:ascii="宋体" w:hAnsi="宋体"/>
          <w:bCs/>
          <w:color w:val="auto"/>
          <w:sz w:val="24"/>
          <w:highlight w:val="none"/>
        </w:rPr>
        <w:t xml:space="preserve">与审查、澄清、评价和比较投标的有关资料以及授标建议等，采购人、评委、</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均不得向投标人或与评标无关的其他人员透露。</w:t>
      </w:r>
      <w:r/>
    </w:p>
    <w:p>
      <w:pPr>
        <w:ind w:firstLine="480"/>
        <w:spacing w:line="360" w:lineRule="auto"/>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1067"/>
        <w:ind w:firstLine="422"/>
        <w:keepLines w:val="0"/>
        <w:keepNext w:val="0"/>
        <w:spacing w:before="0" w:after="0" w:line="360" w:lineRule="auto"/>
        <w:rPr>
          <w:rFonts w:hint="eastAsia" w:ascii="宋体" w:hAnsi="宋体" w:eastAsia="宋体"/>
          <w:bCs w:val="0"/>
          <w:color w:val="auto"/>
          <w:highlight w:val="none"/>
          <w:lang w:eastAsia="zh-CN"/>
        </w:rPr>
      </w:pPr>
      <w:r/>
      <w:bookmarkStart w:id="111" w:name="_Toc513029232"/>
      <w:r/>
      <w:bookmarkStart w:id="112" w:name="_Toc16938548"/>
      <w:r/>
      <w:bookmarkStart w:id="113" w:name="_Toc20823304"/>
      <w:r>
        <w:rPr>
          <w:rFonts w:hint="eastAsia" w:ascii="宋体" w:hAnsi="宋体" w:eastAsia="宋体"/>
          <w:bCs w:val="0"/>
          <w:color w:val="auto"/>
          <w:highlight w:val="none"/>
          <w:lang w:eastAsia="zh-CN"/>
        </w:rPr>
        <w:t xml:space="preserve">24.投标文件的澄清</w:t>
      </w:r>
      <w:bookmarkEnd w:id="111"/>
      <w:r/>
      <w:bookmarkEnd w:id="112"/>
      <w:r/>
      <w:bookmarkEnd w:id="113"/>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w:t>
      </w:r>
      <w:r>
        <w:rPr>
          <w:rFonts w:hint="eastAsia" w:ascii="宋体" w:hAnsi="宋体" w:eastAsia="宋体"/>
          <w:color w:val="auto"/>
          <w:sz w:val="24"/>
          <w:szCs w:val="24"/>
          <w:highlight w:val="none"/>
        </w:rPr>
        <w:t xml:space="preserve">作出</w:t>
      </w:r>
      <w:r>
        <w:rPr>
          <w:rFonts w:hint="eastAsia" w:ascii="宋体" w:hAnsi="宋体"/>
          <w:color w:val="auto"/>
          <w:sz w:val="24"/>
          <w:szCs w:val="24"/>
          <w:highlight w:val="none"/>
        </w:rPr>
        <w:t xml:space="preserve">澄清、说明和补正，其风险由投标人自行承担。</w:t>
      </w:r>
      <w:r/>
    </w:p>
    <w:p>
      <w:pPr>
        <w:pStyle w:val="1067"/>
        <w:ind w:firstLine="422"/>
        <w:keepLines w:val="0"/>
        <w:keepNext w:val="0"/>
        <w:spacing w:before="0" w:after="0" w:line="360" w:lineRule="auto"/>
        <w:rPr>
          <w:rFonts w:hint="eastAsia" w:ascii="宋体" w:hAnsi="宋体" w:eastAsia="宋体"/>
          <w:bCs w:val="0"/>
          <w:color w:val="auto"/>
          <w:highlight w:val="none"/>
          <w:lang w:eastAsia="zh-CN"/>
        </w:rPr>
      </w:pPr>
      <w:r/>
      <w:bookmarkStart w:id="114" w:name="_Toc513029233"/>
      <w:r/>
      <w:bookmarkStart w:id="115" w:name="_Toc16938549"/>
      <w:r/>
      <w:bookmarkStart w:id="116" w:name="_Toc20823305"/>
      <w:r>
        <w:rPr>
          <w:rFonts w:hint="eastAsia" w:ascii="宋体" w:hAnsi="宋体" w:eastAsia="宋体"/>
          <w:bCs w:val="0"/>
          <w:color w:val="auto"/>
          <w:highlight w:val="none"/>
          <w:lang w:eastAsia="zh-CN"/>
        </w:rPr>
        <w:t xml:space="preserve">25.对投标文件的初审</w:t>
      </w:r>
      <w:bookmarkEnd w:id="114"/>
      <w:r/>
      <w:bookmarkEnd w:id="115"/>
      <w:r/>
      <w:bookmarkEnd w:id="116"/>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www.ccgp.gov.cn</w:t>
      </w:r>
      <w:r>
        <w:rPr>
          <w:rFonts w:hint="eastAsia" w:ascii="宋体" w:hAnsi="宋体" w:eastAsia="宋体" w:cs="宋体"/>
          <w:color w:val="auto"/>
          <w:sz w:val="24"/>
          <w:szCs w:val="24"/>
          <w:highlight w:val="none"/>
        </w:rPr>
        <w:t xml:space="preserve">）</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w:t>
      </w:r>
      <w:r>
        <w:rPr>
          <w:rFonts w:hint="eastAsia" w:ascii="宋体" w:hAnsi="宋体" w:eastAsia="宋体" w:cs="宋体"/>
          <w:color w:val="auto"/>
          <w:sz w:val="24"/>
          <w:szCs w:val="24"/>
          <w:highlight w:val="none"/>
        </w:rPr>
        <w:t xml:space="preserve">重大税收违法失信主体</w:t>
      </w:r>
      <w:r>
        <w:rPr>
          <w:rFonts w:hint="eastAsia" w:ascii="宋体" w:hAnsi="宋体" w:cs="宋体"/>
          <w:color w:val="auto"/>
          <w:sz w:val="24"/>
          <w:szCs w:val="24"/>
          <w:highlight w:val="none"/>
        </w:rPr>
        <w:t xml:space="preserve">、政府采购严重违法失信行为记录名单，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color w:val="auto"/>
          <w:sz w:val="24"/>
          <w:highlight w:val="none"/>
        </w:rPr>
        <w:t xml:space="preserve">，</w:t>
      </w:r>
      <w:r>
        <w:rPr>
          <w:rFonts w:hint="eastAsia" w:ascii="宋体" w:hAnsi="宋体"/>
          <w:bCs/>
          <w:color w:val="auto"/>
          <w:sz w:val="24"/>
          <w:highlight w:val="none"/>
        </w:rPr>
        <w:t xml:space="preserve">联合体成员存在不良信用记录的，视同联合体存在不良应用记录。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bCs/>
          <w:color w:val="auto"/>
          <w:sz w:val="24"/>
          <w:highlight w:val="none"/>
          <w:lang w:eastAsia="zh-CN"/>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w:t>
      </w:r>
      <w:r>
        <w:rPr>
          <w:rFonts w:hint="eastAsia" w:ascii="宋体" w:hAnsi="宋体"/>
          <w:bCs/>
          <w:color w:val="auto"/>
          <w:sz w:val="24"/>
          <w:highlight w:val="none"/>
          <w:lang w:eastAsia="zh-CN"/>
        </w:rPr>
        <w:t xml:space="preserve">强化政府采购异常低价审查</w:t>
      </w:r>
      <w:r/>
    </w:p>
    <w:p>
      <w:pPr>
        <w:ind w:firstLine="480"/>
        <w:spacing w:line="360" w:lineRule="auto"/>
        <w:rPr>
          <w:rFonts w:hint="eastAsia" w:ascii="宋体" w:hAnsi="宋体"/>
          <w:bCs/>
          <w:color w:val="auto"/>
          <w:sz w:val="24"/>
          <w:highlight w:val="none"/>
          <w:lang w:eastAsia="zh-CN"/>
        </w:rPr>
      </w:pPr>
      <w:r>
        <w:rPr>
          <w:rFonts w:hint="eastAsia" w:ascii="宋体" w:hAnsi="宋体"/>
          <w:bCs/>
          <w:color w:val="auto"/>
          <w:sz w:val="24"/>
          <w:highlight w:val="none"/>
          <w:lang w:eastAsia="zh-CN"/>
        </w:rPr>
        <w:t xml:space="preserve">（一）评审过程中出现下列情形之一的，评审委员会应当启动异常低价投标审查程序： </w:t>
      </w:r>
      <w:r/>
    </w:p>
    <w:p>
      <w:pPr>
        <w:ind w:firstLine="480"/>
        <w:spacing w:line="360" w:lineRule="auto"/>
        <w:rPr>
          <w:rFonts w:hint="eastAsia" w:ascii="宋体" w:hAnsi="宋体"/>
          <w:bCs/>
          <w:color w:val="auto"/>
          <w:sz w:val="24"/>
          <w:highlight w:val="none"/>
          <w:lang w:eastAsia="zh-CN"/>
        </w:rPr>
      </w:pPr>
      <w:r>
        <w:rPr>
          <w:rFonts w:hint="eastAsia" w:ascii="宋体" w:hAnsi="宋体"/>
          <w:bCs/>
          <w:color w:val="auto"/>
          <w:sz w:val="24"/>
          <w:highlight w:val="none"/>
          <w:lang w:eastAsia="zh-CN"/>
        </w:rPr>
        <w:t xml:space="preserve">1．投标报价低于采购项目预算50%的，即投标报价〈采购项目预算×50%； </w:t>
      </w:r>
      <w:r/>
    </w:p>
    <w:p>
      <w:pPr>
        <w:ind w:firstLine="480"/>
        <w:spacing w:line="360" w:lineRule="auto"/>
        <w:rPr>
          <w:rFonts w:hint="eastAsia" w:ascii="宋体" w:hAnsi="宋体"/>
          <w:bCs/>
          <w:color w:val="auto"/>
          <w:sz w:val="24"/>
          <w:highlight w:val="none"/>
          <w:lang w:eastAsia="zh-CN"/>
        </w:rPr>
      </w:pPr>
      <w:r>
        <w:rPr>
          <w:rFonts w:hint="eastAsia" w:ascii="宋体" w:hAnsi="宋体"/>
          <w:bCs/>
          <w:color w:val="auto"/>
          <w:sz w:val="24"/>
          <w:highlight w:val="none"/>
          <w:lang w:eastAsia="zh-CN"/>
        </w:rPr>
        <w:t xml:space="preserve">2．投标报价低于采购项目最高限价45%的，即投标报价〈采购项目最高限价×45%； </w:t>
      </w:r>
      <w:r/>
    </w:p>
    <w:p>
      <w:pPr>
        <w:ind w:firstLine="480"/>
        <w:spacing w:line="360" w:lineRule="auto"/>
        <w:rPr>
          <w:rFonts w:hint="eastAsia" w:ascii="宋体" w:hAnsi="宋体"/>
          <w:bCs/>
          <w:color w:val="auto"/>
          <w:sz w:val="24"/>
          <w:highlight w:val="none"/>
          <w:lang w:eastAsia="zh-CN"/>
        </w:rPr>
      </w:pPr>
      <w:r>
        <w:rPr>
          <w:rFonts w:hint="eastAsia" w:ascii="宋体" w:hAnsi="宋体"/>
          <w:bCs/>
          <w:color w:val="auto"/>
          <w:sz w:val="24"/>
          <w:highlight w:val="none"/>
          <w:lang w:eastAsia="zh-CN"/>
        </w:rPr>
        <w:t xml:space="preserve">3. 评审委员会认定的供应商报价过低、有可能影响产品质量或者不能诚信履约的其他情形。 </w:t>
      </w:r>
      <w:r/>
    </w:p>
    <w:p>
      <w:pPr>
        <w:ind w:firstLine="480"/>
        <w:spacing w:line="360" w:lineRule="auto"/>
        <w:rPr>
          <w:rFonts w:hint="eastAsia" w:ascii="宋体" w:hAnsi="宋体"/>
          <w:bCs/>
          <w:color w:val="auto"/>
          <w:sz w:val="24"/>
          <w:highlight w:val="none"/>
          <w:lang w:eastAsia="zh-CN"/>
        </w:rPr>
      </w:pPr>
      <w:r>
        <w:rPr>
          <w:rFonts w:hint="eastAsia" w:ascii="宋体" w:hAnsi="宋体"/>
          <w:bCs/>
          <w:color w:val="auto"/>
          <w:sz w:val="24"/>
          <w:highlight w:val="none"/>
          <w:lang w:eastAsia="zh-CN"/>
        </w:rPr>
        <w:t xml:space="preserve">（二）启动异常低价投标审查后，评审委员会应当要求相关投标供应商在评标现场合理的时间内，提供本项目具体成本测算等与投标报价合理性相关的书面说明及相关证明材料，对投标价格作出解释，由评审委员会结合同类产品在主要电商平台的价格、该行业当地薪资水平等情况，依据专业经验对供应商投标报价合理性进行判断。投标供应商不提供书面说明、证明材料，或者提供的书面说明、证明材料不能证明其报价合理性的，评审委员会应当将其作为无效投标处理。审查相关情况须在评审报告中进行记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w:t>
      </w:r>
      <w:r>
        <w:rPr>
          <w:rFonts w:hint="eastAsia" w:ascii="宋体" w:hAnsi="宋体"/>
          <w:color w:val="auto"/>
          <w:sz w:val="24"/>
          <w:highlight w:val="none"/>
          <w:lang w:eastAsia="zh-CN"/>
        </w:rPr>
        <w:t xml:space="preserve">不符</w:t>
      </w:r>
      <w:r>
        <w:rPr>
          <w:rFonts w:hint="eastAsia" w:ascii="宋体" w:hAnsi="宋体"/>
          <w:color w:val="auto"/>
          <w:sz w:val="24"/>
          <w:highlight w:val="none"/>
        </w:rPr>
        <w:t xml:space="preserve">合要求的偏离或保留而使其投标成为实质性响应的投标。</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hint="eastAsia" w:ascii="宋体" w:hAnsi="宋体"/>
          <w:color w:val="auto"/>
          <w:sz w:val="24"/>
          <w:highlight w:val="none"/>
        </w:rPr>
      </w:pPr>
      <w:r/>
      <w:bookmarkStart w:id="117" w:name="_Toc16938550"/>
      <w:r/>
      <w:bookmarkStart w:id="118" w:name="_Toc20823306"/>
      <w:r/>
      <w:bookmarkStart w:id="119" w:name="_Toc513029234"/>
      <w:r>
        <w:rPr>
          <w:rFonts w:hint="eastAsia" w:ascii="宋体" w:hAnsi="宋体"/>
          <w:color w:val="auto"/>
          <w:sz w:val="24"/>
          <w:highlight w:val="none"/>
        </w:rPr>
        <w:t xml:space="preserve">25.6投标人在开、评标全过程中应</w:t>
      </w:r>
      <w:r>
        <w:rPr>
          <w:rFonts w:hint="eastAsia" w:ascii="宋体" w:hAnsi="宋体"/>
          <w:color w:val="auto"/>
          <w:sz w:val="24"/>
          <w:highlight w:val="none"/>
          <w:lang w:eastAsia="zh-CN"/>
        </w:rPr>
        <w:t xml:space="preserve">保持通信畅通</w:t>
      </w:r>
      <w:r>
        <w:rPr>
          <w:rFonts w:hint="eastAsia" w:ascii="宋体" w:hAnsi="宋体"/>
          <w:color w:val="auto"/>
          <w:sz w:val="24"/>
          <w:highlight w:val="none"/>
        </w:rPr>
        <w:t xml:space="preserve">，及时登录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1067"/>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26</w:t>
      </w:r>
      <w:bookmarkEnd w:id="117"/>
      <w:r/>
      <w:bookmarkEnd w:id="118"/>
      <w:r/>
      <w:bookmarkEnd w:id="119"/>
      <w:r>
        <w:rPr>
          <w:rFonts w:hint="eastAsia" w:ascii="宋体" w:hAnsi="宋体" w:eastAsia="宋体"/>
          <w:bCs w:val="0"/>
          <w:color w:val="auto"/>
          <w:highlight w:val="none"/>
          <w:lang w:eastAsia="zh-CN"/>
        </w:rPr>
        <w:t xml:space="preserve">.无效投标条款和废标条款</w:t>
      </w:r>
      <w:r/>
    </w:p>
    <w:p>
      <w:pPr>
        <w:ind w:left="479"/>
        <w:spacing w:line="360" w:lineRule="auto"/>
        <w:rPr>
          <w:rFonts w:hint="eastAsia" w:ascii="宋体" w:hAnsi="宋体"/>
          <w:bCs/>
          <w:color w:val="auto"/>
          <w:sz w:val="24"/>
          <w:highlight w:val="none"/>
        </w:rPr>
      </w:pPr>
      <w:r/>
      <w:bookmarkStart w:id="120" w:name="_Toc16938551"/>
      <w:r/>
      <w:bookmarkStart w:id="121" w:name="_Toc20823307"/>
      <w:r/>
      <w:bookmarkStart w:id="122" w:name="_Toc513029235"/>
      <w:r>
        <w:rPr>
          <w:rFonts w:hint="eastAsia" w:ascii="宋体" w:hAnsi="宋体"/>
          <w:bCs/>
          <w:color w:val="auto"/>
          <w:sz w:val="24"/>
          <w:highlight w:val="none"/>
        </w:rPr>
        <w:t xml:space="preserve">26.1无效投标条款</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列入失信被执行人或</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26.1.17不同投标人的投标文件的目录序号、排版格式、文字风格等存在明显的相似性或一致性，特征显示由同一单位或者同一个人编制的。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hint="eastAsia" w:ascii="宋体" w:hAnsi="宋体"/>
          <w:bCs/>
          <w:color w:val="auto"/>
          <w:sz w:val="24"/>
          <w:highlight w:val="none"/>
          <w:shd w:val="clear" w:color="ffffff" w:fill="d9d9d9"/>
        </w:rPr>
      </w:pPr>
      <w:r>
        <w:rPr>
          <w:rFonts w:hint="eastAsia" w:ascii="宋体" w:hAnsi="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在评标现场</w:t>
      </w:r>
      <w:r>
        <w:rPr>
          <w:rFonts w:hint="eastAsia" w:ascii="宋体" w:hAnsi="宋体"/>
          <w:color w:val="auto"/>
          <w:sz w:val="24"/>
          <w:szCs w:val="24"/>
          <w:highlight w:val="none"/>
        </w:rPr>
        <w:t xml:space="preserve">）给定的</w:t>
      </w:r>
      <w:r>
        <w:rPr>
          <w:rFonts w:hint="eastAsia" w:ascii="宋体" w:hAnsi="宋体"/>
          <w:bCs/>
          <w:color w:val="auto"/>
          <w:sz w:val="24"/>
          <w:szCs w:val="24"/>
          <w:highlight w:val="none"/>
        </w:rPr>
        <w:t xml:space="preserve">合理时间内提供说明（必要时评标委员会可要求投标人提交相关证明材料）证明其报价合理性的</w:t>
      </w:r>
      <w:r>
        <w:rPr>
          <w:rFonts w:hint="eastAsia" w:ascii="宋体" w:hAnsi="宋体"/>
          <w:bCs/>
          <w:color w:val="auto"/>
          <w:sz w:val="24"/>
          <w:highlight w:val="none"/>
        </w:rPr>
        <w:t xml:space="preserve">，评标委员会应当将其作为无效投标处理。</w:t>
      </w:r>
      <w:r/>
    </w:p>
    <w:p>
      <w:pPr>
        <w:ind w:firstLine="480"/>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w:t>
      </w:r>
      <w:r>
        <w:rPr>
          <w:rFonts w:hint="eastAsia" w:ascii="宋体" w:hAnsi="宋体" w:eastAsia="宋体"/>
          <w:bCs/>
          <w:color w:val="auto"/>
          <w:sz w:val="24"/>
          <w:szCs w:val="24"/>
          <w:highlight w:val="none"/>
        </w:rPr>
        <w:t xml:space="preserve">的其他</w:t>
      </w:r>
      <w:r>
        <w:rPr>
          <w:rFonts w:hint="eastAsia" w:ascii="宋体" w:hAnsi="宋体"/>
          <w:bCs/>
          <w:color w:val="auto"/>
          <w:sz w:val="24"/>
          <w:szCs w:val="24"/>
          <w:highlight w:val="none"/>
        </w:rPr>
        <w:t xml:space="preserve">实质性要求和条件的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26.1.24其他</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及本招标文件规定的属无效投标的情形。</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w:t>
      </w:r>
      <w:r>
        <w:rPr>
          <w:rFonts w:hint="eastAsia" w:ascii="宋体" w:hAnsi="宋体"/>
          <w:bCs/>
          <w:color w:val="auto"/>
          <w:sz w:val="24"/>
          <w:highlight w:val="none"/>
          <w:lang w:eastAsia="zh-CN"/>
        </w:rPr>
        <w:t xml:space="preserve">做</w:t>
      </w:r>
      <w:r>
        <w:rPr>
          <w:rFonts w:hint="eastAsia" w:ascii="宋体" w:hAnsi="宋体"/>
          <w:bCs/>
          <w:color w:val="auto"/>
          <w:sz w:val="24"/>
          <w:highlight w:val="none"/>
        </w:rPr>
        <w:t xml:space="preserve">实质响应的供应商不足三家的。</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26.2.2出现影响采购公正的违法、违规行为的。</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890"/>
        <w:ind w:firstLine="452"/>
        <w:keepLines w:val="0"/>
        <w:keepNext w:val="0"/>
        <w:spacing w:before="0" w:after="0" w:line="360" w:lineRule="auto"/>
        <w:rPr>
          <w:color w:val="auto"/>
          <w:sz w:val="30"/>
          <w:szCs w:val="30"/>
          <w:highlight w:val="none"/>
          <w:lang w:eastAsia="zh-CN"/>
        </w:rPr>
      </w:pPr>
      <w:r/>
      <w:bookmarkStart w:id="123" w:name="_Toc120614219"/>
      <w:r>
        <w:rPr>
          <w:rFonts w:hint="eastAsia"/>
          <w:color w:val="auto"/>
          <w:sz w:val="30"/>
          <w:szCs w:val="30"/>
          <w:highlight w:val="none"/>
          <w:lang w:eastAsia="zh-CN"/>
        </w:rPr>
        <w:t xml:space="preserve">六、</w:t>
      </w:r>
      <w:bookmarkEnd w:id="120"/>
      <w:r/>
      <w:bookmarkEnd w:id="121"/>
      <w:r/>
      <w:bookmarkEnd w:id="122"/>
      <w:r>
        <w:rPr>
          <w:rFonts w:hint="eastAsia"/>
          <w:color w:val="auto"/>
          <w:sz w:val="30"/>
          <w:szCs w:val="30"/>
          <w:highlight w:val="none"/>
          <w:lang w:eastAsia="zh-CN"/>
        </w:rPr>
        <w:t xml:space="preserve">定标</w:t>
      </w:r>
      <w:bookmarkEnd w:id="123"/>
      <w:r/>
      <w:r/>
    </w:p>
    <w:p>
      <w:pPr>
        <w:pStyle w:val="1067"/>
        <w:ind w:firstLine="422"/>
        <w:keepLines w:val="0"/>
        <w:keepNext w:val="0"/>
        <w:spacing w:before="0" w:after="0" w:line="360" w:lineRule="auto"/>
        <w:rPr>
          <w:rFonts w:hint="eastAsia" w:ascii="宋体" w:hAnsi="宋体" w:eastAsia="宋体"/>
          <w:bCs w:val="0"/>
          <w:color w:val="auto"/>
          <w:highlight w:val="none"/>
          <w:lang w:eastAsia="zh-CN"/>
        </w:rPr>
      </w:pPr>
      <w:r/>
      <w:bookmarkStart w:id="124" w:name="_Toc513029238"/>
      <w:r/>
      <w:bookmarkStart w:id="125" w:name="_Toc20823310"/>
      <w:r/>
      <w:bookmarkStart w:id="126" w:name="_Toc16938554"/>
      <w:r>
        <w:rPr>
          <w:rFonts w:hint="eastAsia" w:ascii="宋体" w:hAnsi="宋体" w:eastAsia="宋体"/>
          <w:bCs w:val="0"/>
          <w:color w:val="auto"/>
          <w:highlight w:val="none"/>
          <w:lang w:eastAsia="zh-CN"/>
        </w:rPr>
        <w:t xml:space="preserve">27</w:t>
      </w:r>
      <w:bookmarkEnd w:id="124"/>
      <w:r>
        <w:rPr>
          <w:rFonts w:hint="eastAsia" w:ascii="宋体" w:hAnsi="宋体" w:eastAsia="宋体"/>
          <w:bCs w:val="0"/>
          <w:color w:val="auto"/>
          <w:highlight w:val="none"/>
          <w:lang w:eastAsia="zh-CN"/>
        </w:rPr>
        <w:t xml:space="preserve">.确定</w:t>
      </w:r>
      <w:bookmarkEnd w:id="125"/>
      <w:r/>
      <w:bookmarkEnd w:id="126"/>
      <w:r>
        <w:rPr>
          <w:rFonts w:hint="eastAsia" w:ascii="宋体" w:hAnsi="宋体" w:eastAsia="宋体"/>
          <w:bCs w:val="0"/>
          <w:color w:val="auto"/>
          <w:highlight w:val="none"/>
          <w:lang w:eastAsia="zh-CN"/>
        </w:rPr>
        <w:t xml:space="preserve">中标单位</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color w:val="auto"/>
          <w:sz w:val="24"/>
          <w:highlight w:val="none"/>
        </w:rPr>
        <w:t xml:space="preserve">第五章规定</w:t>
      </w: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将在“江苏政府采购网”发布中标公告，公告期限为1个工作日。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行贿或者提供其他不正当利益的。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360" w:lineRule="auto"/>
        <w:rPr>
          <w:rFonts w:hint="eastAsia" w:ascii="宋体" w:hAnsi="宋体"/>
          <w:color w:val="auto"/>
          <w:sz w:val="24"/>
          <w:szCs w:val="24"/>
          <w:highlight w:val="none"/>
        </w:rPr>
      </w:pPr>
      <w:r/>
      <w:bookmarkStart w:id="127"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1067"/>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28.质疑处理</w:t>
      </w:r>
      <w:bookmarkEnd w:id="127"/>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color w:val="auto"/>
          <w:sz w:val="24"/>
          <w:szCs w:val="24"/>
          <w:highlight w:val="none"/>
        </w:rPr>
        <w:t xml:space="preserve">28.4条款</w:t>
      </w:r>
      <w:r>
        <w:rPr>
          <w:rFonts w:hint="eastAsia" w:ascii="宋体" w:hAnsi="宋体"/>
          <w:color w:val="auto"/>
          <w:sz w:val="24"/>
          <w:szCs w:val="24"/>
          <w:highlight w:val="none"/>
        </w:rPr>
        <w:t xml:space="preserve">的规定向采购人或</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color w:val="auto"/>
          <w:sz w:val="24"/>
          <w:szCs w:val="24"/>
          <w:highlight w:val="none"/>
        </w:rPr>
        <w:t xml:space="preserve">等</w:t>
      </w:r>
      <w:r>
        <w:rPr>
          <w:rFonts w:hint="eastAsia" w:ascii="宋体" w:hAnsi="宋体"/>
          <w:color w:val="auto"/>
          <w:sz w:val="24"/>
          <w:szCs w:val="24"/>
          <w:highlight w:val="none"/>
        </w:rPr>
        <w:t xml:space="preserve">请向采购</w:t>
      </w:r>
      <w:r>
        <w:rPr>
          <w:rFonts w:hint="eastAsia" w:ascii="宋体" w:hAnsi="宋体" w:eastAsia="宋体"/>
          <w:color w:val="auto"/>
          <w:sz w:val="24"/>
          <w:szCs w:val="24"/>
          <w:highlight w:val="none"/>
        </w:rPr>
        <w:t xml:space="preserve">代理机构或采购人</w:t>
      </w:r>
      <w:r>
        <w:rPr>
          <w:rFonts w:hint="eastAsia" w:ascii="宋体" w:hAnsi="宋体"/>
          <w:color w:val="auto"/>
          <w:sz w:val="24"/>
          <w:szCs w:val="24"/>
          <w:highlight w:val="none"/>
        </w:rPr>
        <w:t xml:space="preserve">提出，由</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负责答复。</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只接收以纸质原件形式送达的质疑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质疑供应商可通过面交或邮寄方式送达（采购人和</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不接受未填写快递运单的快件）。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联系人、联系方式、通信地址见招标文件第一章。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1067"/>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29.中标通知书</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29.l中标结果确定后，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将向中标人发出中标通知书。请中标人在中标结果公告届满之日起30日内</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因未及时下载而造成的不利后果由中标人自行承担。</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90"/>
        <w:ind w:firstLine="452"/>
        <w:keepLines w:val="0"/>
        <w:keepNext w:val="0"/>
        <w:spacing w:before="0" w:after="0" w:line="360" w:lineRule="auto"/>
        <w:rPr>
          <w:color w:val="auto"/>
          <w:sz w:val="30"/>
          <w:szCs w:val="30"/>
          <w:highlight w:val="none"/>
          <w:lang w:eastAsia="zh-CN"/>
        </w:rPr>
      </w:pPr>
      <w:r/>
      <w:bookmarkStart w:id="128" w:name="_Toc120614220"/>
      <w:r/>
      <w:bookmarkStart w:id="129" w:name="_Toc20823308"/>
      <w:r/>
      <w:bookmarkStart w:id="130" w:name="_Toc16938552"/>
      <w:r/>
      <w:bookmarkStart w:id="131" w:name="_Toc513029236"/>
      <w:r>
        <w:rPr>
          <w:rFonts w:hint="eastAsia"/>
          <w:color w:val="auto"/>
          <w:sz w:val="30"/>
          <w:szCs w:val="30"/>
          <w:highlight w:val="none"/>
          <w:lang w:eastAsia="zh-CN"/>
        </w:rPr>
        <w:t xml:space="preserve">七、授予合同</w:t>
      </w:r>
      <w:bookmarkEnd w:id="128"/>
      <w:r/>
      <w:bookmarkEnd w:id="129"/>
      <w:r/>
      <w:bookmarkEnd w:id="130"/>
      <w:r/>
      <w:bookmarkEnd w:id="131"/>
      <w:r/>
      <w:r/>
    </w:p>
    <w:p>
      <w:pPr>
        <w:pStyle w:val="1067"/>
        <w:ind w:firstLine="422"/>
        <w:keepLines w:val="0"/>
        <w:keepNext w:val="0"/>
        <w:spacing w:before="0" w:after="0" w:line="360" w:lineRule="auto"/>
        <w:rPr>
          <w:rFonts w:hint="eastAsia" w:ascii="宋体" w:hAnsi="宋体" w:eastAsia="宋体"/>
          <w:bCs w:val="0"/>
          <w:color w:val="auto"/>
          <w:highlight w:val="none"/>
          <w:lang w:eastAsia="zh-CN"/>
        </w:rPr>
      </w:pPr>
      <w:r/>
      <w:bookmarkStart w:id="132" w:name="_Toc20823309"/>
      <w:r/>
      <w:bookmarkStart w:id="133" w:name="_Toc16938553"/>
      <w:r/>
      <w:bookmarkStart w:id="134" w:name="_Toc513029237"/>
      <w:r>
        <w:rPr>
          <w:rFonts w:hint="eastAsia" w:ascii="宋体" w:hAnsi="宋体" w:eastAsia="宋体"/>
          <w:bCs w:val="0"/>
          <w:color w:val="auto"/>
          <w:highlight w:val="none"/>
          <w:lang w:eastAsia="zh-CN"/>
        </w:rPr>
        <w:t xml:space="preserve">30.签订合同</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将根据具体情况提请政府采购管理部门作出相应处理。</w:t>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1067"/>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31.服务（包含与服务相关的货物）的追加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auto"/>
          <w:sz w:val="24"/>
          <w:szCs w:val="24"/>
          <w:highlight w:val="none"/>
        </w:rPr>
        <w:t xml:space="preserve">额的</w:t>
      </w:r>
      <w:r>
        <w:rPr>
          <w:rFonts w:hint="eastAsia" w:ascii="宋体" w:hAnsi="宋体"/>
          <w:color w:val="auto"/>
          <w:sz w:val="24"/>
          <w:szCs w:val="24"/>
          <w:highlight w:val="none"/>
        </w:rPr>
        <w:t xml:space="preserve">10%。</w:t>
      </w:r>
      <w:bookmarkEnd w:id="132"/>
      <w:r/>
      <w:bookmarkEnd w:id="133"/>
      <w:r/>
      <w:bookmarkEnd w:id="134"/>
      <w:r/>
      <w:r/>
    </w:p>
    <w:p>
      <w:pPr>
        <w:jc w:val="center"/>
        <w:spacing w:line="360" w:lineRule="auto"/>
        <w:rPr>
          <w:rFonts w:hint="eastAsia" w:ascii="黑体" w:hAnsi="黑体" w:eastAsia="黑体" w:cs="黑体"/>
          <w:color w:val="auto"/>
          <w:sz w:val="36"/>
          <w:szCs w:val="36"/>
          <w:highlight w:val="none"/>
        </w:rPr>
      </w:pPr>
      <w:r/>
      <w:bookmarkStart w:id="135" w:name="_Toc20823315"/>
      <w:r/>
      <w:bookmarkStart w:id="136" w:name="_Toc513029243"/>
      <w:r/>
      <w:bookmarkStart w:id="137" w:name="_Toc16938559"/>
      <w:r/>
      <w:r/>
    </w:p>
    <w:p>
      <w:pPr>
        <w:pStyle w:val="738"/>
        <w:rPr>
          <w:rFonts w:hint="eastAsia"/>
          <w:color w:val="auto"/>
          <w:highlight w:val="none"/>
        </w:rPr>
      </w:pPr>
      <w:r>
        <w:rPr>
          <w:rFonts w:hint="eastAsia"/>
          <w:color w:val="auto"/>
          <w:highlight w:val="none"/>
        </w:rPr>
      </w:r>
      <w:r/>
    </w:p>
    <w:p>
      <w:p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r>
      <w:r/>
    </w:p>
    <w:p>
      <w:p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r>
      <w:r/>
    </w:p>
    <w:p>
      <w:p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r>
      <w:r/>
    </w:p>
    <w:p>
      <w:p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r>
      <w:r/>
    </w:p>
    <w:p>
      <w:p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r>
      <w:r/>
    </w:p>
    <w:p>
      <w:p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r>
      <w:r/>
    </w:p>
    <w:p>
      <w:p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r>
      <w:r/>
    </w:p>
    <w:p>
      <w:p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r>
      <w:r/>
    </w:p>
    <w:p>
      <w:p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r>
      <w:r/>
    </w:p>
    <w:p>
      <w:pPr>
        <w:numPr>
          <w:ilvl w:val="0"/>
          <w:numId w:val="8"/>
        </w:num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 xml:space="preserve"> 合同文本</w:t>
      </w:r>
      <w:bookmarkEnd w:id="135"/>
      <w:r/>
      <w:bookmarkEnd w:id="136"/>
      <w:r/>
      <w:bookmarkEnd w:id="137"/>
      <w:r/>
      <w:r/>
    </w:p>
    <w:p>
      <w:pPr>
        <w:ind w:firstLine="480"/>
        <w:jc w:val="center"/>
        <w:spacing w:line="360" w:lineRule="auto"/>
        <w:rPr>
          <w:rFonts w:hint="eastAsia" w:ascii="宋体" w:hAnsi="宋体" w:cs="宋体"/>
          <w:color w:val="auto"/>
          <w:sz w:val="24"/>
          <w:highlight w:val="none"/>
        </w:rPr>
      </w:pPr>
      <w:r/>
      <w:bookmarkStart w:id="138" w:name="_Hlt16619350"/>
      <w:r/>
      <w:bookmarkStart w:id="139" w:name="_Toc20823346"/>
      <w:r/>
      <w:bookmarkStart w:id="140" w:name="_Toc120614244"/>
      <w:r/>
      <w:bookmarkStart w:id="141" w:name="_Toc16938590"/>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合同</w:t>
      </w:r>
      <w:r>
        <w:rPr>
          <w:rFonts w:hint="eastAsia" w:ascii="宋体" w:hAnsi="宋体" w:cs="宋体"/>
          <w:color w:val="auto"/>
          <w:sz w:val="24"/>
          <w:highlight w:val="none"/>
        </w:rPr>
        <w:t xml:space="preserve">格式</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投标时不需填写）</w:t>
      </w:r>
      <w:r/>
    </w:p>
    <w:p>
      <w:pPr>
        <w:pStyle w:val="784"/>
        <w:ind w:left="0" w:firstLine="0"/>
        <w:jc w:val="center"/>
        <w:rPr>
          <w:rFonts w:hint="default" w:ascii="宋体" w:hAnsi="宋体" w:eastAsia="宋体" w:cs="宋体"/>
          <w:b/>
          <w:bCs/>
          <w:color w:val="auto"/>
          <w:sz w:val="36"/>
          <w:szCs w:val="36"/>
          <w:highlight w:val="none"/>
          <w:lang w:val="en-US"/>
        </w:rPr>
      </w:pPr>
      <w:r>
        <w:rPr>
          <w:rFonts w:hint="eastAsia" w:ascii="宋体" w:hAnsi="宋体" w:eastAsia="宋体" w:cs="宋体"/>
          <w:b/>
          <w:bCs/>
          <w:color w:val="auto"/>
          <w:sz w:val="36"/>
          <w:szCs w:val="36"/>
          <w:highlight w:val="none"/>
          <w:lang w:val="en-US" w:eastAsia="zh-CN"/>
        </w:rPr>
        <w:t xml:space="preserve">无锡市市建水站运维项目采购（第三次）合同</w:t>
      </w:r>
      <w:r/>
    </w:p>
    <w:p>
      <w:pPr>
        <w:pStyle w:val="743"/>
        <w:keepLines w:val="0"/>
        <w:keepNext w:val="0"/>
        <w:pageBreakBefore w:val="0"/>
        <w:spacing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p>
      <w:pPr>
        <w:spacing w:line="700" w:lineRule="atLeast"/>
        <w:rPr>
          <w:rFonts w:hint="eastAsia" w:ascii="宋体" w:hAnsi="宋体" w:eastAsia="宋体" w:cs="宋体"/>
          <w:color w:val="auto"/>
          <w:sz w:val="32"/>
          <w:szCs w:val="24"/>
          <w:highlight w:val="none"/>
          <w:lang w:val="en-US" w:eastAsia="zh-CN" w:bidi="ar-SA"/>
        </w:rPr>
      </w:pPr>
      <w:r>
        <w:rPr>
          <w:rFonts w:hint="eastAsia" w:ascii="宋体" w:hAnsi="宋体" w:eastAsia="宋体" w:cs="宋体"/>
          <w:color w:val="auto"/>
          <w:sz w:val="32"/>
          <w:szCs w:val="24"/>
          <w:highlight w:val="none"/>
          <w:lang w:val="en-US" w:eastAsia="zh-CN" w:bidi="ar-SA"/>
        </w:rPr>
      </w:r>
      <w:r/>
    </w:p>
    <w:p>
      <w:pPr>
        <w:spacing w:line="700" w:lineRule="atLeast"/>
        <w:rPr>
          <w:rFonts w:hint="eastAsia" w:ascii="宋体" w:hAnsi="宋体" w:eastAsia="宋体" w:cs="宋体"/>
          <w:color w:val="auto"/>
          <w:sz w:val="32"/>
          <w:szCs w:val="24"/>
          <w:highlight w:val="none"/>
          <w:lang w:val="en-US" w:eastAsia="zh-CN" w:bidi="ar-SA"/>
        </w:rPr>
      </w:pPr>
      <w:r>
        <w:rPr>
          <w:rFonts w:hint="eastAsia" w:ascii="宋体" w:hAnsi="宋体" w:eastAsia="宋体" w:cs="宋体"/>
          <w:color w:val="auto"/>
          <w:sz w:val="32"/>
          <w:szCs w:val="24"/>
          <w:highlight w:val="none"/>
          <w:lang w:val="en-US" w:eastAsia="zh-CN" w:bidi="ar-SA"/>
        </w:rPr>
      </w:r>
      <w:r/>
    </w:p>
    <w:p>
      <w:pPr>
        <w:spacing w:line="700" w:lineRule="atLeast"/>
        <w:rPr>
          <w:rFonts w:hint="eastAsia" w:ascii="宋体" w:hAnsi="宋体" w:eastAsia="宋体" w:cs="宋体"/>
          <w:color w:val="auto"/>
          <w:sz w:val="32"/>
          <w:szCs w:val="24"/>
          <w:highlight w:val="none"/>
          <w:lang w:val="en-US" w:eastAsia="zh-CN" w:bidi="ar-SA"/>
        </w:rPr>
      </w:pPr>
      <w:r>
        <w:rPr>
          <w:rFonts w:hint="eastAsia" w:ascii="宋体" w:hAnsi="宋体" w:eastAsia="宋体" w:cs="宋体"/>
          <w:color w:val="auto"/>
          <w:sz w:val="32"/>
          <w:szCs w:val="24"/>
          <w:highlight w:val="none"/>
          <w:lang w:val="en-US" w:eastAsia="zh-CN" w:bidi="ar-SA"/>
        </w:rPr>
      </w:r>
      <w:r/>
    </w:p>
    <w:p>
      <w:pPr>
        <w:spacing w:line="700" w:lineRule="atLeast"/>
        <w:rPr>
          <w:rFonts w:hint="eastAsia" w:ascii="宋体" w:hAnsi="宋体" w:eastAsia="宋体" w:cs="宋体"/>
          <w:color w:val="auto"/>
          <w:sz w:val="32"/>
          <w:szCs w:val="24"/>
          <w:highlight w:val="none"/>
          <w:lang w:val="en-US" w:eastAsia="zh-CN" w:bidi="ar-SA"/>
        </w:rPr>
      </w:pPr>
      <w:r>
        <w:rPr>
          <w:rFonts w:hint="eastAsia" w:ascii="宋体" w:hAnsi="宋体" w:eastAsia="宋体" w:cs="宋体"/>
          <w:color w:val="auto"/>
          <w:sz w:val="32"/>
          <w:szCs w:val="24"/>
          <w:highlight w:val="none"/>
          <w:lang w:val="en-US" w:eastAsia="zh-CN" w:bidi="ar-SA"/>
        </w:rPr>
      </w:r>
      <w:r/>
    </w:p>
    <w:p>
      <w:pPr>
        <w:spacing w:line="700" w:lineRule="atLeast"/>
        <w:rPr>
          <w:rFonts w:hint="eastAsia" w:ascii="宋体" w:hAnsi="宋体" w:eastAsia="宋体" w:cs="宋体"/>
          <w:color w:val="auto"/>
          <w:sz w:val="32"/>
          <w:szCs w:val="24"/>
          <w:highlight w:val="none"/>
          <w:lang w:val="en-US" w:eastAsia="zh-CN" w:bidi="ar-SA"/>
        </w:rPr>
      </w:pPr>
      <w:r>
        <w:rPr>
          <w:rFonts w:hint="eastAsia" w:ascii="宋体" w:hAnsi="宋体" w:eastAsia="宋体" w:cs="宋体"/>
          <w:color w:val="auto"/>
          <w:sz w:val="32"/>
          <w:szCs w:val="24"/>
          <w:highlight w:val="none"/>
          <w:lang w:val="en-US" w:eastAsia="zh-CN" w:bidi="ar-SA"/>
        </w:rPr>
      </w:r>
      <w:r/>
    </w:p>
    <w:p>
      <w:pPr>
        <w:spacing w:line="700" w:lineRule="atLeast"/>
        <w:rPr>
          <w:rFonts w:hint="eastAsia" w:ascii="宋体" w:hAnsi="宋体" w:eastAsia="宋体" w:cs="宋体"/>
          <w:color w:val="auto"/>
          <w:sz w:val="32"/>
          <w:szCs w:val="24"/>
          <w:highlight w:val="none"/>
          <w:lang w:val="en-US" w:eastAsia="zh-CN" w:bidi="ar-SA"/>
        </w:rPr>
      </w:pPr>
      <w:r>
        <w:rPr>
          <w:rFonts w:hint="eastAsia" w:ascii="宋体" w:hAnsi="宋体" w:eastAsia="宋体" w:cs="宋体"/>
          <w:color w:val="auto"/>
          <w:sz w:val="32"/>
          <w:szCs w:val="24"/>
          <w:highlight w:val="none"/>
          <w:lang w:val="en-US" w:eastAsia="zh-CN" w:bidi="ar-SA"/>
        </w:rPr>
        <w:t xml:space="preserve">委托方（甲方）：</w:t>
      </w:r>
      <w:r>
        <w:rPr>
          <w:rFonts w:hint="eastAsia" w:ascii="宋体" w:hAnsi="宋体" w:eastAsia="宋体" w:cs="宋体"/>
          <w:b/>
          <w:color w:val="auto"/>
          <w:sz w:val="28"/>
          <w:szCs w:val="24"/>
          <w:highlight w:val="none"/>
          <w:u w:val="single"/>
          <w:lang w:val="en-US" w:eastAsia="zh-CN" w:bidi="ar-SA"/>
        </w:rPr>
        <w:t xml:space="preserve">    无锡市生态环境监测监控中心                </w:t>
      </w:r>
      <w:r/>
    </w:p>
    <w:p>
      <w:pPr>
        <w:spacing w:line="700" w:lineRule="atLeast"/>
        <w:rPr>
          <w:rFonts w:hint="eastAsia" w:ascii="宋体" w:hAnsi="宋体" w:eastAsia="宋体" w:cs="宋体"/>
          <w:color w:val="auto"/>
          <w:sz w:val="32"/>
          <w:szCs w:val="24"/>
          <w:highlight w:val="none"/>
          <w:u w:val="single"/>
          <w:lang w:val="en-US" w:eastAsia="zh-CN" w:bidi="ar-SA"/>
        </w:rPr>
      </w:pPr>
      <w:r>
        <w:rPr>
          <w:rFonts w:hint="eastAsia" w:ascii="宋体" w:hAnsi="宋体" w:eastAsia="宋体" w:cs="宋体"/>
          <w:color w:val="auto"/>
          <w:sz w:val="32"/>
          <w:szCs w:val="24"/>
          <w:highlight w:val="none"/>
          <w:u w:val="single"/>
          <w:lang w:val="en-US" w:eastAsia="zh-CN" w:bidi="ar-SA"/>
        </w:rPr>
      </w:r>
      <w:r/>
    </w:p>
    <w:p>
      <w:pPr>
        <w:spacing w:line="700" w:lineRule="atLeast"/>
        <w:rPr>
          <w:rFonts w:hint="eastAsia" w:ascii="宋体" w:hAnsi="宋体" w:eastAsia="宋体" w:cs="宋体"/>
          <w:color w:val="auto"/>
          <w:sz w:val="32"/>
          <w:szCs w:val="24"/>
          <w:highlight w:val="none"/>
          <w:u w:val="single"/>
          <w:lang w:val="en-US" w:eastAsia="zh-CN" w:bidi="ar-SA"/>
        </w:rPr>
      </w:pPr>
      <w:r>
        <w:rPr>
          <w:rFonts w:hint="eastAsia" w:ascii="宋体" w:hAnsi="宋体" w:eastAsia="宋体" w:cs="宋体"/>
          <w:color w:val="auto"/>
          <w:sz w:val="32"/>
          <w:szCs w:val="24"/>
          <w:highlight w:val="none"/>
          <w:lang w:val="en-US" w:eastAsia="zh-CN" w:bidi="ar-SA"/>
        </w:rPr>
        <w:t xml:space="preserve">受托方（乙方）：</w:t>
      </w:r>
      <w:r>
        <w:rPr>
          <w:rFonts w:hint="eastAsia" w:ascii="宋体" w:hAnsi="宋体" w:eastAsia="宋体" w:cs="宋体"/>
          <w:b/>
          <w:color w:val="auto"/>
          <w:sz w:val="28"/>
          <w:szCs w:val="24"/>
          <w:highlight w:val="none"/>
          <w:u w:val="single"/>
          <w:lang w:val="en-US" w:eastAsia="zh-CN" w:bidi="ar-SA"/>
        </w:rPr>
        <w:t xml:space="preserve">                                              </w:t>
      </w:r>
      <w:r/>
    </w:p>
    <w:p>
      <w:pPr>
        <w:spacing w:line="700" w:lineRule="atLeast"/>
        <w:rPr>
          <w:rFonts w:hint="eastAsia" w:ascii="宋体" w:hAnsi="宋体" w:eastAsia="宋体" w:cs="宋体"/>
          <w:color w:val="auto"/>
          <w:sz w:val="32"/>
          <w:szCs w:val="24"/>
          <w:highlight w:val="none"/>
          <w:u w:val="single"/>
          <w:lang w:val="en-US" w:eastAsia="zh-CN" w:bidi="ar-SA"/>
        </w:rPr>
      </w:pPr>
      <w:r>
        <w:rPr>
          <w:rFonts w:hint="eastAsia" w:ascii="宋体" w:hAnsi="宋体" w:eastAsia="宋体" w:cs="宋体"/>
          <w:color w:val="auto"/>
          <w:sz w:val="32"/>
          <w:szCs w:val="24"/>
          <w:highlight w:val="none"/>
          <w:u w:val="single"/>
          <w:lang w:val="en-US" w:eastAsia="zh-CN" w:bidi="ar-SA"/>
        </w:rPr>
      </w:r>
      <w:r/>
    </w:p>
    <w:p>
      <w:pPr>
        <w:spacing w:line="700" w:lineRule="atLeast"/>
        <w:rPr>
          <w:rFonts w:hint="eastAsia" w:ascii="宋体" w:hAnsi="宋体" w:eastAsia="宋体" w:cs="宋体"/>
          <w:b w:val="0"/>
          <w:bCs w:val="0"/>
          <w:color w:val="auto"/>
          <w:sz w:val="28"/>
          <w:szCs w:val="28"/>
          <w:highlight w:val="none"/>
          <w:u w:val="single"/>
          <w:lang w:val="en-US" w:eastAsia="zh-CN" w:bidi="ar-SA"/>
        </w:rPr>
      </w:pPr>
      <w:r>
        <w:rPr>
          <w:rFonts w:hint="eastAsia" w:ascii="宋体" w:hAnsi="宋体" w:eastAsia="宋体" w:cs="宋体"/>
          <w:b w:val="0"/>
          <w:bCs w:val="0"/>
          <w:color w:val="auto"/>
          <w:sz w:val="32"/>
          <w:szCs w:val="32"/>
          <w:highlight w:val="none"/>
          <w:lang w:val="en-US" w:eastAsia="zh-CN" w:bidi="ar-SA"/>
        </w:rPr>
        <w:t xml:space="preserve">签 订 地 点：</w:t>
      </w:r>
      <w:r>
        <w:rPr>
          <w:rFonts w:hint="eastAsia" w:ascii="宋体" w:hAnsi="宋体" w:eastAsia="宋体" w:cs="宋体"/>
          <w:b w:val="0"/>
          <w:bCs w:val="0"/>
          <w:color w:val="auto"/>
          <w:sz w:val="28"/>
          <w:szCs w:val="28"/>
          <w:highlight w:val="none"/>
          <w:u w:val="single"/>
          <w:lang w:val="en-US" w:eastAsia="zh-CN" w:bidi="ar-SA"/>
        </w:rPr>
        <w:t xml:space="preserve">                                                </w:t>
      </w:r>
      <w:r/>
    </w:p>
    <w:p>
      <w:pPr>
        <w:spacing w:line="700" w:lineRule="atLeast"/>
        <w:rPr>
          <w:rFonts w:hint="eastAsia" w:ascii="宋体" w:hAnsi="宋体" w:eastAsia="宋体" w:cs="宋体"/>
          <w:b w:val="0"/>
          <w:bCs w:val="0"/>
          <w:color w:val="auto"/>
          <w:sz w:val="32"/>
          <w:szCs w:val="32"/>
          <w:highlight w:val="none"/>
          <w:u w:val="single"/>
          <w:lang w:val="en-US" w:eastAsia="zh-CN" w:bidi="ar-SA"/>
        </w:rPr>
      </w:pPr>
      <w:r>
        <w:rPr>
          <w:rFonts w:hint="eastAsia" w:ascii="宋体" w:hAnsi="宋体" w:eastAsia="宋体" w:cs="宋体"/>
          <w:b w:val="0"/>
          <w:bCs w:val="0"/>
          <w:color w:val="auto"/>
          <w:sz w:val="32"/>
          <w:szCs w:val="32"/>
          <w:highlight w:val="none"/>
          <w:u w:val="single"/>
          <w:lang w:val="en-US" w:eastAsia="zh-CN" w:bidi="ar-SA"/>
        </w:rPr>
      </w:r>
      <w:r/>
    </w:p>
    <w:p>
      <w:pPr>
        <w:spacing w:line="700" w:lineRule="atLeast"/>
        <w:rPr>
          <w:rFonts w:hint="eastAsia" w:ascii="宋体" w:hAnsi="宋体" w:eastAsia="宋体" w:cs="宋体"/>
          <w:b w:val="0"/>
          <w:bCs w:val="0"/>
          <w:color w:val="auto"/>
          <w:sz w:val="28"/>
          <w:szCs w:val="28"/>
          <w:highlight w:val="none"/>
          <w:u w:val="single"/>
          <w:lang w:val="en-US" w:eastAsia="zh-CN" w:bidi="ar-SA"/>
        </w:rPr>
      </w:pPr>
      <w:r>
        <w:rPr>
          <w:rFonts w:hint="eastAsia" w:ascii="宋体" w:hAnsi="宋体" w:eastAsia="宋体" w:cs="宋体"/>
          <w:b w:val="0"/>
          <w:bCs w:val="0"/>
          <w:color w:val="auto"/>
          <w:sz w:val="32"/>
          <w:szCs w:val="32"/>
          <w:highlight w:val="none"/>
          <w:lang w:val="en-US" w:eastAsia="zh-CN" w:bidi="ar-SA"/>
        </w:rPr>
        <w:t xml:space="preserve">签 订 时 间：</w:t>
      </w:r>
      <w:r>
        <w:rPr>
          <w:rFonts w:hint="eastAsia" w:ascii="宋体" w:hAnsi="宋体" w:eastAsia="宋体" w:cs="宋体"/>
          <w:b w:val="0"/>
          <w:bCs w:val="0"/>
          <w:color w:val="auto"/>
          <w:sz w:val="28"/>
          <w:szCs w:val="28"/>
          <w:highlight w:val="none"/>
          <w:u w:val="single"/>
          <w:lang w:val="en-US" w:eastAsia="zh-CN" w:bidi="ar-SA"/>
        </w:rPr>
        <w:t xml:space="preserve">                                                </w:t>
      </w:r>
      <w:r/>
    </w:p>
    <w:p>
      <w:pPr>
        <w:spacing w:line="700" w:lineRule="atLeast"/>
        <w:rPr>
          <w:rFonts w:hint="eastAsia" w:ascii="宋体" w:hAnsi="宋体" w:eastAsia="宋体" w:cs="宋体"/>
          <w:color w:val="auto"/>
          <w:sz w:val="32"/>
          <w:szCs w:val="32"/>
          <w:highlight w:val="none"/>
          <w:u w:val="single"/>
          <w:lang w:val="en-US" w:eastAsia="zh-CN" w:bidi="ar-SA"/>
        </w:rPr>
      </w:pPr>
      <w:r>
        <w:rPr>
          <w:rFonts w:hint="eastAsia" w:ascii="宋体" w:hAnsi="宋体" w:eastAsia="宋体" w:cs="宋体"/>
          <w:color w:val="auto"/>
          <w:sz w:val="32"/>
          <w:szCs w:val="32"/>
          <w:highlight w:val="none"/>
          <w:u w:val="single"/>
          <w:lang w:val="en-US" w:eastAsia="zh-CN" w:bidi="ar-SA"/>
        </w:rPr>
      </w:r>
      <w:r/>
    </w:p>
    <w:p>
      <w:pPr>
        <w:spacing w:line="700" w:lineRule="atLeast"/>
        <w:rPr>
          <w:rFonts w:hint="eastAsia" w:ascii="宋体" w:hAnsi="宋体" w:eastAsia="宋体" w:cs="宋体"/>
          <w:color w:val="auto"/>
          <w:sz w:val="32"/>
          <w:szCs w:val="24"/>
          <w:highlight w:val="none"/>
          <w:lang w:val="en-US" w:eastAsia="zh-CN" w:bidi="ar-SA"/>
        </w:rPr>
      </w:pPr>
      <w:r>
        <w:rPr>
          <w:rFonts w:hint="eastAsia" w:ascii="宋体" w:hAnsi="宋体" w:eastAsia="宋体" w:cs="宋体"/>
          <w:color w:val="auto"/>
          <w:sz w:val="32"/>
          <w:szCs w:val="24"/>
          <w:highlight w:val="none"/>
          <w:lang w:val="en-US" w:eastAsia="zh-CN" w:bidi="ar-SA"/>
        </w:rPr>
      </w:r>
      <w:r/>
    </w:p>
    <w:p>
      <w:pPr>
        <w:jc w:val="center"/>
        <w:spacing w:line="360" w:lineRule="auto"/>
        <w:widowControl w:val="off"/>
        <w:tabs>
          <w:tab w:val="center" w:pos="4153" w:leader="none"/>
          <w:tab w:val="right" w:pos="8306" w:leader="none"/>
        </w:tabs>
        <w:rPr>
          <w:rFonts w:hint="eastAsia" w:ascii="宋体" w:hAnsi="宋体" w:eastAsia="宋体" w:cs="宋体"/>
          <w:color w:val="auto"/>
          <w:sz w:val="32"/>
          <w:szCs w:val="18"/>
          <w:highlight w:val="none"/>
          <w:lang w:val="en-US" w:eastAsia="zh-CN" w:bidi="ar-SA"/>
        </w:rPr>
        <w:pBdr>
          <w:bottom w:val="none" w:color="auto" w:sz="0" w:space="0"/>
        </w:pBdr>
      </w:pPr>
      <w:r>
        <w:rPr>
          <w:rFonts w:hint="eastAsia" w:ascii="宋体" w:hAnsi="宋体" w:eastAsia="宋体" w:cs="宋体"/>
          <w:color w:val="auto"/>
          <w:sz w:val="32"/>
          <w:szCs w:val="18"/>
          <w:highlight w:val="none"/>
          <w:lang w:val="en-US" w:eastAsia="zh-CN" w:bidi="ar-SA"/>
        </w:rPr>
      </w:r>
      <w:r/>
    </w:p>
    <w:p>
      <w:pPr>
        <w:spacing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color w:val="auto"/>
          <w:sz w:val="32"/>
          <w:szCs w:val="24"/>
          <w:highlight w:val="none"/>
          <w:lang w:val="en-US" w:eastAsia="zh-CN" w:bidi="ar-SA"/>
        </w:rPr>
        <w:br w:type="page" w:clear="all"/>
      </w:r>
      <w:r>
        <w:rPr>
          <w:rFonts w:hint="eastAsia" w:ascii="宋体" w:hAnsi="宋体" w:eastAsia="宋体" w:cs="宋体"/>
          <w:bCs/>
          <w:color w:val="auto"/>
          <w:sz w:val="24"/>
          <w:szCs w:val="24"/>
          <w:highlight w:val="none"/>
          <w:lang w:val="en-US" w:eastAsia="zh-CN" w:bidi="ar-SA"/>
        </w:rPr>
        <w:t xml:space="preserve">甲方（采购人）：</w:t>
      </w:r>
      <w:r>
        <w:rPr>
          <w:rFonts w:hint="eastAsia" w:ascii="宋体" w:hAnsi="宋体" w:eastAsia="宋体" w:cs="宋体"/>
          <w:bCs/>
          <w:color w:val="auto"/>
          <w:sz w:val="24"/>
          <w:szCs w:val="24"/>
          <w:highlight w:val="none"/>
          <w:u w:val="single"/>
          <w:lang w:val="en-US" w:eastAsia="zh-CN" w:bidi="ar-SA"/>
        </w:rPr>
        <w:t xml:space="preserve">   无锡市生态环境监测监控中心   </w:t>
      </w:r>
      <w:r/>
    </w:p>
    <w:p>
      <w:pPr>
        <w:spacing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乙方（中标供应商）：</w:t>
      </w:r>
      <w:r>
        <w:rPr>
          <w:rFonts w:hint="eastAsia" w:ascii="宋体" w:hAnsi="宋体" w:eastAsia="宋体" w:cs="宋体"/>
          <w:bCs/>
          <w:color w:val="auto"/>
          <w:sz w:val="24"/>
          <w:szCs w:val="24"/>
          <w:highlight w:val="none"/>
          <w:u w:val="single"/>
          <w:lang w:val="en-US" w:eastAsia="zh-CN" w:bidi="ar-SA"/>
        </w:rPr>
        <w:t xml:space="preserve">                            </w:t>
      </w:r>
      <w:r/>
    </w:p>
    <w:p>
      <w:pPr>
        <w:ind w:firstLine="420"/>
        <w:jc w:val="left"/>
        <w:spacing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根据《中华人民共和国政府采购法》《中华人民共和国民法典》等法律法规的规定，甲乙双方按照本项目竞争性磋商采购结果签订本合同。</w:t>
      </w:r>
      <w:r/>
    </w:p>
    <w:p>
      <w:pPr>
        <w:spacing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spacing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第一条　采购内容</w:t>
      </w:r>
      <w:r/>
    </w:p>
    <w:p>
      <w:pPr>
        <w:ind w:firstLine="480"/>
        <w:spacing w:line="400" w:lineRule="exact"/>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1、项目名称（项目编号）：</w:t>
      </w:r>
      <w:r>
        <w:rPr>
          <w:rFonts w:hint="eastAsia" w:ascii="宋体" w:hAnsi="宋体" w:eastAsia="宋体" w:cs="宋体"/>
          <w:bCs/>
          <w:color w:val="auto"/>
          <w:sz w:val="24"/>
          <w:szCs w:val="24"/>
          <w:highlight w:val="none"/>
          <w:u w:val="single"/>
          <w:lang w:val="en-US" w:eastAsia="zh-CN" w:bidi="ar-SA"/>
        </w:rPr>
        <w:t xml:space="preserve">　　　　　　　　　　　　　　　　　　　　</w:t>
      </w:r>
      <w:r/>
    </w:p>
    <w:p>
      <w:pPr>
        <w:ind w:firstLine="480"/>
        <w:spacing w:line="400" w:lineRule="exact"/>
        <w:rPr>
          <w:rFonts w:hint="default"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u w:val="none"/>
          <w:lang w:val="en-US" w:eastAsia="zh-CN" w:bidi="ar-SA"/>
        </w:rPr>
        <w:t xml:space="preserve">采购包：</w:t>
      </w:r>
      <w:r>
        <w:rPr>
          <w:rFonts w:hint="eastAsia" w:ascii="宋体" w:hAnsi="宋体" w:eastAsia="宋体" w:cs="宋体"/>
          <w:bCs/>
          <w:color w:val="auto"/>
          <w:sz w:val="24"/>
          <w:szCs w:val="24"/>
          <w:highlight w:val="none"/>
          <w:u w:val="single"/>
          <w:lang w:val="en-US" w:eastAsia="zh-CN" w:bidi="ar-SA"/>
        </w:rPr>
        <w:t xml:space="preserve">     </w:t>
      </w:r>
      <w:r/>
    </w:p>
    <w:p>
      <w:pPr>
        <w:ind w:firstLine="480"/>
        <w:spacing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2、服务内容：</w:t>
      </w:r>
      <w:r>
        <w:rPr>
          <w:rFonts w:hint="eastAsia" w:ascii="宋体" w:hAnsi="宋体" w:eastAsia="宋体" w:cs="宋体"/>
          <w:bCs/>
          <w:color w:val="auto"/>
          <w:sz w:val="24"/>
          <w:szCs w:val="24"/>
          <w:highlight w:val="none"/>
          <w:u w:val="single"/>
          <w:lang w:val="en-US" w:eastAsia="zh-CN" w:bidi="ar-SA"/>
        </w:rPr>
        <w:t xml:space="preserve">　　　　　　　　　　　　　　　　　　　　　　　　　　</w:t>
      </w:r>
      <w:r/>
    </w:p>
    <w:p>
      <w:pPr>
        <w:ind w:firstLine="480"/>
        <w:spacing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3、服务范围：</w:t>
      </w:r>
      <w:r>
        <w:rPr>
          <w:rFonts w:hint="eastAsia" w:ascii="宋体" w:hAnsi="宋体" w:eastAsia="宋体" w:cs="宋体"/>
          <w:bCs/>
          <w:color w:val="auto"/>
          <w:sz w:val="24"/>
          <w:szCs w:val="24"/>
          <w:highlight w:val="none"/>
          <w:u w:val="single"/>
          <w:lang w:val="en-US" w:eastAsia="zh-CN" w:bidi="ar-SA"/>
        </w:rPr>
        <w:t xml:space="preserve">　　　　　　　　　　　　　　　　　　　　　　　　　　</w:t>
      </w:r>
      <w:r/>
    </w:p>
    <w:p>
      <w:pPr>
        <w:ind w:firstLine="480"/>
        <w:spacing w:line="4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4、服务期限：</w:t>
      </w:r>
      <w:r>
        <w:rPr>
          <w:rFonts w:hint="eastAsia" w:ascii="宋体" w:hAnsi="宋体" w:eastAsia="宋体" w:cs="宋体"/>
          <w:color w:val="auto"/>
          <w:sz w:val="24"/>
          <w:szCs w:val="24"/>
          <w:highlight w:val="none"/>
          <w:u w:val="single"/>
          <w:lang w:val="en-US" w:eastAsia="zh-CN" w:bidi="ar-SA"/>
        </w:rPr>
        <w:t xml:space="preserve">                                                    </w:t>
      </w:r>
      <w:r/>
    </w:p>
    <w:p>
      <w:pPr>
        <w:ind w:firstLine="480"/>
        <w:spacing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5、其他：　　　　　　　　　　　　　　　　　　　　　　　　　　　　</w:t>
      </w:r>
      <w:r/>
    </w:p>
    <w:p>
      <w:pPr>
        <w:jc w:val="left"/>
        <w:spacing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第二条　合同总价款及付款方式</w:t>
      </w:r>
      <w:r/>
    </w:p>
    <w:p>
      <w:pPr>
        <w:ind w:firstLine="480"/>
        <w:jc w:val="left"/>
        <w:spacing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1、本合同人民币总价款为</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（小写），</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（大写）。</w:t>
      </w:r>
      <w:r/>
    </w:p>
    <w:p>
      <w:pPr>
        <w:ind w:firstLine="480"/>
        <w:jc w:val="left"/>
        <w:spacing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2、本合同项下所有款项均以人民币支付，甲方付款前，乙方应提供相应数额的合法有效的发票；否则，甲方付款期限顺延。</w:t>
      </w:r>
      <w:r/>
    </w:p>
    <w:p>
      <w:pPr>
        <w:ind w:firstLine="480"/>
        <w:jc w:val="left"/>
        <w:spacing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3、付款方式：</w:t>
      </w:r>
      <w:r/>
    </w:p>
    <w:p>
      <w:pPr>
        <w:ind w:firstLine="480"/>
        <w:jc w:val="left"/>
        <w:spacing w:line="400" w:lineRule="exact"/>
        <w:rPr>
          <w:rFonts w:hint="eastAsia" w:ascii="宋体" w:hAnsi="宋体" w:eastAsia="宋体" w:cs="宋体"/>
          <w:b w:val="0"/>
          <w:bCs/>
          <w:color w:val="auto"/>
          <w:sz w:val="24"/>
          <w:szCs w:val="24"/>
          <w:highlight w:val="none"/>
          <w:u w:val="single"/>
          <w:lang w:val="en-US" w:eastAsia="zh-CN" w:bidi="ar-SA"/>
        </w:rPr>
      </w:pPr>
      <w:r>
        <w:rPr>
          <w:rFonts w:hint="eastAsia" w:ascii="宋体" w:hAnsi="宋体" w:eastAsia="宋体" w:cs="宋体"/>
          <w:b w:val="0"/>
          <w:bCs/>
          <w:color w:val="auto"/>
          <w:sz w:val="24"/>
          <w:szCs w:val="24"/>
          <w:highlight w:val="none"/>
          <w:u w:val="single"/>
          <w:lang w:val="en-US" w:eastAsia="zh-CN" w:bidi="ar-SA"/>
        </w:rPr>
        <w:t xml:space="preserve">（1）签订合同后30个工作日内支付合同价的40%（2025年）。</w:t>
      </w:r>
      <w:r/>
    </w:p>
    <w:p>
      <w:pPr>
        <w:ind w:firstLine="480"/>
        <w:jc w:val="left"/>
        <w:spacing w:line="400" w:lineRule="exact"/>
        <w:rPr>
          <w:rFonts w:hint="eastAsia" w:ascii="宋体" w:hAnsi="宋体" w:eastAsia="宋体" w:cs="宋体"/>
          <w:b w:val="0"/>
          <w:bCs/>
          <w:color w:val="auto"/>
          <w:sz w:val="24"/>
          <w:szCs w:val="24"/>
          <w:highlight w:val="none"/>
          <w:u w:val="single"/>
          <w:lang w:val="en-US" w:eastAsia="zh-CN" w:bidi="ar-SA"/>
        </w:rPr>
      </w:pPr>
      <w:r>
        <w:rPr>
          <w:rFonts w:hint="eastAsia" w:ascii="宋体" w:hAnsi="宋体" w:eastAsia="宋体" w:cs="宋体"/>
          <w:b w:val="0"/>
          <w:bCs/>
          <w:color w:val="auto"/>
          <w:sz w:val="24"/>
          <w:szCs w:val="24"/>
          <w:highlight w:val="none"/>
          <w:u w:val="single"/>
          <w:lang w:val="en-US" w:eastAsia="zh-CN" w:bidi="ar-SA"/>
        </w:rPr>
        <w:t xml:space="preserve">（2）2026年4月，支付合同价的30%。（累计支付进度为合同价的70%）；</w:t>
      </w:r>
      <w:r/>
    </w:p>
    <w:p>
      <w:pPr>
        <w:ind w:firstLine="480"/>
        <w:jc w:val="left"/>
        <w:spacing w:line="400" w:lineRule="exact"/>
        <w:rPr>
          <w:rFonts w:hint="eastAsia" w:ascii="宋体" w:hAnsi="宋体" w:eastAsia="宋体" w:cs="宋体"/>
          <w:b w:val="0"/>
          <w:bCs/>
          <w:color w:val="auto"/>
          <w:sz w:val="24"/>
          <w:szCs w:val="24"/>
          <w:highlight w:val="none"/>
          <w:u w:val="single"/>
          <w:lang w:val="en-US" w:eastAsia="zh-CN" w:bidi="ar-SA"/>
        </w:rPr>
      </w:pPr>
      <w:r>
        <w:rPr>
          <w:rFonts w:hint="eastAsia" w:ascii="宋体" w:hAnsi="宋体" w:eastAsia="宋体" w:cs="宋体"/>
          <w:b w:val="0"/>
          <w:bCs/>
          <w:color w:val="auto"/>
          <w:sz w:val="24"/>
          <w:szCs w:val="24"/>
          <w:highlight w:val="none"/>
          <w:u w:val="single"/>
          <w:lang w:val="en-US" w:eastAsia="zh-CN" w:bidi="ar-SA"/>
        </w:rPr>
        <w:t xml:space="preserve">（3）甲方每季度对乙方进行考核，甲方根据季度考核结果及考核扣款规则，确定乙方该季度运维费用。合同履约完成后，根据本项目全部考核结果一次性支付剩余运维费用（2026年）。</w:t>
      </w:r>
      <w:r/>
    </w:p>
    <w:p>
      <w:pPr>
        <w:ind w:firstLine="480"/>
        <w:jc w:val="left"/>
        <w:spacing w:line="400" w:lineRule="exact"/>
        <w:rPr>
          <w:rFonts w:hint="eastAsia" w:ascii="宋体" w:hAnsi="宋体" w:eastAsia="宋体" w:cs="宋体"/>
          <w:b w:val="0"/>
          <w:bCs/>
          <w:color w:val="auto"/>
          <w:sz w:val="24"/>
          <w:szCs w:val="24"/>
          <w:highlight w:val="none"/>
          <w:u w:val="single"/>
          <w:lang w:val="en-US" w:eastAsia="zh-CN" w:bidi="ar-SA"/>
        </w:rPr>
      </w:pPr>
      <w:r>
        <w:rPr>
          <w:rFonts w:hint="eastAsia" w:ascii="宋体" w:hAnsi="宋体" w:eastAsia="宋体" w:cs="宋体"/>
          <w:b w:val="0"/>
          <w:bCs/>
          <w:color w:val="auto"/>
          <w:sz w:val="24"/>
          <w:szCs w:val="24"/>
          <w:highlight w:val="none"/>
          <w:u w:val="single"/>
          <w:lang w:val="en-US" w:eastAsia="zh-CN" w:bidi="ar-SA"/>
        </w:rPr>
        <w:t xml:space="preserve">（4）站点因升级改造暂停运行期间，该期间运维费用按实际运维时间支付。</w:t>
      </w:r>
      <w:r/>
    </w:p>
    <w:p>
      <w:pPr>
        <w:ind w:firstLine="480"/>
        <w:jc w:val="left"/>
        <w:spacing w:line="400" w:lineRule="exact"/>
        <w:rPr>
          <w:rFonts w:hint="eastAsia" w:ascii="宋体" w:hAnsi="宋体" w:eastAsia="宋体" w:cs="宋体"/>
          <w:b w:val="0"/>
          <w:bCs/>
          <w:color w:val="auto"/>
          <w:sz w:val="24"/>
          <w:szCs w:val="24"/>
          <w:highlight w:val="none"/>
          <w:u w:val="single"/>
          <w:lang w:val="en-US" w:eastAsia="zh-CN" w:bidi="ar-SA"/>
        </w:rPr>
      </w:pPr>
      <w:r>
        <w:rPr>
          <w:rFonts w:hint="eastAsia" w:ascii="宋体" w:hAnsi="宋体" w:eastAsia="宋体" w:cs="宋体"/>
          <w:b w:val="0"/>
          <w:bCs/>
          <w:color w:val="auto"/>
          <w:sz w:val="24"/>
          <w:szCs w:val="24"/>
          <w:highlight w:val="none"/>
          <w:u w:val="single"/>
          <w:lang w:val="en-US" w:eastAsia="zh-CN" w:bidi="ar-SA"/>
        </w:rPr>
        <w:t xml:space="preserve">（5）因本项目采用财政资金，合同款的支付还应根据财政实际拨款进度进行。</w:t>
      </w:r>
      <w:r/>
    </w:p>
    <w:p>
      <w:pPr>
        <w:spacing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第三条　下列关于本次采购活动方式相适应的文件及有关附件是本合同不可分割的组成部分，与本合同具有同等法律效力，这些文件包括但不限于：</w:t>
      </w:r>
      <w:r/>
    </w:p>
    <w:p>
      <w:pPr>
        <w:ind w:firstLine="480"/>
        <w:jc w:val="left"/>
        <w:spacing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（1）采购文件；</w:t>
      </w:r>
      <w:r/>
    </w:p>
    <w:p>
      <w:pPr>
        <w:ind w:firstLine="480"/>
        <w:jc w:val="left"/>
        <w:spacing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（2）投标文件；</w:t>
      </w:r>
      <w:r/>
    </w:p>
    <w:p>
      <w:pPr>
        <w:ind w:firstLine="480"/>
        <w:jc w:val="left"/>
        <w:spacing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（3）中标通知书；</w:t>
      </w:r>
      <w:r/>
    </w:p>
    <w:p>
      <w:pPr>
        <w:ind w:firstLine="480"/>
        <w:jc w:val="left"/>
        <w:spacing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（4）中标供应商在投标、评审过程中所作其他有关承诺、声明、书面澄清；</w:t>
      </w:r>
      <w:r/>
    </w:p>
    <w:p>
      <w:pPr>
        <w:ind w:firstLine="480"/>
        <w:jc w:val="left"/>
        <w:spacing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（5）甲乙双方商定的其他文件等。</w:t>
      </w:r>
      <w:r/>
    </w:p>
    <w:p>
      <w:pPr>
        <w:jc w:val="left"/>
        <w:spacing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第四条　权利保证</w:t>
      </w:r>
      <w:r/>
    </w:p>
    <w:p>
      <w:pPr>
        <w:ind w:firstLine="480"/>
        <w:jc w:val="left"/>
        <w:spacing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乙方应保证甲方在合同履行期限内不受第三方提出侵犯其专利权、版权、商标权或其他权利的起诉。一旦出现侵权，乙方应承担全部责任</w:t>
      </w:r>
      <w:r>
        <w:rPr>
          <w:rFonts w:hint="eastAsia" w:ascii="宋体" w:hAnsi="宋体" w:eastAsia="宋体" w:cs="宋体"/>
          <w:bCs/>
          <w:color w:val="auto"/>
          <w:sz w:val="24"/>
          <w:szCs w:val="24"/>
          <w:highlight w:val="none"/>
          <w:u w:val="none"/>
          <w:lang w:val="en-US" w:eastAsia="zh-CN" w:bidi="ar-SA"/>
        </w:rPr>
        <w:t xml:space="preserve">并赔偿甲方因此而遭受的全部损失。</w:t>
      </w:r>
      <w:r/>
    </w:p>
    <w:p>
      <w:pPr>
        <w:jc w:val="left"/>
        <w:spacing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第五条　质量保证和售后服务</w:t>
      </w:r>
      <w:r/>
    </w:p>
    <w:p>
      <w:pPr>
        <w:ind w:firstLine="480"/>
        <w:jc w:val="left"/>
        <w:spacing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1、乙方应按采购文件规定的服务要求、技术要求、质量标准向甲方提供服务。</w:t>
      </w:r>
      <w:r/>
    </w:p>
    <w:p>
      <w:pPr>
        <w:ind w:firstLine="480"/>
        <w:jc w:val="left"/>
        <w:spacing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2、质量保证：　</w:t>
      </w:r>
      <w:r>
        <w:rPr>
          <w:rFonts w:hint="eastAsia" w:ascii="宋体" w:hAnsi="宋体" w:eastAsia="宋体" w:cs="宋体"/>
          <w:bCs/>
          <w:color w:val="auto"/>
          <w:sz w:val="24"/>
          <w:szCs w:val="24"/>
          <w:highlight w:val="none"/>
          <w:u w:val="single"/>
          <w:lang w:val="en-US" w:eastAsia="zh-CN" w:bidi="ar-SA"/>
        </w:rPr>
        <w:t xml:space="preserve">  （详见采购文件）</w:t>
      </w:r>
      <w:r/>
    </w:p>
    <w:p>
      <w:pP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第六条　甲方违约责任</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1、在合同生效后，甲方无正当理由拒绝乙方提供服务的，甲方向乙方支付本合同总金额10%的违约金，违约金不足以补偿损失的，乙方有权要求甲方补足。</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2、甲方无故迟延支付合同价款的，甲方应按应支付总额每日万分之三向乙方支付违约金。</w:t>
      </w:r>
      <w:r/>
    </w:p>
    <w:p>
      <w:pP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第七条　乙方违约责任</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乙方逾期提供服务的，应事前与甲方和政府采购管理部门协商，甲方仍需要乙方提供服务的，每逾期一天，乙方应向甲方支付本合同总金额万分之五的违约金；若甲方不再需要或乙方不能提供服务（逾期超过十五天视为不能提供服务），甲方有权据此解除本合同，乙方应退还甲方已支付的全部合同款项，并向甲方支付本合同总额20%的违约金，该违约金不足以弥补甲方损失的，乙方还应另行赔偿。</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2、如乙方所提供的服务不合格从而对甲方造成任何损失的，应向甲方偿付合同总价款10%的违约金，违约金不足以补偿损失的甲方有权要求乙方补足。</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3、乙方指定由</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作为联系负责人并以其下列联系信息作为乙方联系方式：电话</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、邮箱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、微信号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、联系地址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乙方确认该联系负责人已获得授权且其作出的意见及决定均可视为乙方意见，前述联系信息均为不可改变的联系方式：以邮件方式寄出的文书，寄出三日后均视为已经收到；用手机短信、微信、电子邮件发送的信息，一经发出均视为立即收到。如双方通过诉讼方式解决争议的，联系负责人的电话及收件地址即为乙方确认的法院送达方式，如联系负责人或其联系信息发生改变的，乙方均应及时以书面方式告知甲方，否则引起的不利后果均由乙方承担。</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4、乙方派驻现场的工程专业人员应满足项目的需要。乙方依约安排的驻场人员为：姓名</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、手机</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、电子邮箱</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。乙方应对该驻场人员进行必要的培训并负责驻场期间对该人员的管理，保障该驻场人员依照本合同（含组成部分及不可分割部分）的约定开展各项驻场服务，在驻场期间应：遵守作息时间等相关制度</w:t>
      </w:r>
      <w:r>
        <w:rPr>
          <w:rFonts w:hint="eastAsia" w:ascii="宋体" w:hAnsi="宋体" w:eastAsia="宋体" w:cs="宋体"/>
          <w:bCs/>
          <w:color w:val="auto"/>
          <w:sz w:val="24"/>
          <w:szCs w:val="24"/>
          <w:highlight w:val="none"/>
          <w:lang w:val="en-US" w:eastAsia="zh-CN" w:bidi="ar-SA"/>
        </w:rPr>
        <w:t xml:space="preserve">及工作要求；未经甲方书面同意不得将项目物品私自带离或用于非工作事务；未经甲方书面同意不得将含有甲方、相关第三方、项目的纸质和电子信息、资料、记录、计划、报告、台账、档案等自行留存、复制、对外传输或告知任意第三方。如甲方要求或乙方原因需变更该驻场人员的，乙方应配置具备符合约定资质、经验的员工予以接替，并保障不因驻场人员的变动对项目服务和甲方产生不良影响、损失等。双方共同确认甲方不因本合同的履行而与该驻场人员形成雇佣、劳动、劳务等各类法律关系，该驻场人员因提供常驻服务而产生的各项费用、纠纷及责任等均由乙方承担。</w:t>
      </w:r>
      <w:r/>
    </w:p>
    <w:p>
      <w:pP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第八条　不可抗力</w:t>
      </w:r>
      <w:r/>
    </w:p>
    <w:p>
      <w:pPr>
        <w:numPr>
          <w:ilvl w:val="0"/>
          <w:numId w:val="9"/>
        </w:numPr>
        <w:ind w:right="-197" w:firstLine="480"/>
        <w:jc w:val="left"/>
        <w:spacing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不可抗力，是指不能预见、不能避免并不能克服的客观情况，如战争、动乱、瘟疫、严重火灾、洪水、地震、风暴或其他自然灾害等（不含雷击）。</w:t>
      </w:r>
      <w:r/>
    </w:p>
    <w:p>
      <w:pPr>
        <w:numPr>
          <w:ilvl w:val="0"/>
          <w:numId w:val="9"/>
        </w:numPr>
        <w:ind w:right="-197" w:firstLine="480"/>
        <w:jc w:val="left"/>
        <w:spacing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numPr>
          <w:ilvl w:val="0"/>
          <w:numId w:val="9"/>
        </w:numPr>
        <w:ind w:right="-197" w:firstLine="480"/>
        <w:jc w:val="left"/>
        <w:spacing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发生不可抗力事件，任何一方均不对因不可抗力无法履行或迟延履行本合同义务而使另一方蒙受的任何损失承担责任，法律另有规定的除外。</w:t>
      </w:r>
      <w:r/>
    </w:p>
    <w:p>
      <w:pPr>
        <w:numPr>
          <w:ilvl w:val="0"/>
          <w:numId w:val="9"/>
        </w:numPr>
        <w:ind w:right="-197" w:firstLine="480"/>
        <w:jc w:val="left"/>
        <w:spacing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合同各方应根据不可抗力对本合同履行的影响程度，协商确定是否终止本合同或继续履行本合同。</w:t>
      </w:r>
      <w:r/>
    </w:p>
    <w:p>
      <w:pP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第九条　合同的变更和终止</w:t>
      </w:r>
      <w:r/>
    </w:p>
    <w:p>
      <w:pPr>
        <w:numPr>
          <w:ilvl w:val="0"/>
          <w:numId w:val="10"/>
        </w:numPr>
        <w:ind w:right="-197" w:firstLine="480"/>
        <w:jc w:val="left"/>
        <w:spacing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除《中华人民共和国政府采购法》第五十条规定的情形外，本合同一经签订，甲乙双方不得擅自变更、中止或终止合同。</w:t>
      </w:r>
      <w:r/>
    </w:p>
    <w:p>
      <w:pPr>
        <w:numPr>
          <w:ilvl w:val="0"/>
          <w:numId w:val="10"/>
        </w:numPr>
        <w:ind w:right="-197" w:firstLine="480"/>
        <w:jc w:val="left"/>
        <w:spacing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除发生法律规定的不能预见、不能避免并不能克服的客观情况外，甲乙双方不得放弃或拒绝履行合同。</w:t>
      </w:r>
      <w:r/>
    </w:p>
    <w:p>
      <w:pP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第十条　合同的终止</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本合同因下列原因而终止：</w:t>
      </w:r>
      <w:r/>
    </w:p>
    <w:p>
      <w:pPr>
        <w:ind w:left="420" w:right="-197" w:firstLine="480"/>
        <w:jc w:val="left"/>
        <w:spacing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2"/>
          <w:highlight w:val="none"/>
          <w:lang w:val="en-US" w:eastAsia="zh-CN" w:bidi="ar-SA"/>
        </w:rPr>
        <w:t xml:space="preserve">（1）</w:t>
      </w:r>
      <w:r>
        <w:rPr>
          <w:rFonts w:hint="eastAsia" w:ascii="宋体" w:hAnsi="宋体" w:eastAsia="宋体" w:cs="宋体"/>
          <w:bCs/>
          <w:color w:val="auto"/>
          <w:sz w:val="24"/>
          <w:szCs w:val="24"/>
          <w:highlight w:val="none"/>
          <w:lang w:val="en-US" w:eastAsia="zh-CN" w:bidi="ar-SA"/>
        </w:rPr>
        <w:t xml:space="preserve">本合同正常履行完毕；</w:t>
      </w:r>
      <w:r/>
    </w:p>
    <w:p>
      <w:pPr>
        <w:ind w:left="420" w:right="-197" w:firstLine="480"/>
        <w:jc w:val="left"/>
        <w:spacing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2"/>
          <w:highlight w:val="none"/>
          <w:lang w:val="en-US" w:eastAsia="zh-CN" w:bidi="ar-SA"/>
        </w:rPr>
        <w:t xml:space="preserve">（2）</w:t>
      </w:r>
      <w:r>
        <w:rPr>
          <w:rFonts w:hint="eastAsia" w:ascii="宋体" w:hAnsi="宋体" w:eastAsia="宋体" w:cs="宋体"/>
          <w:bCs/>
          <w:color w:val="auto"/>
          <w:sz w:val="24"/>
          <w:szCs w:val="24"/>
          <w:highlight w:val="none"/>
          <w:lang w:val="en-US" w:eastAsia="zh-CN" w:bidi="ar-SA"/>
        </w:rPr>
        <w:t xml:space="preserve">因不可抗力导致本合同无法履行或履行不必要；</w:t>
      </w:r>
      <w:r/>
    </w:p>
    <w:p>
      <w:pPr>
        <w:ind w:left="420" w:right="-197" w:firstLine="480"/>
        <w:jc w:val="left"/>
        <w:spacing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2"/>
          <w:highlight w:val="none"/>
          <w:lang w:val="en-US" w:eastAsia="zh-CN" w:bidi="ar-SA"/>
        </w:rPr>
        <w:t xml:space="preserve">（3）</w:t>
      </w:r>
      <w:r>
        <w:rPr>
          <w:rFonts w:hint="eastAsia" w:ascii="宋体" w:hAnsi="宋体" w:eastAsia="宋体" w:cs="宋体"/>
          <w:bCs/>
          <w:color w:val="auto"/>
          <w:sz w:val="24"/>
          <w:szCs w:val="24"/>
          <w:highlight w:val="none"/>
          <w:lang w:val="en-US" w:eastAsia="zh-CN" w:bidi="ar-SA"/>
        </w:rPr>
        <w:t xml:space="preserve">任何一方行使解除权解除本合同；</w:t>
      </w:r>
      <w:r/>
    </w:p>
    <w:p>
      <w:pPr>
        <w:ind w:left="420" w:right="-197" w:firstLine="480"/>
        <w:jc w:val="left"/>
        <w:spacing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2"/>
          <w:highlight w:val="none"/>
          <w:lang w:val="en-US" w:eastAsia="zh-CN" w:bidi="ar-SA"/>
        </w:rPr>
        <w:t xml:space="preserve">（4）</w:t>
      </w:r>
      <w:r>
        <w:rPr>
          <w:rFonts w:hint="eastAsia" w:ascii="宋体" w:hAnsi="宋体" w:eastAsia="宋体" w:cs="宋体"/>
          <w:bCs/>
          <w:color w:val="auto"/>
          <w:sz w:val="24"/>
          <w:szCs w:val="24"/>
          <w:highlight w:val="none"/>
          <w:lang w:val="en-US" w:eastAsia="zh-CN" w:bidi="ar-SA"/>
        </w:rPr>
        <w:t xml:space="preserve">合同的继续履行将损害国家利益和社会公共利益；</w:t>
      </w:r>
      <w:r/>
    </w:p>
    <w:p>
      <w:pPr>
        <w:ind w:left="420" w:right="-197" w:firstLine="480"/>
        <w:jc w:val="left"/>
        <w:spacing w:line="360" w:lineRule="auto"/>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5）整体情况考核出现下列情况之一的，采购人有权终止合同，同时下阶段运维招标不予考虑，后续托管方按投标排名递补；（a）单站点整改不力或拒不整改；（b）中标供应商制造虚假数据或肆意修改仪器监测参数。</w:t>
      </w:r>
      <w:r/>
    </w:p>
    <w:p>
      <w:pPr>
        <w:ind w:left="420" w:right="-197" w:firstLine="480"/>
        <w:jc w:val="left"/>
        <w:spacing w:line="360" w:lineRule="auto"/>
        <w:widowControl/>
        <w:rPr>
          <w:rFonts w:hint="eastAsia" w:ascii="宋体" w:hAnsi="宋体" w:eastAsia="宋体" w:cs="宋体"/>
          <w:bCs/>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除上述情形外，甲乙双方不得擅自终止合同。</w:t>
      </w:r>
      <w:r/>
    </w:p>
    <w:p>
      <w:pP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第十一条　争议的解决</w:t>
      </w:r>
      <w:r/>
    </w:p>
    <w:p>
      <w:pPr>
        <w:numPr>
          <w:ilvl w:val="0"/>
          <w:numId w:val="11"/>
        </w:numPr>
        <w:ind w:right="-197" w:firstLine="480"/>
        <w:jc w:val="left"/>
        <w:spacing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因履行本合同引起的或与本合同有关的争议，甲、乙双方应首先通过友好协商解决，如果协商不能解决争议，则向无锡仲裁委员会提起仲裁。</w:t>
      </w:r>
      <w:r/>
    </w:p>
    <w:p>
      <w:pPr>
        <w:numPr>
          <w:ilvl w:val="0"/>
          <w:numId w:val="11"/>
        </w:numPr>
        <w:ind w:right="-197" w:firstLine="480"/>
        <w:jc w:val="left"/>
        <w:spacing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在仲裁期间，本合同应继续履行。</w:t>
      </w:r>
      <w:r/>
    </w:p>
    <w:p>
      <w:pP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第十二条　合同生效及其他</w:t>
      </w:r>
      <w:r/>
    </w:p>
    <w:p>
      <w:pPr>
        <w:numPr>
          <w:ilvl w:val="0"/>
          <w:numId w:val="12"/>
        </w:numPr>
        <w:ind w:right="-197" w:firstLine="480"/>
        <w:jc w:val="left"/>
        <w:spacing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本合同由甲乙双方签字、盖章，</w:t>
      </w:r>
      <w:r>
        <w:rPr>
          <w:rFonts w:ascii="宋体" w:hAnsi="宋体"/>
          <w:bCs/>
          <w:color w:val="auto"/>
          <w:sz w:val="24"/>
          <w:szCs w:val="24"/>
          <w:highlight w:val="none"/>
        </w:rPr>
        <w:t xml:space="preserve">并经招标代理公司见证后生效</w:t>
      </w:r>
      <w:r>
        <w:rPr>
          <w:rFonts w:hint="eastAsia" w:ascii="宋体" w:hAnsi="宋体" w:eastAsia="宋体" w:cs="宋体"/>
          <w:bCs/>
          <w:color w:val="auto"/>
          <w:sz w:val="24"/>
          <w:szCs w:val="24"/>
          <w:highlight w:val="none"/>
          <w:lang w:val="en-US" w:eastAsia="zh-CN" w:bidi="ar-SA"/>
        </w:rPr>
        <w:t xml:space="preserve">。</w:t>
      </w:r>
      <w:r/>
    </w:p>
    <w:p>
      <w:pPr>
        <w:numPr>
          <w:ilvl w:val="0"/>
          <w:numId w:val="12"/>
        </w:numPr>
        <w:ind w:right="-197" w:firstLine="480"/>
        <w:jc w:val="left"/>
        <w:spacing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合同一式五份，甲乙双方各执贰份，代理公司执一份。</w:t>
      </w:r>
      <w:r/>
    </w:p>
    <w:p>
      <w:pPr>
        <w:numPr>
          <w:ilvl w:val="0"/>
          <w:numId w:val="12"/>
        </w:numPr>
        <w:ind w:right="-197" w:firstLine="480"/>
        <w:jc w:val="left"/>
        <w:spacing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本合同应按照中华人民共和国的现行法律进行解释。</w:t>
      </w:r>
      <w:r/>
    </w:p>
    <w:p>
      <w:pPr>
        <w:numPr>
          <w:ilvl w:val="0"/>
          <w:numId w:val="12"/>
        </w:numPr>
        <w:ind w:right="-197" w:firstLine="480"/>
        <w:jc w:val="left"/>
        <w:spacing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采购文件、投标文件、合同条款及中标通知书，乙方在投标、评审过程中所作其他有关承诺、声明、书面澄清等均为合同不可分割的部分，与主合同具有同等法律效力。</w:t>
      </w:r>
      <w:r/>
    </w:p>
    <w:p>
      <w:pPr>
        <w:ind w:firstLine="1154"/>
        <w:spacing w:line="440" w:lineRule="exact"/>
        <w:tabs>
          <w:tab w:val="left" w:pos="0" w:leader="none"/>
          <w:tab w:val="left" w:pos="126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spacing w:line="440" w:lineRule="exact"/>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甲方（采购人）：</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（盖章）  乙方（中标供应商）：</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（盖章）</w:t>
      </w:r>
      <w:r/>
    </w:p>
    <w:p>
      <w:pPr>
        <w:spacing w:line="440" w:lineRule="exact"/>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法定（授权）代表人：</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法定（授权）代表人：</w:t>
      </w:r>
      <w:r>
        <w:rPr>
          <w:rFonts w:hint="eastAsia" w:ascii="宋体" w:hAnsi="宋体" w:eastAsia="宋体" w:cs="宋体"/>
          <w:bCs/>
          <w:color w:val="auto"/>
          <w:sz w:val="24"/>
          <w:szCs w:val="24"/>
          <w:highlight w:val="none"/>
          <w:u w:val="single"/>
          <w:lang w:val="en-US" w:eastAsia="zh-CN" w:bidi="ar-SA"/>
        </w:rPr>
        <w:t xml:space="preserve">                </w:t>
      </w:r>
      <w:r/>
    </w:p>
    <w:p>
      <w:pPr>
        <w:spacing w:line="440" w:lineRule="exact"/>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w:t>
      </w:r>
      <w:r/>
    </w:p>
    <w:p>
      <w:pPr>
        <w:spacing w:line="440" w:lineRule="exact"/>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                                    乙方户名：</w:t>
      </w:r>
      <w:r>
        <w:rPr>
          <w:rFonts w:hint="eastAsia" w:ascii="宋体" w:hAnsi="宋体" w:eastAsia="宋体" w:cs="宋体"/>
          <w:bCs/>
          <w:color w:val="auto"/>
          <w:sz w:val="24"/>
          <w:szCs w:val="24"/>
          <w:highlight w:val="none"/>
          <w:u w:val="single"/>
          <w:lang w:val="en-US" w:eastAsia="zh-CN" w:bidi="ar-SA"/>
        </w:rPr>
        <w:t xml:space="preserve">                             </w:t>
      </w:r>
      <w:r/>
    </w:p>
    <w:p>
      <w:pPr>
        <w:spacing w:line="440" w:lineRule="exact"/>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                                    乙方开户银行：</w:t>
      </w:r>
      <w:r>
        <w:rPr>
          <w:rFonts w:hint="eastAsia" w:ascii="宋体" w:hAnsi="宋体" w:eastAsia="宋体" w:cs="宋体"/>
          <w:bCs/>
          <w:color w:val="auto"/>
          <w:sz w:val="24"/>
          <w:szCs w:val="24"/>
          <w:highlight w:val="none"/>
          <w:u w:val="single"/>
          <w:lang w:val="en-US" w:eastAsia="zh-CN" w:bidi="ar-SA"/>
        </w:rPr>
        <w:t xml:space="preserve">                         </w:t>
      </w:r>
      <w:r/>
    </w:p>
    <w:p>
      <w:pPr>
        <w:spacing w:line="440" w:lineRule="exact"/>
        <w:rPr>
          <w:rFonts w:hint="eastAsia" w:ascii="宋体" w:hAnsi="宋体" w:eastAsia="宋体" w:cs="宋体"/>
          <w:b/>
          <w:color w:val="auto"/>
          <w:sz w:val="36"/>
          <w:szCs w:val="36"/>
          <w:highlight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乙方账号：</w:t>
      </w:r>
      <w:r>
        <w:rPr>
          <w:rFonts w:hint="eastAsia" w:ascii="宋体" w:hAnsi="宋体" w:eastAsia="宋体" w:cs="宋体"/>
          <w:bCs/>
          <w:color w:val="auto"/>
          <w:sz w:val="24"/>
          <w:szCs w:val="24"/>
          <w:highlight w:val="none"/>
          <w:u w:val="single"/>
          <w:lang w:val="en-US" w:eastAsia="zh-CN" w:bidi="ar-SA"/>
        </w:rPr>
        <w:t xml:space="preserve">                  </w:t>
      </w:r>
      <w:r/>
    </w:p>
    <w:p>
      <w:pPr>
        <w:spacing w:line="44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见证方：</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（盖章）</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rPr>
          <w:rFonts w:hint="eastAsia" w:ascii="宋体" w:hAnsi="宋体" w:eastAsia="宋体" w:cs="宋体"/>
          <w:color w:val="auto"/>
          <w:sz w:val="24"/>
          <w:szCs w:val="24"/>
          <w:highlight w:val="none"/>
          <w:lang w:val="en-US" w:eastAsia="zh-CN" w:bidi="ar-SA"/>
        </w:rPr>
        <w:br w:type="page" w:clear="all"/>
      </w:r>
      <w:r/>
    </w:p>
    <w:p>
      <w:pPr>
        <w:ind w:firstLine="480"/>
        <w:jc w:val="center"/>
        <w:spacing w:line="360" w:lineRule="auto"/>
        <w:rPr>
          <w:rFonts w:hint="eastAsia" w:hAnsi="宋体"/>
          <w:color w:val="auto"/>
          <w:sz w:val="36"/>
          <w:szCs w:val="36"/>
          <w:highlight w:val="none"/>
        </w:rPr>
      </w:pPr>
      <w:r>
        <w:rPr>
          <w:rFonts w:hint="eastAsia" w:ascii="黑体" w:eastAsia="黑体"/>
          <w:bCs/>
          <w:color w:val="auto"/>
          <w:sz w:val="36"/>
          <w:szCs w:val="36"/>
          <w:highlight w:val="none"/>
        </w:rPr>
        <w:t xml:space="preserve">第</w:t>
      </w:r>
      <w:bookmarkEnd w:id="138"/>
      <w:r>
        <w:rPr>
          <w:rFonts w:hint="eastAsia" w:ascii="黑体" w:eastAsia="黑体"/>
          <w:bCs/>
          <w:color w:val="auto"/>
          <w:sz w:val="36"/>
          <w:szCs w:val="36"/>
          <w:highlight w:val="none"/>
        </w:rPr>
        <w:t xml:space="preserve">四章 采购需求</w:t>
      </w:r>
      <w:bookmarkEnd w:id="139"/>
      <w:r/>
      <w:bookmarkEnd w:id="140"/>
      <w:r/>
      <w:bookmarkEnd w:id="141"/>
      <w:r/>
      <w:r/>
    </w:p>
    <w:p>
      <w:pPr>
        <w:ind w:firstLine="480"/>
        <w:jc w:val="left"/>
        <w:spacing w:line="360" w:lineRule="auto"/>
        <w:rPr>
          <w:rFonts w:hint="eastAsia" w:ascii="宋体" w:hAnsi="宋体" w:eastAsia="宋体" w:cs="宋体"/>
          <w:color w:val="auto"/>
          <w:sz w:val="24"/>
          <w:szCs w:val="24"/>
          <w:highlight w:val="none"/>
        </w:rPr>
      </w:pPr>
      <w:r/>
      <w:bookmarkStart w:id="142" w:name="_Toc26554093"/>
      <w:r/>
      <w:bookmarkStart w:id="143" w:name="_Toc49090575"/>
      <w:r/>
      <w:bookmarkStart w:id="144" w:name="_Toc120614281"/>
      <w:r>
        <w:rPr>
          <w:rFonts w:hint="eastAsia" w:ascii="宋体" w:hAnsi="宋体" w:eastAsia="宋体" w:cs="宋体"/>
          <w:color w:val="auto"/>
          <w:sz w:val="24"/>
          <w:szCs w:val="24"/>
          <w:highlight w:val="none"/>
        </w:rPr>
        <w:t xml:space="preserve">本项目属性：服务类项目</w:t>
      </w:r>
      <w:r/>
    </w:p>
    <w:p>
      <w:pPr>
        <w:ind w:firstLine="480"/>
        <w:spacing w:line="360" w:lineRule="auto"/>
        <w:tabs>
          <w:tab w:val="left" w:pos="525" w:leader="none"/>
          <w:tab w:val="left" w:pos="630" w:leader="none"/>
          <w:tab w:val="left" w:pos="735" w:leader="none"/>
          <w:tab w:val="left" w:pos="945" w:leader="none"/>
        </w:tabs>
        <w:rPr>
          <w:rFonts w:hint="default" w:ascii="宋体" w:hAnsi="宋体"/>
          <w:b/>
          <w:color w:val="auto"/>
          <w:sz w:val="30"/>
          <w:szCs w:val="30"/>
          <w:highlight w:val="none"/>
          <w:lang w:val="en-US" w:eastAsia="zh-CN"/>
        </w:rPr>
      </w:pPr>
      <w:r>
        <w:rPr>
          <w:rFonts w:hint="eastAsia" w:ascii="宋体" w:hAnsi="宋体"/>
          <w:b/>
          <w:color w:val="auto"/>
          <w:sz w:val="30"/>
          <w:szCs w:val="30"/>
          <w:highlight w:val="none"/>
          <w:lang w:val="en-US" w:eastAsia="zh-CN"/>
        </w:rPr>
        <w:t xml:space="preserve">第一部分 项目需求</w:t>
      </w:r>
      <w:r/>
    </w:p>
    <w:p>
      <w:pPr>
        <w:ind w:firstLine="480"/>
        <w:spacing w:line="360" w:lineRule="auto"/>
        <w:tabs>
          <w:tab w:val="left" w:pos="525" w:leader="none"/>
          <w:tab w:val="left" w:pos="630" w:leader="none"/>
          <w:tab w:val="left" w:pos="735" w:leader="none"/>
          <w:tab w:val="left" w:pos="945" w:leader="none"/>
        </w:tabs>
        <w:rPr>
          <w:rFonts w:hint="eastAsia" w:ascii="宋体" w:hAnsi="宋体"/>
          <w:b/>
          <w:color w:val="auto"/>
          <w:sz w:val="30"/>
          <w:szCs w:val="30"/>
          <w:highlight w:val="none"/>
          <w:lang w:val="en-US" w:eastAsia="zh-CN"/>
        </w:rPr>
      </w:pPr>
      <w:r>
        <w:rPr>
          <w:rFonts w:hint="eastAsia" w:ascii="宋体" w:hAnsi="宋体"/>
          <w:b/>
          <w:color w:val="auto"/>
          <w:sz w:val="30"/>
          <w:szCs w:val="30"/>
          <w:highlight w:val="none"/>
          <w:lang w:val="en-US" w:eastAsia="zh-CN"/>
        </w:rPr>
        <w:t xml:space="preserve">采购包1：无锡市市建水站运维项目（固定站）运维服务</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（一）采购标的需实现的功能或者目标，以及为落实政府采购政策需满足的要求：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1、为了进一步加强水质自动站运行管理，继续推进二级质控社会化运营模式，拟对今年我市固定式水质自动站进行第三方运维采购，运维时间为合同签订之日起一年。</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具体情况见下表。</w:t>
      </w:r>
      <w:r/>
    </w:p>
    <w:tbl>
      <w:tblPr>
        <w:tblStyle w:val="736"/>
        <w:tblW w:w="4998"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1005"/>
        <w:gridCol w:w="1663"/>
        <w:gridCol w:w="2492"/>
        <w:gridCol w:w="3094"/>
        <w:gridCol w:w="1879"/>
      </w:tblGrid>
      <w:tr>
        <w:trPr>
          <w:trHeight w:val="402"/>
        </w:trPr>
        <w:tc>
          <w:tcPr>
            <w:tcW w:w="845"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1398"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所在地区</w:t>
            </w:r>
            <w:r/>
          </w:p>
        </w:tc>
        <w:tc>
          <w:tcPr>
            <w:tcW w:w="2095"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河流及湖体名称</w:t>
            </w:r>
            <w:r/>
          </w:p>
        </w:tc>
        <w:tc>
          <w:tcPr>
            <w:tcW w:w="2601"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站点名称</w:t>
            </w:r>
            <w:r/>
          </w:p>
        </w:tc>
        <w:tc>
          <w:tcPr>
            <w:tcW w:w="1580"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备注</w:t>
            </w:r>
            <w:r/>
          </w:p>
        </w:tc>
      </w:tr>
      <w:tr>
        <w:trPr>
          <w:trHeight w:val="402"/>
        </w:trPr>
        <w:tc>
          <w:tcPr>
            <w:tcW w:w="8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1398"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江阴市</w:t>
            </w:r>
            <w:r/>
          </w:p>
        </w:tc>
        <w:tc>
          <w:tcPr>
            <w:tcW w:w="20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长江</w:t>
            </w:r>
            <w:r/>
          </w:p>
        </w:tc>
        <w:tc>
          <w:tcPr>
            <w:tcW w:w="260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澄西水厂（固定式）</w:t>
            </w:r>
            <w:r/>
          </w:p>
        </w:tc>
        <w:tc>
          <w:tcPr>
            <w:tcW w:w="158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02"/>
        </w:trPr>
        <w:tc>
          <w:tcPr>
            <w:tcW w:w="8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1398"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梁溪区</w:t>
            </w:r>
            <w:r/>
          </w:p>
        </w:tc>
        <w:tc>
          <w:tcPr>
            <w:tcW w:w="20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古运河</w:t>
            </w:r>
            <w:r/>
          </w:p>
        </w:tc>
        <w:tc>
          <w:tcPr>
            <w:tcW w:w="260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新桥泵站（固定式）</w:t>
            </w:r>
            <w:r/>
          </w:p>
        </w:tc>
        <w:tc>
          <w:tcPr>
            <w:tcW w:w="158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02"/>
        </w:trPr>
        <w:tc>
          <w:tcPr>
            <w:tcW w:w="8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1398"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锡山区</w:t>
            </w:r>
            <w:r/>
          </w:p>
        </w:tc>
        <w:tc>
          <w:tcPr>
            <w:tcW w:w="20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九里河</w:t>
            </w:r>
            <w:r/>
          </w:p>
        </w:tc>
        <w:tc>
          <w:tcPr>
            <w:tcW w:w="260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长征桥（固定式）</w:t>
            </w:r>
            <w:r/>
          </w:p>
        </w:tc>
        <w:tc>
          <w:tcPr>
            <w:tcW w:w="158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02"/>
        </w:trPr>
        <w:tc>
          <w:tcPr>
            <w:tcW w:w="8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1398"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锡山区</w:t>
            </w:r>
            <w:r/>
          </w:p>
        </w:tc>
        <w:tc>
          <w:tcPr>
            <w:tcW w:w="20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北兴塘河</w:t>
            </w:r>
            <w:r/>
          </w:p>
        </w:tc>
        <w:tc>
          <w:tcPr>
            <w:tcW w:w="260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放马滩（固定式）</w:t>
            </w:r>
            <w:r/>
          </w:p>
        </w:tc>
        <w:tc>
          <w:tcPr>
            <w:tcW w:w="158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02"/>
        </w:trPr>
        <w:tc>
          <w:tcPr>
            <w:tcW w:w="8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1398"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锡山区</w:t>
            </w:r>
            <w:r/>
          </w:p>
        </w:tc>
        <w:tc>
          <w:tcPr>
            <w:tcW w:w="20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锡北运河</w:t>
            </w:r>
            <w:r/>
          </w:p>
        </w:tc>
        <w:tc>
          <w:tcPr>
            <w:tcW w:w="260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东荘大桥（固定式）</w:t>
            </w:r>
            <w:r/>
          </w:p>
        </w:tc>
        <w:tc>
          <w:tcPr>
            <w:tcW w:w="158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02"/>
        </w:trPr>
        <w:tc>
          <w:tcPr>
            <w:tcW w:w="8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1398"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锡山区</w:t>
            </w:r>
            <w:r/>
          </w:p>
        </w:tc>
        <w:tc>
          <w:tcPr>
            <w:tcW w:w="20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大塘河</w:t>
            </w:r>
            <w:r/>
          </w:p>
        </w:tc>
        <w:tc>
          <w:tcPr>
            <w:tcW w:w="260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陈墅大桥（固定式）</w:t>
            </w:r>
            <w:r/>
          </w:p>
        </w:tc>
        <w:tc>
          <w:tcPr>
            <w:tcW w:w="158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572"/>
        </w:trPr>
        <w:tc>
          <w:tcPr>
            <w:tcW w:w="8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1398"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锡山区</w:t>
            </w:r>
            <w:r/>
          </w:p>
        </w:tc>
        <w:tc>
          <w:tcPr>
            <w:tcW w:w="20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东青河</w:t>
            </w:r>
            <w:r/>
          </w:p>
        </w:tc>
        <w:tc>
          <w:tcPr>
            <w:tcW w:w="260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晃山桥（固定式）</w:t>
            </w:r>
            <w:r/>
          </w:p>
        </w:tc>
        <w:tc>
          <w:tcPr>
            <w:tcW w:w="158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02"/>
        </w:trPr>
        <w:tc>
          <w:tcPr>
            <w:tcW w:w="8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139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惠山区</w:t>
            </w:r>
            <w:r/>
          </w:p>
        </w:tc>
        <w:tc>
          <w:tcPr>
            <w:tcW w:w="20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京杭运河</w:t>
            </w:r>
            <w:r/>
          </w:p>
        </w:tc>
        <w:tc>
          <w:tcPr>
            <w:tcW w:w="260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惠运大桥（固定式）</w:t>
            </w:r>
            <w:r/>
          </w:p>
        </w:tc>
        <w:tc>
          <w:tcPr>
            <w:tcW w:w="158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02"/>
        </w:trPr>
        <w:tc>
          <w:tcPr>
            <w:tcW w:w="8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W w:w="139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滨湖区</w:t>
            </w:r>
            <w:r/>
          </w:p>
        </w:tc>
        <w:tc>
          <w:tcPr>
            <w:tcW w:w="20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洋溪河</w:t>
            </w:r>
            <w:r/>
          </w:p>
        </w:tc>
        <w:tc>
          <w:tcPr>
            <w:tcW w:w="260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刘塘桥（固定式）</w:t>
            </w:r>
            <w:r/>
          </w:p>
        </w:tc>
        <w:tc>
          <w:tcPr>
            <w:tcW w:w="158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02"/>
        </w:trPr>
        <w:tc>
          <w:tcPr>
            <w:tcW w:w="8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1398"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滨湖区</w:t>
            </w:r>
            <w:r/>
          </w:p>
        </w:tc>
        <w:tc>
          <w:tcPr>
            <w:tcW w:w="20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古竹河</w:t>
            </w:r>
            <w:r/>
          </w:p>
        </w:tc>
        <w:tc>
          <w:tcPr>
            <w:tcW w:w="260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古竹桥（固定式）</w:t>
            </w:r>
            <w:r/>
          </w:p>
        </w:tc>
        <w:tc>
          <w:tcPr>
            <w:tcW w:w="158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02"/>
        </w:trPr>
        <w:tc>
          <w:tcPr>
            <w:tcW w:w="8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tcW w:w="139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滨湖区</w:t>
            </w:r>
            <w:r/>
          </w:p>
        </w:tc>
        <w:tc>
          <w:tcPr>
            <w:tcW w:w="20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五里湖</w:t>
            </w:r>
            <w:r/>
          </w:p>
        </w:tc>
        <w:tc>
          <w:tcPr>
            <w:tcW w:w="260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渔父岛（浮船式）</w:t>
            </w:r>
            <w:r/>
          </w:p>
        </w:tc>
        <w:tc>
          <w:tcPr>
            <w:tcW w:w="158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02"/>
        </w:trPr>
        <w:tc>
          <w:tcPr>
            <w:tcW w:w="8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tcW w:w="139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新吴区</w:t>
            </w:r>
            <w:r/>
          </w:p>
        </w:tc>
        <w:tc>
          <w:tcPr>
            <w:tcW w:w="20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伯渎港</w:t>
            </w:r>
            <w:r/>
          </w:p>
        </w:tc>
        <w:tc>
          <w:tcPr>
            <w:tcW w:w="260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梅村大桥（固定式）</w:t>
            </w:r>
            <w:r/>
          </w:p>
        </w:tc>
        <w:tc>
          <w:tcPr>
            <w:tcW w:w="158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针对本次项目考虑涉及的相关费用，包括但不限于人员车辆费用、仪器设备易损易耗品费用、试剂费用、质控措施费用、配件更换费用、集成系统检修费用、第三方防雷检测费用、网络传输费用及设备运转水电费等。</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2、为落实政府采购政策需满足的要求：</w:t>
      </w:r>
      <w:r/>
    </w:p>
    <w:p>
      <w:pPr>
        <w:ind w:firstLine="480"/>
        <w:spacing w:line="360" w:lineRule="auto"/>
        <w:rPr>
          <w:rFonts w:hint="eastAsia" w:ascii="宋体" w:hAnsi="宋体" w:eastAsia="宋体" w:cs="宋体"/>
          <w:color w:val="auto"/>
          <w:sz w:val="24"/>
          <w:szCs w:val="24"/>
          <w:highlight w:val="none"/>
          <w:lang w:val="en-US" w:eastAsia="zh-CN" w:bidi="ar-SA"/>
        </w:rPr>
      </w:pPr>
      <w:r/>
      <w:bookmarkStart w:id="145" w:name="_Hlk15292189"/>
      <w:r>
        <w:rPr>
          <w:rFonts w:hint="eastAsia" w:ascii="宋体" w:hAnsi="宋体" w:eastAsia="宋体" w:cs="宋体"/>
          <w:color w:val="auto"/>
          <w:sz w:val="24"/>
          <w:szCs w:val="24"/>
          <w:highlight w:val="none"/>
          <w:lang w:val="en-US" w:eastAsia="zh-CN" w:bidi="ar-SA"/>
        </w:rPr>
        <w:t xml:space="preserve">（1）按照《政府采购促进中小企业发展暂行办法》（财库〔2011〕181号）的规定，对小型和微型企业产品的价格给予10%的扣除；</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（2）按照《财政部司法部关于政府采购支持监狱企业发展有关问题的通知》（财库〔2014〕68号）文件规定，在政府采购活动中，监狱企业视同小型、微型企业，享受评审中价格扣除的政府采购政策；</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按照《财政部民政部中国残疾人联合会关于促进残疾人就业政府采购政策的通知》，残疾人福利性单位视同小型、微型企业，享受评审中价格扣除的政府采购政策，残疾人福利性单位属于小型、微型企业的，不重复享受政策。</w:t>
      </w:r>
      <w:bookmarkEnd w:id="145"/>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（二）采购标的需执行的国家相关标准、行业标准、地方标准或者其他标准、规范：</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《地表水自动监测技术规范（试行）》（HJ 915-2017）</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国家标准方法和《水和废水监测分析方法》</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《国家地表水自动监测站运行管理办法》</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《国家地表水水质自动监测站运行维护管理实施细则（试行）》</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《地表水水质自动监测站运行维护技术要求（试行）》</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《江苏省环境水质（地表水）自动监测预警系统运行管理办法（试行）》及其实施细则</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《无锡市地表水水质自动监测站运行管理办法（试行）》</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《环境水质监测质量保证手册》</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"http://www.sepa.gov.cn/image20010518/1782.pdf"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地表水和污水监测技术规范》（HJ/T91-2002 ）</w:t>
      </w:r>
      <w:r>
        <w:rPr>
          <w:rFonts w:hint="eastAsia" w:ascii="宋体" w:hAnsi="宋体" w:eastAsia="宋体" w:cs="宋体"/>
          <w:color w:val="auto"/>
          <w:sz w:val="24"/>
          <w:szCs w:val="24"/>
          <w:highlight w:val="none"/>
          <w:lang w:val="en-US" w:eastAsia="zh-CN" w:bidi="ar-SA"/>
        </w:rPr>
        <w:fldChar w:fldCharType="end"/>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《水质河流采样技术指导》（HJ/T52-1999）</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《pH水质自动分析仪技术要求》（HJ/T96-2003）</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《电导率水质自动分析仪技术要求》（HJ/T97-2003）</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《浊度水质自动分析仪技术要求》（HJ/T98-2003）</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《溶解氧（DO）水质自动分析仪技术要求》（HJ/T99-2003）</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《高锰酸盐指数水质自动分析仪技术要求》（HJ/T100-2003）</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《氨氮水质自动分析仪技术要求》（HJ/T101-2003）</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《总氮水质自动分析仪技术要求》（GB/T 11894-1989）</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《总磷水质自动分析仪技术要求》（GB/T 11893-1989）</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《声学多普勒流量测验规范》（SL337-2006）</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如水站管理办法中的相关要求与标书内容出现差异时，按照就高不就低的原则执行。</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（三）采购标的需满足的质量、安全、技术规格、物理特性等要求：</w:t>
      </w:r>
      <w:r/>
    </w:p>
    <w:p>
      <w:pPr>
        <w:ind w:firstLine="482"/>
        <w:jc w:val="left"/>
        <w:keepLines/>
        <w:spacing w:before="0" w:after="0" w:line="360" w:lineRule="auto"/>
        <w:widowControl/>
        <w:tabs>
          <w:tab w:val="left" w:pos="360"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凡标有“▲”的内容均被视为重要的技术要求和性能指标。供应商必须响应，如不响应按无效标书处理。</w:t>
      </w:r>
      <w:r/>
    </w:p>
    <w:p>
      <w:pPr>
        <w:ind w:firstLine="482"/>
        <w:jc w:val="left"/>
        <w:keepLines/>
        <w:spacing w:before="0" w:after="0" w:line="360" w:lineRule="auto"/>
        <w:widowControl/>
        <w:tabs>
          <w:tab w:val="left" w:pos="360"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1、总体要求</w:t>
      </w:r>
      <w:r/>
    </w:p>
    <w:p>
      <w:pPr>
        <w:ind w:firstLine="482"/>
        <w:jc w:val="left"/>
        <w:keepLines/>
        <w:spacing w:before="0" w:after="0" w:line="360" w:lineRule="auto"/>
        <w:widowControl/>
        <w:tabs>
          <w:tab w:val="left" w:pos="360"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1.1对供应商公司要求</w:t>
      </w:r>
      <w:r/>
    </w:p>
    <w:p>
      <w:pPr>
        <w:ind w:firstLine="482"/>
        <w:jc w:val="left"/>
        <w:keepLines/>
        <w:spacing w:before="0" w:after="0" w:line="360" w:lineRule="auto"/>
        <w:widowControl/>
        <w:tabs>
          <w:tab w:val="left" w:pos="360"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1.1.1供应商保证资金充足。</w:t>
      </w:r>
      <w:r/>
    </w:p>
    <w:p>
      <w:pPr>
        <w:ind w:firstLine="482"/>
        <w:jc w:val="left"/>
        <w:keepLines/>
        <w:spacing w:before="0" w:after="0" w:line="360" w:lineRule="auto"/>
        <w:widowControl/>
        <w:tabs>
          <w:tab w:val="left" w:pos="360"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▲1.1.2供应商应具备完善的仪表配件供应渠道并在中标后提供相应的证明。</w:t>
      </w:r>
      <w:r/>
    </w:p>
    <w:p>
      <w:pPr>
        <w:ind w:firstLine="482"/>
        <w:jc w:val="left"/>
        <w:keepLines/>
        <w:spacing w:before="0" w:after="0" w:line="360" w:lineRule="auto"/>
        <w:widowControl/>
        <w:tabs>
          <w:tab w:val="left" w:pos="360"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▲1.1.3供应商必须在中标后为本项目在无锡市设立服务及办事机构，主要运维技术人员</w:t>
      </w:r>
      <w:bookmarkStart w:id="146" w:name="OLE_LINK26"/>
      <w:r>
        <w:rPr>
          <w:rFonts w:hint="eastAsia" w:ascii="宋体" w:hAnsi="宋体" w:eastAsia="宋体" w:cs="宋体"/>
          <w:b/>
          <w:bCs/>
          <w:color w:val="auto"/>
          <w:sz w:val="24"/>
          <w:szCs w:val="24"/>
          <w:highlight w:val="none"/>
          <w:lang w:val="en-US" w:eastAsia="zh-CN" w:bidi="ar-SA"/>
        </w:rPr>
        <w:t xml:space="preserve">至少配置5人</w:t>
      </w:r>
      <w:bookmarkEnd w:id="146"/>
      <w:r>
        <w:rPr>
          <w:rFonts w:hint="eastAsia" w:ascii="宋体" w:hAnsi="宋体" w:eastAsia="宋体" w:cs="宋体"/>
          <w:b/>
          <w:bCs/>
          <w:color w:val="auto"/>
          <w:sz w:val="24"/>
          <w:szCs w:val="24"/>
          <w:highlight w:val="none"/>
          <w:lang w:val="en-US" w:eastAsia="zh-CN" w:bidi="ar-SA"/>
        </w:rPr>
        <w:t xml:space="preserve">，从事水质自动站运营二年以上的工作人员不低于本项目运维人员数的20%。投标所提供的运维技术人员队伍必须与正式运维时技术人员队伍一致，如有运维人员变动应提前通知采购人并得到采购人同意方可变更。（采购方将不定期进行抽查，若发现人员数量和投标文件不符，可以终止服务合同，项目之前的服务费用不予支付），运维公司必须按照《无锡市地表水水质自动监测站运行管理办法（试行）》的要求聘用足够水平的运行维护专业技术人员，并提供聘用合同及职工社会保险缴纳证明。</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▲1.1.4供应商应提供完整的水质自动监测系统运维实施方案（含应急情况处理方案），提出解决目前存在问题的措施，明确维护方法、周期、内容及技术保障。</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1.1.5供应商应列明水质自动监测系统运行及管理期间的各项费用预算开支，包括但不限于</w:t>
      </w:r>
      <w:bookmarkStart w:id="147" w:name="OLE_LINK25"/>
      <w:r>
        <w:rPr>
          <w:rFonts w:hint="eastAsia" w:ascii="宋体" w:hAnsi="宋体" w:eastAsia="宋体" w:cs="宋体"/>
          <w:color w:val="auto"/>
          <w:sz w:val="24"/>
          <w:szCs w:val="24"/>
          <w:highlight w:val="none"/>
          <w:lang w:val="en-US" w:eastAsia="zh-CN" w:bidi="ar-SA"/>
        </w:rPr>
        <w:t xml:space="preserve">人员车辆费用、仪器设备易损易耗品费用、试剂费用、质控措施费用、配件更换费用、集成系统检修费用、第三方防雷检测费用、网络传输费用、设备运转水电费等。</w:t>
      </w:r>
      <w:bookmarkEnd w:id="147"/>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1.1.6在水质自动监测系统运维及管理期间，在合同约束范围内中标供应商拥有管理自主权：不能以任何形式外包合同规定的运行维护任务。</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1.1.7在水质自动监测系统运维及管理期间，中标供应商应严格按照采购人提供的操作规范和规章制度，对所管理的系统及仪器设备进行规范操作和精心维护及维修，保证系统及仪器设备的正常运行，达到采购人提出的系统及仪器设备考核指标要求。中标供应商必须接受采购人或采购人授权单位的定期或不定期检查和考核。</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1.1.8不论何时，中标供应商都应承担监测数据的保密责任；中标供应商按照采购人的要求，进行报告和传输有关的监测数据，均不得以任何方式和渠道向外界传递任何监测数据。</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1.1.9不论何时，中标供应商无权将采购人的任何资产进行对外投资、合作、经济担保及资产抵押。</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▲1.1.10供应商应提供完整的水质自动监测运维人员管理方案，提供稳定运维人员队伍的措施。</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1.1.11现场传输网络为专用网络电路，</w:t>
      </w:r>
      <w:r>
        <w:rPr>
          <w:rFonts w:hint="eastAsia" w:ascii="宋体" w:hAnsi="宋体" w:eastAsia="宋体" w:cs="Arial"/>
          <w:color w:val="auto"/>
          <w:sz w:val="24"/>
          <w:szCs w:val="24"/>
          <w:highlight w:val="none"/>
          <w:lang w:val="en-US" w:eastAsia="zh-CN" w:bidi="ar-SA"/>
        </w:rPr>
        <w:t xml:space="preserve">满足数据传输要求及视频远程查看要求，传输带宽不小于10兆</w:t>
      </w:r>
      <w:r>
        <w:rPr>
          <w:rFonts w:hint="eastAsia" w:ascii="宋体" w:hAnsi="宋体" w:eastAsia="宋体" w:cs="宋体"/>
          <w:color w:val="auto"/>
          <w:sz w:val="24"/>
          <w:szCs w:val="24"/>
          <w:highlight w:val="none"/>
          <w:lang w:val="en-US" w:eastAsia="zh-CN" w:bidi="ar-SA"/>
        </w:rPr>
        <w:t xml:space="preserve">。</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1.1.12供应商需安排人员配合招标方完成盲样考核、第四方质控单位工作等现场检查工作。</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1.2对供应商装备的要求：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1.2.1供应商应具有水质自动系统常规参数（如氨氮，五参数等）的国际知名品牌的实验室分析仪器和便携式仪器，并在需要时用于水质自动站的比对考核；供应商必须自有或委托通过计量认证的实验室，满足试剂配制、标样考核（中标供应商自控）及比对分析技术要求</w:t>
      </w:r>
      <w:r>
        <w:rPr>
          <w:rFonts w:hint="eastAsia" w:ascii="宋体" w:hAnsi="宋体" w:eastAsia="宋体" w:cs="宋体"/>
          <w:b/>
          <w:bCs/>
          <w:color w:val="auto"/>
          <w:sz w:val="24"/>
          <w:szCs w:val="24"/>
          <w:highlight w:val="none"/>
          <w:lang w:val="en-US" w:eastAsia="zh-CN" w:bidi="ar-SA"/>
        </w:rPr>
        <w:t xml:space="preserve">（投标时均需提供证明材料）</w:t>
      </w:r>
      <w:r>
        <w:rPr>
          <w:rFonts w:hint="eastAsia" w:ascii="宋体" w:hAnsi="宋体" w:eastAsia="宋体" w:cs="宋体"/>
          <w:color w:val="auto"/>
          <w:sz w:val="24"/>
          <w:szCs w:val="24"/>
          <w:highlight w:val="none"/>
          <w:lang w:val="en-US" w:eastAsia="zh-CN" w:bidi="ar-SA"/>
        </w:rPr>
        <w:t xml:space="preserve">。</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1.2.2供应商应在中标后在无锡市配备专业人员，巡检人员必须配备专用工具，包括便携式电脑、万用表、远程数据查询系统等；同时，还须配备通讯调试工具，包括各种硬件接口线、改线工具、接口调试软件及常用零部件等。</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供应商在中标后为实施本项目，人员和交通工具的配置要求：需保障至少4个专业技术人员、1个驻场人员与2辆运维保障车辆，同时对特殊情况（人员临时变动，车辆使用冲突等情况）需制定相应的保障措施（每年不定期将对上述保障项目进行随机抽检）。</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2、对中标供应商运维管理要求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2.2.1</w:t>
      </w:r>
      <w:bookmarkStart w:id="148" w:name="_Hlk133243936"/>
      <w:r>
        <w:rPr>
          <w:rFonts w:hint="eastAsia" w:ascii="宋体" w:hAnsi="宋体" w:eastAsia="宋体" w:cs="宋体"/>
          <w:color w:val="auto"/>
          <w:sz w:val="24"/>
          <w:szCs w:val="24"/>
          <w:highlight w:val="none"/>
          <w:lang w:val="en-US" w:eastAsia="zh-CN" w:bidi="ar-SA"/>
        </w:rPr>
        <w:t xml:space="preserve">市建水质自动监测站（固定站）</w:t>
      </w:r>
      <w:bookmarkEnd w:id="148"/>
      <w:r>
        <w:rPr>
          <w:rFonts w:hint="eastAsia" w:ascii="宋体" w:hAnsi="宋体" w:eastAsia="宋体" w:cs="宋体"/>
          <w:color w:val="auto"/>
          <w:sz w:val="24"/>
          <w:szCs w:val="24"/>
          <w:highlight w:val="none"/>
          <w:lang w:val="en-US" w:eastAsia="zh-CN" w:bidi="ar-SA"/>
        </w:rPr>
        <w:t xml:space="preserve">运维与质控必须按照《国家地表水水质自动监测站运行维护管理实施细则（试行）》与《地表水水质自动监测站运行维护技术要求（试行）》进行。</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▲2.2.2运维期内必须对氨氮电极、pH电极、溶解氧电极、高锰酸盐指数仪器（电极法）电极按照采购人指定时间进行一次更换，</w:t>
      </w:r>
      <w:bookmarkStart w:id="149" w:name="_Hlk140828171"/>
      <w:r>
        <w:rPr>
          <w:rFonts w:hint="eastAsia" w:ascii="宋体" w:hAnsi="宋体" w:eastAsia="宋体" w:cs="宋体"/>
          <w:color w:val="auto"/>
          <w:sz w:val="24"/>
          <w:szCs w:val="24"/>
          <w:highlight w:val="none"/>
          <w:lang w:val="en-US" w:eastAsia="zh-CN" w:bidi="ar-SA"/>
        </w:rPr>
        <w:t xml:space="preserve">提前一个月通知（如遇电极损坏等情况，需及时更换）；</w:t>
      </w:r>
      <w:bookmarkEnd w:id="149"/>
      <w:r>
        <w:rPr>
          <w:rFonts w:hint="eastAsia" w:ascii="宋体" w:hAnsi="宋体" w:eastAsia="宋体" w:cs="宋体"/>
          <w:color w:val="auto"/>
          <w:sz w:val="24"/>
          <w:szCs w:val="24"/>
          <w:highlight w:val="none"/>
          <w:lang w:val="en-US" w:eastAsia="zh-CN" w:bidi="ar-SA"/>
        </w:rPr>
        <w:t xml:space="preserve">提供仪器厂家备品备件与耗材更换周期要求，按期更换，备品备件及耗材必须单独报价并附有详细清单。水站仪表所需的校准液、缓冲液等试剂必须在受控实验室配制并定期更换。</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▲2.2.3须针对水站系统和仪表制定每年保养检修计划并按期进行。保养检修须包括系统的全面清洗和检修、仪器管路清洗、主要备件的更换、仪器的性能测试检查等内容。</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▲2.2.4按照《无锡市地表水水质自动监测站运行管理办法（试行）》等文件要求，及时排除水站系统和仪表出现的故障（由于地震、洪水和战争等不可预防和不可抗拒因素造成的自动站系统及仪器损坏除外）。</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2.2.5对水站仪表按相应的运维要求进行定期校准、核查、比对、性能测试等自控工作。</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2.2.6配合采购人进行水站外部质量保证和质量控制工作。</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2.2.7</w:t>
      </w:r>
      <w:bookmarkStart w:id="150" w:name="_Hlk140828297"/>
      <w:r>
        <w:rPr>
          <w:rFonts w:hint="eastAsia" w:ascii="宋体" w:hAnsi="宋体" w:eastAsia="宋体" w:cs="宋体"/>
          <w:color w:val="auto"/>
          <w:sz w:val="24"/>
          <w:szCs w:val="24"/>
          <w:highlight w:val="none"/>
          <w:lang w:val="en-US" w:eastAsia="zh-CN" w:bidi="ar-SA"/>
        </w:rPr>
        <w:t xml:space="preserve">中标方随时配合采购人的第三方质控工作，接受采购人的工作考核及质控考核。</w:t>
      </w:r>
      <w:bookmarkEnd w:id="150"/>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2.2.8负责站房、栈桥的维修，防雷设施的维护工作。站房每年进行一次全面修缮，保证墙面整洁、站房安全；栈桥及取水设施每两年进行一次修缮，确保水样取水的代表性；防雷设施每年进行一次检测，并提供检测报告（有资质单位提供）；流量计每年进行一次率定，并提供率定报告（有资质单位提供）。</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2.2.9保证站房内外清洁，整齐。</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2.2.10认真、及时做好维护记录，汇总各水站维护记录等资料，每月以书面运维报告的形式报采购人，书面报告作为运行维护考核依据之一，具体内容包含但不限于：</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（1）固定站日常运行数据报表统计；</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（2）固定站现场维护情况；</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（3）固定站仪器设备故障及排除情况登记表；</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（4）固定站每月运行情况；</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（5）固定站备品备件管理登记表。</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在运行维护及管理期间，中标供应商必须遵守国家的有关法律法规及其他规定，本着为采购人负责的精神，依照规范，科学管理，使各监测监控系统运行达到国家及行业颁布的技术标准和采购人要求的考核指标要求；使水质自动监测系统运行真正发挥其效能和作用。</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水、电、通讯及财产保护：站点运行期间所需的房租、水费、电费、通讯费均由中标方负责，站点数据必须接入市级数据平台；委托运行维护及管理的全部资产（包括全部产权和建筑物、设备、软件、配套设施、水质自动站和配套监控系统产生的各类数据信息及相关文档资料）属采购人所有。未经采购人同意，中标供应商不得以任何方式对各类财产进行出售、抵押或转移；同时，在委托运行及管理期间，中标供应商有责任保证上述全部资产的完整、安全并处于良好状态。</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2.5协助采购人做好水站固定资产的管理、备品备件的登记等工作。</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2.6积极组织参加各类技术培训班，加强业务学习，不断提高业务能力和水平。</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2.7按照《无锡市地表水水质自动监测站运行管理办法（试行）》及其实施细则要求对浮标站进行运维管理。</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2.8专人负责日常数据监控和管理工作。</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2.9对仪器设备的具体运维要求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水质自动站要严格按照“日监视，周巡检核查、月考核比对”的要求，开展日常运维和质控工作（具体见下表）。</w:t>
      </w:r>
      <w:r/>
    </w:p>
    <w:p>
      <w:pPr>
        <w:ind w:firstLine="482"/>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固定站每周工作内容</w:t>
      </w:r>
      <w:r/>
    </w:p>
    <w:tbl>
      <w:tblPr>
        <w:tblStyle w:val="736"/>
        <w:tblW w:w="889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665"/>
        <w:gridCol w:w="1225"/>
        <w:gridCol w:w="1653"/>
        <w:gridCol w:w="5355"/>
      </w:tblGrid>
      <w:tr>
        <w:trPr>
          <w:jc w:val="center"/>
          <w:trHeight w:val="743"/>
        </w:trPr>
        <w:tc>
          <w:tcPr>
            <w:tcW w:w="665"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1225"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维护内容</w:t>
            </w:r>
            <w:r/>
          </w:p>
        </w:tc>
        <w:tc>
          <w:tcPr>
            <w:tcW w:w="1653"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维护周期及目标</w:t>
            </w:r>
            <w:r/>
          </w:p>
        </w:tc>
        <w:tc>
          <w:tcPr>
            <w:tcW w:w="5355"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维护要求</w:t>
            </w:r>
            <w:r/>
          </w:p>
        </w:tc>
      </w:tr>
      <w:tr>
        <w:trPr>
          <w:jc w:val="center"/>
          <w:trHeight w:val="743"/>
        </w:trPr>
        <w:tc>
          <w:tcPr>
            <w:tcW w:w="66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122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通讯检查</w:t>
            </w:r>
            <w:r/>
          </w:p>
        </w:tc>
        <w:tc>
          <w:tcPr>
            <w:tcW w:w="1653"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1次/周，确保控制和数据上传通道畅通</w:t>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确保工控机各个串口和PLC、数采仪、分析仪器连接一一对应正确且牢固。</w:t>
            </w:r>
            <w:r/>
          </w:p>
        </w:tc>
      </w:tr>
      <w:tr>
        <w:trPr>
          <w:jc w:val="center"/>
          <w:trHeight w:val="743"/>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通过现场监控软件测试工控与PLC及各个仪器之间是否连接正确。</w:t>
            </w:r>
            <w:r/>
          </w:p>
        </w:tc>
      </w:tr>
      <w:tr>
        <w:trPr>
          <w:jc w:val="center"/>
          <w:trHeight w:val="379"/>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VPN网络设备检查，保证通讯畅通</w:t>
            </w:r>
            <w:r/>
          </w:p>
        </w:tc>
      </w:tr>
      <w:tr>
        <w:trPr>
          <w:jc w:val="center"/>
          <w:trHeight w:val="379"/>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视频监控设备检查，监控视角位置</w:t>
            </w:r>
            <w:r/>
          </w:p>
        </w:tc>
      </w:tr>
      <w:tr>
        <w:trPr>
          <w:jc w:val="center"/>
          <w:trHeight w:val="743"/>
        </w:trPr>
        <w:tc>
          <w:tcPr>
            <w:tcW w:w="66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122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PLC检查</w:t>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检查PLC状态数据传输和报警灯，确保无数据传输和报警。</w:t>
            </w:r>
            <w:r/>
          </w:p>
        </w:tc>
      </w:tr>
      <w:tr>
        <w:trPr>
          <w:jc w:val="center"/>
          <w:trHeight w:val="379"/>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确保取水过程中PLC上各个点输入输出状态正确。</w:t>
            </w:r>
            <w:r/>
          </w:p>
        </w:tc>
      </w:tr>
      <w:tr>
        <w:trPr>
          <w:jc w:val="center"/>
          <w:trHeight w:val="743"/>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测量并确保PLC时钟电池电压正常。必要的情况更换电池。</w:t>
            </w:r>
            <w:r/>
          </w:p>
        </w:tc>
      </w:tr>
      <w:tr>
        <w:trPr>
          <w:jc w:val="center"/>
          <w:trHeight w:val="379"/>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确保PLC串口模块连接牢固。</w:t>
            </w:r>
            <w:r/>
          </w:p>
        </w:tc>
      </w:tr>
      <w:tr>
        <w:trPr>
          <w:jc w:val="center"/>
          <w:trHeight w:val="743"/>
        </w:trPr>
        <w:tc>
          <w:tcPr>
            <w:tcW w:w="66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12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面板开关检查</w:t>
            </w:r>
            <w:r/>
          </w:p>
        </w:tc>
        <w:tc>
          <w:tcPr>
            <w:tcW w:w="1653"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1次/周，确保各开关功能正常</w:t>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检查控制柜前面板开关和指示灯确保其工作正常。</w:t>
            </w:r>
            <w:r/>
          </w:p>
        </w:tc>
      </w:tr>
      <w:tr>
        <w:trPr>
          <w:jc w:val="center"/>
          <w:trHeight w:val="743"/>
        </w:trPr>
        <w:tc>
          <w:tcPr>
            <w:tcW w:w="66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12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配电板清扫</w:t>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清扫配电板上各个元件上的灰尘等。</w:t>
            </w:r>
            <w:r/>
          </w:p>
        </w:tc>
      </w:tr>
      <w:tr>
        <w:trPr>
          <w:jc w:val="center"/>
          <w:trHeight w:val="743"/>
        </w:trPr>
        <w:tc>
          <w:tcPr>
            <w:tcW w:w="66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12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配电板状态检查</w:t>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检查确保配电板上各个接线接头不松动，并清除锈蚀接头。确保各个接触器和继电器工作正常。</w:t>
            </w:r>
            <w:r/>
          </w:p>
        </w:tc>
      </w:tr>
      <w:tr>
        <w:trPr>
          <w:jc w:val="center"/>
          <w:trHeight w:val="743"/>
        </w:trPr>
        <w:tc>
          <w:tcPr>
            <w:tcW w:w="66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12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接地检查</w:t>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确保各个机柜和用电器接地良好，尤其注意防雷保护器接地。</w:t>
            </w:r>
            <w:r/>
          </w:p>
        </w:tc>
      </w:tr>
      <w:tr>
        <w:trPr>
          <w:jc w:val="center"/>
          <w:trHeight w:val="379"/>
        </w:trPr>
        <w:tc>
          <w:tcPr>
            <w:tcW w:w="66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122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稳压电源清扫</w:t>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断电情况下清扫稳压电源内的灰尘。</w:t>
            </w:r>
            <w:r/>
          </w:p>
        </w:tc>
      </w:tr>
      <w:tr>
        <w:trPr>
          <w:jc w:val="center"/>
          <w:trHeight w:val="379"/>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检查碳刷是否正常，磨损较多情况必须更换。</w:t>
            </w:r>
            <w:r/>
          </w:p>
        </w:tc>
      </w:tr>
      <w:tr>
        <w:trPr>
          <w:jc w:val="center"/>
          <w:trHeight w:val="379"/>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上电测试，确保稳压源工作正常。</w:t>
            </w:r>
            <w:r/>
          </w:p>
        </w:tc>
      </w:tr>
      <w:tr>
        <w:trPr>
          <w:jc w:val="center"/>
          <w:trHeight w:val="379"/>
        </w:trPr>
        <w:tc>
          <w:tcPr>
            <w:tcW w:w="66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122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UPS检查清扫</w:t>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断电情况下清扫UPS各个散热孔上的灰尘。</w:t>
            </w:r>
            <w:r/>
          </w:p>
        </w:tc>
      </w:tr>
      <w:tr>
        <w:trPr>
          <w:jc w:val="center"/>
          <w:trHeight w:val="379"/>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检查确保UPS充放电正常。</w:t>
            </w:r>
            <w:r/>
          </w:p>
        </w:tc>
      </w:tr>
      <w:tr>
        <w:trPr>
          <w:jc w:val="center"/>
          <w:trHeight w:val="379"/>
        </w:trPr>
        <w:tc>
          <w:tcPr>
            <w:tcW w:w="66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W w:w="122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UPS电池箱清扫</w:t>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做好绝缘措施情况下清扫UPS电池箱内的灰尘。</w:t>
            </w:r>
            <w:r/>
          </w:p>
        </w:tc>
      </w:tr>
      <w:tr>
        <w:trPr>
          <w:jc w:val="center"/>
          <w:trHeight w:val="379"/>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确保箱内各个电池连线接触良好牢固。</w:t>
            </w:r>
            <w:r/>
          </w:p>
        </w:tc>
      </w:tr>
      <w:tr>
        <w:trPr>
          <w:jc w:val="center"/>
          <w:trHeight w:val="379"/>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确保各个电池无漏液，外观正常。</w:t>
            </w:r>
            <w:r/>
          </w:p>
        </w:tc>
      </w:tr>
      <w:tr>
        <w:trPr>
          <w:jc w:val="center"/>
          <w:trHeight w:val="379"/>
        </w:trPr>
        <w:tc>
          <w:tcPr>
            <w:tcW w:w="66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122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机柜台面清扫及检查</w:t>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检查机柜台面及玻璃是否清洁</w:t>
            </w:r>
            <w:r/>
          </w:p>
        </w:tc>
      </w:tr>
      <w:tr>
        <w:trPr>
          <w:jc w:val="center"/>
          <w:trHeight w:val="728"/>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检查机柜各门是否关闭完好</w:t>
            </w:r>
            <w:r/>
          </w:p>
        </w:tc>
      </w:tr>
      <w:tr>
        <w:trPr>
          <w:jc w:val="center"/>
          <w:trHeight w:val="379"/>
        </w:trPr>
        <w:tc>
          <w:tcPr>
            <w:tcW w:w="66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tcW w:w="122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实验区清扫</w:t>
            </w:r>
            <w:r/>
          </w:p>
        </w:tc>
        <w:tc>
          <w:tcPr>
            <w:tcW w:w="1653"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1次/周，确保室内整齐清洁</w:t>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1）保持实验区台面清洁</w:t>
            </w:r>
            <w:r/>
          </w:p>
        </w:tc>
      </w:tr>
      <w:tr>
        <w:trPr>
          <w:jc w:val="center"/>
          <w:trHeight w:val="379"/>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2）保持仪器设备摆放整洁</w:t>
            </w:r>
            <w:r/>
          </w:p>
        </w:tc>
      </w:tr>
      <w:tr>
        <w:trPr>
          <w:jc w:val="center"/>
          <w:trHeight w:val="379"/>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3）按要求存储试剂</w:t>
            </w:r>
            <w:r/>
          </w:p>
        </w:tc>
      </w:tr>
      <w:tr>
        <w:trPr>
          <w:jc w:val="center"/>
          <w:trHeight w:val="379"/>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4）按要求处置废液</w:t>
            </w:r>
            <w:r/>
          </w:p>
        </w:tc>
      </w:tr>
      <w:tr>
        <w:trPr>
          <w:jc w:val="center"/>
          <w:trHeight w:val="379"/>
        </w:trPr>
        <w:tc>
          <w:tcPr>
            <w:tcW w:w="66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tcW w:w="122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高锰酸盐指数分析仪维护</w:t>
            </w:r>
            <w:r/>
          </w:p>
        </w:tc>
        <w:tc>
          <w:tcPr>
            <w:tcW w:w="1653"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1次/周，确保监测仪器所需试剂充足，管路、阀门处于正常状态，仪器电极无沾污，运行稳定，比对数据合格</w:t>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1）检查数据传输和报警模块是否正常。</w:t>
            </w:r>
            <w:r/>
          </w:p>
        </w:tc>
      </w:tr>
      <w:tr>
        <w:trPr>
          <w:jc w:val="center"/>
          <w:trHeight w:val="379"/>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2）确保冷却水供应正常。</w:t>
            </w:r>
            <w:r/>
          </w:p>
        </w:tc>
      </w:tr>
      <w:tr>
        <w:trPr>
          <w:jc w:val="center"/>
          <w:trHeight w:val="379"/>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3）清除反应池内污染物，疏通管道。</w:t>
            </w:r>
            <w:r/>
          </w:p>
        </w:tc>
      </w:tr>
      <w:tr>
        <w:trPr>
          <w:jc w:val="center"/>
          <w:trHeight w:val="379"/>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4）确保各个阀门正常。</w:t>
            </w:r>
            <w:r/>
          </w:p>
        </w:tc>
      </w:tr>
      <w:tr>
        <w:trPr>
          <w:jc w:val="center"/>
          <w:trHeight w:val="379"/>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5）检查并更换老化的试剂管。</w:t>
            </w:r>
            <w:r/>
          </w:p>
        </w:tc>
      </w:tr>
      <w:tr>
        <w:trPr>
          <w:jc w:val="center"/>
          <w:trHeight w:val="379"/>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6）添加参比电极电解液。</w:t>
            </w:r>
            <w:r/>
          </w:p>
        </w:tc>
      </w:tr>
      <w:tr>
        <w:trPr>
          <w:jc w:val="center"/>
          <w:trHeight w:val="379"/>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7）清除ORP电极上污垢。</w:t>
            </w:r>
            <w:r/>
          </w:p>
        </w:tc>
      </w:tr>
      <w:tr>
        <w:trPr>
          <w:jc w:val="center"/>
          <w:trHeight w:val="379"/>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8）检查并更换老化的ORP电极。</w:t>
            </w:r>
            <w:r/>
          </w:p>
        </w:tc>
      </w:tr>
      <w:tr>
        <w:trPr>
          <w:jc w:val="center"/>
          <w:trHeight w:val="743"/>
        </w:trPr>
        <w:tc>
          <w:tcPr>
            <w:tcW w:w="66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w:t>
            </w:r>
            <w:r/>
          </w:p>
        </w:tc>
        <w:tc>
          <w:tcPr>
            <w:tcW w:w="122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氨氮分析仪维护</w:t>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1）检查氨氮分析仪加热模块是否正常，是否维持在40℃。</w:t>
            </w:r>
            <w:r/>
          </w:p>
        </w:tc>
      </w:tr>
      <w:tr>
        <w:trPr>
          <w:jc w:val="center"/>
          <w:trHeight w:val="379"/>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2）检查气敏膜，添加电解液。</w:t>
            </w:r>
            <w:r/>
          </w:p>
        </w:tc>
      </w:tr>
      <w:tr>
        <w:trPr>
          <w:jc w:val="center"/>
          <w:trHeight w:val="379"/>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3）检查并更换老化的氨氮管路系统。</w:t>
            </w:r>
            <w:r/>
          </w:p>
        </w:tc>
      </w:tr>
      <w:tr>
        <w:trPr>
          <w:jc w:val="center"/>
          <w:trHeight w:val="379"/>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4）检查并更换老化的氨氮蠕动泵管。</w:t>
            </w:r>
            <w:r/>
          </w:p>
        </w:tc>
      </w:tr>
      <w:tr>
        <w:trPr>
          <w:jc w:val="center"/>
          <w:trHeight w:val="379"/>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5）检查并更换老化的加热迂回管路。</w:t>
            </w:r>
            <w:r/>
          </w:p>
        </w:tc>
      </w:tr>
      <w:tr>
        <w:trPr>
          <w:jc w:val="center"/>
          <w:trHeight w:val="379"/>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6）检查并更换老化的电极</w:t>
            </w:r>
            <w:r/>
          </w:p>
        </w:tc>
      </w:tr>
      <w:tr>
        <w:trPr>
          <w:jc w:val="center"/>
          <w:trHeight w:val="379"/>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7）修正液位压力传感器参数。</w:t>
            </w:r>
            <w:r/>
          </w:p>
        </w:tc>
      </w:tr>
      <w:tr>
        <w:trPr>
          <w:jc w:val="center"/>
          <w:trHeight w:val="379"/>
        </w:trPr>
        <w:tc>
          <w:tcPr>
            <w:tcW w:w="66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w:t>
            </w:r>
            <w:r/>
          </w:p>
        </w:tc>
        <w:tc>
          <w:tcPr>
            <w:tcW w:w="122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总磷总氮分析仪维护</w:t>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1）检查数据传输和报警模块是否正常。</w:t>
            </w:r>
            <w:r/>
          </w:p>
        </w:tc>
      </w:tr>
      <w:tr>
        <w:trPr>
          <w:jc w:val="center"/>
          <w:trHeight w:val="379"/>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2）更换试剂。</w:t>
            </w:r>
            <w:r/>
          </w:p>
        </w:tc>
      </w:tr>
      <w:tr>
        <w:trPr>
          <w:jc w:val="center"/>
          <w:trHeight w:val="379"/>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3）确保冷却水供应正常。</w:t>
            </w:r>
            <w:r/>
          </w:p>
        </w:tc>
      </w:tr>
      <w:tr>
        <w:trPr>
          <w:jc w:val="center"/>
          <w:trHeight w:val="379"/>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4）按要求定期更换耗品耗材。</w:t>
            </w:r>
            <w:r/>
          </w:p>
        </w:tc>
      </w:tr>
      <w:tr>
        <w:trPr>
          <w:jc w:val="center"/>
          <w:trHeight w:val="379"/>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5）确保各个阀正常。</w:t>
            </w:r>
            <w:r/>
          </w:p>
        </w:tc>
      </w:tr>
      <w:tr>
        <w:trPr>
          <w:jc w:val="center"/>
          <w:trHeight w:val="379"/>
        </w:trPr>
        <w:tc>
          <w:tcPr>
            <w:tcW w:w="66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w:t>
            </w:r>
            <w:r/>
          </w:p>
        </w:tc>
        <w:tc>
          <w:tcPr>
            <w:tcW w:w="122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五参数分析仪</w:t>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1）检查数据传输和报警模块是否正常。</w:t>
            </w:r>
            <w:r/>
          </w:p>
        </w:tc>
      </w:tr>
      <w:tr>
        <w:trPr>
          <w:jc w:val="center"/>
          <w:trHeight w:val="379"/>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2）检查电极是否被泥沙和藻类沾污。</w:t>
            </w:r>
            <w:r/>
          </w:p>
        </w:tc>
      </w:tr>
      <w:tr>
        <w:trPr>
          <w:jc w:val="center"/>
          <w:trHeight w:val="379"/>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3）清洗电极更换电极液。</w:t>
            </w:r>
            <w:r/>
          </w:p>
        </w:tc>
      </w:tr>
      <w:tr>
        <w:trPr>
          <w:jc w:val="center"/>
          <w:trHeight w:val="379"/>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4）检查并更换老化的电极</w:t>
            </w:r>
            <w:r/>
          </w:p>
        </w:tc>
      </w:tr>
      <w:tr>
        <w:trPr>
          <w:jc w:val="center"/>
          <w:trHeight w:val="379"/>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5）确保清洗水供应正常。</w:t>
            </w:r>
            <w:r/>
          </w:p>
        </w:tc>
      </w:tr>
      <w:tr>
        <w:trPr>
          <w:jc w:val="center"/>
          <w:trHeight w:val="379"/>
        </w:trPr>
        <w:tc>
          <w:tcPr>
            <w:tcW w:w="66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w:t>
            </w:r>
            <w:r/>
          </w:p>
        </w:tc>
        <w:tc>
          <w:tcPr>
            <w:tcW w:w="122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叶绿素a分析仪</w:t>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1）检查数据传输和报警模块是否正常。</w:t>
            </w:r>
            <w:r/>
          </w:p>
        </w:tc>
      </w:tr>
      <w:tr>
        <w:trPr>
          <w:jc w:val="center"/>
          <w:trHeight w:val="379"/>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2）检查电极是否被泥沙和藻类沾污。</w:t>
            </w:r>
            <w:r/>
          </w:p>
        </w:tc>
      </w:tr>
      <w:tr>
        <w:trPr>
          <w:jc w:val="center"/>
          <w:trHeight w:val="379"/>
        </w:trPr>
        <w:tc>
          <w:tcPr>
            <w:tcW w:w="66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3）清洗电极。</w:t>
            </w:r>
            <w:r/>
          </w:p>
        </w:tc>
      </w:tr>
      <w:tr>
        <w:trPr>
          <w:jc w:val="center"/>
          <w:trHeight w:val="395"/>
        </w:trPr>
        <w:tc>
          <w:tcPr>
            <w:tcW w:w="66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w:t>
            </w:r>
            <w:r/>
          </w:p>
        </w:tc>
        <w:tc>
          <w:tcPr>
            <w:tcW w:w="12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BOD分析仪</w:t>
            </w:r>
            <w:r/>
          </w:p>
        </w:tc>
        <w:tc>
          <w:tcPr>
            <w:tcW w:w="165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35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清洗恒温箱。</w:t>
            </w:r>
            <w:r/>
          </w:p>
        </w:tc>
      </w:tr>
    </w:tbl>
    <w:p>
      <w:pPr>
        <w:ind w:firstLine="480"/>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br w:type="page" w:clear="all"/>
      </w:r>
      <w:r/>
    </w:p>
    <w:p>
      <w:pPr>
        <w:ind w:firstLine="482"/>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固定站每月工作内容</w:t>
      </w:r>
      <w:r/>
    </w:p>
    <w:tbl>
      <w:tblPr>
        <w:tblStyle w:val="736"/>
        <w:tblW w:w="9176" w:type="dxa"/>
        <w:jc w:val="center"/>
        <w:tblLayout w:type="fixed"/>
        <w:tblCellMar>
          <w:left w:w="108" w:type="dxa"/>
          <w:top w:w="0" w:type="dxa"/>
          <w:right w:w="108" w:type="dxa"/>
          <w:bottom w:w="0" w:type="dxa"/>
        </w:tblCellMar>
        <w:tblLook w:val="04A0" w:firstRow="1" w:lastRow="0" w:firstColumn="1" w:lastColumn="0" w:noHBand="0" w:noVBand="1"/>
      </w:tblPr>
      <w:tblGrid>
        <w:gridCol w:w="724"/>
        <w:gridCol w:w="973"/>
        <w:gridCol w:w="2053"/>
        <w:gridCol w:w="5426"/>
      </w:tblGrid>
      <w:tr>
        <w:trPr>
          <w:jc w:val="center"/>
          <w:trHeight w:val="300"/>
        </w:trPr>
        <w:tc>
          <w:tcPr>
            <w:tcBorders>
              <w:top w:val="single" w:color="auto" w:sz="8" w:space="0"/>
              <w:left w:val="single" w:color="auto" w:sz="8" w:space="0"/>
              <w:bottom w:val="single" w:color="auto" w:sz="8" w:space="0"/>
              <w:right w:val="single" w:color="auto" w:sz="8" w:space="0"/>
            </w:tcBorders>
            <w:tcW w:w="724"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Borders>
              <w:top w:val="single" w:color="auto" w:sz="8" w:space="0"/>
              <w:left w:val="none" w:color="000000" w:sz="4" w:space="0"/>
              <w:bottom w:val="single" w:color="auto" w:sz="8" w:space="0"/>
              <w:right w:val="single" w:color="auto" w:sz="8" w:space="0"/>
            </w:tcBorders>
            <w:tcW w:w="973"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维护内容</w:t>
            </w:r>
            <w:r/>
          </w:p>
        </w:tc>
        <w:tc>
          <w:tcPr>
            <w:tcBorders>
              <w:top w:val="single" w:color="auto" w:sz="8" w:space="0"/>
              <w:left w:val="none" w:color="000000" w:sz="4" w:space="0"/>
              <w:bottom w:val="single" w:color="auto" w:sz="8" w:space="0"/>
              <w:right w:val="single" w:color="auto" w:sz="8" w:space="0"/>
            </w:tcBorders>
            <w:tcW w:w="2053"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维护周期及目标</w:t>
            </w:r>
            <w:r/>
          </w:p>
        </w:tc>
        <w:tc>
          <w:tcPr>
            <w:tcBorders>
              <w:top w:val="single" w:color="auto" w:sz="8" w:space="0"/>
              <w:left w:val="none" w:color="000000" w:sz="4" w:space="0"/>
              <w:bottom w:val="single" w:color="auto" w:sz="8" w:space="0"/>
              <w:right w:val="single" w:color="auto" w:sz="8" w:space="0"/>
            </w:tcBorders>
            <w:tcW w:w="5426"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维护要求</w:t>
            </w:r>
            <w:r/>
          </w:p>
        </w:tc>
      </w:tr>
      <w:tr>
        <w:trPr>
          <w:jc w:val="center"/>
          <w:trHeight w:val="1556"/>
        </w:trPr>
        <w:tc>
          <w:tcPr>
            <w:tcBorders>
              <w:top w:val="single" w:color="auto" w:sz="8" w:space="0"/>
              <w:left w:val="single" w:color="auto" w:sz="8" w:space="0"/>
              <w:bottom w:val="single" w:color="auto" w:sz="8" w:space="0"/>
              <w:right w:val="single" w:color="auto" w:sz="8" w:space="0"/>
            </w:tcBorders>
            <w:tcW w:w="72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Borders>
              <w:top w:val="single" w:color="auto" w:sz="8" w:space="0"/>
              <w:left w:val="single" w:color="auto" w:sz="8" w:space="0"/>
              <w:bottom w:val="single" w:color="auto" w:sz="8" w:space="0"/>
              <w:right w:val="single" w:color="auto" w:sz="8" w:space="0"/>
            </w:tcBorders>
            <w:tcW w:w="973"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室外取水管路清洗清淤</w:t>
            </w:r>
            <w:r/>
          </w:p>
        </w:tc>
        <w:tc>
          <w:tcPr>
            <w:tcBorders>
              <w:top w:val="single" w:color="auto" w:sz="8" w:space="0"/>
              <w:left w:val="single" w:color="auto" w:sz="8" w:space="0"/>
              <w:bottom w:val="single" w:color="auto" w:sz="8" w:space="0"/>
              <w:right w:val="single" w:color="auto" w:sz="8" w:space="0"/>
            </w:tcBorders>
            <w:tcW w:w="2053"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1次/月，确保管路无泥沙附着</w:t>
            </w:r>
            <w:r/>
          </w:p>
        </w:tc>
        <w:tc>
          <w:tcPr>
            <w:tcBorders>
              <w:top w:val="single" w:color="auto" w:sz="8" w:space="0"/>
              <w:left w:val="single" w:color="auto" w:sz="8" w:space="0"/>
              <w:bottom w:val="single" w:color="auto" w:sz="8" w:space="0"/>
              <w:right w:val="single" w:color="auto" w:sz="8" w:space="0"/>
            </w:tcBorders>
            <w:tcW w:w="542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将室外取水管路淤泥吹出。至少三次水汽清洗，以便达到良好清淤效果。</w:t>
            </w:r>
            <w:r/>
          </w:p>
        </w:tc>
      </w:tr>
      <w:tr>
        <w:trPr>
          <w:jc w:val="center"/>
          <w:trHeight w:val="285"/>
        </w:trPr>
        <w:tc>
          <w:tcPr>
            <w:tcBorders>
              <w:top w:val="single" w:color="auto" w:sz="8" w:space="0"/>
              <w:left w:val="single" w:color="auto" w:sz="8" w:space="0"/>
              <w:bottom w:val="single" w:color="auto" w:sz="8" w:space="0"/>
              <w:right w:val="single" w:color="auto" w:sz="8" w:space="0"/>
            </w:tcBorders>
            <w:tcW w:w="724"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Borders>
              <w:top w:val="single" w:color="auto" w:sz="8" w:space="0"/>
              <w:left w:val="single" w:color="auto" w:sz="8" w:space="0"/>
              <w:bottom w:val="single" w:color="auto" w:sz="8" w:space="0"/>
              <w:right w:val="single" w:color="auto" w:sz="8" w:space="0"/>
            </w:tcBorders>
            <w:tcW w:w="973" w:type="dxa"/>
            <w:vAlign w:val="center"/>
            <w:vMerge w:val="restart"/>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室内管路清洗</w:t>
            </w:r>
            <w:r/>
          </w:p>
        </w:tc>
        <w:tc>
          <w:tcPr>
            <w:tcBorders>
              <w:top w:val="single" w:color="auto" w:sz="8" w:space="0"/>
              <w:left w:val="single" w:color="auto" w:sz="8" w:space="0"/>
              <w:bottom w:val="single" w:color="auto" w:sz="8" w:space="0"/>
              <w:right w:val="single" w:color="auto" w:sz="8" w:space="0"/>
            </w:tcBorders>
            <w:tcW w:w="2053" w:type="dxa"/>
            <w:vAlign w:val="center"/>
            <w:vMerge w:val="restart"/>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2次/月，确保管路透明，无泥沙藻类附着</w:t>
            </w:r>
            <w:r/>
          </w:p>
        </w:tc>
        <w:tc>
          <w:tcPr>
            <w:tcBorders>
              <w:top w:val="single" w:color="auto" w:sz="8" w:space="0"/>
              <w:left w:val="single" w:color="auto" w:sz="8" w:space="0"/>
              <w:bottom w:val="single" w:color="auto" w:sz="8" w:space="0"/>
              <w:right w:val="single" w:color="auto" w:sz="8" w:space="0"/>
            </w:tcBorders>
            <w:tcW w:w="542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手动拆卸阀门、弯头、过滤网和样水杯等部件，用试管刷清洗，清洗后原样装回。</w:t>
            </w:r>
            <w:r/>
          </w:p>
        </w:tc>
      </w:tr>
      <w:tr>
        <w:trPr>
          <w:jc w:val="center"/>
          <w:trHeight w:val="300"/>
        </w:trPr>
        <w:tc>
          <w:tcPr>
            <w:tcBorders>
              <w:top w:val="single" w:color="auto" w:sz="8" w:space="0"/>
              <w:left w:val="single" w:color="auto" w:sz="8" w:space="0"/>
              <w:bottom w:val="single" w:color="auto" w:sz="8" w:space="0"/>
              <w:right w:val="single" w:color="auto" w:sz="8" w:space="0"/>
            </w:tcBorders>
            <w:tcW w:w="724"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973" w:type="dxa"/>
            <w:vAlign w:val="center"/>
            <w:vMerge w:val="continue"/>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2053" w:type="dxa"/>
            <w:vAlign w:val="center"/>
            <w:vMerge w:val="continue"/>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542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检查蠕动泵进水塑胶软管脏污情况，必要的情况更换。</w:t>
            </w:r>
            <w:r/>
          </w:p>
        </w:tc>
      </w:tr>
      <w:tr>
        <w:trPr>
          <w:jc w:val="center"/>
          <w:trHeight w:val="315"/>
        </w:trPr>
        <w:tc>
          <w:tcPr>
            <w:tcBorders>
              <w:top w:val="single" w:color="auto" w:sz="8" w:space="0"/>
              <w:left w:val="single" w:color="auto" w:sz="8" w:space="0"/>
              <w:bottom w:val="single" w:color="auto" w:sz="8" w:space="0"/>
              <w:right w:val="single" w:color="auto" w:sz="8" w:space="0"/>
            </w:tcBorders>
            <w:tcW w:w="724"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Borders>
              <w:top w:val="single" w:color="auto" w:sz="8" w:space="0"/>
              <w:left w:val="single" w:color="auto" w:sz="8" w:space="0"/>
              <w:bottom w:val="single" w:color="auto" w:sz="8" w:space="0"/>
              <w:right w:val="single" w:color="auto" w:sz="8" w:space="0"/>
            </w:tcBorders>
            <w:tcW w:w="973" w:type="dxa"/>
            <w:vAlign w:val="center"/>
            <w:vMerge w:val="restart"/>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清洗液位计</w:t>
            </w:r>
            <w:r/>
          </w:p>
        </w:tc>
        <w:tc>
          <w:tcPr>
            <w:tcBorders>
              <w:top w:val="single" w:color="auto" w:sz="8" w:space="0"/>
              <w:left w:val="single" w:color="auto" w:sz="8" w:space="0"/>
              <w:bottom w:val="single" w:color="auto" w:sz="8" w:space="0"/>
              <w:right w:val="single" w:color="auto" w:sz="8" w:space="0"/>
            </w:tcBorders>
            <w:tcW w:w="2053" w:type="dxa"/>
            <w:vAlign w:val="center"/>
            <w:vMerge w:val="restart"/>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1次/月，确保液位计工作正常</w:t>
            </w:r>
            <w:r/>
          </w:p>
        </w:tc>
        <w:tc>
          <w:tcPr>
            <w:tcBorders>
              <w:top w:val="single" w:color="auto" w:sz="8" w:space="0"/>
              <w:left w:val="single" w:color="auto" w:sz="8" w:space="0"/>
              <w:bottom w:val="single" w:color="auto" w:sz="8" w:space="0"/>
              <w:right w:val="single" w:color="auto" w:sz="8" w:space="0"/>
            </w:tcBorders>
            <w:tcW w:w="542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将液位计拆下，用3%盐酸擦洗浮球和导杆，清除表面钙化物和污物。</w:t>
            </w:r>
            <w:r/>
          </w:p>
        </w:tc>
      </w:tr>
      <w:tr>
        <w:trPr>
          <w:jc w:val="center"/>
          <w:trHeight w:val="315"/>
        </w:trPr>
        <w:tc>
          <w:tcPr>
            <w:tcBorders>
              <w:top w:val="single" w:color="auto" w:sz="8" w:space="0"/>
              <w:left w:val="single" w:color="auto" w:sz="8" w:space="0"/>
              <w:bottom w:val="single" w:color="auto" w:sz="8" w:space="0"/>
              <w:right w:val="single" w:color="auto" w:sz="8" w:space="0"/>
            </w:tcBorders>
            <w:tcW w:w="724"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973" w:type="dxa"/>
            <w:vAlign w:val="center"/>
            <w:vMerge w:val="continue"/>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2053" w:type="dxa"/>
            <w:vAlign w:val="center"/>
            <w:vMerge w:val="continue"/>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542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测量浮球导通电阻，导通电阻必须小于20欧姆，且反应灵敏。</w:t>
            </w:r>
            <w:r/>
          </w:p>
        </w:tc>
      </w:tr>
      <w:tr>
        <w:trPr>
          <w:jc w:val="center"/>
          <w:trHeight w:val="285"/>
        </w:trPr>
        <w:tc>
          <w:tcPr>
            <w:tcBorders>
              <w:top w:val="single" w:color="auto" w:sz="8" w:space="0"/>
              <w:left w:val="single" w:color="auto" w:sz="8" w:space="0"/>
              <w:bottom w:val="single" w:color="auto" w:sz="8" w:space="0"/>
              <w:right w:val="single" w:color="auto" w:sz="8" w:space="0"/>
            </w:tcBorders>
            <w:tcW w:w="724"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973" w:type="dxa"/>
            <w:vAlign w:val="center"/>
            <w:vMerge w:val="continue"/>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2053" w:type="dxa"/>
            <w:vAlign w:val="center"/>
            <w:vMerge w:val="continue"/>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542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原样装回液位计。</w:t>
            </w:r>
            <w:r/>
          </w:p>
        </w:tc>
      </w:tr>
      <w:tr>
        <w:trPr>
          <w:jc w:val="center"/>
          <w:trHeight w:val="300"/>
        </w:trPr>
        <w:tc>
          <w:tcPr>
            <w:tcBorders>
              <w:top w:val="single" w:color="auto" w:sz="8" w:space="0"/>
              <w:left w:val="single" w:color="auto" w:sz="8" w:space="0"/>
              <w:bottom w:val="single" w:color="auto" w:sz="8" w:space="0"/>
              <w:right w:val="single" w:color="auto" w:sz="8" w:space="0"/>
            </w:tcBorders>
            <w:tcW w:w="724"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973" w:type="dxa"/>
            <w:vAlign w:val="center"/>
            <w:vMerge w:val="continue"/>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2053" w:type="dxa"/>
            <w:vAlign w:val="center"/>
            <w:vMerge w:val="continue"/>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542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必要的情况更换新液位计。</w:t>
            </w:r>
            <w:r/>
          </w:p>
        </w:tc>
      </w:tr>
      <w:tr>
        <w:trPr>
          <w:jc w:val="center"/>
          <w:trHeight w:val="600"/>
        </w:trPr>
        <w:tc>
          <w:tcPr>
            <w:tcBorders>
              <w:top w:val="single" w:color="auto" w:sz="8" w:space="0"/>
              <w:left w:val="single" w:color="auto" w:sz="8" w:space="0"/>
              <w:bottom w:val="single" w:color="auto" w:sz="8" w:space="0"/>
              <w:right w:val="single" w:color="auto" w:sz="8" w:space="0"/>
            </w:tcBorders>
            <w:tcW w:w="724"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Borders>
              <w:top w:val="single" w:color="auto" w:sz="8" w:space="0"/>
              <w:left w:val="single" w:color="auto" w:sz="8" w:space="0"/>
              <w:bottom w:val="single" w:color="auto" w:sz="8" w:space="0"/>
              <w:right w:val="single" w:color="auto" w:sz="8" w:space="0"/>
            </w:tcBorders>
            <w:tcW w:w="973" w:type="dxa"/>
            <w:vAlign w:val="center"/>
            <w:vMerge w:val="restart"/>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清洗样水杯喷头</w:t>
            </w:r>
            <w:r/>
          </w:p>
        </w:tc>
        <w:tc>
          <w:tcPr>
            <w:tcBorders>
              <w:top w:val="single" w:color="auto" w:sz="8" w:space="0"/>
              <w:left w:val="single" w:color="auto" w:sz="8" w:space="0"/>
              <w:bottom w:val="single" w:color="auto" w:sz="8" w:space="0"/>
              <w:right w:val="single" w:color="auto" w:sz="8" w:space="0"/>
            </w:tcBorders>
            <w:tcW w:w="2053" w:type="dxa"/>
            <w:vAlign w:val="center"/>
            <w:vMerge w:val="restart"/>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1次/月，确保喷头工作正常</w:t>
            </w:r>
            <w:r/>
          </w:p>
        </w:tc>
        <w:tc>
          <w:tcPr>
            <w:tcBorders>
              <w:top w:val="single" w:color="auto" w:sz="8" w:space="0"/>
              <w:left w:val="single" w:color="auto" w:sz="8" w:space="0"/>
              <w:bottom w:val="single" w:color="auto" w:sz="8" w:space="0"/>
              <w:right w:val="single" w:color="auto" w:sz="8" w:space="0"/>
            </w:tcBorders>
            <w:tcW w:w="542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将样水杯清洗喷头拆下，检查是否有锈蚀状况，轻微锈蚀可采用3%稀盐酸浸泡方法清除锈蚀，严重锈蚀状况直接换新。</w:t>
            </w:r>
            <w:r/>
          </w:p>
        </w:tc>
      </w:tr>
      <w:tr>
        <w:trPr>
          <w:jc w:val="center"/>
          <w:trHeight w:val="300"/>
        </w:trPr>
        <w:tc>
          <w:tcPr>
            <w:tcBorders>
              <w:top w:val="single" w:color="auto" w:sz="8" w:space="0"/>
              <w:left w:val="single" w:color="auto" w:sz="8" w:space="0"/>
              <w:bottom w:val="single" w:color="auto" w:sz="8" w:space="0"/>
              <w:right w:val="single" w:color="auto" w:sz="8" w:space="0"/>
            </w:tcBorders>
            <w:tcW w:w="724"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973" w:type="dxa"/>
            <w:vAlign w:val="center"/>
            <w:vMerge w:val="continue"/>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2053" w:type="dxa"/>
            <w:vAlign w:val="center"/>
            <w:vMerge w:val="continue"/>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542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将喷头原样装回后注意调节喷头配水强度。</w:t>
            </w:r>
            <w:r/>
          </w:p>
        </w:tc>
      </w:tr>
      <w:tr>
        <w:trPr>
          <w:jc w:val="center"/>
          <w:trHeight w:val="285"/>
        </w:trPr>
        <w:tc>
          <w:tcPr>
            <w:tcBorders>
              <w:top w:val="single" w:color="auto" w:sz="8" w:space="0"/>
              <w:left w:val="single" w:color="auto" w:sz="8" w:space="0"/>
              <w:bottom w:val="single" w:color="auto" w:sz="8" w:space="0"/>
              <w:right w:val="single" w:color="auto" w:sz="8" w:space="0"/>
            </w:tcBorders>
            <w:tcW w:w="724"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Borders>
              <w:top w:val="single" w:color="auto" w:sz="8" w:space="0"/>
              <w:left w:val="single" w:color="auto" w:sz="8" w:space="0"/>
              <w:bottom w:val="single" w:color="auto" w:sz="8" w:space="0"/>
              <w:right w:val="single" w:color="auto" w:sz="8" w:space="0"/>
            </w:tcBorders>
            <w:tcW w:w="973" w:type="dxa"/>
            <w:vAlign w:val="center"/>
            <w:vMerge w:val="restart"/>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蠕动泵负载检查</w:t>
            </w:r>
            <w:r/>
          </w:p>
        </w:tc>
        <w:tc>
          <w:tcPr>
            <w:tcBorders>
              <w:top w:val="single" w:color="auto" w:sz="8" w:space="0"/>
              <w:left w:val="single" w:color="auto" w:sz="8" w:space="0"/>
              <w:bottom w:val="single" w:color="auto" w:sz="8" w:space="0"/>
              <w:right w:val="single" w:color="auto" w:sz="8" w:space="0"/>
            </w:tcBorders>
            <w:tcW w:w="2053" w:type="dxa"/>
            <w:vAlign w:val="center"/>
            <w:vMerge w:val="restart"/>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1次/月，确保蠕动泵无堵塞和渗漏，计量准确</w:t>
            </w:r>
            <w:r/>
          </w:p>
        </w:tc>
        <w:tc>
          <w:tcPr>
            <w:tcBorders>
              <w:top w:val="single" w:color="auto" w:sz="8" w:space="0"/>
              <w:left w:val="single" w:color="auto" w:sz="8" w:space="0"/>
              <w:bottom w:val="single" w:color="auto" w:sz="8" w:space="0"/>
              <w:right w:val="single" w:color="auto" w:sz="8" w:space="0"/>
            </w:tcBorders>
            <w:tcW w:w="542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按蠕动泵说明书要求，检查输出扭矩。</w:t>
            </w:r>
            <w:r/>
          </w:p>
        </w:tc>
      </w:tr>
      <w:tr>
        <w:trPr>
          <w:jc w:val="center"/>
          <w:trHeight w:val="300"/>
        </w:trPr>
        <w:tc>
          <w:tcPr>
            <w:tcBorders>
              <w:top w:val="single" w:color="auto" w:sz="8" w:space="0"/>
              <w:left w:val="single" w:color="auto" w:sz="8" w:space="0"/>
              <w:bottom w:val="single" w:color="auto" w:sz="8" w:space="0"/>
              <w:right w:val="single" w:color="auto" w:sz="8" w:space="0"/>
            </w:tcBorders>
            <w:tcW w:w="724"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973" w:type="dxa"/>
            <w:vAlign w:val="center"/>
            <w:vMerge w:val="continue"/>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2053" w:type="dxa"/>
            <w:vAlign w:val="center"/>
            <w:vMerge w:val="continue"/>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542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若不符合说明书规定的要求，及时更换泵管</w:t>
            </w:r>
            <w:r/>
          </w:p>
        </w:tc>
      </w:tr>
      <w:tr>
        <w:trPr>
          <w:jc w:val="center"/>
          <w:trHeight w:val="285"/>
        </w:trPr>
        <w:tc>
          <w:tcPr>
            <w:tcBorders>
              <w:top w:val="single" w:color="auto" w:sz="8" w:space="0"/>
              <w:left w:val="single" w:color="auto" w:sz="8" w:space="0"/>
              <w:bottom w:val="single" w:color="auto" w:sz="8" w:space="0"/>
              <w:right w:val="single" w:color="auto" w:sz="8" w:space="0"/>
            </w:tcBorders>
            <w:tcW w:w="724"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Borders>
              <w:top w:val="single" w:color="auto" w:sz="8" w:space="0"/>
              <w:left w:val="single" w:color="auto" w:sz="8" w:space="0"/>
              <w:bottom w:val="single" w:color="auto" w:sz="8" w:space="0"/>
              <w:right w:val="single" w:color="auto" w:sz="8" w:space="0"/>
            </w:tcBorders>
            <w:tcW w:w="973" w:type="dxa"/>
            <w:vAlign w:val="center"/>
            <w:vMerge w:val="restart"/>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液位观察管清洗</w:t>
            </w:r>
            <w:r/>
          </w:p>
        </w:tc>
        <w:tc>
          <w:tcPr>
            <w:tcBorders>
              <w:top w:val="single" w:color="auto" w:sz="8" w:space="0"/>
              <w:left w:val="single" w:color="auto" w:sz="8" w:space="0"/>
              <w:bottom w:val="single" w:color="auto" w:sz="8" w:space="0"/>
              <w:right w:val="single" w:color="auto" w:sz="8" w:space="0"/>
            </w:tcBorders>
            <w:tcW w:w="2053" w:type="dxa"/>
            <w:vAlign w:val="center"/>
            <w:vMerge w:val="restart"/>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1次/月，确保液位观察管清洗透明</w:t>
            </w:r>
            <w:r/>
          </w:p>
        </w:tc>
        <w:tc>
          <w:tcPr>
            <w:tcBorders>
              <w:top w:val="single" w:color="auto" w:sz="8" w:space="0"/>
              <w:left w:val="single" w:color="auto" w:sz="8" w:space="0"/>
              <w:bottom w:val="single" w:color="auto" w:sz="8" w:space="0"/>
              <w:right w:val="single" w:color="auto" w:sz="8" w:space="0"/>
            </w:tcBorders>
            <w:tcW w:w="542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拆下透明管清除脏污，用试管刷清洗干净。</w:t>
            </w:r>
            <w:r/>
          </w:p>
        </w:tc>
      </w:tr>
      <w:tr>
        <w:trPr>
          <w:jc w:val="center"/>
          <w:trHeight w:val="300"/>
        </w:trPr>
        <w:tc>
          <w:tcPr>
            <w:tcBorders>
              <w:top w:val="single" w:color="auto" w:sz="8" w:space="0"/>
              <w:left w:val="single" w:color="auto" w:sz="8" w:space="0"/>
              <w:bottom w:val="single" w:color="auto" w:sz="8" w:space="0"/>
              <w:right w:val="single" w:color="auto" w:sz="8" w:space="0"/>
            </w:tcBorders>
            <w:tcW w:w="724"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973" w:type="dxa"/>
            <w:vAlign w:val="center"/>
            <w:vMerge w:val="continue"/>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2053" w:type="dxa"/>
            <w:vAlign w:val="center"/>
            <w:vMerge w:val="continue"/>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542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拆卸部件原样装回。</w:t>
            </w:r>
            <w:r/>
          </w:p>
        </w:tc>
      </w:tr>
      <w:tr>
        <w:trPr>
          <w:jc w:val="center"/>
          <w:trHeight w:val="300"/>
        </w:trPr>
        <w:tc>
          <w:tcPr>
            <w:tcBorders>
              <w:top w:val="single" w:color="auto" w:sz="8" w:space="0"/>
              <w:left w:val="single" w:color="auto" w:sz="8" w:space="0"/>
              <w:bottom w:val="single" w:color="auto" w:sz="8" w:space="0"/>
              <w:right w:val="single" w:color="auto" w:sz="8" w:space="0"/>
            </w:tcBorders>
            <w:tcW w:w="724"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Borders>
              <w:top w:val="single" w:color="auto" w:sz="8" w:space="0"/>
              <w:left w:val="single" w:color="auto" w:sz="8" w:space="0"/>
              <w:bottom w:val="single" w:color="auto" w:sz="8" w:space="0"/>
              <w:right w:val="single" w:color="auto" w:sz="8" w:space="0"/>
            </w:tcBorders>
            <w:tcW w:w="973" w:type="dxa"/>
            <w:vAlign w:val="center"/>
            <w:vMerge w:val="restart"/>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取水系统综合测试</w:t>
            </w:r>
            <w:r/>
          </w:p>
        </w:tc>
        <w:tc>
          <w:tcPr>
            <w:tcBorders>
              <w:top w:val="single" w:color="auto" w:sz="8" w:space="0"/>
              <w:left w:val="single" w:color="auto" w:sz="8" w:space="0"/>
              <w:bottom w:val="single" w:color="auto" w:sz="8" w:space="0"/>
              <w:right w:val="single" w:color="auto" w:sz="8" w:space="0"/>
            </w:tcBorders>
            <w:tcW w:w="2053" w:type="dxa"/>
            <w:vAlign w:val="center"/>
            <w:vMerge w:val="restart"/>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1次/1月，确保系统取水正常</w:t>
            </w:r>
            <w:r/>
          </w:p>
        </w:tc>
        <w:tc>
          <w:tcPr>
            <w:tcBorders>
              <w:top w:val="single" w:color="auto" w:sz="8" w:space="0"/>
              <w:left w:val="single" w:color="auto" w:sz="8" w:space="0"/>
              <w:bottom w:val="single" w:color="auto" w:sz="8" w:space="0"/>
              <w:right w:val="single" w:color="auto" w:sz="8" w:space="0"/>
            </w:tcBorders>
            <w:tcW w:w="542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完成上述测试后复原所有阀门到正确位置。</w:t>
            </w:r>
            <w:r/>
          </w:p>
        </w:tc>
      </w:tr>
      <w:tr>
        <w:trPr>
          <w:jc w:val="center"/>
          <w:trHeight w:val="300"/>
        </w:trPr>
        <w:tc>
          <w:tcPr>
            <w:tcBorders>
              <w:top w:val="single" w:color="auto" w:sz="8" w:space="0"/>
              <w:left w:val="single" w:color="auto" w:sz="8" w:space="0"/>
              <w:bottom w:val="single" w:color="auto" w:sz="8" w:space="0"/>
              <w:right w:val="single" w:color="auto" w:sz="8" w:space="0"/>
            </w:tcBorders>
            <w:tcW w:w="724"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973" w:type="dxa"/>
            <w:vAlign w:val="center"/>
            <w:vMerge w:val="continue"/>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2053" w:type="dxa"/>
            <w:vAlign w:val="center"/>
            <w:vMerge w:val="continue"/>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542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检查各个接头是否松动，各个电动球阀接线是否完好。</w:t>
            </w:r>
            <w:r/>
          </w:p>
        </w:tc>
      </w:tr>
      <w:tr>
        <w:trPr>
          <w:jc w:val="center"/>
          <w:trHeight w:val="300"/>
        </w:trPr>
        <w:tc>
          <w:tcPr>
            <w:tcBorders>
              <w:top w:val="single" w:color="auto" w:sz="8" w:space="0"/>
              <w:left w:val="single" w:color="auto" w:sz="8" w:space="0"/>
              <w:bottom w:val="single" w:color="auto" w:sz="8" w:space="0"/>
              <w:right w:val="single" w:color="auto" w:sz="8" w:space="0"/>
            </w:tcBorders>
            <w:tcW w:w="724"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973" w:type="dxa"/>
            <w:vAlign w:val="center"/>
            <w:vMerge w:val="continue"/>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2053" w:type="dxa"/>
            <w:vAlign w:val="center"/>
            <w:vMerge w:val="continue"/>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542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检查无误情况下，系统复电，检查整个取水流程是否正常。</w:t>
            </w:r>
            <w:r/>
          </w:p>
        </w:tc>
      </w:tr>
      <w:tr>
        <w:trPr>
          <w:jc w:val="center"/>
          <w:trHeight w:val="300"/>
        </w:trPr>
        <w:tc>
          <w:tcPr>
            <w:tcBorders>
              <w:top w:val="single" w:color="auto" w:sz="8" w:space="0"/>
              <w:left w:val="single" w:color="auto" w:sz="8" w:space="0"/>
              <w:bottom w:val="single" w:color="auto" w:sz="8" w:space="0"/>
              <w:right w:val="single" w:color="auto" w:sz="8" w:space="0"/>
            </w:tcBorders>
            <w:tcW w:w="72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Borders>
              <w:top w:val="single" w:color="auto" w:sz="8" w:space="0"/>
              <w:left w:val="single" w:color="auto" w:sz="8" w:space="0"/>
              <w:bottom w:val="single" w:color="auto" w:sz="8" w:space="0"/>
              <w:right w:val="single" w:color="auto" w:sz="8" w:space="0"/>
            </w:tcBorders>
            <w:tcW w:w="973"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高锰酸盐指数分析仪</w:t>
            </w:r>
            <w:r/>
          </w:p>
        </w:tc>
        <w:tc>
          <w:tcPr>
            <w:tcBorders>
              <w:top w:val="single" w:color="auto" w:sz="8" w:space="0"/>
              <w:left w:val="single" w:color="auto" w:sz="8" w:space="0"/>
              <w:bottom w:val="single" w:color="auto" w:sz="8" w:space="0"/>
              <w:right w:val="single" w:color="auto" w:sz="8" w:space="0"/>
            </w:tcBorders>
            <w:tcW w:w="2053"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2次/月，更换试剂并校正，确保数据正常</w:t>
            </w:r>
            <w:r/>
          </w:p>
        </w:tc>
        <w:tc>
          <w:tcPr>
            <w:tcBorders>
              <w:top w:val="single" w:color="auto" w:sz="8" w:space="0"/>
              <w:left w:val="single" w:color="auto" w:sz="8" w:space="0"/>
              <w:bottom w:val="single" w:color="auto" w:sz="8" w:space="0"/>
              <w:right w:val="single" w:color="auto" w:sz="8" w:space="0"/>
            </w:tcBorders>
            <w:tcW w:w="542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更换标准校对液和分析试剂，高锰酸钾试剂一般不超过15天，其余试剂一般不超过30天，夏天视情况缩短更换周期。更换试剂时要将试剂瓶清洁干净并润洗，而不是补充试剂。</w:t>
            </w:r>
            <w:r/>
          </w:p>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试剂更换完毕须校正仪器，确保校正数据符合仪器要求。</w:t>
            </w:r>
            <w:r/>
          </w:p>
        </w:tc>
      </w:tr>
      <w:tr>
        <w:trPr>
          <w:jc w:val="center"/>
          <w:trHeight w:val="300"/>
        </w:trPr>
        <w:tc>
          <w:tcPr>
            <w:tcBorders>
              <w:top w:val="single" w:color="auto" w:sz="8" w:space="0"/>
              <w:left w:val="single" w:color="auto" w:sz="8" w:space="0"/>
              <w:bottom w:val="single" w:color="auto" w:sz="8" w:space="0"/>
              <w:right w:val="single" w:color="auto" w:sz="8" w:space="0"/>
            </w:tcBorders>
            <w:tcW w:w="72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Borders>
              <w:top w:val="single" w:color="auto" w:sz="8" w:space="0"/>
              <w:left w:val="single" w:color="auto" w:sz="8" w:space="0"/>
              <w:bottom w:val="single" w:color="auto" w:sz="8" w:space="0"/>
              <w:right w:val="single" w:color="auto" w:sz="8" w:space="0"/>
            </w:tcBorders>
            <w:tcW w:w="973"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氨氮分析仪</w:t>
            </w:r>
            <w:r/>
          </w:p>
        </w:tc>
        <w:tc>
          <w:tcPr>
            <w:tcBorders>
              <w:top w:val="single" w:color="auto" w:sz="8" w:space="0"/>
              <w:left w:val="single" w:color="auto" w:sz="8" w:space="0"/>
              <w:bottom w:val="single" w:color="auto" w:sz="8" w:space="0"/>
              <w:right w:val="single" w:color="auto" w:sz="8" w:space="0"/>
            </w:tcBorders>
            <w:tcW w:w="2053" w:type="dxa"/>
            <w:vAlign w:val="center"/>
            <w:vMerge w:val="restart"/>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1次/月，更换试剂并校正，确保数据正常</w:t>
            </w:r>
            <w:r/>
          </w:p>
        </w:tc>
        <w:tc>
          <w:tcPr>
            <w:tcBorders>
              <w:top w:val="single" w:color="auto" w:sz="8" w:space="0"/>
              <w:left w:val="single" w:color="auto" w:sz="8" w:space="0"/>
              <w:bottom w:val="single" w:color="auto" w:sz="8" w:space="0"/>
              <w:right w:val="single" w:color="auto" w:sz="8" w:space="0"/>
            </w:tcBorders>
            <w:tcW w:w="5426" w:type="dxa"/>
            <w:vAlign w:val="center"/>
            <w:vMerge w:val="restart"/>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更换标准校对液和分析试剂，一般不超过30天，夏天视情况缩短更换周期。更换试剂时要将试剂瓶清洁干净并润洗，而不是补充试剂。</w:t>
            </w:r>
            <w:r/>
          </w:p>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试剂更换完毕须校正仪器，确保校正数据符合仪器要求。</w:t>
            </w:r>
            <w:r/>
          </w:p>
        </w:tc>
      </w:tr>
      <w:tr>
        <w:trPr>
          <w:jc w:val="center"/>
          <w:trHeight w:val="300"/>
        </w:trPr>
        <w:tc>
          <w:tcPr>
            <w:tcBorders>
              <w:top w:val="single" w:color="auto" w:sz="8" w:space="0"/>
              <w:left w:val="single" w:color="auto" w:sz="8" w:space="0"/>
              <w:bottom w:val="single" w:color="auto" w:sz="8" w:space="0"/>
              <w:right w:val="single" w:color="auto" w:sz="8" w:space="0"/>
            </w:tcBorders>
            <w:tcW w:w="72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Borders>
              <w:top w:val="single" w:color="auto" w:sz="8" w:space="0"/>
              <w:left w:val="single" w:color="auto" w:sz="8" w:space="0"/>
              <w:bottom w:val="single" w:color="auto" w:sz="8" w:space="0"/>
              <w:right w:val="single" w:color="auto" w:sz="8" w:space="0"/>
            </w:tcBorders>
            <w:tcW w:w="973"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总磷总氮分析仪</w:t>
            </w:r>
            <w:r/>
          </w:p>
        </w:tc>
        <w:tc>
          <w:tcPr>
            <w:tcBorders>
              <w:top w:val="single" w:color="auto" w:sz="8" w:space="0"/>
              <w:left w:val="single" w:color="auto" w:sz="8" w:space="0"/>
              <w:bottom w:val="single" w:color="auto" w:sz="8" w:space="0"/>
              <w:right w:val="single" w:color="auto" w:sz="8" w:space="0"/>
            </w:tcBorders>
            <w:tcW w:w="2053" w:type="dxa"/>
            <w:vAlign w:val="center"/>
            <w:vMerge w:val="continue"/>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5426" w:type="dxa"/>
            <w:vAlign w:val="center"/>
            <w:vMerge w:val="continue"/>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285"/>
        </w:trPr>
        <w:tc>
          <w:tcPr>
            <w:tcBorders>
              <w:top w:val="single" w:color="auto" w:sz="8" w:space="0"/>
              <w:left w:val="single" w:color="auto" w:sz="8" w:space="0"/>
              <w:bottom w:val="single" w:color="auto" w:sz="8" w:space="0"/>
              <w:right w:val="single" w:color="auto" w:sz="8" w:space="0"/>
            </w:tcBorders>
            <w:tcW w:w="72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tcBorders>
              <w:top w:val="single" w:color="auto" w:sz="8" w:space="0"/>
              <w:left w:val="single" w:color="auto" w:sz="8" w:space="0"/>
              <w:bottom w:val="single" w:color="auto" w:sz="8" w:space="0"/>
              <w:right w:val="single" w:color="auto" w:sz="8" w:space="0"/>
            </w:tcBorders>
            <w:tcW w:w="973"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五参数分析仪</w:t>
            </w:r>
            <w:r/>
          </w:p>
        </w:tc>
        <w:tc>
          <w:tcPr>
            <w:tcBorders>
              <w:top w:val="single" w:color="auto" w:sz="8" w:space="0"/>
              <w:left w:val="single" w:color="auto" w:sz="8" w:space="0"/>
              <w:bottom w:val="single" w:color="auto" w:sz="8" w:space="0"/>
              <w:right w:val="single" w:color="auto" w:sz="8" w:space="0"/>
            </w:tcBorders>
            <w:tcW w:w="2053"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1次/月，校正pH和溶解氧电极，确保数据正常</w:t>
            </w:r>
            <w:r/>
          </w:p>
        </w:tc>
        <w:tc>
          <w:tcPr>
            <w:tcBorders>
              <w:top w:val="single" w:color="auto" w:sz="8" w:space="0"/>
              <w:left w:val="single" w:color="auto" w:sz="8" w:space="0"/>
              <w:bottom w:val="single" w:color="auto" w:sz="8" w:space="0"/>
              <w:right w:val="single" w:color="auto" w:sz="8" w:space="0"/>
            </w:tcBorders>
            <w:tcW w:w="542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校正pH和溶解氧电极，确保校正数据符合仪器要求。</w:t>
            </w:r>
            <w:r/>
          </w:p>
        </w:tc>
      </w:tr>
      <w:tr>
        <w:trPr>
          <w:jc w:val="center"/>
          <w:trHeight w:val="285"/>
        </w:trPr>
        <w:tc>
          <w:tcPr>
            <w:tcBorders>
              <w:top w:val="single" w:color="auto" w:sz="8" w:space="0"/>
              <w:left w:val="single" w:color="auto" w:sz="8" w:space="0"/>
              <w:bottom w:val="single" w:color="auto" w:sz="8" w:space="0"/>
              <w:right w:val="single" w:color="auto" w:sz="8" w:space="0"/>
            </w:tcBorders>
            <w:tcW w:w="724"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tcBorders>
              <w:top w:val="single" w:color="auto" w:sz="8" w:space="0"/>
              <w:left w:val="single" w:color="auto" w:sz="8" w:space="0"/>
              <w:bottom w:val="single" w:color="auto" w:sz="8" w:space="0"/>
              <w:right w:val="single" w:color="auto" w:sz="8" w:space="0"/>
            </w:tcBorders>
            <w:tcW w:w="973" w:type="dxa"/>
            <w:vAlign w:val="center"/>
            <w:vMerge w:val="restart"/>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BOD分析仪</w:t>
            </w:r>
            <w:r/>
          </w:p>
        </w:tc>
        <w:tc>
          <w:tcPr>
            <w:tcBorders>
              <w:top w:val="single" w:color="auto" w:sz="8" w:space="0"/>
              <w:left w:val="single" w:color="auto" w:sz="8" w:space="0"/>
              <w:bottom w:val="single" w:color="auto" w:sz="8" w:space="0"/>
              <w:right w:val="single" w:color="auto" w:sz="8" w:space="0"/>
            </w:tcBorders>
            <w:tcW w:w="2053"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1次/月，确保监测数据准确</w:t>
            </w:r>
            <w:r/>
          </w:p>
        </w:tc>
        <w:tc>
          <w:tcPr>
            <w:tcBorders>
              <w:top w:val="single" w:color="auto" w:sz="8" w:space="0"/>
              <w:left w:val="single" w:color="auto" w:sz="8" w:space="0"/>
              <w:bottom w:val="single" w:color="auto" w:sz="8" w:space="0"/>
              <w:right w:val="single" w:color="auto" w:sz="8" w:space="0"/>
            </w:tcBorders>
            <w:tcW w:w="542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维护电极：更换电解液，更换透氧膜，工作电极抛光，校准零点。</w:t>
            </w:r>
            <w:r/>
          </w:p>
        </w:tc>
      </w:tr>
      <w:tr>
        <w:trPr>
          <w:jc w:val="center"/>
          <w:trHeight w:val="640"/>
        </w:trPr>
        <w:tc>
          <w:tcPr>
            <w:tcBorders>
              <w:top w:val="single" w:color="auto" w:sz="8" w:space="0"/>
              <w:left w:val="single" w:color="auto" w:sz="8" w:space="0"/>
              <w:bottom w:val="single" w:color="auto" w:sz="8" w:space="0"/>
              <w:right w:val="single" w:color="auto" w:sz="8" w:space="0"/>
            </w:tcBorders>
            <w:tcW w:w="724" w:type="dxa"/>
            <w:vAlign w:val="center"/>
            <w:vMerge w:val="continue"/>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973" w:type="dxa"/>
            <w:vAlign w:val="center"/>
            <w:vMerge w:val="continue"/>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2053"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2次/月，确保监测数据准确</w:t>
            </w:r>
            <w:r/>
          </w:p>
        </w:tc>
        <w:tc>
          <w:tcPr>
            <w:tcBorders>
              <w:top w:val="single" w:color="auto" w:sz="8" w:space="0"/>
              <w:left w:val="single" w:color="auto" w:sz="8" w:space="0"/>
              <w:bottom w:val="single" w:color="auto" w:sz="8" w:space="0"/>
              <w:right w:val="single" w:color="auto" w:sz="8" w:space="0"/>
            </w:tcBorders>
            <w:tcW w:w="542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标定电极，标定膜反应器</w:t>
            </w:r>
            <w:r/>
          </w:p>
        </w:tc>
      </w:tr>
    </w:tbl>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2"/>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固定站每2月一次运维要求</w:t>
      </w:r>
      <w:r/>
    </w:p>
    <w:tbl>
      <w:tblPr>
        <w:tblStyle w:val="736"/>
        <w:tblW w:w="9171"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04"/>
        <w:gridCol w:w="899"/>
        <w:gridCol w:w="2016"/>
        <w:gridCol w:w="5552"/>
      </w:tblGrid>
      <w:tr>
        <w:trPr>
          <w:jc w:val="center"/>
          <w:trHeight w:val="300"/>
        </w:trPr>
        <w:tc>
          <w:tcPr>
            <w:tcW w:w="704"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899"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维护内容</w:t>
            </w:r>
            <w:r/>
          </w:p>
        </w:tc>
        <w:tc>
          <w:tcPr>
            <w:tcW w:w="2016"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维护周期及目标</w:t>
            </w:r>
            <w:r/>
          </w:p>
        </w:tc>
        <w:tc>
          <w:tcPr>
            <w:tcW w:w="5552"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维护要求</w:t>
            </w:r>
            <w:r/>
          </w:p>
        </w:tc>
      </w:tr>
      <w:tr>
        <w:trPr>
          <w:jc w:val="center"/>
          <w:trHeight w:val="300"/>
        </w:trPr>
        <w:tc>
          <w:tcPr>
            <w:tcW w:w="70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89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采水系统维护</w:t>
            </w:r>
            <w:r/>
          </w:p>
        </w:tc>
        <w:tc>
          <w:tcPr>
            <w:tcW w:w="201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根据不同水期，适当调整，保证采水系统正常运行</w:t>
            </w:r>
            <w:r/>
          </w:p>
        </w:tc>
        <w:tc>
          <w:tcPr>
            <w:tcW w:w="5552"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对季节性断流、河道改变明显的断面水质自动站采水系统进行加固、调整采水泵。</w:t>
            </w:r>
            <w:r/>
          </w:p>
        </w:tc>
      </w:tr>
      <w:tr>
        <w:trPr>
          <w:jc w:val="center"/>
          <w:trHeight w:val="285"/>
        </w:trPr>
        <w:tc>
          <w:tcPr>
            <w:tcW w:w="704"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899"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室内管路清洗</w:t>
            </w:r>
            <w:r/>
          </w:p>
        </w:tc>
        <w:tc>
          <w:tcPr>
            <w:tcW w:w="2016"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2次/月，确保管路透明，无泥沙藻类附着</w:t>
            </w:r>
            <w:r/>
          </w:p>
        </w:tc>
        <w:tc>
          <w:tcPr>
            <w:tcW w:w="5552"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手动拆卸阀门、弯头、过滤网和样水杯等部件，用试管刷清洗，清洗后原样装回。</w:t>
            </w:r>
            <w:r/>
          </w:p>
        </w:tc>
      </w:tr>
      <w:tr>
        <w:trPr>
          <w:jc w:val="center"/>
          <w:trHeight w:val="300"/>
        </w:trPr>
        <w:tc>
          <w:tcPr>
            <w:tcW w:w="704"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9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01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552"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检查蠕动泵进水塑胶软管脏污情况，必要的情况更换。</w:t>
            </w:r>
            <w:r/>
          </w:p>
        </w:tc>
      </w:tr>
      <w:tr>
        <w:trPr>
          <w:jc w:val="center"/>
          <w:trHeight w:val="285"/>
        </w:trPr>
        <w:tc>
          <w:tcPr>
            <w:tcW w:w="704"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899"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电动球阀清洗检查</w:t>
            </w:r>
            <w:r/>
          </w:p>
        </w:tc>
        <w:tc>
          <w:tcPr>
            <w:tcW w:w="2016"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1次/2月，确保清洗后电动球阀吸合自如，无堵塞和渗漏</w:t>
            </w:r>
            <w:r/>
          </w:p>
        </w:tc>
        <w:tc>
          <w:tcPr>
            <w:tcW w:w="5552"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将电动球阀手动拆下，用试管刷清洗后，将电动球阀装回管路。</w:t>
            </w:r>
            <w:r/>
          </w:p>
        </w:tc>
      </w:tr>
      <w:tr>
        <w:trPr>
          <w:jc w:val="center"/>
          <w:trHeight w:val="600"/>
        </w:trPr>
        <w:tc>
          <w:tcPr>
            <w:tcW w:w="704"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9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01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552"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开启组态单阀测试程序，单独控制阀门开关，检查阀门开关时间是否符合要求（10s以内）。</w:t>
            </w:r>
            <w:r/>
          </w:p>
        </w:tc>
      </w:tr>
      <w:tr>
        <w:trPr>
          <w:jc w:val="center"/>
          <w:trHeight w:val="300"/>
        </w:trPr>
        <w:tc>
          <w:tcPr>
            <w:tcW w:w="704"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9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01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552"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必要的情况替换电动球阀。</w:t>
            </w:r>
            <w:r/>
          </w:p>
        </w:tc>
      </w:tr>
      <w:tr>
        <w:trPr>
          <w:jc w:val="center"/>
          <w:trHeight w:val="570"/>
        </w:trPr>
        <w:tc>
          <w:tcPr>
            <w:tcW w:w="704"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899"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单向阀清洗</w:t>
            </w:r>
            <w:r/>
          </w:p>
        </w:tc>
        <w:tc>
          <w:tcPr>
            <w:tcW w:w="2016"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1次/2月，确保清洗后电动球阀吸合自如，无堵塞和渗漏</w:t>
            </w:r>
            <w:r/>
          </w:p>
        </w:tc>
        <w:tc>
          <w:tcPr>
            <w:tcW w:w="5552"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拆下单向阀，用试管刷清洗单向阀阀体及密封橡胶上附着的脏污物，检查密封性是否完好后，原样装回管路。</w:t>
            </w:r>
            <w:r/>
          </w:p>
        </w:tc>
      </w:tr>
      <w:tr>
        <w:trPr>
          <w:jc w:val="center"/>
          <w:trHeight w:val="300"/>
        </w:trPr>
        <w:tc>
          <w:tcPr>
            <w:tcW w:w="704"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9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01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552"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必要情况更换单向阀。</w:t>
            </w:r>
            <w:r/>
          </w:p>
        </w:tc>
      </w:tr>
      <w:tr>
        <w:trPr>
          <w:jc w:val="center"/>
          <w:trHeight w:val="285"/>
        </w:trPr>
        <w:tc>
          <w:tcPr>
            <w:tcW w:w="704"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899"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压力表测试</w:t>
            </w:r>
            <w:r/>
          </w:p>
        </w:tc>
        <w:tc>
          <w:tcPr>
            <w:tcW w:w="2016"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1次/2月，确保清洗后压力表读数正常</w:t>
            </w:r>
            <w:r/>
          </w:p>
        </w:tc>
        <w:tc>
          <w:tcPr>
            <w:tcW w:w="5552"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拆下压力表表头，清洗清除压力导管内泥沙。</w:t>
            </w:r>
            <w:r/>
          </w:p>
        </w:tc>
      </w:tr>
      <w:tr>
        <w:trPr>
          <w:jc w:val="center"/>
          <w:trHeight w:val="285"/>
        </w:trPr>
        <w:tc>
          <w:tcPr>
            <w:tcW w:w="704"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9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01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552"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压缩空气吹脱表头内残留脏污。</w:t>
            </w:r>
            <w:r/>
          </w:p>
        </w:tc>
      </w:tr>
      <w:tr>
        <w:trPr>
          <w:jc w:val="center"/>
          <w:trHeight w:val="600"/>
        </w:trPr>
        <w:tc>
          <w:tcPr>
            <w:tcW w:w="704"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9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01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552"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调节空压机输出压力为0.6Mpa，输出气管连接到待测压力表，检查待测压力表显示是否和空压机一致，反应是否灵敏。</w:t>
            </w:r>
            <w:r/>
          </w:p>
        </w:tc>
      </w:tr>
      <w:tr>
        <w:trPr>
          <w:jc w:val="center"/>
          <w:trHeight w:val="285"/>
        </w:trPr>
        <w:tc>
          <w:tcPr>
            <w:tcW w:w="704"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9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01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552"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原样装回压力表，注意气密性。</w:t>
            </w:r>
            <w:r/>
          </w:p>
        </w:tc>
      </w:tr>
      <w:tr>
        <w:trPr>
          <w:jc w:val="center"/>
          <w:trHeight w:val="300"/>
        </w:trPr>
        <w:tc>
          <w:tcPr>
            <w:tcW w:w="704"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9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01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552"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必要情况更换压力表。</w:t>
            </w:r>
            <w:r/>
          </w:p>
        </w:tc>
      </w:tr>
      <w:tr>
        <w:trPr>
          <w:jc w:val="center"/>
          <w:trHeight w:val="518"/>
        </w:trPr>
        <w:tc>
          <w:tcPr>
            <w:tcW w:w="70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89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工控机检查</w:t>
            </w:r>
            <w:r/>
          </w:p>
        </w:tc>
        <w:tc>
          <w:tcPr>
            <w:tcW w:w="201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1次/2月</w:t>
            </w:r>
            <w:r/>
          </w:p>
        </w:tc>
        <w:tc>
          <w:tcPr>
            <w:tcW w:w="5552"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检查开机过程中硬件自检过程是否有异常数据传输和报警。</w:t>
            </w:r>
            <w:r/>
          </w:p>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强制切断电源后复电工控机是否可以自动启动，并运行windows系统、加载现场监控软件，串口连接是否正常。</w:t>
            </w:r>
            <w:r/>
          </w:p>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本地与异地备份操作系统与系统软件。</w:t>
            </w:r>
            <w:r/>
          </w:p>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断电后拆下工控机，打开后盖，用细毛刷清</w:t>
            </w:r>
            <w:r/>
          </w:p>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除电源和主板上的灰尘，尤其注意cpu板、内存和各个串口卡上的灰尘清除。检查各个功能卡接口是否连接牢固。</w:t>
            </w:r>
            <w:r/>
          </w:p>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检查硬盘SATA连接线是否松动。</w:t>
            </w:r>
            <w:r/>
          </w:p>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定期对杀毒软件升级，专机专用，禁止从事与工作无关的活动。</w:t>
            </w:r>
            <w:r/>
          </w:p>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装回工控机重复1）、2）步骤</w:t>
            </w:r>
            <w:r/>
          </w:p>
        </w:tc>
      </w:tr>
      <w:tr>
        <w:trPr>
          <w:jc w:val="center"/>
          <w:trHeight w:val="689"/>
        </w:trPr>
        <w:tc>
          <w:tcPr>
            <w:tcW w:w="70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89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BOD在线仪</w:t>
            </w:r>
            <w:r/>
          </w:p>
        </w:tc>
        <w:tc>
          <w:tcPr>
            <w:tcW w:w="201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1次/3月，确保仪器运转正常</w:t>
            </w:r>
            <w:r/>
          </w:p>
        </w:tc>
        <w:tc>
          <w:tcPr>
            <w:tcW w:w="5552"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更换蠕动泵管</w:t>
            </w:r>
            <w:r/>
          </w:p>
        </w:tc>
      </w:tr>
    </w:tbl>
    <w:p>
      <w:pPr>
        <w:ind w:firstLine="480"/>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▲3、质量管理要求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招标文件中未明确的质控管理要求，按照无锡市已制定的相关水站管理文件执行，若出台新的管理办法或技术规范时，按新要求执行。</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3.1水质自动站运行指标要求：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各仪器的月运行率≥95％，各仪器的月数据有效率≥93％（除去停水停电，性能测试及其他不可抗拒因素引起的数据缺失）。仪器运行率和数据有效率的计算方法参照附表2。</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3.2数据质量要求：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3.2.1中标供应商按照《无锡市地表水水质自动监测站运行管理办法（试行）》要求开展质控工作，定期开展标液核查、质控考核、水样比对和系统核查工作，并将结果报采购人。</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3.2.2中标供应商至少每月对水站仪器进行一次校准，并将结果报采购人。</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3.2.3中标供应商及时对校准、质控和异常等数据做出标识，并于每周一的12:00之前将上周原始数据（做出标识的）报采购人。</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3.3数据数量要求：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3.3.1中标供应商应保证在运营维护管理期内，确保年度监测数据捕捉率不小于90%，数据误差符合检测项目性能指标要求。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3.3.2固定站2小时/次测定情况下，每天保证至少有11组有效数据；采用4小时/次测定情况下，每天保证至少有5组有效数据。</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▲4、应急措施要求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4.1突发污染事故要求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当水站监测数据发现异常或发现所在断面发生污染事故时，须2小时内报告采购人，并保证系统仪器正常运行，监测数据准确，传输畅通，并提供同步时间的水样以协助进行手工监测。</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▲4.2系统仪器故障</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当系统仪器出现故障时，保证在2小时内响应，如24小时内无法排除故障，须通过更换备机或委托有资质的检测机构进行检测以确保数据的完整性，所需费用由供应商负责。并及时用电话与书面形式报告采购人，协商处理方案。</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（四）采购标的的数量、采购项目交付或者实施的时间和地点：</w:t>
      </w:r>
      <w:r/>
    </w:p>
    <w:p>
      <w:p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1.1、固定式水质自动站 </w:t>
      </w:r>
      <w:r/>
    </w:p>
    <w:tbl>
      <w:tblPr>
        <w:tblStyle w:val="736"/>
        <w:tblW w:w="5000"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1304"/>
        <w:gridCol w:w="2202"/>
        <w:gridCol w:w="3317"/>
        <w:gridCol w:w="3314"/>
      </w:tblGrid>
      <w:tr>
        <w:trPr>
          <w:jc w:val="center"/>
          <w:trHeight w:val="402"/>
        </w:trPr>
        <w:tc>
          <w:tcPr>
            <w:tcW w:w="643" w:type="pct"/>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1086" w:type="pct"/>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所在地区</w:t>
            </w:r>
            <w:r/>
          </w:p>
        </w:tc>
        <w:tc>
          <w:tcPr>
            <w:tcW w:w="1636" w:type="pct"/>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河流及湖体名称</w:t>
            </w:r>
            <w:r/>
          </w:p>
        </w:tc>
        <w:tc>
          <w:tcPr>
            <w:tcW w:w="1634" w:type="pct"/>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站点名称</w:t>
            </w:r>
            <w:r/>
          </w:p>
        </w:tc>
      </w:tr>
      <w:tr>
        <w:trPr>
          <w:jc w:val="center"/>
          <w:trHeight w:val="402"/>
        </w:trPr>
        <w:tc>
          <w:tcPr>
            <w:tcW w:w="64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10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江阴市</w:t>
            </w:r>
            <w:r/>
          </w:p>
        </w:tc>
        <w:tc>
          <w:tcPr>
            <w:tcW w:w="163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长江</w:t>
            </w:r>
            <w:r/>
          </w:p>
        </w:tc>
        <w:tc>
          <w:tcPr>
            <w:tcW w:w="1634"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澄西水厂（固定式）</w:t>
            </w:r>
            <w:r/>
          </w:p>
        </w:tc>
      </w:tr>
      <w:tr>
        <w:trPr>
          <w:jc w:val="center"/>
          <w:trHeight w:val="402"/>
        </w:trPr>
        <w:tc>
          <w:tcPr>
            <w:tcW w:w="64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10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梁溪区</w:t>
            </w:r>
            <w:r/>
          </w:p>
        </w:tc>
        <w:tc>
          <w:tcPr>
            <w:tcW w:w="163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古运河</w:t>
            </w:r>
            <w:r/>
          </w:p>
        </w:tc>
        <w:tc>
          <w:tcPr>
            <w:tcW w:w="1634"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新桥泵站（固定式）</w:t>
            </w:r>
            <w:r/>
          </w:p>
        </w:tc>
      </w:tr>
      <w:tr>
        <w:trPr>
          <w:jc w:val="center"/>
          <w:trHeight w:val="402"/>
        </w:trPr>
        <w:tc>
          <w:tcPr>
            <w:tcW w:w="64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10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锡山区</w:t>
            </w:r>
            <w:r/>
          </w:p>
        </w:tc>
        <w:tc>
          <w:tcPr>
            <w:tcW w:w="163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九里河</w:t>
            </w:r>
            <w:r/>
          </w:p>
        </w:tc>
        <w:tc>
          <w:tcPr>
            <w:tcW w:w="1634"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长征桥（固定式）</w:t>
            </w:r>
            <w:r/>
          </w:p>
        </w:tc>
      </w:tr>
      <w:tr>
        <w:trPr>
          <w:jc w:val="center"/>
          <w:trHeight w:val="402"/>
        </w:trPr>
        <w:tc>
          <w:tcPr>
            <w:tcW w:w="64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10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锡山区</w:t>
            </w:r>
            <w:r/>
          </w:p>
        </w:tc>
        <w:tc>
          <w:tcPr>
            <w:tcW w:w="163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北兴塘河</w:t>
            </w:r>
            <w:r/>
          </w:p>
        </w:tc>
        <w:tc>
          <w:tcPr>
            <w:tcW w:w="1634"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放马滩（固定式）</w:t>
            </w:r>
            <w:r/>
          </w:p>
        </w:tc>
      </w:tr>
      <w:tr>
        <w:trPr>
          <w:jc w:val="center"/>
          <w:trHeight w:val="402"/>
        </w:trPr>
        <w:tc>
          <w:tcPr>
            <w:tcW w:w="64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10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锡山区</w:t>
            </w:r>
            <w:r/>
          </w:p>
        </w:tc>
        <w:tc>
          <w:tcPr>
            <w:tcW w:w="163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锡北运河</w:t>
            </w:r>
            <w:r/>
          </w:p>
        </w:tc>
        <w:tc>
          <w:tcPr>
            <w:tcW w:w="1634"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东荘大桥（固定式）</w:t>
            </w:r>
            <w:r/>
          </w:p>
        </w:tc>
      </w:tr>
      <w:tr>
        <w:trPr>
          <w:jc w:val="center"/>
          <w:trHeight w:val="402"/>
        </w:trPr>
        <w:tc>
          <w:tcPr>
            <w:tcW w:w="64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10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锡山区</w:t>
            </w:r>
            <w:r/>
          </w:p>
        </w:tc>
        <w:tc>
          <w:tcPr>
            <w:tcW w:w="1636"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大塘河</w:t>
            </w:r>
            <w:r/>
          </w:p>
        </w:tc>
        <w:tc>
          <w:tcPr>
            <w:tcW w:w="1634"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陈墅大桥（固定式）</w:t>
            </w:r>
            <w:r/>
          </w:p>
        </w:tc>
      </w:tr>
      <w:tr>
        <w:trPr>
          <w:jc w:val="center"/>
          <w:trHeight w:val="402"/>
        </w:trPr>
        <w:tc>
          <w:tcPr>
            <w:tcW w:w="64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10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锡山区</w:t>
            </w:r>
            <w:r/>
          </w:p>
        </w:tc>
        <w:tc>
          <w:tcPr>
            <w:tcW w:w="1636"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东青河</w:t>
            </w:r>
            <w:r/>
          </w:p>
        </w:tc>
        <w:tc>
          <w:tcPr>
            <w:tcW w:w="1634"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晃山桥（固定式）</w:t>
            </w:r>
            <w:r/>
          </w:p>
        </w:tc>
      </w:tr>
      <w:tr>
        <w:trPr>
          <w:jc w:val="center"/>
          <w:trHeight w:val="402"/>
        </w:trPr>
        <w:tc>
          <w:tcPr>
            <w:tcW w:w="64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1086"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惠山区</w:t>
            </w:r>
            <w:r/>
          </w:p>
        </w:tc>
        <w:tc>
          <w:tcPr>
            <w:tcW w:w="163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京杭运河</w:t>
            </w:r>
            <w:r/>
          </w:p>
        </w:tc>
        <w:tc>
          <w:tcPr>
            <w:tcW w:w="1634"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惠运大桥（固定式）</w:t>
            </w:r>
            <w:r/>
          </w:p>
        </w:tc>
      </w:tr>
      <w:tr>
        <w:trPr>
          <w:jc w:val="center"/>
          <w:trHeight w:val="402"/>
        </w:trPr>
        <w:tc>
          <w:tcPr>
            <w:tcW w:w="64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W w:w="1086"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滨湖区</w:t>
            </w:r>
            <w:r/>
          </w:p>
        </w:tc>
        <w:tc>
          <w:tcPr>
            <w:tcW w:w="163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洋溪河</w:t>
            </w:r>
            <w:r/>
          </w:p>
        </w:tc>
        <w:tc>
          <w:tcPr>
            <w:tcW w:w="1634"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刘塘桥（固定式）</w:t>
            </w:r>
            <w:r/>
          </w:p>
        </w:tc>
      </w:tr>
      <w:tr>
        <w:trPr>
          <w:jc w:val="center"/>
          <w:trHeight w:val="402"/>
        </w:trPr>
        <w:tc>
          <w:tcPr>
            <w:tcW w:w="64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10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滨湖区</w:t>
            </w:r>
            <w:r/>
          </w:p>
        </w:tc>
        <w:tc>
          <w:tcPr>
            <w:tcW w:w="163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古竹河</w:t>
            </w:r>
            <w:r/>
          </w:p>
        </w:tc>
        <w:tc>
          <w:tcPr>
            <w:tcW w:w="1634"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古竹桥（固定式）</w:t>
            </w:r>
            <w:r/>
          </w:p>
        </w:tc>
      </w:tr>
      <w:tr>
        <w:trPr>
          <w:jc w:val="center"/>
          <w:trHeight w:val="402"/>
        </w:trPr>
        <w:tc>
          <w:tcPr>
            <w:tcW w:w="64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tcW w:w="1086"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滨湖区</w:t>
            </w:r>
            <w:r/>
          </w:p>
        </w:tc>
        <w:tc>
          <w:tcPr>
            <w:tcW w:w="163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五里湖</w:t>
            </w:r>
            <w:r/>
          </w:p>
        </w:tc>
        <w:tc>
          <w:tcPr>
            <w:tcW w:w="1634"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渔父岛（浮船式）</w:t>
            </w:r>
            <w:r/>
          </w:p>
        </w:tc>
      </w:tr>
      <w:tr>
        <w:trPr>
          <w:jc w:val="center"/>
          <w:trHeight w:val="402"/>
        </w:trPr>
        <w:tc>
          <w:tcPr>
            <w:tcW w:w="64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tcW w:w="1086"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新吴区</w:t>
            </w:r>
            <w:r/>
          </w:p>
        </w:tc>
        <w:tc>
          <w:tcPr>
            <w:tcW w:w="163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伯渎港</w:t>
            </w:r>
            <w:r/>
          </w:p>
        </w:tc>
        <w:tc>
          <w:tcPr>
            <w:tcW w:w="1634"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梅村大桥（固定式）</w:t>
            </w:r>
            <w:r/>
          </w:p>
        </w:tc>
      </w:tr>
    </w:tbl>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1.2、实施时间：合同签订之日起一年。</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1.3、实施地点：澄西水厂、新桥泵站、长征桥、放马滩、东荘大桥、陈墅大桥、晃山桥、惠运大桥、刘塘桥、古竹桥、渔父岛、梅村大桥12个固定式水质自动站。</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（五）采购标的需满足的服务标准、期限、效率等要求：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质量要求：满足采购人需求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（六）采购标的的验收标准：</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1、考核与实施办法</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 考核办法</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除前述质量考核外，采购人每月对中标方开展一次运营维护工作考核，以每个水质自动站为单位进行。逐站依据上述维护内容就每周、每月、每季的维护质量和相关指标相结合的方式进行评分，满分为100分，70分以下为不合格；大于等于70分小于90分为基本合格，大于等于90分为合格。由采购人组织人员进行评审，具体考核内容分别见附表。考核合格后按照合同要求支付该阶段的运维费。</w:t>
      </w:r>
      <w:r/>
    </w:p>
    <w:p>
      <w:pPr>
        <w:ind w:firstLine="482"/>
        <w:spacing w:line="360" w:lineRule="auto"/>
        <w:rPr>
          <w:rFonts w:hint="eastAsia" w:ascii="宋体" w:hAnsi="宋体" w:eastAsia="宋体" w:cs="宋体"/>
          <w:b/>
          <w:bCs/>
          <w:color w:val="auto"/>
          <w:sz w:val="24"/>
          <w:szCs w:val="24"/>
          <w:highlight w:val="none"/>
          <w:lang w:val="en-US" w:eastAsia="zh-CN" w:bidi="ar-SA"/>
        </w:rPr>
      </w:pPr>
      <w:r/>
      <w:bookmarkStart w:id="151" w:name="_Toc409705763"/>
      <w:r>
        <w:rPr>
          <w:rFonts w:hint="eastAsia" w:ascii="宋体" w:hAnsi="宋体" w:eastAsia="宋体" w:cs="宋体"/>
          <w:b/>
          <w:bCs/>
          <w:color w:val="auto"/>
          <w:sz w:val="24"/>
          <w:szCs w:val="24"/>
          <w:highlight w:val="none"/>
          <w:lang w:val="en-US" w:eastAsia="zh-CN" w:bidi="ar-SA"/>
        </w:rPr>
        <w:t xml:space="preserve">附表1站点的仪器配置</w:t>
      </w:r>
      <w:r/>
    </w:p>
    <w:tbl>
      <w:tblPr>
        <w:tblStyle w:val="736"/>
        <w:tblW w:w="953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025"/>
        <w:gridCol w:w="992"/>
        <w:gridCol w:w="1559"/>
        <w:gridCol w:w="5254"/>
      </w:tblGrid>
      <w:tr>
        <w:trPr>
          <w:trHeight w:val="20"/>
        </w:trPr>
        <w:tc>
          <w:tcPr>
            <w:tcW w:w="704"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1025"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所在地区</w:t>
            </w:r>
            <w:r/>
          </w:p>
        </w:tc>
        <w:tc>
          <w:tcPr>
            <w:tcW w:w="992"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河流及湖体名称</w:t>
            </w:r>
            <w:r/>
          </w:p>
        </w:tc>
        <w:tc>
          <w:tcPr>
            <w:tcW w:w="1559"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站点名称</w:t>
            </w:r>
            <w:r/>
          </w:p>
        </w:tc>
        <w:tc>
          <w:tcPr>
            <w:tcW w:w="5254"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仪器配置</w:t>
            </w:r>
            <w:r/>
          </w:p>
        </w:tc>
      </w:tr>
      <w:tr>
        <w:trPr>
          <w:trHeight w:val="20"/>
        </w:trPr>
        <w:tc>
          <w:tcPr>
            <w:tcW w:w="70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10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江阴市</w:t>
            </w:r>
            <w:r/>
          </w:p>
        </w:tc>
        <w:tc>
          <w:tcPr>
            <w:tcW w:w="992"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长江</w:t>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澄西水厂（固定式）</w:t>
            </w:r>
            <w:r/>
          </w:p>
        </w:tc>
        <w:tc>
          <w:tcPr>
            <w:tcW w:w="5254"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常规五参数在线分析仪（pH、温度、溶解氧、浊度、电导率），氨氮在线分析仪，高锰酸盐指数在线分析仪，总磷在线分析仪，总氮在线分析仪</w:t>
            </w:r>
            <w:r/>
          </w:p>
        </w:tc>
      </w:tr>
      <w:tr>
        <w:trPr>
          <w:trHeight w:val="20"/>
        </w:trPr>
        <w:tc>
          <w:tcPr>
            <w:tcW w:w="70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10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梁溪区</w:t>
            </w:r>
            <w:r/>
          </w:p>
        </w:tc>
        <w:tc>
          <w:tcPr>
            <w:tcW w:w="992"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古运河</w:t>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新桥泵站（固定式）</w:t>
            </w:r>
            <w:r/>
          </w:p>
        </w:tc>
        <w:tc>
          <w:tcPr>
            <w:tcW w:w="5254"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常规五参数在线分析仪（pH、温度、溶解氧、浊度、电导率），氨氮在线分析仪，高锰酸盐指数在线分析仪，总磷在线分析仪，总氮在线分析仪</w:t>
            </w:r>
            <w:r/>
          </w:p>
        </w:tc>
      </w:tr>
      <w:tr>
        <w:trPr>
          <w:trHeight w:val="20"/>
        </w:trPr>
        <w:tc>
          <w:tcPr>
            <w:tcW w:w="70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10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锡山区</w:t>
            </w:r>
            <w:r/>
          </w:p>
        </w:tc>
        <w:tc>
          <w:tcPr>
            <w:tcW w:w="992"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九里河</w:t>
            </w:r>
            <w:r/>
          </w:p>
        </w:tc>
        <w:tc>
          <w:tcPr>
            <w:tcW w:w="1559"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长征桥（固定式）</w:t>
            </w:r>
            <w:r/>
          </w:p>
        </w:tc>
        <w:tc>
          <w:tcPr>
            <w:tcW w:w="5254"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常规五参数在线分析仪（pH、温度、溶解氧、浊度、电导率），氨氮在线分析仪，高锰酸盐指数在线分析仪，总磷在线分析仪，总氮在线分析仪</w:t>
            </w:r>
            <w:r/>
          </w:p>
        </w:tc>
      </w:tr>
      <w:tr>
        <w:trPr>
          <w:trHeight w:val="20"/>
        </w:trPr>
        <w:tc>
          <w:tcPr>
            <w:tcW w:w="70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10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锡山区</w:t>
            </w:r>
            <w:r/>
          </w:p>
        </w:tc>
        <w:tc>
          <w:tcPr>
            <w:tcW w:w="992"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北兴塘河</w:t>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放马滩（固定式）</w:t>
            </w:r>
            <w:r/>
          </w:p>
        </w:tc>
        <w:tc>
          <w:tcPr>
            <w:tcW w:w="5254"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常规五参数在线分析仪（pH、温度、溶解氧、浊度、电导率），氨氮在线分析仪，高锰酸盐指数在线分析仪，总磷在线分析仪，总氮在线分析仪</w:t>
            </w:r>
            <w:r/>
          </w:p>
        </w:tc>
      </w:tr>
      <w:tr>
        <w:trPr>
          <w:trHeight w:val="20"/>
        </w:trPr>
        <w:tc>
          <w:tcPr>
            <w:tcW w:w="70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10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锡山区</w:t>
            </w:r>
            <w:r/>
          </w:p>
        </w:tc>
        <w:tc>
          <w:tcPr>
            <w:tcW w:w="992"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锡北运河</w:t>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东荘大桥（固定式）</w:t>
            </w:r>
            <w:r/>
          </w:p>
        </w:tc>
        <w:tc>
          <w:tcPr>
            <w:tcW w:w="5254"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常规五参数在线分析仪（pH、温度、溶解氧、浊度、电导率），氨氮在线分析仪，高锰酸盐指数在线分析仪，总磷在线分析仪，总氮在线分析仪</w:t>
            </w:r>
            <w:r/>
          </w:p>
        </w:tc>
      </w:tr>
      <w:tr>
        <w:trPr>
          <w:trHeight w:val="20"/>
        </w:trPr>
        <w:tc>
          <w:tcPr>
            <w:tcW w:w="70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10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锡山区</w:t>
            </w:r>
            <w:r/>
          </w:p>
        </w:tc>
        <w:tc>
          <w:tcPr>
            <w:tcW w:w="9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大塘河</w:t>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陈墅大桥（固定式）</w:t>
            </w:r>
            <w:r/>
          </w:p>
        </w:tc>
        <w:tc>
          <w:tcPr>
            <w:tcW w:w="5254"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常规五参数在线分析仪（pH、温度、溶解氧、浊度、电导率），氨氮在线分析仪，高锰酸盐指数在线分析仪，总磷在线分析仪，总氮在线分析仪</w:t>
            </w:r>
            <w:r/>
          </w:p>
        </w:tc>
      </w:tr>
      <w:tr>
        <w:trPr>
          <w:trHeight w:val="20"/>
        </w:trPr>
        <w:tc>
          <w:tcPr>
            <w:tcW w:w="70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10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锡山区</w:t>
            </w:r>
            <w:r/>
          </w:p>
        </w:tc>
        <w:tc>
          <w:tcPr>
            <w:tcW w:w="9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东青河</w:t>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晃山桥（固定式）</w:t>
            </w:r>
            <w:r/>
          </w:p>
        </w:tc>
        <w:tc>
          <w:tcPr>
            <w:tcW w:w="5254"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常规五参数在线分析仪（pH、温度、溶解氧、浊度、电导率），氨氮在线分析仪，高锰酸盐指数在线分析仪，总磷在线分析仪，总氮在线分析仪</w:t>
            </w:r>
            <w:r/>
          </w:p>
        </w:tc>
      </w:tr>
      <w:tr>
        <w:trPr>
          <w:trHeight w:val="20"/>
        </w:trPr>
        <w:tc>
          <w:tcPr>
            <w:tcW w:w="70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102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惠山区</w:t>
            </w:r>
            <w:r/>
          </w:p>
        </w:tc>
        <w:tc>
          <w:tcPr>
            <w:tcW w:w="992"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京杭运河</w:t>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惠运大桥（固定式）</w:t>
            </w:r>
            <w:r/>
          </w:p>
        </w:tc>
        <w:tc>
          <w:tcPr>
            <w:tcW w:w="5254"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常规五参数在线分析仪（pH、温度、溶解氧、浊度、电导率），氨氮在线分析仪，高锰酸盐指数在线分析仪，总磷在线分析仪，总氮在线分析仪</w:t>
            </w:r>
            <w:r/>
          </w:p>
        </w:tc>
      </w:tr>
      <w:tr>
        <w:trPr>
          <w:trHeight w:val="20"/>
        </w:trPr>
        <w:tc>
          <w:tcPr>
            <w:tcW w:w="70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W w:w="102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滨湖区</w:t>
            </w:r>
            <w:r/>
          </w:p>
        </w:tc>
        <w:tc>
          <w:tcPr>
            <w:tcW w:w="992"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洋溪河</w:t>
            </w:r>
            <w:r/>
          </w:p>
        </w:tc>
        <w:tc>
          <w:tcPr>
            <w:tcW w:w="1559"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刘塘桥（固定式）</w:t>
            </w:r>
            <w:r/>
          </w:p>
        </w:tc>
        <w:tc>
          <w:tcPr>
            <w:tcW w:w="5254"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常规五参数在线分析仪（pH、温度、溶解氧、浊度、电导率），氨氮在线分析仪，高锰酸盐指数在线分析仪，总磷在线分析仪，总氮在线分析仪</w:t>
            </w:r>
            <w:r/>
          </w:p>
        </w:tc>
      </w:tr>
      <w:tr>
        <w:trPr>
          <w:trHeight w:val="20"/>
        </w:trPr>
        <w:tc>
          <w:tcPr>
            <w:tcW w:w="70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10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滨湖区</w:t>
            </w:r>
            <w:r/>
          </w:p>
        </w:tc>
        <w:tc>
          <w:tcPr>
            <w:tcW w:w="992"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古竹河</w:t>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古竹桥（固定式）</w:t>
            </w:r>
            <w:r/>
          </w:p>
        </w:tc>
        <w:tc>
          <w:tcPr>
            <w:tcW w:w="5254"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常规五参数在线分析仪（pH、温度、溶解氧、浊度、电导率），氨氮在线分析仪，高锰酸盐指数在线分析仪，总磷在线分析仪，总氮在线分析仪</w:t>
            </w:r>
            <w:r/>
          </w:p>
        </w:tc>
      </w:tr>
      <w:tr>
        <w:trPr>
          <w:trHeight w:val="20"/>
        </w:trPr>
        <w:tc>
          <w:tcPr>
            <w:tcW w:w="70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tcW w:w="102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滨湖区</w:t>
            </w:r>
            <w:r/>
          </w:p>
        </w:tc>
        <w:tc>
          <w:tcPr>
            <w:tcW w:w="992"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五里湖</w:t>
            </w:r>
            <w:r/>
          </w:p>
        </w:tc>
        <w:tc>
          <w:tcPr>
            <w:tcW w:w="1559"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渔父岛（固定式）</w:t>
            </w:r>
            <w:r/>
          </w:p>
        </w:tc>
        <w:tc>
          <w:tcPr>
            <w:tcW w:w="5254"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常规五参数在线分析仪（pH、温度、溶解氧、浊度、电导率），氨氮在线分析仪，高锰酸盐指数在线分析仪，总磷在线分析仪，总氮在线分析仪</w:t>
            </w:r>
            <w:r/>
          </w:p>
        </w:tc>
      </w:tr>
      <w:tr>
        <w:trPr>
          <w:trHeight w:val="20"/>
        </w:trPr>
        <w:tc>
          <w:tcPr>
            <w:tcW w:w="70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tcW w:w="102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新吴区</w:t>
            </w:r>
            <w:r/>
          </w:p>
        </w:tc>
        <w:tc>
          <w:tcPr>
            <w:tcW w:w="992"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伯渎港</w:t>
            </w:r>
            <w:r/>
          </w:p>
        </w:tc>
        <w:tc>
          <w:tcPr>
            <w:tcW w:w="1559"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梅村大桥（固定式）</w:t>
            </w:r>
            <w:r/>
          </w:p>
        </w:tc>
        <w:tc>
          <w:tcPr>
            <w:tcW w:w="5254"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常规五参数在线分析仪（pH、温度、溶解氧、浊度、电导率），氨氮在线分析仪，高锰酸盐指数在线分析仪，总磷在线分析仪，总氮在线分析仪</w:t>
            </w:r>
            <w:bookmarkEnd w:id="151"/>
            <w:r/>
            <w:r/>
          </w:p>
        </w:tc>
      </w:tr>
    </w:tbl>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2"/>
        <w:jc w:val="left"/>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附表2水质自动监测站运维情况考核表</w:t>
      </w:r>
      <w:r/>
    </w:p>
    <w:p>
      <w:p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考核站点：              运营商：                          考核时间：</w:t>
      </w:r>
      <w:r/>
    </w:p>
    <w:tbl>
      <w:tblPr>
        <w:tblStyle w:val="736"/>
        <w:tblW w:w="9649"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2495"/>
        <w:gridCol w:w="4914"/>
        <w:gridCol w:w="1289"/>
      </w:tblGrid>
      <w:tr>
        <w:trPr>
          <w:trHeight w:val="285"/>
        </w:trPr>
        <w:tc>
          <w:tcPr>
            <w:tcW w:w="951"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考核内容</w:t>
            </w:r>
            <w:r/>
          </w:p>
        </w:tc>
        <w:tc>
          <w:tcPr>
            <w:tcW w:w="2495"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考核要求</w:t>
            </w:r>
            <w:r/>
          </w:p>
        </w:tc>
        <w:tc>
          <w:tcPr>
            <w:tcW w:w="4914"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评分细则</w:t>
            </w:r>
            <w:r/>
          </w:p>
        </w:tc>
        <w:tc>
          <w:tcPr>
            <w:tcW w:w="1289"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得分</w:t>
            </w:r>
            <w:r/>
          </w:p>
        </w:tc>
      </w:tr>
      <w:tr>
        <w:trPr>
          <w:trHeight w:val="2110"/>
        </w:trPr>
        <w:tc>
          <w:tcPr>
            <w:tcW w:w="95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数据有效运行率（30分）</w:t>
            </w:r>
            <w:r/>
          </w:p>
        </w:tc>
        <w:tc>
          <w:tcPr>
            <w:tcW w:w="24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3.2pt;height:17.2pt;mso-wrap-distance-left:0.0pt;mso-wrap-distance-top:0.0pt;mso-wrap-distance-right:0.0pt;mso-wrap-distance-bottom:0.0pt;" filled="f" stroked="f">
                  <v:path textboxrect="0,0,0,0"/>
                  <v:imagedata r:id="rId13" o:title=""/>
                </v:shape>
                <o:OLEObject DrawAspect="Content" r:id="rId14" ObjectID="_1525042" ProgID="Equation.3" ShapeID="_x0000_i2" Type="Embed"/>
              </w:object>
            </w:r>
            <w:r/>
          </w:p>
        </w:tc>
        <w:tc>
          <w:tcPr>
            <w:tcW w:w="4914"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水站数据有效率≥93%得满分；93%＞水站数据有效率≥90%得17分；90%＞水站数据有效率≥85%或现场存在故障仪器2天以上未修复的得10分；水站数据有效率＜85%或现场仪器1个月以上未修复的不得分；单参数月运转率低于95%，每项扣1分，低于85%扣2分</w:t>
            </w:r>
            <w:r/>
          </w:p>
        </w:tc>
        <w:tc>
          <w:tcPr>
            <w:tcW w:w="128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735"/>
        </w:trPr>
        <w:tc>
          <w:tcPr>
            <w:tcW w:w="95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现场核查（10分）</w:t>
            </w:r>
            <w:r/>
          </w:p>
        </w:tc>
        <w:tc>
          <w:tcPr>
            <w:tcW w:w="24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position w:val="-26"/>
                <w:sz w:val="24"/>
                <w:szCs w:val="24"/>
                <w:highlight w:val="none"/>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1.8pt;height:19.5pt;mso-wrap-distance-left:0.0pt;mso-wrap-distance-top:0.0pt;mso-wrap-distance-right:0.0pt;mso-wrap-distance-bottom:0.0pt;" filled="f" stroked="f">
                  <v:path textboxrect="0,0,0,0"/>
                  <v:imagedata r:id="rId15" o:title=""/>
                </v:shape>
                <o:OLEObject DrawAspect="Content" r:id="rId16" ObjectID="_1525043" ProgID="Equation.3" ShapeID="_x0000_i3" Type="Embed"/>
              </w:object>
            </w:r>
            <w:r/>
          </w:p>
        </w:tc>
        <w:tc>
          <w:tcPr>
            <w:tcW w:w="4914"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现场核查合格率为100%得满分；100%＞现场核查合格率≥95%得8分；95%＞现场核查合格率≥90%得5分；90%＞现场核查合格率≥85%得2分；85%＞现场核查合格率不得分。</w:t>
            </w:r>
            <w:r/>
          </w:p>
        </w:tc>
        <w:tc>
          <w:tcPr>
            <w:tcW w:w="128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915"/>
        </w:trPr>
        <w:tc>
          <w:tcPr>
            <w:tcW w:w="95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在线率（10分）</w:t>
            </w:r>
            <w:r/>
          </w:p>
        </w:tc>
        <w:tc>
          <w:tcPr>
            <w:tcW w:w="24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4.0pt;height:19.5pt;mso-wrap-distance-left:0.0pt;mso-wrap-distance-top:0.0pt;mso-wrap-distance-right:0.0pt;mso-wrap-distance-bottom:0.0pt;" filled="f" stroked="f">
                  <v:path textboxrect="0,0,0,0"/>
                  <v:imagedata r:id="rId17" o:title=""/>
                </v:shape>
                <o:OLEObject DrawAspect="Content" r:id="rId18" ObjectID="_1525044" ProgID="Equation.3" ShapeID="_x0000_i4" Type="Embed"/>
              </w:object>
            </w:r>
            <w:r/>
          </w:p>
        </w:tc>
        <w:tc>
          <w:tcPr>
            <w:tcW w:w="4914"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在线率≥95%得满分；95%＞在线率≥90%得7分；90%＞在线率≥85%的得4分；在线率＜85%的不得分。</w:t>
            </w:r>
            <w:r/>
          </w:p>
        </w:tc>
        <w:tc>
          <w:tcPr>
            <w:tcW w:w="128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65"/>
        </w:trPr>
        <w:tc>
          <w:tcPr>
            <w:tcW w:w="951"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运维内容（10分）</w:t>
            </w:r>
            <w:r/>
          </w:p>
        </w:tc>
        <w:tc>
          <w:tcPr>
            <w:tcW w:w="24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标体或采水系统（3分）</w:t>
            </w:r>
            <w:r/>
          </w:p>
        </w:tc>
        <w:tc>
          <w:tcPr>
            <w:tcW w:w="4914"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（浮标站）保证浮标体及仪器套筒清洁的得</w:t>
            </w:r>
            <w:r/>
          </w:p>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（固定站）采水系统正常运行的得3分</w:t>
            </w:r>
            <w:r/>
          </w:p>
        </w:tc>
        <w:tc>
          <w:tcPr>
            <w:tcW w:w="128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65"/>
        </w:trPr>
        <w:tc>
          <w:tcPr>
            <w:tcW w:w="951"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4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维护频次（2分）</w:t>
            </w:r>
            <w:r/>
          </w:p>
        </w:tc>
        <w:tc>
          <w:tcPr>
            <w:tcW w:w="4914"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运维频次满足标书要求，定期进行电极清洗和管路清洗得2分，</w:t>
            </w:r>
            <w:r/>
          </w:p>
        </w:tc>
        <w:tc>
          <w:tcPr>
            <w:tcW w:w="128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65"/>
        </w:trPr>
        <w:tc>
          <w:tcPr>
            <w:tcW w:w="951"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4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自动监测仪器（3分）</w:t>
            </w:r>
            <w:r/>
          </w:p>
        </w:tc>
        <w:tc>
          <w:tcPr>
            <w:tcW w:w="4914"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定期更换易耗品；定期校准仪器；仪器故障及时报修</w:t>
            </w:r>
            <w:r/>
          </w:p>
        </w:tc>
        <w:tc>
          <w:tcPr>
            <w:tcW w:w="128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285"/>
        </w:trPr>
        <w:tc>
          <w:tcPr>
            <w:tcW w:w="951"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4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通讯（1分）</w:t>
            </w:r>
            <w:r/>
          </w:p>
        </w:tc>
        <w:tc>
          <w:tcPr>
            <w:tcW w:w="4914"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保证无线通讯线路的畅通得1分</w:t>
            </w:r>
            <w:r/>
          </w:p>
        </w:tc>
        <w:tc>
          <w:tcPr>
            <w:tcW w:w="128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65"/>
        </w:trPr>
        <w:tc>
          <w:tcPr>
            <w:tcW w:w="951"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4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运维质控记录（1分）</w:t>
            </w:r>
            <w:r/>
          </w:p>
        </w:tc>
        <w:tc>
          <w:tcPr>
            <w:tcW w:w="4914"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运维记录、质控记录、备品备件更换等记录齐全，档案完整，缺一项扣0.2分</w:t>
            </w:r>
            <w:r/>
          </w:p>
        </w:tc>
        <w:tc>
          <w:tcPr>
            <w:tcW w:w="128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65"/>
        </w:trPr>
        <w:tc>
          <w:tcPr>
            <w:tcW w:w="95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日常质控结果（10分）</w:t>
            </w:r>
            <w:r/>
          </w:p>
        </w:tc>
        <w:tc>
          <w:tcPr>
            <w:tcW w:w="24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定期校准</w:t>
            </w:r>
            <w:r/>
          </w:p>
        </w:tc>
        <w:tc>
          <w:tcPr>
            <w:tcW w:w="4914"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按要求定期校准；缺一次扣2分</w:t>
            </w:r>
            <w:r/>
          </w:p>
        </w:tc>
        <w:tc>
          <w:tcPr>
            <w:tcW w:w="128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65"/>
        </w:trPr>
        <w:tc>
          <w:tcPr>
            <w:tcW w:w="951"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运维响应（30分，每项5分）</w:t>
            </w:r>
            <w:r/>
          </w:p>
        </w:tc>
        <w:tc>
          <w:tcPr>
            <w:tcW w:w="24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应急响应</w:t>
            </w:r>
            <w:r/>
          </w:p>
        </w:tc>
        <w:tc>
          <w:tcPr>
            <w:tcW w:w="4914"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对水质异常响应及时，能够及时判断仪器状态得满分，否则酌情扣分</w:t>
            </w:r>
            <w:r/>
          </w:p>
        </w:tc>
        <w:tc>
          <w:tcPr>
            <w:tcW w:w="128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285"/>
        </w:trPr>
        <w:tc>
          <w:tcPr>
            <w:tcW w:w="951"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4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故障响应</w:t>
            </w:r>
            <w:r/>
          </w:p>
        </w:tc>
        <w:tc>
          <w:tcPr>
            <w:tcW w:w="4914"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站点故障时响应迅速，解决及时得满分，否则酌情扣分</w:t>
            </w:r>
            <w:r/>
          </w:p>
        </w:tc>
        <w:tc>
          <w:tcPr>
            <w:tcW w:w="1289"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390"/>
        </w:trPr>
        <w:tc>
          <w:tcPr>
            <w:tcW w:w="951"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4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反馈信息</w:t>
            </w:r>
            <w:r/>
          </w:p>
        </w:tc>
        <w:tc>
          <w:tcPr>
            <w:tcW w:w="4914"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能够及时反映水质、仪器故障信息得满分，否则酌情扣分</w:t>
            </w:r>
            <w:r/>
          </w:p>
        </w:tc>
        <w:tc>
          <w:tcPr>
            <w:tcW w:w="128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285"/>
        </w:trPr>
        <w:tc>
          <w:tcPr>
            <w:tcW w:w="951"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4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技术保障</w:t>
            </w:r>
            <w:r/>
          </w:p>
        </w:tc>
        <w:tc>
          <w:tcPr>
            <w:tcW w:w="4914"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人员技术水平高，能及时解决相关故障</w:t>
            </w:r>
            <w:r/>
          </w:p>
        </w:tc>
        <w:tc>
          <w:tcPr>
            <w:tcW w:w="128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65"/>
        </w:trPr>
        <w:tc>
          <w:tcPr>
            <w:tcW w:w="951"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4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人员、车辆保障</w:t>
            </w:r>
            <w:r/>
          </w:p>
        </w:tc>
        <w:tc>
          <w:tcPr>
            <w:tcW w:w="4914"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满足专职人员4人、驻场1人、2车得满分，否则酌情扣分；随意变更运维人员的不得分</w:t>
            </w:r>
            <w:r/>
          </w:p>
        </w:tc>
        <w:tc>
          <w:tcPr>
            <w:tcW w:w="128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285"/>
        </w:trPr>
        <w:tc>
          <w:tcPr>
            <w:tcW w:w="951"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4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备品备件</w:t>
            </w:r>
            <w:r/>
          </w:p>
        </w:tc>
        <w:tc>
          <w:tcPr>
            <w:tcW w:w="4914"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备品备件按合同及时提供得满分，否则酌情扣分</w:t>
            </w:r>
            <w:r/>
          </w:p>
        </w:tc>
        <w:tc>
          <w:tcPr>
            <w:tcW w:w="128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285"/>
        </w:trPr>
        <w:tc>
          <w:tcPr>
            <w:gridSpan w:val="3"/>
            <w:tcW w:w="836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合计（分）</w:t>
            </w:r>
            <w:r/>
          </w:p>
        </w:tc>
        <w:tc>
          <w:tcPr>
            <w:tcW w:w="128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1.2实施办法</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1.2.1按月对每个站点单独考核，单次考核结果在90分以上不扣款，90分以下按比例扣除相应运行费，其中：</w:t>
      </w:r>
      <w:r/>
    </w:p>
    <w:p>
      <w:pPr>
        <w:ind w:firstLine="480"/>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对本次运行维护内容进行综合考核，考核结果在9</w:t>
      </w:r>
      <w:r>
        <w:rPr>
          <w:rFonts w:hint="default" w:ascii="宋体" w:hAnsi="宋体" w:eastAsia="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分以下按比例扣除相应设备运行费，其中：</w:t>
      </w:r>
      <w:r/>
    </w:p>
    <w:p>
      <w:pPr>
        <w:ind w:firstLine="480"/>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（1）考核结果在8</w:t>
      </w:r>
      <w:r>
        <w:rPr>
          <w:rFonts w:hint="default"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分（含）以上，9</w:t>
      </w:r>
      <w:r>
        <w:rPr>
          <w:rFonts w:hint="default" w:ascii="宋体" w:hAnsi="宋体" w:eastAsia="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分（不含）以下，扣除该设备平均月均运行维护费用的10%。</w:t>
      </w:r>
      <w:r/>
    </w:p>
    <w:p>
      <w:pPr>
        <w:ind w:firstLine="480"/>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）考核结果在8</w:t>
      </w:r>
      <w:r>
        <w:rPr>
          <w:rFonts w:hint="default" w:ascii="宋体" w:hAnsi="宋体" w:eastAsia="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分（含）以上，8</w:t>
      </w:r>
      <w:r>
        <w:rPr>
          <w:rFonts w:hint="default"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分（不含）以下，扣除该设备平均月均运行维护费用的2</w:t>
      </w:r>
      <w:r>
        <w:rPr>
          <w:rFonts w:hint="default" w:ascii="宋体" w:hAnsi="宋体" w:eastAsia="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w:t>
      </w:r>
      <w:r/>
    </w:p>
    <w:p>
      <w:pPr>
        <w:ind w:firstLine="480"/>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）考核结果在7</w:t>
      </w:r>
      <w:r>
        <w:rPr>
          <w:rFonts w:hint="default"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分（含）以上，8</w:t>
      </w:r>
      <w:r>
        <w:rPr>
          <w:rFonts w:hint="default" w:ascii="宋体" w:hAnsi="宋体" w:eastAsia="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分（不含）以下，扣除该设备平均月均运行维护费用的40%。</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）考核结果在7</w:t>
      </w:r>
      <w:r>
        <w:rPr>
          <w:rFonts w:hint="default" w:ascii="宋体" w:hAnsi="宋体" w:eastAsia="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分（含）以上，7</w:t>
      </w:r>
      <w:r>
        <w:rPr>
          <w:rFonts w:hint="default"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分（不含）以下，扣除该设备平均月均运行维护费用的60%。</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（5）考核结果在70分</w:t>
      </w:r>
      <w:r>
        <w:rPr>
          <w:rFonts w:hint="eastAsia" w:ascii="Times New Roman" w:hAnsi="Times New Roman" w:eastAsia="宋体" w:cs="Times New Roman"/>
          <w:color w:val="auto"/>
          <w:sz w:val="24"/>
          <w:szCs w:val="24"/>
          <w:highlight w:val="none"/>
          <w:lang w:val="en-US" w:eastAsia="zh-CN" w:bidi="ar-SA"/>
        </w:rPr>
        <w:t xml:space="preserve">（不含）以下的，扣除平均月度运行维护费用的</w:t>
      </w:r>
      <w:r>
        <w:rPr>
          <w:rFonts w:hint="default" w:ascii="Times New Roman" w:hAnsi="Times New Roman" w:eastAsia="宋体" w:cs="Times New Roman"/>
          <w:color w:val="auto"/>
          <w:sz w:val="24"/>
          <w:szCs w:val="24"/>
          <w:highlight w:val="none"/>
          <w:lang w:val="en-US" w:eastAsia="zh-CN" w:bidi="ar-SA"/>
        </w:rPr>
        <w:t xml:space="preserve">10</w:t>
      </w:r>
      <w:r>
        <w:rPr>
          <w:rFonts w:hint="eastAsia" w:ascii="Times New Roman" w:hAnsi="Times New Roman" w:eastAsia="宋体" w:cs="Times New Roman"/>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并责令限期整改。</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1.2.2整体情况考核出现下列情况之一的，采购人有权终止合同，同时下阶段运维招标不予考虑，并有权对中标供应商按每个水质自动站年费用的30%至50%进行经济赔偿。</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（1）月运行率与月数据有效率持续两个月低于85%；</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（2）连续一周日有效数据低于标书要求的；</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（3）综合考核结果在70分以下；</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（4）单站点整改不力或拒不整改；</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（5）中标方制造虚假数据或肆意修改仪器监测参数。</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 如果违反4.1，采购人视后果轻重有权对中标供应商按每个水质自动站年费用的10%至20%进行经济赔偿。</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1.2.4如果违反4.2，采购人视后果轻重有权对中标供应商按每个水质自动站年费用的5%-10%进行经济赔偿。</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1.2.5解除合同前，运营商必须对所运营的站点按接手时的仪器配置品牌型号进行全面大修，确保整个站点仪器数据有效率大于90%，整个系统运转率大于95%。</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1.2.6合同解除前对水质自动站进行评估，若达不到1.2.5要求，新的托管方在修复并达到1.2.5考核要求时，所需费用由中标供应商支付。</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1.2.7按照考核要求扣除的费用用于按合同约定延长相应的运维时间。</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（七）采购标的的其他技术、服务等要求： </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1、在合同生效前原运维公司、中标供应商及采购人共同对水质自动监测系统的运行情况、仪器运行情况，数据采集情况进行实际考察，并且做好备案。</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2、派驻1名环境相关专业本科以上学历人员至采购人指定地点开展驻场服务至服务期结束，服务期结束后驻场人员须按采购人要求做好工作交接，交接工作完成并得到采购方认可后方可结束驻场服务。</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pacing w:line="240" w:lineRule="auto"/>
        <w:widowControl/>
        <w:rPr>
          <w:rFonts w:hint="default" w:ascii="仿宋_GB2312" w:hAnsi="Times New Roman" w:eastAsia="仿宋_GB2312" w:cs="Times New Roman"/>
          <w:color w:val="auto"/>
          <w:sz w:val="28"/>
          <w:szCs w:val="20"/>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br w:type="page" w:clear="all"/>
      </w:r>
      <w:r/>
    </w:p>
    <w:p>
      <w:pPr>
        <w:ind w:firstLine="480"/>
        <w:spacing w:line="360" w:lineRule="auto"/>
        <w:rPr>
          <w:rFonts w:hint="eastAsia" w:ascii="宋体" w:hAnsi="宋体" w:eastAsia="宋体" w:cs="宋体"/>
          <w:b/>
          <w:bCs/>
          <w:color w:val="auto"/>
          <w:sz w:val="30"/>
          <w:szCs w:val="30"/>
          <w:highlight w:val="none"/>
          <w:lang w:val="en-US" w:eastAsia="zh-CN" w:bidi="ar-SA"/>
        </w:rPr>
      </w:pPr>
      <w:r>
        <w:rPr>
          <w:rFonts w:hint="eastAsia" w:ascii="宋体" w:hAnsi="宋体" w:eastAsia="宋体" w:cs="宋体"/>
          <w:b/>
          <w:bCs/>
          <w:color w:val="auto"/>
          <w:sz w:val="30"/>
          <w:szCs w:val="30"/>
          <w:highlight w:val="none"/>
          <w:lang w:val="en-US" w:eastAsia="zh-CN" w:bidi="ar-SA"/>
        </w:rPr>
        <w:t xml:space="preserve">采购包2：无锡市市建水站运维项目（浮标站）运维服务</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（一）采购标的需实现的功能或者目标，以及为落实政府采购政策需满足的要求：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1、为了进一步加强水质自动站运行管理，继续推进二级质控社会化运营模式，拟对今年我市浮标式水质自动站进行第三方运维采购，运维时间为合同签订之日起一年。</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具体情况见下表。</w:t>
      </w:r>
      <w:r/>
    </w:p>
    <w:tbl>
      <w:tblPr>
        <w:tblStyle w:val="736"/>
        <w:tblW w:w="4997"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1005"/>
        <w:gridCol w:w="1663"/>
        <w:gridCol w:w="2492"/>
        <w:gridCol w:w="3498"/>
        <w:gridCol w:w="1474"/>
      </w:tblGrid>
      <w:tr>
        <w:trPr>
          <w:jc w:val="center"/>
          <w:trHeight w:val="402"/>
        </w:trPr>
        <w:tc>
          <w:tcPr>
            <w:tcW w:w="845"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1398"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所在地区</w:t>
            </w:r>
            <w:r/>
          </w:p>
        </w:tc>
        <w:tc>
          <w:tcPr>
            <w:tcW w:w="2095"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河流及湖体名称</w:t>
            </w:r>
            <w:r/>
          </w:p>
        </w:tc>
        <w:tc>
          <w:tcPr>
            <w:tcW w:w="2941"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站点名称</w:t>
            </w:r>
            <w:r/>
          </w:p>
        </w:tc>
        <w:tc>
          <w:tcPr>
            <w:tcW w:w="1239"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备注</w:t>
            </w:r>
            <w:r/>
          </w:p>
        </w:tc>
      </w:tr>
      <w:tr>
        <w:trPr>
          <w:jc w:val="center"/>
          <w:trHeight w:val="402"/>
        </w:trPr>
        <w:tc>
          <w:tcPr>
            <w:tcW w:w="8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1398"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20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294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沙渚东（浮标站）</w:t>
            </w:r>
            <w:r/>
          </w:p>
        </w:tc>
        <w:tc>
          <w:tcPr>
            <w:tcW w:w="123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tcW w:w="8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1398"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20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294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沙渚西（浮标站）</w:t>
            </w:r>
            <w:r/>
          </w:p>
        </w:tc>
        <w:tc>
          <w:tcPr>
            <w:tcW w:w="123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tcW w:w="8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1398"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20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294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龙头渚（浮标站）</w:t>
            </w:r>
            <w:r/>
          </w:p>
        </w:tc>
        <w:tc>
          <w:tcPr>
            <w:tcW w:w="123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tcW w:w="8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1398"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20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294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宜兴西（浮标站）</w:t>
            </w:r>
            <w:r/>
          </w:p>
        </w:tc>
        <w:tc>
          <w:tcPr>
            <w:tcW w:w="123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tcW w:w="8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1398"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20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294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锡东东（浮标站）</w:t>
            </w:r>
            <w:r/>
          </w:p>
        </w:tc>
        <w:tc>
          <w:tcPr>
            <w:tcW w:w="123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tcW w:w="8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1398"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20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294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锡东西（浮标站）</w:t>
            </w:r>
            <w:r/>
          </w:p>
        </w:tc>
        <w:tc>
          <w:tcPr>
            <w:tcW w:w="123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tcW w:w="8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1398"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20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294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五里湖东（浮标站）</w:t>
            </w:r>
            <w:r/>
          </w:p>
        </w:tc>
        <w:tc>
          <w:tcPr>
            <w:tcW w:w="123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tcW w:w="8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1398"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20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294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五里湖西（浮标站）</w:t>
            </w:r>
            <w:r/>
          </w:p>
        </w:tc>
        <w:tc>
          <w:tcPr>
            <w:tcW w:w="123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tcW w:w="8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W w:w="1398"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20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294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鼋头渚北（浮标站）</w:t>
            </w:r>
            <w:r/>
          </w:p>
        </w:tc>
        <w:tc>
          <w:tcPr>
            <w:tcW w:w="123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tcW w:w="8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1398"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20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294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梅梁湖北（浮标站）</w:t>
            </w:r>
            <w:r/>
          </w:p>
        </w:tc>
        <w:tc>
          <w:tcPr>
            <w:tcW w:w="123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tcW w:w="8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tcW w:w="1398"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20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294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观景台（浮标站）</w:t>
            </w:r>
            <w:r/>
          </w:p>
        </w:tc>
        <w:tc>
          <w:tcPr>
            <w:tcW w:w="1239" w:type="dxa"/>
            <w:vAlign w:val="center"/>
            <w:vMerge w:val="restart"/>
            <w:textDirection w:val="lrTb"/>
            <w:noWrap w:val="false"/>
          </w:tcPr>
          <w:p>
            <w:pPr>
              <w:jc w:val="center"/>
              <w:spacing w:line="360" w:lineRule="auto"/>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r>
        <w:trPr>
          <w:jc w:val="center"/>
          <w:trHeight w:val="402"/>
        </w:trPr>
        <w:tc>
          <w:tcPr>
            <w:tcW w:w="8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tcW w:w="1398"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209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294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壬子港（浮标站）</w:t>
            </w:r>
            <w:r/>
          </w:p>
        </w:tc>
        <w:tc>
          <w:tcPr>
            <w:tcW w:w="123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供应商应针对本次项目考虑涉及的相关费用，包括但不限于人员车辆费用、仪器设备易损易耗品费用、试剂费用、质控措施费用、配件更换费用、用船费用、网络传输费用等。</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2、为落实政府采购政策需满足的要求：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（1）按照《政府采购促进中小企业发展暂行办法》（财库〔2011〕181号）的规定，对小型和微型企业产品的价格给予10%的扣除；</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（2）按照《财政部司法部关于政府采购支持监狱企业发展有关问题的通知》（财库〔2014〕68号）文件规定，在政府采购活动中，监狱企业视同小型、微型企业，享受评审中价格扣除的政府采购政策；</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按照《财政部民政部中国残疾人联合会关于促进残疾人就业政府采购政策的通知》，残疾人福利性单位视同小型、微型企业，享受评审中价格扣除的政府采购政策，残疾人福利性单位属于小型、微型企业的，不重复享受政策。</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（二）采购标的需执行的国家相关标准、行业标准、地方标准或者其他标准、规范：</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《地表水自动监测技术规范（试行）》（HJ 915-2017）</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国家标准方法和《水和废水监测分析方法》</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《国家地表水自动监测站运行管理办法》</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《国家地表水水质自动监测站运行维护管理实施细则（试行）》</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《地表水水质自动监测站运行维护技术要求（试行）》</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《江苏省环境水质（地表水）自动监测预警系统运行管理办法（试行）》及其实施细则</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《无锡市地表水水质自动监测站运行管理办法（试行）》</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《环境水质监测质量保证手册》</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HYPERLINK "http://www.sepa.gov.cn/image20010518/1782.pdf"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地表水和污水监测技术规范》（HJ/T91-2002 ）</w:t>
      </w:r>
      <w:r>
        <w:rPr>
          <w:rFonts w:hint="eastAsia" w:ascii="宋体" w:hAnsi="宋体" w:eastAsia="宋体" w:cs="宋体"/>
          <w:color w:val="auto"/>
          <w:sz w:val="24"/>
          <w:szCs w:val="24"/>
          <w:highlight w:val="none"/>
          <w:lang w:val="en-US" w:eastAsia="zh-CN" w:bidi="ar-SA"/>
        </w:rPr>
        <w:fldChar w:fldCharType="end"/>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《水质河流采样技术指导》（HJ/T52-1999）</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《pH水质自动分析仪技术要求》（HJ/T96-2003）</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《电导率水质自动分析仪技术要求》（HJ/T97-2003）</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《浊度水质自动分析仪技术要求》（HJ/T98-2003）</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《溶解氧（DO）水质自动分析仪技术要求》（HJ/T99-2003）</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《高锰酸盐指数水质自动分析仪技术要求》（HJ/T100-2003）</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《氨氮水质自动分析仪技术要求》（HJ/T101-2003）</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《总氮水质自动分析仪技术要求》（GB/T 11894-1989）</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《总磷水质自动分析仪技术要求》（GB/T 11893-1989）</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《声学多普勒流量测验规范》（SL337-2006）</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如水站管理办法中的相关要求与标书内容出现差异时，按照就高不就低的原则执行。</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（三）采购标的需满足的质量、安全、技术规格、物理特性等要求：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凡标有“▲”的内容均被视为重要的技术要求和性能指标。供应商必须响应，如不响应按无效标书处理。</w:t>
      </w:r>
      <w:r/>
    </w:p>
    <w:p>
      <w:pPr>
        <w:ind w:firstLine="48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1、总体要求</w:t>
      </w:r>
      <w:r/>
    </w:p>
    <w:p>
      <w:pPr>
        <w:ind w:firstLine="48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1.1对供应商公司要求</w:t>
      </w:r>
      <w:r/>
    </w:p>
    <w:p>
      <w:pPr>
        <w:ind w:firstLine="48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1.1.1 供应商保证资金充足。</w:t>
      </w:r>
      <w:r/>
    </w:p>
    <w:p>
      <w:pPr>
        <w:ind w:firstLine="48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▲1.1.2 供应商应具备完善的仪表配件供应渠道并在中标后提供相应的证明。</w:t>
      </w:r>
      <w:r/>
    </w:p>
    <w:p>
      <w:pPr>
        <w:ind w:firstLine="48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▲1.1.3供应商必</w:t>
      </w:r>
      <w:r>
        <w:rPr>
          <w:rFonts w:hint="eastAsia" w:ascii="宋体" w:hAnsi="宋体" w:eastAsia="宋体" w:cs="宋体"/>
          <w:b/>
          <w:bCs/>
          <w:color w:val="auto"/>
          <w:sz w:val="24"/>
          <w:szCs w:val="24"/>
          <w:highlight w:val="none"/>
          <w:lang w:val="en-US" w:eastAsia="zh-CN" w:bidi="ar-SA"/>
        </w:rPr>
        <w:t xml:space="preserve">须在中标后为本项目在无锡市设立服务及办事机构，主要运维技术人员至少配置5人，从事水质自动站运营二年以上的工作人员不低于本项目运维人员数的20%。投标所提供的运维技术人员队伍必须与正式运维时技术人员队伍一致，如有运维人员变动应提前通知采购人并得到采购人同意方可变更。（采购方将不定期进行抽查，若发现人员数量和投标文件不符，可以终止服务合同，项目之前的服务费用不予支付）运维公司必须按照《无锡市地表水水质自动监测站运行管理办法（试行）》的要求聘用足够水平的运行维护专业技术人员，并提供聘用合同及职工社会保险缴纳证明。</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▲1.1.4供应商应提供完整的水质自动监测系统运维实施方案（含应急情况处理方案），提出解决目前存在问题的措施，明确维护方法、周期、内容及技术保障。</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1.1.5供应商应列明水质自动监测系统运行及管理期间的各项费用预算开支，包括但不限于人员车辆费用、仪器设备易损易耗品费用、试剂费用、质控措施费用、配件更换费用、用船费用、网络传输费用等。</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1.1.6在水质自动监测系统运维及管理期间，在合同约束范围内中标供应商拥有管理自主权：不能以任何形式外包合同规定的运行维护任务。</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1.1.7在水质自动监测系统运维及管理期间，中标供应商应严格按照采购人提供的操作规范和规章制度，对所管理的系统及仪器设备进行规范操作和精心维护及维修，保证系统及仪器设备的正常运行，达到采购人提出的系统及仪器设备考核指标要求。中标供应商必须接受采购人或采购人授权单位的定期或不定期检查和考核。</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1.1.8不论何时，中标供应商都应承担监测数据的保密责任；中标供应商按照采购人的要求，进行报告和传输有关的监测数据，均不得以任何方式和渠道向外界传递任何监测数据。</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1.1.9不论何时，中标供应商无权将采购人的任何资产进行对外投资、合作、经济担保及资产抵押。</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▲1.1.10供应商应提供完整的水质自动监测运维人员管理方案，提供稳定运维人员队伍的措施。</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1.1.11现场传输网络为无线专用网络，需要配置APN卡，</w:t>
      </w:r>
      <w:r>
        <w:rPr>
          <w:rFonts w:hint="eastAsia" w:ascii="宋体" w:hAnsi="宋体" w:eastAsia="宋体" w:cs="Arial"/>
          <w:color w:val="auto"/>
          <w:sz w:val="24"/>
          <w:szCs w:val="24"/>
          <w:highlight w:val="none"/>
          <w:lang w:val="en-US" w:eastAsia="zh-CN" w:bidi="ar-SA"/>
        </w:rPr>
        <w:t xml:space="preserve">满足数据传输要求</w:t>
      </w:r>
      <w:r>
        <w:rPr>
          <w:rFonts w:hint="eastAsia" w:ascii="宋体" w:hAnsi="宋体" w:eastAsia="宋体" w:cs="宋体"/>
          <w:color w:val="auto"/>
          <w:sz w:val="24"/>
          <w:szCs w:val="24"/>
          <w:highlight w:val="none"/>
          <w:lang w:val="en-US" w:eastAsia="zh-CN" w:bidi="ar-SA"/>
        </w:rPr>
        <w:t xml:space="preserve">。</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1.1.12供应商需安排人员配合招标方完成第四方质控单位核查等现场检查工作。</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1.2对供应商装备的要求：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1.2.1供应商应具有水质自动系统常规参数（如五参数等）的国际知名品牌的实验室分析仪器和便携式仪器，并在需要时用于水质自动站的比对考核；供应商必须自有或委托通过计量认证的实验室，满足试剂配制、标样考核（中标供应商自控）及比对分析技术要求</w:t>
      </w:r>
      <w:r>
        <w:rPr>
          <w:rFonts w:hint="eastAsia" w:ascii="宋体" w:hAnsi="宋体" w:eastAsia="宋体" w:cs="宋体"/>
          <w:b/>
          <w:bCs/>
          <w:color w:val="auto"/>
          <w:sz w:val="24"/>
          <w:szCs w:val="24"/>
          <w:highlight w:val="none"/>
          <w:lang w:val="en-US" w:eastAsia="zh-CN" w:bidi="ar-SA"/>
        </w:rPr>
        <w:t xml:space="preserve">（投标时均需提供证明材料）</w:t>
      </w:r>
      <w:r>
        <w:rPr>
          <w:rFonts w:hint="eastAsia" w:ascii="宋体" w:hAnsi="宋体" w:eastAsia="宋体" w:cs="宋体"/>
          <w:color w:val="auto"/>
          <w:sz w:val="24"/>
          <w:szCs w:val="24"/>
          <w:highlight w:val="none"/>
          <w:lang w:val="en-US" w:eastAsia="zh-CN" w:bidi="ar-SA"/>
        </w:rPr>
        <w:t xml:space="preserve">。</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1.2.2供应商应在中标后在无锡市配备专业人员，巡检人员必须配备专用工具，包括便携式电脑、万用表、远程数据查询系统等；同时，还须配备通讯调试工具，包括各种硬件接口线、改线工具、接口调试软件及常用零部件等。</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供应商在中标后为实施本项目，人员和交通工具的配置要求：需保障至少4个专业技术人员、2辆运维保障车辆，同时对特殊情况（人员临时变动，车辆使用冲突等情况）需制定相应的保障措施（每年不定期将对上述保障项目进行随机抽检）。</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2、对中标供应商运维管理要求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2.2.1市建水质自动监测站（浮标站）运维与质控必须按照《国家地表水水质自动监测站运行维护管理实施细则（试行）》与《地表水水质自动监测站运行维护技术要求（试行）》进行。</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运维期内必须对pH电极、溶解氧电极按照采购人指定时间进行一次更换，提前一个月通知（如遇电极损坏等情况，需及时更换）；提供仪器厂家备品备件与耗材更换周期要求，按期更换。备品备件及耗材必须单独报价并附有详细清单。水站仪表所需的校准液、缓冲液等试剂必须在受控实验室配制并定期更换。</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▲2.2.3须针对水站系统和仪表制定每年保养检修计划并按期进行。保养检修须包括系统的全面清洗和检修、主要备件的更换、仪器的性能测试检查等内容。</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▲2.2.4按照《无锡市地表水水质自动监测站运行管理办法（试行）》等文件要求，及时排除水站系统和仪表出现的故障（由于地震、洪水和战争等不可预防和不可抗拒因素造成的自动站系统及仪器损坏除外）。</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2.2.5对水站仪表按相应的运维要求进行定期校准、核查、比对、性能测试等质控工作。</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2.2.6配合采购人进行水站外部质量保证和质量控制工作。</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2.2.7流量计每年进行一次率定，并提供率定报告（有资质单位提供）。</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2.2.8中标方随时配合采购人的第三方质控工作，接受采购人的工作考核及质控考核。</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2.2.9认真、及时做好维护记录，汇总各水站维护记录等资料，每月以书面运维报告的形式报采购人，书面报告作为运行维护考核依据之一，具体内容包含但不限于：</w:t>
      </w:r>
      <w:r/>
    </w:p>
    <w:p>
      <w:pPr>
        <w:ind w:firstLine="480"/>
        <w:spacing w:line="360" w:lineRule="auto"/>
        <w:rPr>
          <w:rFonts w:hint="eastAsia" w:ascii="宋体" w:hAnsi="宋体" w:eastAsia="宋体" w:cs="宋体"/>
          <w:color w:val="auto"/>
          <w:sz w:val="24"/>
          <w:szCs w:val="24"/>
          <w:highlight w:val="none"/>
          <w:lang w:val="en-US" w:eastAsia="zh-CN" w:bidi="ar-SA"/>
        </w:rPr>
      </w:pPr>
      <w:r/>
      <w:bookmarkStart w:id="152" w:name="_Hlk140828355"/>
      <w:r>
        <w:rPr>
          <w:rFonts w:hint="eastAsia" w:ascii="宋体" w:hAnsi="宋体" w:eastAsia="宋体" w:cs="宋体"/>
          <w:color w:val="auto"/>
          <w:sz w:val="24"/>
          <w:szCs w:val="24"/>
          <w:highlight w:val="none"/>
          <w:lang w:val="en-US" w:eastAsia="zh-CN" w:bidi="ar-SA"/>
        </w:rPr>
        <w:t xml:space="preserve">（1）浮标站日常运行数据报表统计；</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（2）浮标站现场维护情况；</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（3）浮标站仪器设备故障及排除情况登记表；</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（4）浮标站每月运行情况；</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（5）浮标站备品备件管理登记表。</w:t>
      </w:r>
      <w:bookmarkEnd w:id="152"/>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在运行维护及管理期间，中标供应商必须遵守国家的有关法律法规及其他规定，本着为采购人负责的精神，依照规范，科学管理，使各监测监控系统运行达到国家及行业颁布的技术标准和采购人要求的考核指标要求；使水质自动监测系统运行真正发挥其效能和作用。</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水、电、通讯及财产保护：浮标站运维期间所需的通讯费均由中标方负责，站点数据必须接入市级数据平台；委托运行维护及管理的全部资产（包括全部产权和建筑物、设备、软件、配套设施、水质自动站和配套监控系统产生的各类数据信息及相关文档资料）属采购人所有。未经采购人同意，中标供应商不得以任何方式对各类财产进行出售、抵押或转移；同时，在委托运行及管理期间，中标供应商有责任保证上述全部资产的完整、安全并处于良好状态。</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2.5协助采购人做好水站固定资产的管理、备品备件的登记等工作。</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2.6积极组织参加各类技术培训班，加强业务学习，不断提高业务能力和水平。</w:t>
      </w:r>
      <w:r/>
    </w:p>
    <w:p>
      <w:pPr>
        <w:ind w:firstLine="480"/>
        <w:spacing w:line="360" w:lineRule="auto"/>
        <w:rPr>
          <w:rFonts w:hint="eastAsia" w:ascii="宋体" w:hAnsi="宋体" w:eastAsia="宋体" w:cs="宋体"/>
          <w:color w:val="auto"/>
          <w:sz w:val="24"/>
          <w:szCs w:val="24"/>
          <w:highlight w:val="none"/>
          <w:lang w:val="en-US" w:eastAsia="zh-CN" w:bidi="ar-SA"/>
        </w:rPr>
      </w:pPr>
      <w:r/>
      <w:bookmarkStart w:id="153" w:name="_Hlk140828497"/>
      <w:r>
        <w:rPr>
          <w:rFonts w:hint="eastAsia" w:ascii="宋体" w:hAnsi="宋体" w:eastAsia="宋体" w:cs="宋体"/>
          <w:color w:val="auto"/>
          <w:sz w:val="24"/>
          <w:szCs w:val="24"/>
          <w:highlight w:val="none"/>
          <w:lang w:val="en-US" w:eastAsia="zh-CN" w:bidi="ar-SA"/>
        </w:rPr>
        <w:t xml:space="preserve">2.7按照《无锡市地表水水质自动监测站运行管理办法（试行）》及其实施细则要求对浮标站进行运维管理。</w:t>
      </w:r>
      <w:bookmarkEnd w:id="153"/>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2.8专人负责日常数据监控和管理工作。</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2.9对仪器设备的具体运维要求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水质自动站要严格按照“日监视，周巡检核查、月考核比对”的要求，开展日常运维和质控工作（具体见下表）。</w:t>
      </w:r>
      <w:r/>
    </w:p>
    <w:p>
      <w:pPr>
        <w:ind w:firstLine="482"/>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浮标站运维要求</w:t>
      </w:r>
      <w:r/>
    </w:p>
    <w:tbl>
      <w:tblPr>
        <w:tblStyle w:val="736"/>
        <w:tblW w:w="9087" w:type="dxa"/>
        <w:jc w:val="center"/>
        <w:tblLayout w:type="fixed"/>
        <w:tblCellMar>
          <w:left w:w="108" w:type="dxa"/>
          <w:top w:w="0" w:type="dxa"/>
          <w:right w:w="108" w:type="dxa"/>
          <w:bottom w:w="0" w:type="dxa"/>
        </w:tblCellMar>
        <w:tblLook w:val="04A0" w:firstRow="1" w:lastRow="0" w:firstColumn="1" w:lastColumn="0" w:noHBand="0" w:noVBand="1"/>
      </w:tblPr>
      <w:tblGrid>
        <w:gridCol w:w="724"/>
        <w:gridCol w:w="1308"/>
        <w:gridCol w:w="1669"/>
        <w:gridCol w:w="5386"/>
      </w:tblGrid>
      <w:tr>
        <w:trPr>
          <w:jc w:val="center"/>
          <w:trHeight w:val="300"/>
        </w:trPr>
        <w:tc>
          <w:tcPr>
            <w:tcBorders>
              <w:top w:val="single" w:color="auto" w:sz="8" w:space="0"/>
              <w:left w:val="single" w:color="auto" w:sz="8" w:space="0"/>
              <w:bottom w:val="single" w:color="auto" w:sz="8" w:space="0"/>
              <w:right w:val="single" w:color="auto" w:sz="8" w:space="0"/>
            </w:tcBorders>
            <w:tcW w:w="72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Borders>
              <w:top w:val="single" w:color="auto" w:sz="8" w:space="0"/>
              <w:left w:val="none" w:color="000000" w:sz="4" w:space="0"/>
              <w:bottom w:val="single" w:color="auto" w:sz="8" w:space="0"/>
              <w:right w:val="single" w:color="auto" w:sz="8" w:space="0"/>
            </w:tcBorders>
            <w:tcW w:w="1308"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维护内容</w:t>
            </w:r>
            <w:r/>
          </w:p>
        </w:tc>
        <w:tc>
          <w:tcPr>
            <w:tcBorders>
              <w:top w:val="single" w:color="auto" w:sz="8" w:space="0"/>
              <w:left w:val="none" w:color="000000" w:sz="4" w:space="0"/>
              <w:bottom w:val="single" w:color="auto" w:sz="8" w:space="0"/>
              <w:right w:val="single" w:color="auto" w:sz="8" w:space="0"/>
            </w:tcBorders>
            <w:tcW w:w="166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维护周期及目标</w:t>
            </w:r>
            <w:r/>
          </w:p>
        </w:tc>
        <w:tc>
          <w:tcPr>
            <w:tcBorders>
              <w:top w:val="single" w:color="auto" w:sz="8" w:space="0"/>
              <w:left w:val="none" w:color="000000" w:sz="4" w:space="0"/>
              <w:bottom w:val="single" w:color="auto" w:sz="8" w:space="0"/>
              <w:right w:val="single" w:color="auto" w:sz="8" w:space="0"/>
            </w:tcBorders>
            <w:tcW w:w="538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维护要求</w:t>
            </w:r>
            <w:r/>
          </w:p>
        </w:tc>
      </w:tr>
      <w:tr>
        <w:trPr>
          <w:jc w:val="center"/>
          <w:trHeight w:val="300"/>
        </w:trPr>
        <w:tc>
          <w:tcPr>
            <w:tcBorders>
              <w:top w:val="single" w:color="auto" w:sz="8" w:space="0"/>
              <w:left w:val="single" w:color="auto" w:sz="8" w:space="0"/>
              <w:bottom w:val="single" w:color="auto" w:sz="8" w:space="0"/>
              <w:right w:val="single" w:color="auto" w:sz="8" w:space="0"/>
            </w:tcBorders>
            <w:tcW w:w="72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Borders>
              <w:top w:val="single" w:color="auto" w:sz="8" w:space="0"/>
              <w:left w:val="none" w:color="000000" w:sz="4" w:space="0"/>
              <w:bottom w:val="single" w:color="auto" w:sz="8" w:space="0"/>
              <w:right w:val="single" w:color="auto" w:sz="8" w:space="0"/>
            </w:tcBorders>
            <w:tcW w:w="1308"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定期更换备品备件</w:t>
            </w:r>
            <w:r/>
          </w:p>
        </w:tc>
        <w:tc>
          <w:tcPr>
            <w:tcBorders>
              <w:top w:val="single" w:color="auto" w:sz="8" w:space="0"/>
              <w:left w:val="none" w:color="000000" w:sz="4" w:space="0"/>
              <w:bottom w:val="single" w:color="auto" w:sz="8" w:space="0"/>
              <w:right w:val="single" w:color="auto" w:sz="8" w:space="0"/>
            </w:tcBorders>
            <w:tcW w:w="166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定期</w:t>
            </w:r>
            <w:r/>
          </w:p>
        </w:tc>
        <w:tc>
          <w:tcPr>
            <w:tcBorders>
              <w:top w:val="single" w:color="auto" w:sz="8" w:space="0"/>
              <w:left w:val="none" w:color="000000" w:sz="4" w:space="0"/>
              <w:bottom w:val="single" w:color="auto" w:sz="8" w:space="0"/>
              <w:right w:val="single" w:color="auto" w:sz="8" w:space="0"/>
            </w:tcBorders>
            <w:tcW w:w="538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运维期内必须对pH电极、溶解氧电极按照采购人指定时间进行一次更换，（提前一个月通知，如遇电极损坏等情况，需及时更换），提供仪器厂家备品备件与耗材更换周期要求，按期更换。</w:t>
            </w:r>
            <w:r/>
          </w:p>
        </w:tc>
      </w:tr>
      <w:tr>
        <w:trPr>
          <w:jc w:val="center"/>
          <w:trHeight w:val="940"/>
        </w:trPr>
        <w:tc>
          <w:tcPr>
            <w:tcBorders>
              <w:top w:val="none" w:color="000000" w:sz="4" w:space="0"/>
              <w:left w:val="single" w:color="auto" w:sz="8" w:space="0"/>
              <w:bottom w:val="single" w:color="000000" w:sz="8" w:space="0"/>
              <w:right w:val="single" w:color="auto" w:sz="8" w:space="0"/>
            </w:tcBorders>
            <w:tcW w:w="72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Borders>
              <w:top w:val="none" w:color="000000" w:sz="4" w:space="0"/>
              <w:left w:val="single" w:color="auto" w:sz="8" w:space="0"/>
              <w:bottom w:val="single" w:color="000000" w:sz="8" w:space="0"/>
              <w:right w:val="single" w:color="auto" w:sz="8" w:space="0"/>
            </w:tcBorders>
            <w:tcW w:w="1308"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定期维护、保养</w:t>
            </w:r>
            <w:r/>
          </w:p>
        </w:tc>
        <w:tc>
          <w:tcPr>
            <w:tcBorders>
              <w:top w:val="none" w:color="000000" w:sz="4" w:space="0"/>
              <w:left w:val="single" w:color="auto" w:sz="8" w:space="0"/>
              <w:bottom w:val="single" w:color="000000" w:sz="8" w:space="0"/>
              <w:right w:val="single" w:color="auto" w:sz="8" w:space="0"/>
            </w:tcBorders>
            <w:tcW w:w="166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见维护要求</w:t>
            </w:r>
            <w:r/>
          </w:p>
        </w:tc>
        <w:tc>
          <w:tcPr>
            <w:tcBorders>
              <w:top w:val="none" w:color="000000" w:sz="4" w:space="0"/>
              <w:left w:val="none" w:color="000000" w:sz="4" w:space="0"/>
              <w:bottom w:val="single" w:color="auto" w:sz="4" w:space="0"/>
              <w:right w:val="single" w:color="auto" w:sz="8" w:space="0"/>
            </w:tcBorders>
            <w:tcW w:w="538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对浮标站系统和仪表进行定期维护、保养，其中3至10月蓝藻预警期不低于每15日一次，1-2月与11-12月不低于每30日1次。</w:t>
            </w:r>
            <w:r/>
          </w:p>
        </w:tc>
      </w:tr>
      <w:tr>
        <w:trPr>
          <w:jc w:val="center"/>
          <w:trHeight w:val="1215"/>
        </w:trPr>
        <w:tc>
          <w:tcPr>
            <w:tcBorders>
              <w:top w:val="none" w:color="000000" w:sz="4" w:space="0"/>
              <w:left w:val="single" w:color="auto" w:sz="8" w:space="0"/>
              <w:bottom w:val="single" w:color="000000" w:sz="8" w:space="0"/>
              <w:right w:val="single" w:color="auto" w:sz="8" w:space="0"/>
            </w:tcBorders>
            <w:tcW w:w="72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Borders>
              <w:top w:val="none" w:color="000000" w:sz="4" w:space="0"/>
              <w:left w:val="single" w:color="auto" w:sz="8" w:space="0"/>
              <w:bottom w:val="single" w:color="000000" w:sz="8" w:space="0"/>
              <w:right w:val="single" w:color="auto" w:sz="8" w:space="0"/>
            </w:tcBorders>
            <w:tcW w:w="1308"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及时排除故障</w:t>
            </w:r>
            <w:r/>
          </w:p>
        </w:tc>
        <w:tc>
          <w:tcPr>
            <w:tcBorders>
              <w:top w:val="none" w:color="000000" w:sz="4" w:space="0"/>
              <w:left w:val="single" w:color="auto" w:sz="8" w:space="0"/>
              <w:bottom w:val="single" w:color="000000" w:sz="8" w:space="0"/>
              <w:right w:val="single" w:color="auto" w:sz="8" w:space="0"/>
            </w:tcBorders>
            <w:tcW w:w="166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见维护要求</w:t>
            </w:r>
            <w:r/>
          </w:p>
        </w:tc>
        <w:tc>
          <w:tcPr>
            <w:tcBorders>
              <w:top w:val="single" w:color="auto" w:sz="4" w:space="0"/>
              <w:left w:val="none" w:color="000000" w:sz="4" w:space="0"/>
              <w:bottom w:val="single" w:color="auto" w:sz="4" w:space="0"/>
              <w:right w:val="single" w:color="auto" w:sz="8" w:space="0"/>
            </w:tcBorders>
            <w:tcW w:w="538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及时排除浮标站系统和仪表出现的故障（由于地震、洪水和雷击等不可预防和不可抗拒因素造成的自动站系统及仪器损坏除外）。</w:t>
            </w:r>
            <w:r/>
          </w:p>
        </w:tc>
      </w:tr>
      <w:tr>
        <w:trPr>
          <w:jc w:val="center"/>
          <w:trHeight w:val="880"/>
        </w:trPr>
        <w:tc>
          <w:tcPr>
            <w:tcBorders>
              <w:top w:val="none" w:color="000000" w:sz="4" w:space="0"/>
              <w:left w:val="single" w:color="auto" w:sz="8" w:space="0"/>
              <w:bottom w:val="single" w:color="000000" w:sz="8" w:space="0"/>
              <w:right w:val="single" w:color="auto" w:sz="8" w:space="0"/>
            </w:tcBorders>
            <w:tcW w:w="72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Borders>
              <w:top w:val="none" w:color="000000" w:sz="4" w:space="0"/>
              <w:left w:val="single" w:color="auto" w:sz="8" w:space="0"/>
              <w:bottom w:val="single" w:color="000000" w:sz="8" w:space="0"/>
              <w:right w:val="single" w:color="auto" w:sz="8" w:space="0"/>
            </w:tcBorders>
            <w:tcW w:w="1308"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校准、核查、比对、性能测试</w:t>
            </w:r>
            <w:r/>
          </w:p>
        </w:tc>
        <w:tc>
          <w:tcPr>
            <w:tcBorders>
              <w:top w:val="none" w:color="000000" w:sz="4" w:space="0"/>
              <w:left w:val="single" w:color="auto" w:sz="8" w:space="0"/>
              <w:bottom w:val="single" w:color="auto" w:sz="8" w:space="0"/>
              <w:right w:val="single" w:color="auto" w:sz="8" w:space="0"/>
            </w:tcBorders>
            <w:tcW w:w="166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按技术规范要求定期进行</w:t>
            </w:r>
            <w:r/>
          </w:p>
        </w:tc>
        <w:tc>
          <w:tcPr>
            <w:tcBorders>
              <w:top w:val="single" w:color="auto" w:sz="4" w:space="0"/>
              <w:left w:val="none" w:color="000000" w:sz="4" w:space="0"/>
              <w:bottom w:val="single" w:color="auto" w:sz="8" w:space="0"/>
              <w:right w:val="single" w:color="auto" w:sz="8" w:space="0"/>
            </w:tcBorders>
            <w:tcW w:w="538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对浮标站仪表进行定期校准、核查、比对、性能测试等。</w:t>
            </w:r>
            <w:r/>
          </w:p>
        </w:tc>
      </w:tr>
      <w:tr>
        <w:trPr>
          <w:jc w:val="center"/>
          <w:trHeight w:val="1328"/>
        </w:trPr>
        <w:tc>
          <w:tcPr>
            <w:tcBorders>
              <w:top w:val="none" w:color="000000" w:sz="4" w:space="0"/>
              <w:left w:val="single" w:color="auto" w:sz="8" w:space="0"/>
              <w:bottom w:val="single" w:color="000000" w:sz="8" w:space="0"/>
              <w:right w:val="single" w:color="auto" w:sz="8" w:space="0"/>
            </w:tcBorders>
            <w:tcW w:w="72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Borders>
              <w:top w:val="none" w:color="000000" w:sz="4" w:space="0"/>
              <w:left w:val="single" w:color="auto" w:sz="8" w:space="0"/>
              <w:bottom w:val="single" w:color="000000" w:sz="8" w:space="0"/>
              <w:right w:val="single" w:color="auto" w:sz="8" w:space="0"/>
            </w:tcBorders>
            <w:tcW w:w="1308"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配合质控工作</w:t>
            </w:r>
            <w:r/>
          </w:p>
        </w:tc>
        <w:tc>
          <w:tcPr>
            <w:tcBorders>
              <w:top w:val="single" w:color="auto" w:sz="8" w:space="0"/>
              <w:left w:val="single" w:color="auto" w:sz="8" w:space="0"/>
              <w:bottom w:val="single" w:color="auto" w:sz="8" w:space="0"/>
              <w:right w:val="single" w:color="auto" w:sz="8" w:space="0"/>
            </w:tcBorders>
            <w:tcW w:w="166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见维护要求</w:t>
            </w:r>
            <w:r/>
          </w:p>
        </w:tc>
        <w:tc>
          <w:tcPr>
            <w:tcBorders>
              <w:top w:val="single" w:color="auto" w:sz="8" w:space="0"/>
              <w:left w:val="single" w:color="auto" w:sz="8" w:space="0"/>
              <w:bottom w:val="single" w:color="auto" w:sz="8" w:space="0"/>
              <w:right w:val="single" w:color="auto" w:sz="8" w:space="0"/>
            </w:tcBorders>
            <w:tcW w:w="538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配合无锡市生态环境监测监控中心进行水站质量保证和质控工作。</w:t>
            </w:r>
            <w:r/>
          </w:p>
        </w:tc>
      </w:tr>
      <w:tr>
        <w:trPr>
          <w:jc w:val="center"/>
          <w:trHeight w:val="1042"/>
        </w:trPr>
        <w:tc>
          <w:tcPr>
            <w:tcBorders>
              <w:top w:val="none" w:color="000000" w:sz="4" w:space="0"/>
              <w:left w:val="single" w:color="auto" w:sz="8" w:space="0"/>
              <w:bottom w:val="single" w:color="auto" w:sz="4" w:space="0"/>
              <w:right w:val="single" w:color="auto" w:sz="8" w:space="0"/>
            </w:tcBorders>
            <w:tcW w:w="72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Borders>
              <w:top w:val="none" w:color="000000" w:sz="4" w:space="0"/>
              <w:left w:val="single" w:color="auto" w:sz="8" w:space="0"/>
              <w:bottom w:val="single" w:color="auto" w:sz="4" w:space="0"/>
              <w:right w:val="single" w:color="auto" w:sz="8" w:space="0"/>
            </w:tcBorders>
            <w:tcW w:w="1308"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接受质量考核</w:t>
            </w:r>
            <w:r/>
          </w:p>
        </w:tc>
        <w:tc>
          <w:tcPr>
            <w:tcBorders>
              <w:top w:val="single" w:color="auto" w:sz="8" w:space="0"/>
              <w:left w:val="single" w:color="auto" w:sz="8" w:space="0"/>
              <w:bottom w:val="single" w:color="auto" w:sz="4" w:space="0"/>
              <w:right w:val="single" w:color="auto" w:sz="8" w:space="0"/>
            </w:tcBorders>
            <w:tcW w:w="166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见维护要求</w:t>
            </w:r>
            <w:r/>
          </w:p>
        </w:tc>
        <w:tc>
          <w:tcPr>
            <w:tcBorders>
              <w:top w:val="single" w:color="auto" w:sz="8" w:space="0"/>
              <w:left w:val="none" w:color="000000" w:sz="4" w:space="0"/>
              <w:bottom w:val="single" w:color="auto" w:sz="4" w:space="0"/>
              <w:right w:val="single" w:color="auto" w:sz="8" w:space="0"/>
            </w:tcBorders>
            <w:tcW w:w="538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随时接受无锡市生态环境监测监控中心的工作考核及质量考核。</w:t>
            </w:r>
            <w:r/>
          </w:p>
        </w:tc>
      </w:tr>
      <w:tr>
        <w:trPr>
          <w:jc w:val="center"/>
          <w:trHeight w:val="342"/>
        </w:trPr>
        <w:tc>
          <w:tcPr>
            <w:tcBorders>
              <w:top w:val="single" w:color="auto" w:sz="4" w:space="0"/>
              <w:left w:val="single" w:color="auto" w:sz="8" w:space="0"/>
              <w:bottom w:val="single" w:color="auto" w:sz="4" w:space="0"/>
              <w:right w:val="single" w:color="auto" w:sz="8" w:space="0"/>
            </w:tcBorders>
            <w:tcW w:w="72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Borders>
              <w:top w:val="single" w:color="auto" w:sz="4" w:space="0"/>
              <w:left w:val="single" w:color="auto" w:sz="8" w:space="0"/>
              <w:bottom w:val="single" w:color="auto" w:sz="4" w:space="0"/>
              <w:right w:val="single" w:color="auto" w:sz="8" w:space="0"/>
            </w:tcBorders>
            <w:tcW w:w="1308"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维护记录</w:t>
            </w:r>
            <w:r/>
          </w:p>
        </w:tc>
        <w:tc>
          <w:tcPr>
            <w:tcBorders>
              <w:top w:val="single" w:color="auto" w:sz="4" w:space="0"/>
              <w:left w:val="single" w:color="auto" w:sz="8" w:space="0"/>
              <w:bottom w:val="single" w:color="auto" w:sz="4" w:space="0"/>
              <w:right w:val="single" w:color="auto" w:sz="8" w:space="0"/>
            </w:tcBorders>
            <w:tcW w:w="166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每周、每月</w:t>
            </w:r>
            <w:r/>
          </w:p>
        </w:tc>
        <w:tc>
          <w:tcPr>
            <w:tcBorders>
              <w:top w:val="single" w:color="auto" w:sz="4" w:space="0"/>
              <w:left w:val="none" w:color="000000" w:sz="4" w:space="0"/>
              <w:bottom w:val="single" w:color="auto" w:sz="4" w:space="0"/>
              <w:right w:val="single" w:color="auto" w:sz="8" w:space="0"/>
            </w:tcBorders>
            <w:tcW w:w="538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1）浮标站日常运行数据报表统计。</w:t>
            </w:r>
            <w:r/>
          </w:p>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2）浮标站现场维护记录。</w:t>
            </w:r>
            <w:r/>
          </w:p>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3）浮标站仪器设备故障及排除情况登记表。</w:t>
            </w:r>
            <w:r/>
          </w:p>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4）浮标站每月运行情况。</w:t>
            </w:r>
            <w:r/>
          </w:p>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5）浮标站备品备件管理登记表。</w:t>
            </w:r>
            <w:r/>
          </w:p>
        </w:tc>
      </w:tr>
      <w:tr>
        <w:trPr>
          <w:jc w:val="center"/>
          <w:trHeight w:val="1311"/>
        </w:trPr>
        <w:tc>
          <w:tcPr>
            <w:tcBorders>
              <w:top w:val="single" w:color="auto" w:sz="4" w:space="0"/>
              <w:left w:val="single" w:color="auto" w:sz="8" w:space="0"/>
              <w:bottom w:val="single" w:color="000000" w:sz="8" w:space="0"/>
              <w:right w:val="single" w:color="auto" w:sz="8" w:space="0"/>
            </w:tcBorders>
            <w:tcW w:w="72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Borders>
              <w:top w:val="single" w:color="auto" w:sz="4" w:space="0"/>
              <w:left w:val="single" w:color="auto" w:sz="8" w:space="0"/>
              <w:bottom w:val="single" w:color="000000" w:sz="8" w:space="0"/>
              <w:right w:val="single" w:color="auto" w:sz="8" w:space="0"/>
            </w:tcBorders>
            <w:tcW w:w="1308"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数据监控管理</w:t>
            </w:r>
            <w:r/>
          </w:p>
        </w:tc>
        <w:tc>
          <w:tcPr>
            <w:tcBorders>
              <w:top w:val="single" w:color="auto" w:sz="4" w:space="0"/>
              <w:left w:val="single" w:color="auto" w:sz="8" w:space="0"/>
              <w:bottom w:val="single" w:color="000000" w:sz="8" w:space="0"/>
              <w:right w:val="single" w:color="auto" w:sz="8" w:space="0"/>
            </w:tcBorders>
            <w:tcW w:w="166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每日</w:t>
            </w:r>
            <w:r/>
          </w:p>
        </w:tc>
        <w:tc>
          <w:tcPr>
            <w:tcBorders>
              <w:top w:val="single" w:color="auto" w:sz="4" w:space="0"/>
              <w:left w:val="none" w:color="000000" w:sz="4" w:space="0"/>
              <w:bottom w:val="single" w:color="auto" w:sz="4" w:space="0"/>
              <w:right w:val="single" w:color="auto" w:sz="8" w:space="0"/>
            </w:tcBorders>
            <w:tcW w:w="538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派遣专人负责日常数据监控和管理工作。（驻场含固定站数据）。</w:t>
            </w:r>
            <w:r/>
          </w:p>
        </w:tc>
      </w:tr>
    </w:tbl>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▲3、质量管理要求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招标文件中未明确的质控管理要求，按照无锡市已制定的相关水站管理文件执行，若出台新的管理办法或技术规范时，按新要求执行。</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3.1水质自动站运行指标要求：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各仪器的月运行率≥95％，各仪器的月数据有效率≥93％（除去停水停电，性能测试及其他不可抗拒因素引起的数据缺失）。仪器运行率和数据有效率的计算方法参照附表2。</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3.2数据质量要求：</w:t>
      </w:r>
      <w:r/>
    </w:p>
    <w:p>
      <w:pPr>
        <w:ind w:firstLine="480"/>
        <w:spacing w:line="360" w:lineRule="auto"/>
        <w:rPr>
          <w:rFonts w:hint="eastAsia" w:ascii="宋体" w:hAnsi="宋体" w:eastAsia="宋体" w:cs="宋体"/>
          <w:color w:val="auto"/>
          <w:sz w:val="24"/>
          <w:szCs w:val="24"/>
          <w:highlight w:val="none"/>
          <w:lang w:val="en-US" w:eastAsia="zh-CN" w:bidi="ar-SA"/>
        </w:rPr>
      </w:pPr>
      <w:r/>
      <w:bookmarkStart w:id="154" w:name="_Hlk140828628"/>
      <w:r>
        <w:rPr>
          <w:rFonts w:hint="eastAsia" w:ascii="宋体" w:hAnsi="宋体" w:eastAsia="宋体" w:cs="宋体"/>
          <w:color w:val="auto"/>
          <w:sz w:val="24"/>
          <w:szCs w:val="24"/>
          <w:highlight w:val="none"/>
          <w:lang w:val="en-US" w:eastAsia="zh-CN" w:bidi="ar-SA"/>
        </w:rPr>
        <w:t xml:space="preserve">3.2.1 中标供应商按照《无锡市地表水水质自动监测站运行管理办法（试行）》要求开展质控工作，定期开展标液核查、质控考核、水样比对和系统核查工作，并将结果报采购人。</w:t>
      </w:r>
      <w:bookmarkEnd w:id="154"/>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3.2.2中标供应商至少每月对水站仪器进行一次校准，并将结果报采购人。</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3.2.3中标供应商及时对校准、质控和异常等数据做出标识，并于每周一的12:00之前将上周原始数据（做出标识的）报采购人。</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3.3数据数量要求：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3.3.1中标供应商应保证在运营维护管理期内，确保年度监测数据捕捉率不小于90%，数据误差符合检测项目性能指标要求。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3.3.2浮标站采用半小时/次测定情况下，每天至少保证41组有效数据；1小时/次测定情况下，每天保证至少有21组有效数据。</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▲4、应急措施要求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4.1突发污染事故要求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当水站监测数据发现异常或发现所在断面发生污染事故时，须2小时内报告采购人，并保证系统仪器正常运行，监测数据准确，传输畅通，并提供同步时间的水样以协助进行手工监测。</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▲4.2系统仪器故障</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当系统仪器出现故障时，保证在2小时内响应，如24小时内无法排除故障，须通过更换备机或委托有资质的检测机构进行检测以确保数据的完整性，所需费用由供应商负责。并及时用电话与书面形式报告采购人，协商处理方案。</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（四）采购标的的数量、采购项目交付或者实施的时间和地点：</w:t>
      </w:r>
      <w:r/>
    </w:p>
    <w:p>
      <w:pPr>
        <w:ind w:firstLine="482"/>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1.1、浮标式水质自动站</w:t>
      </w:r>
      <w:r/>
    </w:p>
    <w:tbl>
      <w:tblPr>
        <w:tblStyle w:val="736"/>
        <w:tblW w:w="5000"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1303"/>
        <w:gridCol w:w="2202"/>
        <w:gridCol w:w="3319"/>
        <w:gridCol w:w="3313"/>
      </w:tblGrid>
      <w:tr>
        <w:trPr>
          <w:trHeight w:val="402"/>
        </w:trPr>
        <w:tc>
          <w:tcPr>
            <w:tcW w:w="643" w:type="pct"/>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1086" w:type="pct"/>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所在地区</w:t>
            </w:r>
            <w:r/>
          </w:p>
        </w:tc>
        <w:tc>
          <w:tcPr>
            <w:tcW w:w="1637" w:type="pct"/>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河流及湖体名称</w:t>
            </w:r>
            <w:r/>
          </w:p>
        </w:tc>
        <w:tc>
          <w:tcPr>
            <w:tcW w:w="1635" w:type="pct"/>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站点名称</w:t>
            </w:r>
            <w:r/>
          </w:p>
        </w:tc>
      </w:tr>
      <w:tr>
        <w:trPr>
          <w:trHeight w:val="402"/>
        </w:trPr>
        <w:tc>
          <w:tcPr>
            <w:tcW w:w="64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10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6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635"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沙渚东（浮标站）</w:t>
            </w:r>
            <w:r/>
          </w:p>
        </w:tc>
      </w:tr>
      <w:tr>
        <w:trPr>
          <w:trHeight w:val="402"/>
        </w:trPr>
        <w:tc>
          <w:tcPr>
            <w:tcW w:w="64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10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6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635"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沙渚西（浮标站）</w:t>
            </w:r>
            <w:r/>
          </w:p>
        </w:tc>
      </w:tr>
      <w:tr>
        <w:trPr>
          <w:trHeight w:val="402"/>
        </w:trPr>
        <w:tc>
          <w:tcPr>
            <w:tcW w:w="64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10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6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635"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龙头渚（浮标站）</w:t>
            </w:r>
            <w:r/>
          </w:p>
        </w:tc>
      </w:tr>
      <w:tr>
        <w:trPr>
          <w:trHeight w:val="402"/>
        </w:trPr>
        <w:tc>
          <w:tcPr>
            <w:tcW w:w="64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10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6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635"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宜兴西（浮标站）</w:t>
            </w:r>
            <w:r/>
          </w:p>
        </w:tc>
      </w:tr>
      <w:tr>
        <w:trPr>
          <w:trHeight w:val="402"/>
        </w:trPr>
        <w:tc>
          <w:tcPr>
            <w:tcW w:w="64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10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6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635"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锡东东（浮标站）</w:t>
            </w:r>
            <w:r/>
          </w:p>
        </w:tc>
      </w:tr>
      <w:tr>
        <w:trPr>
          <w:trHeight w:val="402"/>
        </w:trPr>
        <w:tc>
          <w:tcPr>
            <w:tcW w:w="64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10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6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635"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锡东西（浮标站）</w:t>
            </w:r>
            <w:r/>
          </w:p>
        </w:tc>
      </w:tr>
      <w:tr>
        <w:trPr>
          <w:trHeight w:val="402"/>
        </w:trPr>
        <w:tc>
          <w:tcPr>
            <w:tcW w:w="64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10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6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635"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五里湖东（浮标站）</w:t>
            </w:r>
            <w:r/>
          </w:p>
        </w:tc>
      </w:tr>
      <w:tr>
        <w:trPr>
          <w:trHeight w:val="402"/>
        </w:trPr>
        <w:tc>
          <w:tcPr>
            <w:tcW w:w="64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10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6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635"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五里湖西（浮标站）</w:t>
            </w:r>
            <w:r/>
          </w:p>
        </w:tc>
      </w:tr>
      <w:tr>
        <w:trPr>
          <w:trHeight w:val="402"/>
        </w:trPr>
        <w:tc>
          <w:tcPr>
            <w:tcW w:w="64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W w:w="10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6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635"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鼋头渚北（浮标站）</w:t>
            </w:r>
            <w:r/>
          </w:p>
        </w:tc>
      </w:tr>
      <w:tr>
        <w:trPr>
          <w:trHeight w:val="402"/>
        </w:trPr>
        <w:tc>
          <w:tcPr>
            <w:tcW w:w="64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10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6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635"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梅梁湖北（浮标站）</w:t>
            </w:r>
            <w:r/>
          </w:p>
        </w:tc>
      </w:tr>
      <w:tr>
        <w:trPr>
          <w:trHeight w:val="402"/>
        </w:trPr>
        <w:tc>
          <w:tcPr>
            <w:tcW w:w="64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tcW w:w="10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6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635"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观景台（浮标站）</w:t>
            </w:r>
            <w:r/>
          </w:p>
        </w:tc>
      </w:tr>
      <w:tr>
        <w:trPr>
          <w:trHeight w:val="402"/>
        </w:trPr>
        <w:tc>
          <w:tcPr>
            <w:tcW w:w="64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tcW w:w="10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6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635"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壬子港（浮标站）</w:t>
            </w:r>
            <w:r/>
          </w:p>
        </w:tc>
      </w:tr>
    </w:tbl>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1.2、实施时间：合同签订之日起一年。</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1.3、实施地点：沙渚东、沙渚西、龙头渚、宜兴西、锡东东、锡东西、五里湖东、五里湖西、鼋头渚北、梅梁湖北、观景台、壬子港12个浮标式水质自动站。</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（五）采购标的需满足的服务标准、期限、效率等要求：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质量要求：满足采购人需求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（六）采购标的的验收标准：</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1、考核与实施办法</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1.1考核办法</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除前述质量考核外，采购人每月对中标方开展一次运营维护工作考核，以每个水质自动站为单位进行。逐站依据上述维护内容就每周、每月、每季的维护质量和相关指标相结合的方式进行评分，满分为100分， 70分以下为不合格；大于等于70分小于90分为基本合格，大于等于90分为合格。由采购人组织人员进行评审，具体考核内容分别见附表。考核合格后按照合同要求支付该阶段的运维费。</w:t>
      </w:r>
      <w:r/>
    </w:p>
    <w:p>
      <w:pPr>
        <w:ind w:firstLine="482"/>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附表1站点的仪器配置</w:t>
      </w:r>
      <w:r/>
    </w:p>
    <w:tbl>
      <w:tblPr>
        <w:tblStyle w:val="736"/>
        <w:tblW w:w="9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6"/>
        <w:gridCol w:w="1276"/>
        <w:gridCol w:w="1417"/>
        <w:gridCol w:w="5018"/>
      </w:tblGrid>
      <w:tr>
        <w:trPr>
          <w:jc w:val="center"/>
          <w:trHeight w:val="20"/>
        </w:trPr>
        <w:tc>
          <w:tcPr>
            <w:tcW w:w="704"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1276"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所在地区</w:t>
            </w:r>
            <w:r/>
          </w:p>
        </w:tc>
        <w:tc>
          <w:tcPr>
            <w:tcW w:w="1276"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河流及湖体名称</w:t>
            </w:r>
            <w:r/>
          </w:p>
        </w:tc>
        <w:tc>
          <w:tcPr>
            <w:tcW w:w="1417"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站点名称</w:t>
            </w:r>
            <w:r/>
          </w:p>
        </w:tc>
        <w:tc>
          <w:tcPr>
            <w:tcW w:w="5018"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仪器配置</w:t>
            </w:r>
            <w:r/>
          </w:p>
        </w:tc>
      </w:tr>
      <w:tr>
        <w:trPr>
          <w:jc w:val="center"/>
          <w:trHeight w:val="869"/>
        </w:trPr>
        <w:tc>
          <w:tcPr>
            <w:tcW w:w="70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127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27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沙渚东（浮标站）</w:t>
            </w:r>
            <w:r/>
          </w:p>
        </w:tc>
        <w:tc>
          <w:tcPr>
            <w:tcW w:w="5018"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一体化多参数水质分析仪（pH、温度、溶解氧、浊度、电导率、蓝绿藻、叶绿素）</w:t>
            </w:r>
            <w:r/>
          </w:p>
        </w:tc>
      </w:tr>
      <w:tr>
        <w:trPr>
          <w:jc w:val="center"/>
          <w:trHeight w:val="869"/>
        </w:trPr>
        <w:tc>
          <w:tcPr>
            <w:tcW w:w="70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127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27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41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沙渚西（浮标站）</w:t>
            </w:r>
            <w:r/>
          </w:p>
        </w:tc>
        <w:tc>
          <w:tcPr>
            <w:tcW w:w="5018"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一体化多参数水质分析仪（pH、温度、溶解氧、浊度、电导率、蓝绿藻、叶绿素）</w:t>
            </w:r>
            <w:r/>
          </w:p>
        </w:tc>
      </w:tr>
      <w:tr>
        <w:trPr>
          <w:jc w:val="center"/>
          <w:trHeight w:val="869"/>
        </w:trPr>
        <w:tc>
          <w:tcPr>
            <w:tcW w:w="70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127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27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41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龙头渚（浮标站）</w:t>
            </w:r>
            <w:r/>
          </w:p>
        </w:tc>
        <w:tc>
          <w:tcPr>
            <w:tcW w:w="5018"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一体化多参数水质分析仪（pH、温度、溶解氧、浊度、电导率、蓝绿藻、叶绿素）</w:t>
            </w:r>
            <w:r/>
          </w:p>
        </w:tc>
      </w:tr>
      <w:tr>
        <w:trPr>
          <w:jc w:val="center"/>
          <w:trHeight w:val="869"/>
        </w:trPr>
        <w:tc>
          <w:tcPr>
            <w:tcW w:w="70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127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27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41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宜兴西（浮标站）</w:t>
            </w:r>
            <w:r/>
          </w:p>
        </w:tc>
        <w:tc>
          <w:tcPr>
            <w:tcW w:w="5018"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一体化多参数水质分析仪（pH、温度、溶解氧、浊度、电导率、蓝绿藻、叶绿素）</w:t>
            </w:r>
            <w:r/>
          </w:p>
        </w:tc>
      </w:tr>
      <w:tr>
        <w:trPr>
          <w:jc w:val="center"/>
          <w:trHeight w:val="869"/>
        </w:trPr>
        <w:tc>
          <w:tcPr>
            <w:tcW w:w="70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127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27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41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锡东东（浮标站）</w:t>
            </w:r>
            <w:r/>
          </w:p>
        </w:tc>
        <w:tc>
          <w:tcPr>
            <w:tcW w:w="5018"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一体化多参数水质分析仪（pH、温度、溶解氧、浊度、电导率、蓝绿藻、叶绿素）</w:t>
            </w:r>
            <w:r/>
          </w:p>
        </w:tc>
      </w:tr>
      <w:tr>
        <w:trPr>
          <w:jc w:val="center"/>
          <w:trHeight w:val="869"/>
        </w:trPr>
        <w:tc>
          <w:tcPr>
            <w:tcW w:w="70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127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27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41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锡东西（浮标站）</w:t>
            </w:r>
            <w:r/>
          </w:p>
        </w:tc>
        <w:tc>
          <w:tcPr>
            <w:tcW w:w="5018"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一体化多参数水质分析仪（pH、温度、溶解氧、浊度、电导率、蓝绿藻、叶绿素）</w:t>
            </w:r>
            <w:r/>
          </w:p>
        </w:tc>
      </w:tr>
      <w:tr>
        <w:trPr>
          <w:jc w:val="center"/>
          <w:trHeight w:val="20"/>
        </w:trPr>
        <w:tc>
          <w:tcPr>
            <w:tcW w:w="70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127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27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41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五里湖东（浮标站）</w:t>
            </w:r>
            <w:r/>
          </w:p>
        </w:tc>
        <w:tc>
          <w:tcPr>
            <w:tcW w:w="5018"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一体化多参数水质分析仪（pH、温度、溶解氧、浊度、电导率、蓝绿藻、叶绿素）</w:t>
            </w:r>
            <w:r/>
          </w:p>
        </w:tc>
      </w:tr>
      <w:tr>
        <w:trPr>
          <w:jc w:val="center"/>
          <w:trHeight w:val="20"/>
        </w:trPr>
        <w:tc>
          <w:tcPr>
            <w:tcW w:w="70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127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27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41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五里湖西（浮标站）</w:t>
            </w:r>
            <w:r/>
          </w:p>
        </w:tc>
        <w:tc>
          <w:tcPr>
            <w:tcW w:w="5018"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一体化多参数水质分析仪（pH、温度、溶解氧、浊度、电导率、蓝绿藻、叶绿素）</w:t>
            </w:r>
            <w:r/>
          </w:p>
        </w:tc>
      </w:tr>
      <w:tr>
        <w:trPr>
          <w:jc w:val="center"/>
          <w:trHeight w:val="20"/>
        </w:trPr>
        <w:tc>
          <w:tcPr>
            <w:tcW w:w="70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W w:w="127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27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41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鼋头渚北（浮标站）</w:t>
            </w:r>
            <w:r/>
          </w:p>
        </w:tc>
        <w:tc>
          <w:tcPr>
            <w:tcW w:w="5018"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一体化多参数水质分析仪（pH、温度、溶解氧、浊度、电导率、蓝绿藻、叶绿素）</w:t>
            </w:r>
            <w:r/>
          </w:p>
        </w:tc>
      </w:tr>
      <w:tr>
        <w:trPr>
          <w:jc w:val="center"/>
          <w:trHeight w:val="20"/>
        </w:trPr>
        <w:tc>
          <w:tcPr>
            <w:tcW w:w="70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127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27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41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梅梁湖北（浮标站）</w:t>
            </w:r>
            <w:r/>
          </w:p>
        </w:tc>
        <w:tc>
          <w:tcPr>
            <w:tcW w:w="5018"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一体化多参数水质分析仪（pH、温度、溶解氧、浊度、电导率、蓝绿藻、叶绿素）</w:t>
            </w:r>
            <w:r/>
          </w:p>
        </w:tc>
      </w:tr>
      <w:tr>
        <w:trPr>
          <w:jc w:val="center"/>
          <w:trHeight w:val="20"/>
        </w:trPr>
        <w:tc>
          <w:tcPr>
            <w:tcW w:w="70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tcW w:w="127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27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41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观景台（浮标站）</w:t>
            </w:r>
            <w:r/>
          </w:p>
        </w:tc>
        <w:tc>
          <w:tcPr>
            <w:tcW w:w="5018"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一体化多参数水质分析仪（pH、温度、溶解氧、浊度、电导率、蓝绿藻、叶绿素）</w:t>
            </w:r>
            <w:r/>
          </w:p>
        </w:tc>
      </w:tr>
      <w:tr>
        <w:trPr>
          <w:jc w:val="center"/>
          <w:trHeight w:val="20"/>
        </w:trPr>
        <w:tc>
          <w:tcPr>
            <w:tcW w:w="70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tcW w:w="127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27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41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王子港（浮标站）</w:t>
            </w:r>
            <w:r/>
          </w:p>
        </w:tc>
        <w:tc>
          <w:tcPr>
            <w:tcW w:w="5018"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一体化多参数水质分析仪（pH、温度、溶解氧、浊度、电导率、蓝绿藻、叶绿素）</w:t>
            </w:r>
            <w:r/>
          </w:p>
        </w:tc>
      </w:tr>
    </w:tbl>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2"/>
        <w:jc w:val="center"/>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附表2水质自动监测站运维情况考核表</w:t>
      </w:r>
      <w:r/>
    </w:p>
    <w:p>
      <w:pPr>
        <w:ind w:firstLine="482"/>
        <w:jc w:val="left"/>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考核站点：                 运营商：                    考核时间：</w:t>
      </w:r>
      <w:r/>
    </w:p>
    <w:tbl>
      <w:tblPr>
        <w:tblStyle w:val="736"/>
        <w:tblW w:w="96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487"/>
        <w:gridCol w:w="4786"/>
        <w:gridCol w:w="1417"/>
      </w:tblGrid>
      <w:tr>
        <w:trPr>
          <w:jc w:val="center"/>
          <w:trHeight w:val="285"/>
        </w:trPr>
        <w:tc>
          <w:tcPr>
            <w:tcW w:w="959"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考核内容</w:t>
            </w:r>
            <w:r/>
          </w:p>
        </w:tc>
        <w:tc>
          <w:tcPr>
            <w:tcW w:w="2487"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考核要求</w:t>
            </w:r>
            <w:r/>
          </w:p>
        </w:tc>
        <w:tc>
          <w:tcPr>
            <w:tcW w:w="4786"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评分细则</w:t>
            </w:r>
            <w:r/>
          </w:p>
        </w:tc>
        <w:tc>
          <w:tcPr>
            <w:tcW w:w="1417"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得分</w:t>
            </w:r>
            <w:r/>
          </w:p>
        </w:tc>
      </w:tr>
      <w:tr>
        <w:trPr>
          <w:jc w:val="center"/>
          <w:trHeight w:val="2110"/>
        </w:trPr>
        <w:tc>
          <w:tcPr>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数据有效运行率（30分）</w:t>
            </w:r>
            <w:r/>
          </w:p>
        </w:tc>
        <w:tc>
          <w:tcPr>
            <w:tcW w:w="248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3.2pt;height:17.2pt;mso-wrap-distance-left:0.0pt;mso-wrap-distance-top:0.0pt;mso-wrap-distance-right:0.0pt;mso-wrap-distance-bottom:0.0pt;" filled="f" stroked="f">
                  <v:path textboxrect="0,0,0,0"/>
                  <v:imagedata r:id="rId19" o:title=""/>
                </v:shape>
                <o:OLEObject DrawAspect="Content" r:id="rId20" ObjectID="_1525045" ProgID="Equation.3" ShapeID="_x0000_i5" Type="Embed"/>
              </w:object>
            </w:r>
            <w:r/>
          </w:p>
        </w:tc>
        <w:tc>
          <w:tcPr>
            <w:tcW w:w="478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水站数据有效率≥93%得满分；93%＞水站数据有效率≥90%得17分；90%＞水站数据有效率≥85%或现场存在故障仪器2天以上未修复的得10分；水站数据有效率＜85%或现场仪器1个月以上未修复的不得分；单参数月运转率低于95%，每项扣1分，低于85%扣2分</w:t>
            </w:r>
            <w:r/>
          </w:p>
        </w:tc>
        <w:tc>
          <w:tcPr>
            <w:tcW w:w="141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735"/>
        </w:trPr>
        <w:tc>
          <w:tcPr>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现场核查（10分）</w:t>
            </w:r>
            <w:r/>
          </w:p>
        </w:tc>
        <w:tc>
          <w:tcPr>
            <w:tcW w:w="248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position w:val="-26"/>
                <w:sz w:val="24"/>
                <w:szCs w:val="24"/>
                <w:highlight w:val="none"/>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1.6pt;height:27.0pt;mso-wrap-distance-left:0.0pt;mso-wrap-distance-top:0.0pt;mso-wrap-distance-right:0.0pt;mso-wrap-distance-bottom:0.0pt;" filled="f" stroked="f">
                  <v:path textboxrect="0,0,0,0"/>
                  <v:imagedata r:id="rId21" o:title=""/>
                </v:shape>
                <o:OLEObject DrawAspect="Content" r:id="rId22" ObjectID="_1525046" ProgID="Equation.3" ShapeID="_x0000_i6" Type="Embed"/>
              </w:object>
            </w:r>
            <w:r/>
          </w:p>
        </w:tc>
        <w:tc>
          <w:tcPr>
            <w:tcW w:w="478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现场核查合格率为100%得满分；100%＞现场核查合格率≥95%得8分；95%＞现场核查合格率≥90%得5分；90%＞现场核查合格率≥85%得2分；85%＞现场核查合格率不得分。</w:t>
            </w:r>
            <w:r/>
          </w:p>
        </w:tc>
        <w:tc>
          <w:tcPr>
            <w:tcW w:w="141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915"/>
        </w:trPr>
        <w:tc>
          <w:tcPr>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在线率（10分）</w:t>
            </w:r>
            <w:r/>
          </w:p>
        </w:tc>
        <w:tc>
          <w:tcPr>
            <w:tcW w:w="248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14.0pt;height:19.5pt;mso-wrap-distance-left:0.0pt;mso-wrap-distance-top:0.0pt;mso-wrap-distance-right:0.0pt;mso-wrap-distance-bottom:0.0pt;" filled="f" stroked="f">
                  <v:path textboxrect="0,0,0,0"/>
                  <v:imagedata r:id="rId23" o:title=""/>
                </v:shape>
                <o:OLEObject DrawAspect="Content" r:id="rId24" ObjectID="_1525047" ProgID="Equation.3" ShapeID="_x0000_i7" Type="Embed"/>
              </w:object>
            </w:r>
            <w:r/>
          </w:p>
        </w:tc>
        <w:tc>
          <w:tcPr>
            <w:tcW w:w="478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在线率≥95%得满分；95%＞在线率≥90%得7分；90%＞在线率≥85%的得4分；在线率＜85%的不得分。</w:t>
            </w:r>
            <w:r/>
          </w:p>
        </w:tc>
        <w:tc>
          <w:tcPr>
            <w:tcW w:w="141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65"/>
        </w:trPr>
        <w:tc>
          <w:tcPr>
            <w:tcW w:w="959"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运维内容（10分）</w:t>
            </w:r>
            <w:r/>
          </w:p>
        </w:tc>
        <w:tc>
          <w:tcPr>
            <w:tcW w:w="248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标体或采水系统（3分）</w:t>
            </w:r>
            <w:r/>
          </w:p>
        </w:tc>
        <w:tc>
          <w:tcPr>
            <w:tcW w:w="478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（浮标站）保证浮标体及仪器套筒清洁的得</w:t>
            </w:r>
            <w:r/>
          </w:p>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（固定站）采水系统正常运行的得3分</w:t>
            </w:r>
            <w:r/>
          </w:p>
        </w:tc>
        <w:tc>
          <w:tcPr>
            <w:tcW w:w="141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65"/>
        </w:trPr>
        <w:tc>
          <w:tcPr>
            <w:tcW w:w="95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48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维护频次（2分）</w:t>
            </w:r>
            <w:r/>
          </w:p>
        </w:tc>
        <w:tc>
          <w:tcPr>
            <w:tcW w:w="478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运维频次满足标书要求，定期进行电极清洗和管路清洗得2分，</w:t>
            </w:r>
            <w:r/>
          </w:p>
        </w:tc>
        <w:tc>
          <w:tcPr>
            <w:tcW w:w="141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65"/>
        </w:trPr>
        <w:tc>
          <w:tcPr>
            <w:tcW w:w="95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48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自动监测仪器（3分）</w:t>
            </w:r>
            <w:r/>
          </w:p>
        </w:tc>
        <w:tc>
          <w:tcPr>
            <w:tcW w:w="478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定期更换易耗品；定期校准仪器；仪器故障及时报修</w:t>
            </w:r>
            <w:r/>
          </w:p>
        </w:tc>
        <w:tc>
          <w:tcPr>
            <w:tcW w:w="141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285"/>
        </w:trPr>
        <w:tc>
          <w:tcPr>
            <w:tcW w:w="95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48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通讯（1分）</w:t>
            </w:r>
            <w:r/>
          </w:p>
        </w:tc>
        <w:tc>
          <w:tcPr>
            <w:tcW w:w="478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保证无线通讯线路的畅通得1分</w:t>
            </w:r>
            <w:r/>
          </w:p>
        </w:tc>
        <w:tc>
          <w:tcPr>
            <w:tcW w:w="141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65"/>
        </w:trPr>
        <w:tc>
          <w:tcPr>
            <w:tcW w:w="95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48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运维质控记录（1分）</w:t>
            </w:r>
            <w:r/>
          </w:p>
        </w:tc>
        <w:tc>
          <w:tcPr>
            <w:tcW w:w="478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运维记录、质控记录、备品备件更换等记录齐全，档案完整，缺一项扣0.2分</w:t>
            </w:r>
            <w:r/>
          </w:p>
        </w:tc>
        <w:tc>
          <w:tcPr>
            <w:tcW w:w="141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65"/>
        </w:trPr>
        <w:tc>
          <w:tcPr>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日常质控结果（10分）</w:t>
            </w:r>
            <w:r/>
          </w:p>
        </w:tc>
        <w:tc>
          <w:tcPr>
            <w:tcW w:w="248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定期校准</w:t>
            </w:r>
            <w:r/>
          </w:p>
        </w:tc>
        <w:tc>
          <w:tcPr>
            <w:tcW w:w="478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按要求定期校准；缺一次扣2分</w:t>
            </w:r>
            <w:r/>
          </w:p>
        </w:tc>
        <w:tc>
          <w:tcPr>
            <w:tcW w:w="141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65"/>
        </w:trPr>
        <w:tc>
          <w:tcPr>
            <w:tcW w:w="959"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运维响应（30分，每项5分）</w:t>
            </w:r>
            <w:r/>
          </w:p>
        </w:tc>
        <w:tc>
          <w:tcPr>
            <w:tcW w:w="248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应急响应</w:t>
            </w:r>
            <w:r/>
          </w:p>
        </w:tc>
        <w:tc>
          <w:tcPr>
            <w:tcW w:w="478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对水质异常响应及时，能够及时判断仪器状态得满分，否则酌情扣分</w:t>
            </w:r>
            <w:r/>
          </w:p>
        </w:tc>
        <w:tc>
          <w:tcPr>
            <w:tcW w:w="141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285"/>
        </w:trPr>
        <w:tc>
          <w:tcPr>
            <w:tcW w:w="95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48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故障响应</w:t>
            </w:r>
            <w:r/>
          </w:p>
        </w:tc>
        <w:tc>
          <w:tcPr>
            <w:tcW w:w="478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站点故障时响应迅速，解决及时得满分，否则酌情扣分</w:t>
            </w:r>
            <w:r/>
          </w:p>
        </w:tc>
        <w:tc>
          <w:tcPr>
            <w:tcW w:w="1417"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390"/>
        </w:trPr>
        <w:tc>
          <w:tcPr>
            <w:tcW w:w="95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48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反馈信息</w:t>
            </w:r>
            <w:r/>
          </w:p>
        </w:tc>
        <w:tc>
          <w:tcPr>
            <w:tcW w:w="478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能够及时反映水质、仪器故障信息得满分，否则酌情扣分</w:t>
            </w:r>
            <w:r/>
          </w:p>
        </w:tc>
        <w:tc>
          <w:tcPr>
            <w:tcW w:w="141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285"/>
        </w:trPr>
        <w:tc>
          <w:tcPr>
            <w:tcW w:w="95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48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技术保障</w:t>
            </w:r>
            <w:r/>
          </w:p>
        </w:tc>
        <w:tc>
          <w:tcPr>
            <w:tcW w:w="478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人员技术水平高，能及时解决相关故障</w:t>
            </w:r>
            <w:r/>
          </w:p>
        </w:tc>
        <w:tc>
          <w:tcPr>
            <w:tcW w:w="141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65"/>
        </w:trPr>
        <w:tc>
          <w:tcPr>
            <w:tcW w:w="95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48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人员、车辆保障</w:t>
            </w:r>
            <w:r/>
          </w:p>
        </w:tc>
        <w:tc>
          <w:tcPr>
            <w:tcW w:w="478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满足专职4人、2车得满分，否则酌情扣分；随意变更运维人员的不得分</w:t>
            </w:r>
            <w:r/>
          </w:p>
        </w:tc>
        <w:tc>
          <w:tcPr>
            <w:tcW w:w="141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285"/>
        </w:trPr>
        <w:tc>
          <w:tcPr>
            <w:tcW w:w="95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48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备品备件</w:t>
            </w:r>
            <w:r/>
          </w:p>
        </w:tc>
        <w:tc>
          <w:tcPr>
            <w:tcW w:w="478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备品备件按合同及时提供得满分，否则酌情扣分</w:t>
            </w:r>
            <w:r/>
          </w:p>
        </w:tc>
        <w:tc>
          <w:tcPr>
            <w:tcW w:w="141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285"/>
        </w:trPr>
        <w:tc>
          <w:tcPr>
            <w:gridSpan w:val="3"/>
            <w:tcW w:w="8232"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合计（分）</w:t>
            </w:r>
            <w:r/>
          </w:p>
        </w:tc>
        <w:tc>
          <w:tcPr>
            <w:tcW w:w="141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1.2实施办法</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1.2.1按月对每个站点单独考核，单次考核结果在90分以上不扣款，90分以下按比例扣除相应运行费，其中：</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对本次运行维护内容进行综合考核，考核结果在90分以下按比例扣除相应设备运行费，其中：</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（1）考核结果在85分（含）以上，90分（不含）以下，扣除该设备平均月均运行维护费用的10%。</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（2）考核结果在80分（含）以上，85分（不含）以下，扣除该设备平均月均运行维护费用的20%。</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（3）考核结果在75分（含）以上，80分（不含）以下，扣除该设备平均月均运行维护费用的40%。</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（4）考核结果在70分（含）以上，75分（不含）以下，扣除该设备平均月均运行维护费用的60%。</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（5）考核结果在70分（不含）以下的，扣除平均月均运行维护费用的100%。并责令限期整改。</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1.2.2整体情况考核出现下列情况之一的，采购人有权终止合同，同时下阶段运维招标不予考虑，并有权对中标供应商按每个水质自动站年费用的30%-50%进行经济赔偿。</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（1）月运行率与月数据有效率持续两个月低于85%；</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（2）连续一周日有效数据低于标书要求的；</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（3）综合考核结果在70分以下；</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（4）单站点整改不力或拒不整改；</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（5）中标方制造虚假数据或肆意修改仪器监测参数。</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 如果违反4.1，采购人视后果轻重有权对中标供应商按每个水质自动站年费用的10%至20%进行经济赔偿。</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1.2.4如果违反4.2，采购人视后果轻重有权对中标供应商按每个水质自动站年费用的5%-10%进行经济赔偿。</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1.2.5解除合同前，运营商必须对所运营的站点按接手时的仪器配置品牌型号进行全面大修，确保整个站点仪器数据有效率大于90%，整个系统运转率大于95%。</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1.2.6合同解除前对水质自动站进行评估，若达不到1.2.5要求，新的托管方在修复并达到1.2.5考核要求时，所需费用由中标供应商支付。</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1.2.7按照考核要求扣除的费用用于按合同约定延长相应的运维时间。</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（七）采购标的的其他技术、服务等要求： </w:t>
      </w:r>
      <w:r/>
    </w:p>
    <w:p>
      <w:pPr>
        <w:ind w:firstLine="480"/>
        <w:spacing w:line="360" w:lineRule="auto"/>
        <w:rPr>
          <w:rFonts w:hint="eastAsia" w:ascii="宋体" w:hAnsi="宋体" w:eastAsia="宋体" w:cs="宋体"/>
          <w:color w:val="auto"/>
          <w:sz w:val="24"/>
          <w:szCs w:val="24"/>
          <w:highlight w:val="none"/>
          <w:lang w:val="en-US" w:eastAsia="zh-CN" w:bidi="ar-SA"/>
        </w:rPr>
      </w:pPr>
      <w:r/>
      <w:bookmarkStart w:id="155" w:name="_Hlk140828835"/>
      <w:r>
        <w:rPr>
          <w:rFonts w:hint="eastAsia" w:ascii="宋体" w:hAnsi="宋体" w:eastAsia="宋体" w:cs="宋体"/>
          <w:color w:val="auto"/>
          <w:sz w:val="24"/>
          <w:szCs w:val="24"/>
          <w:highlight w:val="none"/>
          <w:lang w:val="en-US" w:eastAsia="zh-CN" w:bidi="ar-SA"/>
        </w:rPr>
        <w:t xml:space="preserve">1、在合同生效前原运维公司、中标供应商及采购人共同对水质自动监测系统的运行情况、仪器运行情况，数据采集情况进行实际考察，并且做好备案。</w:t>
      </w:r>
      <w:bookmarkEnd w:id="155"/>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br w:type="page" w:clear="all"/>
      </w:r>
      <w:r/>
    </w:p>
    <w:p>
      <w:pPr>
        <w:ind w:firstLine="480"/>
        <w:spacing w:line="360" w:lineRule="auto"/>
        <w:rPr>
          <w:rFonts w:hint="eastAsia" w:ascii="宋体" w:hAnsi="宋体" w:eastAsia="宋体" w:cs="宋体"/>
          <w:b/>
          <w:bCs/>
          <w:color w:val="auto"/>
          <w:sz w:val="30"/>
          <w:szCs w:val="30"/>
          <w:highlight w:val="none"/>
          <w:lang w:val="en-US" w:eastAsia="zh-CN" w:bidi="ar-SA"/>
        </w:rPr>
      </w:pPr>
      <w:r>
        <w:rPr>
          <w:rFonts w:hint="eastAsia" w:ascii="宋体" w:hAnsi="宋体" w:eastAsia="宋体" w:cs="宋体"/>
          <w:b/>
          <w:bCs/>
          <w:color w:val="auto"/>
          <w:sz w:val="30"/>
          <w:szCs w:val="30"/>
          <w:highlight w:val="none"/>
          <w:lang w:val="en-US" w:eastAsia="zh-CN" w:bidi="ar-SA"/>
        </w:rPr>
        <w:t xml:space="preserve">采购包3：无锡市市建水站运维项目运维质控服务</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（一）采购标的需实现的功能或者目标，以及为落实政府采购政策需满足的要求：</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为加强对无锡市市建地表水自动监测的质量管理，提高外部质控检查的时效性，拟对我市24个水质自动监测站（12个固定站、12个浮标站）的日常质控检查任务进行服务外包，服务时间为自合同签订之日起一年（具体服务时间视一、二采购包采购情况确定，服务时间段为一年）。</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具体情况见下表。</w:t>
      </w:r>
      <w:r/>
    </w:p>
    <w:tbl>
      <w:tblPr>
        <w:tblStyle w:val="736"/>
        <w:tblW w:w="4997"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990"/>
        <w:gridCol w:w="1658"/>
        <w:gridCol w:w="2497"/>
        <w:gridCol w:w="3111"/>
        <w:gridCol w:w="1875"/>
      </w:tblGrid>
      <w:tr>
        <w:trPr>
          <w:jc w:val="center"/>
          <w:trHeight w:val="402"/>
        </w:trPr>
        <w:tc>
          <w:tcPr>
            <w:tcW w:w="489" w:type="pct"/>
            <w:vAlign w:val="center"/>
            <w:textDirection w:val="lrTb"/>
            <w:noWrap w:val="false"/>
          </w:tcPr>
          <w:p>
            <w:pPr>
              <w:jc w:val="center"/>
              <w:spacing w:line="44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818" w:type="pct"/>
            <w:vAlign w:val="center"/>
            <w:textDirection w:val="lrTb"/>
            <w:noWrap w:val="false"/>
          </w:tcPr>
          <w:p>
            <w:pPr>
              <w:jc w:val="center"/>
              <w:spacing w:line="44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所在地区</w:t>
            </w:r>
            <w:r/>
          </w:p>
        </w:tc>
        <w:tc>
          <w:tcPr>
            <w:tcW w:w="1232" w:type="pct"/>
            <w:vAlign w:val="center"/>
            <w:textDirection w:val="lrTb"/>
            <w:noWrap w:val="false"/>
          </w:tcPr>
          <w:p>
            <w:pPr>
              <w:jc w:val="center"/>
              <w:spacing w:line="44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河流及湖体名称</w:t>
            </w:r>
            <w:r/>
          </w:p>
        </w:tc>
        <w:tc>
          <w:tcPr>
            <w:tcW w:w="1535" w:type="pct"/>
            <w:vAlign w:val="center"/>
            <w:textDirection w:val="lrTb"/>
            <w:noWrap w:val="false"/>
          </w:tcPr>
          <w:p>
            <w:pPr>
              <w:jc w:val="center"/>
              <w:spacing w:line="44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站点名称</w:t>
            </w:r>
            <w:r/>
          </w:p>
        </w:tc>
        <w:tc>
          <w:tcPr>
            <w:tcW w:w="925" w:type="pct"/>
            <w:vAlign w:val="center"/>
            <w:textDirection w:val="lrTb"/>
            <w:noWrap w:val="false"/>
          </w:tcPr>
          <w:p>
            <w:pPr>
              <w:jc w:val="center"/>
              <w:spacing w:line="44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备注</w:t>
            </w:r>
            <w:r/>
          </w:p>
        </w:tc>
      </w:tr>
      <w:tr>
        <w:trPr>
          <w:jc w:val="center"/>
          <w:trHeight w:val="402"/>
        </w:trPr>
        <w:tc>
          <w:tcPr>
            <w:tcW w:w="489"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818"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23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535"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沙渚东（浮标站）</w:t>
            </w:r>
            <w:r/>
          </w:p>
        </w:tc>
        <w:tc>
          <w:tcPr>
            <w:tcW w:w="925"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tcW w:w="489"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818"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23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535"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沙渚西（浮标站）</w:t>
            </w:r>
            <w:r/>
          </w:p>
        </w:tc>
        <w:tc>
          <w:tcPr>
            <w:tcW w:w="925"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tcW w:w="489"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818"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23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535"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龙头渚（浮标站）</w:t>
            </w:r>
            <w:r/>
          </w:p>
        </w:tc>
        <w:tc>
          <w:tcPr>
            <w:tcW w:w="925"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tcW w:w="489"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818"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23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535"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宜兴西（浮标站）</w:t>
            </w:r>
            <w:r/>
          </w:p>
        </w:tc>
        <w:tc>
          <w:tcPr>
            <w:tcW w:w="925"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tcW w:w="489"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818"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23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535"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锡东东（浮标站）</w:t>
            </w:r>
            <w:r/>
          </w:p>
        </w:tc>
        <w:tc>
          <w:tcPr>
            <w:tcW w:w="925"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tcW w:w="489"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818"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23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535"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锡东西（浮标站）</w:t>
            </w:r>
            <w:r/>
          </w:p>
        </w:tc>
        <w:tc>
          <w:tcPr>
            <w:tcW w:w="925"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tcW w:w="489"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818"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23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535"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五里湖东（浮标站）</w:t>
            </w:r>
            <w:r/>
          </w:p>
        </w:tc>
        <w:tc>
          <w:tcPr>
            <w:tcW w:w="925"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tcW w:w="489"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818"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23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535"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五里湖西（浮标站）</w:t>
            </w:r>
            <w:r/>
          </w:p>
        </w:tc>
        <w:tc>
          <w:tcPr>
            <w:tcW w:w="925"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tcW w:w="489"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W w:w="818"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23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535"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鼋头渚北（浮标站）</w:t>
            </w:r>
            <w:r/>
          </w:p>
        </w:tc>
        <w:tc>
          <w:tcPr>
            <w:tcW w:w="925"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tcW w:w="489"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818"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23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535"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梅梁湖北（浮标站）</w:t>
            </w:r>
            <w:r/>
          </w:p>
        </w:tc>
        <w:tc>
          <w:tcPr>
            <w:tcW w:w="925"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shd w:val="clear" w:color="auto" w:fill="auto"/>
            <w:tcW w:w="489" w:type="pct"/>
            <w:vAlign w:val="center"/>
            <w:textDirection w:val="lrTb"/>
            <w:noWrap w:val="false"/>
          </w:tcPr>
          <w:p>
            <w:pPr>
              <w:jc w:val="center"/>
              <w:spacing w:line="440" w:lineRule="exact"/>
              <w:tabs>
                <w:tab w:val="center" w:pos="420" w:leader="none"/>
                <w:tab w:val="left" w:pos="59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shd w:val="clear" w:color="auto" w:fill="auto"/>
            <w:tcW w:w="818"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shd w:val="clear" w:color="auto" w:fill="auto"/>
            <w:tcW w:w="123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shd w:val="clear" w:color="auto" w:fill="auto"/>
            <w:tcW w:w="1535"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观景台（浮标站）</w:t>
            </w:r>
            <w:r/>
          </w:p>
        </w:tc>
        <w:tc>
          <w:tcPr>
            <w:tcW w:w="925"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shd w:val="clear" w:color="auto" w:fill="auto"/>
            <w:tcW w:w="489"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shd w:val="clear" w:color="auto" w:fill="auto"/>
            <w:tcW w:w="818"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shd w:val="clear" w:color="auto" w:fill="auto"/>
            <w:tcW w:w="123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shd w:val="clear" w:color="auto" w:fill="auto"/>
            <w:tcW w:w="1535"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王子港（浮标站）</w:t>
            </w:r>
            <w:r/>
          </w:p>
        </w:tc>
        <w:tc>
          <w:tcPr>
            <w:tcW w:w="925"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shd w:val="clear" w:color="auto" w:fill="auto"/>
            <w:tcW w:w="489"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w:t>
            </w:r>
            <w:r/>
          </w:p>
        </w:tc>
        <w:tc>
          <w:tcPr>
            <w:tcW w:w="818"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江阴市</w:t>
            </w:r>
            <w:r/>
          </w:p>
        </w:tc>
        <w:tc>
          <w:tcPr>
            <w:tcW w:w="123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长江</w:t>
            </w:r>
            <w:r/>
          </w:p>
        </w:tc>
        <w:tc>
          <w:tcPr>
            <w:tcW w:w="1535"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澄西水厂（固定式）</w:t>
            </w:r>
            <w:r/>
          </w:p>
        </w:tc>
        <w:tc>
          <w:tcPr>
            <w:tcW w:w="925"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shd w:val="clear" w:color="auto" w:fill="auto"/>
            <w:tcW w:w="489"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w:t>
            </w:r>
            <w:r/>
          </w:p>
        </w:tc>
        <w:tc>
          <w:tcPr>
            <w:tcW w:w="818"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梁溪区</w:t>
            </w:r>
            <w:r/>
          </w:p>
        </w:tc>
        <w:tc>
          <w:tcPr>
            <w:tcW w:w="123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古运河</w:t>
            </w:r>
            <w:r/>
          </w:p>
        </w:tc>
        <w:tc>
          <w:tcPr>
            <w:tcW w:w="1535"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新桥泵站（固定式）</w:t>
            </w:r>
            <w:r/>
          </w:p>
        </w:tc>
        <w:tc>
          <w:tcPr>
            <w:tcW w:w="925"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shd w:val="clear" w:color="auto" w:fill="auto"/>
            <w:tcW w:w="489"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w:t>
            </w:r>
            <w:r/>
          </w:p>
        </w:tc>
        <w:tc>
          <w:tcPr>
            <w:tcW w:w="818"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锡山区</w:t>
            </w:r>
            <w:r/>
          </w:p>
        </w:tc>
        <w:tc>
          <w:tcPr>
            <w:tcW w:w="123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九里河</w:t>
            </w:r>
            <w:r/>
          </w:p>
        </w:tc>
        <w:tc>
          <w:tcPr>
            <w:tcW w:w="1535"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长征桥（固定式）</w:t>
            </w:r>
            <w:r/>
          </w:p>
        </w:tc>
        <w:tc>
          <w:tcPr>
            <w:tcW w:w="925"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shd w:val="clear" w:color="auto" w:fill="auto"/>
            <w:tcW w:w="489"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w:t>
            </w:r>
            <w:r/>
          </w:p>
        </w:tc>
        <w:tc>
          <w:tcPr>
            <w:tcW w:w="818"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锡山区</w:t>
            </w:r>
            <w:r/>
          </w:p>
        </w:tc>
        <w:tc>
          <w:tcPr>
            <w:tcW w:w="123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北兴塘河</w:t>
            </w:r>
            <w:r/>
          </w:p>
        </w:tc>
        <w:tc>
          <w:tcPr>
            <w:tcW w:w="1535"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放马滩（固定式）</w:t>
            </w:r>
            <w:r/>
          </w:p>
        </w:tc>
        <w:tc>
          <w:tcPr>
            <w:tcW w:w="925"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shd w:val="clear" w:color="auto" w:fill="auto"/>
            <w:tcW w:w="489"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w:t>
            </w:r>
            <w:r/>
          </w:p>
        </w:tc>
        <w:tc>
          <w:tcPr>
            <w:tcW w:w="818"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锡山区</w:t>
            </w:r>
            <w:r/>
          </w:p>
        </w:tc>
        <w:tc>
          <w:tcPr>
            <w:tcW w:w="123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锡北运河</w:t>
            </w:r>
            <w:r/>
          </w:p>
        </w:tc>
        <w:tc>
          <w:tcPr>
            <w:tcW w:w="1535"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东荘大桥（固定式）</w:t>
            </w:r>
            <w:r/>
          </w:p>
        </w:tc>
        <w:tc>
          <w:tcPr>
            <w:tcW w:w="925"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shd w:val="clear" w:color="auto" w:fill="auto"/>
            <w:tcW w:w="489"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w:t>
            </w:r>
            <w:r/>
          </w:p>
        </w:tc>
        <w:tc>
          <w:tcPr>
            <w:tcW w:w="818"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锡山区</w:t>
            </w:r>
            <w:r/>
          </w:p>
        </w:tc>
        <w:tc>
          <w:tcPr>
            <w:tcW w:w="1232"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大塘河</w:t>
            </w:r>
            <w:r/>
          </w:p>
        </w:tc>
        <w:tc>
          <w:tcPr>
            <w:tcW w:w="1535"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陈墅大桥（固定式）</w:t>
            </w:r>
            <w:r/>
          </w:p>
        </w:tc>
        <w:tc>
          <w:tcPr>
            <w:tcW w:w="925"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shd w:val="clear" w:color="auto" w:fill="auto"/>
            <w:tcW w:w="489"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w:t>
            </w:r>
            <w:r/>
          </w:p>
        </w:tc>
        <w:tc>
          <w:tcPr>
            <w:tcW w:w="818"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惠山区</w:t>
            </w:r>
            <w:r/>
          </w:p>
        </w:tc>
        <w:tc>
          <w:tcPr>
            <w:tcW w:w="123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京杭运河</w:t>
            </w:r>
            <w:r/>
          </w:p>
        </w:tc>
        <w:tc>
          <w:tcPr>
            <w:tcW w:w="1535"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惠运大桥（固定式）</w:t>
            </w:r>
            <w:r/>
          </w:p>
        </w:tc>
        <w:tc>
          <w:tcPr>
            <w:tcW w:w="925"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shd w:val="clear" w:color="auto" w:fill="auto"/>
            <w:tcW w:w="489"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w:t>
            </w:r>
            <w:r/>
          </w:p>
        </w:tc>
        <w:tc>
          <w:tcPr>
            <w:tcW w:w="818"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滨湖区</w:t>
            </w:r>
            <w:r/>
          </w:p>
        </w:tc>
        <w:tc>
          <w:tcPr>
            <w:tcW w:w="123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洋溪河</w:t>
            </w:r>
            <w:r/>
          </w:p>
        </w:tc>
        <w:tc>
          <w:tcPr>
            <w:tcW w:w="1535"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刘塘桥（固定式）</w:t>
            </w:r>
            <w:r/>
          </w:p>
        </w:tc>
        <w:tc>
          <w:tcPr>
            <w:tcW w:w="925"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shd w:val="clear" w:color="auto" w:fill="auto"/>
            <w:tcW w:w="489"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w:t>
            </w:r>
            <w:r/>
          </w:p>
        </w:tc>
        <w:tc>
          <w:tcPr>
            <w:tcW w:w="81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滨湖区</w:t>
            </w:r>
            <w:r/>
          </w:p>
        </w:tc>
        <w:tc>
          <w:tcPr>
            <w:tcW w:w="123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古竹河</w:t>
            </w:r>
            <w:r/>
          </w:p>
        </w:tc>
        <w:tc>
          <w:tcPr>
            <w:tcW w:w="1535"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古竹桥（固定式）</w:t>
            </w:r>
            <w:r/>
          </w:p>
        </w:tc>
        <w:tc>
          <w:tcPr>
            <w:tcW w:w="925"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tcW w:w="489"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w:t>
            </w:r>
            <w:r/>
          </w:p>
        </w:tc>
        <w:tc>
          <w:tcPr>
            <w:tcW w:w="818"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滨湖区</w:t>
            </w:r>
            <w:r/>
          </w:p>
        </w:tc>
        <w:tc>
          <w:tcPr>
            <w:tcW w:w="123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五里湖</w:t>
            </w:r>
            <w:r/>
          </w:p>
        </w:tc>
        <w:tc>
          <w:tcPr>
            <w:tcW w:w="1535"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渔父岛（固定式）</w:t>
            </w:r>
            <w:r/>
          </w:p>
        </w:tc>
        <w:tc>
          <w:tcPr>
            <w:tcW w:w="925"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tcW w:w="489"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w:t>
            </w:r>
            <w:r/>
          </w:p>
        </w:tc>
        <w:tc>
          <w:tcPr>
            <w:tcW w:w="818"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新吴区</w:t>
            </w:r>
            <w:r/>
          </w:p>
        </w:tc>
        <w:tc>
          <w:tcPr>
            <w:tcW w:w="123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伯渎港</w:t>
            </w:r>
            <w:r/>
          </w:p>
        </w:tc>
        <w:tc>
          <w:tcPr>
            <w:tcW w:w="1535"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梅村大桥（固定式）</w:t>
            </w:r>
            <w:r/>
          </w:p>
        </w:tc>
        <w:tc>
          <w:tcPr>
            <w:tcW w:w="925"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tcW w:w="489"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w:t>
            </w:r>
            <w:r/>
          </w:p>
        </w:tc>
        <w:tc>
          <w:tcPr>
            <w:shd w:val="clear" w:color="auto" w:fill="auto"/>
            <w:tcW w:w="81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锡山区</w:t>
            </w:r>
            <w:r/>
          </w:p>
        </w:tc>
        <w:tc>
          <w:tcPr>
            <w:shd w:val="clear" w:color="auto" w:fill="auto"/>
            <w:tcW w:w="123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东青河</w:t>
            </w:r>
            <w:r/>
          </w:p>
        </w:tc>
        <w:tc>
          <w:tcPr>
            <w:shd w:val="clear" w:color="auto" w:fill="auto"/>
            <w:tcW w:w="1535"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晃山桥（固定式）</w:t>
            </w:r>
            <w:r/>
          </w:p>
        </w:tc>
        <w:tc>
          <w:tcPr>
            <w:tcW w:w="925"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2、为落实政府采购政策需满足的要求：</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（1）按照《政府采购促进中小企业发展暂行办法》（财库〔2011〕181号）的规定，对小型和微型企业产品的价格给予10%的扣除；</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（2）按照《财政部司法部关于政府采购支持监狱企业发展有关问题的通知》（财库〔2014〕68号）文件规定，在政府采购活动中，监狱企业视同小型、微型企业，享受评审中价格扣除的政府采购政策；</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按照《财政部民政部中国残疾人联合会关于促进残疾人就业政府采购政策的通知》，残疾人福利性单位视同小型、微型企业，享受评审中价格扣除的政府采购政策，残疾人福利性单位属于小型、微型企业的，不重复享受政策。</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（二）采购标的需执行的国家相关标准、行业标准、地方标准或者其他标准、规范：</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《地表水自动监测技术规范（试行）》（HJ 915-2017）</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国家标准方法和《水和废水监测分析方法》</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《国家地表水自动监测站运行管理办法》</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《国家地表水水质自动监测站运行维护管理实施细则（试行）》</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《地表水水质自动监测站运行维护技术要求（试行）》</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《江苏省环境水质（地表水）自动监测预警系统运行管理办法（试行）》及其实施细则</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《无锡市地表水水质自动监测站运行管理办法（试行）》</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《环境水质监测质量保证手册》</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 HYPERLINK "http://www.sepa.gov.cn/image20010518/1782.pdf" </w:instrText>
      </w:r>
      <w:r>
        <w:rPr>
          <w:rFonts w:hint="eastAsia" w:ascii="宋体" w:hAnsi="宋体" w:eastAsia="宋体" w:cs="宋体"/>
          <w:b w:val="0"/>
          <w:bCs w:val="0"/>
          <w:color w:val="auto"/>
          <w:sz w:val="24"/>
          <w:szCs w:val="24"/>
          <w:highlight w:val="none"/>
          <w:lang w:val="en-US" w:eastAsia="zh-CN" w:bidi="ar-SA"/>
        </w:rPr>
        <w:fldChar w:fldCharType="separate"/>
      </w:r>
      <w:r>
        <w:rPr>
          <w:rFonts w:hint="eastAsia" w:ascii="宋体" w:hAnsi="宋体" w:eastAsia="宋体" w:cs="宋体"/>
          <w:b w:val="0"/>
          <w:bCs w:val="0"/>
          <w:color w:val="auto"/>
          <w:sz w:val="24"/>
          <w:szCs w:val="24"/>
          <w:highlight w:val="none"/>
          <w:lang w:val="en-US" w:eastAsia="zh-CN" w:bidi="ar-SA"/>
        </w:rPr>
        <w:t xml:space="preserve">地表水和污水监测技术规范》（HJ/T91-2002 ）</w:t>
      </w:r>
      <w:r>
        <w:rPr>
          <w:rFonts w:hint="eastAsia" w:ascii="宋体" w:hAnsi="宋体" w:eastAsia="宋体" w:cs="宋体"/>
          <w:b w:val="0"/>
          <w:bCs w:val="0"/>
          <w:color w:val="auto"/>
          <w:sz w:val="24"/>
          <w:szCs w:val="24"/>
          <w:highlight w:val="none"/>
          <w:lang w:val="en-US" w:eastAsia="zh-CN" w:bidi="ar-SA"/>
        </w:rPr>
        <w:fldChar w:fldCharType="end"/>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《水质河流采样技术指导》（HJ/T52-1999）</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《pH水质自动分析仪技术要求》（HJ/T96-2003）</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《电导率水质自动分析仪技术要求》（HJ/T97-2003）</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《浊度水质自动分析仪技术要求》（HJ/T98-2003）</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《溶解氧（DO）水质自动分析仪技术要求》（HJ/T99-2003）</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《高锰酸盐指数水质自动分析仪技术要求》（HJ/T100-2003）</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《氨氮水质自动分析仪技术要求》（HJ/T101-2003）</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《总氮水质自动分析仪技术要求》（GB/T 11894-1989）</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《总磷水质自动分析仪技术要求》（GB/T 11893-1989）</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《声学多普勒流量测验规范》（SL337-2006）</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《环境监测数据弄虚作假行为判定及处理办法》（环发〔2015〕175 号）</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《数值修约规则与极限数值的表示和判定》（GB/T 8170-2008）</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《江苏省地表水自动监测站运行管理办法》（苏环办〔2020〕174号）</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《地表水自动监测数据处理方法及修约规则（试行）》（总站水字〔2020〕90号）</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如水站管理办法中的相关要求与标书内容出现差异时，按照就高不就低的原则执行。</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采购内容：</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此次招标为全委托，参照《江苏省地表水自动监测站运行管理办法》（以最新发布为准，以下简称省办法）的相关要求全权负责标书内所有水站的日常质控工作，主要为水质自动站的自动监测运维和质控体系检查、盲样考核、现场五参数比对、水样比对和远程监控工作，并参与招标方安排的临时任务。不接受分包与联合体投标，所有点位的一次质控工作必须在当月内完成。</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检查任务具体包括：（1）按照省办法每两个月至少一次对责</w:t>
      </w:r>
      <w:r>
        <w:rPr>
          <w:rFonts w:hint="eastAsia" w:ascii="宋体" w:hAnsi="宋体" w:eastAsia="宋体" w:cs="宋体"/>
          <w:b w:val="0"/>
          <w:bCs w:val="0"/>
          <w:color w:val="auto"/>
          <w:sz w:val="24"/>
          <w:szCs w:val="24"/>
          <w:highlight w:val="none"/>
          <w:lang w:val="en-US" w:eastAsia="zh-CN" w:bidi="ar-SA"/>
        </w:rPr>
        <w:t xml:space="preserve">任区域内的地表水自动监测站进行运维和质控体系检查。（2）在每两个月的运维和质控体系检查的点位，携带便携式仪器对常规五参数（水温、pH、溶解氧、电导率、浊度）进行现场比对。（3）在每两个月运维和质控体系检查的点位，开展水质自动监测站的盲样考核。（4）至少每周一次对区域内已具备视频监控系统的水质自动监测站中查看站房内外的监控视频。（5）每两个月至少一次对责任区域内的地表水自动监测站开展手工比对工作，检查公司负责比对点位的样品采集，并按要求在规定时间内运输至测样机构。（6）根据招标人的要求，参与其他质控检查工作。</w:t>
      </w:r>
      <w:r/>
    </w:p>
    <w:p>
      <w:p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3.1检查涉及的项目</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水温、pH、溶解氧、电导率、浊度、高锰酸盐指数、氨氮、总磷、总氮。其中需开展现场比对的项目为水温、pH、溶解氧、电导率、浊度。</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3.1.1运维和质控体系检查由检查公司开展运维和质控体系检查，每两个月对责任区域内所有的点位进行检查。检查公司按照省办法要求，制定检查方案，赴点位开展检查，按要求填写巡检记录并反馈检查结果，当月底前形成检查总结报告。检查包括对地表水水质自动监测日常运维工作的开展情况和自动站质控体系构建情况进行检查，包括人员持证、站房环境、仪器状态、巡检情况、养护维修情况、质控措施、文件制定等。采购方根据运维体系检查结果，将增加重点环节的专项检查。</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3.1.2现场五参数比对由检查公司开展水质自动监测站的现场比对，至少两个月一次对所有点位监测参数进行手工比对。检查公司携带便携式仪器对常规五参数（水温、pH、溶解氧、电导率和浊度）进行现场比对，按要求进行记录，并对比对结果进行统计分析，当月底前形成比对报告。   </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3.1.3盲样考核 由检查公司开展水质自动监测站的盲样考核，至少两个月一次对所有点位进行考核，考核参数为氨氮、高锰酸盐指数、总磷和总氮。检查公司根据被考核点位最近两个月的监测结果，选择浓度接近的有证标准物质，在实验室中配制好，盛装于符合要求的容器内，在规定时间内携带至现场，由仪器水样进口进样测定。检查公司按要求记录结果，并对结果进行统计分析，当月底前形成比对报告。</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3.1.4 手工比对 由中标方对区域内所有自动监测点位进行手工比对，并统计比对结果，形成年度比对报告，提交至采购方。手工比对项目为氨氮、高锰酸盐指数、总磷和总氮，手工比对采取中标方采样分析的模式。检查公司负责比对点位的样品采集，并按要求在规定时间内进行分析。</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3.1.5 参与飞行检查 由采购方根据例行运维检查、现场比对、盲样考核和抽测比对结果，结合各点位水质异常波动情况，组织不定期对部分点位开展飞行检查。检查公司参与飞行检查，负责相应的技术支持和后勤保障等工作。</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3.1.6 其他省级以上相关质控要求。</w:t>
      </w:r>
      <w:r/>
    </w:p>
    <w:p>
      <w:p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3.2服务方式</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3.2.1 根据管理办法对相应的点位名单和重点检查内容，赴现场开展检查，按照统一表格进行记录，并将检查记录当日上传至采购方指定的邮箱。</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3.2.2 现场检查时，按照采购方的计划，进行现场监测项目的比对测试，并将比对测试结果当日上传至采购方指定的邮箱。</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3.2.3现场检查时，按照采购方计划，开展盲样考核。检查机构应提前进行盲样的采购与分配。</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3.2.4 抽查监控情况，并进行手工比对样品的采集和送样，将相关情况及时总结，纳入日报和月总结。</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3.2.5将现场检查情况、现场监测项目比对测试情况、盲样考核情况总结形成月总结，于当月的23日前报送至招标人指定的邮箱。</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3.2.6完成采购方要求的其他相关任务。</w:t>
      </w:r>
      <w:r/>
    </w:p>
    <w:p>
      <w:p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3.3质控检查任务技术要求</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3.3.1所有监测任务应参照《地表水水质自动监测站运行维护技术规范（试行）》（HJ 915-2017）、省办法等相关标准规范的要求执行，检查结果作为质控考核的重要依据。</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3.3.2 投标人中标后15日内，向招标人提交《附加体系文件》，通过招标人审核后，进行信息备案，《附加体系文件》包含（但不限于）以下条款：</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（1）法律地位证明文件；</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（2）组织结构示意图；</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（3）内部组织结构设置和职责；</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（4）质量管理体系要素要求的岗位职能分配表；</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（5）参加本项目人员一览表，包括入职时间、专业、学历；</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（6）与本项目相关的监测能力表；</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（7）与本项目相关的主要仪器设备一览表；</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（8）本项目关键岗位人员任命文件；</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（9）本项目授权签字人签字领域及签名识别；</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（10）对按照《国家地表水环境质量监测网监测任务作业指导书》（环办监测函 〔2017〕249号）、《地表水环境质量标准》（GB3838-2002）的推荐方法或地表水相关的环境保护方法标准测定3.1所列项目的能力确认材料；</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3.3.3 投标人需根据招标文件要求编写详细可行的质控检查任务实施方案和应急预案。实施方案编写内容包括：现场检查的人员配备、车辆配备、仪器配备、仪器的检定/校准和维护、盲样的采购和发放、结果统计与评价、内部质量管理方案，应急预案内容包括：现场监测质控检查过程中，由于车辆出现故障或事故、 遭遇恶劣天气等原因无法按时保质完成任务的有效预防和补救措施。投标人在中标后15天内根据实际情况对实施方案和应急预案予以完善，并通过采购方审核后才能实施。实施方案和应急预案将作为合同附件。</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3.3.4投标人按3.1中现场监测项目配备便携式仪器，配置数量按照质控小组数量1:1配置，便携式仪器须满足环境保护相关技术规范要求（详见下表），经过有资质的机构进行检定/校准，并提供检定/校准证书。投标人需提供便携式仪器配置清单，包含型号、测定范围、检出限、准确度等。如非投标人自有或已购。</w:t>
      </w:r>
      <w:r/>
    </w:p>
    <w:p>
      <w:pPr>
        <w:ind w:firstLine="200"/>
        <w:jc w:val="center"/>
        <w:spacing w:line="2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便携式仪器技术参数表</w:t>
      </w:r>
      <w:r/>
    </w:p>
    <w:tbl>
      <w:tblPr>
        <w:tblStyle w:val="736"/>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34"/>
        <w:gridCol w:w="1730"/>
        <w:gridCol w:w="2079"/>
        <w:gridCol w:w="5294"/>
      </w:tblGrid>
      <w:tr>
        <w:trPr>
          <w:trHeight w:val="325"/>
          <w:tblHeader/>
        </w:trPr>
        <w:tc>
          <w:tcPr>
            <w:tcBorders>
              <w:top w:val="single" w:color="auto" w:sz="4" w:space="0"/>
              <w:bottom w:val="single" w:color="auto" w:sz="4" w:space="0"/>
              <w:right w:val="single" w:color="auto" w:sz="4" w:space="0"/>
            </w:tcBorders>
            <w:tcW w:w="510" w:type="pct"/>
            <w:vAlign w:val="center"/>
            <w:textDirection w:val="lrTb"/>
            <w:noWrap w:val="false"/>
          </w:tcPr>
          <w:p>
            <w:pPr>
              <w:jc w:val="center"/>
              <w:spacing w:line="24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853" w:type="pct"/>
            <w:vAlign w:val="center"/>
            <w:textDirection w:val="lrTb"/>
            <w:noWrap w:val="false"/>
          </w:tcPr>
          <w:p>
            <w:pPr>
              <w:jc w:val="center"/>
              <w:spacing w:line="24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参数名称</w:t>
            </w:r>
            <w:r/>
          </w:p>
        </w:tc>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spacing w:line="24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测量原理</w:t>
            </w:r>
            <w:r/>
          </w:p>
        </w:tc>
        <w:tc>
          <w:tcPr>
            <w:tcBorders>
              <w:top w:val="single" w:color="auto" w:sz="4" w:space="0"/>
              <w:left w:val="single" w:color="auto" w:sz="4" w:space="0"/>
              <w:bottom w:val="single" w:color="auto" w:sz="4" w:space="0"/>
            </w:tcBorders>
            <w:tcW w:w="2610" w:type="pct"/>
            <w:vAlign w:val="center"/>
            <w:textDirection w:val="lrTb"/>
            <w:noWrap w:val="false"/>
          </w:tcPr>
          <w:p>
            <w:pPr>
              <w:jc w:val="center"/>
              <w:spacing w:line="24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技术参数要求</w:t>
            </w:r>
            <w:r/>
          </w:p>
        </w:tc>
      </w:tr>
      <w:tr>
        <w:trPr>
          <w:trHeight w:val="799"/>
        </w:trPr>
        <w:tc>
          <w:tcPr>
            <w:tcBorders>
              <w:top w:val="single" w:color="auto" w:sz="4" w:space="0"/>
              <w:bottom w:val="single" w:color="auto" w:sz="4" w:space="0"/>
              <w:right w:val="single" w:color="auto" w:sz="4" w:space="0"/>
            </w:tcBorders>
            <w:tcW w:w="510" w:type="pct"/>
            <w:vAlign w:val="center"/>
            <w:textDirection w:val="lrTb"/>
            <w:noWrap w:val="false"/>
          </w:tcPr>
          <w:p>
            <w:pPr>
              <w:jc w:val="center"/>
              <w:spacing w:line="2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853" w:type="pct"/>
            <w:vAlign w:val="center"/>
            <w:textDirection w:val="lrTb"/>
            <w:noWrap w:val="false"/>
          </w:tcPr>
          <w:p>
            <w:pPr>
              <w:jc w:val="center"/>
              <w:spacing w:line="240" w:lineRule="exact"/>
              <w:tabs>
                <w:tab w:val="left" w:pos="72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水温</w:t>
            </w:r>
            <w:r/>
          </w:p>
        </w:tc>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spacing w:line="2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热敏电阻法</w:t>
            </w:r>
            <w:r/>
          </w:p>
        </w:tc>
        <w:tc>
          <w:tcPr>
            <w:tcBorders>
              <w:top w:val="single" w:color="auto" w:sz="4" w:space="0"/>
              <w:left w:val="single" w:color="auto" w:sz="4" w:space="0"/>
              <w:bottom w:val="single" w:color="auto" w:sz="4" w:space="0"/>
            </w:tcBorders>
            <w:tcW w:w="2610" w:type="pct"/>
            <w:vAlign w:val="center"/>
            <w:textDirection w:val="lrTb"/>
            <w:noWrap w:val="false"/>
          </w:tcPr>
          <w:p>
            <w:pPr>
              <w:spacing w:line="2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测量范围 -5至+45°C</w:t>
            </w:r>
            <w:r/>
          </w:p>
          <w:p>
            <w:pPr>
              <w:spacing w:line="2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准确度</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 xml:space="preserve">±0.15°C</w:t>
            </w:r>
            <w:r/>
          </w:p>
          <w:p>
            <w:pPr>
              <w:spacing w:line="2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分辨率</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 xml:space="preserve">0.01°C</w:t>
            </w:r>
            <w:r/>
          </w:p>
        </w:tc>
      </w:tr>
      <w:tr>
        <w:trPr>
          <w:trHeight w:val="1050"/>
        </w:trPr>
        <w:tc>
          <w:tcPr>
            <w:tcBorders>
              <w:top w:val="single" w:color="auto" w:sz="4" w:space="0"/>
              <w:bottom w:val="single" w:color="auto" w:sz="4" w:space="0"/>
              <w:right w:val="single" w:color="auto" w:sz="4" w:space="0"/>
            </w:tcBorders>
            <w:tcW w:w="510" w:type="pct"/>
            <w:vAlign w:val="center"/>
            <w:textDirection w:val="lrTb"/>
            <w:noWrap w:val="false"/>
          </w:tcPr>
          <w:p>
            <w:pPr>
              <w:jc w:val="center"/>
              <w:spacing w:line="2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853" w:type="pct"/>
            <w:vAlign w:val="center"/>
            <w:textDirection w:val="lrTb"/>
            <w:noWrap w:val="false"/>
          </w:tcPr>
          <w:p>
            <w:pPr>
              <w:jc w:val="center"/>
              <w:spacing w:line="240" w:lineRule="exact"/>
              <w:tabs>
                <w:tab w:val="left" w:pos="72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pH</w:t>
            </w:r>
            <w:r/>
          </w:p>
        </w:tc>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spacing w:line="2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玻璃电极法</w:t>
            </w:r>
            <w:r/>
          </w:p>
        </w:tc>
        <w:tc>
          <w:tcPr>
            <w:tcBorders>
              <w:top w:val="single" w:color="auto" w:sz="4" w:space="0"/>
              <w:left w:val="single" w:color="auto" w:sz="4" w:space="0"/>
              <w:bottom w:val="single" w:color="auto" w:sz="4" w:space="0"/>
            </w:tcBorders>
            <w:tcW w:w="2610" w:type="pct"/>
            <w:vAlign w:val="center"/>
            <w:textDirection w:val="lrTb"/>
            <w:noWrap w:val="false"/>
          </w:tcPr>
          <w:p>
            <w:pPr>
              <w:spacing w:line="2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测量范围</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 xml:space="preserve">0至14 pH</w:t>
            </w:r>
            <w:r/>
          </w:p>
          <w:p>
            <w:pPr>
              <w:spacing w:line="2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准确度</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 xml:space="preserve">±0.2 pH</w:t>
            </w:r>
            <w:r/>
          </w:p>
          <w:p>
            <w:pPr>
              <w:spacing w:line="2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分辨率</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 xml:space="preserve">0.01 pH</w:t>
            </w:r>
            <w:r/>
          </w:p>
          <w:p>
            <w:pPr>
              <w:spacing w:line="2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温度补偿功能</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 xml:space="preserve">自动</w:t>
            </w:r>
            <w:r/>
          </w:p>
        </w:tc>
      </w:tr>
      <w:tr>
        <w:trPr>
          <w:trHeight w:val="1100"/>
        </w:trPr>
        <w:tc>
          <w:tcPr>
            <w:tcBorders>
              <w:top w:val="single" w:color="auto" w:sz="4" w:space="0"/>
              <w:bottom w:val="single" w:color="auto" w:sz="4" w:space="0"/>
              <w:right w:val="single" w:color="auto" w:sz="4" w:space="0"/>
            </w:tcBorders>
            <w:tcW w:w="510" w:type="pct"/>
            <w:vAlign w:val="center"/>
            <w:textDirection w:val="lrTb"/>
            <w:noWrap w:val="false"/>
          </w:tcPr>
          <w:p>
            <w:pPr>
              <w:jc w:val="center"/>
              <w:spacing w:line="2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853" w:type="pct"/>
            <w:vAlign w:val="center"/>
            <w:textDirection w:val="lrTb"/>
            <w:noWrap w:val="false"/>
          </w:tcPr>
          <w:p>
            <w:pPr>
              <w:jc w:val="center"/>
              <w:spacing w:line="240" w:lineRule="exact"/>
              <w:tabs>
                <w:tab w:val="left" w:pos="72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溶解氧</w:t>
            </w:r>
            <w:r/>
          </w:p>
        </w:tc>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spacing w:line="2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荧光法或者膜电极法</w:t>
            </w:r>
            <w:r/>
          </w:p>
        </w:tc>
        <w:tc>
          <w:tcPr>
            <w:tcBorders>
              <w:top w:val="single" w:color="auto" w:sz="4" w:space="0"/>
              <w:left w:val="single" w:color="auto" w:sz="4" w:space="0"/>
              <w:bottom w:val="single" w:color="auto" w:sz="4" w:space="0"/>
            </w:tcBorders>
            <w:tcW w:w="2610" w:type="pct"/>
            <w:vAlign w:val="center"/>
            <w:textDirection w:val="lrTb"/>
            <w:noWrap w:val="false"/>
          </w:tcPr>
          <w:p>
            <w:pPr>
              <w:spacing w:line="2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测量范围</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 xml:space="preserve">便携式0-20mg/L</w:t>
            </w:r>
            <w:r/>
          </w:p>
          <w:p>
            <w:pPr>
              <w:spacing w:line="240" w:lineRule="exact"/>
              <w:tabs>
                <w:tab w:val="left" w:pos="390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准确度   ±6%</w:t>
            </w:r>
            <w:r/>
          </w:p>
          <w:p>
            <w:pPr>
              <w:spacing w:line="2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分辨率</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 xml:space="preserve">0.01mg/L</w:t>
            </w:r>
            <w:r/>
          </w:p>
          <w:p>
            <w:pPr>
              <w:spacing w:line="2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温度补偿功能</w:t>
            </w:r>
            <w:r/>
          </w:p>
        </w:tc>
      </w:tr>
      <w:tr>
        <w:trPr>
          <w:trHeight w:val="1050"/>
        </w:trPr>
        <w:tc>
          <w:tcPr>
            <w:tcBorders>
              <w:top w:val="single" w:color="auto" w:sz="4" w:space="0"/>
              <w:bottom w:val="single" w:color="auto" w:sz="4" w:space="0"/>
              <w:right w:val="single" w:color="auto" w:sz="4" w:space="0"/>
            </w:tcBorders>
            <w:tcW w:w="510" w:type="pct"/>
            <w:vAlign w:val="center"/>
            <w:textDirection w:val="lrTb"/>
            <w:noWrap w:val="false"/>
          </w:tcPr>
          <w:p>
            <w:pPr>
              <w:jc w:val="center"/>
              <w:spacing w:line="2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853" w:type="pct"/>
            <w:vAlign w:val="center"/>
            <w:textDirection w:val="lrTb"/>
            <w:noWrap w:val="false"/>
          </w:tcPr>
          <w:p>
            <w:pPr>
              <w:jc w:val="center"/>
              <w:spacing w:line="240" w:lineRule="exact"/>
              <w:tabs>
                <w:tab w:val="left" w:pos="72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电导率</w:t>
            </w:r>
            <w:r/>
          </w:p>
        </w:tc>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spacing w:line="2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电极法</w:t>
            </w:r>
            <w:r/>
          </w:p>
        </w:tc>
        <w:tc>
          <w:tcPr>
            <w:tcBorders>
              <w:top w:val="single" w:color="auto" w:sz="4" w:space="0"/>
              <w:left w:val="single" w:color="auto" w:sz="4" w:space="0"/>
              <w:bottom w:val="single" w:color="auto" w:sz="4" w:space="0"/>
            </w:tcBorders>
            <w:tcW w:w="2610" w:type="pct"/>
            <w:vAlign w:val="center"/>
            <w:textDirection w:val="lrTb"/>
            <w:noWrap w:val="false"/>
          </w:tcPr>
          <w:p>
            <w:pPr>
              <w:spacing w:line="240" w:lineRule="exact"/>
              <w:tabs>
                <w:tab w:val="left" w:pos="390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测量范围便携式0-2000uS/cm</w:t>
            </w:r>
            <w:r/>
          </w:p>
          <w:p>
            <w:pPr>
              <w:spacing w:line="240" w:lineRule="exact"/>
              <w:tabs>
                <w:tab w:val="left" w:pos="390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准确度   ±5%</w:t>
            </w:r>
            <w:r/>
          </w:p>
          <w:p>
            <w:pPr>
              <w:spacing w:line="2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分辨率</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 xml:space="preserve">0.1uS/cm</w:t>
            </w:r>
            <w:r/>
          </w:p>
          <w:p>
            <w:pPr>
              <w:spacing w:line="2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温度补偿功能</w:t>
            </w:r>
            <w:r/>
          </w:p>
        </w:tc>
      </w:tr>
      <w:tr>
        <w:trPr>
          <w:trHeight w:val="820"/>
        </w:trPr>
        <w:tc>
          <w:tcPr>
            <w:tcBorders>
              <w:top w:val="single" w:color="auto" w:sz="4" w:space="0"/>
              <w:bottom w:val="single" w:color="auto" w:sz="4" w:space="0"/>
              <w:right w:val="single" w:color="auto" w:sz="4" w:space="0"/>
            </w:tcBorders>
            <w:tcW w:w="510" w:type="pct"/>
            <w:vAlign w:val="center"/>
            <w:textDirection w:val="lrTb"/>
            <w:noWrap w:val="false"/>
          </w:tcPr>
          <w:p>
            <w:pPr>
              <w:jc w:val="center"/>
              <w:spacing w:line="2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853" w:type="pct"/>
            <w:vAlign w:val="center"/>
            <w:textDirection w:val="lrTb"/>
            <w:noWrap w:val="false"/>
          </w:tcPr>
          <w:p>
            <w:pPr>
              <w:jc w:val="center"/>
              <w:spacing w:line="240" w:lineRule="exact"/>
              <w:tabs>
                <w:tab w:val="left" w:pos="72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浊度</w:t>
            </w:r>
            <w:r/>
          </w:p>
        </w:tc>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spacing w:line="2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电极法</w:t>
            </w:r>
            <w:r/>
          </w:p>
        </w:tc>
        <w:tc>
          <w:tcPr>
            <w:tcBorders>
              <w:top w:val="single" w:color="auto" w:sz="4" w:space="0"/>
              <w:left w:val="single" w:color="auto" w:sz="4" w:space="0"/>
              <w:bottom w:val="single" w:color="auto" w:sz="4" w:space="0"/>
            </w:tcBorders>
            <w:tcW w:w="2610" w:type="pct"/>
            <w:vAlign w:val="center"/>
            <w:textDirection w:val="lrTb"/>
            <w:noWrap w:val="false"/>
          </w:tcPr>
          <w:p>
            <w:pPr>
              <w:spacing w:line="2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测量范围</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 xml:space="preserve">0至1000TU，</w:t>
            </w:r>
            <w:r/>
          </w:p>
          <w:p>
            <w:pPr>
              <w:spacing w:line="240" w:lineRule="exact"/>
              <w:tabs>
                <w:tab w:val="left" w:pos="34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准确度读数之±2%（3%）或0.3NTU</w:t>
            </w:r>
            <w:r/>
          </w:p>
          <w:p>
            <w:pPr>
              <w:spacing w:line="240" w:lineRule="exact"/>
              <w:tabs>
                <w:tab w:val="left" w:pos="34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分辨率 0.1NTU</w:t>
            </w:r>
            <w:r/>
          </w:p>
        </w:tc>
      </w:tr>
    </w:tbl>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3.3.5每组水质自动站质控检查至少2名人员参加。</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3.3.6质控检查人员必须通过移动终端软件对水质自动站/点位现场的检查情况进行拍照记录，并使用记录设备对质控检查过程进行视频拍摄留存记录。</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3.3.7因遭遇恶劣天气等突发客观情况等非主观原因造成的无法完成质控检查任务，以及根据实际情况做出临时调整的，必须事先向采购人反映，保存好相关记录备查。</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3.3.8中标供应商采取必要的安全措施保障质控检查时人身安全。如发生任何意外，中标供应商负责事故处理及一切费用，与采购方无关。</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3.3.9质控检查人员发现采样点位周边环境不符合要求、采样系统未正常工作或仪器设备异常，应如实记录，并立即向采购方报告。</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3.3.10现场监测项目的分析方法严格按照《国家地表水环境质量监测网监测任务作业指导书》的要求进行，现场监测的仪器设备必须在检定日期内使用。</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3.3.11质控检查人员要对现场检查时发现的问题及时、如实记录，以现场检查时所见为准，不应在运维机构临时纠正后随意修改检查结果。检查完成后须检查人员和被检查人员共同签字确认。</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3.3.12投标人在中标后15日内，配齐现场监测仪器、冷藏箱及符合要求的标准试剂，能够按照三、质控检查任务技术要求完成质控检查任务。</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3.3.13中标供应商为本项目在无锡地区有固定的服务场地。</w:t>
      </w:r>
      <w:r/>
    </w:p>
    <w:p>
      <w:p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3.4对投标人要求</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3.4.1承担本项目所涉及的地表水自动监测站的运维公司不得参与本项目的投标。</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3.4.2 投标人应按照采购内容和要求，制定具体详细的质控检查任务实施方案（必须包含参与本项目的子公司、分公司或办事处等本地化服务点的地点，实验室资质，人员持证上岗，人员从事相关工作的经验，人员专业和学历，技术负责人和质量负责人情况以及内部质量控制计划和手段措施）。</w:t>
      </w:r>
      <w:r/>
    </w:p>
    <w:p>
      <w:p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3.5资产管理要求</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3.5.1投标人资金保证充足，具有独立财务账户或财务独立核算。</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3.5.2投标人应具有独立完成质控检查任务的资源和能力，具有明确的法律地位， 能够对质控检查结果的真实性和准确性负责。</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3.5.3本项目要求的现场监测项目所需要的仪器设备需经过计量检定。</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3.5.4在委托期内，在合同约束范围内中标供应商拥有管理自主权；不能以任何形式外包合同规定的质控检查任务。</w:t>
      </w:r>
      <w:r/>
    </w:p>
    <w:p>
      <w:p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3.6人员管理要求</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3.6.1投标人应根据招标文件中的工作内容要求，在投标文件中详细列出本项目的主要人员及人员分工（包括现场检查人员、盲样发放人员、盲样测定结果统计与评价人员、报告编制人、报告签发人）作出说明，同时做出落实承诺的有效保证。</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3.6.2除技术负责人和质量负责人外，投标人针对本项目组成员不得与其他项目成员重复。</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3.6.3投标人至少指定一名高级管理人员作为本项目的技术负责人，负责此项目的沟通协调。服务期内非得到采购方允许，技术负责人和质量负责人不得更换。</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3.6.4</w:t>
      </w:r>
      <w:r>
        <w:rPr>
          <w:rFonts w:hint="eastAsia" w:ascii="宋体" w:hAnsi="宋体" w:eastAsia="宋体" w:cs="宋体"/>
          <w:b/>
          <w:bCs/>
          <w:color w:val="auto"/>
          <w:sz w:val="24"/>
          <w:szCs w:val="24"/>
          <w:highlight w:val="none"/>
          <w:lang w:val="en-US" w:eastAsia="zh-CN" w:bidi="ar-SA"/>
        </w:rPr>
        <w:t xml:space="preserve">投标人拟派针对本项目技术负责人具备环境类高级职称5年（或以上），投标时必须提供相关人员环境类中级职称5年（或以上）证明扫描件和</w:t>
      </w:r>
      <w:r>
        <w:rPr>
          <w:rFonts w:hint="eastAsia" w:ascii="宋体" w:hAnsi="宋体" w:cs="宋体"/>
          <w:b/>
          <w:bCs w:val="0"/>
          <w:color w:val="auto"/>
          <w:sz w:val="24"/>
          <w:highlight w:val="none"/>
        </w:rPr>
        <w:t xml:space="preserve">供应商为其缴纳的由相关部门出具的近</w:t>
      </w:r>
      <w:r>
        <w:rPr>
          <w:rFonts w:hint="eastAsia" w:ascii="宋体" w:hAnsi="宋体" w:cs="宋体"/>
          <w:b/>
          <w:bCs w:val="0"/>
          <w:color w:val="auto"/>
          <w:sz w:val="24"/>
          <w:highlight w:val="none"/>
          <w:lang w:val="en-US" w:eastAsia="zh-CN"/>
        </w:rPr>
        <w:t xml:space="preserve">三个月中</w:t>
      </w:r>
      <w:r>
        <w:rPr>
          <w:rFonts w:hint="eastAsia" w:ascii="宋体" w:hAnsi="宋体" w:cs="宋体"/>
          <w:b/>
          <w:bCs w:val="0"/>
          <w:color w:val="auto"/>
          <w:sz w:val="24"/>
          <w:highlight w:val="none"/>
        </w:rPr>
        <w:t xml:space="preserve">任意一个月份</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rPr>
        <w:t xml:space="preserve">不含投标当月</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rPr>
        <w:t xml:space="preserve">的社保缴费证明</w:t>
      </w:r>
      <w:r>
        <w:rPr>
          <w:rFonts w:hint="eastAsia" w:ascii="宋体" w:hAnsi="宋体" w:cs="宋体"/>
          <w:b/>
          <w:bCs w:val="0"/>
          <w:color w:val="auto"/>
          <w:sz w:val="24"/>
          <w:highlight w:val="none"/>
          <w:lang w:val="en-US" w:eastAsia="zh-CN"/>
        </w:rPr>
        <w:t xml:space="preserve">扫描件</w:t>
      </w:r>
      <w:r>
        <w:rPr>
          <w:rFonts w:hint="eastAsia" w:ascii="宋体" w:hAnsi="宋体" w:eastAsia="宋体" w:cs="宋体"/>
          <w:b/>
          <w:bCs w:val="0"/>
          <w:color w:val="auto"/>
          <w:sz w:val="24"/>
          <w:szCs w:val="24"/>
          <w:highlight w:val="none"/>
          <w:lang w:val="en-US" w:eastAsia="zh-CN" w:bidi="ar-SA"/>
        </w:rPr>
        <w:t xml:space="preserve">，否则投标文件无效</w:t>
      </w:r>
      <w:r>
        <w:rPr>
          <w:rFonts w:hint="eastAsia" w:ascii="宋体" w:hAnsi="宋体" w:eastAsia="宋体" w:cs="宋体"/>
          <w:b/>
          <w:bCs/>
          <w:color w:val="auto"/>
          <w:sz w:val="24"/>
          <w:szCs w:val="24"/>
          <w:highlight w:val="none"/>
          <w:lang w:val="en-US" w:eastAsia="zh-CN" w:bidi="ar-SA"/>
        </w:rPr>
        <w:t xml:space="preserve">。</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3.6.5技术负责人及其指定的助理，负责与中心对接每月的质控检查计划，协调处理安排具体的检查工作。该人员的联系电话必须保持畅通，确保采购人能随时与之取得联系。</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3.6.6合同期间，本项目所有技术人员更换率不得超过30%。</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3.6.7合同履约期间，中标供应商应采取必要的安全保护及相关措施，保障质控检查活动中工作人员的人身和财产安全。如工作人员在工作中发生任何人身损害及财产损失， 与采购方无关，中标供应商负责全权处理事故并承担全部费用，并且投标人自愿放弃对采购方提起任何索赔及法律责任之追究。</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3.6.8检查人员应通过省级以上的技术考核，并获得合格证。</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关键岗位人员要求：</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（1）全部质控检查人员在合同签订前须经过水质自动监测技术培训，熟悉水质自动监测原理、方法与程序。</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（2）报告编制人熟悉相关标准规范要求，明确委托的内容和要求。</w:t>
      </w:r>
      <w:r/>
    </w:p>
    <w:p>
      <w:p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3.7技术与装备要求</w:t>
      </w:r>
      <w:r/>
    </w:p>
    <w:p>
      <w:pPr>
        <w:ind w:firstLine="48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3.7.1车辆要求，质控检查所需车辆由投标人提供，须保证2辆运维保障车辆。</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3.7.2监测实施和环境要求，投标人应拥有管理权和使用权的固定的监测活动场所，满足监测仪器设备放置、盲样配制、样品分析、开展质控检查和监测活动所需的条件要求。</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3.7.3仪器设备要求，投标人应配备数量充足、技术指标符合相关监测方法要求的各类监测仪器设备和标准物质。与采样和监测结果的准确性和有效性相关的仪器设备在投入使用前，必须进行计量检定，并保持其在有效期内进行监测。</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3.7.4 投标人可自配置质控管理系统平台并包含移动端软件，系统平台功能包含质控地图查询、计划管理、质控提醒、工单管理、考核管理、质控材料管理、站点管理、设备管理、权限管理等；移动端软件功能包括质控任务管理、工单管理、质控统计、质控指导、通知、定位等。</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3.7.5外部质量监督要求，中标供应商要接受采购方对质控检查工作的监督检查。存在下列情形的，依据情节严重程度进行相应的处理：</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1、采购方不定期对质控检查机构的质量管理体系、质控检查活动完成情况等进行飞行检查，并对现场质控检查视频记录进行抽查，不合格项要求限时整改；整体合格率低于60%的，立即终止合同。</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2、在采购方的检查中，按水质自动站检查情况累积，如果以下行为出现2次以上5次以下（含5次），进行通报；出现5次以上，终止合同：</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（1）除遭遇极端天气等客观原因外，没有到达点位现场进行质控检查；      </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（2）质控检查过程出现不符合技术要求的行为被质疑成功的；</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（3）非本项目人员开展质控检查任务。</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3、出现数据弄虚作假行为的。中标供应商不得以任何形式收受利益单位贿赂或在质 控检查任务全过程中弄虚作假，一经发现并查实，严格执行环保部关于印发《环境监测数据弄虚作假行为判定及处理办法》，立即终止合同，由此产生的一切责任全部由中标供应商承担，并将被列入黑名单，情节严重的移交司法部门。</w:t>
      </w:r>
      <w:r/>
    </w:p>
    <w:p>
      <w:p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3.8数据归属及保密</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所形成的所有质控检查形成的数据及报告的所有权均归采购方所有。未经采购方授权，中标供应商无权使用任何质控检查结果或将质控检查结果发送给任何第三方。报告发送和保管人员应遵守《保密程序》的相关规定，为采购方保密。</w:t>
      </w:r>
      <w:r/>
    </w:p>
    <w:p>
      <w:pPr>
        <w:ind w:firstLine="240"/>
        <w:jc w:val="left"/>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（四）采购标的的数量、采购项目交付或者实施的时间和地点：</w:t>
      </w:r>
      <w:r/>
    </w:p>
    <w:p>
      <w:pPr>
        <w:jc w:val="left"/>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1.1、水质自动监测站</w:t>
      </w:r>
      <w:r/>
    </w:p>
    <w:tbl>
      <w:tblPr>
        <w:tblStyle w:val="736"/>
        <w:tblW w:w="4994"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985"/>
        <w:gridCol w:w="1655"/>
        <w:gridCol w:w="2496"/>
        <w:gridCol w:w="2999"/>
        <w:gridCol w:w="1990"/>
      </w:tblGrid>
      <w:tr>
        <w:trPr>
          <w:jc w:val="center"/>
          <w:trHeight w:val="402"/>
        </w:trPr>
        <w:tc>
          <w:tcPr>
            <w:tcW w:w="486" w:type="pct"/>
            <w:vAlign w:val="center"/>
            <w:textDirection w:val="lrTb"/>
            <w:noWrap w:val="false"/>
          </w:tcPr>
          <w:p>
            <w:pPr>
              <w:jc w:val="center"/>
              <w:spacing w:line="44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817" w:type="pct"/>
            <w:vAlign w:val="center"/>
            <w:textDirection w:val="lrTb"/>
            <w:noWrap w:val="false"/>
          </w:tcPr>
          <w:p>
            <w:pPr>
              <w:jc w:val="center"/>
              <w:spacing w:line="44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所在地区</w:t>
            </w:r>
            <w:r/>
          </w:p>
        </w:tc>
        <w:tc>
          <w:tcPr>
            <w:tcW w:w="1232" w:type="pct"/>
            <w:vAlign w:val="center"/>
            <w:textDirection w:val="lrTb"/>
            <w:noWrap w:val="false"/>
          </w:tcPr>
          <w:p>
            <w:pPr>
              <w:jc w:val="center"/>
              <w:spacing w:line="44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河流及湖体名称</w:t>
            </w:r>
            <w:r/>
          </w:p>
        </w:tc>
        <w:tc>
          <w:tcPr>
            <w:tcW w:w="1480" w:type="pct"/>
            <w:vAlign w:val="center"/>
            <w:textDirection w:val="lrTb"/>
            <w:noWrap w:val="false"/>
          </w:tcPr>
          <w:p>
            <w:pPr>
              <w:jc w:val="center"/>
              <w:spacing w:line="44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站点名称</w:t>
            </w:r>
            <w:r/>
          </w:p>
        </w:tc>
        <w:tc>
          <w:tcPr>
            <w:tcW w:w="982" w:type="pct"/>
            <w:vAlign w:val="center"/>
            <w:textDirection w:val="lrTb"/>
            <w:noWrap w:val="false"/>
          </w:tcPr>
          <w:p>
            <w:pPr>
              <w:jc w:val="center"/>
              <w:spacing w:line="44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备注</w:t>
            </w:r>
            <w:r/>
          </w:p>
        </w:tc>
      </w:tr>
      <w:tr>
        <w:trPr>
          <w:jc w:val="center"/>
          <w:trHeight w:val="402"/>
        </w:trPr>
        <w:tc>
          <w:tcPr>
            <w:tcW w:w="486"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817"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23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48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沙渚东（浮标站）</w:t>
            </w:r>
            <w:r/>
          </w:p>
        </w:tc>
        <w:tc>
          <w:tcPr>
            <w:tcW w:w="98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tcW w:w="486"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817"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23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48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沙渚西（浮标站）</w:t>
            </w:r>
            <w:r/>
          </w:p>
        </w:tc>
        <w:tc>
          <w:tcPr>
            <w:tcW w:w="98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tcW w:w="486"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817"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23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48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龙头渚（浮标站）</w:t>
            </w:r>
            <w:r/>
          </w:p>
        </w:tc>
        <w:tc>
          <w:tcPr>
            <w:tcW w:w="98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tcW w:w="486"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817"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23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48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宜兴西（浮标站）</w:t>
            </w:r>
            <w:r/>
          </w:p>
        </w:tc>
        <w:tc>
          <w:tcPr>
            <w:tcW w:w="98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tcW w:w="486"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817"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23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48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锡东东（浮标站）</w:t>
            </w:r>
            <w:r/>
          </w:p>
        </w:tc>
        <w:tc>
          <w:tcPr>
            <w:tcW w:w="98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tcW w:w="486"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817"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23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48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锡东西（浮标站）</w:t>
            </w:r>
            <w:r/>
          </w:p>
        </w:tc>
        <w:tc>
          <w:tcPr>
            <w:tcW w:w="98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tcW w:w="486"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817"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23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48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五里湖东（浮标站）</w:t>
            </w:r>
            <w:r/>
          </w:p>
        </w:tc>
        <w:tc>
          <w:tcPr>
            <w:tcW w:w="98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tcW w:w="486"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817"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23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48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五里湖西（浮标站）</w:t>
            </w:r>
            <w:r/>
          </w:p>
        </w:tc>
        <w:tc>
          <w:tcPr>
            <w:tcW w:w="98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tcW w:w="486"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W w:w="817"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23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48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鼋头渚北（浮标站）</w:t>
            </w:r>
            <w:r/>
          </w:p>
        </w:tc>
        <w:tc>
          <w:tcPr>
            <w:tcW w:w="98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tcW w:w="486"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817"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tcW w:w="123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tcW w:w="148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梅梁湖北（浮标站）</w:t>
            </w:r>
            <w:r/>
          </w:p>
        </w:tc>
        <w:tc>
          <w:tcPr>
            <w:tcW w:w="98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shd w:val="clear" w:color="auto" w:fill="auto"/>
            <w:tcW w:w="486" w:type="pct"/>
            <w:vAlign w:val="center"/>
            <w:textDirection w:val="lrTb"/>
            <w:noWrap w:val="false"/>
          </w:tcPr>
          <w:p>
            <w:pPr>
              <w:jc w:val="center"/>
              <w:spacing w:line="440" w:lineRule="exact"/>
              <w:tabs>
                <w:tab w:val="center" w:pos="420" w:leader="none"/>
                <w:tab w:val="left" w:pos="59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shd w:val="clear" w:color="auto" w:fill="auto"/>
            <w:tcW w:w="817"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shd w:val="clear" w:color="auto" w:fill="auto"/>
            <w:tcW w:w="123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shd w:val="clear" w:color="auto" w:fill="auto"/>
            <w:tcW w:w="1480"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观景台（浮标站）</w:t>
            </w:r>
            <w:r/>
          </w:p>
        </w:tc>
        <w:tc>
          <w:tcPr>
            <w:tcW w:w="98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shd w:val="clear" w:color="auto" w:fill="auto"/>
            <w:tcW w:w="486"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shd w:val="clear" w:color="auto" w:fill="auto"/>
            <w:tcW w:w="817"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市本级</w:t>
            </w:r>
            <w:r/>
          </w:p>
        </w:tc>
        <w:tc>
          <w:tcPr>
            <w:shd w:val="clear" w:color="auto" w:fill="auto"/>
            <w:tcW w:w="123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太湖</w:t>
            </w:r>
            <w:r/>
          </w:p>
        </w:tc>
        <w:tc>
          <w:tcPr>
            <w:shd w:val="clear" w:color="auto" w:fill="auto"/>
            <w:tcW w:w="1480"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王子港（浮标站）</w:t>
            </w:r>
            <w:r/>
          </w:p>
        </w:tc>
        <w:tc>
          <w:tcPr>
            <w:tcW w:w="98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shd w:val="clear" w:color="auto" w:fill="auto"/>
            <w:tcW w:w="486"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w:t>
            </w:r>
            <w:r/>
          </w:p>
        </w:tc>
        <w:tc>
          <w:tcPr>
            <w:tcW w:w="817"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江阴市</w:t>
            </w:r>
            <w:r/>
          </w:p>
        </w:tc>
        <w:tc>
          <w:tcPr>
            <w:tcW w:w="123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长江</w:t>
            </w:r>
            <w:r/>
          </w:p>
        </w:tc>
        <w:tc>
          <w:tcPr>
            <w:tcW w:w="1480"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澄西水厂（固定式）</w:t>
            </w:r>
            <w:r/>
          </w:p>
        </w:tc>
        <w:tc>
          <w:tcPr>
            <w:tcW w:w="98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shd w:val="clear" w:color="auto" w:fill="auto"/>
            <w:tcW w:w="486"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w:t>
            </w:r>
            <w:r/>
          </w:p>
        </w:tc>
        <w:tc>
          <w:tcPr>
            <w:tcW w:w="817"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梁溪区</w:t>
            </w:r>
            <w:r/>
          </w:p>
        </w:tc>
        <w:tc>
          <w:tcPr>
            <w:tcW w:w="123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古运河</w:t>
            </w:r>
            <w:r/>
          </w:p>
        </w:tc>
        <w:tc>
          <w:tcPr>
            <w:tcW w:w="1480"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新桥泵站（固定式）</w:t>
            </w:r>
            <w:r/>
          </w:p>
        </w:tc>
        <w:tc>
          <w:tcPr>
            <w:tcW w:w="98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shd w:val="clear" w:color="auto" w:fill="auto"/>
            <w:tcW w:w="486"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w:t>
            </w:r>
            <w:r/>
          </w:p>
        </w:tc>
        <w:tc>
          <w:tcPr>
            <w:tcW w:w="817"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锡山区</w:t>
            </w:r>
            <w:r/>
          </w:p>
        </w:tc>
        <w:tc>
          <w:tcPr>
            <w:tcW w:w="123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九里河</w:t>
            </w:r>
            <w:r/>
          </w:p>
        </w:tc>
        <w:tc>
          <w:tcPr>
            <w:tcW w:w="148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长征桥（固定式）</w:t>
            </w:r>
            <w:r/>
          </w:p>
        </w:tc>
        <w:tc>
          <w:tcPr>
            <w:tcW w:w="98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shd w:val="clear" w:color="auto" w:fill="auto"/>
            <w:tcW w:w="486"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w:t>
            </w:r>
            <w:r/>
          </w:p>
        </w:tc>
        <w:tc>
          <w:tcPr>
            <w:tcW w:w="817"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锡山区</w:t>
            </w:r>
            <w:r/>
          </w:p>
        </w:tc>
        <w:tc>
          <w:tcPr>
            <w:tcW w:w="123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北兴塘河</w:t>
            </w:r>
            <w:r/>
          </w:p>
        </w:tc>
        <w:tc>
          <w:tcPr>
            <w:tcW w:w="148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放马滩（固定式）</w:t>
            </w:r>
            <w:r/>
          </w:p>
        </w:tc>
        <w:tc>
          <w:tcPr>
            <w:tcW w:w="98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shd w:val="clear" w:color="auto" w:fill="auto"/>
            <w:tcW w:w="486"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w:t>
            </w:r>
            <w:r/>
          </w:p>
        </w:tc>
        <w:tc>
          <w:tcPr>
            <w:tcW w:w="817"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锡山区</w:t>
            </w:r>
            <w:r/>
          </w:p>
        </w:tc>
        <w:tc>
          <w:tcPr>
            <w:tcW w:w="123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锡北运河</w:t>
            </w:r>
            <w:r/>
          </w:p>
        </w:tc>
        <w:tc>
          <w:tcPr>
            <w:tcW w:w="148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东荘大桥（固定式）</w:t>
            </w:r>
            <w:r/>
          </w:p>
        </w:tc>
        <w:tc>
          <w:tcPr>
            <w:tcW w:w="98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shd w:val="clear" w:color="auto" w:fill="auto"/>
            <w:tcW w:w="486"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w:t>
            </w:r>
            <w:r/>
          </w:p>
        </w:tc>
        <w:tc>
          <w:tcPr>
            <w:tcW w:w="817"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锡山区</w:t>
            </w:r>
            <w:r/>
          </w:p>
        </w:tc>
        <w:tc>
          <w:tcPr>
            <w:tcW w:w="1232"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大塘河</w:t>
            </w:r>
            <w:r/>
          </w:p>
        </w:tc>
        <w:tc>
          <w:tcPr>
            <w:tcW w:w="148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陈墅大桥（固定式）</w:t>
            </w:r>
            <w:r/>
          </w:p>
        </w:tc>
        <w:tc>
          <w:tcPr>
            <w:tcW w:w="98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shd w:val="clear" w:color="auto" w:fill="auto"/>
            <w:tcW w:w="486"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w:t>
            </w:r>
            <w:r/>
          </w:p>
        </w:tc>
        <w:tc>
          <w:tcPr>
            <w:tcW w:w="81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惠山区</w:t>
            </w:r>
            <w:r/>
          </w:p>
        </w:tc>
        <w:tc>
          <w:tcPr>
            <w:tcW w:w="123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京杭运河</w:t>
            </w:r>
            <w:r/>
          </w:p>
        </w:tc>
        <w:tc>
          <w:tcPr>
            <w:tcW w:w="1480"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惠运大桥（固定式）</w:t>
            </w:r>
            <w:r/>
          </w:p>
        </w:tc>
        <w:tc>
          <w:tcPr>
            <w:tcW w:w="98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shd w:val="clear" w:color="auto" w:fill="auto"/>
            <w:tcW w:w="486"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w:t>
            </w:r>
            <w:r/>
          </w:p>
        </w:tc>
        <w:tc>
          <w:tcPr>
            <w:tcW w:w="81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滨湖区</w:t>
            </w:r>
            <w:r/>
          </w:p>
        </w:tc>
        <w:tc>
          <w:tcPr>
            <w:tcW w:w="123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洋溪河</w:t>
            </w:r>
            <w:r/>
          </w:p>
        </w:tc>
        <w:tc>
          <w:tcPr>
            <w:tcW w:w="148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刘塘桥（固定式）</w:t>
            </w:r>
            <w:r/>
          </w:p>
        </w:tc>
        <w:tc>
          <w:tcPr>
            <w:tcW w:w="98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shd w:val="clear" w:color="auto" w:fill="auto"/>
            <w:tcW w:w="486"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w:t>
            </w:r>
            <w:r/>
          </w:p>
        </w:tc>
        <w:tc>
          <w:tcPr>
            <w:tcW w:w="81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滨湖区</w:t>
            </w:r>
            <w:r/>
          </w:p>
        </w:tc>
        <w:tc>
          <w:tcPr>
            <w:tcW w:w="123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古竹河</w:t>
            </w:r>
            <w:r/>
          </w:p>
        </w:tc>
        <w:tc>
          <w:tcPr>
            <w:tcW w:w="148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古竹桥（固定式）</w:t>
            </w:r>
            <w:r/>
          </w:p>
        </w:tc>
        <w:tc>
          <w:tcPr>
            <w:tcW w:w="98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tcW w:w="486"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w:t>
            </w:r>
            <w:r/>
          </w:p>
        </w:tc>
        <w:tc>
          <w:tcPr>
            <w:tcW w:w="81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滨湖区</w:t>
            </w:r>
            <w:r/>
          </w:p>
        </w:tc>
        <w:tc>
          <w:tcPr>
            <w:tcW w:w="123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五里湖</w:t>
            </w:r>
            <w:r/>
          </w:p>
        </w:tc>
        <w:tc>
          <w:tcPr>
            <w:tcW w:w="148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渔父岛（固定式）</w:t>
            </w:r>
            <w:r/>
          </w:p>
        </w:tc>
        <w:tc>
          <w:tcPr>
            <w:tcW w:w="98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tcW w:w="486"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w:t>
            </w:r>
            <w:r/>
          </w:p>
        </w:tc>
        <w:tc>
          <w:tcPr>
            <w:tcW w:w="81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新吴区</w:t>
            </w:r>
            <w:r/>
          </w:p>
        </w:tc>
        <w:tc>
          <w:tcPr>
            <w:tcW w:w="123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伯渎港</w:t>
            </w:r>
            <w:r/>
          </w:p>
        </w:tc>
        <w:tc>
          <w:tcPr>
            <w:tcW w:w="148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梅村大桥（固定式）</w:t>
            </w:r>
            <w:r/>
          </w:p>
        </w:tc>
        <w:tc>
          <w:tcPr>
            <w:tcW w:w="98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02"/>
        </w:trPr>
        <w:tc>
          <w:tcPr>
            <w:tcW w:w="486"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w:t>
            </w:r>
            <w:r/>
          </w:p>
        </w:tc>
        <w:tc>
          <w:tcPr>
            <w:shd w:val="clear" w:color="auto" w:fill="auto"/>
            <w:tcW w:w="81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锡山区</w:t>
            </w:r>
            <w:r/>
          </w:p>
        </w:tc>
        <w:tc>
          <w:tcPr>
            <w:shd w:val="clear" w:color="auto" w:fill="auto"/>
            <w:tcW w:w="123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东青河</w:t>
            </w:r>
            <w:r/>
          </w:p>
        </w:tc>
        <w:tc>
          <w:tcPr>
            <w:shd w:val="clear" w:color="auto" w:fill="auto"/>
            <w:tcW w:w="148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晃山桥（固定式）</w:t>
            </w:r>
            <w:r/>
          </w:p>
        </w:tc>
        <w:tc>
          <w:tcPr>
            <w:tcW w:w="982" w:type="pct"/>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1.2、实施时间：自合同签订之日起一年。</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实施地点：观沙渚东、沙渚西、龙头渚、宜兴西、锡东东、锡东西、五里湖东、五里湖西、鼋头渚北、梅梁湖北、观景台、壬子港12个浮标式水质自动站；澄西水厂、新桥泵站、长征桥、放马滩、东荘大桥、陈墅大桥、惠运大桥、刘塘桥、古竹桥、渔父岛、梅村大桥、晃山桥12个固定式水质自动站。</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（五）采购标的需满足的服务标准、期限、效率等要求：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质量要求：满足采购人需求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（六）采购标的的验收标准：</w:t>
      </w:r>
      <w:r/>
    </w:p>
    <w:p>
      <w:p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1、考核与实施办法</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1.1 考核方法与付费原则</w:t>
      </w:r>
      <w:r/>
    </w:p>
    <w:p>
      <w:p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1.1.1考核方法</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按半年度对每个水质自动站（点位）单独考核，考核内容包括委托方对中标供应商提供的质控检查结果的评价，以及报送的记录档案。</w:t>
      </w:r>
      <w:r/>
    </w:p>
    <w:p>
      <w:p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1.1.2评价原则</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1.1.2.1半年度内质控检查的所有水质自动站为统计基础，水质自动站数按月累计。</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半年度内出现5%的水质自动站未完成现场质控检查任务；每月采购人在6h内5次联系不上技术负责人或其指定的助理；驻站人员工作日内未经许可未至指定办公场所3次（未安排不参与考核）；出现1次未按时报送质控检查报告、盲样考核报告；满足上述四条其中一条，即为初级警告，扣除当年费用的10%，并责令整改；</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半年度内出现10%的水质自动站未完成现场质控检查任务；每月采购人在12h内10次联系不上技术负责人或其指定的助理；驻站人员工作日内未经许可未至指定办公场所7次（未安排不参与考核）；出现2次未按时报送质控检查报告、盲样考核报告；满足上述四条其中一条，即为二级警告，扣除当年费用的30%，并责令整改；</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半年度内出现20%的水质自动站未完成现场质控检查任务；每月采购人在24h内10次联系不上技术负责人或其指定的助理；驻站人员工作日内未经许可未至指定办公场所10次（未安排不参与考核）；出现3次未按时报送质控检查报告、盲样考核报告；违反上述四条其中一条的，视为重大违约，招标人有权解除合同，中标人应无条件向招标人退还已收取的全部款项（如有），并向招标人承担赔偿责任，按合同额金额100%计算。</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1.1.2.2如果中标供应商关键岗位人员或队伍发生重大变更，无法按质开展质控检查任务，或者发生重大责任事故的，甲方有权提前取消合同。</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1.1.2.3中标供应商无论因为何种原因，到达点位现场，但是没有完成质控检查任务的，扣除该水质自动站当次费用的三分之二。</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1.1.2.4 如遇到下拨经费额度发生变化时，按照财政最终下拨金额按比例支付；如遇到经费来源发生重大变化时，立即终止该项目，已执行内容按实际下拨经费按质控周期（两个月一次）进行结算。</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（七）采购标的的其他技术、服务等要求： </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1、在合同生效前原运维公司、中标人及采购人共同对水质自动监测系统的运行情况、仪器运行情况，数据采集情况进行实际考察，并且做好备案。</w:t>
      </w:r>
      <w:r/>
    </w:p>
    <w:p>
      <w:pPr>
        <w:ind w:firstLine="480"/>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2、该运维质控服务须在采购包1和2完成招投标工作并签订合同后，方可实施，并以实际开始时间计一年服务期。</w:t>
      </w:r>
      <w:r/>
    </w:p>
    <w:p>
      <w:pPr>
        <w:ind w:firstLine="480"/>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color w:val="auto"/>
          <w:highlight w:val="none"/>
          <w:lang w:val="en-US" w:eastAsia="zh-CN"/>
        </w:rPr>
      </w:pPr>
      <w:r>
        <w:rPr>
          <w:rFonts w:hint="eastAsia"/>
          <w:color w:val="auto"/>
          <w:highlight w:val="none"/>
          <w:lang w:val="en-US" w:eastAsia="zh-CN"/>
        </w:rPr>
      </w:r>
      <w:r/>
    </w:p>
    <w:p>
      <w:pPr>
        <w:pStyle w:val="784"/>
        <w:rPr>
          <w:rFonts w:hint="default"/>
          <w:color w:val="auto"/>
          <w:highlight w:val="none"/>
          <w:lang w:val="en-US" w:eastAsia="zh-CN"/>
        </w:rPr>
      </w:pPr>
      <w:r>
        <w:rPr>
          <w:rFonts w:hint="default"/>
          <w:color w:val="auto"/>
          <w:highlight w:val="none"/>
          <w:lang w:val="en-US" w:eastAsia="zh-CN"/>
        </w:rPr>
      </w:r>
      <w:r/>
    </w:p>
    <w:p>
      <w:pPr>
        <w:rPr>
          <w:rFonts w:hint="eastAsia" w:ascii="宋体" w:hAnsi="宋体"/>
          <w:b/>
          <w:color w:val="auto"/>
          <w:sz w:val="30"/>
          <w:szCs w:val="30"/>
          <w:highlight w:val="none"/>
        </w:rPr>
        <w:sectPr>
          <w:footerReference w:type="default" r:id="rId11"/>
          <w:footnotePr/>
          <w:endnotePr/>
          <w:type w:val="nextPage"/>
          <w:pgSz w:w="11906" w:h="16838" w:orient="portrait"/>
          <w:pgMar w:top="850" w:right="851" w:bottom="850" w:left="1134" w:header="624" w:footer="907" w:gutter="0"/>
          <w:cols w:num="1" w:sep="0" w:space="425" w:equalWidth="1"/>
          <w:docGrid w:linePitch="360"/>
        </w:sectPr>
      </w:pPr>
      <w:r>
        <w:rPr>
          <w:rFonts w:hint="eastAsia" w:ascii="宋体" w:hAnsi="宋体"/>
          <w:b/>
          <w:color w:val="auto"/>
          <w:sz w:val="30"/>
          <w:szCs w:val="30"/>
          <w:highlight w:val="none"/>
        </w:rPr>
        <w:br w:type="page" w:clear="all"/>
      </w:r>
      <w:r/>
    </w:p>
    <w:p>
      <w:pPr>
        <w:pStyle w:val="784"/>
        <w:rPr>
          <w:rFonts w:hint="eastAsia"/>
          <w:color w:val="auto"/>
          <w:highlight w:val="none"/>
        </w:rPr>
      </w:pPr>
      <w:r>
        <w:rPr>
          <w:rFonts w:hint="eastAsia"/>
          <w:color w:val="auto"/>
          <w:highlight w:val="none"/>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color w:val="auto"/>
          <w:sz w:val="30"/>
          <w:szCs w:val="30"/>
          <w:highlight w:val="none"/>
        </w:rPr>
      </w:pPr>
      <w:r>
        <w:rPr>
          <w:rFonts w:hint="eastAsia" w:ascii="宋体" w:hAnsi="宋体"/>
          <w:b/>
          <w:color w:val="auto"/>
          <w:sz w:val="30"/>
          <w:szCs w:val="30"/>
          <w:highlight w:val="none"/>
        </w:rPr>
        <w:t xml:space="preserve">第</w:t>
      </w:r>
      <w:r>
        <w:rPr>
          <w:rFonts w:hint="eastAsia" w:ascii="宋体" w:hAnsi="宋体"/>
          <w:b/>
          <w:color w:val="auto"/>
          <w:sz w:val="30"/>
          <w:szCs w:val="30"/>
          <w:highlight w:val="none"/>
          <w:lang w:val="en-US" w:eastAsia="zh-CN"/>
        </w:rPr>
        <w:t xml:space="preserve">二</w:t>
      </w:r>
      <w:r>
        <w:rPr>
          <w:rFonts w:hint="eastAsia" w:ascii="宋体" w:hAnsi="宋体"/>
          <w:b/>
          <w:color w:val="auto"/>
          <w:sz w:val="30"/>
          <w:szCs w:val="30"/>
          <w:highlight w:val="none"/>
        </w:rPr>
        <w:t xml:space="preserve">部分  政府采购政策（包括但不限于下列具体政策要求）</w:t>
      </w:r>
      <w:r/>
    </w:p>
    <w:p>
      <w:pPr>
        <w:numPr>
          <w:ilvl w:val="1"/>
          <w:numId w:val="13"/>
        </w:numPr>
        <w:ind w:left="0" w:firstLine="525"/>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3"/>
        </w:numPr>
        <w:ind w:left="0" w:firstLine="525"/>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采购产品属于《节能产品政府采购品目清单</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3"/>
        </w:numPr>
        <w:ind w:left="0" w:firstLine="525"/>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color w:val="auto"/>
          <w:sz w:val="24"/>
          <w:szCs w:val="24"/>
          <w:highlight w:val="none"/>
        </w:rPr>
        <w:t xml:space="preserve">本项目中如有涉及采购数据中心相关设备、运维服务的，应当</w:t>
      </w:r>
      <w:r>
        <w:rPr>
          <w:rFonts w:hint="eastAsia"/>
          <w:color w:val="auto"/>
          <w:sz w:val="24"/>
          <w:szCs w:val="24"/>
          <w:highlight w:val="none"/>
          <w:lang w:eastAsia="zh-CN"/>
        </w:rPr>
        <w:t xml:space="preserve">按照</w:t>
      </w:r>
      <w:r>
        <w:rPr>
          <w:rFonts w:hint="eastAsia"/>
          <w:color w:val="auto"/>
          <w:sz w:val="24"/>
          <w:szCs w:val="24"/>
          <w:highlight w:val="none"/>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3"/>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有关中小企业政策，如</w:t>
      </w:r>
      <w:r>
        <w:rPr>
          <w:rFonts w:hint="eastAsia" w:ascii="宋体" w:hAnsi="宋体"/>
          <w:color w:val="auto"/>
          <w:sz w:val="24"/>
          <w:szCs w:val="24"/>
          <w:highlight w:val="none"/>
        </w:rPr>
        <w:t xml:space="preserve">落实政府采购政策需满足的资格要求以及落实政府采购政策的价格调整的相关内容可详见本文件其他章节。</w:t>
      </w:r>
      <w:r/>
    </w:p>
    <w:p>
      <w:pPr>
        <w:numPr>
          <w:ilvl w:val="1"/>
          <w:numId w:val="13"/>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13"/>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13"/>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w:t>
      </w:r>
      <w:r>
        <w:rPr>
          <w:rFonts w:hint="eastAsia" w:ascii="宋体" w:hAnsi="宋体" w:cs="宋体"/>
          <w:color w:val="auto"/>
          <w:sz w:val="24"/>
          <w:szCs w:val="24"/>
          <w:highlight w:val="none"/>
          <w:lang w:eastAsia="zh-CN"/>
        </w:rPr>
        <w:t xml:space="preserve">布的</w:t>
      </w:r>
      <w:r>
        <w:rPr>
          <w:rFonts w:hint="eastAsia" w:ascii="宋体" w:hAnsi="宋体" w:cs="宋体"/>
          <w:color w:val="auto"/>
          <w:sz w:val="24"/>
          <w:szCs w:val="24"/>
          <w:highlight w:val="none"/>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13"/>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lang w:val="en"/>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lang w:val="en"/>
        </w:rPr>
      </w:pPr>
      <w:r>
        <w:rPr>
          <w:rFonts w:hint="eastAsia" w:ascii="宋体"/>
          <w:bCs/>
          <w:color w:val="auto"/>
          <w:sz w:val="24"/>
          <w:szCs w:val="24"/>
          <w:highlight w:val="none"/>
          <w:lang w:val="en"/>
        </w:rPr>
        <w:t xml:space="preserve">采购人原则上应当自收到发票后10个工作日内将资金支付到合同约定的供应商账户。</w:t>
      </w:r>
      <w:r/>
    </w:p>
    <w:p>
      <w:pPr>
        <w:ind w:firstLine="720"/>
        <w:spacing w:line="360" w:lineRule="auto"/>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br w:type="page" w:clear="all"/>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p>
    <w:p>
      <w:pPr>
        <w:pStyle w:val="1139"/>
        <w:ind w:firstLine="602"/>
        <w:spacing w:before="0" w:after="0"/>
        <w:rPr>
          <w:rFonts w:cs="Arial"/>
          <w:b/>
          <w:color w:val="auto"/>
          <w:sz w:val="30"/>
          <w:szCs w:val="30"/>
          <w:highlight w:val="none"/>
        </w:rPr>
      </w:pPr>
      <w:r>
        <w:rPr>
          <w:rFonts w:hint="eastAsia" w:cs="Arial"/>
          <w:b/>
          <w:color w:val="auto"/>
          <w:sz w:val="30"/>
          <w:szCs w:val="30"/>
          <w:highlight w:val="none"/>
        </w:rPr>
        <w:t xml:space="preserve">第一部分评标方法</w:t>
      </w:r>
      <w:r/>
    </w:p>
    <w:p>
      <w:pPr>
        <w:pStyle w:val="1139"/>
        <w:spacing w:before="0" w:after="0"/>
        <w:rPr>
          <w:rFonts w:cs="Arial"/>
          <w:color w:val="auto"/>
          <w:highlight w:val="none"/>
        </w:rPr>
      </w:pPr>
      <w:r>
        <w:rPr>
          <w:rFonts w:hint="eastAsia" w:cs="Arial"/>
          <w:color w:val="auto"/>
          <w:highlight w:val="none"/>
        </w:rPr>
        <w:t xml:space="preserve">投标人通过初审的，方可进入比较与评价程序。</w:t>
      </w:r>
      <w:r/>
    </w:p>
    <w:p>
      <w:pPr>
        <w:pStyle w:val="1139"/>
        <w:spacing w:before="0" w:after="0"/>
        <w:rPr>
          <w:rFonts w:cs="Arial"/>
          <w:color w:val="auto"/>
          <w:highlight w:val="none"/>
        </w:rPr>
      </w:pPr>
      <w:r>
        <w:rPr>
          <w:rFonts w:hint="eastAsia" w:cs="Arial"/>
          <w:color w:val="auto"/>
          <w:highlight w:val="none"/>
        </w:rPr>
        <w:t xml:space="preserve">比较与评价采用综合评分法。</w:t>
      </w:r>
      <w:r/>
    </w:p>
    <w:p>
      <w:pPr>
        <w:pStyle w:val="1139"/>
        <w:spacing w:before="0" w:after="0"/>
        <w:rPr>
          <w:rFonts w:hint="eastAsia"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eastAsia="宋体" w:cs="宋体"/>
          <w:bCs/>
          <w:color w:val="auto"/>
          <w:sz w:val="24"/>
          <w:szCs w:val="20"/>
          <w:highlight w:val="none"/>
          <w:lang w:val="en-US" w:eastAsia="zh-CN"/>
        </w:rPr>
        <w:t xml:space="preserve">采购包1或采购包2的中标供应商不能中标采购包3，如发生此类情况则采购包3的中标供应商顺延。</w:t>
      </w:r>
      <w:r/>
    </w:p>
    <w:p>
      <w:pPr>
        <w:pStyle w:val="1139"/>
        <w:spacing w:before="0" w:after="0"/>
        <w:rPr>
          <w:rFonts w:hint="eastAsia"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139"/>
        <w:spacing w:before="0" w:after="0"/>
        <w:rPr>
          <w:rFonts w:hint="eastAsia" w:ascii="宋体" w:hAnsi="宋体"/>
          <w:bCs/>
          <w:color w:val="auto"/>
          <w:highlight w:val="none"/>
        </w:rPr>
      </w:pPr>
      <w:r>
        <w:rPr>
          <w:rFonts w:hint="eastAsia" w:ascii="宋体" w:hAnsi="宋体"/>
          <w:bCs/>
          <w:color w:val="auto"/>
          <w:highlight w:val="none"/>
        </w:rPr>
      </w:r>
      <w:r/>
    </w:p>
    <w:p>
      <w:pPr>
        <w:jc w:val="left"/>
        <w:spacing w:line="360" w:lineRule="auto"/>
        <w:widowControl/>
        <w:rPr>
          <w:rFonts w:ascii="Arial" w:hAnsi="Arial" w:eastAsia="宋体" w:cs="Arial"/>
          <w:b/>
          <w:color w:val="auto"/>
          <w:sz w:val="30"/>
          <w:szCs w:val="30"/>
          <w:highlight w:val="none"/>
        </w:rPr>
      </w:pPr>
      <w:r>
        <w:rPr>
          <w:rFonts w:cs="Arial"/>
          <w:b/>
          <w:color w:val="auto"/>
          <w:sz w:val="30"/>
          <w:szCs w:val="30"/>
          <w:highlight w:val="none"/>
        </w:rPr>
        <w:br w:type="page" w:clear="all"/>
      </w:r>
      <w:bookmarkStart w:id="169" w:name="_GoBack"/>
      <w:r/>
      <w:bookmarkEnd w:id="169"/>
      <w:r/>
      <w:r/>
    </w:p>
    <w:p>
      <w:pPr>
        <w:pStyle w:val="1139"/>
        <w:ind w:firstLine="602"/>
        <w:spacing w:before="0" w:after="0"/>
        <w:rPr>
          <w:rFonts w:cs="Arial"/>
          <w:b/>
          <w:color w:val="auto"/>
          <w:sz w:val="30"/>
          <w:szCs w:val="30"/>
          <w:highlight w:val="none"/>
        </w:rPr>
      </w:pPr>
      <w:r>
        <w:rPr>
          <w:rFonts w:hint="eastAsia" w:cs="Arial"/>
          <w:b/>
          <w:color w:val="auto"/>
          <w:sz w:val="30"/>
          <w:szCs w:val="30"/>
          <w:highlight w:val="none"/>
        </w:rPr>
        <w:t xml:space="preserve">第二部分评标标准</w:t>
      </w:r>
      <w:r/>
    </w:p>
    <w:p>
      <w:pPr>
        <w:pStyle w:val="1139"/>
        <w:ind w:firstLine="562"/>
        <w:spacing w:before="0" w:after="0"/>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含新疆生产建设兵团</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360" w:lineRule="auto"/>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pStyle w:val="1139"/>
        <w:ind w:firstLine="360"/>
        <w:spacing w:before="0" w:after="0"/>
        <w:rPr>
          <w:rFonts w:hint="eastAsia" w:ascii="宋体" w:hAnsi="宋体"/>
          <w:b/>
          <w:bCs/>
          <w:i/>
          <w:color w:val="auto"/>
          <w:sz w:val="28"/>
          <w:szCs w:val="28"/>
          <w:highlight w:val="none"/>
        </w:rPr>
      </w:pPr>
      <w:r>
        <w:rPr>
          <w:rFonts w:hint="eastAsia" w:ascii="宋体" w:hAnsi="宋体"/>
          <w:b/>
          <w:bCs/>
          <w:i/>
          <w:color w:val="auto"/>
          <w:sz w:val="28"/>
          <w:szCs w:val="28"/>
          <w:highlight w:val="none"/>
        </w:rPr>
      </w:r>
      <w:r/>
    </w:p>
    <w:p>
      <w:pPr>
        <w:jc w:val="left"/>
        <w:spacing w:line="360" w:lineRule="auto"/>
        <w:widowControl/>
        <w:rPr>
          <w:rFonts w:hint="eastAsia" w:ascii="宋体" w:hAnsi="宋体" w:eastAsia="宋体" w:cs="Times New Roman"/>
          <w:b/>
          <w:color w:val="auto"/>
          <w:sz w:val="28"/>
          <w:szCs w:val="28"/>
          <w:highlight w:val="none"/>
        </w:rPr>
      </w:pPr>
      <w:r>
        <w:rPr>
          <w:rFonts w:ascii="宋体" w:hAnsi="宋体"/>
          <w:b/>
          <w:color w:val="auto"/>
          <w:sz w:val="28"/>
          <w:szCs w:val="28"/>
          <w:highlight w:val="none"/>
        </w:rPr>
        <w:br w:type="page" w:clear="all"/>
      </w:r>
      <w:r/>
    </w:p>
    <w:p>
      <w:pPr>
        <w:pStyle w:val="1139"/>
        <w:numPr>
          <w:ilvl w:val="0"/>
          <w:numId w:val="14"/>
        </w:numPr>
        <w:ind w:firstLine="360"/>
        <w:spacing w:before="0" w:after="0"/>
        <w:rPr>
          <w:rFonts w:hint="eastAsia" w:ascii="宋体" w:hAnsi="宋体"/>
          <w:b/>
          <w:color w:val="auto"/>
          <w:sz w:val="28"/>
          <w:szCs w:val="28"/>
          <w:highlight w:val="none"/>
        </w:rPr>
      </w:pPr>
      <w:r>
        <w:rPr>
          <w:rFonts w:hint="eastAsia" w:ascii="宋体" w:hAnsi="宋体"/>
          <w:b/>
          <w:color w:val="auto"/>
          <w:sz w:val="28"/>
          <w:szCs w:val="28"/>
          <w:highlight w:val="none"/>
        </w:rPr>
        <w:t xml:space="preserve">评分标准</w:t>
      </w:r>
      <w:r>
        <w:rPr>
          <w:rFonts w:hint="eastAsia" w:ascii="宋体" w:hAnsi="宋体"/>
          <w:b/>
          <w:color w:val="auto"/>
          <w:sz w:val="28"/>
          <w:szCs w:val="28"/>
          <w:highlight w:val="none"/>
          <w:lang w:eastAsia="zh-CN"/>
        </w:rPr>
        <w:t xml:space="preserve">（</w:t>
      </w:r>
      <w:r>
        <w:rPr>
          <w:rFonts w:hint="eastAsia" w:ascii="宋体" w:hAnsi="宋体"/>
          <w:b/>
          <w:color w:val="auto"/>
          <w:sz w:val="28"/>
          <w:szCs w:val="28"/>
          <w:highlight w:val="none"/>
          <w:lang w:val="en-US" w:eastAsia="zh-CN"/>
        </w:rPr>
        <w:t xml:space="preserve">采购包1</w:t>
      </w:r>
      <w:r>
        <w:rPr>
          <w:rFonts w:hint="eastAsia" w:ascii="宋体" w:hAnsi="宋体"/>
          <w:b/>
          <w:color w:val="auto"/>
          <w:sz w:val="28"/>
          <w:szCs w:val="28"/>
          <w:highlight w:val="none"/>
          <w:lang w:eastAsia="zh-CN"/>
        </w:rPr>
        <w:t xml:space="preserve">）</w:t>
      </w:r>
      <w:r/>
    </w:p>
    <w:p>
      <w:pPr>
        <w:ind w:firstLine="482"/>
        <w:keepLines w:val="0"/>
        <w:keepNext w:val="0"/>
        <w:pageBreakBefore w:val="0"/>
        <w:spacing w:line="360" w:lineRule="auto"/>
        <w:widowControl w:val="off"/>
        <w:tabs>
          <w:tab w:val="left" w:pos="945" w:leader="none"/>
        </w:tabs>
        <w:rPr>
          <w:rFonts w:hint="eastAsia" w:ascii="宋体" w:hAnsi="宋体" w:eastAsia="宋体" w:cs="宋体"/>
          <w:b/>
          <w:bCs w:val="0"/>
          <w:color w:val="auto"/>
          <w:sz w:val="24"/>
          <w:highlight w:val="none"/>
          <w:lang w:val="zh-CN"/>
        </w:rPr>
      </w:pPr>
      <w:r>
        <w:rPr>
          <w:rFonts w:hint="eastAsia" w:ascii="宋体" w:hAnsi="宋体" w:eastAsia="宋体" w:cs="宋体"/>
          <w:b/>
          <w:bCs w:val="0"/>
          <w:color w:val="auto"/>
          <w:sz w:val="24"/>
          <w:highlight w:val="none"/>
          <w:lang w:val="zh-CN"/>
        </w:rPr>
        <w:t xml:space="preserve">投标报价</w:t>
      </w:r>
      <w:r>
        <w:rPr>
          <w:rFonts w:hint="eastAsia" w:ascii="宋体" w:hAnsi="宋体" w:eastAsia="宋体" w:cs="宋体"/>
          <w:b/>
          <w:bCs w:val="0"/>
          <w:color w:val="auto"/>
          <w:sz w:val="24"/>
          <w:highlight w:val="none"/>
          <w:lang w:val="en-US" w:eastAsia="zh-CN"/>
        </w:rPr>
        <w:t xml:space="preserve">              20</w:t>
      </w:r>
      <w:r>
        <w:rPr>
          <w:rFonts w:hint="eastAsia" w:ascii="宋体" w:hAnsi="宋体" w:eastAsia="宋体" w:cs="宋体"/>
          <w:b/>
          <w:bCs w:val="0"/>
          <w:color w:val="auto"/>
          <w:sz w:val="24"/>
          <w:highlight w:val="none"/>
          <w:lang w:val="zh-CN"/>
        </w:rPr>
        <w:t xml:space="preserve">分</w:t>
      </w:r>
      <w:r/>
    </w:p>
    <w:p>
      <w:pPr>
        <w:pStyle w:val="742"/>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商务部分              20分</w:t>
      </w:r>
      <w:r/>
    </w:p>
    <w:p>
      <w:pPr>
        <w:ind w:firstLine="482"/>
        <w:jc w:val="left"/>
        <w:keepLines w:val="0"/>
        <w:keepNext w:val="0"/>
        <w:pageBreakBefore w:val="0"/>
        <w:spacing w:after="0" w:line="360" w:lineRule="auto"/>
        <w:widowControl w:val="off"/>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技术</w:t>
      </w:r>
      <w:r>
        <w:rPr>
          <w:rFonts w:hint="eastAsia" w:ascii="宋体" w:hAnsi="宋体" w:eastAsia="宋体" w:cs="宋体"/>
          <w:b/>
          <w:bCs w:val="0"/>
          <w:color w:val="auto"/>
          <w:sz w:val="24"/>
          <w:szCs w:val="22"/>
          <w:highlight w:val="none"/>
          <w:lang w:val="en-US" w:eastAsia="zh-CN"/>
        </w:rPr>
        <w:t xml:space="preserve">部分</w:t>
      </w:r>
      <w:r>
        <w:rPr>
          <w:rFonts w:hint="eastAsia" w:ascii="宋体" w:hAnsi="宋体" w:eastAsia="宋体" w:cs="宋体"/>
          <w:b/>
          <w:bCs w:val="0"/>
          <w:color w:val="auto"/>
          <w:sz w:val="24"/>
          <w:szCs w:val="22"/>
          <w:highlight w:val="none"/>
        </w:rPr>
        <w:t xml:space="preserve">（服务方案）</w:t>
      </w:r>
      <w:r>
        <w:rPr>
          <w:rFonts w:hint="eastAsia" w:ascii="宋体" w:hAnsi="宋体" w:eastAsia="宋体" w:cs="宋体"/>
          <w:b/>
          <w:bCs w:val="0"/>
          <w:color w:val="auto"/>
          <w:sz w:val="24"/>
          <w:szCs w:val="22"/>
          <w:highlight w:val="none"/>
          <w:lang w:val="en-US" w:eastAsia="zh-CN"/>
        </w:rPr>
        <w:t xml:space="preserve">  60</w:t>
      </w:r>
      <w:r>
        <w:rPr>
          <w:rFonts w:hint="eastAsia" w:ascii="宋体" w:hAnsi="宋体" w:eastAsia="宋体" w:cs="宋体"/>
          <w:b/>
          <w:bCs w:val="0"/>
          <w:color w:val="auto"/>
          <w:sz w:val="24"/>
          <w:szCs w:val="22"/>
          <w:highlight w:val="none"/>
        </w:rPr>
        <w:t xml:space="preserve">分</w:t>
      </w:r>
      <w:r/>
    </w:p>
    <w:p>
      <w:pPr>
        <w:ind w:firstLine="482"/>
        <w:spacing w:line="360" w:lineRule="auto"/>
        <w:tabs>
          <w:tab w:val="left" w:pos="945" w:leader="none"/>
        </w:tabs>
        <w:rPr>
          <w:rFonts w:hint="eastAsia" w:ascii="宋体" w:hAnsi="宋体" w:eastAsia="宋体" w:cs="宋体"/>
          <w:b/>
          <w:bCs w:val="0"/>
          <w:color w:val="auto"/>
          <w:sz w:val="24"/>
          <w:highlight w:val="none"/>
          <w:lang w:val="zh-CN"/>
        </w:rPr>
      </w:pPr>
      <w:r>
        <w:rPr>
          <w:rFonts w:hint="eastAsia" w:ascii="宋体" w:hAnsi="宋体" w:eastAsia="宋体" w:cs="宋体"/>
          <w:b/>
          <w:bCs w:val="0"/>
          <w:color w:val="auto"/>
          <w:sz w:val="24"/>
          <w:highlight w:val="none"/>
          <w:lang w:val="en-US" w:eastAsia="zh-CN"/>
        </w:rPr>
        <w:t xml:space="preserve">1、</w:t>
      </w:r>
      <w:r>
        <w:rPr>
          <w:rFonts w:hint="eastAsia" w:ascii="宋体" w:hAnsi="宋体" w:eastAsia="宋体" w:cs="宋体"/>
          <w:b/>
          <w:bCs w:val="0"/>
          <w:color w:val="auto"/>
          <w:sz w:val="24"/>
          <w:highlight w:val="none"/>
          <w:lang w:val="zh-CN"/>
        </w:rPr>
        <w:t xml:space="preserve">投标报价（</w:t>
      </w:r>
      <w:r>
        <w:rPr>
          <w:rFonts w:hint="eastAsia" w:ascii="宋体" w:hAnsi="宋体" w:eastAsia="宋体" w:cs="宋体"/>
          <w:b/>
          <w:bCs w:val="0"/>
          <w:color w:val="auto"/>
          <w:sz w:val="24"/>
          <w:highlight w:val="none"/>
          <w:lang w:val="en-US" w:eastAsia="zh-CN"/>
        </w:rPr>
        <w:t xml:space="preserve">20</w:t>
      </w:r>
      <w:r>
        <w:rPr>
          <w:rFonts w:hint="eastAsia" w:ascii="宋体" w:hAnsi="宋体" w:eastAsia="宋体" w:cs="宋体"/>
          <w:b/>
          <w:bCs w:val="0"/>
          <w:color w:val="auto"/>
          <w:sz w:val="24"/>
          <w:highlight w:val="none"/>
          <w:lang w:val="zh-CN"/>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lang w:val="en-US" w:eastAsia="zh-CN"/>
        </w:rPr>
        <w:t xml:space="preserve">价格分采用低价优先法计算，即满足采购文件要求且有效的最低投标报价为评标基准价，其价格分为满分。其他投标供应商的价格分统一按照下列公式计算：</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val="en-US" w:eastAsia="zh-CN"/>
        </w:rPr>
        <w:t xml:space="preserve">投标报价得分=（评标基准价）／（投标报价）×价格权值×100，结果保留两位小数。</w:t>
      </w:r>
      <w:r/>
    </w:p>
    <w:p>
      <w:pPr>
        <w:ind w:firstLine="480"/>
        <w:jc w:val="left"/>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bCs/>
          <w:color w:val="auto"/>
          <w:sz w:val="24"/>
          <w:szCs w:val="24"/>
          <w:highlight w:val="none"/>
        </w:rPr>
        <w:t xml:space="preserve">关于价格扣除详见本章第二部分“一、落实政府采购政策的价格调整”。</w:t>
      </w:r>
      <w:r/>
    </w:p>
    <w:p>
      <w:pPr>
        <w:pStyle w:val="742"/>
        <w:numPr>
          <w:ilvl w:val="0"/>
          <w:numId w:val="0"/>
        </w:numPr>
        <w:ind w:firstLine="482"/>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2、商务部分（20分）</w:t>
      </w:r>
      <w:r/>
    </w:p>
    <w:p>
      <w:pPr>
        <w:ind w:firstLine="480"/>
        <w:spacing w:line="360" w:lineRule="auto"/>
        <w:rPr>
          <w:rFonts w:hint="eastAsia" w:ascii="宋体" w:hAnsi="宋体" w:cs="宋体"/>
          <w:bCs/>
          <w:color w:val="auto"/>
          <w:sz w:val="24"/>
          <w:szCs w:val="24"/>
          <w:highlight w:val="none"/>
        </w:rPr>
      </w:pPr>
      <w:r/>
      <w:bookmarkStart w:id="156" w:name="_Hlk73275384"/>
      <w:r>
        <w:rPr>
          <w:rFonts w:hint="eastAsia" w:ascii="宋体" w:hAnsi="宋体" w:cs="宋体"/>
          <w:bCs/>
          <w:color w:val="auto"/>
          <w:sz w:val="24"/>
          <w:szCs w:val="24"/>
          <w:highlight w:val="none"/>
        </w:rPr>
        <w:t xml:space="preserve">（1）人员配置情况（</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1）项目负责人（运维技术主管）：同时具备环境工程中级工程师及以上职称、中国环境监测总站颁发的国家地表水环境质量监测技术与运维管理培训合格证书的，得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w:t>
      </w:r>
      <w:r>
        <w:rPr>
          <w:rFonts w:hint="eastAsia" w:ascii="宋体" w:hAnsi="宋体" w:cs="宋体"/>
          <w:bCs/>
          <w:color w:val="auto"/>
          <w:sz w:val="24"/>
          <w:szCs w:val="24"/>
          <w:highlight w:val="none"/>
          <w:lang w:eastAsia="zh-CN"/>
        </w:rPr>
        <w:t xml:space="preserve">。</w:t>
      </w:r>
      <w:r>
        <w:rPr>
          <w:rFonts w:hint="eastAsia" w:ascii="宋体" w:hAnsi="宋体" w:cs="宋体"/>
          <w:color w:val="auto"/>
          <w:sz w:val="24"/>
          <w:szCs w:val="24"/>
          <w:highlight w:val="none"/>
        </w:rPr>
        <w:t xml:space="preserve">【提供</w:t>
      </w:r>
      <w:r>
        <w:rPr>
          <w:rFonts w:hint="eastAsia" w:ascii="宋体" w:hAnsi="宋体" w:cs="宋体"/>
          <w:bCs/>
          <w:color w:val="auto"/>
          <w:sz w:val="24"/>
          <w:szCs w:val="24"/>
          <w:highlight w:val="none"/>
        </w:rPr>
        <w:t xml:space="preserve">项目负责人身份证、证书、</w:t>
      </w:r>
      <w:r>
        <w:rPr>
          <w:rFonts w:hint="eastAsia" w:ascii="宋体" w:hAnsi="宋体" w:cs="宋体"/>
          <w:color w:val="auto"/>
          <w:sz w:val="24"/>
          <w:szCs w:val="24"/>
          <w:highlight w:val="none"/>
        </w:rPr>
        <w:t xml:space="preserve">与本企业签订的劳动合同</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rPr>
        <w:t xml:space="preserve">由相关政府机构出具的</w:t>
      </w:r>
      <w:r>
        <w:rPr>
          <w:rFonts w:hint="eastAsia" w:ascii="宋体" w:hAnsi="宋体" w:cs="宋体"/>
          <w:bCs/>
          <w:color w:val="auto"/>
          <w:sz w:val="24"/>
          <w:szCs w:val="24"/>
          <w:highlight w:val="none"/>
        </w:rPr>
        <w:t xml:space="preserve">近三个月中任意一个月份</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不含</w:t>
      </w:r>
      <w:r>
        <w:rPr>
          <w:rFonts w:hint="eastAsia" w:ascii="宋体" w:hAnsi="宋体" w:cs="宋体"/>
          <w:bCs/>
          <w:color w:val="auto"/>
          <w:sz w:val="24"/>
          <w:szCs w:val="24"/>
          <w:highlight w:val="none"/>
          <w:lang w:val="en-US" w:eastAsia="zh-CN"/>
        </w:rPr>
        <w:t xml:space="preserve">投</w:t>
      </w:r>
      <w:r>
        <w:rPr>
          <w:rFonts w:hint="eastAsia" w:ascii="宋体" w:hAnsi="宋体" w:cs="宋体"/>
          <w:bCs/>
          <w:color w:val="auto"/>
          <w:sz w:val="24"/>
          <w:szCs w:val="24"/>
          <w:highlight w:val="none"/>
        </w:rPr>
        <w:t xml:space="preserve">标当月</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缴纳社保</w:t>
      </w:r>
      <w:r>
        <w:rPr>
          <w:rFonts w:hint="eastAsia" w:ascii="宋体" w:hAnsi="宋体" w:cs="宋体"/>
          <w:color w:val="auto"/>
          <w:sz w:val="24"/>
          <w:szCs w:val="24"/>
          <w:highlight w:val="none"/>
        </w:rPr>
        <w:t xml:space="preserve">证明</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以上证明资料扫描件上传至投标系统并加盖公章，未提供或提供不符合要求不得分</w:t>
      </w:r>
      <w:r>
        <w:rPr>
          <w:rFonts w:hint="eastAsia" w:ascii="宋体" w:hAnsi="宋体" w:cs="宋体"/>
          <w:bCs/>
          <w:color w:val="auto"/>
          <w:sz w:val="24"/>
          <w:szCs w:val="24"/>
          <w:highlight w:val="none"/>
        </w:rPr>
        <w:t xml:space="preserve">】</w:t>
      </w:r>
      <w:r/>
    </w:p>
    <w:p>
      <w:pPr>
        <w:ind w:firstLine="480"/>
        <w:spacing w:line="360"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2）专业运维人员至少</w:t>
      </w:r>
      <w:r>
        <w:rPr>
          <w:rFonts w:hint="eastAsia" w:ascii="宋体" w:hAnsi="宋体" w:cs="宋体"/>
          <w:bCs/>
          <w:color w:val="auto"/>
          <w:sz w:val="24"/>
          <w:szCs w:val="28"/>
          <w:highlight w:val="none"/>
          <w:lang w:val="en-US" w:eastAsia="zh-CN"/>
        </w:rPr>
        <w:t xml:space="preserve">8</w:t>
      </w:r>
      <w:r>
        <w:rPr>
          <w:rFonts w:hint="eastAsia" w:ascii="宋体" w:hAnsi="宋体" w:cs="宋体"/>
          <w:bCs/>
          <w:color w:val="auto"/>
          <w:sz w:val="24"/>
          <w:szCs w:val="28"/>
          <w:highlight w:val="none"/>
        </w:rPr>
        <w:t xml:space="preserve">人，满足</w:t>
      </w:r>
      <w:r>
        <w:rPr>
          <w:rFonts w:hint="eastAsia" w:ascii="宋体" w:hAnsi="宋体" w:cs="宋体"/>
          <w:bCs/>
          <w:color w:val="auto"/>
          <w:sz w:val="24"/>
          <w:szCs w:val="28"/>
          <w:highlight w:val="none"/>
          <w:lang w:val="en-US" w:eastAsia="zh-CN"/>
        </w:rPr>
        <w:t xml:space="preserve">10</w:t>
      </w:r>
      <w:r>
        <w:rPr>
          <w:rFonts w:hint="eastAsia" w:ascii="宋体" w:hAnsi="宋体" w:cs="宋体"/>
          <w:bCs/>
          <w:color w:val="auto"/>
          <w:sz w:val="24"/>
          <w:szCs w:val="28"/>
          <w:highlight w:val="none"/>
        </w:rPr>
        <w:t xml:space="preserve">人及以上的得</w:t>
      </w:r>
      <w:r>
        <w:rPr>
          <w:rFonts w:hint="eastAsia" w:ascii="宋体" w:hAnsi="宋体" w:cs="宋体"/>
          <w:bCs/>
          <w:color w:val="auto"/>
          <w:sz w:val="24"/>
          <w:szCs w:val="28"/>
          <w:highlight w:val="none"/>
          <w:lang w:val="en-US" w:eastAsia="zh-CN"/>
        </w:rPr>
        <w:t xml:space="preserve">3</w:t>
      </w:r>
      <w:r>
        <w:rPr>
          <w:rFonts w:hint="eastAsia" w:ascii="宋体" w:hAnsi="宋体" w:cs="宋体"/>
          <w:bCs/>
          <w:color w:val="auto"/>
          <w:sz w:val="24"/>
          <w:szCs w:val="28"/>
          <w:highlight w:val="none"/>
        </w:rPr>
        <w:t xml:space="preserve">分，满足</w:t>
      </w:r>
      <w:r>
        <w:rPr>
          <w:rFonts w:hint="eastAsia" w:ascii="宋体" w:hAnsi="宋体" w:cs="宋体"/>
          <w:bCs/>
          <w:color w:val="auto"/>
          <w:sz w:val="24"/>
          <w:szCs w:val="28"/>
          <w:highlight w:val="none"/>
          <w:lang w:val="en-US" w:eastAsia="zh-CN"/>
        </w:rPr>
        <w:t xml:space="preserve">9</w:t>
      </w:r>
      <w:r>
        <w:rPr>
          <w:rFonts w:hint="eastAsia" w:ascii="宋体" w:hAnsi="宋体" w:cs="宋体"/>
          <w:bCs/>
          <w:color w:val="auto"/>
          <w:sz w:val="24"/>
          <w:szCs w:val="28"/>
          <w:highlight w:val="none"/>
        </w:rPr>
        <w:t xml:space="preserve">人的得</w:t>
      </w:r>
      <w:r>
        <w:rPr>
          <w:rFonts w:hint="eastAsia" w:ascii="宋体" w:hAnsi="宋体" w:cs="宋体"/>
          <w:bCs/>
          <w:color w:val="auto"/>
          <w:sz w:val="24"/>
          <w:szCs w:val="28"/>
          <w:highlight w:val="none"/>
          <w:lang w:val="en-US" w:eastAsia="zh-CN"/>
        </w:rPr>
        <w:t xml:space="preserve">2</w:t>
      </w:r>
      <w:r>
        <w:rPr>
          <w:rFonts w:hint="eastAsia" w:ascii="宋体" w:hAnsi="宋体" w:cs="宋体"/>
          <w:bCs/>
          <w:color w:val="auto"/>
          <w:sz w:val="24"/>
          <w:szCs w:val="28"/>
          <w:highlight w:val="none"/>
        </w:rPr>
        <w:t xml:space="preserve">分，满足</w:t>
      </w:r>
      <w:r>
        <w:rPr>
          <w:rFonts w:hint="eastAsia" w:ascii="宋体" w:hAnsi="宋体" w:cs="宋体"/>
          <w:bCs/>
          <w:color w:val="auto"/>
          <w:sz w:val="24"/>
          <w:szCs w:val="28"/>
          <w:highlight w:val="none"/>
          <w:lang w:val="en-US" w:eastAsia="zh-CN"/>
        </w:rPr>
        <w:t xml:space="preserve">8</w:t>
      </w:r>
      <w:r>
        <w:rPr>
          <w:rFonts w:hint="eastAsia" w:ascii="宋体" w:hAnsi="宋体" w:cs="宋体"/>
          <w:bCs/>
          <w:color w:val="auto"/>
          <w:sz w:val="24"/>
          <w:szCs w:val="28"/>
          <w:highlight w:val="none"/>
        </w:rPr>
        <w:t xml:space="preserve">人的得</w:t>
      </w:r>
      <w:r>
        <w:rPr>
          <w:rFonts w:hint="eastAsia" w:ascii="宋体" w:hAnsi="宋体" w:cs="宋体"/>
          <w:bCs/>
          <w:color w:val="auto"/>
          <w:sz w:val="24"/>
          <w:szCs w:val="28"/>
          <w:highlight w:val="none"/>
          <w:lang w:val="en-US" w:eastAsia="zh-CN"/>
        </w:rPr>
        <w:t xml:space="preserve">1</w:t>
      </w:r>
      <w:r>
        <w:rPr>
          <w:rFonts w:hint="eastAsia" w:ascii="宋体" w:hAnsi="宋体" w:cs="宋体"/>
          <w:bCs/>
          <w:color w:val="auto"/>
          <w:sz w:val="24"/>
          <w:szCs w:val="28"/>
          <w:highlight w:val="none"/>
        </w:rPr>
        <w:t xml:space="preserve">分，本项最高得</w:t>
      </w:r>
      <w:r>
        <w:rPr>
          <w:rFonts w:hint="eastAsia" w:ascii="宋体" w:hAnsi="宋体" w:cs="宋体"/>
          <w:bCs/>
          <w:color w:val="auto"/>
          <w:sz w:val="24"/>
          <w:szCs w:val="28"/>
          <w:highlight w:val="none"/>
          <w:lang w:val="en-US" w:eastAsia="zh-CN"/>
        </w:rPr>
        <w:t xml:space="preserve">3</w:t>
      </w:r>
      <w:r>
        <w:rPr>
          <w:rFonts w:hint="eastAsia" w:ascii="宋体" w:hAnsi="宋体" w:cs="宋体"/>
          <w:bCs/>
          <w:color w:val="auto"/>
          <w:sz w:val="24"/>
          <w:szCs w:val="28"/>
          <w:highlight w:val="none"/>
        </w:rPr>
        <w:t xml:space="preserve">分</w:t>
      </w:r>
      <w:r>
        <w:rPr>
          <w:rFonts w:hint="eastAsia" w:ascii="宋体" w:hAnsi="宋体" w:cs="宋体"/>
          <w:bCs/>
          <w:color w:val="auto"/>
          <w:sz w:val="24"/>
          <w:szCs w:val="28"/>
          <w:highlight w:val="none"/>
          <w:lang w:eastAsia="zh-CN"/>
        </w:rPr>
        <w:t xml:space="preserve">。</w:t>
      </w:r>
      <w:r>
        <w:rPr>
          <w:rFonts w:hint="eastAsia" w:ascii="宋体" w:hAnsi="宋体" w:cs="宋体"/>
          <w:color w:val="auto"/>
          <w:sz w:val="24"/>
          <w:szCs w:val="28"/>
          <w:highlight w:val="none"/>
        </w:rPr>
        <w:t xml:space="preserve">【提供以上人员身份证、省级及以上政府部门颁发的自动监测上岗证或培训合格证、</w:t>
      </w:r>
      <w:r>
        <w:rPr>
          <w:rFonts w:hint="eastAsia" w:ascii="宋体" w:hAnsi="宋体" w:cs="宋体"/>
          <w:color w:val="auto"/>
          <w:sz w:val="24"/>
          <w:szCs w:val="24"/>
          <w:highlight w:val="none"/>
        </w:rPr>
        <w:t xml:space="preserve">与本企业签订的劳动合同</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rPr>
        <w:t xml:space="preserve">由相关政府机构出具的</w:t>
      </w:r>
      <w:r>
        <w:rPr>
          <w:rFonts w:hint="eastAsia" w:ascii="宋体" w:hAnsi="宋体" w:cs="宋体"/>
          <w:bCs/>
          <w:color w:val="auto"/>
          <w:sz w:val="24"/>
          <w:szCs w:val="24"/>
          <w:highlight w:val="none"/>
        </w:rPr>
        <w:t xml:space="preserve">近三个月中任意一个月份</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不含</w:t>
      </w:r>
      <w:r>
        <w:rPr>
          <w:rFonts w:hint="eastAsia" w:ascii="宋体" w:hAnsi="宋体" w:cs="宋体"/>
          <w:bCs/>
          <w:color w:val="auto"/>
          <w:sz w:val="24"/>
          <w:szCs w:val="24"/>
          <w:highlight w:val="none"/>
          <w:lang w:val="en-US" w:eastAsia="zh-CN"/>
        </w:rPr>
        <w:t xml:space="preserve">投</w:t>
      </w:r>
      <w:r>
        <w:rPr>
          <w:rFonts w:hint="eastAsia" w:ascii="宋体" w:hAnsi="宋体" w:cs="宋体"/>
          <w:bCs/>
          <w:color w:val="auto"/>
          <w:sz w:val="24"/>
          <w:szCs w:val="24"/>
          <w:highlight w:val="none"/>
        </w:rPr>
        <w:t xml:space="preserve">标当月</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缴纳社保</w:t>
      </w:r>
      <w:r>
        <w:rPr>
          <w:rFonts w:hint="eastAsia" w:ascii="宋体" w:hAnsi="宋体" w:cs="宋体"/>
          <w:color w:val="auto"/>
          <w:sz w:val="24"/>
          <w:szCs w:val="24"/>
          <w:highlight w:val="none"/>
        </w:rPr>
        <w:t xml:space="preserve">证明</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以上证明资料扫描件上传至投标系统并加盖公章，未提供或提供不符合要求不得分</w:t>
      </w:r>
      <w:r>
        <w:rPr>
          <w:rFonts w:hint="eastAsia" w:ascii="宋体" w:hAnsi="宋体" w:cs="宋体"/>
          <w:bCs/>
          <w:color w:val="auto"/>
          <w:sz w:val="24"/>
          <w:szCs w:val="28"/>
          <w:highlight w:val="none"/>
        </w:rPr>
        <w:t xml:space="preserve">】</w:t>
      </w:r>
      <w:r/>
    </w:p>
    <w:p>
      <w:pPr>
        <w:ind w:firstLine="480"/>
        <w:spacing w:line="360"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（2）业绩（</w:t>
      </w:r>
      <w:r>
        <w:rPr>
          <w:rFonts w:hint="eastAsia" w:ascii="宋体" w:hAnsi="宋体" w:cs="宋体"/>
          <w:bCs/>
          <w:color w:val="auto"/>
          <w:sz w:val="24"/>
          <w:szCs w:val="28"/>
          <w:highlight w:val="none"/>
          <w:lang w:val="en-US" w:eastAsia="zh-CN"/>
        </w:rPr>
        <w:t xml:space="preserve">4</w:t>
      </w:r>
      <w:r>
        <w:rPr>
          <w:rFonts w:hint="eastAsia" w:ascii="宋体" w:hAnsi="宋体" w:cs="宋体"/>
          <w:bCs/>
          <w:color w:val="auto"/>
          <w:sz w:val="24"/>
          <w:szCs w:val="28"/>
          <w:highlight w:val="none"/>
        </w:rPr>
        <w:t xml:space="preserve">分）</w:t>
      </w:r>
      <w:r/>
    </w:p>
    <w:p>
      <w:pPr>
        <w:ind w:firstLine="480"/>
        <w:spacing w:line="360" w:lineRule="auto"/>
        <w:rPr>
          <w:rFonts w:hint="eastAsia" w:ascii="宋体" w:hAnsi="宋体" w:cs="宋体"/>
          <w:color w:val="auto"/>
          <w:sz w:val="24"/>
          <w:szCs w:val="28"/>
          <w:highlight w:val="none"/>
        </w:rPr>
      </w:pPr>
      <w:r>
        <w:rPr>
          <w:rFonts w:hint="eastAsia" w:ascii="宋体" w:hAnsi="宋体" w:cs="宋体"/>
          <w:bCs/>
          <w:color w:val="auto"/>
          <w:sz w:val="24"/>
          <w:szCs w:val="28"/>
          <w:highlight w:val="none"/>
        </w:rPr>
        <w:t xml:space="preserve">供应商2021年1月1日</w:t>
      </w:r>
      <w:r>
        <w:rPr>
          <w:rFonts w:hint="eastAsia" w:ascii="宋体" w:hAnsi="宋体" w:cs="宋体"/>
          <w:bCs/>
          <w:color w:val="auto"/>
          <w:sz w:val="24"/>
          <w:szCs w:val="28"/>
          <w:highlight w:val="none"/>
          <w:lang w:eastAsia="zh-CN"/>
        </w:rPr>
        <w:t xml:space="preserve">（</w:t>
      </w:r>
      <w:r>
        <w:rPr>
          <w:rFonts w:hint="eastAsia" w:ascii="宋体" w:hAnsi="宋体" w:cs="宋体"/>
          <w:bCs/>
          <w:color w:val="auto"/>
          <w:sz w:val="24"/>
          <w:szCs w:val="28"/>
          <w:highlight w:val="none"/>
          <w:lang w:val="en-US" w:eastAsia="zh-CN"/>
        </w:rPr>
        <w:t xml:space="preserve">以合同签订日期为准</w:t>
      </w:r>
      <w:r>
        <w:rPr>
          <w:rFonts w:hint="eastAsia" w:ascii="宋体" w:hAnsi="宋体" w:cs="宋体"/>
          <w:bCs/>
          <w:color w:val="auto"/>
          <w:sz w:val="24"/>
          <w:szCs w:val="28"/>
          <w:highlight w:val="none"/>
          <w:lang w:eastAsia="zh-CN"/>
        </w:rPr>
        <w:t xml:space="preserve">）</w:t>
      </w:r>
      <w:r>
        <w:rPr>
          <w:rFonts w:hint="eastAsia" w:ascii="宋体" w:hAnsi="宋体" w:cs="宋体"/>
          <w:bCs/>
          <w:color w:val="auto"/>
          <w:sz w:val="24"/>
          <w:szCs w:val="28"/>
          <w:highlight w:val="none"/>
        </w:rPr>
        <w:t xml:space="preserve">以来承担过同类项目业绩，有一个得2分，本项最高得</w:t>
      </w:r>
      <w:r>
        <w:rPr>
          <w:rFonts w:hint="eastAsia" w:ascii="宋体" w:hAnsi="宋体" w:cs="宋体"/>
          <w:bCs/>
          <w:color w:val="auto"/>
          <w:sz w:val="24"/>
          <w:szCs w:val="28"/>
          <w:highlight w:val="none"/>
          <w:lang w:val="en-US" w:eastAsia="zh-CN"/>
        </w:rPr>
        <w:t xml:space="preserve">4</w:t>
      </w:r>
      <w:r>
        <w:rPr>
          <w:rFonts w:hint="eastAsia" w:ascii="宋体" w:hAnsi="宋体" w:cs="宋体"/>
          <w:color w:val="auto"/>
          <w:sz w:val="24"/>
          <w:szCs w:val="28"/>
          <w:highlight w:val="none"/>
        </w:rPr>
        <w:t xml:space="preserve">分</w:t>
      </w:r>
      <w:bookmarkEnd w:id="156"/>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【提供</w:t>
      </w:r>
      <w:r>
        <w:rPr>
          <w:rFonts w:hint="eastAsia" w:ascii="宋体" w:hAnsi="宋体" w:cs="宋体"/>
          <w:color w:val="auto"/>
          <w:sz w:val="24"/>
          <w:szCs w:val="28"/>
          <w:highlight w:val="none"/>
          <w:lang w:val="en-US" w:eastAsia="zh-CN"/>
        </w:rPr>
        <w:t xml:space="preserve">中标（成交）</w:t>
      </w:r>
      <w:r>
        <w:rPr>
          <w:rFonts w:hint="eastAsia" w:ascii="宋体" w:hAnsi="宋体" w:cs="宋体"/>
          <w:color w:val="auto"/>
          <w:sz w:val="24"/>
          <w:szCs w:val="28"/>
          <w:highlight w:val="none"/>
        </w:rPr>
        <w:t xml:space="preserve">通知书或业绩合同</w:t>
      </w:r>
      <w:r>
        <w:rPr>
          <w:rFonts w:hint="eastAsia" w:ascii="宋体" w:hAnsi="宋体" w:cs="宋体"/>
          <w:bCs/>
          <w:color w:val="auto"/>
          <w:sz w:val="24"/>
          <w:szCs w:val="24"/>
          <w:highlight w:val="none"/>
          <w:lang w:val="en-US" w:eastAsia="zh-CN"/>
        </w:rPr>
        <w:t xml:space="preserve">扫描件上传至投标系统并加盖公章，未提供或提供不符合要求不得分</w:t>
      </w:r>
      <w:r>
        <w:rPr>
          <w:rFonts w:hint="eastAsia" w:ascii="宋体" w:hAnsi="宋体" w:cs="宋体"/>
          <w:color w:val="auto"/>
          <w:sz w:val="24"/>
          <w:szCs w:val="28"/>
          <w:highlight w:val="none"/>
        </w:rPr>
        <w:t xml:space="preserve">】</w:t>
      </w:r>
      <w:r/>
    </w:p>
    <w:p>
      <w:pPr>
        <w:ind w:firstLine="480"/>
        <w:spacing w:line="360"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（3）备件耗材保障（</w:t>
      </w:r>
      <w:r>
        <w:rPr>
          <w:rFonts w:hint="eastAsia" w:ascii="宋体" w:hAnsi="宋体" w:cs="宋体"/>
          <w:bCs/>
          <w:color w:val="auto"/>
          <w:sz w:val="24"/>
          <w:szCs w:val="28"/>
          <w:highlight w:val="none"/>
          <w:lang w:val="en-US" w:eastAsia="zh-CN"/>
        </w:rPr>
        <w:t xml:space="preserve">3</w:t>
      </w:r>
      <w:r>
        <w:rPr>
          <w:rFonts w:hint="eastAsia" w:ascii="宋体" w:hAnsi="宋体" w:cs="宋体"/>
          <w:bCs/>
          <w:color w:val="auto"/>
          <w:sz w:val="24"/>
          <w:szCs w:val="28"/>
          <w:highlight w:val="none"/>
        </w:rPr>
        <w:t xml:space="preserve">分）</w:t>
      </w:r>
      <w:r/>
    </w:p>
    <w:p>
      <w:pPr>
        <w:ind w:firstLine="480"/>
        <w:spacing w:line="360"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供应商为本项目提供相适应的仪器配件耗材，每有一个得</w:t>
      </w:r>
      <w:r>
        <w:rPr>
          <w:rFonts w:hint="eastAsia" w:ascii="宋体" w:hAnsi="宋体" w:cs="宋体"/>
          <w:bCs/>
          <w:color w:val="auto"/>
          <w:sz w:val="24"/>
          <w:szCs w:val="28"/>
          <w:highlight w:val="none"/>
          <w:lang w:val="en-US" w:eastAsia="zh-CN"/>
        </w:rPr>
        <w:t xml:space="preserve">0.5</w:t>
      </w:r>
      <w:r>
        <w:rPr>
          <w:rFonts w:hint="eastAsia" w:ascii="宋体" w:hAnsi="宋体" w:cs="宋体"/>
          <w:bCs/>
          <w:color w:val="auto"/>
          <w:sz w:val="24"/>
          <w:szCs w:val="28"/>
          <w:highlight w:val="none"/>
        </w:rPr>
        <w:t xml:space="preserve">分，最高得</w:t>
      </w:r>
      <w:r>
        <w:rPr>
          <w:rFonts w:hint="eastAsia" w:ascii="宋体" w:hAnsi="宋体" w:cs="宋体"/>
          <w:bCs/>
          <w:color w:val="auto"/>
          <w:sz w:val="24"/>
          <w:szCs w:val="28"/>
          <w:highlight w:val="none"/>
          <w:lang w:val="en-US" w:eastAsia="zh-CN"/>
        </w:rPr>
        <w:t xml:space="preserve">3</w:t>
      </w:r>
      <w:r>
        <w:rPr>
          <w:rFonts w:hint="eastAsia" w:ascii="宋体" w:hAnsi="宋体" w:cs="宋体"/>
          <w:bCs/>
          <w:color w:val="auto"/>
          <w:sz w:val="24"/>
          <w:szCs w:val="28"/>
          <w:highlight w:val="none"/>
        </w:rPr>
        <w:t xml:space="preserve">分</w:t>
      </w:r>
      <w:r>
        <w:rPr>
          <w:rFonts w:hint="eastAsia" w:ascii="宋体" w:hAnsi="宋体" w:cs="宋体"/>
          <w:bCs/>
          <w:color w:val="auto"/>
          <w:sz w:val="24"/>
          <w:szCs w:val="28"/>
          <w:highlight w:val="none"/>
          <w:lang w:eastAsia="zh-CN"/>
        </w:rPr>
        <w:t xml:space="preserve">。</w:t>
      </w:r>
      <w:r>
        <w:rPr>
          <w:rFonts w:hint="eastAsia" w:ascii="宋体" w:hAnsi="宋体" w:cs="宋体"/>
          <w:bCs/>
          <w:color w:val="auto"/>
          <w:sz w:val="24"/>
          <w:szCs w:val="28"/>
          <w:highlight w:val="none"/>
        </w:rPr>
        <w:t xml:space="preserve">【提供对应仪器配件耗材的采购记录与凭证</w:t>
      </w:r>
      <w:r>
        <w:rPr>
          <w:rFonts w:hint="eastAsia" w:ascii="宋体" w:hAnsi="宋体" w:cs="宋体"/>
          <w:bCs/>
          <w:color w:val="auto"/>
          <w:sz w:val="24"/>
          <w:szCs w:val="24"/>
          <w:highlight w:val="none"/>
          <w:lang w:val="en-US" w:eastAsia="zh-CN"/>
        </w:rPr>
        <w:t xml:space="preserve">扫描件上传至投标系统并加盖公章，未提供或提供不符合要求不得分</w:t>
      </w:r>
      <w:r>
        <w:rPr>
          <w:rFonts w:hint="eastAsia" w:ascii="宋体" w:hAnsi="宋体" w:cs="宋体"/>
          <w:bCs/>
          <w:color w:val="auto"/>
          <w:sz w:val="24"/>
          <w:szCs w:val="28"/>
          <w:highlight w:val="none"/>
        </w:rPr>
        <w:t xml:space="preserve">】</w:t>
      </w:r>
      <w:r/>
    </w:p>
    <w:p>
      <w:pPr>
        <w:ind w:firstLine="480"/>
        <w:spacing w:line="360"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（4）车辆配备（</w:t>
      </w:r>
      <w:r>
        <w:rPr>
          <w:rFonts w:hint="eastAsia" w:ascii="宋体" w:hAnsi="宋体" w:cs="宋体"/>
          <w:bCs/>
          <w:color w:val="auto"/>
          <w:sz w:val="24"/>
          <w:szCs w:val="28"/>
          <w:highlight w:val="none"/>
          <w:lang w:val="en-US" w:eastAsia="zh-CN"/>
        </w:rPr>
        <w:t xml:space="preserve">2</w:t>
      </w:r>
      <w:r>
        <w:rPr>
          <w:rFonts w:hint="eastAsia" w:ascii="宋体" w:hAnsi="宋体" w:cs="宋体"/>
          <w:bCs/>
          <w:color w:val="auto"/>
          <w:sz w:val="24"/>
          <w:szCs w:val="28"/>
          <w:highlight w:val="none"/>
        </w:rPr>
        <w:t xml:space="preserve">分）</w:t>
      </w:r>
      <w:r/>
    </w:p>
    <w:p>
      <w:pPr>
        <w:ind w:firstLine="480"/>
        <w:spacing w:line="360"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供应商为实施本项目至少需要配备</w:t>
      </w:r>
      <w:r>
        <w:rPr>
          <w:rFonts w:hint="eastAsia" w:ascii="宋体" w:hAnsi="宋体" w:cs="宋体"/>
          <w:bCs/>
          <w:color w:val="auto"/>
          <w:sz w:val="24"/>
          <w:szCs w:val="28"/>
          <w:highlight w:val="none"/>
          <w:lang w:val="en-US" w:eastAsia="zh-CN"/>
        </w:rPr>
        <w:t xml:space="preserve">2</w:t>
      </w:r>
      <w:r>
        <w:rPr>
          <w:rFonts w:hint="eastAsia" w:ascii="宋体" w:hAnsi="宋体" w:cs="宋体"/>
          <w:bCs/>
          <w:color w:val="auto"/>
          <w:sz w:val="24"/>
          <w:szCs w:val="28"/>
          <w:highlight w:val="none"/>
        </w:rPr>
        <w:t xml:space="preserve">辆专用车辆，在此基础上每增加1辆运维保障车辆得</w:t>
      </w:r>
      <w:r>
        <w:rPr>
          <w:rFonts w:hint="eastAsia" w:ascii="宋体" w:hAnsi="宋体" w:cs="宋体"/>
          <w:bCs/>
          <w:color w:val="auto"/>
          <w:sz w:val="24"/>
          <w:szCs w:val="28"/>
          <w:highlight w:val="none"/>
          <w:lang w:val="en-US" w:eastAsia="zh-CN"/>
        </w:rPr>
        <w:t xml:space="preserve">1</w:t>
      </w:r>
      <w:r>
        <w:rPr>
          <w:rFonts w:hint="eastAsia" w:ascii="宋体" w:hAnsi="宋体" w:cs="宋体"/>
          <w:bCs/>
          <w:color w:val="auto"/>
          <w:sz w:val="24"/>
          <w:szCs w:val="28"/>
          <w:highlight w:val="none"/>
        </w:rPr>
        <w:t xml:space="preserve">分，本项最高得</w:t>
      </w:r>
      <w:r>
        <w:rPr>
          <w:rFonts w:hint="eastAsia" w:ascii="宋体" w:hAnsi="宋体" w:cs="宋体"/>
          <w:bCs/>
          <w:color w:val="auto"/>
          <w:sz w:val="24"/>
          <w:szCs w:val="28"/>
          <w:highlight w:val="none"/>
          <w:lang w:val="en-US" w:eastAsia="zh-CN"/>
        </w:rPr>
        <w:t xml:space="preserve">2</w:t>
      </w:r>
      <w:r>
        <w:rPr>
          <w:rFonts w:hint="eastAsia" w:ascii="宋体" w:hAnsi="宋体" w:cs="宋体"/>
          <w:bCs/>
          <w:color w:val="auto"/>
          <w:sz w:val="24"/>
          <w:szCs w:val="28"/>
          <w:highlight w:val="none"/>
        </w:rPr>
        <w:t xml:space="preserve">分</w:t>
      </w:r>
      <w:r>
        <w:rPr>
          <w:rFonts w:hint="eastAsia" w:ascii="宋体" w:hAnsi="宋体" w:cs="宋体"/>
          <w:bCs/>
          <w:color w:val="auto"/>
          <w:sz w:val="24"/>
          <w:szCs w:val="28"/>
          <w:highlight w:val="none"/>
          <w:lang w:eastAsia="zh-CN"/>
        </w:rPr>
        <w:t xml:space="preserve">。</w:t>
      </w:r>
      <w:r>
        <w:rPr>
          <w:rFonts w:hint="eastAsia" w:ascii="宋体" w:hAnsi="宋体" w:cs="宋体"/>
          <w:bCs/>
          <w:color w:val="auto"/>
          <w:sz w:val="24"/>
          <w:szCs w:val="28"/>
          <w:highlight w:val="none"/>
        </w:rPr>
        <w:t xml:space="preserve">【提供购买车辆购置发票（发票的购买人名称必须与供应商名称一致）、购买合同、行驶证、车辆照片；租赁车辆还需提供有效期内的车辆租赁协议；或提供承诺书，承诺</w:t>
      </w:r>
      <w:r>
        <w:rPr>
          <w:rFonts w:hint="eastAsia" w:ascii="宋体" w:hAnsi="宋体" w:cs="宋体"/>
          <w:bCs/>
          <w:color w:val="auto"/>
          <w:sz w:val="24"/>
          <w:szCs w:val="28"/>
          <w:highlight w:val="none"/>
          <w:lang w:val="en-US" w:eastAsia="zh-CN"/>
        </w:rPr>
        <w:t xml:space="preserve">中标</w:t>
      </w:r>
      <w:r>
        <w:rPr>
          <w:rFonts w:hint="eastAsia" w:ascii="宋体" w:hAnsi="宋体" w:cs="宋体"/>
          <w:bCs/>
          <w:color w:val="auto"/>
          <w:sz w:val="24"/>
          <w:szCs w:val="28"/>
          <w:highlight w:val="none"/>
        </w:rPr>
        <w:t xml:space="preserve">后为本项目配备专用车辆；提供证明文件</w:t>
      </w:r>
      <w:r>
        <w:rPr>
          <w:rFonts w:hint="eastAsia" w:ascii="宋体" w:hAnsi="宋体" w:cs="宋体"/>
          <w:bCs/>
          <w:color w:val="auto"/>
          <w:sz w:val="24"/>
          <w:szCs w:val="24"/>
          <w:highlight w:val="none"/>
          <w:lang w:val="en-US" w:eastAsia="zh-CN"/>
        </w:rPr>
        <w:t xml:space="preserve">扫描件上传至投标系统并加盖公章，未提供或提供不符合要求不得分</w:t>
      </w:r>
      <w:r>
        <w:rPr>
          <w:rFonts w:hint="eastAsia" w:ascii="宋体" w:hAnsi="宋体" w:cs="宋体"/>
          <w:bCs/>
          <w:color w:val="auto"/>
          <w:sz w:val="24"/>
          <w:szCs w:val="28"/>
          <w:highlight w:val="none"/>
        </w:rPr>
        <w:t xml:space="preserve">】</w:t>
      </w:r>
      <w:r/>
    </w:p>
    <w:p>
      <w:pPr>
        <w:ind w:firstLine="480"/>
        <w:spacing w:line="360"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（5）体系认证（</w:t>
      </w:r>
      <w:r>
        <w:rPr>
          <w:rFonts w:hint="eastAsia" w:ascii="宋体" w:hAnsi="宋体" w:cs="宋体"/>
          <w:bCs/>
          <w:color w:val="auto"/>
          <w:sz w:val="24"/>
          <w:szCs w:val="28"/>
          <w:highlight w:val="none"/>
          <w:lang w:val="en-US" w:eastAsia="zh-CN"/>
        </w:rPr>
        <w:t xml:space="preserve">3</w:t>
      </w:r>
      <w:r>
        <w:rPr>
          <w:rFonts w:hint="eastAsia" w:ascii="宋体" w:hAnsi="宋体" w:cs="宋体"/>
          <w:bCs/>
          <w:color w:val="auto"/>
          <w:sz w:val="24"/>
          <w:szCs w:val="28"/>
          <w:highlight w:val="none"/>
        </w:rPr>
        <w:t xml:space="preserve">分）</w:t>
      </w:r>
      <w:r/>
    </w:p>
    <w:p>
      <w:pPr>
        <w:ind w:firstLine="480"/>
        <w:spacing w:line="360"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供应商具有有效期内的质量管理体系认证证书、环境管理体系认证证书，有一个得</w:t>
      </w:r>
      <w:r>
        <w:rPr>
          <w:rFonts w:hint="eastAsia" w:ascii="宋体" w:hAnsi="宋体" w:cs="宋体"/>
          <w:bCs/>
          <w:color w:val="auto"/>
          <w:sz w:val="24"/>
          <w:szCs w:val="28"/>
          <w:highlight w:val="none"/>
          <w:lang w:val="en-US" w:eastAsia="zh-CN"/>
        </w:rPr>
        <w:t xml:space="preserve">1.5</w:t>
      </w:r>
      <w:r>
        <w:rPr>
          <w:rFonts w:hint="eastAsia" w:ascii="宋体" w:hAnsi="宋体" w:cs="宋体"/>
          <w:bCs/>
          <w:color w:val="auto"/>
          <w:sz w:val="24"/>
          <w:szCs w:val="28"/>
          <w:highlight w:val="none"/>
        </w:rPr>
        <w:t xml:space="preserve">分，本项最高得</w:t>
      </w:r>
      <w:r>
        <w:rPr>
          <w:rFonts w:hint="eastAsia" w:ascii="宋体" w:hAnsi="宋体" w:cs="宋体"/>
          <w:bCs/>
          <w:color w:val="auto"/>
          <w:sz w:val="24"/>
          <w:szCs w:val="28"/>
          <w:highlight w:val="none"/>
          <w:lang w:val="en-US" w:eastAsia="zh-CN"/>
        </w:rPr>
        <w:t xml:space="preserve">3</w:t>
      </w:r>
      <w:r>
        <w:rPr>
          <w:rFonts w:hint="eastAsia" w:ascii="宋体" w:hAnsi="宋体" w:cs="宋体"/>
          <w:bCs/>
          <w:color w:val="auto"/>
          <w:sz w:val="24"/>
          <w:szCs w:val="28"/>
          <w:highlight w:val="none"/>
        </w:rPr>
        <w:t xml:space="preserve">分</w:t>
      </w:r>
      <w:r>
        <w:rPr>
          <w:rFonts w:hint="eastAsia" w:ascii="宋体" w:hAnsi="宋体" w:cs="宋体"/>
          <w:bCs/>
          <w:color w:val="auto"/>
          <w:sz w:val="24"/>
          <w:szCs w:val="28"/>
          <w:highlight w:val="none"/>
          <w:lang w:eastAsia="zh-CN"/>
        </w:rPr>
        <w:t xml:space="preserve">。</w:t>
      </w:r>
      <w:r>
        <w:rPr>
          <w:rFonts w:hint="eastAsia" w:ascii="宋体" w:hAnsi="宋体" w:cs="宋体"/>
          <w:bCs/>
          <w:color w:val="auto"/>
          <w:sz w:val="24"/>
          <w:szCs w:val="28"/>
          <w:highlight w:val="none"/>
        </w:rPr>
        <w:t xml:space="preserve">【提供证书</w:t>
      </w:r>
      <w:r>
        <w:rPr>
          <w:rFonts w:hint="eastAsia" w:ascii="宋体" w:hAnsi="宋体" w:cs="宋体"/>
          <w:bCs/>
          <w:color w:val="auto"/>
          <w:sz w:val="24"/>
          <w:szCs w:val="24"/>
          <w:highlight w:val="none"/>
          <w:lang w:val="en-US" w:eastAsia="zh-CN"/>
        </w:rPr>
        <w:t xml:space="preserve">扫描件上传至投标系统并加盖公章，未提供或提供不符合要求不得分</w:t>
      </w:r>
      <w:r>
        <w:rPr>
          <w:rFonts w:hint="eastAsia" w:ascii="宋体" w:hAnsi="宋体" w:cs="宋体"/>
          <w:bCs/>
          <w:color w:val="auto"/>
          <w:sz w:val="24"/>
          <w:szCs w:val="28"/>
          <w:highlight w:val="none"/>
        </w:rPr>
        <w:t xml:space="preserve">】</w:t>
      </w:r>
      <w:r/>
    </w:p>
    <w:p>
      <w:pPr>
        <w:contextualSpacing/>
        <w:ind w:firstLine="480"/>
        <w:jc w:val="left"/>
        <w:spacing w:line="360"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（6）实验室（</w:t>
      </w:r>
      <w:r>
        <w:rPr>
          <w:rFonts w:hint="eastAsia" w:ascii="宋体" w:hAnsi="宋体" w:cs="宋体"/>
          <w:bCs/>
          <w:color w:val="auto"/>
          <w:sz w:val="24"/>
          <w:szCs w:val="28"/>
          <w:highlight w:val="none"/>
          <w:lang w:val="en-US" w:eastAsia="zh-CN"/>
        </w:rPr>
        <w:t xml:space="preserve">3</w:t>
      </w:r>
      <w:r>
        <w:rPr>
          <w:rFonts w:hint="eastAsia" w:ascii="宋体" w:hAnsi="宋体" w:cs="宋体"/>
          <w:bCs/>
          <w:color w:val="auto"/>
          <w:sz w:val="24"/>
          <w:szCs w:val="28"/>
          <w:highlight w:val="none"/>
        </w:rPr>
        <w:t xml:space="preserve">分）</w:t>
      </w:r>
      <w:r/>
    </w:p>
    <w:p>
      <w:pPr>
        <w:contextualSpacing/>
        <w:ind w:firstLine="480"/>
        <w:jc w:val="left"/>
        <w:spacing w:line="360"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1）供应商自有计量认证的实验室的得</w:t>
      </w:r>
      <w:r>
        <w:rPr>
          <w:rFonts w:hint="eastAsia" w:ascii="宋体" w:hAnsi="宋体" w:cs="宋体"/>
          <w:bCs/>
          <w:color w:val="auto"/>
          <w:sz w:val="24"/>
          <w:szCs w:val="28"/>
          <w:highlight w:val="none"/>
          <w:lang w:val="en-US" w:eastAsia="zh-CN"/>
        </w:rPr>
        <w:t xml:space="preserve">2</w:t>
      </w:r>
      <w:r>
        <w:rPr>
          <w:rFonts w:hint="eastAsia" w:ascii="宋体" w:hAnsi="宋体" w:cs="宋体"/>
          <w:bCs/>
          <w:color w:val="auto"/>
          <w:sz w:val="24"/>
          <w:szCs w:val="28"/>
          <w:highlight w:val="none"/>
        </w:rPr>
        <w:t xml:space="preserve">分；如供应商无自有认证实验室，但委托相关认证实验室，并提供委托协议的得</w:t>
      </w:r>
      <w:r>
        <w:rPr>
          <w:rFonts w:hint="eastAsia" w:ascii="宋体" w:hAnsi="宋体" w:cs="宋体"/>
          <w:bCs/>
          <w:color w:val="auto"/>
          <w:sz w:val="24"/>
          <w:szCs w:val="28"/>
          <w:highlight w:val="none"/>
          <w:lang w:val="en-US" w:eastAsia="zh-CN"/>
        </w:rPr>
        <w:t xml:space="preserve">2</w:t>
      </w:r>
      <w:r>
        <w:rPr>
          <w:rFonts w:hint="eastAsia" w:ascii="宋体" w:hAnsi="宋体" w:cs="宋体"/>
          <w:bCs/>
          <w:color w:val="auto"/>
          <w:sz w:val="24"/>
          <w:szCs w:val="28"/>
          <w:highlight w:val="none"/>
        </w:rPr>
        <w:t xml:space="preserve">分。实验室认证范围存在缺少本项目监测参数情况的扣分，缺1项扣</w:t>
      </w:r>
      <w:r>
        <w:rPr>
          <w:rFonts w:hint="eastAsia" w:ascii="宋体" w:hAnsi="宋体" w:cs="宋体"/>
          <w:bCs/>
          <w:color w:val="auto"/>
          <w:sz w:val="24"/>
          <w:szCs w:val="28"/>
          <w:highlight w:val="none"/>
          <w:lang w:val="en-US" w:eastAsia="zh-CN"/>
        </w:rPr>
        <w:t xml:space="preserve">0.5</w:t>
      </w:r>
      <w:r>
        <w:rPr>
          <w:rFonts w:hint="eastAsia" w:ascii="宋体" w:hAnsi="宋体" w:cs="宋体"/>
          <w:bCs/>
          <w:color w:val="auto"/>
          <w:sz w:val="24"/>
          <w:szCs w:val="28"/>
          <w:highlight w:val="none"/>
        </w:rPr>
        <w:t xml:space="preserve">分，扣完为止。本项最高得</w:t>
      </w:r>
      <w:r>
        <w:rPr>
          <w:rFonts w:hint="eastAsia" w:ascii="宋体" w:hAnsi="宋体" w:cs="宋体"/>
          <w:bCs/>
          <w:color w:val="auto"/>
          <w:sz w:val="24"/>
          <w:szCs w:val="28"/>
          <w:highlight w:val="none"/>
          <w:lang w:val="en-US" w:eastAsia="zh-CN"/>
        </w:rPr>
        <w:t xml:space="preserve">2</w:t>
      </w:r>
      <w:r>
        <w:rPr>
          <w:rFonts w:hint="eastAsia" w:ascii="宋体" w:hAnsi="宋体" w:cs="宋体"/>
          <w:bCs/>
          <w:color w:val="auto"/>
          <w:sz w:val="24"/>
          <w:szCs w:val="28"/>
          <w:highlight w:val="none"/>
        </w:rPr>
        <w:t xml:space="preserve">分。</w:t>
      </w:r>
      <w:r/>
    </w:p>
    <w:p>
      <w:pPr>
        <w:contextualSpacing/>
        <w:ind w:firstLine="480"/>
        <w:jc w:val="left"/>
        <w:spacing w:line="360"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2）实验室地点在无锡市以内或提供承诺</w:t>
      </w:r>
      <w:r>
        <w:rPr>
          <w:rFonts w:hint="eastAsia" w:ascii="宋体" w:hAnsi="宋体" w:cs="宋体"/>
          <w:bCs/>
          <w:color w:val="auto"/>
          <w:sz w:val="24"/>
          <w:szCs w:val="28"/>
          <w:highlight w:val="none"/>
          <w:lang w:val="en-US" w:eastAsia="zh-CN"/>
        </w:rPr>
        <w:t xml:space="preserve">中标</w:t>
      </w:r>
      <w:r>
        <w:rPr>
          <w:rFonts w:hint="eastAsia" w:ascii="宋体" w:hAnsi="宋体" w:cs="宋体"/>
          <w:bCs/>
          <w:color w:val="auto"/>
          <w:sz w:val="24"/>
          <w:szCs w:val="28"/>
          <w:highlight w:val="none"/>
        </w:rPr>
        <w:t xml:space="preserve">后在无锡市内设立实验室的得</w:t>
      </w:r>
      <w:r>
        <w:rPr>
          <w:rFonts w:hint="eastAsia" w:ascii="宋体" w:hAnsi="宋体" w:cs="宋体"/>
          <w:bCs/>
          <w:color w:val="auto"/>
          <w:sz w:val="24"/>
          <w:szCs w:val="28"/>
          <w:highlight w:val="none"/>
          <w:lang w:val="en-US" w:eastAsia="zh-CN"/>
        </w:rPr>
        <w:t xml:space="preserve">1</w:t>
      </w:r>
      <w:r>
        <w:rPr>
          <w:rFonts w:hint="eastAsia" w:ascii="宋体" w:hAnsi="宋体" w:cs="宋体"/>
          <w:bCs/>
          <w:color w:val="auto"/>
          <w:sz w:val="24"/>
          <w:szCs w:val="28"/>
          <w:highlight w:val="none"/>
        </w:rPr>
        <w:t xml:space="preserve">分，本项最高得</w:t>
      </w:r>
      <w:r>
        <w:rPr>
          <w:rFonts w:hint="eastAsia" w:ascii="宋体" w:hAnsi="宋体" w:cs="宋体"/>
          <w:bCs/>
          <w:color w:val="auto"/>
          <w:sz w:val="24"/>
          <w:szCs w:val="28"/>
          <w:highlight w:val="none"/>
          <w:lang w:val="en-US" w:eastAsia="zh-CN"/>
        </w:rPr>
        <w:t xml:space="preserve">1</w:t>
      </w:r>
      <w:r>
        <w:rPr>
          <w:rFonts w:hint="eastAsia" w:ascii="宋体" w:hAnsi="宋体" w:cs="宋体"/>
          <w:bCs/>
          <w:color w:val="auto"/>
          <w:sz w:val="24"/>
          <w:szCs w:val="28"/>
          <w:highlight w:val="none"/>
        </w:rPr>
        <w:t xml:space="preserve">分。</w:t>
      </w:r>
      <w:r/>
    </w:p>
    <w:p>
      <w:pPr>
        <w:contextualSpacing/>
        <w:ind w:firstLine="480"/>
        <w:jc w:val="left"/>
        <w:spacing w:line="360"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【提供供应商本身实验室的证明资料或委托实验室计量认证证明（包括计量认证的级别、通过认可的项目等）或承诺书</w:t>
      </w:r>
      <w:r>
        <w:rPr>
          <w:rFonts w:hint="eastAsia" w:ascii="宋体" w:hAnsi="宋体" w:cs="宋体"/>
          <w:bCs/>
          <w:color w:val="auto"/>
          <w:sz w:val="24"/>
          <w:szCs w:val="24"/>
          <w:highlight w:val="none"/>
          <w:lang w:val="en-US" w:eastAsia="zh-CN"/>
        </w:rPr>
        <w:t xml:space="preserve">扫描件上传至投标系统并加盖公章，未提供或提供不符合要求不得分</w:t>
      </w:r>
      <w:r>
        <w:rPr>
          <w:rFonts w:hint="eastAsia" w:ascii="宋体" w:hAnsi="宋体" w:cs="宋体"/>
          <w:bCs/>
          <w:color w:val="auto"/>
          <w:sz w:val="24"/>
          <w:szCs w:val="28"/>
          <w:highlight w:val="none"/>
        </w:rPr>
        <w:t xml:space="preserve">】</w:t>
      </w:r>
      <w:r/>
    </w:p>
    <w:p>
      <w:pPr>
        <w:numPr>
          <w:ilvl w:val="0"/>
          <w:numId w:val="0"/>
        </w:numPr>
        <w:ind w:firstLine="482"/>
        <w:spacing w:line="360" w:lineRule="auto"/>
        <w:rPr>
          <w:rFonts w:hint="eastAsia" w:ascii="宋体" w:hAnsi="宋体"/>
          <w:b/>
          <w:bCs/>
          <w:color w:val="auto"/>
          <w:sz w:val="24"/>
          <w:highlight w:val="none"/>
          <w:lang w:val="zh-CN" w:eastAsia="zh-CN"/>
        </w:rPr>
      </w:pPr>
      <w:r/>
      <w:bookmarkStart w:id="157" w:name="OLE_LINK23"/>
      <w:r/>
      <w:bookmarkStart w:id="158" w:name="OLE_LINK24"/>
      <w:r>
        <w:rPr>
          <w:rFonts w:hint="eastAsia" w:ascii="宋体" w:hAnsi="宋体"/>
          <w:b/>
          <w:bCs/>
          <w:color w:val="auto"/>
          <w:sz w:val="24"/>
          <w:highlight w:val="none"/>
          <w:lang w:val="en-US" w:eastAsia="zh-CN"/>
        </w:rPr>
        <w:t xml:space="preserve">3、技术部分（60分）</w:t>
      </w:r>
      <w:bookmarkEnd w:id="157"/>
      <w:r/>
      <w:bookmarkEnd w:id="158"/>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（1）运维方案（10分）：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1）供应商为本项目提供的水质自动监测系统运维实施方案的完整性；（5分）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方案详细完整，针对性强得5分；方案较详细，针对性较强得3分；方案简单，针对性一般得1分；未提供方案不得分。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2）供应商为本项目提供的水质自动监测系统运维实施方案的可行性。（5分）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方案可行性强，思路合理得5分；方案可行性较强，思路较合理得3分；方案可行性一般，思路一般得1分；未提供方案不得分。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（2）运维组织架构、各岗位职责分工（10分）：</w:t>
      </w:r>
      <w:r/>
    </w:p>
    <w:p>
      <w:pPr>
        <w:ind w:firstLine="424"/>
        <w:spacing w:line="360" w:lineRule="auto"/>
        <w:rPr>
          <w:rFonts w:hint="eastAsia" w:ascii="宋体" w:hAnsi="宋体" w:eastAsia="宋体" w:cs="宋体"/>
          <w:bCs/>
          <w:color w:val="auto"/>
          <w:sz w:val="24"/>
          <w:highlight w:val="none"/>
          <w:lang w:eastAsia="zh-CN"/>
        </w:rPr>
      </w:pPr>
      <w:r>
        <w:rPr>
          <w:rFonts w:hint="eastAsia" w:ascii="宋体" w:hAnsi="宋体" w:eastAsia="宋体" w:cs="宋体"/>
          <w:color w:val="auto"/>
          <w:sz w:val="24"/>
          <w:highlight w:val="none"/>
        </w:rPr>
        <w:t xml:space="preserve">方案详细完整，针对性强、可操作性强，思路合理得</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分；方案较详细，针对性、可操作性较强，思路较合理得</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分；方案简单，针对性和可操作性一般得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方案</w:t>
      </w:r>
      <w:r>
        <w:rPr>
          <w:rFonts w:hint="eastAsia" w:ascii="宋体" w:hAnsi="宋体" w:eastAsia="宋体" w:cs="宋体"/>
          <w:color w:val="auto"/>
          <w:sz w:val="24"/>
          <w:highlight w:val="none"/>
          <w:lang w:val="en-US" w:eastAsia="zh-CN"/>
        </w:rPr>
        <w:t xml:space="preserve">较差</w:t>
      </w:r>
      <w:r>
        <w:rPr>
          <w:rFonts w:hint="eastAsia" w:ascii="宋体" w:hAnsi="宋体" w:eastAsia="宋体" w:cs="宋体"/>
          <w:color w:val="auto"/>
          <w:sz w:val="24"/>
          <w:highlight w:val="none"/>
        </w:rPr>
        <w:t xml:space="preserve">，针对性和可操作性</w:t>
      </w:r>
      <w:r>
        <w:rPr>
          <w:rFonts w:hint="eastAsia" w:ascii="宋体" w:hAnsi="宋体" w:eastAsia="宋体" w:cs="宋体"/>
          <w:color w:val="auto"/>
          <w:sz w:val="24"/>
          <w:highlight w:val="none"/>
          <w:lang w:val="en-US" w:eastAsia="zh-CN"/>
        </w:rPr>
        <w:t xml:space="preserve">较差</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bCs/>
          <w:color w:val="auto"/>
          <w:sz w:val="24"/>
          <w:highlight w:val="none"/>
        </w:rPr>
        <w:t xml:space="preserve">未提供方案不得分</w:t>
      </w:r>
      <w:r>
        <w:rPr>
          <w:rFonts w:hint="eastAsia" w:ascii="宋体" w:hAnsi="宋体" w:eastAsia="宋体" w:cs="宋体"/>
          <w:bCs/>
          <w:color w:val="auto"/>
          <w:sz w:val="24"/>
          <w:highlight w:val="none"/>
          <w:lang w:eastAsia="zh-CN"/>
        </w:rPr>
        <w:t xml:space="preserve">。</w:t>
      </w:r>
      <w:r/>
    </w:p>
    <w:p>
      <w:pPr>
        <w:ind w:firstLine="480"/>
        <w:spacing w:line="360" w:lineRule="auto"/>
        <w:tabs>
          <w:tab w:val="left" w:pos="945" w:leader="none"/>
          <w:tab w:val="left" w:pos="1155" w:leader="none"/>
        </w:tabs>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管理机制（8分）：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详细完整，针对性强、可操作性强，思路合理得</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较详细，针对性、可操作性较强，思路较合理得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简单，针对性、可操作性一般，思路可行性不高得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rPr>
          <w:rFonts w:hint="eastAsia" w:ascii="宋体" w:hAnsi="宋体" w:eastAsia="宋体" w:cs="宋体"/>
          <w:color w:val="auto"/>
          <w:sz w:val="24"/>
          <w:highlight w:val="none"/>
        </w:rPr>
        <w:t xml:space="preserve">方案</w:t>
      </w:r>
      <w:r>
        <w:rPr>
          <w:rFonts w:hint="eastAsia" w:ascii="宋体" w:hAnsi="宋体" w:eastAsia="宋体" w:cs="宋体"/>
          <w:color w:val="auto"/>
          <w:sz w:val="24"/>
          <w:highlight w:val="none"/>
          <w:lang w:val="en-US" w:eastAsia="zh-CN"/>
        </w:rPr>
        <w:t xml:space="preserve">较差</w:t>
      </w:r>
      <w:r>
        <w:rPr>
          <w:rFonts w:hint="eastAsia" w:ascii="宋体" w:hAnsi="宋体" w:eastAsia="宋体" w:cs="宋体"/>
          <w:color w:val="auto"/>
          <w:sz w:val="24"/>
          <w:highlight w:val="none"/>
        </w:rPr>
        <w:t xml:space="preserve">，针对性和可操作性</w:t>
      </w:r>
      <w:r>
        <w:rPr>
          <w:rFonts w:hint="eastAsia" w:ascii="宋体" w:hAnsi="宋体" w:eastAsia="宋体" w:cs="宋体"/>
          <w:color w:val="auto"/>
          <w:sz w:val="24"/>
          <w:highlight w:val="none"/>
          <w:lang w:val="en-US" w:eastAsia="zh-CN"/>
        </w:rPr>
        <w:t xml:space="preserve">较差</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bCs/>
          <w:color w:val="auto"/>
          <w:sz w:val="24"/>
          <w:szCs w:val="24"/>
          <w:highlight w:val="none"/>
        </w:rPr>
        <w:t xml:space="preserve">未提供</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不得分。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）安全措施（</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提供确保水站仪器设备安全</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有效措施。措施详细完整，针对性强、可操作性强，思路合理得</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分；措施较详细，针对性、可操作性较强，思路较合理得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分；措施简单，针对性、可操作性一般，思路可行性不高得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分；措施</w:t>
      </w:r>
      <w:r>
        <w:rPr>
          <w:rFonts w:hint="eastAsia" w:ascii="宋体" w:hAnsi="宋体" w:eastAsia="宋体" w:cs="宋体"/>
          <w:color w:val="auto"/>
          <w:sz w:val="24"/>
          <w:highlight w:val="none"/>
          <w:lang w:val="en-US" w:eastAsia="zh-CN"/>
        </w:rPr>
        <w:t xml:space="preserve">较差</w:t>
      </w:r>
      <w:r>
        <w:rPr>
          <w:rFonts w:hint="eastAsia" w:ascii="宋体" w:hAnsi="宋体" w:eastAsia="宋体" w:cs="宋体"/>
          <w:color w:val="auto"/>
          <w:sz w:val="24"/>
          <w:highlight w:val="none"/>
        </w:rPr>
        <w:t xml:space="preserve">，针对性和可操作性</w:t>
      </w:r>
      <w:r>
        <w:rPr>
          <w:rFonts w:hint="eastAsia" w:ascii="宋体" w:hAnsi="宋体" w:eastAsia="宋体" w:cs="宋体"/>
          <w:color w:val="auto"/>
          <w:sz w:val="24"/>
          <w:highlight w:val="none"/>
          <w:lang w:val="en-US" w:eastAsia="zh-CN"/>
        </w:rPr>
        <w:t xml:space="preserve">较差</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bCs/>
          <w:color w:val="auto"/>
          <w:sz w:val="24"/>
          <w:szCs w:val="24"/>
          <w:highlight w:val="none"/>
        </w:rPr>
        <w:t xml:space="preserve">未提供措施不得分。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）质控措施及服务承诺（10分）：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1）供应商对协助采购人做好水站固定资产管理、备品备件使用等工作的措施；（5分）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措施详细完整，针对性强、可操作性强，思路合理得5分；措施较详细，针对性、可操作性较强，思路较合理得3分；措施简单，针对性、可操作性一般，思路可行性不高得1分；未提供措施，不得分。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2）做好水站日常监控，填写监控记录等工作的措施（5分）</w:t>
      </w:r>
      <w:r>
        <w:rPr>
          <w:rFonts w:hint="eastAsia" w:ascii="宋体" w:hAnsi="宋体" w:eastAsia="宋体" w:cs="宋体"/>
          <w:bCs/>
          <w:color w:val="auto"/>
          <w:sz w:val="24"/>
          <w:szCs w:val="24"/>
          <w:highlight w:val="none"/>
          <w:lang w:eastAsia="zh-CN"/>
        </w:rPr>
        <w:t xml:space="preserve">：</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措施详细完整，针对性强、可操作性强，思路合理得5分；措施较详细，针对性、可操作性较强，思路较合理得3分；措施简单，针对性、可操作性一般，思路可行性不高得1分；未提供措施，不得分。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）突发事件的应急预案与措施（</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详细完整，针对性强、可操作性强，思路合理得</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较详细，针对性、可操作性较强，思路较合理得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简单，针对性、可操作性一般，思路可行性不高得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rPr>
          <w:rFonts w:hint="eastAsia" w:ascii="宋体" w:hAnsi="宋体" w:eastAsia="宋体" w:cs="宋体"/>
          <w:color w:val="auto"/>
          <w:sz w:val="24"/>
          <w:highlight w:val="none"/>
        </w:rPr>
        <w:t xml:space="preserve">方案</w:t>
      </w:r>
      <w:r>
        <w:rPr>
          <w:rFonts w:hint="eastAsia" w:ascii="宋体" w:hAnsi="宋体" w:eastAsia="宋体" w:cs="宋体"/>
          <w:color w:val="auto"/>
          <w:sz w:val="24"/>
          <w:highlight w:val="none"/>
          <w:lang w:val="en-US" w:eastAsia="zh-CN"/>
        </w:rPr>
        <w:t xml:space="preserve">较差</w:t>
      </w:r>
      <w:r>
        <w:rPr>
          <w:rFonts w:hint="eastAsia" w:ascii="宋体" w:hAnsi="宋体" w:eastAsia="宋体" w:cs="宋体"/>
          <w:color w:val="auto"/>
          <w:sz w:val="24"/>
          <w:highlight w:val="none"/>
        </w:rPr>
        <w:t xml:space="preserve">，针对性和可操作性</w:t>
      </w:r>
      <w:r>
        <w:rPr>
          <w:rFonts w:hint="eastAsia" w:ascii="宋体" w:hAnsi="宋体" w:eastAsia="宋体" w:cs="宋体"/>
          <w:color w:val="auto"/>
          <w:sz w:val="24"/>
          <w:highlight w:val="none"/>
          <w:lang w:val="en-US" w:eastAsia="zh-CN"/>
        </w:rPr>
        <w:t xml:space="preserve">较差</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bCs/>
          <w:color w:val="auto"/>
          <w:sz w:val="24"/>
          <w:szCs w:val="24"/>
          <w:highlight w:val="none"/>
        </w:rPr>
        <w:t xml:space="preserve">未提供</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不得分。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）与</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以及其他单位、部门的综合协调方案（</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详细完整，针对性强、可操作性强，思路合理得</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较详细，针对性、可操作性较强，思路较合理得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简单，针对性、可操作性一般，思路可行性不高得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rPr>
          <w:rFonts w:hint="eastAsia" w:ascii="宋体" w:hAnsi="宋体" w:eastAsia="宋体" w:cs="宋体"/>
          <w:color w:val="auto"/>
          <w:sz w:val="24"/>
          <w:highlight w:val="none"/>
        </w:rPr>
        <w:t xml:space="preserve">方案</w:t>
      </w:r>
      <w:r>
        <w:rPr>
          <w:rFonts w:hint="eastAsia" w:ascii="宋体" w:hAnsi="宋体" w:eastAsia="宋体" w:cs="宋体"/>
          <w:color w:val="auto"/>
          <w:sz w:val="24"/>
          <w:highlight w:val="none"/>
          <w:lang w:val="en-US" w:eastAsia="zh-CN"/>
        </w:rPr>
        <w:t xml:space="preserve">较差</w:t>
      </w:r>
      <w:r>
        <w:rPr>
          <w:rFonts w:hint="eastAsia" w:ascii="宋体" w:hAnsi="宋体" w:eastAsia="宋体" w:cs="宋体"/>
          <w:color w:val="auto"/>
          <w:sz w:val="24"/>
          <w:highlight w:val="none"/>
        </w:rPr>
        <w:t xml:space="preserve">，针对性和可操作性</w:t>
      </w:r>
      <w:r>
        <w:rPr>
          <w:rFonts w:hint="eastAsia" w:ascii="宋体" w:hAnsi="宋体" w:eastAsia="宋体" w:cs="宋体"/>
          <w:color w:val="auto"/>
          <w:sz w:val="24"/>
          <w:highlight w:val="none"/>
          <w:lang w:val="en-US" w:eastAsia="zh-CN"/>
        </w:rPr>
        <w:t xml:space="preserve">较差</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bCs/>
          <w:color w:val="auto"/>
          <w:sz w:val="24"/>
          <w:szCs w:val="24"/>
          <w:highlight w:val="none"/>
        </w:rPr>
        <w:t xml:space="preserve">未提供</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不得分。</w:t>
      </w:r>
      <w:r/>
    </w:p>
    <w:p>
      <w:pPr>
        <w:spacing w:line="360" w:lineRule="auto"/>
        <w:tabs>
          <w:tab w:val="left" w:pos="945" w:leader="none"/>
          <w:tab w:val="left" w:pos="115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1139"/>
        <w:numPr>
          <w:ilvl w:val="0"/>
          <w:numId w:val="14"/>
        </w:numPr>
        <w:ind w:firstLine="360"/>
        <w:spacing w:before="0" w:after="0"/>
        <w:rPr>
          <w:rFonts w:hint="eastAsia" w:ascii="宋体" w:hAnsi="宋体"/>
          <w:b/>
          <w:color w:val="auto"/>
          <w:sz w:val="28"/>
          <w:szCs w:val="28"/>
          <w:highlight w:val="none"/>
        </w:rPr>
      </w:pPr>
      <w:r>
        <w:rPr>
          <w:rFonts w:hint="eastAsia" w:ascii="宋体" w:hAnsi="宋体"/>
          <w:b/>
          <w:color w:val="auto"/>
          <w:sz w:val="28"/>
          <w:szCs w:val="28"/>
          <w:highlight w:val="none"/>
        </w:rPr>
        <w:t xml:space="preserve">评分标准</w:t>
      </w:r>
      <w:r>
        <w:rPr>
          <w:rFonts w:hint="eastAsia" w:ascii="宋体" w:hAnsi="宋体"/>
          <w:b/>
          <w:color w:val="auto"/>
          <w:sz w:val="28"/>
          <w:szCs w:val="28"/>
          <w:highlight w:val="none"/>
          <w:lang w:eastAsia="zh-CN"/>
        </w:rPr>
        <w:t xml:space="preserve">（</w:t>
      </w:r>
      <w:r>
        <w:rPr>
          <w:rFonts w:hint="eastAsia" w:ascii="宋体" w:hAnsi="宋体"/>
          <w:b/>
          <w:color w:val="auto"/>
          <w:sz w:val="28"/>
          <w:szCs w:val="28"/>
          <w:highlight w:val="none"/>
          <w:lang w:val="en-US" w:eastAsia="zh-CN"/>
        </w:rPr>
        <w:t xml:space="preserve">采购包2</w:t>
      </w:r>
      <w:r>
        <w:rPr>
          <w:rFonts w:hint="eastAsia" w:ascii="宋体" w:hAnsi="宋体"/>
          <w:b/>
          <w:color w:val="auto"/>
          <w:sz w:val="28"/>
          <w:szCs w:val="28"/>
          <w:highlight w:val="none"/>
          <w:lang w:eastAsia="zh-CN"/>
        </w:rPr>
        <w:t xml:space="preserve">）</w:t>
      </w:r>
      <w:r/>
    </w:p>
    <w:p>
      <w:pPr>
        <w:ind w:firstLine="482"/>
        <w:keepLines w:val="0"/>
        <w:keepNext w:val="0"/>
        <w:pageBreakBefore w:val="0"/>
        <w:spacing w:line="360" w:lineRule="auto"/>
        <w:widowControl w:val="off"/>
        <w:tabs>
          <w:tab w:val="left" w:pos="945" w:leader="none"/>
        </w:tabs>
        <w:rPr>
          <w:rFonts w:hint="eastAsia" w:ascii="宋体" w:hAnsi="宋体" w:eastAsia="宋体" w:cs="宋体"/>
          <w:b/>
          <w:bCs w:val="0"/>
          <w:color w:val="auto"/>
          <w:sz w:val="24"/>
          <w:highlight w:val="none"/>
          <w:lang w:val="zh-CN"/>
        </w:rPr>
      </w:pPr>
      <w:r>
        <w:rPr>
          <w:rFonts w:hint="eastAsia" w:ascii="宋体" w:hAnsi="宋体" w:eastAsia="宋体" w:cs="宋体"/>
          <w:b/>
          <w:bCs w:val="0"/>
          <w:color w:val="auto"/>
          <w:sz w:val="24"/>
          <w:highlight w:val="none"/>
          <w:lang w:val="zh-CN"/>
        </w:rPr>
        <w:t xml:space="preserve">投标报价</w:t>
      </w:r>
      <w:r>
        <w:rPr>
          <w:rFonts w:hint="eastAsia" w:ascii="宋体" w:hAnsi="宋体" w:eastAsia="宋体" w:cs="宋体"/>
          <w:b/>
          <w:bCs w:val="0"/>
          <w:color w:val="auto"/>
          <w:sz w:val="24"/>
          <w:highlight w:val="none"/>
          <w:lang w:val="en-US" w:eastAsia="zh-CN"/>
        </w:rPr>
        <w:t xml:space="preserve">              20</w:t>
      </w:r>
      <w:r>
        <w:rPr>
          <w:rFonts w:hint="eastAsia" w:ascii="宋体" w:hAnsi="宋体" w:eastAsia="宋体" w:cs="宋体"/>
          <w:b/>
          <w:bCs w:val="0"/>
          <w:color w:val="auto"/>
          <w:sz w:val="24"/>
          <w:highlight w:val="none"/>
          <w:lang w:val="zh-CN"/>
        </w:rPr>
        <w:t xml:space="preserve">分</w:t>
      </w:r>
      <w:r/>
    </w:p>
    <w:p>
      <w:pPr>
        <w:pStyle w:val="742"/>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商务部分              20分</w:t>
      </w:r>
      <w:r/>
    </w:p>
    <w:p>
      <w:pPr>
        <w:ind w:firstLine="482"/>
        <w:jc w:val="left"/>
        <w:keepLines w:val="0"/>
        <w:keepNext w:val="0"/>
        <w:pageBreakBefore w:val="0"/>
        <w:spacing w:after="0" w:line="360" w:lineRule="auto"/>
        <w:widowControl w:val="off"/>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技术</w:t>
      </w:r>
      <w:r>
        <w:rPr>
          <w:rFonts w:hint="eastAsia" w:ascii="宋体" w:hAnsi="宋体" w:eastAsia="宋体" w:cs="宋体"/>
          <w:b/>
          <w:bCs w:val="0"/>
          <w:color w:val="auto"/>
          <w:sz w:val="24"/>
          <w:szCs w:val="22"/>
          <w:highlight w:val="none"/>
          <w:lang w:val="en-US" w:eastAsia="zh-CN"/>
        </w:rPr>
        <w:t xml:space="preserve">部分</w:t>
      </w:r>
      <w:r>
        <w:rPr>
          <w:rFonts w:hint="eastAsia" w:ascii="宋体" w:hAnsi="宋体" w:eastAsia="宋体" w:cs="宋体"/>
          <w:b/>
          <w:bCs w:val="0"/>
          <w:color w:val="auto"/>
          <w:sz w:val="24"/>
          <w:szCs w:val="22"/>
          <w:highlight w:val="none"/>
        </w:rPr>
        <w:t xml:space="preserve">（服务方案）</w:t>
      </w:r>
      <w:r>
        <w:rPr>
          <w:rFonts w:hint="eastAsia" w:ascii="宋体" w:hAnsi="宋体" w:eastAsia="宋体" w:cs="宋体"/>
          <w:b/>
          <w:bCs w:val="0"/>
          <w:color w:val="auto"/>
          <w:sz w:val="24"/>
          <w:szCs w:val="22"/>
          <w:highlight w:val="none"/>
          <w:lang w:val="en-US" w:eastAsia="zh-CN"/>
        </w:rPr>
        <w:t xml:space="preserve">  60</w:t>
      </w:r>
      <w:r>
        <w:rPr>
          <w:rFonts w:hint="eastAsia" w:ascii="宋体" w:hAnsi="宋体" w:eastAsia="宋体" w:cs="宋体"/>
          <w:b/>
          <w:bCs w:val="0"/>
          <w:color w:val="auto"/>
          <w:sz w:val="24"/>
          <w:szCs w:val="22"/>
          <w:highlight w:val="none"/>
        </w:rPr>
        <w:t xml:space="preserve">分</w:t>
      </w:r>
      <w:r/>
    </w:p>
    <w:p>
      <w:pPr>
        <w:ind w:firstLine="482"/>
        <w:spacing w:line="360" w:lineRule="auto"/>
        <w:tabs>
          <w:tab w:val="left" w:pos="945" w:leader="none"/>
        </w:tabs>
        <w:rPr>
          <w:rFonts w:hint="eastAsia" w:ascii="宋体" w:hAnsi="宋体" w:eastAsia="宋体" w:cs="宋体"/>
          <w:b/>
          <w:bCs w:val="0"/>
          <w:color w:val="auto"/>
          <w:sz w:val="24"/>
          <w:highlight w:val="none"/>
          <w:lang w:val="zh-CN"/>
        </w:rPr>
      </w:pPr>
      <w:r>
        <w:rPr>
          <w:rFonts w:hint="eastAsia" w:ascii="宋体" w:hAnsi="宋体" w:eastAsia="宋体" w:cs="宋体"/>
          <w:b/>
          <w:bCs w:val="0"/>
          <w:color w:val="auto"/>
          <w:sz w:val="24"/>
          <w:highlight w:val="none"/>
          <w:lang w:val="en-US" w:eastAsia="zh-CN"/>
        </w:rPr>
        <w:t xml:space="preserve">1、</w:t>
      </w:r>
      <w:r>
        <w:rPr>
          <w:rFonts w:hint="eastAsia" w:ascii="宋体" w:hAnsi="宋体" w:eastAsia="宋体" w:cs="宋体"/>
          <w:b/>
          <w:bCs w:val="0"/>
          <w:color w:val="auto"/>
          <w:sz w:val="24"/>
          <w:highlight w:val="none"/>
          <w:lang w:val="zh-CN"/>
        </w:rPr>
        <w:t xml:space="preserve">投标报价（</w:t>
      </w:r>
      <w:r>
        <w:rPr>
          <w:rFonts w:hint="eastAsia" w:ascii="宋体" w:hAnsi="宋体" w:eastAsia="宋体" w:cs="宋体"/>
          <w:b/>
          <w:bCs w:val="0"/>
          <w:color w:val="auto"/>
          <w:sz w:val="24"/>
          <w:highlight w:val="none"/>
          <w:lang w:val="en-US" w:eastAsia="zh-CN"/>
        </w:rPr>
        <w:t xml:space="preserve">20</w:t>
      </w:r>
      <w:r>
        <w:rPr>
          <w:rFonts w:hint="eastAsia" w:ascii="宋体" w:hAnsi="宋体" w:eastAsia="宋体" w:cs="宋体"/>
          <w:b/>
          <w:bCs w:val="0"/>
          <w:color w:val="auto"/>
          <w:sz w:val="24"/>
          <w:highlight w:val="none"/>
          <w:lang w:val="zh-CN"/>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lang w:val="en-US" w:eastAsia="zh-CN"/>
        </w:rPr>
        <w:t xml:space="preserve">价格分采用低价优先法计算，即满足采购文件要求且有效的最低投标报价为评标基准价，其价格分为满分。其他投标供应商的价格分统一按照下列公式计算：</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val="en-US" w:eastAsia="zh-CN"/>
        </w:rPr>
        <w:t xml:space="preserve">投标报价得分=（评标基准价）／（投标报价）×价格权值×100，结果保留两位小数。</w:t>
      </w:r>
      <w:r/>
    </w:p>
    <w:p>
      <w:pPr>
        <w:ind w:firstLine="480"/>
        <w:jc w:val="left"/>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bCs/>
          <w:color w:val="auto"/>
          <w:sz w:val="24"/>
          <w:szCs w:val="24"/>
          <w:highlight w:val="none"/>
        </w:rPr>
        <w:t xml:space="preserve">关于价格扣除详见本章第二部分“一、落实政府采购政策的价格调整”。</w:t>
      </w:r>
      <w:r/>
    </w:p>
    <w:p>
      <w:pPr>
        <w:pStyle w:val="742"/>
        <w:numPr>
          <w:ilvl w:val="0"/>
          <w:numId w:val="0"/>
        </w:numPr>
        <w:ind w:firstLine="482"/>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2、商务部分（20分）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（1）人员配置情况（</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1）项目负责人（运维技术主管）：同时具备环境工程中级工程师及以上职称、中国环境监测总站颁发的国家地表水环境质量监测技术与运维管理培训合格证书的，得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w:t>
      </w:r>
      <w:r>
        <w:rPr>
          <w:rFonts w:hint="eastAsia" w:ascii="宋体" w:hAnsi="宋体" w:cs="宋体"/>
          <w:bCs/>
          <w:color w:val="auto"/>
          <w:sz w:val="24"/>
          <w:szCs w:val="24"/>
          <w:highlight w:val="none"/>
          <w:lang w:eastAsia="zh-CN"/>
        </w:rPr>
        <w:t xml:space="preserve">。</w:t>
      </w:r>
      <w:r>
        <w:rPr>
          <w:rFonts w:hint="eastAsia" w:ascii="宋体" w:hAnsi="宋体" w:cs="宋体"/>
          <w:color w:val="auto"/>
          <w:sz w:val="24"/>
          <w:szCs w:val="24"/>
          <w:highlight w:val="none"/>
        </w:rPr>
        <w:t xml:space="preserve">【提供</w:t>
      </w:r>
      <w:r>
        <w:rPr>
          <w:rFonts w:hint="eastAsia" w:ascii="宋体" w:hAnsi="宋体" w:cs="宋体"/>
          <w:bCs/>
          <w:color w:val="auto"/>
          <w:sz w:val="24"/>
          <w:szCs w:val="24"/>
          <w:highlight w:val="none"/>
        </w:rPr>
        <w:t xml:space="preserve">项目负责人身份证、证书、</w:t>
      </w:r>
      <w:r>
        <w:rPr>
          <w:rFonts w:hint="eastAsia" w:ascii="宋体" w:hAnsi="宋体" w:cs="宋体"/>
          <w:color w:val="auto"/>
          <w:sz w:val="24"/>
          <w:szCs w:val="24"/>
          <w:highlight w:val="none"/>
        </w:rPr>
        <w:t xml:space="preserve">与本企业签订的劳动合同</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rPr>
        <w:t xml:space="preserve">由相关政府机构出具的</w:t>
      </w:r>
      <w:r>
        <w:rPr>
          <w:rFonts w:hint="eastAsia" w:ascii="宋体" w:hAnsi="宋体" w:cs="宋体"/>
          <w:bCs/>
          <w:color w:val="auto"/>
          <w:sz w:val="24"/>
          <w:szCs w:val="24"/>
          <w:highlight w:val="none"/>
        </w:rPr>
        <w:t xml:space="preserve">近三个月中任意一个月份</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不含</w:t>
      </w:r>
      <w:r>
        <w:rPr>
          <w:rFonts w:hint="eastAsia" w:ascii="宋体" w:hAnsi="宋体" w:cs="宋体"/>
          <w:bCs/>
          <w:color w:val="auto"/>
          <w:sz w:val="24"/>
          <w:szCs w:val="24"/>
          <w:highlight w:val="none"/>
          <w:lang w:val="en-US" w:eastAsia="zh-CN"/>
        </w:rPr>
        <w:t xml:space="preserve">投</w:t>
      </w:r>
      <w:r>
        <w:rPr>
          <w:rFonts w:hint="eastAsia" w:ascii="宋体" w:hAnsi="宋体" w:cs="宋体"/>
          <w:bCs/>
          <w:color w:val="auto"/>
          <w:sz w:val="24"/>
          <w:szCs w:val="24"/>
          <w:highlight w:val="none"/>
        </w:rPr>
        <w:t xml:space="preserve">标当月</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缴纳社保</w:t>
      </w:r>
      <w:r>
        <w:rPr>
          <w:rFonts w:hint="eastAsia" w:ascii="宋体" w:hAnsi="宋体" w:cs="宋体"/>
          <w:color w:val="auto"/>
          <w:sz w:val="24"/>
          <w:szCs w:val="24"/>
          <w:highlight w:val="none"/>
        </w:rPr>
        <w:t xml:space="preserve">证明</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以上证明资料扫描件上传至投标系统并加盖公章，未提供或提供不符合要求不得分</w:t>
      </w:r>
      <w:r>
        <w:rPr>
          <w:rFonts w:hint="eastAsia" w:ascii="宋体" w:hAnsi="宋体" w:cs="宋体"/>
          <w:bCs/>
          <w:color w:val="auto"/>
          <w:sz w:val="24"/>
          <w:szCs w:val="24"/>
          <w:highlight w:val="none"/>
        </w:rPr>
        <w:t xml:space="preserve">】</w:t>
      </w:r>
      <w:r/>
    </w:p>
    <w:p>
      <w:pPr>
        <w:ind w:firstLine="480"/>
        <w:spacing w:line="360"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2）专业运维人员至少</w:t>
      </w:r>
      <w:r>
        <w:rPr>
          <w:rFonts w:hint="eastAsia" w:ascii="宋体" w:hAnsi="宋体" w:cs="宋体"/>
          <w:bCs/>
          <w:color w:val="auto"/>
          <w:sz w:val="24"/>
          <w:szCs w:val="28"/>
          <w:highlight w:val="none"/>
          <w:lang w:val="en-US" w:eastAsia="zh-CN"/>
        </w:rPr>
        <w:t xml:space="preserve">8</w:t>
      </w:r>
      <w:r>
        <w:rPr>
          <w:rFonts w:hint="eastAsia" w:ascii="宋体" w:hAnsi="宋体" w:cs="宋体"/>
          <w:bCs/>
          <w:color w:val="auto"/>
          <w:sz w:val="24"/>
          <w:szCs w:val="28"/>
          <w:highlight w:val="none"/>
        </w:rPr>
        <w:t xml:space="preserve">人，满足</w:t>
      </w:r>
      <w:r>
        <w:rPr>
          <w:rFonts w:hint="eastAsia" w:ascii="宋体" w:hAnsi="宋体" w:cs="宋体"/>
          <w:bCs/>
          <w:color w:val="auto"/>
          <w:sz w:val="24"/>
          <w:szCs w:val="28"/>
          <w:highlight w:val="none"/>
          <w:lang w:val="en-US" w:eastAsia="zh-CN"/>
        </w:rPr>
        <w:t xml:space="preserve">10</w:t>
      </w:r>
      <w:r>
        <w:rPr>
          <w:rFonts w:hint="eastAsia" w:ascii="宋体" w:hAnsi="宋体" w:cs="宋体"/>
          <w:bCs/>
          <w:color w:val="auto"/>
          <w:sz w:val="24"/>
          <w:szCs w:val="28"/>
          <w:highlight w:val="none"/>
        </w:rPr>
        <w:t xml:space="preserve">人及以上的得</w:t>
      </w:r>
      <w:r>
        <w:rPr>
          <w:rFonts w:hint="eastAsia" w:ascii="宋体" w:hAnsi="宋体" w:cs="宋体"/>
          <w:bCs/>
          <w:color w:val="auto"/>
          <w:sz w:val="24"/>
          <w:szCs w:val="28"/>
          <w:highlight w:val="none"/>
          <w:lang w:val="en-US" w:eastAsia="zh-CN"/>
        </w:rPr>
        <w:t xml:space="preserve">3</w:t>
      </w:r>
      <w:r>
        <w:rPr>
          <w:rFonts w:hint="eastAsia" w:ascii="宋体" w:hAnsi="宋体" w:cs="宋体"/>
          <w:bCs/>
          <w:color w:val="auto"/>
          <w:sz w:val="24"/>
          <w:szCs w:val="28"/>
          <w:highlight w:val="none"/>
        </w:rPr>
        <w:t xml:space="preserve">分，满足</w:t>
      </w:r>
      <w:r>
        <w:rPr>
          <w:rFonts w:hint="eastAsia" w:ascii="宋体" w:hAnsi="宋体" w:cs="宋体"/>
          <w:bCs/>
          <w:color w:val="auto"/>
          <w:sz w:val="24"/>
          <w:szCs w:val="28"/>
          <w:highlight w:val="none"/>
          <w:lang w:val="en-US" w:eastAsia="zh-CN"/>
        </w:rPr>
        <w:t xml:space="preserve">9</w:t>
      </w:r>
      <w:r>
        <w:rPr>
          <w:rFonts w:hint="eastAsia" w:ascii="宋体" w:hAnsi="宋体" w:cs="宋体"/>
          <w:bCs/>
          <w:color w:val="auto"/>
          <w:sz w:val="24"/>
          <w:szCs w:val="28"/>
          <w:highlight w:val="none"/>
        </w:rPr>
        <w:t xml:space="preserve">人的得</w:t>
      </w:r>
      <w:r>
        <w:rPr>
          <w:rFonts w:hint="eastAsia" w:ascii="宋体" w:hAnsi="宋体" w:cs="宋体"/>
          <w:bCs/>
          <w:color w:val="auto"/>
          <w:sz w:val="24"/>
          <w:szCs w:val="28"/>
          <w:highlight w:val="none"/>
          <w:lang w:val="en-US" w:eastAsia="zh-CN"/>
        </w:rPr>
        <w:t xml:space="preserve">2</w:t>
      </w:r>
      <w:r>
        <w:rPr>
          <w:rFonts w:hint="eastAsia" w:ascii="宋体" w:hAnsi="宋体" w:cs="宋体"/>
          <w:bCs/>
          <w:color w:val="auto"/>
          <w:sz w:val="24"/>
          <w:szCs w:val="28"/>
          <w:highlight w:val="none"/>
        </w:rPr>
        <w:t xml:space="preserve">分，满足</w:t>
      </w:r>
      <w:r>
        <w:rPr>
          <w:rFonts w:hint="eastAsia" w:ascii="宋体" w:hAnsi="宋体" w:cs="宋体"/>
          <w:bCs/>
          <w:color w:val="auto"/>
          <w:sz w:val="24"/>
          <w:szCs w:val="28"/>
          <w:highlight w:val="none"/>
          <w:lang w:val="en-US" w:eastAsia="zh-CN"/>
        </w:rPr>
        <w:t xml:space="preserve">8</w:t>
      </w:r>
      <w:r>
        <w:rPr>
          <w:rFonts w:hint="eastAsia" w:ascii="宋体" w:hAnsi="宋体" w:cs="宋体"/>
          <w:bCs/>
          <w:color w:val="auto"/>
          <w:sz w:val="24"/>
          <w:szCs w:val="28"/>
          <w:highlight w:val="none"/>
        </w:rPr>
        <w:t xml:space="preserve">人的得</w:t>
      </w:r>
      <w:r>
        <w:rPr>
          <w:rFonts w:hint="eastAsia" w:ascii="宋体" w:hAnsi="宋体" w:cs="宋体"/>
          <w:bCs/>
          <w:color w:val="auto"/>
          <w:sz w:val="24"/>
          <w:szCs w:val="28"/>
          <w:highlight w:val="none"/>
          <w:lang w:val="en-US" w:eastAsia="zh-CN"/>
        </w:rPr>
        <w:t xml:space="preserve">1</w:t>
      </w:r>
      <w:r>
        <w:rPr>
          <w:rFonts w:hint="eastAsia" w:ascii="宋体" w:hAnsi="宋体" w:cs="宋体"/>
          <w:bCs/>
          <w:color w:val="auto"/>
          <w:sz w:val="24"/>
          <w:szCs w:val="28"/>
          <w:highlight w:val="none"/>
        </w:rPr>
        <w:t xml:space="preserve">分，本项最高得</w:t>
      </w:r>
      <w:r>
        <w:rPr>
          <w:rFonts w:hint="eastAsia" w:ascii="宋体" w:hAnsi="宋体" w:cs="宋体"/>
          <w:bCs/>
          <w:color w:val="auto"/>
          <w:sz w:val="24"/>
          <w:szCs w:val="28"/>
          <w:highlight w:val="none"/>
          <w:lang w:val="en-US" w:eastAsia="zh-CN"/>
        </w:rPr>
        <w:t xml:space="preserve">3</w:t>
      </w:r>
      <w:r>
        <w:rPr>
          <w:rFonts w:hint="eastAsia" w:ascii="宋体" w:hAnsi="宋体" w:cs="宋体"/>
          <w:bCs/>
          <w:color w:val="auto"/>
          <w:sz w:val="24"/>
          <w:szCs w:val="28"/>
          <w:highlight w:val="none"/>
        </w:rPr>
        <w:t xml:space="preserve">分</w:t>
      </w:r>
      <w:r>
        <w:rPr>
          <w:rFonts w:hint="eastAsia" w:ascii="宋体" w:hAnsi="宋体" w:cs="宋体"/>
          <w:bCs/>
          <w:color w:val="auto"/>
          <w:sz w:val="24"/>
          <w:szCs w:val="28"/>
          <w:highlight w:val="none"/>
          <w:lang w:eastAsia="zh-CN"/>
        </w:rPr>
        <w:t xml:space="preserve">。</w:t>
      </w:r>
      <w:r>
        <w:rPr>
          <w:rFonts w:hint="eastAsia" w:ascii="宋体" w:hAnsi="宋体" w:cs="宋体"/>
          <w:color w:val="auto"/>
          <w:sz w:val="24"/>
          <w:szCs w:val="28"/>
          <w:highlight w:val="none"/>
        </w:rPr>
        <w:t xml:space="preserve">【提供以上人员身份证、省级及以上政府部门颁发的自动监测上岗证或培训合格证、</w:t>
      </w:r>
      <w:r>
        <w:rPr>
          <w:rFonts w:hint="eastAsia" w:ascii="宋体" w:hAnsi="宋体" w:cs="宋体"/>
          <w:color w:val="auto"/>
          <w:sz w:val="24"/>
          <w:szCs w:val="24"/>
          <w:highlight w:val="none"/>
        </w:rPr>
        <w:t xml:space="preserve">与本企业签订的劳动合同</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rPr>
        <w:t xml:space="preserve">由相关政府机构出具的</w:t>
      </w:r>
      <w:r>
        <w:rPr>
          <w:rFonts w:hint="eastAsia" w:ascii="宋体" w:hAnsi="宋体" w:cs="宋体"/>
          <w:bCs/>
          <w:color w:val="auto"/>
          <w:sz w:val="24"/>
          <w:szCs w:val="24"/>
          <w:highlight w:val="none"/>
        </w:rPr>
        <w:t xml:space="preserve">近三个月中任意一个月份</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不含</w:t>
      </w:r>
      <w:r>
        <w:rPr>
          <w:rFonts w:hint="eastAsia" w:ascii="宋体" w:hAnsi="宋体" w:cs="宋体"/>
          <w:bCs/>
          <w:color w:val="auto"/>
          <w:sz w:val="24"/>
          <w:szCs w:val="24"/>
          <w:highlight w:val="none"/>
          <w:lang w:val="en-US" w:eastAsia="zh-CN"/>
        </w:rPr>
        <w:t xml:space="preserve">投</w:t>
      </w:r>
      <w:r>
        <w:rPr>
          <w:rFonts w:hint="eastAsia" w:ascii="宋体" w:hAnsi="宋体" w:cs="宋体"/>
          <w:bCs/>
          <w:color w:val="auto"/>
          <w:sz w:val="24"/>
          <w:szCs w:val="24"/>
          <w:highlight w:val="none"/>
        </w:rPr>
        <w:t xml:space="preserve">标当月</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缴纳社保</w:t>
      </w:r>
      <w:r>
        <w:rPr>
          <w:rFonts w:hint="eastAsia" w:ascii="宋体" w:hAnsi="宋体" w:cs="宋体"/>
          <w:color w:val="auto"/>
          <w:sz w:val="24"/>
          <w:szCs w:val="24"/>
          <w:highlight w:val="none"/>
        </w:rPr>
        <w:t xml:space="preserve">证明</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以上证明资料扫描件上传至投标系统并加盖公章，未提供或提供不符合要求不得分</w:t>
      </w:r>
      <w:r>
        <w:rPr>
          <w:rFonts w:hint="eastAsia" w:ascii="宋体" w:hAnsi="宋体" w:cs="宋体"/>
          <w:bCs/>
          <w:color w:val="auto"/>
          <w:sz w:val="24"/>
          <w:szCs w:val="28"/>
          <w:highlight w:val="none"/>
        </w:rPr>
        <w:t xml:space="preserve">】</w:t>
      </w:r>
      <w:r/>
    </w:p>
    <w:p>
      <w:pPr>
        <w:ind w:firstLine="480"/>
        <w:spacing w:line="360"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（2）业绩（</w:t>
      </w:r>
      <w:r>
        <w:rPr>
          <w:rFonts w:hint="eastAsia" w:ascii="宋体" w:hAnsi="宋体" w:cs="宋体"/>
          <w:bCs/>
          <w:color w:val="auto"/>
          <w:sz w:val="24"/>
          <w:szCs w:val="28"/>
          <w:highlight w:val="none"/>
          <w:lang w:val="en-US" w:eastAsia="zh-CN"/>
        </w:rPr>
        <w:t xml:space="preserve">4</w:t>
      </w:r>
      <w:r>
        <w:rPr>
          <w:rFonts w:hint="eastAsia" w:ascii="宋体" w:hAnsi="宋体" w:cs="宋体"/>
          <w:bCs/>
          <w:color w:val="auto"/>
          <w:sz w:val="24"/>
          <w:szCs w:val="28"/>
          <w:highlight w:val="none"/>
        </w:rPr>
        <w:t xml:space="preserve">分）</w:t>
      </w:r>
      <w:r/>
    </w:p>
    <w:p>
      <w:pPr>
        <w:ind w:firstLine="480"/>
        <w:spacing w:line="360" w:lineRule="auto"/>
        <w:rPr>
          <w:rFonts w:hint="eastAsia" w:ascii="宋体" w:hAnsi="宋体" w:cs="宋体"/>
          <w:color w:val="auto"/>
          <w:sz w:val="24"/>
          <w:szCs w:val="28"/>
          <w:highlight w:val="none"/>
        </w:rPr>
      </w:pPr>
      <w:r>
        <w:rPr>
          <w:rFonts w:hint="eastAsia" w:ascii="宋体" w:hAnsi="宋体" w:cs="宋体"/>
          <w:bCs/>
          <w:color w:val="auto"/>
          <w:sz w:val="24"/>
          <w:szCs w:val="28"/>
          <w:highlight w:val="none"/>
        </w:rPr>
        <w:t xml:space="preserve">供应商2021年1月1日</w:t>
      </w:r>
      <w:r>
        <w:rPr>
          <w:rFonts w:hint="eastAsia" w:ascii="宋体" w:hAnsi="宋体" w:cs="宋体"/>
          <w:bCs/>
          <w:color w:val="auto"/>
          <w:sz w:val="24"/>
          <w:szCs w:val="28"/>
          <w:highlight w:val="none"/>
          <w:lang w:eastAsia="zh-CN"/>
        </w:rPr>
        <w:t xml:space="preserve">（</w:t>
      </w:r>
      <w:r>
        <w:rPr>
          <w:rFonts w:hint="eastAsia" w:ascii="宋体" w:hAnsi="宋体" w:cs="宋体"/>
          <w:bCs/>
          <w:color w:val="auto"/>
          <w:sz w:val="24"/>
          <w:szCs w:val="28"/>
          <w:highlight w:val="none"/>
          <w:lang w:val="en-US" w:eastAsia="zh-CN"/>
        </w:rPr>
        <w:t xml:space="preserve">以合同签订日期为准</w:t>
      </w:r>
      <w:r>
        <w:rPr>
          <w:rFonts w:hint="eastAsia" w:ascii="宋体" w:hAnsi="宋体" w:cs="宋体"/>
          <w:bCs/>
          <w:color w:val="auto"/>
          <w:sz w:val="24"/>
          <w:szCs w:val="28"/>
          <w:highlight w:val="none"/>
          <w:lang w:eastAsia="zh-CN"/>
        </w:rPr>
        <w:t xml:space="preserve">）</w:t>
      </w:r>
      <w:r>
        <w:rPr>
          <w:rFonts w:hint="eastAsia" w:ascii="宋体" w:hAnsi="宋体" w:cs="宋体"/>
          <w:bCs/>
          <w:color w:val="auto"/>
          <w:sz w:val="24"/>
          <w:szCs w:val="28"/>
          <w:highlight w:val="none"/>
        </w:rPr>
        <w:t xml:space="preserve">以来承担过同类项目业绩，有一个得2分，本项最高得</w:t>
      </w:r>
      <w:r>
        <w:rPr>
          <w:rFonts w:hint="eastAsia" w:ascii="宋体" w:hAnsi="宋体" w:cs="宋体"/>
          <w:bCs/>
          <w:color w:val="auto"/>
          <w:sz w:val="24"/>
          <w:szCs w:val="28"/>
          <w:highlight w:val="none"/>
          <w:lang w:val="en-US" w:eastAsia="zh-CN"/>
        </w:rPr>
        <w:t xml:space="preserve">4</w:t>
      </w:r>
      <w:r>
        <w:rPr>
          <w:rFonts w:hint="eastAsia" w:ascii="宋体" w:hAnsi="宋体" w:cs="宋体"/>
          <w:color w:val="auto"/>
          <w:sz w:val="24"/>
          <w:szCs w:val="28"/>
          <w:highlight w:val="none"/>
        </w:rPr>
        <w:t xml:space="preserve">分</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【提供</w:t>
      </w:r>
      <w:r>
        <w:rPr>
          <w:rFonts w:hint="eastAsia" w:ascii="宋体" w:hAnsi="宋体" w:cs="宋体"/>
          <w:color w:val="auto"/>
          <w:sz w:val="24"/>
          <w:szCs w:val="28"/>
          <w:highlight w:val="none"/>
          <w:lang w:val="en-US" w:eastAsia="zh-CN"/>
        </w:rPr>
        <w:t xml:space="preserve">中标（成交）</w:t>
      </w:r>
      <w:r>
        <w:rPr>
          <w:rFonts w:hint="eastAsia" w:ascii="宋体" w:hAnsi="宋体" w:cs="宋体"/>
          <w:color w:val="auto"/>
          <w:sz w:val="24"/>
          <w:szCs w:val="28"/>
          <w:highlight w:val="none"/>
        </w:rPr>
        <w:t xml:space="preserve">通知书或业绩合同</w:t>
      </w:r>
      <w:r>
        <w:rPr>
          <w:rFonts w:hint="eastAsia" w:ascii="宋体" w:hAnsi="宋体" w:cs="宋体"/>
          <w:bCs/>
          <w:color w:val="auto"/>
          <w:sz w:val="24"/>
          <w:szCs w:val="24"/>
          <w:highlight w:val="none"/>
          <w:lang w:val="en-US" w:eastAsia="zh-CN"/>
        </w:rPr>
        <w:t xml:space="preserve">扫描件上传至投标系统并加盖公章，未提供或提供不符合要求不得分</w:t>
      </w:r>
      <w:r>
        <w:rPr>
          <w:rFonts w:hint="eastAsia" w:ascii="宋体" w:hAnsi="宋体" w:cs="宋体"/>
          <w:color w:val="auto"/>
          <w:sz w:val="24"/>
          <w:szCs w:val="28"/>
          <w:highlight w:val="none"/>
        </w:rPr>
        <w:t xml:space="preserve">】</w:t>
      </w:r>
      <w:r/>
    </w:p>
    <w:p>
      <w:pPr>
        <w:ind w:firstLine="480"/>
        <w:spacing w:line="360"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（3）备件耗材保障（</w:t>
      </w:r>
      <w:r>
        <w:rPr>
          <w:rFonts w:hint="eastAsia" w:ascii="宋体" w:hAnsi="宋体" w:cs="宋体"/>
          <w:bCs/>
          <w:color w:val="auto"/>
          <w:sz w:val="24"/>
          <w:szCs w:val="28"/>
          <w:highlight w:val="none"/>
          <w:lang w:val="en-US" w:eastAsia="zh-CN"/>
        </w:rPr>
        <w:t xml:space="preserve">3</w:t>
      </w:r>
      <w:r>
        <w:rPr>
          <w:rFonts w:hint="eastAsia" w:ascii="宋体" w:hAnsi="宋体" w:cs="宋体"/>
          <w:bCs/>
          <w:color w:val="auto"/>
          <w:sz w:val="24"/>
          <w:szCs w:val="28"/>
          <w:highlight w:val="none"/>
        </w:rPr>
        <w:t xml:space="preserve">分）</w:t>
      </w:r>
      <w:r/>
    </w:p>
    <w:p>
      <w:pPr>
        <w:ind w:firstLine="480"/>
        <w:spacing w:line="360"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供应商为本项目提供相适应的仪器配件耗材，每有一个得</w:t>
      </w:r>
      <w:r>
        <w:rPr>
          <w:rFonts w:hint="eastAsia" w:ascii="宋体" w:hAnsi="宋体" w:cs="宋体"/>
          <w:bCs/>
          <w:color w:val="auto"/>
          <w:sz w:val="24"/>
          <w:szCs w:val="28"/>
          <w:highlight w:val="none"/>
          <w:lang w:val="en-US" w:eastAsia="zh-CN"/>
        </w:rPr>
        <w:t xml:space="preserve">0.5</w:t>
      </w:r>
      <w:r>
        <w:rPr>
          <w:rFonts w:hint="eastAsia" w:ascii="宋体" w:hAnsi="宋体" w:cs="宋体"/>
          <w:bCs/>
          <w:color w:val="auto"/>
          <w:sz w:val="24"/>
          <w:szCs w:val="28"/>
          <w:highlight w:val="none"/>
        </w:rPr>
        <w:t xml:space="preserve">分，最高得</w:t>
      </w:r>
      <w:r>
        <w:rPr>
          <w:rFonts w:hint="eastAsia" w:ascii="宋体" w:hAnsi="宋体" w:cs="宋体"/>
          <w:bCs/>
          <w:color w:val="auto"/>
          <w:sz w:val="24"/>
          <w:szCs w:val="28"/>
          <w:highlight w:val="none"/>
          <w:lang w:val="en-US" w:eastAsia="zh-CN"/>
        </w:rPr>
        <w:t xml:space="preserve">3</w:t>
      </w:r>
      <w:r>
        <w:rPr>
          <w:rFonts w:hint="eastAsia" w:ascii="宋体" w:hAnsi="宋体" w:cs="宋体"/>
          <w:bCs/>
          <w:color w:val="auto"/>
          <w:sz w:val="24"/>
          <w:szCs w:val="28"/>
          <w:highlight w:val="none"/>
        </w:rPr>
        <w:t xml:space="preserve">分</w:t>
      </w:r>
      <w:r>
        <w:rPr>
          <w:rFonts w:hint="eastAsia" w:ascii="宋体" w:hAnsi="宋体" w:cs="宋体"/>
          <w:bCs/>
          <w:color w:val="auto"/>
          <w:sz w:val="24"/>
          <w:szCs w:val="28"/>
          <w:highlight w:val="none"/>
          <w:lang w:eastAsia="zh-CN"/>
        </w:rPr>
        <w:t xml:space="preserve">。</w:t>
      </w:r>
      <w:r>
        <w:rPr>
          <w:rFonts w:hint="eastAsia" w:ascii="宋体" w:hAnsi="宋体" w:cs="宋体"/>
          <w:bCs/>
          <w:color w:val="auto"/>
          <w:sz w:val="24"/>
          <w:szCs w:val="28"/>
          <w:highlight w:val="none"/>
        </w:rPr>
        <w:t xml:space="preserve">【提供对应仪器配件耗材的采购记录与凭证</w:t>
      </w:r>
      <w:r>
        <w:rPr>
          <w:rFonts w:hint="eastAsia" w:ascii="宋体" w:hAnsi="宋体" w:cs="宋体"/>
          <w:bCs/>
          <w:color w:val="auto"/>
          <w:sz w:val="24"/>
          <w:szCs w:val="24"/>
          <w:highlight w:val="none"/>
          <w:lang w:val="en-US" w:eastAsia="zh-CN"/>
        </w:rPr>
        <w:t xml:space="preserve">扫描件上传至投标系统并加盖公章，未提供或提供不符合要求不得分</w:t>
      </w:r>
      <w:r>
        <w:rPr>
          <w:rFonts w:hint="eastAsia" w:ascii="宋体" w:hAnsi="宋体" w:cs="宋体"/>
          <w:bCs/>
          <w:color w:val="auto"/>
          <w:sz w:val="24"/>
          <w:szCs w:val="28"/>
          <w:highlight w:val="none"/>
        </w:rPr>
        <w:t xml:space="preserve">】</w:t>
      </w:r>
      <w:r/>
    </w:p>
    <w:p>
      <w:pPr>
        <w:ind w:firstLine="480"/>
        <w:spacing w:line="360"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（4）车辆配备（</w:t>
      </w:r>
      <w:r>
        <w:rPr>
          <w:rFonts w:hint="eastAsia" w:ascii="宋体" w:hAnsi="宋体" w:cs="宋体"/>
          <w:bCs/>
          <w:color w:val="auto"/>
          <w:sz w:val="24"/>
          <w:szCs w:val="28"/>
          <w:highlight w:val="none"/>
          <w:lang w:val="en-US" w:eastAsia="zh-CN"/>
        </w:rPr>
        <w:t xml:space="preserve">2</w:t>
      </w:r>
      <w:r>
        <w:rPr>
          <w:rFonts w:hint="eastAsia" w:ascii="宋体" w:hAnsi="宋体" w:cs="宋体"/>
          <w:bCs/>
          <w:color w:val="auto"/>
          <w:sz w:val="24"/>
          <w:szCs w:val="28"/>
          <w:highlight w:val="none"/>
        </w:rPr>
        <w:t xml:space="preserve">分）</w:t>
      </w:r>
      <w:r/>
    </w:p>
    <w:p>
      <w:pPr>
        <w:ind w:firstLine="480"/>
        <w:spacing w:line="360"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供应商为实施本项目至少需要配备</w:t>
      </w:r>
      <w:r>
        <w:rPr>
          <w:rFonts w:hint="eastAsia" w:ascii="宋体" w:hAnsi="宋体" w:cs="宋体"/>
          <w:bCs/>
          <w:color w:val="auto"/>
          <w:sz w:val="24"/>
          <w:szCs w:val="28"/>
          <w:highlight w:val="none"/>
          <w:lang w:val="en-US" w:eastAsia="zh-CN"/>
        </w:rPr>
        <w:t xml:space="preserve">2</w:t>
      </w:r>
      <w:r>
        <w:rPr>
          <w:rFonts w:hint="eastAsia" w:ascii="宋体" w:hAnsi="宋体" w:cs="宋体"/>
          <w:bCs/>
          <w:color w:val="auto"/>
          <w:sz w:val="24"/>
          <w:szCs w:val="28"/>
          <w:highlight w:val="none"/>
        </w:rPr>
        <w:t xml:space="preserve">辆专用车辆，在此基础上每增加1辆运维保障车辆得</w:t>
      </w:r>
      <w:r>
        <w:rPr>
          <w:rFonts w:hint="eastAsia" w:ascii="宋体" w:hAnsi="宋体" w:cs="宋体"/>
          <w:bCs/>
          <w:color w:val="auto"/>
          <w:sz w:val="24"/>
          <w:szCs w:val="28"/>
          <w:highlight w:val="none"/>
          <w:lang w:val="en-US" w:eastAsia="zh-CN"/>
        </w:rPr>
        <w:t xml:space="preserve">1</w:t>
      </w:r>
      <w:r>
        <w:rPr>
          <w:rFonts w:hint="eastAsia" w:ascii="宋体" w:hAnsi="宋体" w:cs="宋体"/>
          <w:bCs/>
          <w:color w:val="auto"/>
          <w:sz w:val="24"/>
          <w:szCs w:val="28"/>
          <w:highlight w:val="none"/>
        </w:rPr>
        <w:t xml:space="preserve">分，本项最高得</w:t>
      </w:r>
      <w:r>
        <w:rPr>
          <w:rFonts w:hint="eastAsia" w:ascii="宋体" w:hAnsi="宋体" w:cs="宋体"/>
          <w:bCs/>
          <w:color w:val="auto"/>
          <w:sz w:val="24"/>
          <w:szCs w:val="28"/>
          <w:highlight w:val="none"/>
          <w:lang w:val="en-US" w:eastAsia="zh-CN"/>
        </w:rPr>
        <w:t xml:space="preserve">2</w:t>
      </w:r>
      <w:r>
        <w:rPr>
          <w:rFonts w:hint="eastAsia" w:ascii="宋体" w:hAnsi="宋体" w:cs="宋体"/>
          <w:bCs/>
          <w:color w:val="auto"/>
          <w:sz w:val="24"/>
          <w:szCs w:val="28"/>
          <w:highlight w:val="none"/>
        </w:rPr>
        <w:t xml:space="preserve">分</w:t>
      </w:r>
      <w:r>
        <w:rPr>
          <w:rFonts w:hint="eastAsia" w:ascii="宋体" w:hAnsi="宋体" w:cs="宋体"/>
          <w:bCs/>
          <w:color w:val="auto"/>
          <w:sz w:val="24"/>
          <w:szCs w:val="28"/>
          <w:highlight w:val="none"/>
          <w:lang w:eastAsia="zh-CN"/>
        </w:rPr>
        <w:t xml:space="preserve">。</w:t>
      </w:r>
      <w:r>
        <w:rPr>
          <w:rFonts w:hint="eastAsia" w:ascii="宋体" w:hAnsi="宋体" w:cs="宋体"/>
          <w:bCs/>
          <w:color w:val="auto"/>
          <w:sz w:val="24"/>
          <w:szCs w:val="28"/>
          <w:highlight w:val="none"/>
        </w:rPr>
        <w:t xml:space="preserve">【提供购买车辆购置发票（发票的购买人名称必须与供应商名称一致）、购买合同、行驶证、车辆照片；租赁车辆还需提供有效期内的车辆租赁协议；或提供承诺书，承诺</w:t>
      </w:r>
      <w:r>
        <w:rPr>
          <w:rFonts w:hint="eastAsia" w:ascii="宋体" w:hAnsi="宋体" w:cs="宋体"/>
          <w:bCs/>
          <w:color w:val="auto"/>
          <w:sz w:val="24"/>
          <w:szCs w:val="28"/>
          <w:highlight w:val="none"/>
          <w:lang w:val="en-US" w:eastAsia="zh-CN"/>
        </w:rPr>
        <w:t xml:space="preserve">中标</w:t>
      </w:r>
      <w:r>
        <w:rPr>
          <w:rFonts w:hint="eastAsia" w:ascii="宋体" w:hAnsi="宋体" w:cs="宋体"/>
          <w:bCs/>
          <w:color w:val="auto"/>
          <w:sz w:val="24"/>
          <w:szCs w:val="28"/>
          <w:highlight w:val="none"/>
        </w:rPr>
        <w:t xml:space="preserve">后为本项目配备专用车辆；提供证明文件</w:t>
      </w:r>
      <w:r>
        <w:rPr>
          <w:rFonts w:hint="eastAsia" w:ascii="宋体" w:hAnsi="宋体" w:cs="宋体"/>
          <w:bCs/>
          <w:color w:val="auto"/>
          <w:sz w:val="24"/>
          <w:szCs w:val="24"/>
          <w:highlight w:val="none"/>
          <w:lang w:val="en-US" w:eastAsia="zh-CN"/>
        </w:rPr>
        <w:t xml:space="preserve">扫描件上传至投标系统并加盖公章，未提供或提供不符合要求不得分</w:t>
      </w:r>
      <w:r>
        <w:rPr>
          <w:rFonts w:hint="eastAsia" w:ascii="宋体" w:hAnsi="宋体" w:cs="宋体"/>
          <w:bCs/>
          <w:color w:val="auto"/>
          <w:sz w:val="24"/>
          <w:szCs w:val="28"/>
          <w:highlight w:val="none"/>
        </w:rPr>
        <w:t xml:space="preserve">】</w:t>
      </w:r>
      <w:r/>
    </w:p>
    <w:p>
      <w:pPr>
        <w:ind w:firstLine="480"/>
        <w:spacing w:line="360"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（5）体系认证（</w:t>
      </w:r>
      <w:r>
        <w:rPr>
          <w:rFonts w:hint="eastAsia" w:ascii="宋体" w:hAnsi="宋体" w:cs="宋体"/>
          <w:bCs/>
          <w:color w:val="auto"/>
          <w:sz w:val="24"/>
          <w:szCs w:val="28"/>
          <w:highlight w:val="none"/>
          <w:lang w:val="en-US" w:eastAsia="zh-CN"/>
        </w:rPr>
        <w:t xml:space="preserve">3</w:t>
      </w:r>
      <w:r>
        <w:rPr>
          <w:rFonts w:hint="eastAsia" w:ascii="宋体" w:hAnsi="宋体" w:cs="宋体"/>
          <w:bCs/>
          <w:color w:val="auto"/>
          <w:sz w:val="24"/>
          <w:szCs w:val="28"/>
          <w:highlight w:val="none"/>
        </w:rPr>
        <w:t xml:space="preserve">分）</w:t>
      </w:r>
      <w:r/>
    </w:p>
    <w:p>
      <w:pPr>
        <w:ind w:firstLine="480"/>
        <w:spacing w:line="360"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供应商具有有效期内的质量管理体系认证证书、环境管理体系认证证书，有一个得</w:t>
      </w:r>
      <w:r>
        <w:rPr>
          <w:rFonts w:hint="eastAsia" w:ascii="宋体" w:hAnsi="宋体" w:cs="宋体"/>
          <w:bCs/>
          <w:color w:val="auto"/>
          <w:sz w:val="24"/>
          <w:szCs w:val="28"/>
          <w:highlight w:val="none"/>
          <w:lang w:val="en-US" w:eastAsia="zh-CN"/>
        </w:rPr>
        <w:t xml:space="preserve">1.5</w:t>
      </w:r>
      <w:r>
        <w:rPr>
          <w:rFonts w:hint="eastAsia" w:ascii="宋体" w:hAnsi="宋体" w:cs="宋体"/>
          <w:bCs/>
          <w:color w:val="auto"/>
          <w:sz w:val="24"/>
          <w:szCs w:val="28"/>
          <w:highlight w:val="none"/>
        </w:rPr>
        <w:t xml:space="preserve">分，本项最高得</w:t>
      </w:r>
      <w:r>
        <w:rPr>
          <w:rFonts w:hint="eastAsia" w:ascii="宋体" w:hAnsi="宋体" w:cs="宋体"/>
          <w:bCs/>
          <w:color w:val="auto"/>
          <w:sz w:val="24"/>
          <w:szCs w:val="28"/>
          <w:highlight w:val="none"/>
          <w:lang w:val="en-US" w:eastAsia="zh-CN"/>
        </w:rPr>
        <w:t xml:space="preserve">3</w:t>
      </w:r>
      <w:r>
        <w:rPr>
          <w:rFonts w:hint="eastAsia" w:ascii="宋体" w:hAnsi="宋体" w:cs="宋体"/>
          <w:bCs/>
          <w:color w:val="auto"/>
          <w:sz w:val="24"/>
          <w:szCs w:val="28"/>
          <w:highlight w:val="none"/>
        </w:rPr>
        <w:t xml:space="preserve">分</w:t>
      </w:r>
      <w:r>
        <w:rPr>
          <w:rFonts w:hint="eastAsia" w:ascii="宋体" w:hAnsi="宋体" w:cs="宋体"/>
          <w:bCs/>
          <w:color w:val="auto"/>
          <w:sz w:val="24"/>
          <w:szCs w:val="28"/>
          <w:highlight w:val="none"/>
          <w:lang w:eastAsia="zh-CN"/>
        </w:rPr>
        <w:t xml:space="preserve">。</w:t>
      </w:r>
      <w:r>
        <w:rPr>
          <w:rFonts w:hint="eastAsia" w:ascii="宋体" w:hAnsi="宋体" w:cs="宋体"/>
          <w:bCs/>
          <w:color w:val="auto"/>
          <w:sz w:val="24"/>
          <w:szCs w:val="28"/>
          <w:highlight w:val="none"/>
        </w:rPr>
        <w:t xml:space="preserve">【提供证书</w:t>
      </w:r>
      <w:r>
        <w:rPr>
          <w:rFonts w:hint="eastAsia" w:ascii="宋体" w:hAnsi="宋体" w:cs="宋体"/>
          <w:bCs/>
          <w:color w:val="auto"/>
          <w:sz w:val="24"/>
          <w:szCs w:val="24"/>
          <w:highlight w:val="none"/>
          <w:lang w:val="en-US" w:eastAsia="zh-CN"/>
        </w:rPr>
        <w:t xml:space="preserve">扫描件上传至投标系统并加盖公章，未提供或提供不符合要求不得分</w:t>
      </w:r>
      <w:r>
        <w:rPr>
          <w:rFonts w:hint="eastAsia" w:ascii="宋体" w:hAnsi="宋体" w:cs="宋体"/>
          <w:bCs/>
          <w:color w:val="auto"/>
          <w:sz w:val="24"/>
          <w:szCs w:val="28"/>
          <w:highlight w:val="none"/>
        </w:rPr>
        <w:t xml:space="preserve">】</w:t>
      </w:r>
      <w:r/>
    </w:p>
    <w:p>
      <w:pPr>
        <w:contextualSpacing/>
        <w:ind w:firstLine="480"/>
        <w:jc w:val="left"/>
        <w:spacing w:line="360"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（6）实验室（</w:t>
      </w:r>
      <w:r>
        <w:rPr>
          <w:rFonts w:hint="eastAsia" w:ascii="宋体" w:hAnsi="宋体" w:cs="宋体"/>
          <w:bCs/>
          <w:color w:val="auto"/>
          <w:sz w:val="24"/>
          <w:szCs w:val="28"/>
          <w:highlight w:val="none"/>
          <w:lang w:val="en-US" w:eastAsia="zh-CN"/>
        </w:rPr>
        <w:t xml:space="preserve">3</w:t>
      </w:r>
      <w:r>
        <w:rPr>
          <w:rFonts w:hint="eastAsia" w:ascii="宋体" w:hAnsi="宋体" w:cs="宋体"/>
          <w:bCs/>
          <w:color w:val="auto"/>
          <w:sz w:val="24"/>
          <w:szCs w:val="28"/>
          <w:highlight w:val="none"/>
        </w:rPr>
        <w:t xml:space="preserve">分）</w:t>
      </w:r>
      <w:r/>
    </w:p>
    <w:p>
      <w:pPr>
        <w:contextualSpacing/>
        <w:ind w:firstLine="480"/>
        <w:jc w:val="left"/>
        <w:spacing w:line="360"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1）供应商自有计量认证的实验室的得</w:t>
      </w:r>
      <w:r>
        <w:rPr>
          <w:rFonts w:hint="eastAsia" w:ascii="宋体" w:hAnsi="宋体" w:cs="宋体"/>
          <w:bCs/>
          <w:color w:val="auto"/>
          <w:sz w:val="24"/>
          <w:szCs w:val="28"/>
          <w:highlight w:val="none"/>
          <w:lang w:val="en-US" w:eastAsia="zh-CN"/>
        </w:rPr>
        <w:t xml:space="preserve">2</w:t>
      </w:r>
      <w:r>
        <w:rPr>
          <w:rFonts w:hint="eastAsia" w:ascii="宋体" w:hAnsi="宋体" w:cs="宋体"/>
          <w:bCs/>
          <w:color w:val="auto"/>
          <w:sz w:val="24"/>
          <w:szCs w:val="28"/>
          <w:highlight w:val="none"/>
        </w:rPr>
        <w:t xml:space="preserve">分；如供应商无自有认证实验室，但委托相关认证实验室，并提供委托协议的得</w:t>
      </w:r>
      <w:r>
        <w:rPr>
          <w:rFonts w:hint="eastAsia" w:ascii="宋体" w:hAnsi="宋体" w:cs="宋体"/>
          <w:bCs/>
          <w:color w:val="auto"/>
          <w:sz w:val="24"/>
          <w:szCs w:val="28"/>
          <w:highlight w:val="none"/>
          <w:lang w:val="en-US" w:eastAsia="zh-CN"/>
        </w:rPr>
        <w:t xml:space="preserve">2</w:t>
      </w:r>
      <w:r>
        <w:rPr>
          <w:rFonts w:hint="eastAsia" w:ascii="宋体" w:hAnsi="宋体" w:cs="宋体"/>
          <w:bCs/>
          <w:color w:val="auto"/>
          <w:sz w:val="24"/>
          <w:szCs w:val="28"/>
          <w:highlight w:val="none"/>
        </w:rPr>
        <w:t xml:space="preserve">分。实验室认证范围存在缺少本项目监测参数情况的扣分，缺1项扣</w:t>
      </w:r>
      <w:r>
        <w:rPr>
          <w:rFonts w:hint="eastAsia" w:ascii="宋体" w:hAnsi="宋体" w:cs="宋体"/>
          <w:bCs/>
          <w:color w:val="auto"/>
          <w:sz w:val="24"/>
          <w:szCs w:val="28"/>
          <w:highlight w:val="none"/>
          <w:lang w:val="en-US" w:eastAsia="zh-CN"/>
        </w:rPr>
        <w:t xml:space="preserve">0.5</w:t>
      </w:r>
      <w:r>
        <w:rPr>
          <w:rFonts w:hint="eastAsia" w:ascii="宋体" w:hAnsi="宋体" w:cs="宋体"/>
          <w:bCs/>
          <w:color w:val="auto"/>
          <w:sz w:val="24"/>
          <w:szCs w:val="28"/>
          <w:highlight w:val="none"/>
        </w:rPr>
        <w:t xml:space="preserve">分，扣完为止。本项最高得</w:t>
      </w:r>
      <w:r>
        <w:rPr>
          <w:rFonts w:hint="eastAsia" w:ascii="宋体" w:hAnsi="宋体" w:cs="宋体"/>
          <w:bCs/>
          <w:color w:val="auto"/>
          <w:sz w:val="24"/>
          <w:szCs w:val="28"/>
          <w:highlight w:val="none"/>
          <w:lang w:val="en-US" w:eastAsia="zh-CN"/>
        </w:rPr>
        <w:t xml:space="preserve">2</w:t>
      </w:r>
      <w:r>
        <w:rPr>
          <w:rFonts w:hint="eastAsia" w:ascii="宋体" w:hAnsi="宋体" w:cs="宋体"/>
          <w:bCs/>
          <w:color w:val="auto"/>
          <w:sz w:val="24"/>
          <w:szCs w:val="28"/>
          <w:highlight w:val="none"/>
        </w:rPr>
        <w:t xml:space="preserve">分。</w:t>
      </w:r>
      <w:r/>
    </w:p>
    <w:p>
      <w:pPr>
        <w:contextualSpacing/>
        <w:ind w:firstLine="480"/>
        <w:jc w:val="left"/>
        <w:spacing w:line="360"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2）实验室地点在无锡市以内或提供承诺</w:t>
      </w:r>
      <w:r>
        <w:rPr>
          <w:rFonts w:hint="eastAsia" w:ascii="宋体" w:hAnsi="宋体" w:cs="宋体"/>
          <w:bCs/>
          <w:color w:val="auto"/>
          <w:sz w:val="24"/>
          <w:szCs w:val="28"/>
          <w:highlight w:val="none"/>
          <w:lang w:val="en-US" w:eastAsia="zh-CN"/>
        </w:rPr>
        <w:t xml:space="preserve">中标</w:t>
      </w:r>
      <w:r>
        <w:rPr>
          <w:rFonts w:hint="eastAsia" w:ascii="宋体" w:hAnsi="宋体" w:cs="宋体"/>
          <w:bCs/>
          <w:color w:val="auto"/>
          <w:sz w:val="24"/>
          <w:szCs w:val="28"/>
          <w:highlight w:val="none"/>
        </w:rPr>
        <w:t xml:space="preserve">后在无锡市内设立实验室的得</w:t>
      </w:r>
      <w:r>
        <w:rPr>
          <w:rFonts w:hint="eastAsia" w:ascii="宋体" w:hAnsi="宋体" w:cs="宋体"/>
          <w:bCs/>
          <w:color w:val="auto"/>
          <w:sz w:val="24"/>
          <w:szCs w:val="28"/>
          <w:highlight w:val="none"/>
          <w:lang w:val="en-US" w:eastAsia="zh-CN"/>
        </w:rPr>
        <w:t xml:space="preserve">1</w:t>
      </w:r>
      <w:r>
        <w:rPr>
          <w:rFonts w:hint="eastAsia" w:ascii="宋体" w:hAnsi="宋体" w:cs="宋体"/>
          <w:bCs/>
          <w:color w:val="auto"/>
          <w:sz w:val="24"/>
          <w:szCs w:val="28"/>
          <w:highlight w:val="none"/>
        </w:rPr>
        <w:t xml:space="preserve">分，本项最高得</w:t>
      </w:r>
      <w:r>
        <w:rPr>
          <w:rFonts w:hint="eastAsia" w:ascii="宋体" w:hAnsi="宋体" w:cs="宋体"/>
          <w:bCs/>
          <w:color w:val="auto"/>
          <w:sz w:val="24"/>
          <w:szCs w:val="28"/>
          <w:highlight w:val="none"/>
          <w:lang w:val="en-US" w:eastAsia="zh-CN"/>
        </w:rPr>
        <w:t xml:space="preserve">1</w:t>
      </w:r>
      <w:r>
        <w:rPr>
          <w:rFonts w:hint="eastAsia" w:ascii="宋体" w:hAnsi="宋体" w:cs="宋体"/>
          <w:bCs/>
          <w:color w:val="auto"/>
          <w:sz w:val="24"/>
          <w:szCs w:val="28"/>
          <w:highlight w:val="none"/>
        </w:rPr>
        <w:t xml:space="preserve">分。【提供供应商本身实验室的证明资料或委托实验室计量认证证明（包括计量认证的级别、通过认可的项目等）或承诺书</w:t>
      </w:r>
      <w:r>
        <w:rPr>
          <w:rFonts w:hint="eastAsia" w:ascii="宋体" w:hAnsi="宋体" w:cs="宋体"/>
          <w:bCs/>
          <w:color w:val="auto"/>
          <w:sz w:val="24"/>
          <w:szCs w:val="24"/>
          <w:highlight w:val="none"/>
          <w:lang w:val="en-US" w:eastAsia="zh-CN"/>
        </w:rPr>
        <w:t xml:space="preserve">扫描件上传至投标系统并加盖公章，未提供或提供不符合要求不得分</w:t>
      </w:r>
      <w:r>
        <w:rPr>
          <w:rFonts w:hint="eastAsia" w:ascii="宋体" w:hAnsi="宋体" w:cs="宋体"/>
          <w:bCs/>
          <w:color w:val="auto"/>
          <w:sz w:val="24"/>
          <w:szCs w:val="28"/>
          <w:highlight w:val="none"/>
        </w:rPr>
        <w:t xml:space="preserve">】</w:t>
      </w:r>
      <w:r/>
    </w:p>
    <w:p>
      <w:pPr>
        <w:numPr>
          <w:ilvl w:val="0"/>
          <w:numId w:val="0"/>
        </w:numPr>
        <w:ind w:firstLine="482"/>
        <w:spacing w:line="360" w:lineRule="auto"/>
        <w:rPr>
          <w:rFonts w:hint="eastAsia" w:ascii="宋体" w:hAnsi="宋体"/>
          <w:b/>
          <w:bCs/>
          <w:color w:val="auto"/>
          <w:sz w:val="24"/>
          <w:highlight w:val="none"/>
          <w:lang w:val="zh-CN" w:eastAsia="zh-CN"/>
        </w:rPr>
      </w:pPr>
      <w:r>
        <w:rPr>
          <w:rFonts w:hint="eastAsia" w:ascii="宋体" w:hAnsi="宋体"/>
          <w:b/>
          <w:bCs/>
          <w:color w:val="auto"/>
          <w:sz w:val="24"/>
          <w:highlight w:val="none"/>
          <w:lang w:val="en-US" w:eastAsia="zh-CN"/>
        </w:rPr>
        <w:t xml:space="preserve">3、技术部分（60分）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（1）运维方案（10分）：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1）供应商为本项目提供的水质自动监测系统运维实施方案的完整性；（5分）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方案详细完整，针对性强得5分；方案较详细，针对性较强得3分；方案简单，针对性一般得1分；未提供方案，不得分。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2）供应商为本项目提供的水质自动监测系统运维实施方案的可行性。（5分）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方案可行性强，思路合理得5分；方案可行性较强，思路较合理得3分；方案可行性一般，思路一般得1分；未提供方案，不得分。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（2）运维组织架构、各岗位职责分工（10分）：</w:t>
      </w:r>
      <w:r/>
    </w:p>
    <w:p>
      <w:pPr>
        <w:ind w:firstLine="424"/>
        <w:spacing w:line="360" w:lineRule="auto"/>
        <w:rPr>
          <w:rFonts w:hint="eastAsia" w:ascii="宋体" w:hAnsi="宋体" w:eastAsia="宋体" w:cs="宋体"/>
          <w:bCs/>
          <w:color w:val="auto"/>
          <w:sz w:val="24"/>
          <w:highlight w:val="none"/>
          <w:lang w:eastAsia="zh-CN"/>
        </w:rPr>
      </w:pPr>
      <w:r>
        <w:rPr>
          <w:rFonts w:hint="eastAsia" w:ascii="宋体" w:hAnsi="宋体" w:eastAsia="宋体" w:cs="宋体"/>
          <w:color w:val="auto"/>
          <w:sz w:val="24"/>
          <w:highlight w:val="none"/>
        </w:rPr>
        <w:t xml:space="preserve">方案详细完整，针对性强、可操作性强，思路合理得</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分；方案较详细，针对性、可操作性较强，思路较合理得</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分；方案简单，针对性和可操作性一般得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方案</w:t>
      </w:r>
      <w:r>
        <w:rPr>
          <w:rFonts w:hint="eastAsia" w:ascii="宋体" w:hAnsi="宋体" w:eastAsia="宋体" w:cs="宋体"/>
          <w:color w:val="auto"/>
          <w:sz w:val="24"/>
          <w:highlight w:val="none"/>
          <w:lang w:val="en-US" w:eastAsia="zh-CN"/>
        </w:rPr>
        <w:t xml:space="preserve">较差</w:t>
      </w:r>
      <w:r>
        <w:rPr>
          <w:rFonts w:hint="eastAsia" w:ascii="宋体" w:hAnsi="宋体" w:eastAsia="宋体" w:cs="宋体"/>
          <w:color w:val="auto"/>
          <w:sz w:val="24"/>
          <w:highlight w:val="none"/>
        </w:rPr>
        <w:t xml:space="preserve">，针对性和可操作性</w:t>
      </w:r>
      <w:r>
        <w:rPr>
          <w:rFonts w:hint="eastAsia" w:ascii="宋体" w:hAnsi="宋体" w:eastAsia="宋体" w:cs="宋体"/>
          <w:color w:val="auto"/>
          <w:sz w:val="24"/>
          <w:highlight w:val="none"/>
          <w:lang w:val="en-US" w:eastAsia="zh-CN"/>
        </w:rPr>
        <w:t xml:space="preserve">较差</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bCs/>
          <w:color w:val="auto"/>
          <w:sz w:val="24"/>
          <w:highlight w:val="none"/>
        </w:rPr>
        <w:t xml:space="preserve">未提供方案不得分</w:t>
      </w:r>
      <w:r>
        <w:rPr>
          <w:rFonts w:hint="eastAsia" w:ascii="宋体" w:hAnsi="宋体" w:eastAsia="宋体" w:cs="宋体"/>
          <w:bCs/>
          <w:color w:val="auto"/>
          <w:sz w:val="24"/>
          <w:highlight w:val="none"/>
          <w:lang w:eastAsia="zh-CN"/>
        </w:rPr>
        <w:t xml:space="preserve">。</w:t>
      </w:r>
      <w:r/>
    </w:p>
    <w:p>
      <w:pPr>
        <w:ind w:firstLine="480"/>
        <w:spacing w:line="360" w:lineRule="auto"/>
        <w:tabs>
          <w:tab w:val="left" w:pos="945" w:leader="none"/>
          <w:tab w:val="left" w:pos="1155" w:leader="none"/>
        </w:tabs>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管理机制（8分）：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详细完整，针对性强、可操作性强，思路合理得</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较详细，针对性、可操作性较强，思路较合理得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简单，针对性、可操作性一般，思路可行性不高得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rPr>
          <w:rFonts w:hint="eastAsia" w:ascii="宋体" w:hAnsi="宋体" w:eastAsia="宋体" w:cs="宋体"/>
          <w:color w:val="auto"/>
          <w:sz w:val="24"/>
          <w:highlight w:val="none"/>
        </w:rPr>
        <w:t xml:space="preserve">方案</w:t>
      </w:r>
      <w:r>
        <w:rPr>
          <w:rFonts w:hint="eastAsia" w:ascii="宋体" w:hAnsi="宋体" w:eastAsia="宋体" w:cs="宋体"/>
          <w:color w:val="auto"/>
          <w:sz w:val="24"/>
          <w:highlight w:val="none"/>
          <w:lang w:val="en-US" w:eastAsia="zh-CN"/>
        </w:rPr>
        <w:t xml:space="preserve">较差</w:t>
      </w:r>
      <w:r>
        <w:rPr>
          <w:rFonts w:hint="eastAsia" w:ascii="宋体" w:hAnsi="宋体" w:eastAsia="宋体" w:cs="宋体"/>
          <w:color w:val="auto"/>
          <w:sz w:val="24"/>
          <w:highlight w:val="none"/>
        </w:rPr>
        <w:t xml:space="preserve">，针对性和可操作性</w:t>
      </w:r>
      <w:r>
        <w:rPr>
          <w:rFonts w:hint="eastAsia" w:ascii="宋体" w:hAnsi="宋体" w:eastAsia="宋体" w:cs="宋体"/>
          <w:color w:val="auto"/>
          <w:sz w:val="24"/>
          <w:highlight w:val="none"/>
          <w:lang w:val="en-US" w:eastAsia="zh-CN"/>
        </w:rPr>
        <w:t xml:space="preserve">较差</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bCs/>
          <w:color w:val="auto"/>
          <w:sz w:val="24"/>
          <w:szCs w:val="24"/>
          <w:highlight w:val="none"/>
        </w:rPr>
        <w:t xml:space="preserve">未提供</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不得分。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）安全措施（</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提供确保水站仪器设备安全</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有效措施。措施详细完整，针对性强、可操作性强，思路合理得</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分；措施较详细，针对性、可操作性较强，思路较合理得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分；措施简单，针对性、可操作性一般，思路可行性不高得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分；措施</w:t>
      </w:r>
      <w:r>
        <w:rPr>
          <w:rFonts w:hint="eastAsia" w:ascii="宋体" w:hAnsi="宋体" w:eastAsia="宋体" w:cs="宋体"/>
          <w:color w:val="auto"/>
          <w:sz w:val="24"/>
          <w:highlight w:val="none"/>
          <w:lang w:val="en-US" w:eastAsia="zh-CN"/>
        </w:rPr>
        <w:t xml:space="preserve">较差</w:t>
      </w:r>
      <w:r>
        <w:rPr>
          <w:rFonts w:hint="eastAsia" w:ascii="宋体" w:hAnsi="宋体" w:eastAsia="宋体" w:cs="宋体"/>
          <w:color w:val="auto"/>
          <w:sz w:val="24"/>
          <w:highlight w:val="none"/>
        </w:rPr>
        <w:t xml:space="preserve">，针对性和可操作性</w:t>
      </w:r>
      <w:r>
        <w:rPr>
          <w:rFonts w:hint="eastAsia" w:ascii="宋体" w:hAnsi="宋体" w:eastAsia="宋体" w:cs="宋体"/>
          <w:color w:val="auto"/>
          <w:sz w:val="24"/>
          <w:highlight w:val="none"/>
          <w:lang w:val="en-US" w:eastAsia="zh-CN"/>
        </w:rPr>
        <w:t xml:space="preserve">较差</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bCs/>
          <w:color w:val="auto"/>
          <w:sz w:val="24"/>
          <w:szCs w:val="24"/>
          <w:highlight w:val="none"/>
        </w:rPr>
        <w:t xml:space="preserve">未提供措施不得分。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）质控措施及服务承诺（10分）：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1）供应商对协助采购人做好水站固定资产管理、备品备件使用等工作的措施；（5分）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措施详细完整，针对性强、可操作性强，思路合理得5分；措施较详细，针对性、可操作性较强，思路较合理得3分；措施简单，针对性、可操作性一般，思路可行性不高得1分；未提供措施，不得分。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2）做好水站日常监控，填写监控记录等工作的措施（5分）</w:t>
      </w:r>
      <w:r>
        <w:rPr>
          <w:rFonts w:hint="eastAsia" w:ascii="宋体" w:hAnsi="宋体" w:eastAsia="宋体" w:cs="宋体"/>
          <w:bCs/>
          <w:color w:val="auto"/>
          <w:sz w:val="24"/>
          <w:szCs w:val="24"/>
          <w:highlight w:val="none"/>
          <w:lang w:eastAsia="zh-CN"/>
        </w:rPr>
        <w:t xml:space="preserve">：</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措施详细完整，针对性强、可操作性强，思路合理得5分；措施较详细，针对性、可操作性较强，思路较合理得3分；措施简单，针对性、可操作性一般，思路可行性不高得1分；未提供措施，不得分。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）突发事件的应急预案与措施（</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详细完整，针对性强、可操作性强，思路合理得</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较详细，针对性、可操作性较强，思路较合理得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简单，针对性、可操作性一般，思路可行性不高得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rPr>
          <w:rFonts w:hint="eastAsia" w:ascii="宋体" w:hAnsi="宋体" w:eastAsia="宋体" w:cs="宋体"/>
          <w:color w:val="auto"/>
          <w:sz w:val="24"/>
          <w:highlight w:val="none"/>
        </w:rPr>
        <w:t xml:space="preserve">方案</w:t>
      </w:r>
      <w:r>
        <w:rPr>
          <w:rFonts w:hint="eastAsia" w:ascii="宋体" w:hAnsi="宋体" w:eastAsia="宋体" w:cs="宋体"/>
          <w:color w:val="auto"/>
          <w:sz w:val="24"/>
          <w:highlight w:val="none"/>
          <w:lang w:val="en-US" w:eastAsia="zh-CN"/>
        </w:rPr>
        <w:t xml:space="preserve">较差</w:t>
      </w:r>
      <w:r>
        <w:rPr>
          <w:rFonts w:hint="eastAsia" w:ascii="宋体" w:hAnsi="宋体" w:eastAsia="宋体" w:cs="宋体"/>
          <w:color w:val="auto"/>
          <w:sz w:val="24"/>
          <w:highlight w:val="none"/>
        </w:rPr>
        <w:t xml:space="preserve">，针对性和可操作性</w:t>
      </w:r>
      <w:r>
        <w:rPr>
          <w:rFonts w:hint="eastAsia" w:ascii="宋体" w:hAnsi="宋体" w:eastAsia="宋体" w:cs="宋体"/>
          <w:color w:val="auto"/>
          <w:sz w:val="24"/>
          <w:highlight w:val="none"/>
          <w:lang w:val="en-US" w:eastAsia="zh-CN"/>
        </w:rPr>
        <w:t xml:space="preserve">较差</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bCs/>
          <w:color w:val="auto"/>
          <w:sz w:val="24"/>
          <w:szCs w:val="24"/>
          <w:highlight w:val="none"/>
        </w:rPr>
        <w:t xml:space="preserve">未提供</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不得分。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）与</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以及其他单位、部门的综合协调方案（</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详细完整，针对性强、可操作性强，思路合理得</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较详细，针对性、可操作性较强，思路较合理得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简单，针对性、可操作性一般，思路可行性不高得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rPr>
          <w:rFonts w:hint="eastAsia" w:ascii="宋体" w:hAnsi="宋体" w:eastAsia="宋体" w:cs="宋体"/>
          <w:color w:val="auto"/>
          <w:sz w:val="24"/>
          <w:highlight w:val="none"/>
        </w:rPr>
        <w:t xml:space="preserve">方案</w:t>
      </w:r>
      <w:r>
        <w:rPr>
          <w:rFonts w:hint="eastAsia" w:ascii="宋体" w:hAnsi="宋体" w:eastAsia="宋体" w:cs="宋体"/>
          <w:color w:val="auto"/>
          <w:sz w:val="24"/>
          <w:highlight w:val="none"/>
          <w:lang w:val="en-US" w:eastAsia="zh-CN"/>
        </w:rPr>
        <w:t xml:space="preserve">较差</w:t>
      </w:r>
      <w:r>
        <w:rPr>
          <w:rFonts w:hint="eastAsia" w:ascii="宋体" w:hAnsi="宋体" w:eastAsia="宋体" w:cs="宋体"/>
          <w:color w:val="auto"/>
          <w:sz w:val="24"/>
          <w:highlight w:val="none"/>
        </w:rPr>
        <w:t xml:space="preserve">，针对性和可操作性</w:t>
      </w:r>
      <w:r>
        <w:rPr>
          <w:rFonts w:hint="eastAsia" w:ascii="宋体" w:hAnsi="宋体" w:eastAsia="宋体" w:cs="宋体"/>
          <w:color w:val="auto"/>
          <w:sz w:val="24"/>
          <w:highlight w:val="none"/>
          <w:lang w:val="en-US" w:eastAsia="zh-CN"/>
        </w:rPr>
        <w:t xml:space="preserve">较差</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bCs/>
          <w:color w:val="auto"/>
          <w:sz w:val="24"/>
          <w:szCs w:val="24"/>
          <w:highlight w:val="none"/>
        </w:rPr>
        <w:t xml:space="preserve">未提供</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不得分。</w:t>
      </w:r>
      <w:r/>
    </w:p>
    <w:p>
      <w:pPr>
        <w:pStyle w:val="743"/>
        <w:rPr>
          <w:color w:val="auto"/>
          <w:highlight w:val="none"/>
        </w:rPr>
      </w:pPr>
      <w:r>
        <w:rPr>
          <w:color w:val="auto"/>
          <w:highlight w:val="none"/>
        </w:rPr>
      </w:r>
      <w:r/>
    </w:p>
    <w:p>
      <w:pPr>
        <w:pStyle w:val="1139"/>
        <w:numPr>
          <w:ilvl w:val="0"/>
          <w:numId w:val="14"/>
        </w:numPr>
        <w:ind w:firstLine="360"/>
        <w:spacing w:before="0" w:after="0"/>
        <w:rPr>
          <w:rFonts w:hint="eastAsia" w:ascii="宋体" w:hAnsi="宋体"/>
          <w:b/>
          <w:color w:val="auto"/>
          <w:sz w:val="28"/>
          <w:szCs w:val="28"/>
          <w:highlight w:val="none"/>
        </w:rPr>
      </w:pPr>
      <w:r>
        <w:rPr>
          <w:rFonts w:hint="eastAsia" w:ascii="宋体" w:hAnsi="宋体"/>
          <w:b/>
          <w:color w:val="auto"/>
          <w:sz w:val="28"/>
          <w:szCs w:val="28"/>
          <w:highlight w:val="none"/>
        </w:rPr>
        <w:t xml:space="preserve">评分标准</w:t>
      </w:r>
      <w:r>
        <w:rPr>
          <w:rFonts w:hint="eastAsia" w:ascii="宋体" w:hAnsi="宋体"/>
          <w:b/>
          <w:color w:val="auto"/>
          <w:sz w:val="28"/>
          <w:szCs w:val="28"/>
          <w:highlight w:val="none"/>
          <w:lang w:eastAsia="zh-CN"/>
        </w:rPr>
        <w:t xml:space="preserve">（</w:t>
      </w:r>
      <w:r>
        <w:rPr>
          <w:rFonts w:hint="eastAsia" w:ascii="宋体" w:hAnsi="宋体"/>
          <w:b/>
          <w:color w:val="auto"/>
          <w:sz w:val="28"/>
          <w:szCs w:val="28"/>
          <w:highlight w:val="none"/>
          <w:lang w:val="en-US" w:eastAsia="zh-CN"/>
        </w:rPr>
        <w:t xml:space="preserve">采购包3</w:t>
      </w:r>
      <w:r>
        <w:rPr>
          <w:rFonts w:hint="eastAsia" w:ascii="宋体" w:hAnsi="宋体"/>
          <w:b/>
          <w:color w:val="auto"/>
          <w:sz w:val="28"/>
          <w:szCs w:val="28"/>
          <w:highlight w:val="none"/>
          <w:lang w:eastAsia="zh-CN"/>
        </w:rPr>
        <w:t xml:space="preserve">）</w:t>
      </w:r>
      <w:r/>
    </w:p>
    <w:p>
      <w:pPr>
        <w:ind w:firstLine="482"/>
        <w:keepLines w:val="0"/>
        <w:keepNext w:val="0"/>
        <w:pageBreakBefore w:val="0"/>
        <w:spacing w:line="360" w:lineRule="auto"/>
        <w:widowControl w:val="off"/>
        <w:tabs>
          <w:tab w:val="left" w:pos="945" w:leader="none"/>
        </w:tabs>
        <w:rPr>
          <w:rFonts w:hint="eastAsia" w:ascii="宋体" w:hAnsi="宋体" w:eastAsia="宋体" w:cs="宋体"/>
          <w:b/>
          <w:bCs w:val="0"/>
          <w:color w:val="auto"/>
          <w:sz w:val="24"/>
          <w:highlight w:val="none"/>
          <w:lang w:val="zh-CN"/>
        </w:rPr>
      </w:pPr>
      <w:r>
        <w:rPr>
          <w:rFonts w:hint="eastAsia" w:ascii="宋体" w:hAnsi="宋体" w:eastAsia="宋体" w:cs="宋体"/>
          <w:b/>
          <w:bCs w:val="0"/>
          <w:color w:val="auto"/>
          <w:sz w:val="24"/>
          <w:highlight w:val="none"/>
          <w:lang w:val="zh-CN"/>
        </w:rPr>
        <w:t xml:space="preserve">投标报价</w:t>
      </w:r>
      <w:r>
        <w:rPr>
          <w:rFonts w:hint="eastAsia" w:ascii="宋体" w:hAnsi="宋体" w:eastAsia="宋体" w:cs="宋体"/>
          <w:b/>
          <w:bCs w:val="0"/>
          <w:color w:val="auto"/>
          <w:sz w:val="24"/>
          <w:highlight w:val="none"/>
          <w:lang w:val="en-US" w:eastAsia="zh-CN"/>
        </w:rPr>
        <w:t xml:space="preserve">              20</w:t>
      </w:r>
      <w:r>
        <w:rPr>
          <w:rFonts w:hint="eastAsia" w:ascii="宋体" w:hAnsi="宋体" w:eastAsia="宋体" w:cs="宋体"/>
          <w:b/>
          <w:bCs w:val="0"/>
          <w:color w:val="auto"/>
          <w:sz w:val="24"/>
          <w:highlight w:val="none"/>
          <w:lang w:val="zh-CN"/>
        </w:rPr>
        <w:t xml:space="preserve">分</w:t>
      </w:r>
      <w:r/>
    </w:p>
    <w:p>
      <w:pPr>
        <w:pStyle w:val="742"/>
        <w:numPr>
          <w:ilvl w:val="0"/>
          <w:numId w:val="0"/>
        </w:numPr>
        <w:ind w:firstLine="482"/>
        <w:keepLines w:val="0"/>
        <w:keepNext w:val="0"/>
        <w:pageBreakBefore w:val="0"/>
        <w:spacing w:line="360" w:lineRule="auto"/>
        <w:widowControl w:val="off"/>
        <w:rPr>
          <w:rFonts w:hint="default"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 xml:space="preserve">商务部分              20分</w:t>
      </w:r>
      <w:r/>
    </w:p>
    <w:p>
      <w:pPr>
        <w:ind w:firstLine="482"/>
        <w:jc w:val="left"/>
        <w:keepLines w:val="0"/>
        <w:keepNext w:val="0"/>
        <w:pageBreakBefore w:val="0"/>
        <w:spacing w:after="0" w:line="360" w:lineRule="auto"/>
        <w:widowControl w:val="off"/>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技术</w:t>
      </w:r>
      <w:r>
        <w:rPr>
          <w:rFonts w:hint="eastAsia" w:ascii="宋体" w:hAnsi="宋体" w:eastAsia="宋体" w:cs="宋体"/>
          <w:b/>
          <w:bCs w:val="0"/>
          <w:color w:val="auto"/>
          <w:sz w:val="24"/>
          <w:szCs w:val="22"/>
          <w:highlight w:val="none"/>
          <w:lang w:val="en-US" w:eastAsia="zh-CN"/>
        </w:rPr>
        <w:t xml:space="preserve">部分</w:t>
      </w:r>
      <w:r>
        <w:rPr>
          <w:rFonts w:hint="eastAsia" w:ascii="宋体" w:hAnsi="宋体" w:eastAsia="宋体" w:cs="宋体"/>
          <w:b/>
          <w:bCs w:val="0"/>
          <w:color w:val="auto"/>
          <w:sz w:val="24"/>
          <w:szCs w:val="22"/>
          <w:highlight w:val="none"/>
        </w:rPr>
        <w:t xml:space="preserve">（服务方案）</w:t>
      </w:r>
      <w:r>
        <w:rPr>
          <w:rFonts w:hint="eastAsia" w:ascii="宋体" w:hAnsi="宋体" w:eastAsia="宋体" w:cs="宋体"/>
          <w:b/>
          <w:bCs w:val="0"/>
          <w:color w:val="auto"/>
          <w:sz w:val="24"/>
          <w:szCs w:val="22"/>
          <w:highlight w:val="none"/>
          <w:lang w:val="en-US" w:eastAsia="zh-CN"/>
        </w:rPr>
        <w:t xml:space="preserve">  60</w:t>
      </w:r>
      <w:r>
        <w:rPr>
          <w:rFonts w:hint="eastAsia" w:ascii="宋体" w:hAnsi="宋体" w:eastAsia="宋体" w:cs="宋体"/>
          <w:b/>
          <w:bCs w:val="0"/>
          <w:color w:val="auto"/>
          <w:sz w:val="24"/>
          <w:szCs w:val="22"/>
          <w:highlight w:val="none"/>
        </w:rPr>
        <w:t xml:space="preserve">分</w:t>
      </w:r>
      <w:r/>
    </w:p>
    <w:p>
      <w:pPr>
        <w:ind w:firstLine="482"/>
        <w:spacing w:line="360" w:lineRule="auto"/>
        <w:tabs>
          <w:tab w:val="left" w:pos="945" w:leader="none"/>
        </w:tabs>
        <w:rPr>
          <w:rFonts w:hint="eastAsia" w:ascii="宋体" w:hAnsi="宋体" w:eastAsia="宋体" w:cs="宋体"/>
          <w:b/>
          <w:bCs w:val="0"/>
          <w:color w:val="auto"/>
          <w:sz w:val="24"/>
          <w:highlight w:val="none"/>
          <w:lang w:val="zh-CN"/>
        </w:rPr>
      </w:pPr>
      <w:r>
        <w:rPr>
          <w:rFonts w:hint="eastAsia" w:ascii="宋体" w:hAnsi="宋体" w:eastAsia="宋体" w:cs="宋体"/>
          <w:b/>
          <w:bCs w:val="0"/>
          <w:color w:val="auto"/>
          <w:sz w:val="24"/>
          <w:highlight w:val="none"/>
          <w:lang w:val="en-US" w:eastAsia="zh-CN"/>
        </w:rPr>
        <w:t xml:space="preserve">1、</w:t>
      </w:r>
      <w:r>
        <w:rPr>
          <w:rFonts w:hint="eastAsia" w:ascii="宋体" w:hAnsi="宋体" w:eastAsia="宋体" w:cs="宋体"/>
          <w:b/>
          <w:bCs w:val="0"/>
          <w:color w:val="auto"/>
          <w:sz w:val="24"/>
          <w:highlight w:val="none"/>
          <w:lang w:val="zh-CN"/>
        </w:rPr>
        <w:t xml:space="preserve">投标报价（</w:t>
      </w:r>
      <w:r>
        <w:rPr>
          <w:rFonts w:hint="eastAsia" w:ascii="宋体" w:hAnsi="宋体" w:eastAsia="宋体" w:cs="宋体"/>
          <w:b/>
          <w:bCs w:val="0"/>
          <w:color w:val="auto"/>
          <w:sz w:val="24"/>
          <w:highlight w:val="none"/>
          <w:lang w:val="en-US" w:eastAsia="zh-CN"/>
        </w:rPr>
        <w:t xml:space="preserve">20</w:t>
      </w:r>
      <w:r>
        <w:rPr>
          <w:rFonts w:hint="eastAsia" w:ascii="宋体" w:hAnsi="宋体" w:eastAsia="宋体" w:cs="宋体"/>
          <w:b/>
          <w:bCs w:val="0"/>
          <w:color w:val="auto"/>
          <w:sz w:val="24"/>
          <w:highlight w:val="none"/>
          <w:lang w:val="zh-CN"/>
        </w:rPr>
        <w:t xml:space="preserve">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价格分采用低价优先法计算，即满足采购文件要求且有效的最低投标报价为评标基准价，其价格分为满分。其他投标供应商的价格分统一按照下列公式计算：</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投标报价得分=（评标基准价）／（投标报价）×价格权值×100，结果保留两位小数。</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关于价格扣除详见本章第二部分“一、落实政府采购政策的价格调整”。</w:t>
      </w:r>
      <w:r/>
    </w:p>
    <w:p>
      <w:pPr>
        <w:ind w:firstLine="482"/>
        <w:spacing w:line="360" w:lineRule="auto"/>
        <w:tabs>
          <w:tab w:val="left" w:pos="945" w:leader="none"/>
        </w:tabs>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2、商务部分（20分）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（1）人员配置情况（4分）                             </w:t>
      </w:r>
      <w:r/>
    </w:p>
    <w:p>
      <w:pPr>
        <w:ind w:firstLine="480"/>
        <w:spacing w:line="360" w:lineRule="auto"/>
        <w:rPr>
          <w:rFonts w:hint="eastAsia" w:ascii="宋体" w:hAnsi="宋体" w:cs="宋体"/>
          <w:bCs/>
          <w:color w:val="auto"/>
          <w:sz w:val="24"/>
          <w:szCs w:val="28"/>
          <w:highlight w:val="none"/>
        </w:rPr>
      </w:pPr>
      <w:r>
        <w:rPr>
          <w:rFonts w:hint="eastAsia" w:ascii="宋体" w:hAnsi="宋体" w:eastAsia="宋体" w:cs="宋体"/>
          <w:bCs/>
          <w:color w:val="auto"/>
          <w:sz w:val="24"/>
          <w:szCs w:val="24"/>
          <w:highlight w:val="none"/>
          <w:lang w:val="en-US" w:eastAsia="zh-CN"/>
        </w:rPr>
        <w:t xml:space="preserve">1）为本项目配置的项目组人员不得少于6人，学历均在本科及以上得1分；具备环境、电子、自动化或仪器仪表专业硕士以上学位的每个加0.5分，最高加1分。本项最高2分。</w:t>
      </w:r>
      <w:r>
        <w:rPr>
          <w:rFonts w:hint="eastAsia" w:ascii="宋体" w:hAnsi="宋体" w:cs="宋体"/>
          <w:color w:val="auto"/>
          <w:sz w:val="24"/>
          <w:szCs w:val="28"/>
          <w:highlight w:val="none"/>
        </w:rPr>
        <w:t xml:space="preserve">【提供以上人员</w:t>
      </w:r>
      <w:r>
        <w:rPr>
          <w:rFonts w:hint="eastAsia" w:ascii="宋体" w:hAnsi="宋体" w:cs="宋体"/>
          <w:color w:val="auto"/>
          <w:sz w:val="24"/>
          <w:szCs w:val="28"/>
          <w:highlight w:val="none"/>
          <w:lang w:val="en-US" w:eastAsia="zh-CN"/>
        </w:rPr>
        <w:t xml:space="preserve">身份证、证书</w:t>
      </w:r>
      <w:r>
        <w:rPr>
          <w:rFonts w:hint="eastAsia" w:ascii="宋体" w:hAnsi="宋体" w:cs="宋体"/>
          <w:color w:val="auto"/>
          <w:sz w:val="24"/>
          <w:szCs w:val="28"/>
          <w:highlight w:val="none"/>
        </w:rPr>
        <w:t xml:space="preserve">、</w:t>
      </w:r>
      <w:r>
        <w:rPr>
          <w:rFonts w:hint="eastAsia" w:ascii="宋体" w:hAnsi="宋体" w:cs="宋体"/>
          <w:color w:val="auto"/>
          <w:sz w:val="24"/>
          <w:szCs w:val="24"/>
          <w:highlight w:val="none"/>
        </w:rPr>
        <w:t xml:space="preserve">与本企业签订的劳动合同</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rPr>
        <w:t xml:space="preserve">由相关政府机构出具的</w:t>
      </w:r>
      <w:r>
        <w:rPr>
          <w:rFonts w:hint="eastAsia" w:ascii="宋体" w:hAnsi="宋体" w:cs="宋体"/>
          <w:bCs/>
          <w:color w:val="auto"/>
          <w:sz w:val="24"/>
          <w:szCs w:val="24"/>
          <w:highlight w:val="none"/>
        </w:rPr>
        <w:t xml:space="preserve">近三个月中任意一个月份</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不含</w:t>
      </w:r>
      <w:r>
        <w:rPr>
          <w:rFonts w:hint="eastAsia" w:ascii="宋体" w:hAnsi="宋体" w:cs="宋体"/>
          <w:bCs/>
          <w:color w:val="auto"/>
          <w:sz w:val="24"/>
          <w:szCs w:val="24"/>
          <w:highlight w:val="none"/>
          <w:lang w:val="en-US" w:eastAsia="zh-CN"/>
        </w:rPr>
        <w:t xml:space="preserve">投</w:t>
      </w:r>
      <w:r>
        <w:rPr>
          <w:rFonts w:hint="eastAsia" w:ascii="宋体" w:hAnsi="宋体" w:cs="宋体"/>
          <w:bCs/>
          <w:color w:val="auto"/>
          <w:sz w:val="24"/>
          <w:szCs w:val="24"/>
          <w:highlight w:val="none"/>
        </w:rPr>
        <w:t xml:space="preserve">标当月</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缴纳社保</w:t>
      </w:r>
      <w:r>
        <w:rPr>
          <w:rFonts w:hint="eastAsia" w:ascii="宋体" w:hAnsi="宋体" w:cs="宋体"/>
          <w:color w:val="auto"/>
          <w:sz w:val="24"/>
          <w:szCs w:val="24"/>
          <w:highlight w:val="none"/>
        </w:rPr>
        <w:t xml:space="preserve">证明</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以上证明资料扫描件上传至投标系统并加盖公章，未提供或提供不符合要求不得分</w:t>
      </w:r>
      <w:r>
        <w:rPr>
          <w:rFonts w:hint="eastAsia" w:ascii="宋体" w:hAnsi="宋体" w:cs="宋体"/>
          <w:bCs/>
          <w:color w:val="auto"/>
          <w:sz w:val="24"/>
          <w:szCs w:val="28"/>
          <w:highlight w:val="none"/>
        </w:rPr>
        <w:t xml:space="preserve">】</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项目组人员上岗培训情况：为本项目配置的项目组人员能熟练操作各项自动监测分析仪器及质控设备，具有省级及以上颁发的自动监测上岗证或培训合格证每人得0.5分，具备环保类专业技术高级及以上职称的每人得0.5分，本项最高2分。</w:t>
      </w:r>
      <w:r>
        <w:rPr>
          <w:rFonts w:hint="eastAsia" w:ascii="宋体" w:hAnsi="宋体" w:cs="宋体"/>
          <w:color w:val="auto"/>
          <w:sz w:val="24"/>
          <w:szCs w:val="28"/>
          <w:highlight w:val="none"/>
        </w:rPr>
        <w:t xml:space="preserve">【提供以上人员</w:t>
      </w:r>
      <w:r>
        <w:rPr>
          <w:rFonts w:hint="eastAsia" w:ascii="宋体" w:hAnsi="宋体" w:cs="宋体"/>
          <w:color w:val="auto"/>
          <w:sz w:val="24"/>
          <w:szCs w:val="28"/>
          <w:highlight w:val="none"/>
          <w:lang w:val="en-US" w:eastAsia="zh-CN"/>
        </w:rPr>
        <w:t xml:space="preserve">身份证、证书</w:t>
      </w:r>
      <w:r>
        <w:rPr>
          <w:rFonts w:hint="eastAsia" w:ascii="宋体" w:hAnsi="宋体" w:cs="宋体"/>
          <w:color w:val="auto"/>
          <w:sz w:val="24"/>
          <w:szCs w:val="28"/>
          <w:highlight w:val="none"/>
        </w:rPr>
        <w:t xml:space="preserve">、</w:t>
      </w:r>
      <w:r>
        <w:rPr>
          <w:rFonts w:hint="eastAsia" w:ascii="宋体" w:hAnsi="宋体" w:cs="宋体"/>
          <w:color w:val="auto"/>
          <w:sz w:val="24"/>
          <w:szCs w:val="24"/>
          <w:highlight w:val="none"/>
        </w:rPr>
        <w:t xml:space="preserve">与本企业签订的劳动合同</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rPr>
        <w:t xml:space="preserve">由相关政府机构出具的</w:t>
      </w:r>
      <w:r>
        <w:rPr>
          <w:rFonts w:hint="eastAsia" w:ascii="宋体" w:hAnsi="宋体" w:cs="宋体"/>
          <w:bCs/>
          <w:color w:val="auto"/>
          <w:sz w:val="24"/>
          <w:szCs w:val="24"/>
          <w:highlight w:val="none"/>
        </w:rPr>
        <w:t xml:space="preserve">近三个月中任意一个月份</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不含</w:t>
      </w:r>
      <w:r>
        <w:rPr>
          <w:rFonts w:hint="eastAsia" w:ascii="宋体" w:hAnsi="宋体" w:cs="宋体"/>
          <w:bCs/>
          <w:color w:val="auto"/>
          <w:sz w:val="24"/>
          <w:szCs w:val="24"/>
          <w:highlight w:val="none"/>
          <w:lang w:val="en-US" w:eastAsia="zh-CN"/>
        </w:rPr>
        <w:t xml:space="preserve">投</w:t>
      </w:r>
      <w:r>
        <w:rPr>
          <w:rFonts w:hint="eastAsia" w:ascii="宋体" w:hAnsi="宋体" w:cs="宋体"/>
          <w:bCs/>
          <w:color w:val="auto"/>
          <w:sz w:val="24"/>
          <w:szCs w:val="24"/>
          <w:highlight w:val="none"/>
        </w:rPr>
        <w:t xml:space="preserve">标当月</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缴纳社保</w:t>
      </w:r>
      <w:r>
        <w:rPr>
          <w:rFonts w:hint="eastAsia" w:ascii="宋体" w:hAnsi="宋体" w:cs="宋体"/>
          <w:color w:val="auto"/>
          <w:sz w:val="24"/>
          <w:szCs w:val="24"/>
          <w:highlight w:val="none"/>
        </w:rPr>
        <w:t xml:space="preserve">证明</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以上证明资料扫描件上传至投标系统并加盖公章，未提供或提供不符合要求不得分</w:t>
      </w:r>
      <w:r>
        <w:rPr>
          <w:rFonts w:hint="eastAsia" w:ascii="宋体" w:hAnsi="宋体" w:cs="宋体"/>
          <w:bCs/>
          <w:color w:val="auto"/>
          <w:sz w:val="24"/>
          <w:szCs w:val="28"/>
          <w:highlight w:val="none"/>
        </w:rPr>
        <w:t xml:space="preserve">】</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（2）核查用设备与标准品（4分）</w:t>
      </w:r>
      <w:r/>
    </w:p>
    <w:p>
      <w:pPr>
        <w:ind w:firstLine="480"/>
        <w:spacing w:line="360" w:lineRule="auto"/>
        <w:tabs>
          <w:tab w:val="left" w:pos="945" w:leader="none"/>
          <w:tab w:val="left" w:pos="1155" w:leader="none"/>
        </w:tabs>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供应商配备核查用设备与标准品1套的得2分；配备的质控核查设备在检定或校准有效期内的，每台设备加0.5分，最高加1分。需提供仪器照片、出厂编号及检定或校准证书；为本项目配备的用于水站质控的有证标准物质得1分，提供采购证明材料。【提供</w:t>
      </w:r>
      <w:r>
        <w:rPr>
          <w:rFonts w:hint="eastAsia" w:ascii="宋体" w:hAnsi="宋体" w:cs="宋体"/>
          <w:bCs/>
          <w:color w:val="auto"/>
          <w:sz w:val="24"/>
          <w:szCs w:val="24"/>
          <w:highlight w:val="none"/>
          <w:lang w:val="en-US" w:eastAsia="zh-CN"/>
        </w:rPr>
        <w:t xml:space="preserve">以上证明资料扫描件上传至投标系统并加盖公章，未提供或提供不符合要求不得分</w:t>
      </w:r>
      <w:r>
        <w:rPr>
          <w:rFonts w:hint="eastAsia" w:ascii="宋体" w:hAnsi="宋体" w:eastAsia="宋体" w:cs="宋体"/>
          <w:bCs/>
          <w:color w:val="auto"/>
          <w:sz w:val="24"/>
          <w:szCs w:val="24"/>
          <w:highlight w:val="none"/>
          <w:lang w:val="en-US" w:eastAsia="zh-CN"/>
        </w:rPr>
        <w:t xml:space="preserve">】</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（3）专用车辆（1分）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满足采购文件专用车辆要求的不得分，每增加1辆得0.5分，最高得1分。【提供车辆照片、购置车辆发票或租赁证明等，以上证明材料</w:t>
      </w:r>
      <w:r>
        <w:rPr>
          <w:rFonts w:hint="eastAsia" w:ascii="宋体" w:hAnsi="宋体" w:cs="宋体"/>
          <w:bCs/>
          <w:color w:val="auto"/>
          <w:sz w:val="24"/>
          <w:szCs w:val="24"/>
          <w:highlight w:val="none"/>
          <w:lang w:val="en-US" w:eastAsia="zh-CN"/>
        </w:rPr>
        <w:t xml:space="preserve">扫描件上传至投标系统并加盖公章，未提供或提供不符合要求不得分</w:t>
      </w:r>
      <w:r>
        <w:rPr>
          <w:rFonts w:hint="eastAsia" w:ascii="宋体" w:hAnsi="宋体" w:eastAsia="宋体" w:cs="宋体"/>
          <w:bCs/>
          <w:color w:val="auto"/>
          <w:sz w:val="24"/>
          <w:szCs w:val="24"/>
          <w:highlight w:val="none"/>
          <w:lang w:val="en-US" w:eastAsia="zh-CN"/>
        </w:rPr>
        <w:t xml:space="preserve">】</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（4）综合能力（11分）                                  </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1）承担或参与过市级或省级以上水质自动站运行管理办法、质量管理技术规范等的制定，每项1分，最高得3分。【提供有效证明文件</w:t>
      </w:r>
      <w:r>
        <w:rPr>
          <w:rFonts w:hint="eastAsia" w:ascii="宋体" w:hAnsi="宋体" w:cs="宋体"/>
          <w:bCs/>
          <w:color w:val="auto"/>
          <w:sz w:val="24"/>
          <w:szCs w:val="24"/>
          <w:highlight w:val="none"/>
          <w:lang w:val="en-US" w:eastAsia="zh-CN"/>
        </w:rPr>
        <w:t xml:space="preserve">扫描件上传至投标系统并加盖公章，未提供或提供不符合要求不得分</w:t>
      </w:r>
      <w:r>
        <w:rPr>
          <w:rFonts w:hint="eastAsia" w:ascii="宋体" w:hAnsi="宋体" w:eastAsia="宋体" w:cs="宋体"/>
          <w:bCs/>
          <w:color w:val="auto"/>
          <w:sz w:val="24"/>
          <w:szCs w:val="24"/>
          <w:highlight w:val="none"/>
          <w:lang w:val="en-US" w:eastAsia="zh-CN"/>
        </w:rPr>
        <w:t xml:space="preserve">】</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2）承担过省级或以上水质自动监测领域的有关科研课题的，每项1分，最高得3分。【提供有效证明文件</w:t>
      </w:r>
      <w:r>
        <w:rPr>
          <w:rFonts w:hint="eastAsia" w:ascii="宋体" w:hAnsi="宋体" w:cs="宋体"/>
          <w:bCs/>
          <w:color w:val="auto"/>
          <w:sz w:val="24"/>
          <w:szCs w:val="24"/>
          <w:highlight w:val="none"/>
          <w:lang w:val="en-US" w:eastAsia="zh-CN"/>
        </w:rPr>
        <w:t xml:space="preserve">扫描件上传至投标系统并加盖公章，未提供或提供不符合要求不得分</w:t>
      </w:r>
      <w:r>
        <w:rPr>
          <w:rFonts w:hint="eastAsia" w:ascii="宋体" w:hAnsi="宋体" w:eastAsia="宋体" w:cs="宋体"/>
          <w:bCs/>
          <w:color w:val="auto"/>
          <w:sz w:val="24"/>
          <w:szCs w:val="24"/>
          <w:highlight w:val="none"/>
          <w:lang w:val="en-US" w:eastAsia="zh-CN"/>
        </w:rPr>
        <w:t xml:space="preserve">】</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3）近三年内（2022-2024）获得环保系统主管部门表彰的，每项1分，最高得3分。【提供有效证明文件</w:t>
      </w:r>
      <w:r>
        <w:rPr>
          <w:rFonts w:hint="eastAsia" w:ascii="宋体" w:hAnsi="宋体" w:cs="宋体"/>
          <w:bCs/>
          <w:color w:val="auto"/>
          <w:sz w:val="24"/>
          <w:szCs w:val="24"/>
          <w:highlight w:val="none"/>
          <w:lang w:val="en-US" w:eastAsia="zh-CN"/>
        </w:rPr>
        <w:t xml:space="preserve">扫描件上传至投标系统并加盖公章，未提供或提供不符合要求不得分</w:t>
      </w:r>
      <w:r>
        <w:rPr>
          <w:rFonts w:hint="eastAsia" w:ascii="宋体" w:hAnsi="宋体" w:eastAsia="宋体" w:cs="宋体"/>
          <w:bCs/>
          <w:color w:val="auto"/>
          <w:sz w:val="24"/>
          <w:szCs w:val="24"/>
          <w:highlight w:val="none"/>
          <w:lang w:val="en-US" w:eastAsia="zh-CN"/>
        </w:rPr>
        <w:t xml:space="preserve">】</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4）类似项目业绩（2分）</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2022年1月1日（以合同签订日期为准）至今承担的与本项目类似的环境地表水自动监测站第三方运维质控核查项目业绩，每个得1分，最高得2分。</w:t>
      </w:r>
      <w:r>
        <w:rPr>
          <w:rFonts w:hint="eastAsia" w:ascii="宋体" w:hAnsi="宋体" w:cs="宋体"/>
          <w:color w:val="auto"/>
          <w:sz w:val="24"/>
          <w:szCs w:val="28"/>
          <w:highlight w:val="none"/>
        </w:rPr>
        <w:t xml:space="preserve">【提供</w:t>
      </w:r>
      <w:r>
        <w:rPr>
          <w:rFonts w:hint="eastAsia" w:ascii="宋体" w:hAnsi="宋体" w:cs="宋体"/>
          <w:color w:val="auto"/>
          <w:sz w:val="24"/>
          <w:szCs w:val="28"/>
          <w:highlight w:val="none"/>
          <w:lang w:val="en-US" w:eastAsia="zh-CN"/>
        </w:rPr>
        <w:t xml:space="preserve">中标（成交）</w:t>
      </w:r>
      <w:r>
        <w:rPr>
          <w:rFonts w:hint="eastAsia" w:ascii="宋体" w:hAnsi="宋体" w:cs="宋体"/>
          <w:color w:val="auto"/>
          <w:sz w:val="24"/>
          <w:szCs w:val="28"/>
          <w:highlight w:val="none"/>
        </w:rPr>
        <w:t xml:space="preserve">通知书或业绩合同</w:t>
      </w:r>
      <w:r>
        <w:rPr>
          <w:rFonts w:hint="eastAsia" w:ascii="宋体" w:hAnsi="宋体" w:cs="宋体"/>
          <w:bCs/>
          <w:color w:val="auto"/>
          <w:sz w:val="24"/>
          <w:szCs w:val="24"/>
          <w:highlight w:val="none"/>
          <w:lang w:val="en-US" w:eastAsia="zh-CN"/>
        </w:rPr>
        <w:t xml:space="preserve">扫描件上传至投标系统并加盖公章，未提供或提供不符合要求不得分</w:t>
      </w:r>
      <w:r>
        <w:rPr>
          <w:rFonts w:hint="eastAsia" w:ascii="宋体" w:hAnsi="宋体" w:cs="宋体"/>
          <w:color w:val="auto"/>
          <w:sz w:val="24"/>
          <w:szCs w:val="28"/>
          <w:highlight w:val="none"/>
        </w:rPr>
        <w:t xml:space="preserve">】</w:t>
      </w:r>
      <w:r/>
    </w:p>
    <w:p>
      <w:pPr>
        <w:ind w:firstLine="482"/>
        <w:spacing w:line="360" w:lineRule="auto"/>
        <w:tabs>
          <w:tab w:val="left" w:pos="945" w:leader="none"/>
        </w:tabs>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3、技术部分（服务方案）（60分）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（1）质控方案（10分）：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根据投标人提供的针对水质自动站运维质量监督的完整性、可行性、针对性等情况评分：方案</w:t>
      </w:r>
      <w:r>
        <w:rPr>
          <w:rFonts w:hint="eastAsia" w:ascii="宋体" w:hAnsi="宋体" w:eastAsia="宋体" w:cs="宋体"/>
          <w:bCs/>
          <w:color w:val="auto"/>
          <w:sz w:val="24"/>
          <w:szCs w:val="24"/>
          <w:highlight w:val="none"/>
        </w:rPr>
        <w:t xml:space="preserve">详细完整，针对性强、可操作性强，思路合理得</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较详细，针对性、可操作性较强，思路较合理得</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简单，针对性、可操作性一般，思路可行性不高得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rPr>
          <w:rFonts w:hint="eastAsia" w:ascii="宋体" w:hAnsi="宋体" w:eastAsia="宋体" w:cs="宋体"/>
          <w:color w:val="auto"/>
          <w:sz w:val="24"/>
          <w:highlight w:val="none"/>
        </w:rPr>
        <w:t xml:space="preserve">方案</w:t>
      </w:r>
      <w:r>
        <w:rPr>
          <w:rFonts w:hint="eastAsia" w:ascii="宋体" w:hAnsi="宋体" w:eastAsia="宋体" w:cs="宋体"/>
          <w:color w:val="auto"/>
          <w:sz w:val="24"/>
          <w:highlight w:val="none"/>
          <w:lang w:val="en-US" w:eastAsia="zh-CN"/>
        </w:rPr>
        <w:t xml:space="preserve">较差</w:t>
      </w:r>
      <w:r>
        <w:rPr>
          <w:rFonts w:hint="eastAsia" w:ascii="宋体" w:hAnsi="宋体" w:eastAsia="宋体" w:cs="宋体"/>
          <w:color w:val="auto"/>
          <w:sz w:val="24"/>
          <w:highlight w:val="none"/>
        </w:rPr>
        <w:t xml:space="preserve">，针对性和可操作性</w:t>
      </w:r>
      <w:r>
        <w:rPr>
          <w:rFonts w:hint="eastAsia" w:ascii="宋体" w:hAnsi="宋体" w:eastAsia="宋体" w:cs="宋体"/>
          <w:color w:val="auto"/>
          <w:sz w:val="24"/>
          <w:highlight w:val="none"/>
          <w:lang w:val="en-US" w:eastAsia="zh-CN"/>
        </w:rPr>
        <w:t xml:space="preserve">较差</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bCs/>
          <w:color w:val="auto"/>
          <w:sz w:val="24"/>
          <w:szCs w:val="24"/>
          <w:highlight w:val="none"/>
        </w:rPr>
        <w:t xml:space="preserve">未提供</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不得分。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（2）质控核查工作方案（10分）：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根据投标人提供的针对水质自动站运维质控核查工作方案的完整性、可行性、针对性等情况评分：方案</w:t>
      </w:r>
      <w:r>
        <w:rPr>
          <w:rFonts w:hint="eastAsia" w:ascii="宋体" w:hAnsi="宋体" w:eastAsia="宋体" w:cs="宋体"/>
          <w:bCs/>
          <w:color w:val="auto"/>
          <w:sz w:val="24"/>
          <w:szCs w:val="24"/>
          <w:highlight w:val="none"/>
        </w:rPr>
        <w:t xml:space="preserve">详细完整，针对性强、可操作性强，思路合理得</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较详细，针对性、可操作性较强，思路较合理得</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简单，针对性、可操作性一般，思路可行性不高得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rPr>
          <w:rFonts w:hint="eastAsia" w:ascii="宋体" w:hAnsi="宋体" w:eastAsia="宋体" w:cs="宋体"/>
          <w:color w:val="auto"/>
          <w:sz w:val="24"/>
          <w:highlight w:val="none"/>
        </w:rPr>
        <w:t xml:space="preserve">方案</w:t>
      </w:r>
      <w:r>
        <w:rPr>
          <w:rFonts w:hint="eastAsia" w:ascii="宋体" w:hAnsi="宋体" w:eastAsia="宋体" w:cs="宋体"/>
          <w:color w:val="auto"/>
          <w:sz w:val="24"/>
          <w:highlight w:val="none"/>
          <w:lang w:val="en-US" w:eastAsia="zh-CN"/>
        </w:rPr>
        <w:t xml:space="preserve">较差</w:t>
      </w:r>
      <w:r>
        <w:rPr>
          <w:rFonts w:hint="eastAsia" w:ascii="宋体" w:hAnsi="宋体" w:eastAsia="宋体" w:cs="宋体"/>
          <w:color w:val="auto"/>
          <w:sz w:val="24"/>
          <w:highlight w:val="none"/>
        </w:rPr>
        <w:t xml:space="preserve">，针对性和可操作性</w:t>
      </w:r>
      <w:r>
        <w:rPr>
          <w:rFonts w:hint="eastAsia" w:ascii="宋体" w:hAnsi="宋体" w:eastAsia="宋体" w:cs="宋体"/>
          <w:color w:val="auto"/>
          <w:sz w:val="24"/>
          <w:highlight w:val="none"/>
          <w:lang w:val="en-US" w:eastAsia="zh-CN"/>
        </w:rPr>
        <w:t xml:space="preserve">较差</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bCs/>
          <w:color w:val="auto"/>
          <w:sz w:val="24"/>
          <w:szCs w:val="24"/>
          <w:highlight w:val="none"/>
        </w:rPr>
        <w:t xml:space="preserve">未提供</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不得分。</w:t>
      </w:r>
      <w:r/>
    </w:p>
    <w:p>
      <w:pPr>
        <w:ind w:firstLine="480"/>
        <w:spacing w:line="360" w:lineRule="auto"/>
        <w:tabs>
          <w:tab w:val="left" w:pos="945"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（3）针对本项目的人员车辆配置、技术支撑能力等（10分）：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详细完整，针对性强、可操作性强，思路合理得</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较详细，针对性、可操作性较强，思路较合理得</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简单，针对性、可操作性一般，思路可行性不高得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rPr>
          <w:rFonts w:hint="eastAsia" w:ascii="宋体" w:hAnsi="宋体" w:eastAsia="宋体" w:cs="宋体"/>
          <w:color w:val="auto"/>
          <w:sz w:val="24"/>
          <w:highlight w:val="none"/>
        </w:rPr>
        <w:t xml:space="preserve">方案</w:t>
      </w:r>
      <w:r>
        <w:rPr>
          <w:rFonts w:hint="eastAsia" w:ascii="宋体" w:hAnsi="宋体" w:eastAsia="宋体" w:cs="宋体"/>
          <w:color w:val="auto"/>
          <w:sz w:val="24"/>
          <w:highlight w:val="none"/>
          <w:lang w:val="en-US" w:eastAsia="zh-CN"/>
        </w:rPr>
        <w:t xml:space="preserve">较差</w:t>
      </w:r>
      <w:r>
        <w:rPr>
          <w:rFonts w:hint="eastAsia" w:ascii="宋体" w:hAnsi="宋体" w:eastAsia="宋体" w:cs="宋体"/>
          <w:color w:val="auto"/>
          <w:sz w:val="24"/>
          <w:highlight w:val="none"/>
        </w:rPr>
        <w:t xml:space="preserve">，针对性和可操作性</w:t>
      </w:r>
      <w:r>
        <w:rPr>
          <w:rFonts w:hint="eastAsia" w:ascii="宋体" w:hAnsi="宋体" w:eastAsia="宋体" w:cs="宋体"/>
          <w:color w:val="auto"/>
          <w:sz w:val="24"/>
          <w:highlight w:val="none"/>
          <w:lang w:val="en-US" w:eastAsia="zh-CN"/>
        </w:rPr>
        <w:t xml:space="preserve">较差</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bCs/>
          <w:color w:val="auto"/>
          <w:sz w:val="24"/>
          <w:szCs w:val="24"/>
          <w:highlight w:val="none"/>
        </w:rPr>
        <w:t xml:space="preserve">未提供</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不得分。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（4）针对本项目的进度安排（10分）：                                                        </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根据供应商提供的项目进度计划安排、服务周期内项目进度等综合评分：方案</w:t>
      </w:r>
      <w:r>
        <w:rPr>
          <w:rFonts w:hint="eastAsia" w:ascii="宋体" w:hAnsi="宋体" w:eastAsia="宋体" w:cs="宋体"/>
          <w:bCs/>
          <w:color w:val="auto"/>
          <w:sz w:val="24"/>
          <w:szCs w:val="24"/>
          <w:highlight w:val="none"/>
        </w:rPr>
        <w:t xml:space="preserve">详细完整，针对性强、可操作性强，思路合理得</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较详细，针对性、可操作性较强，思路较合理得</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简单，针对性、可操作性一般，思路可行性不高得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rPr>
          <w:rFonts w:hint="eastAsia" w:ascii="宋体" w:hAnsi="宋体" w:eastAsia="宋体" w:cs="宋体"/>
          <w:color w:val="auto"/>
          <w:sz w:val="24"/>
          <w:highlight w:val="none"/>
        </w:rPr>
        <w:t xml:space="preserve">方案</w:t>
      </w:r>
      <w:r>
        <w:rPr>
          <w:rFonts w:hint="eastAsia" w:ascii="宋体" w:hAnsi="宋体" w:eastAsia="宋体" w:cs="宋体"/>
          <w:color w:val="auto"/>
          <w:sz w:val="24"/>
          <w:highlight w:val="none"/>
          <w:lang w:val="en-US" w:eastAsia="zh-CN"/>
        </w:rPr>
        <w:t xml:space="preserve">较差</w:t>
      </w:r>
      <w:r>
        <w:rPr>
          <w:rFonts w:hint="eastAsia" w:ascii="宋体" w:hAnsi="宋体" w:eastAsia="宋体" w:cs="宋体"/>
          <w:color w:val="auto"/>
          <w:sz w:val="24"/>
          <w:highlight w:val="none"/>
        </w:rPr>
        <w:t xml:space="preserve">，针对性和可操作性</w:t>
      </w:r>
      <w:r>
        <w:rPr>
          <w:rFonts w:hint="eastAsia" w:ascii="宋体" w:hAnsi="宋体" w:eastAsia="宋体" w:cs="宋体"/>
          <w:color w:val="auto"/>
          <w:sz w:val="24"/>
          <w:highlight w:val="none"/>
          <w:lang w:val="en-US" w:eastAsia="zh-CN"/>
        </w:rPr>
        <w:t xml:space="preserve">较差</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bCs/>
          <w:color w:val="auto"/>
          <w:sz w:val="24"/>
          <w:szCs w:val="24"/>
          <w:highlight w:val="none"/>
        </w:rPr>
        <w:t xml:space="preserve">未提供</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不得分。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（5）针对本项目的质量保证措施（10分）：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措施</w:t>
      </w:r>
      <w:r>
        <w:rPr>
          <w:rFonts w:hint="eastAsia" w:ascii="宋体" w:hAnsi="宋体" w:eastAsia="宋体" w:cs="宋体"/>
          <w:bCs/>
          <w:color w:val="auto"/>
          <w:sz w:val="24"/>
          <w:szCs w:val="24"/>
          <w:highlight w:val="none"/>
        </w:rPr>
        <w:t xml:space="preserve">详细完整，针对性强、可操作性强，思路合理得</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措施</w:t>
      </w:r>
      <w:r>
        <w:rPr>
          <w:rFonts w:hint="eastAsia" w:ascii="宋体" w:hAnsi="宋体" w:eastAsia="宋体" w:cs="宋体"/>
          <w:bCs/>
          <w:color w:val="auto"/>
          <w:sz w:val="24"/>
          <w:szCs w:val="24"/>
          <w:highlight w:val="none"/>
        </w:rPr>
        <w:t xml:space="preserve">较详细，针对性、可操作性较强，思路较合理得</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简单，针对性、可操作性一般，思路可行性不高得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措施</w:t>
      </w:r>
      <w:r>
        <w:rPr>
          <w:rFonts w:hint="eastAsia" w:ascii="宋体" w:hAnsi="宋体" w:eastAsia="宋体" w:cs="宋体"/>
          <w:color w:val="auto"/>
          <w:sz w:val="24"/>
          <w:highlight w:val="none"/>
          <w:lang w:val="en-US" w:eastAsia="zh-CN"/>
        </w:rPr>
        <w:t xml:space="preserve">较差</w:t>
      </w:r>
      <w:r>
        <w:rPr>
          <w:rFonts w:hint="eastAsia" w:ascii="宋体" w:hAnsi="宋体" w:eastAsia="宋体" w:cs="宋体"/>
          <w:color w:val="auto"/>
          <w:sz w:val="24"/>
          <w:highlight w:val="none"/>
        </w:rPr>
        <w:t xml:space="preserve">，针对性和可操作性</w:t>
      </w:r>
      <w:r>
        <w:rPr>
          <w:rFonts w:hint="eastAsia" w:ascii="宋体" w:hAnsi="宋体" w:eastAsia="宋体" w:cs="宋体"/>
          <w:color w:val="auto"/>
          <w:sz w:val="24"/>
          <w:highlight w:val="none"/>
          <w:lang w:val="en-US" w:eastAsia="zh-CN"/>
        </w:rPr>
        <w:t xml:space="preserve">较差</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bCs/>
          <w:color w:val="auto"/>
          <w:sz w:val="24"/>
          <w:szCs w:val="24"/>
          <w:highlight w:val="none"/>
        </w:rPr>
        <w:t xml:space="preserve">未提供</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不得分。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（6）应急预案（10分）：                                                                           </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根据投标人提供的运维质控检查应急预案有效性、完整性评分，应急预案是否对质控期间如出现严重影响系统运行和数据质量的重大问题时，是否具备有效的措施，并制定了异常数据监控制度和处理处置方法。</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详细完整，针对性强、可操作性强，思路合理得</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较详细，针对性、可操作性较强，思路较合理得</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简单，针对性、可操作性一般，思路可行性不高得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rPr>
          <w:rFonts w:hint="eastAsia" w:ascii="宋体" w:hAnsi="宋体" w:eastAsia="宋体" w:cs="宋体"/>
          <w:color w:val="auto"/>
          <w:sz w:val="24"/>
          <w:highlight w:val="none"/>
        </w:rPr>
        <w:t xml:space="preserve">方案</w:t>
      </w:r>
      <w:r>
        <w:rPr>
          <w:rFonts w:hint="eastAsia" w:ascii="宋体" w:hAnsi="宋体" w:eastAsia="宋体" w:cs="宋体"/>
          <w:color w:val="auto"/>
          <w:sz w:val="24"/>
          <w:highlight w:val="none"/>
          <w:lang w:val="en-US" w:eastAsia="zh-CN"/>
        </w:rPr>
        <w:t xml:space="preserve">较差</w:t>
      </w:r>
      <w:r>
        <w:rPr>
          <w:rFonts w:hint="eastAsia" w:ascii="宋体" w:hAnsi="宋体" w:eastAsia="宋体" w:cs="宋体"/>
          <w:color w:val="auto"/>
          <w:sz w:val="24"/>
          <w:highlight w:val="none"/>
        </w:rPr>
        <w:t xml:space="preserve">，针对性和可操作性</w:t>
      </w:r>
      <w:r>
        <w:rPr>
          <w:rFonts w:hint="eastAsia" w:ascii="宋体" w:hAnsi="宋体" w:eastAsia="宋体" w:cs="宋体"/>
          <w:color w:val="auto"/>
          <w:sz w:val="24"/>
          <w:highlight w:val="none"/>
          <w:lang w:val="en-US" w:eastAsia="zh-CN"/>
        </w:rPr>
        <w:t xml:space="preserve">较差</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bCs/>
          <w:color w:val="auto"/>
          <w:sz w:val="24"/>
          <w:szCs w:val="24"/>
          <w:highlight w:val="none"/>
        </w:rPr>
        <w:t xml:space="preserve">未提供</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不得分。</w:t>
      </w:r>
      <w:r/>
    </w:p>
    <w:p>
      <w:pPr>
        <w:ind w:firstLine="720"/>
        <w:spacing w:line="360" w:lineRule="auto"/>
        <w:tabs>
          <w:tab w:val="left" w:pos="945" w:leader="none"/>
          <w:tab w:val="left" w:pos="1140" w:leader="none"/>
        </w:tabs>
        <w:rPr>
          <w:rFonts w:hint="eastAsia" w:ascii="黑体" w:eastAsia="黑体"/>
          <w:bCs/>
          <w:color w:val="auto"/>
          <w:sz w:val="36"/>
          <w:szCs w:val="36"/>
          <w:highlight w:val="none"/>
        </w:rPr>
      </w:pPr>
      <w:r>
        <w:rPr>
          <w:rFonts w:hint="eastAsia" w:ascii="黑体" w:eastAsia="黑体"/>
          <w:bCs/>
          <w:color w:val="auto"/>
          <w:sz w:val="36"/>
          <w:szCs w:val="36"/>
          <w:highlight w:val="none"/>
        </w:rPr>
        <w:br w:type="page" w:clear="all"/>
      </w:r>
      <w:r/>
    </w:p>
    <w:p>
      <w:pPr>
        <w:jc w:val="center"/>
        <w:spacing w:line="360" w:lineRule="auto"/>
        <w:rPr>
          <w:rFonts w:ascii="黑体" w:eastAsia="黑体"/>
          <w:bCs/>
          <w:color w:val="auto"/>
          <w:sz w:val="36"/>
          <w:szCs w:val="36"/>
          <w:highlight w:val="none"/>
        </w:rPr>
      </w:pPr>
      <w:r>
        <w:rPr>
          <w:rFonts w:hint="eastAsia" w:ascii="黑体" w:eastAsia="黑体"/>
          <w:bCs/>
          <w:color w:val="auto"/>
          <w:sz w:val="36"/>
          <w:szCs w:val="36"/>
          <w:highlight w:val="none"/>
        </w:rPr>
        <w:t xml:space="preserve">第六章  </w:t>
      </w:r>
      <w:bookmarkEnd w:id="142"/>
      <w:r/>
      <w:bookmarkEnd w:id="143"/>
      <w:r/>
      <w:bookmarkEnd w:id="144"/>
      <w:r>
        <w:rPr>
          <w:rFonts w:hint="eastAsia" w:ascii="黑体" w:eastAsia="黑体"/>
          <w:bCs/>
          <w:color w:val="auto"/>
          <w:sz w:val="36"/>
          <w:szCs w:val="36"/>
          <w:highlight w:val="none"/>
        </w:rPr>
        <w:t xml:space="preserve">投标文件内容与格式</w:t>
      </w:r>
      <w:r/>
    </w:p>
    <w:p>
      <w:pPr>
        <w:pStyle w:val="1139"/>
        <w:ind w:firstLine="602"/>
        <w:spacing w:before="0" w:after="0"/>
        <w:rPr>
          <w:rFonts w:cs="Arial"/>
          <w:b/>
          <w:color w:val="auto"/>
          <w:sz w:val="30"/>
          <w:szCs w:val="30"/>
          <w:highlight w:val="none"/>
        </w:rPr>
      </w:pPr>
      <w:r/>
      <w:bookmarkStart w:id="159" w:name="_Hlt26955039"/>
      <w:r/>
      <w:bookmarkEnd w:id="159"/>
      <w:r/>
      <w:bookmarkStart w:id="160" w:name="_Hlt26671244"/>
      <w:r/>
      <w:bookmarkEnd w:id="160"/>
      <w:r>
        <w:rPr>
          <w:rFonts w:hint="eastAsia" w:cs="Arial"/>
          <w:b/>
          <w:color w:val="auto"/>
          <w:sz w:val="30"/>
          <w:szCs w:val="30"/>
          <w:highlight w:val="none"/>
        </w:rPr>
        <w:t xml:space="preserve">第一部分投标文件内容</w:t>
      </w:r>
      <w:r/>
    </w:p>
    <w:p>
      <w:pPr>
        <w:pStyle w:val="1139"/>
        <w:ind w:firstLine="0"/>
        <w:spacing w:before="0" w:after="0"/>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36"/>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139"/>
              <w:ind w:firstLine="0"/>
              <w:jc w:val="center"/>
              <w:spacing w:before="0" w:after="0"/>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139"/>
              <w:jc w:val="center"/>
              <w:spacing w:before="0" w:after="0"/>
              <w:rPr>
                <w:rFonts w:hint="eastAsia"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1139"/>
              <w:ind w:firstLine="0"/>
              <w:jc w:val="center"/>
              <w:spacing w:before="0" w:after="0"/>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139"/>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139"/>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w:t>
            </w:r>
            <w:r>
              <w:rPr>
                <w:rFonts w:hint="eastAsia" w:ascii="宋体" w:hAnsi="宋体" w:cs="宋体"/>
                <w:color w:val="auto"/>
                <w:highlight w:val="none"/>
                <w:lang w:eastAsia="zh-CN"/>
              </w:rPr>
              <w:t xml:space="preserve">如</w:t>
            </w:r>
            <w:r>
              <w:rPr>
                <w:rFonts w:hint="eastAsia" w:ascii="宋体" w:hAnsi="宋体" w:cs="宋体"/>
                <w:color w:val="auto"/>
                <w:highlight w:val="none"/>
              </w:rPr>
              <w:t xml:space="preserve">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139"/>
              <w:ind w:firstLine="0"/>
              <w:spacing w:before="0" w:after="0"/>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139"/>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139"/>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139"/>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1139"/>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139"/>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投标人近</w:t>
            </w:r>
            <w:r>
              <w:rPr>
                <w:rFonts w:hint="eastAsia" w:ascii="宋体" w:hAnsi="宋体" w:cs="宋体"/>
                <w:color w:val="auto"/>
                <w:highlight w:val="none"/>
                <w:lang w:val="en-US" w:eastAsia="zh-CN"/>
              </w:rPr>
              <w:t xml:space="preserve">六个月</w:t>
            </w:r>
            <w:r>
              <w:rPr>
                <w:rFonts w:hint="eastAsia" w:ascii="宋体" w:hAnsi="宋体" w:cs="宋体"/>
                <w:color w:val="auto"/>
                <w:highlight w:val="none"/>
              </w:rPr>
              <w:t xml:space="preserve">中任意一个月份（不含投标当月）的财务状况报告（资产负债表和利润表）或由会计师事务所出具的近两年中任意一个年度</w:t>
            </w:r>
            <w:r>
              <w:rPr>
                <w:rFonts w:hint="eastAsia" w:ascii="宋体" w:hAnsi="宋体" w:cs="宋体"/>
                <w:color w:val="auto"/>
                <w:highlight w:val="none"/>
                <w:lang w:val="en-US" w:eastAsia="zh-CN"/>
              </w:rPr>
              <w:t xml:space="preserve">的</w:t>
            </w:r>
            <w:r>
              <w:rPr>
                <w:rFonts w:hint="eastAsia" w:ascii="宋体" w:hAnsi="宋体" w:cs="宋体"/>
                <w:color w:val="auto"/>
                <w:highlight w:val="none"/>
              </w:rPr>
              <w:t xml:space="preserve">审计报告和所附已审财务报告（投标人如是自然人情形的，没有经审计的财务报告的，可以提供银行出具的资信证明）</w:t>
            </w:r>
            <w:r>
              <w:rPr>
                <w:rStyle w:val="1133"/>
                <w:rFonts w:hint="eastAsia" w:ascii="宋体" w:hAnsi="宋体" w:cs="宋体"/>
                <w:color w:val="auto"/>
                <w:highlight w:val="none"/>
              </w:rPr>
              <w:t xml:space="preserve">。</w:t>
            </w:r>
            <w:r/>
          </w:p>
        </w:tc>
        <w:tc>
          <w:tcPr>
            <w:tcW w:w="2449" w:type="dxa"/>
            <w:vAlign w:val="center"/>
            <w:vMerge w:val="continue"/>
            <w:textDirection w:val="lrTb"/>
            <w:noWrap w:val="false"/>
          </w:tcPr>
          <w:p>
            <w:pPr>
              <w:pStyle w:val="1139"/>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963"/>
        </w:trPr>
        <w:tc>
          <w:tcPr>
            <w:tcW w:w="719" w:type="dxa"/>
            <w:vAlign w:val="center"/>
            <w:textDirection w:val="lrTb"/>
            <w:noWrap w:val="false"/>
          </w:tcPr>
          <w:p>
            <w:pPr>
              <w:pStyle w:val="1139"/>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139"/>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投标人近</w:t>
            </w:r>
            <w:r>
              <w:rPr>
                <w:rFonts w:hint="eastAsia" w:ascii="宋体" w:hAnsi="宋体" w:cs="宋体"/>
                <w:color w:val="auto"/>
                <w:highlight w:val="none"/>
                <w:lang w:val="en-US" w:eastAsia="zh-CN"/>
              </w:rPr>
              <w:t xml:space="preserve">六个月中</w:t>
            </w:r>
            <w:r>
              <w:rPr>
                <w:rFonts w:hint="eastAsia" w:ascii="宋体" w:hAnsi="宋体" w:cs="宋体"/>
                <w:color w:val="auto"/>
                <w:highlight w:val="none"/>
              </w:rPr>
              <w:t xml:space="preserve">任意一个月份（不含投标当月）的依法缴纳税收的相关材料（提供相关主管部门证明或银行代扣证明）。</w:t>
            </w:r>
            <w:r/>
          </w:p>
        </w:tc>
        <w:tc>
          <w:tcPr>
            <w:tcW w:w="2449" w:type="dxa"/>
            <w:vAlign w:val="center"/>
            <w:vMerge w:val="continue"/>
            <w:textDirection w:val="lrTb"/>
            <w:noWrap w:val="false"/>
          </w:tcPr>
          <w:p>
            <w:pPr>
              <w:pStyle w:val="1139"/>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023"/>
        </w:trPr>
        <w:tc>
          <w:tcPr>
            <w:tcW w:w="719" w:type="dxa"/>
            <w:vAlign w:val="center"/>
            <w:textDirection w:val="lrTb"/>
            <w:noWrap w:val="false"/>
          </w:tcPr>
          <w:p>
            <w:pPr>
              <w:pStyle w:val="1139"/>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139"/>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投标人</w:t>
            </w:r>
            <w:r>
              <w:rPr>
                <w:rFonts w:hint="eastAsia" w:ascii="宋体" w:hAnsi="宋体" w:cs="宋体"/>
                <w:color w:val="auto"/>
                <w:highlight w:val="none"/>
                <w:lang w:val="en-US" w:eastAsia="zh-CN"/>
              </w:rPr>
              <w:t xml:space="preserve">近六个月中</w:t>
            </w:r>
            <w:r>
              <w:rPr>
                <w:rFonts w:hint="eastAsia" w:ascii="宋体" w:hAnsi="宋体" w:cs="宋体"/>
                <w:color w:val="auto"/>
                <w:highlight w:val="none"/>
              </w:rPr>
              <w:t xml:space="preserve">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139"/>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1139"/>
              <w:ind w:firstLine="0"/>
              <w:jc w:val="center"/>
              <w:spacing w:before="0" w:after="0"/>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6</w:t>
            </w:r>
            <w:r/>
          </w:p>
        </w:tc>
        <w:tc>
          <w:tcPr>
            <w:tcBorders>
              <w:bottom w:val="single" w:color="000000" w:sz="4" w:space="0"/>
            </w:tcBorders>
            <w:tcW w:w="6104" w:type="dxa"/>
            <w:vAlign w:val="center"/>
            <w:textDirection w:val="lrTb"/>
            <w:noWrap w:val="false"/>
          </w:tcPr>
          <w:p>
            <w:pPr>
              <w:spacing w:line="360" w:lineRule="auto"/>
              <w:tabs>
                <w:tab w:val="left" w:pos="420" w:leader="none"/>
                <w:tab w:val="left" w:pos="945" w:leader="none"/>
                <w:tab w:val="left" w:pos="1155" w:leader="none"/>
              </w:tabs>
              <w:rPr>
                <w:rFonts w:hint="eastAsia" w:ascii="宋体" w:hAnsi="宋体" w:cs="宋体" w:eastAsiaTheme="minorEastAsia"/>
                <w:color w:val="auto"/>
                <w:highlight w:val="none"/>
                <w:lang w:eastAsia="zh-CN"/>
              </w:rPr>
            </w:pPr>
            <w:r>
              <w:rPr>
                <w:rFonts w:hint="eastAsia" w:ascii="宋体" w:hAnsi="宋体" w:cs="宋体"/>
                <w:bCs/>
                <w:color w:val="auto"/>
                <w:sz w:val="24"/>
                <w:highlight w:val="none"/>
              </w:rPr>
              <w:t xml:space="preserve">法定代表人授权代表具有与本企业签订的劳动合同或供应商为其缴纳的由相关部门出具的近</w:t>
            </w:r>
            <w:r>
              <w:rPr>
                <w:rFonts w:hint="eastAsia" w:ascii="宋体" w:hAnsi="宋体" w:cs="宋体"/>
                <w:bCs/>
                <w:color w:val="auto"/>
                <w:sz w:val="24"/>
                <w:highlight w:val="none"/>
                <w:lang w:val="en-US" w:eastAsia="zh-CN"/>
              </w:rPr>
              <w:t xml:space="preserve">六个月中</w:t>
            </w:r>
            <w:r>
              <w:rPr>
                <w:rFonts w:hint="eastAsia" w:ascii="宋体" w:hAnsi="宋体" w:cs="宋体"/>
                <w:bCs/>
                <w:color w:val="auto"/>
                <w:sz w:val="24"/>
                <w:highlight w:val="none"/>
              </w:rPr>
              <w:t xml:space="preserve">任意一个月份</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不含投标当月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的社保缴费证明</w:t>
            </w:r>
            <w:r>
              <w:rPr>
                <w:rFonts w:hint="eastAsia" w:ascii="宋体" w:hAnsi="宋体" w:cs="宋体"/>
                <w:bCs/>
                <w:color w:val="auto"/>
                <w:sz w:val="24"/>
                <w:highlight w:val="none"/>
                <w:lang w:eastAsia="zh-CN"/>
              </w:rPr>
              <w:t xml:space="preserve">。</w:t>
            </w:r>
            <w:r/>
          </w:p>
        </w:tc>
        <w:tc>
          <w:tcPr>
            <w:tcW w:w="2449" w:type="dxa"/>
            <w:vAlign w:val="center"/>
            <w:vMerge w:val="continue"/>
            <w:textDirection w:val="lrTb"/>
            <w:noWrap w:val="false"/>
          </w:tcPr>
          <w:p>
            <w:pPr>
              <w:pStyle w:val="1139"/>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1139"/>
              <w:ind w:firstLine="0"/>
              <w:jc w:val="center"/>
              <w:spacing w:before="0" w:after="0"/>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Borders>
              <w:bottom w:val="single" w:color="000000" w:sz="4" w:space="0"/>
            </w:tcBorders>
            <w:tcW w:w="6104" w:type="dxa"/>
            <w:vAlign w:val="center"/>
            <w:textDirection w:val="lrTb"/>
            <w:noWrap w:val="false"/>
          </w:tcPr>
          <w:p>
            <w:pPr>
              <w:pStyle w:val="1139"/>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139"/>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90"/>
        </w:trPr>
        <w:tc>
          <w:tcPr>
            <w:tcW w:w="719" w:type="dxa"/>
            <w:vAlign w:val="center"/>
            <w:textDirection w:val="lrTb"/>
            <w:noWrap w:val="false"/>
          </w:tcPr>
          <w:p>
            <w:pPr>
              <w:pStyle w:val="1139"/>
              <w:ind w:firstLine="0"/>
              <w:jc w:val="center"/>
              <w:spacing w:before="0" w:after="0"/>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8</w:t>
            </w:r>
            <w:r/>
          </w:p>
        </w:tc>
        <w:tc>
          <w:tcPr>
            <w:tcW w:w="6104" w:type="dxa"/>
            <w:vAlign w:val="center"/>
            <w:textDirection w:val="lrTb"/>
            <w:noWrap w:val="false"/>
          </w:tcPr>
          <w:p>
            <w:pPr>
              <w:pStyle w:val="1139"/>
              <w:ind w:firstLine="0"/>
              <w:spacing w:before="0" w:after="0"/>
              <w:rPr>
                <w:rFonts w:hint="eastAsia" w:ascii="宋体" w:hAnsi="宋体" w:cs="宋体"/>
                <w:color w:val="auto"/>
                <w:highlight w:val="none"/>
              </w:rPr>
            </w:pPr>
            <w:r>
              <w:rPr>
                <w:rFonts w:hint="eastAsia" w:ascii="宋体" w:hAnsi="宋体" w:cs="宋体"/>
                <w:color w:val="auto"/>
                <w:highlight w:val="none"/>
              </w:rPr>
              <w:t xml:space="preserve">满足中小企业政策的证明文件。</w:t>
            </w:r>
            <w:r/>
          </w:p>
        </w:tc>
        <w:tc>
          <w:tcPr>
            <w:tcW w:w="2449" w:type="dxa"/>
            <w:vAlign w:val="center"/>
            <w:textDirection w:val="lrTb"/>
            <w:noWrap w:val="false"/>
          </w:tcPr>
          <w:p>
            <w:pPr>
              <w:pStyle w:val="1139"/>
              <w:ind w:firstLine="0"/>
              <w:spacing w:before="0" w:after="0"/>
              <w:rPr>
                <w:rFonts w:hint="eastAsia"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139"/>
              <w:ind w:firstLine="0"/>
              <w:jc w:val="center"/>
              <w:spacing w:before="0" w:after="0"/>
              <w:rPr>
                <w:rFonts w:hint="eastAsia" w:ascii="宋体" w:hAnsi="宋体" w:eastAsia="宋体" w:cs="宋体"/>
                <w:bCs/>
                <w:color w:val="auto"/>
                <w:highlight w:val="none"/>
                <w:lang w:eastAsia="zh-CN"/>
              </w:rPr>
            </w:pPr>
            <w:r>
              <w:rPr>
                <w:rFonts w:hint="eastAsia" w:ascii="宋体" w:hAnsi="宋体" w:cs="宋体"/>
                <w:bCs/>
                <w:color w:val="auto"/>
                <w:highlight w:val="none"/>
                <w:lang w:val="en-US" w:eastAsia="zh-CN"/>
              </w:rPr>
              <w:t xml:space="preserve">9</w:t>
            </w:r>
            <w:r/>
          </w:p>
        </w:tc>
        <w:tc>
          <w:tcPr>
            <w:tcW w:w="6104" w:type="dxa"/>
            <w:vAlign w:val="center"/>
            <w:textDirection w:val="lrTb"/>
            <w:noWrap w:val="false"/>
          </w:tcPr>
          <w:p>
            <w:pPr>
              <w:pStyle w:val="1139"/>
              <w:ind w:firstLine="0"/>
              <w:jc w:val="both"/>
              <w:spacing w:before="0" w:after="0"/>
              <w:rPr>
                <w:rFonts w:hint="eastAsia" w:ascii="宋体" w:hAnsi="宋体" w:eastAsia="宋体" w:cs="宋体"/>
                <w:bCs/>
                <w:color w:val="auto"/>
                <w:highlight w:val="none"/>
                <w:lang w:eastAsia="zh-CN"/>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hAnsi="宋体" w:cs="宋体"/>
                <w:bCs/>
                <w:color w:val="auto"/>
                <w:sz w:val="24"/>
                <w:szCs w:val="20"/>
                <w:highlight w:val="none"/>
                <w:lang w:eastAsia="zh-CN"/>
              </w:rPr>
              <w:t xml:space="preserve">。</w:t>
            </w:r>
            <w:r/>
          </w:p>
        </w:tc>
        <w:tc>
          <w:tcPr>
            <w:tcW w:w="2449" w:type="dxa"/>
            <w:vAlign w:val="center"/>
            <w:textDirection w:val="lrTb"/>
            <w:noWrap w:val="false"/>
          </w:tcPr>
          <w:p>
            <w:pPr>
              <w:pStyle w:val="1139"/>
              <w:ind w:firstLine="0"/>
              <w:spacing w:before="0" w:after="0"/>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139"/>
              <w:ind w:firstLine="0"/>
              <w:jc w:val="center"/>
              <w:spacing w:before="0" w:after="0"/>
              <w:rPr>
                <w:rFonts w:hint="default" w:ascii="宋体" w:hAnsi="宋体" w:eastAsia="宋体" w:cs="宋体"/>
                <w:bCs/>
                <w:color w:val="auto"/>
                <w:highlight w:val="none"/>
                <w:lang w:val="en-US" w:eastAsia="zh-CN"/>
              </w:rPr>
            </w:pPr>
            <w:r>
              <w:rPr>
                <w:rFonts w:hint="eastAsia" w:ascii="宋体" w:hAnsi="宋体" w:cs="宋体"/>
                <w:bCs/>
                <w:color w:val="auto"/>
                <w:highlight w:val="none"/>
                <w:lang w:val="en-US" w:eastAsia="zh-CN"/>
              </w:rPr>
              <w:t xml:space="preserve">10</w:t>
            </w:r>
            <w:r/>
          </w:p>
        </w:tc>
        <w:tc>
          <w:tcPr>
            <w:gridSpan w:val="2"/>
            <w:tcW w:w="8553" w:type="dxa"/>
            <w:vAlign w:val="center"/>
            <w:textDirection w:val="lrTb"/>
            <w:noWrap w:val="false"/>
          </w:tcPr>
          <w:p>
            <w:pPr>
              <w:pStyle w:val="1139"/>
              <w:ind w:firstLine="0"/>
              <w:spacing w:before="0" w:after="0"/>
              <w:rPr>
                <w:rFonts w:hint="eastAsia"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5"/>
        </w:num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按照</w:t>
      </w:r>
      <w:r>
        <w:rPr>
          <w:rFonts w:hint="eastAsia" w:ascii="宋体" w:hAnsi="宋体"/>
          <w:color w:val="auto"/>
          <w:sz w:val="24"/>
          <w:szCs w:val="24"/>
          <w:highlight w:val="none"/>
          <w:lang w:eastAsia="zh-CN"/>
        </w:rPr>
        <w:t xml:space="preserve">《中华人民共和国政府采购法实施条例释义》</w:t>
      </w:r>
      <w:r>
        <w:rPr>
          <w:rFonts w:hint="eastAsia" w:ascii="宋体" w:hAnsi="宋体"/>
          <w:color w:val="auto"/>
          <w:sz w:val="24"/>
          <w:szCs w:val="24"/>
          <w:highlight w:val="none"/>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5"/>
        </w:num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项，如本项目落实政府采购政策需满足的资格要求中有中小企业政策要求的（详见第一章《投标邀请》），必须提供相应证明文件，否则投标文件无效。</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5"/>
        </w:num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项，如本项目有特定资格要求的（详见第一章《投标邀请》），须提供相应的特定资格证明文件。</w:t>
      </w:r>
      <w:r/>
    </w:p>
    <w:p>
      <w:pPr>
        <w:numPr>
          <w:ilvl w:val="0"/>
          <w:numId w:val="15"/>
        </w:num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项可由联合体主体单位（即联合体牵头人）代表联合体提供；第1、3、4、5、</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（如有要求）、</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（如有要求）项，联合体各方均须提供。</w:t>
      </w:r>
      <w:r/>
    </w:p>
    <w:p>
      <w:pPr>
        <w:spacing w:line="360" w:lineRule="auto"/>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736"/>
        <w:tblpPr w:horzAnchor="page" w:tblpX="1213" w:vertAnchor="text" w:tblpY="546" w:leftFromText="180" w:topFromText="0" w:rightFromText="180" w:bottomFromText="0"/>
        <w:tblW w:w="95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0"/>
        <w:gridCol w:w="6333"/>
        <w:gridCol w:w="2213"/>
      </w:tblGrid>
      <w:tr>
        <w:trPr>
          <w:trHeight w:val="915"/>
        </w:trPr>
        <w:tc>
          <w:tcPr>
            <w:shd w:val="clear" w:color="auto" w:fill="auto"/>
            <w:tcW w:w="990"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序号</w:t>
            </w:r>
            <w:r/>
          </w:p>
        </w:tc>
        <w:tc>
          <w:tcPr>
            <w:shd w:val="clear" w:color="auto" w:fill="auto"/>
            <w:tcW w:w="6333"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评审项目及评审要求</w:t>
            </w:r>
            <w:r/>
          </w:p>
        </w:tc>
        <w:tc>
          <w:tcPr>
            <w:shd w:val="clear" w:color="auto" w:fill="auto"/>
            <w:tcW w:w="2213"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审查因素</w:t>
            </w:r>
            <w:r/>
          </w:p>
        </w:tc>
      </w:tr>
      <w:tr>
        <w:trPr>
          <w:trHeight w:val="850"/>
        </w:trPr>
        <w:tc>
          <w:tcPr>
            <w:shd w:val="clear" w:color="auto" w:fill="auto"/>
            <w:tcW w:w="99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W w:w="6333"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投标函（给定格式）</w:t>
            </w:r>
            <w:r/>
          </w:p>
        </w:tc>
        <w:tc>
          <w:tcPr>
            <w:shd w:val="clear" w:color="auto" w:fill="auto"/>
            <w:tcW w:w="2213"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商务符合性</w:t>
            </w:r>
            <w:r/>
          </w:p>
        </w:tc>
      </w:tr>
      <w:tr>
        <w:trPr>
          <w:trHeight w:val="850"/>
        </w:trPr>
        <w:tc>
          <w:tcPr>
            <w:shd w:val="clear" w:color="auto" w:fill="auto"/>
            <w:tcW w:w="99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W w:w="6333"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承诺书（给定格式）</w:t>
            </w:r>
            <w:r/>
          </w:p>
        </w:tc>
        <w:tc>
          <w:tcPr>
            <w:shd w:val="clear" w:color="auto" w:fill="auto"/>
            <w:tcW w:w="221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trPr>
        <w:tc>
          <w:tcPr>
            <w:shd w:val="clear" w:color="auto" w:fill="auto"/>
            <w:tcW w:w="99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W w:w="6333"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开标一览表（给定格式）</w:t>
            </w:r>
            <w:r/>
          </w:p>
        </w:tc>
        <w:tc>
          <w:tcPr>
            <w:shd w:val="clear" w:color="auto" w:fill="auto"/>
            <w:tcW w:w="221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报价符合性</w:t>
            </w:r>
            <w:r/>
          </w:p>
        </w:tc>
      </w:tr>
      <w:tr>
        <w:trPr>
          <w:trHeight w:val="850"/>
        </w:trPr>
        <w:tc>
          <w:tcPr>
            <w:shd w:val="clear" w:color="auto" w:fill="auto"/>
            <w:tcW w:w="99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p>
        </w:tc>
        <w:tc>
          <w:tcPr>
            <w:shd w:val="clear" w:color="auto" w:fill="auto"/>
            <w:tcW w:w="6333" w:type="dxa"/>
            <w:vAlign w:val="center"/>
            <w:textDirection w:val="lrTb"/>
            <w:noWrap w:val="false"/>
          </w:tcPr>
          <w:p>
            <w:pP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分项报价表</w:t>
            </w:r>
            <w:r>
              <w:rPr>
                <w:rFonts w:hint="eastAsia" w:ascii="宋体" w:hAnsi="宋体" w:eastAsia="宋体" w:cs="宋体"/>
                <w:color w:val="auto"/>
                <w:sz w:val="24"/>
                <w:szCs w:val="24"/>
                <w:highlight w:val="none"/>
                <w:lang w:bidi="ar"/>
              </w:rPr>
              <w:t xml:space="preserve">（给定格式）</w:t>
            </w:r>
            <w:r/>
          </w:p>
        </w:tc>
        <w:tc>
          <w:tcPr>
            <w:shd w:val="clear" w:color="auto" w:fill="auto"/>
            <w:tcW w:w="221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报价符合性</w:t>
            </w:r>
            <w:r/>
          </w:p>
        </w:tc>
      </w:tr>
      <w:tr>
        <w:trPr>
          <w:trHeight w:val="850"/>
        </w:trPr>
        <w:tc>
          <w:tcPr>
            <w:shd w:val="clear" w:color="auto" w:fill="auto"/>
            <w:tcW w:w="990"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5</w:t>
            </w:r>
            <w:r/>
          </w:p>
        </w:tc>
        <w:tc>
          <w:tcPr>
            <w:shd w:val="clear" w:color="auto" w:fill="auto"/>
            <w:tcW w:w="6333"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投标偏离表（给定格式）</w:t>
            </w:r>
            <w:r/>
          </w:p>
        </w:tc>
        <w:tc>
          <w:tcPr>
            <w:shd w:val="clear" w:color="auto" w:fill="auto"/>
            <w:tcW w:w="2213"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技术符合性</w:t>
            </w:r>
            <w:r/>
          </w:p>
        </w:tc>
      </w:tr>
      <w:tr>
        <w:trPr>
          <w:trHeight w:val="850"/>
        </w:trPr>
        <w:tc>
          <w:tcPr>
            <w:shd w:val="clear" w:color="auto" w:fill="auto"/>
            <w:tcW w:w="990"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6</w:t>
            </w:r>
            <w:r/>
          </w:p>
        </w:tc>
        <w:tc>
          <w:tcPr>
            <w:shd w:val="clear" w:color="auto" w:fill="auto"/>
            <w:tcW w:w="6333"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《采购需求》中要求提供的证明材料（如有）</w:t>
            </w:r>
            <w:r/>
          </w:p>
        </w:tc>
        <w:tc>
          <w:tcPr>
            <w:shd w:val="clear" w:color="auto" w:fill="auto"/>
            <w:tcW w:w="221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6"/>
        </w:num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p>
    <w:p>
      <w:pPr>
        <w:numPr>
          <w:ilvl w:val="0"/>
          <w:numId w:val="16"/>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第1～4项可由联合体主体单位（即联合体牵头人）代表联合体提供。</w:t>
      </w:r>
      <w:r/>
    </w:p>
    <w:p>
      <w:pPr>
        <w:ind w:firstLine="480"/>
        <w:spacing w:line="360" w:lineRule="auto"/>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1139"/>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left"/>
        <w:spacing w:line="360" w:lineRule="auto"/>
        <w:widowControl/>
        <w:rPr>
          <w:rFonts w:hint="eastAsia" w:asciiTheme="minorEastAsia" w:hAnsiTheme="minorEastAsia"/>
          <w:bCs/>
          <w:color w:val="auto"/>
          <w:sz w:val="32"/>
          <w:highlight w:val="none"/>
        </w:rPr>
      </w:pPr>
      <w:r>
        <w:rPr>
          <w:rFonts w:hint="eastAsia" w:asciiTheme="minorEastAsia" w:hAnsiTheme="minorEastAsia"/>
          <w:bCs/>
          <w:color w:val="auto"/>
          <w:sz w:val="32"/>
          <w:highlight w:val="none"/>
        </w:rPr>
      </w:r>
      <w:r/>
    </w:p>
    <w:p>
      <w:pPr>
        <w:spacing w:line="360" w:lineRule="auto"/>
        <w:rPr>
          <w:rFonts w:hint="eastAsia" w:asciiTheme="minorEastAsia" w:hAnsiTheme="minorEastAsia"/>
          <w:bCs/>
          <w:color w:val="auto"/>
          <w:sz w:val="32"/>
          <w:highlight w:val="none"/>
        </w:rPr>
      </w:pPr>
      <w:r>
        <w:rPr>
          <w:rFonts w:hint="eastAsia" w:asciiTheme="minorEastAsia" w:hAnsiTheme="minorEastAsia"/>
          <w:bCs/>
          <w:color w:val="auto"/>
          <w:sz w:val="32"/>
          <w:highlight w:val="none"/>
        </w:rPr>
      </w:r>
      <w:r/>
    </w:p>
    <w:p>
      <w:pPr>
        <w:spacing w:line="360" w:lineRule="auto"/>
        <w:rPr>
          <w:rFonts w:hint="eastAsia" w:asciiTheme="minorEastAsia" w:hAnsiTheme="minorEastAsia"/>
          <w:bCs/>
          <w:color w:val="auto"/>
          <w:sz w:val="32"/>
          <w:highlight w:val="none"/>
        </w:rPr>
      </w:pPr>
      <w:r>
        <w:rPr>
          <w:rFonts w:hint="eastAsia" w:asciiTheme="minorEastAsia" w:hAnsiTheme="minorEastAsia"/>
          <w:bCs/>
          <w:color w:val="auto"/>
          <w:sz w:val="32"/>
          <w:highlight w:val="none"/>
        </w:rPr>
      </w:r>
      <w:r/>
    </w:p>
    <w:p>
      <w:pPr>
        <w:jc w:val="center"/>
        <w:spacing w:line="360" w:lineRule="auto"/>
        <w:rPr>
          <w:rFonts w:hint="eastAsia" w:asciiTheme="minorEastAsia" w:hAnsiTheme="minorEastAsia"/>
          <w:bCs/>
          <w:color w:val="auto"/>
          <w:sz w:val="52"/>
          <w:szCs w:val="52"/>
          <w:highlight w:val="none"/>
        </w:rPr>
      </w:pPr>
      <w:r>
        <w:rPr>
          <w:rFonts w:hint="eastAsia" w:asciiTheme="minorEastAsia" w:hAnsiTheme="minorEastAsia"/>
          <w:bCs/>
          <w:color w:val="auto"/>
          <w:sz w:val="52"/>
          <w:szCs w:val="52"/>
          <w:highlight w:val="none"/>
        </w:rPr>
        <w:t xml:space="preserve">投</w:t>
      </w:r>
      <w:r/>
    </w:p>
    <w:p>
      <w:pPr>
        <w:jc w:val="center"/>
        <w:spacing w:line="360" w:lineRule="auto"/>
        <w:rPr>
          <w:rFonts w:hint="eastAsia" w:asciiTheme="minorEastAsia" w:hAnsiTheme="minorEastAsia"/>
          <w:bCs/>
          <w:color w:val="auto"/>
          <w:sz w:val="72"/>
          <w:highlight w:val="none"/>
        </w:rPr>
      </w:pPr>
      <w:r>
        <w:rPr>
          <w:rFonts w:hint="eastAsia" w:asciiTheme="minorEastAsia" w:hAnsiTheme="minorEastAsia"/>
          <w:bCs/>
          <w:color w:val="auto"/>
          <w:sz w:val="72"/>
          <w:highlight w:val="none"/>
        </w:rPr>
      </w:r>
      <w:r/>
    </w:p>
    <w:p>
      <w:pPr>
        <w:jc w:val="center"/>
        <w:spacing w:line="360" w:lineRule="auto"/>
        <w:rPr>
          <w:rFonts w:hint="eastAsia" w:asciiTheme="minorEastAsia" w:hAnsiTheme="minorEastAsia"/>
          <w:bCs/>
          <w:color w:val="auto"/>
          <w:sz w:val="52"/>
          <w:szCs w:val="52"/>
          <w:highlight w:val="none"/>
        </w:rPr>
      </w:pPr>
      <w:r>
        <w:rPr>
          <w:rFonts w:hint="eastAsia" w:asciiTheme="minorEastAsia" w:hAnsiTheme="minorEastAsia"/>
          <w:bCs/>
          <w:color w:val="auto"/>
          <w:sz w:val="52"/>
          <w:szCs w:val="52"/>
          <w:highlight w:val="none"/>
        </w:rPr>
        <w:t xml:space="preserve">标</w:t>
      </w:r>
      <w:r/>
    </w:p>
    <w:p>
      <w:pPr>
        <w:jc w:val="center"/>
        <w:spacing w:line="360" w:lineRule="auto"/>
        <w:rPr>
          <w:rFonts w:hint="eastAsia" w:asciiTheme="minorEastAsia" w:hAnsiTheme="minorEastAsia"/>
          <w:bCs/>
          <w:color w:val="auto"/>
          <w:sz w:val="72"/>
          <w:highlight w:val="none"/>
        </w:rPr>
      </w:pPr>
      <w:r>
        <w:rPr>
          <w:rFonts w:hint="eastAsia" w:asciiTheme="minorEastAsia" w:hAnsiTheme="minorEastAsia"/>
          <w:bCs/>
          <w:color w:val="auto"/>
          <w:sz w:val="72"/>
          <w:highlight w:val="none"/>
        </w:rPr>
      </w:r>
      <w:r/>
    </w:p>
    <w:p>
      <w:pPr>
        <w:jc w:val="center"/>
        <w:spacing w:line="360" w:lineRule="auto"/>
        <w:rPr>
          <w:rFonts w:hint="eastAsia" w:asciiTheme="minorEastAsia" w:hAnsiTheme="minorEastAsia"/>
          <w:bCs/>
          <w:color w:val="auto"/>
          <w:sz w:val="52"/>
          <w:szCs w:val="52"/>
          <w:highlight w:val="none"/>
        </w:rPr>
      </w:pPr>
      <w:r>
        <w:rPr>
          <w:rFonts w:hint="eastAsia" w:asciiTheme="minorEastAsia" w:hAnsiTheme="minorEastAsia"/>
          <w:bCs/>
          <w:color w:val="auto"/>
          <w:sz w:val="52"/>
          <w:szCs w:val="52"/>
          <w:highlight w:val="none"/>
        </w:rPr>
        <w:t xml:space="preserve">文</w:t>
      </w:r>
      <w:r/>
    </w:p>
    <w:p>
      <w:pPr>
        <w:jc w:val="center"/>
        <w:spacing w:line="360" w:lineRule="auto"/>
        <w:rPr>
          <w:rFonts w:hint="eastAsia" w:asciiTheme="minorEastAsia" w:hAnsiTheme="minorEastAsia"/>
          <w:bCs/>
          <w:color w:val="auto"/>
          <w:sz w:val="52"/>
          <w:szCs w:val="52"/>
          <w:highlight w:val="none"/>
        </w:rPr>
      </w:pPr>
      <w:r>
        <w:rPr>
          <w:rFonts w:hint="eastAsia" w:asciiTheme="minorEastAsia" w:hAnsiTheme="minorEastAsia"/>
          <w:bCs/>
          <w:color w:val="auto"/>
          <w:sz w:val="52"/>
          <w:szCs w:val="52"/>
          <w:highlight w:val="none"/>
        </w:rPr>
      </w:r>
      <w:r/>
    </w:p>
    <w:p>
      <w:pPr>
        <w:jc w:val="center"/>
        <w:spacing w:line="360" w:lineRule="auto"/>
        <w:rPr>
          <w:rFonts w:hint="eastAsia" w:asciiTheme="minorEastAsia" w:hAnsiTheme="minorEastAsia"/>
          <w:bCs/>
          <w:color w:val="auto"/>
          <w:sz w:val="52"/>
          <w:szCs w:val="52"/>
          <w:highlight w:val="none"/>
        </w:rPr>
      </w:pPr>
      <w:r>
        <w:rPr>
          <w:rFonts w:hint="eastAsia" w:asciiTheme="minorEastAsia" w:hAnsiTheme="minorEastAsia"/>
          <w:bCs/>
          <w:color w:val="auto"/>
          <w:sz w:val="52"/>
          <w:szCs w:val="52"/>
          <w:highlight w:val="none"/>
        </w:rPr>
        <w:t xml:space="preserve">件</w:t>
      </w:r>
      <w:r/>
    </w:p>
    <w:p>
      <w:pPr>
        <w:spacing w:line="360" w:lineRule="auto"/>
        <w:rPr>
          <w:rFonts w:hint="eastAsia" w:asciiTheme="minorEastAsia" w:hAnsiTheme="minorEastAsia"/>
          <w:bCs/>
          <w:color w:val="auto"/>
          <w:sz w:val="28"/>
          <w:highlight w:val="none"/>
        </w:rPr>
      </w:pPr>
      <w:r>
        <w:rPr>
          <w:rFonts w:hint="eastAsia" w:asciiTheme="minorEastAsia" w:hAnsiTheme="minorEastAsia"/>
          <w:bCs/>
          <w:color w:val="auto"/>
          <w:sz w:val="28"/>
          <w:highlight w:val="none"/>
        </w:rPr>
      </w:r>
      <w:r/>
    </w:p>
    <w:p>
      <w:pPr>
        <w:ind w:firstLine="2715"/>
        <w:spacing w:line="360" w:lineRule="auto"/>
        <w:rPr>
          <w:rFonts w:hint="eastAsia" w:asciiTheme="minorEastAsia" w:hAnsiTheme="minorEastAsia"/>
          <w:bCs/>
          <w:color w:val="auto"/>
          <w:sz w:val="28"/>
          <w:szCs w:val="28"/>
          <w:highlight w:val="none"/>
        </w:rPr>
      </w:pPr>
      <w:r/>
      <w:bookmarkStart w:id="161" w:name="_Hlk165208193"/>
      <w:r>
        <w:rPr>
          <w:rFonts w:hint="eastAsia" w:asciiTheme="minorEastAsia" w:hAnsiTheme="minorEastAsia"/>
          <w:bCs/>
          <w:color w:val="auto"/>
          <w:sz w:val="28"/>
          <w:szCs w:val="28"/>
          <w:highlight w:val="none"/>
        </w:rPr>
        <w:t xml:space="preserve">采购项目编号： </w:t>
      </w:r>
      <w:r/>
    </w:p>
    <w:p>
      <w:pPr>
        <w:ind w:firstLine="2703"/>
        <w:spacing w:line="360" w:lineRule="auto"/>
        <w:rPr>
          <w:rFonts w:hint="eastAsia" w:asciiTheme="minorEastAsia" w:hAnsiTheme="minorEastAsia"/>
          <w:bCs/>
          <w:color w:val="auto"/>
          <w:sz w:val="28"/>
          <w:szCs w:val="28"/>
          <w:highlight w:val="none"/>
        </w:rPr>
      </w:pPr>
      <w:r>
        <w:rPr>
          <w:rFonts w:hint="eastAsia" w:asciiTheme="minorEastAsia" w:hAnsiTheme="minorEastAsia"/>
          <w:bCs/>
          <w:color w:val="auto"/>
          <w:sz w:val="28"/>
          <w:szCs w:val="28"/>
          <w:highlight w:val="none"/>
        </w:rPr>
        <w:t xml:space="preserve">采购项目名称： </w:t>
      </w:r>
      <w:r/>
    </w:p>
    <w:p>
      <w:pPr>
        <w:ind w:firstLine="2703"/>
        <w:spacing w:line="360" w:lineRule="auto"/>
        <w:rPr>
          <w:rFonts w:hint="eastAsia" w:asciiTheme="minorEastAsia" w:hAnsiTheme="minorEastAsia"/>
          <w:bCs/>
          <w:color w:val="auto"/>
          <w:sz w:val="28"/>
          <w:szCs w:val="28"/>
          <w:highlight w:val="none"/>
        </w:rPr>
      </w:pPr>
      <w:r>
        <w:rPr>
          <w:rFonts w:hint="eastAsia" w:asciiTheme="minorEastAsia" w:hAnsiTheme="minorEastAsia"/>
          <w:bCs/>
          <w:color w:val="auto"/>
          <w:sz w:val="28"/>
          <w:szCs w:val="28"/>
          <w:highlight w:val="none"/>
        </w:rPr>
        <w:t xml:space="preserve">投标人： </w:t>
      </w:r>
      <w:r/>
    </w:p>
    <w:p>
      <w:pPr>
        <w:jc w:val="center"/>
        <w:spacing w:line="360" w:lineRule="auto"/>
        <w:rPr>
          <w:rFonts w:hint="eastAsia" w:asciiTheme="minorEastAsia" w:hAnsiTheme="minorEastAsia"/>
          <w:bCs/>
          <w:color w:val="auto"/>
          <w:sz w:val="28"/>
          <w:szCs w:val="28"/>
          <w:highlight w:val="none"/>
        </w:rPr>
        <w:outlineLvl w:val="0"/>
      </w:pPr>
      <w:r>
        <w:rPr>
          <w:rFonts w:hint="eastAsia" w:asciiTheme="minorEastAsia" w:hAnsiTheme="minorEastAsia"/>
          <w:bCs/>
          <w:color w:val="auto"/>
          <w:sz w:val="28"/>
          <w:szCs w:val="28"/>
          <w:highlight w:val="none"/>
        </w:rPr>
        <w:t xml:space="preserve">20</w:t>
      </w:r>
      <w:r>
        <w:rPr>
          <w:rFonts w:hint="eastAsia" w:asciiTheme="minorEastAsia" w:hAnsiTheme="minorEastAsia"/>
          <w:bCs/>
          <w:color w:val="auto"/>
          <w:sz w:val="28"/>
          <w:szCs w:val="28"/>
          <w:highlight w:val="none"/>
          <w:lang w:val="en-US" w:eastAsia="zh-CN"/>
        </w:rPr>
        <w:t xml:space="preserve">25</w:t>
      </w:r>
      <w:r>
        <w:rPr>
          <w:rFonts w:hint="eastAsia" w:asciiTheme="minorEastAsia" w:hAnsiTheme="minorEastAsia"/>
          <w:bCs/>
          <w:color w:val="auto"/>
          <w:sz w:val="28"/>
          <w:szCs w:val="28"/>
          <w:highlight w:val="none"/>
        </w:rPr>
        <w:t xml:space="preserve">年   月</w:t>
      </w:r>
      <w:bookmarkEnd w:id="161"/>
      <w:r/>
      <w:r/>
    </w:p>
    <w:p>
      <w:pPr>
        <w:spacing w:line="360" w:lineRule="auto"/>
        <w:rPr>
          <w:rFonts w:hint="eastAsia" w:asciiTheme="minorEastAsia" w:hAnsiTheme="minorEastAsia"/>
          <w:bCs/>
          <w:color w:val="auto"/>
          <w:sz w:val="24"/>
          <w:szCs w:val="24"/>
          <w:highlight w:val="none"/>
        </w:rPr>
        <w:outlineLvl w:val="0"/>
      </w:pPr>
      <w:r>
        <w:rPr>
          <w:rFonts w:hint="eastAsia" w:asciiTheme="minorEastAsia" w:hAnsiTheme="minorEastAsia"/>
          <w:bCs/>
          <w:color w:val="auto"/>
          <w:sz w:val="24"/>
          <w:szCs w:val="24"/>
          <w:highlight w:val="none"/>
        </w:rPr>
      </w:r>
      <w:r/>
    </w:p>
    <w:p>
      <w:pPr>
        <w:spacing w:line="360" w:lineRule="auto"/>
        <w:rPr>
          <w:rFonts w:hint="eastAsia" w:asciiTheme="minorEastAsia" w:hAnsiTheme="minorEastAsia"/>
          <w:color w:val="auto"/>
          <w:sz w:val="24"/>
          <w:szCs w:val="24"/>
          <w:highlight w:val="none"/>
        </w:rPr>
        <w:outlineLvl w:val="0"/>
      </w:pPr>
      <w:r>
        <w:rPr>
          <w:rFonts w:hint="eastAsia" w:asciiTheme="minorEastAsia" w:hAnsiTheme="minorEastAsia"/>
          <w:color w:val="auto"/>
          <w:sz w:val="24"/>
          <w:szCs w:val="24"/>
          <w:highlight w:val="none"/>
        </w:rPr>
      </w:r>
      <w:r/>
    </w:p>
    <w:p>
      <w:pPr>
        <w:spacing w:line="360" w:lineRule="auto"/>
        <w:rPr>
          <w:rFonts w:ascii="黑体" w:eastAsia="黑体"/>
          <w:bCs/>
          <w:color w:val="auto"/>
          <w:sz w:val="28"/>
          <w:szCs w:val="28"/>
          <w:highlight w:val="none"/>
        </w:rPr>
      </w:pPr>
      <w:r>
        <w:rPr>
          <w:rFonts w:hint="eastAsia" w:ascii="宋体" w:hAnsi="宋体" w:cs="宋体"/>
          <w:b/>
          <w:color w:val="auto"/>
          <w:sz w:val="28"/>
          <w:szCs w:val="28"/>
          <w:highlight w:val="none"/>
        </w:rPr>
        <w:t xml:space="preserve">二、授权委托书（给定格式）：</w:t>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授权委托书</w:t>
      </w:r>
      <w:r/>
    </w:p>
    <w:p>
      <w:pPr>
        <w:pStyle w:val="784"/>
        <w:rPr>
          <w:color w:val="auto"/>
          <w:highlight w:val="none"/>
        </w:rPr>
      </w:pPr>
      <w:r>
        <w:rPr>
          <w:color w:val="auto"/>
          <w:highlight w:val="none"/>
        </w:rPr>
      </w:r>
      <w:r/>
    </w:p>
    <w:p>
      <w:pPr>
        <w:pStyle w:val="1138"/>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我公司（单位、联合体）针对</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 xml:space="preserve">项目，兹授权：</w:t>
      </w:r>
      <w:r/>
    </w:p>
    <w:p>
      <w:pPr>
        <w:pStyle w:val="1138"/>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38"/>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38"/>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为我方合法代理人，以本单位名义全权处理</w:t>
      </w:r>
      <w:r>
        <w:rPr>
          <w:rFonts w:hint="eastAsia" w:ascii="宋体" w:hAnsi="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cs="宋体"/>
          <w:color w:val="auto"/>
          <w:sz w:val="24"/>
          <w:szCs w:val="24"/>
          <w:highlight w:val="none"/>
        </w:rPr>
        <w:t xml:space="preserve">一切与该项目采购有关的事务。</w:t>
      </w:r>
      <w:r/>
    </w:p>
    <w:p>
      <w:pPr>
        <w:pStyle w:val="1138"/>
        <w:ind w:firstLine="48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本授权委托书自授权之日起生效，</w:t>
      </w:r>
      <w:r>
        <w:rPr>
          <w:rFonts w:hint="eastAsia" w:ascii="宋体" w:hAnsi="宋体" w:cs="宋体"/>
          <w:bCs/>
          <w:color w:val="auto"/>
          <w:sz w:val="24"/>
          <w:szCs w:val="24"/>
          <w:highlight w:val="none"/>
        </w:rPr>
        <w:t xml:space="preserve">在撤销授权的书面通知送达你处以前，本授权书一直有效，被授权人签署的所有文件（在</w:t>
      </w:r>
      <w:r>
        <w:rPr>
          <w:rFonts w:hint="eastAsia" w:ascii="宋体" w:hAnsi="宋体" w:cs="宋体"/>
          <w:color w:val="auto"/>
          <w:sz w:val="24"/>
          <w:szCs w:val="24"/>
          <w:highlight w:val="none"/>
        </w:rPr>
        <w:t xml:space="preserve">授权委托</w:t>
      </w:r>
      <w:r>
        <w:rPr>
          <w:rFonts w:hint="eastAsia" w:ascii="宋体" w:hAnsi="宋体" w:cs="宋体"/>
          <w:bCs/>
          <w:color w:val="auto"/>
          <w:sz w:val="24"/>
          <w:szCs w:val="24"/>
          <w:highlight w:val="none"/>
        </w:rPr>
        <w:t xml:space="preserve">书有效期内签署的）不因授权的撤销而失效。</w:t>
      </w:r>
      <w:r/>
    </w:p>
    <w:p>
      <w:pPr>
        <w:pStyle w:val="1138"/>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特此授权委托。</w:t>
      </w:r>
      <w:r/>
    </w:p>
    <w:p>
      <w:pPr>
        <w:pStyle w:val="1138"/>
        <w:ind w:firstLine="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                     投标人名称</w:t>
      </w:r>
      <w:r>
        <w:rPr>
          <w:rFonts w:hint="eastAsia" w:ascii="宋体" w:hAnsi="宋体" w:cs="宋体"/>
          <w:bCs/>
          <w:color w:val="auto"/>
          <w:sz w:val="24"/>
          <w:szCs w:val="24"/>
          <w:highlight w:val="none"/>
        </w:rPr>
        <w:t xml:space="preserve">（盖章）</w:t>
      </w:r>
      <w:r>
        <w:rPr>
          <w:rFonts w:hint="eastAsia" w:ascii="宋体" w:hAnsi="宋体" w:cs="宋体"/>
          <w:color w:val="auto"/>
          <w:sz w:val="24"/>
          <w:szCs w:val="24"/>
          <w:highlight w:val="none"/>
        </w:rPr>
        <w:t xml:space="preserve">：</w:t>
      </w:r>
      <w:r/>
    </w:p>
    <w:p>
      <w:pPr>
        <w:pStyle w:val="1138"/>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r/>
    </w:p>
    <w:p>
      <w:pPr>
        <w:pStyle w:val="1138"/>
        <w:ind w:firstLine="0"/>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被授权人身份证原件扫描件附后</w:t>
      </w:r>
      <w:r>
        <w:rPr>
          <w:rFonts w:hint="eastAsia" w:ascii="宋体" w:hAnsi="宋体" w:cs="宋体"/>
          <w:b/>
          <w:color w:val="auto"/>
          <w:sz w:val="24"/>
          <w:szCs w:val="24"/>
          <w:highlight w:val="none"/>
          <w:lang w:eastAsia="zh-CN"/>
        </w:rPr>
        <w:t xml:space="preserve">）</w:t>
      </w:r>
      <w:r/>
    </w:p>
    <w:p>
      <w:pPr>
        <w:pStyle w:val="1138"/>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pStyle w:val="1138"/>
        <w:numPr>
          <w:ilvl w:val="0"/>
          <w:numId w:val="0"/>
        </w:num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rPr>
        <w:t xml:space="preserve">若投标人为事业单位或其他组织或分支机构，则法定代表人处的签字人可为单位负责人。</w:t>
      </w:r>
      <w:r/>
    </w:p>
    <w:p>
      <w:pPr>
        <w:pStyle w:val="1138"/>
        <w:numPr>
          <w:ilvl w:val="0"/>
          <w:numId w:val="0"/>
        </w:num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rPr>
        <w:t xml:space="preserve">当被授权人为法定代表人（或上述情况的单位负责人）时，只需在法定代表人处签字或盖章即可。</w:t>
      </w:r>
      <w:r/>
    </w:p>
    <w:p>
      <w:pPr>
        <w:pStyle w:val="1138"/>
        <w:numPr>
          <w:ilvl w:val="0"/>
          <w:numId w:val="0"/>
        </w:num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rPr>
        <w:t xml:space="preserve">供应商为自然人情形的，可不提供本《授权委托书》。</w:t>
      </w:r>
      <w:r/>
    </w:p>
    <w:p>
      <w:pPr>
        <w:pStyle w:val="1138"/>
        <w:numPr>
          <w:ilvl w:val="0"/>
          <w:numId w:val="0"/>
        </w:num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bCs/>
          <w:color w:val="auto"/>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cs="宋体"/>
          <w:bCs/>
          <w:color w:val="auto"/>
          <w:sz w:val="24"/>
          <w:szCs w:val="24"/>
          <w:highlight w:val="none"/>
          <w:lang w:eastAsia="zh-CN"/>
        </w:rPr>
        <w:t xml:space="preserve">其他</w:t>
      </w:r>
      <w:r>
        <w:rPr>
          <w:rFonts w:hint="eastAsia" w:ascii="宋体" w:hAnsi="宋体" w:cs="宋体"/>
          <w:bCs/>
          <w:color w:val="auto"/>
          <w:sz w:val="24"/>
          <w:szCs w:val="24"/>
          <w:highlight w:val="none"/>
        </w:rPr>
        <w:t xml:space="preserve">可在中国大陆有效居留的许可证明。</w:t>
      </w:r>
      <w:r/>
    </w:p>
    <w:p>
      <w:pPr>
        <w:pStyle w:val="1138"/>
        <w:ind w:firstLine="0"/>
        <w:rPr>
          <w:rFonts w:hint="eastAsia"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62" w:name="报价方关于资格的声明函（格式）"/>
      <w:r/>
      <w:bookmarkEnd w:id="162"/>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我公司（单位、联合体）针对本次项目</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u w:val="none"/>
          <w:lang w:val="en-US" w:eastAsia="zh-CN"/>
        </w:rPr>
        <w:t xml:space="preserve">采购包</w:t>
      </w:r>
      <w:r>
        <w:rPr>
          <w:rFonts w:hint="eastAsia" w:ascii="宋体" w:hAnsi="宋体" w:eastAsia="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eastAsia="zh-CN"/>
        </w:rPr>
        <w:t xml:space="preserve">做</w:t>
      </w:r>
      <w:r>
        <w:rPr>
          <w:rFonts w:hint="eastAsia" w:ascii="宋体" w:hAnsi="宋体"/>
          <w:bCs/>
          <w:color w:val="auto"/>
          <w:sz w:val="24"/>
          <w:szCs w:val="24"/>
          <w:highlight w:val="none"/>
        </w:rPr>
        <w:t xml:space="preserve">如下声明</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3.本公司（单位、联合体）</w:t>
      </w:r>
      <w:r>
        <w:rPr>
          <w:rFonts w:hint="eastAsia" w:ascii="宋体" w:hAnsi="宋体" w:eastAsia="宋体"/>
          <w:bCs/>
          <w:color w:val="auto"/>
          <w:sz w:val="24"/>
          <w:szCs w:val="24"/>
          <w:highlight w:val="none"/>
        </w:rPr>
        <w:t xml:space="preserve">未</w:t>
      </w:r>
      <w:r>
        <w:rPr>
          <w:rFonts w:hint="eastAsia" w:ascii="宋体" w:hAnsi="宋体"/>
          <w:bCs/>
          <w:color w:val="auto"/>
          <w:sz w:val="24"/>
          <w:szCs w:val="24"/>
          <w:highlight w:val="none"/>
        </w:rPr>
        <w:t xml:space="preserve">被“信用中国”网站（www.creditchina.gov.cn）、中国政府采购网</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www.ccgp.gov.cn</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列入失信被执行人、</w:t>
      </w:r>
      <w:r>
        <w:rPr>
          <w:rFonts w:hint="eastAsia" w:ascii="宋体" w:hAnsi="宋体" w:eastAsia="宋体"/>
          <w:bCs/>
          <w:color w:val="auto"/>
          <w:sz w:val="24"/>
          <w:szCs w:val="24"/>
          <w:highlight w:val="none"/>
        </w:rPr>
        <w:t xml:space="preserve">重大税收违法失信主体</w:t>
      </w:r>
      <w:r>
        <w:rPr>
          <w:rFonts w:hint="eastAsia" w:ascii="宋体" w:hAnsi="宋体"/>
          <w:bCs/>
          <w:color w:val="auto"/>
          <w:sz w:val="24"/>
          <w:szCs w:val="24"/>
          <w:highlight w:val="none"/>
        </w:rPr>
        <w:t xml:space="preserve">、政府采购严重失信行为记录名单及其他不符合《中华人民共和国政府采购法》第二十二条规定条件的信用记录。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jc w:val="left"/>
        <w:spacing w:line="360" w:lineRule="auto"/>
        <w:rPr>
          <w:rFonts w:hint="eastAsia" w:hAnsi="宋体" w:cs="宋体"/>
          <w:color w:val="auto"/>
          <w:sz w:val="24"/>
          <w:highlight w:val="none"/>
        </w:rPr>
      </w:pPr>
      <w:r>
        <w:rPr>
          <w:rFonts w:hint="eastAsia" w:ascii="宋体" w:hAnsi="宋体" w:cs="宋体"/>
          <w:color w:val="auto"/>
          <w:sz w:val="24"/>
          <w:highlight w:val="none"/>
        </w:rPr>
        <w:t xml:space="preserve">日期：</w:t>
      </w: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360" w:lineRule="auto"/>
        <w:rPr>
          <w:rFonts w:hint="eastAsia" w:ascii="宋体" w:hAnsi="宋体" w:cs="宋体"/>
          <w:b/>
          <w:color w:val="auto"/>
          <w:sz w:val="28"/>
          <w:szCs w:val="28"/>
          <w:highlight w:val="none"/>
        </w:rPr>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 </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20"/>
        <w:spacing w:line="360" w:lineRule="auto"/>
        <w:rPr>
          <w:color w:val="auto"/>
          <w:highlight w:val="none"/>
        </w:rPr>
      </w:pPr>
      <w:r>
        <w:rPr>
          <w:color w:val="auto"/>
          <w:highlight w:val="none"/>
        </w:rPr>
      </w:r>
      <w:r/>
    </w:p>
    <w:p>
      <w:pPr>
        <w:ind w:firstLine="420"/>
        <w:spacing w:line="360" w:lineRule="auto"/>
        <w:rPr>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w:t>
      </w:r>
      <w:r>
        <w:rPr>
          <w:rFonts w:hint="eastAsia" w:eastAsia="宋体"/>
          <w:color w:val="auto"/>
          <w:highlight w:val="none"/>
        </w:rPr>
        <w:t xml:space="preserve">只需按</w:t>
      </w:r>
      <w:r>
        <w:rPr>
          <w:rFonts w:hint="eastAsia"/>
          <w:color w:val="auto"/>
          <w:highlight w:val="none"/>
        </w:rPr>
        <w:t xml:space="preserve">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auto"/>
          <w:highlight w:val="none"/>
        </w:rPr>
      </w:pPr>
      <w:r>
        <w:rPr>
          <w:rFonts w:hint="eastAsia"/>
          <w:color w:val="auto"/>
          <w:highlight w:val="none"/>
        </w:rPr>
        <w:t xml:space="preserve">（2）</w:t>
      </w:r>
      <w:r>
        <w:rPr>
          <w:color w:val="auto"/>
          <w:highlight w:val="none"/>
        </w:rPr>
        <w:t xml:space="preserve">从业人员、营业收入、资产总额填报上一年度数据，无上一年度数据的新成立企业可不填报。</w:t>
      </w:r>
      <w:r/>
    </w:p>
    <w:p>
      <w:pPr>
        <w:ind w:firstLine="420"/>
        <w:spacing w:line="360" w:lineRule="auto"/>
        <w:rPr>
          <w:color w:val="auto"/>
          <w:highlight w:val="none"/>
        </w:rPr>
      </w:pPr>
      <w:r>
        <w:rPr>
          <w:rFonts w:hint="eastAsia"/>
          <w:color w:val="auto"/>
          <w:highlight w:val="none"/>
        </w:rPr>
        <w:t xml:space="preserve">（3）中标供应商的《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b/>
          <w:bCs/>
          <w:color w:val="auto"/>
          <w:sz w:val="28"/>
          <w:szCs w:val="28"/>
          <w:highlight w:val="none"/>
        </w:rPr>
      </w:r>
      <w:r/>
    </w:p>
    <w:p>
      <w:pPr>
        <w:spacing w:line="360" w:lineRule="auto"/>
        <w:rPr>
          <w:rFonts w:hint="eastAsia" w:ascii="宋体" w:hAnsi="宋体" w:cs="宋体"/>
          <w:b/>
          <w:color w:val="auto"/>
          <w:sz w:val="28"/>
          <w:szCs w:val="28"/>
          <w:highlight w:val="none"/>
        </w:rPr>
      </w:pP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p>
    <w:p>
      <w:pPr>
        <w:spacing w:line="360" w:lineRule="auto"/>
        <w:rPr>
          <w:b/>
          <w:color w:val="auto"/>
          <w:sz w:val="30"/>
          <w:szCs w:val="30"/>
          <w:highlight w:val="none"/>
        </w:rPr>
      </w:pPr>
      <w:r>
        <w:rPr>
          <w:b/>
          <w:color w:val="auto"/>
          <w:sz w:val="30"/>
          <w:szCs w:val="30"/>
          <w:highlight w:val="none"/>
        </w:rPr>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招标文件，经仔细阅读和研究，我方决定参加此项目的投标。</w:t>
      </w:r>
      <w:r/>
    </w:p>
    <w:p>
      <w:pPr>
        <w:numPr>
          <w:ilvl w:val="0"/>
          <w:numId w:val="17"/>
        </w:numPr>
        <w:ind w:left="0" w:firstLine="525"/>
        <w:spacing w:line="360" w:lineRule="auto"/>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7"/>
        </w:numPr>
        <w:ind w:left="0" w:firstLine="523"/>
        <w:spacing w:line="360" w:lineRule="auto"/>
        <w:tabs>
          <w:tab w:val="left" w:pos="0" w:leader="none"/>
          <w:tab w:val="left" w:pos="315" w:leader="none"/>
          <w:tab w:val="left" w:pos="525" w:leader="none"/>
          <w:tab w:val="clear" w:pos="552" w:leader="none"/>
          <w:tab w:val="left" w:pos="840" w:leader="none"/>
          <w:tab w:val="left" w:pos="945" w:leader="none"/>
          <w:tab w:val="left" w:pos="1050" w:leader="none"/>
        </w:tabs>
        <w:rPr>
          <w:rStyle w:val="1131"/>
          <w:rFonts w:hint="eastAsia"/>
          <w:bCs/>
          <w:color w:val="auto"/>
          <w:highlight w:val="none"/>
        </w:rPr>
      </w:pPr>
      <w:r>
        <w:rPr>
          <w:rFonts w:hint="eastAsia" w:ascii="宋体" w:hAnsi="宋体"/>
          <w:bCs/>
          <w:color w:val="auto"/>
          <w:sz w:val="24"/>
          <w:szCs w:val="24"/>
          <w:highlight w:val="none"/>
        </w:rPr>
        <w:t xml:space="preserve">我方愿意提供</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在招标文件中要求的文件、资料。</w:t>
      </w:r>
      <w:r/>
    </w:p>
    <w:p>
      <w:pPr>
        <w:numPr>
          <w:ilvl w:val="0"/>
          <w:numId w:val="17"/>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w:t>
      </w:r>
      <w:r>
        <w:rPr>
          <w:rFonts w:hint="eastAsia" w:ascii="宋体" w:hAnsi="宋体" w:eastAsia="宋体"/>
          <w:bCs/>
          <w:color w:val="auto"/>
          <w:sz w:val="24"/>
          <w:szCs w:val="24"/>
          <w:highlight w:val="none"/>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17"/>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7"/>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17"/>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7"/>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17"/>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7"/>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eastAsia="宋体"/>
          <w:bCs/>
          <w:color w:val="auto"/>
          <w:sz w:val="24"/>
          <w:szCs w:val="24"/>
          <w:highlight w:val="none"/>
        </w:rPr>
        <w:t xml:space="preserve">其他</w:t>
      </w:r>
      <w:r>
        <w:rPr>
          <w:rFonts w:hint="eastAsia" w:ascii="宋体" w:hAnsi="宋体"/>
          <w:bCs/>
          <w:color w:val="auto"/>
          <w:sz w:val="24"/>
          <w:szCs w:val="24"/>
          <w:highlight w:val="none"/>
        </w:rPr>
        <w:t xml:space="preserve">供应商或者</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恶意串通、决不向采购人、</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；传真：</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28"/>
          <w:szCs w:val="28"/>
          <w:highlight w:val="none"/>
        </w:rPr>
      </w:pPr>
      <w:r>
        <w:rPr>
          <w:rFonts w:hint="eastAsia"/>
          <w:b/>
          <w:color w:val="auto"/>
          <w:sz w:val="28"/>
          <w:szCs w:val="28"/>
          <w:highlight w:val="none"/>
        </w:rPr>
        <w:t xml:space="preserve">七、承诺书（给定格式）：</w:t>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ind w:firstLine="24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u w:val="single"/>
        </w:rPr>
        <w:t xml:space="preserve">    （</w:t>
      </w:r>
      <w:r>
        <w:rPr>
          <w:rFonts w:hint="eastAsia" w:ascii="宋体" w:hAnsi="宋体"/>
          <w:color w:val="auto"/>
          <w:sz w:val="24"/>
          <w:highlight w:val="none"/>
          <w:u w:val="single"/>
        </w:rPr>
        <w:t xml:space="preserve">投标人</w:t>
      </w:r>
      <w:r>
        <w:rPr>
          <w:rFonts w:hint="eastAsia" w:ascii="宋体" w:hAnsi="宋体"/>
          <w:color w:val="auto"/>
          <w:sz w:val="24"/>
          <w:szCs w:val="24"/>
          <w:highlight w:val="none"/>
          <w:u w:val="single"/>
        </w:rPr>
        <w:t xml:space="preserve">名称）</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rPr>
        <w:t xml:space="preserve">针对本项目</w:t>
      </w:r>
      <w:r>
        <w:rPr>
          <w:rFonts w:hint="eastAsia" w:ascii="宋体" w:hAnsi="宋体"/>
          <w:bCs/>
          <w:color w:val="auto"/>
          <w:sz w:val="24"/>
          <w:szCs w:val="24"/>
          <w:highlight w:val="none"/>
        </w:rPr>
        <w:t xml:space="preserve">编号</w:t>
      </w:r>
      <w:r>
        <w:rPr>
          <w:rFonts w:hint="eastAsia" w:ascii="宋体" w:hAnsi="宋体" w:eastAsia="宋体"/>
          <w:bCs/>
          <w:color w:val="auto"/>
          <w:sz w:val="24"/>
          <w:szCs w:val="24"/>
          <w:highlight w:val="none"/>
          <w:u w:val="single"/>
        </w:rPr>
        <w:t xml:space="preserve">                 </w:t>
      </w:r>
      <w:r>
        <w:rPr>
          <w:rFonts w:hint="eastAsia" w:ascii="宋体" w:hAnsi="宋体"/>
          <w:color w:val="auto"/>
          <w:sz w:val="24"/>
          <w:szCs w:val="24"/>
          <w:highlight w:val="none"/>
        </w:rPr>
        <w:t xml:space="preserve">在此承诺：</w:t>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2.本项目中如有</w:t>
      </w:r>
      <w:r>
        <w:rPr>
          <w:rFonts w:hint="eastAsia" w:ascii="宋体" w:eastAsia="宋体"/>
          <w:bCs/>
          <w:color w:val="auto"/>
          <w:sz w:val="24"/>
          <w:szCs w:val="24"/>
          <w:highlight w:val="none"/>
        </w:rPr>
        <w:t xml:space="preserve">涉及</w:t>
      </w:r>
      <w:r>
        <w:rPr>
          <w:rFonts w:hint="eastAsia" w:ascii="宋体"/>
          <w:bCs/>
          <w:color w:val="auto"/>
          <w:sz w:val="24"/>
          <w:szCs w:val="24"/>
          <w:highlight w:val="none"/>
        </w:rPr>
        <w:t xml:space="preserve">商品包装、快递包装要求的，本公司（单位）对于中标产品的包装将严格</w:t>
      </w:r>
      <w:r>
        <w:rPr>
          <w:rFonts w:hint="eastAsia" w:ascii="宋体" w:eastAsia="宋体"/>
          <w:bCs/>
          <w:color w:val="auto"/>
          <w:sz w:val="24"/>
          <w:szCs w:val="24"/>
          <w:highlight w:val="none"/>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hAnsi="宋体" w:cs="宋体"/>
          <w:color w:val="auto"/>
          <w:sz w:val="24"/>
          <w:szCs w:val="24"/>
          <w:highlight w:val="none"/>
        </w:rPr>
      </w:pPr>
      <w:r>
        <w:rPr>
          <w:rFonts w:hint="eastAsia" w:ascii="宋体"/>
          <w:bCs/>
          <w:color w:val="auto"/>
          <w:sz w:val="24"/>
          <w:szCs w:val="24"/>
          <w:highlight w:val="none"/>
        </w:rPr>
        <w:t xml:space="preserve">4.</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hint="eastAsia"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numPr>
          <w:ilvl w:val="0"/>
          <w:numId w:val="18"/>
        </w:numPr>
        <w:spacing w:line="360" w:lineRule="auto"/>
        <w:rPr>
          <w:b/>
          <w:color w:val="auto"/>
          <w:sz w:val="28"/>
          <w:szCs w:val="28"/>
          <w:highlight w:val="none"/>
        </w:rPr>
      </w:pPr>
      <w:r>
        <w:rPr>
          <w:rFonts w:hint="eastAsia"/>
          <w:b/>
          <w:color w:val="auto"/>
          <w:sz w:val="28"/>
          <w:szCs w:val="28"/>
          <w:highlight w:val="none"/>
        </w:rPr>
        <w:t xml:space="preserve">开标一览表（给定格式）：</w:t>
      </w:r>
      <w:r/>
    </w:p>
    <w:p>
      <w:pPr>
        <w:jc w:val="center"/>
        <w:spacing w:line="360" w:lineRule="auto"/>
        <w:rPr>
          <w:rFonts w:hint="eastAsia" w:ascii="黑体" w:eastAsia="黑体"/>
          <w:bCs/>
          <w:color w:val="auto"/>
          <w:sz w:val="28"/>
          <w:szCs w:val="28"/>
          <w:highlight w:val="none"/>
          <w:lang w:eastAsia="zh-CN"/>
        </w:rPr>
        <w:outlineLvl w:val="0"/>
      </w:pPr>
      <w:r>
        <w:rPr>
          <w:rFonts w:hint="eastAsia" w:ascii="黑体" w:eastAsia="黑体"/>
          <w:bCs/>
          <w:color w:val="auto"/>
          <w:sz w:val="28"/>
          <w:szCs w:val="28"/>
          <w:highlight w:val="none"/>
        </w:rPr>
        <w:t xml:space="preserve">开标一览表</w:t>
      </w:r>
      <w:r>
        <w:rPr>
          <w:rFonts w:hint="eastAsia" w:ascii="黑体" w:eastAsia="黑体"/>
          <w:bCs/>
          <w:color w:val="auto"/>
          <w:sz w:val="28"/>
          <w:szCs w:val="28"/>
          <w:highlight w:val="none"/>
          <w:lang w:eastAsia="zh-CN"/>
        </w:rPr>
        <w:t xml:space="preserve">（</w:t>
      </w:r>
      <w:r>
        <w:rPr>
          <w:rFonts w:hint="eastAsia" w:ascii="黑体" w:eastAsia="黑体"/>
          <w:bCs/>
          <w:color w:val="auto"/>
          <w:sz w:val="28"/>
          <w:szCs w:val="28"/>
          <w:highlight w:val="none"/>
          <w:lang w:val="en-US" w:eastAsia="zh-CN"/>
        </w:rPr>
        <w:t xml:space="preserve">采购包1</w:t>
      </w:r>
      <w:r>
        <w:rPr>
          <w:rFonts w:hint="eastAsia" w:ascii="黑体" w:eastAsia="黑体"/>
          <w:bCs/>
          <w:color w:val="auto"/>
          <w:sz w:val="28"/>
          <w:szCs w:val="28"/>
          <w:highlight w:val="none"/>
          <w:lang w:eastAsia="zh-CN"/>
        </w:rPr>
        <w:t xml:space="preserve">）</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8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736"/>
        <w:tblW w:w="88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jc w:val="center"/>
          <w:trHeight w:val="567"/>
        </w:trPr>
        <w:tc>
          <w:tcPr>
            <w:tcW w:w="5697"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lang w:val="en-US" w:eastAsia="zh-CN"/>
              </w:rPr>
              <w:t xml:space="preserve">投标报价</w:t>
            </w:r>
            <w:r>
              <w:rPr>
                <w:rFonts w:hint="eastAsia" w:ascii="宋体" w:hAnsi="宋体" w:eastAsia="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hint="eastAsia" w:ascii="宋体" w:hAnsi="宋体" w:eastAsia="宋体"/>
                <w:b/>
                <w:bCs/>
                <w:color w:val="auto"/>
                <w:sz w:val="24"/>
                <w:szCs w:val="24"/>
                <w:highlight w:val="none"/>
              </w:rPr>
              <w:t xml:space="preserve">）</w:t>
            </w:r>
            <w:r/>
          </w:p>
        </w:tc>
      </w:tr>
      <w:tr>
        <w:trPr>
          <w:cantSplit/>
          <w:jc w:val="center"/>
          <w:trHeight w:val="1630"/>
        </w:trPr>
        <w:tc>
          <w:tcPr>
            <w:tcW w:w="5697" w:type="dxa"/>
            <w:vAlign w:val="center"/>
            <w:textDirection w:val="lrTb"/>
            <w:noWrap w:val="false"/>
          </w:tcPr>
          <w:p>
            <w:pPr>
              <w:pStyle w:val="871"/>
              <w:jc w:val="center"/>
              <w:spacing w:line="360" w:lineRule="auto"/>
              <w:rPr>
                <w:rFonts w:hint="eastAsia" w:hAnsi="宋体"/>
                <w:bCs/>
                <w:color w:val="auto"/>
                <w:szCs w:val="24"/>
                <w:highlight w:val="none"/>
              </w:rPr>
            </w:pPr>
            <w:r>
              <w:rPr>
                <w:rFonts w:hint="eastAsia" w:hAnsi="宋体"/>
                <w:bCs/>
                <w:color w:val="auto"/>
                <w:szCs w:val="24"/>
                <w:highlight w:val="none"/>
              </w:rPr>
            </w:r>
            <w:r/>
          </w:p>
        </w:tc>
        <w:tc>
          <w:tcPr>
            <w:tcW w:w="3188" w:type="dxa"/>
            <w:vAlign w:val="center"/>
            <w:textDirection w:val="lrTb"/>
            <w:noWrap w:val="false"/>
          </w:tcPr>
          <w:p>
            <w:pPr>
              <w:pStyle w:val="871"/>
              <w:spacing w:line="360" w:lineRule="auto"/>
              <w:rPr>
                <w:rFonts w:hint="eastAsia" w:hAnsi="宋体"/>
                <w:b/>
                <w:color w:val="auto"/>
                <w:szCs w:val="24"/>
                <w:highlight w:val="none"/>
              </w:rPr>
            </w:pPr>
            <w:r>
              <w:rPr>
                <w:rFonts w:hint="eastAsia" w:hAnsi="宋体"/>
                <w:b/>
                <w:color w:val="auto"/>
                <w:szCs w:val="24"/>
                <w:highlight w:val="none"/>
              </w:rPr>
            </w:r>
            <w:r/>
          </w:p>
        </w:tc>
      </w:tr>
      <w:tr>
        <w:trPr>
          <w:cantSplit/>
          <w:jc w:val="center"/>
          <w:trHeight w:val="780"/>
        </w:trPr>
        <w:tc>
          <w:tcPr>
            <w:gridSpan w:val="2"/>
            <w:tcW w:w="8885" w:type="dxa"/>
            <w:vAlign w:val="center"/>
            <w:textDirection w:val="lrTb"/>
            <w:noWrap w:val="false"/>
          </w:tcPr>
          <w:p>
            <w:pPr>
              <w:spacing w:line="360" w:lineRule="auto"/>
              <w:rPr>
                <w:rFonts w:hint="eastAsia" w:ascii="宋体" w:hAnsi="宋体"/>
                <w:bCs/>
                <w:color w:val="auto"/>
                <w:sz w:val="24"/>
                <w:szCs w:val="24"/>
                <w:highlight w:val="none"/>
              </w:rPr>
            </w:pPr>
            <w:r>
              <w:rPr>
                <w:rFonts w:hint="eastAsia" w:ascii="宋体" w:hAnsi="宋体"/>
                <w:b/>
                <w:bCs/>
                <w:color w:val="auto"/>
                <w:sz w:val="24"/>
                <w:szCs w:val="24"/>
                <w:highlight w:val="none"/>
                <w:lang w:val="en-US" w:eastAsia="zh-CN"/>
              </w:rPr>
              <w:t xml:space="preserve">投标报价（大写）：　</w:t>
            </w:r>
            <w:r>
              <w:rPr>
                <w:rFonts w:hint="eastAsia" w:ascii="宋体" w:hAnsi="宋体"/>
                <w:bCs/>
                <w:color w:val="auto"/>
                <w:sz w:val="24"/>
                <w:szCs w:val="24"/>
                <w:highlight w:val="none"/>
              </w:rPr>
              <w:t xml:space="preserve">　　</w:t>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ind w:firstLine="48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hint="eastAsia" w:ascii="宋体" w:hAnsi="宋体"/>
          <w:b/>
          <w:bCs/>
          <w:color w:val="auto"/>
          <w:sz w:val="24"/>
          <w:highlight w:val="none"/>
        </w:rPr>
      </w:pPr>
      <w:r/>
      <w:bookmarkStart w:id="163" w:name="_Hlk165208335"/>
      <w:r/>
      <w:r/>
    </w:p>
    <w:p>
      <w:pPr>
        <w:ind w:firstLine="482"/>
        <w:keepLines w:val="0"/>
        <w:keepNext w:val="0"/>
        <w:pageBreakBefore w:val="0"/>
        <w:spacing w:line="360"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填写说明：</w:t>
      </w:r>
      <w:bookmarkEnd w:id="163"/>
      <w:r/>
      <w:r/>
    </w:p>
    <w:p>
      <w:pPr>
        <w:ind w:firstLine="482"/>
        <w:keepLines w:val="0"/>
        <w:keepNext w:val="0"/>
        <w:pageBreakBefore w:val="0"/>
        <w:spacing w:line="360" w:lineRule="auto"/>
        <w:widowControl w:val="off"/>
        <w:rPr>
          <w:rFonts w:hint="eastAsia" w:ascii="宋体" w:hAnsi="宋体" w:eastAsia="宋体" w:cs="Times New Roman"/>
          <w:b/>
          <w:bCs/>
          <w:color w:val="auto"/>
          <w:sz w:val="24"/>
          <w:highlight w:val="none"/>
          <w:lang w:eastAsia="zh-CN"/>
        </w:rPr>
      </w:pPr>
      <w:r>
        <w:rPr>
          <w:rFonts w:hint="eastAsia" w:ascii="宋体" w:hAnsi="宋体" w:eastAsia="宋体" w:cs="Times New Roman"/>
          <w:b/>
          <w:bCs/>
          <w:color w:val="auto"/>
          <w:sz w:val="24"/>
          <w:highlight w:val="none"/>
        </w:rPr>
        <w:t xml:space="preserve">1、本次投标报价包含本项目实施期间产生的所有费用</w:t>
      </w:r>
      <w:r>
        <w:rPr>
          <w:rFonts w:hint="eastAsia" w:ascii="宋体" w:hAnsi="宋体" w:eastAsia="宋体" w:cs="Times New Roman"/>
          <w:b/>
          <w:bCs/>
          <w:color w:val="auto"/>
          <w:sz w:val="24"/>
          <w:highlight w:val="none"/>
          <w:lang w:eastAsia="zh-CN"/>
        </w:rPr>
        <w:t xml:space="preserve">；</w:t>
      </w:r>
      <w:r/>
    </w:p>
    <w:p>
      <w:pPr>
        <w:ind w:firstLine="482"/>
        <w:keepLines w:val="0"/>
        <w:keepNext w:val="0"/>
        <w:pageBreakBefore w:val="0"/>
        <w:spacing w:line="360" w:lineRule="auto"/>
        <w:widowControl w:val="off"/>
        <w:rPr>
          <w:rFonts w:hint="eastAsia" w:ascii="宋体" w:hAnsi="宋体"/>
          <w:b/>
          <w:bCs/>
          <w:color w:val="auto"/>
          <w:sz w:val="24"/>
          <w:highlight w:val="none"/>
          <w:lang w:eastAsia="zh-CN"/>
        </w:rPr>
      </w:pPr>
      <w:r>
        <w:rPr>
          <w:rFonts w:hint="eastAsia" w:ascii="宋体" w:hAnsi="宋体" w:eastAsia="宋体" w:cs="Times New Roman"/>
          <w:b/>
          <w:bCs/>
          <w:color w:val="auto"/>
          <w:sz w:val="24"/>
          <w:highlight w:val="none"/>
          <w:lang w:val="en-US" w:eastAsia="zh-CN"/>
        </w:rPr>
        <w:t xml:space="preserve">2、</w:t>
      </w:r>
      <w:r>
        <w:rPr>
          <w:rFonts w:hint="eastAsia" w:ascii="宋体" w:hAnsi="宋体"/>
          <w:b/>
          <w:bCs/>
          <w:color w:val="auto"/>
          <w:sz w:val="24"/>
          <w:highlight w:val="none"/>
        </w:rPr>
        <w:t xml:space="preserve">报价币种为人民币元</w:t>
      </w:r>
      <w:r>
        <w:rPr>
          <w:rFonts w:hint="eastAsia" w:ascii="宋体" w:hAnsi="宋体"/>
          <w:b/>
          <w:bCs/>
          <w:color w:val="auto"/>
          <w:sz w:val="24"/>
          <w:highlight w:val="none"/>
          <w:lang w:eastAsia="zh-CN"/>
        </w:rPr>
        <w:t xml:space="preserve">。</w:t>
      </w:r>
      <w:r/>
    </w:p>
    <w:p>
      <w:pPr>
        <w:rPr>
          <w:rFonts w:hint="eastAsia" w:ascii="宋体" w:hAnsi="宋体"/>
          <w:b/>
          <w:bCs/>
          <w:color w:val="auto"/>
          <w:sz w:val="24"/>
          <w:highlight w:val="none"/>
          <w:lang w:eastAsia="zh-CN"/>
        </w:rPr>
      </w:pPr>
      <w:r>
        <w:rPr>
          <w:rFonts w:hint="eastAsia" w:ascii="宋体" w:hAnsi="宋体"/>
          <w:b/>
          <w:bCs/>
          <w:color w:val="auto"/>
          <w:sz w:val="24"/>
          <w:highlight w:val="none"/>
          <w:lang w:eastAsia="zh-CN"/>
        </w:rPr>
        <w:br w:type="page" w:clear="all"/>
      </w:r>
      <w:r/>
    </w:p>
    <w:p>
      <w:pPr>
        <w:jc w:val="center"/>
        <w:spacing w:line="360" w:lineRule="auto"/>
        <w:rPr>
          <w:rFonts w:hint="eastAsia" w:ascii="黑体" w:eastAsia="黑体"/>
          <w:bCs/>
          <w:color w:val="auto"/>
          <w:sz w:val="28"/>
          <w:szCs w:val="28"/>
          <w:highlight w:val="none"/>
          <w:lang w:eastAsia="zh-CN"/>
        </w:rPr>
        <w:outlineLvl w:val="0"/>
      </w:pPr>
      <w:r>
        <w:rPr>
          <w:rFonts w:hint="eastAsia" w:ascii="黑体" w:eastAsia="黑体"/>
          <w:bCs/>
          <w:color w:val="auto"/>
          <w:sz w:val="28"/>
          <w:szCs w:val="28"/>
          <w:highlight w:val="none"/>
        </w:rPr>
        <w:t xml:space="preserve">开标一览表</w:t>
      </w:r>
      <w:r>
        <w:rPr>
          <w:rFonts w:hint="eastAsia" w:ascii="黑体" w:eastAsia="黑体"/>
          <w:bCs/>
          <w:color w:val="auto"/>
          <w:sz w:val="28"/>
          <w:szCs w:val="28"/>
          <w:highlight w:val="none"/>
          <w:lang w:eastAsia="zh-CN"/>
        </w:rPr>
        <w:t xml:space="preserve">（</w:t>
      </w:r>
      <w:r>
        <w:rPr>
          <w:rFonts w:hint="eastAsia" w:ascii="黑体" w:eastAsia="黑体"/>
          <w:bCs/>
          <w:color w:val="auto"/>
          <w:sz w:val="28"/>
          <w:szCs w:val="28"/>
          <w:highlight w:val="none"/>
          <w:lang w:val="en-US" w:eastAsia="zh-CN"/>
        </w:rPr>
        <w:t xml:space="preserve">采购包2</w:t>
      </w:r>
      <w:r>
        <w:rPr>
          <w:rFonts w:hint="eastAsia" w:ascii="黑体" w:eastAsia="黑体"/>
          <w:bCs/>
          <w:color w:val="auto"/>
          <w:sz w:val="28"/>
          <w:szCs w:val="28"/>
          <w:highlight w:val="none"/>
          <w:lang w:eastAsia="zh-CN"/>
        </w:rPr>
        <w:t xml:space="preserve">）</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8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736"/>
        <w:tblW w:w="88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jc w:val="center"/>
          <w:trHeight w:val="567"/>
        </w:trPr>
        <w:tc>
          <w:tcPr>
            <w:tcW w:w="5697"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lang w:val="en-US" w:eastAsia="zh-CN"/>
              </w:rPr>
              <w:t xml:space="preserve">投标报价</w:t>
            </w:r>
            <w:r>
              <w:rPr>
                <w:rFonts w:hint="eastAsia" w:ascii="宋体" w:hAnsi="宋体" w:eastAsia="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hint="eastAsia" w:ascii="宋体" w:hAnsi="宋体" w:eastAsia="宋体"/>
                <w:b/>
                <w:bCs/>
                <w:color w:val="auto"/>
                <w:sz w:val="24"/>
                <w:szCs w:val="24"/>
                <w:highlight w:val="none"/>
              </w:rPr>
              <w:t xml:space="preserve">）</w:t>
            </w:r>
            <w:r/>
          </w:p>
        </w:tc>
      </w:tr>
      <w:tr>
        <w:trPr>
          <w:cantSplit/>
          <w:jc w:val="center"/>
          <w:trHeight w:val="1630"/>
        </w:trPr>
        <w:tc>
          <w:tcPr>
            <w:tcW w:w="5697" w:type="dxa"/>
            <w:vAlign w:val="center"/>
            <w:textDirection w:val="lrTb"/>
            <w:noWrap w:val="false"/>
          </w:tcPr>
          <w:p>
            <w:pPr>
              <w:pStyle w:val="871"/>
              <w:jc w:val="center"/>
              <w:spacing w:line="360" w:lineRule="auto"/>
              <w:rPr>
                <w:rFonts w:hint="eastAsia" w:hAnsi="宋体"/>
                <w:bCs/>
                <w:color w:val="auto"/>
                <w:szCs w:val="24"/>
                <w:highlight w:val="none"/>
              </w:rPr>
            </w:pPr>
            <w:r>
              <w:rPr>
                <w:rFonts w:hint="eastAsia" w:hAnsi="宋体"/>
                <w:bCs/>
                <w:color w:val="auto"/>
                <w:szCs w:val="24"/>
                <w:highlight w:val="none"/>
              </w:rPr>
            </w:r>
            <w:r/>
          </w:p>
        </w:tc>
        <w:tc>
          <w:tcPr>
            <w:tcW w:w="3188" w:type="dxa"/>
            <w:vAlign w:val="center"/>
            <w:textDirection w:val="lrTb"/>
            <w:noWrap w:val="false"/>
          </w:tcPr>
          <w:p>
            <w:pPr>
              <w:pStyle w:val="871"/>
              <w:spacing w:line="360" w:lineRule="auto"/>
              <w:rPr>
                <w:rFonts w:hint="eastAsia" w:hAnsi="宋体"/>
                <w:b/>
                <w:color w:val="auto"/>
                <w:szCs w:val="24"/>
                <w:highlight w:val="none"/>
              </w:rPr>
            </w:pPr>
            <w:r>
              <w:rPr>
                <w:rFonts w:hint="eastAsia" w:hAnsi="宋体"/>
                <w:b/>
                <w:color w:val="auto"/>
                <w:szCs w:val="24"/>
                <w:highlight w:val="none"/>
              </w:rPr>
            </w:r>
            <w:r/>
          </w:p>
        </w:tc>
      </w:tr>
      <w:tr>
        <w:trPr>
          <w:cantSplit/>
          <w:jc w:val="center"/>
          <w:trHeight w:val="780"/>
        </w:trPr>
        <w:tc>
          <w:tcPr>
            <w:gridSpan w:val="2"/>
            <w:tcW w:w="8885" w:type="dxa"/>
            <w:vAlign w:val="center"/>
            <w:textDirection w:val="lrTb"/>
            <w:noWrap w:val="false"/>
          </w:tcPr>
          <w:p>
            <w:pPr>
              <w:spacing w:line="360" w:lineRule="auto"/>
              <w:rPr>
                <w:rFonts w:hint="eastAsia" w:ascii="宋体" w:hAnsi="宋体"/>
                <w:bCs/>
                <w:color w:val="auto"/>
                <w:sz w:val="24"/>
                <w:szCs w:val="24"/>
                <w:highlight w:val="none"/>
              </w:rPr>
            </w:pPr>
            <w:r>
              <w:rPr>
                <w:rFonts w:hint="eastAsia" w:ascii="宋体" w:hAnsi="宋体"/>
                <w:b/>
                <w:bCs/>
                <w:color w:val="auto"/>
                <w:sz w:val="24"/>
                <w:szCs w:val="24"/>
                <w:highlight w:val="none"/>
                <w:lang w:val="en-US" w:eastAsia="zh-CN"/>
              </w:rPr>
              <w:t xml:space="preserve">投标报价（大写）：　</w:t>
            </w:r>
            <w:r>
              <w:rPr>
                <w:rFonts w:hint="eastAsia" w:ascii="宋体" w:hAnsi="宋体"/>
                <w:bCs/>
                <w:color w:val="auto"/>
                <w:sz w:val="24"/>
                <w:szCs w:val="24"/>
                <w:highlight w:val="none"/>
              </w:rPr>
              <w:t xml:space="preserve">　　</w:t>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ind w:firstLine="48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r>
      <w:r/>
    </w:p>
    <w:p>
      <w:pPr>
        <w:ind w:firstLine="482"/>
        <w:keepLines w:val="0"/>
        <w:keepNext w:val="0"/>
        <w:pageBreakBefore w:val="0"/>
        <w:spacing w:line="360"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填写说明：</w:t>
      </w:r>
      <w:r/>
    </w:p>
    <w:p>
      <w:pPr>
        <w:ind w:firstLine="482"/>
        <w:keepLines w:val="0"/>
        <w:keepNext w:val="0"/>
        <w:pageBreakBefore w:val="0"/>
        <w:spacing w:line="360" w:lineRule="auto"/>
        <w:widowControl w:val="off"/>
        <w:rPr>
          <w:rFonts w:hint="eastAsia" w:ascii="宋体" w:hAnsi="宋体" w:eastAsia="宋体" w:cs="Times New Roman"/>
          <w:b/>
          <w:bCs/>
          <w:color w:val="auto"/>
          <w:sz w:val="24"/>
          <w:highlight w:val="none"/>
          <w:lang w:eastAsia="zh-CN"/>
        </w:rPr>
      </w:pPr>
      <w:r>
        <w:rPr>
          <w:rFonts w:hint="eastAsia" w:ascii="宋体" w:hAnsi="宋体" w:eastAsia="宋体" w:cs="Times New Roman"/>
          <w:b/>
          <w:bCs/>
          <w:color w:val="auto"/>
          <w:sz w:val="24"/>
          <w:highlight w:val="none"/>
        </w:rPr>
        <w:t xml:space="preserve">1、本次投标报价包含本项目实施期间产生的所有费用</w:t>
      </w:r>
      <w:r>
        <w:rPr>
          <w:rFonts w:hint="eastAsia" w:ascii="宋体" w:hAnsi="宋体" w:eastAsia="宋体" w:cs="Times New Roman"/>
          <w:b/>
          <w:bCs/>
          <w:color w:val="auto"/>
          <w:sz w:val="24"/>
          <w:highlight w:val="none"/>
          <w:lang w:eastAsia="zh-CN"/>
        </w:rPr>
        <w:t xml:space="preserve">；</w:t>
      </w:r>
      <w:r/>
    </w:p>
    <w:p>
      <w:pPr>
        <w:pStyle w:val="772"/>
        <w:ind w:left="0" w:firstLine="482"/>
        <w:rPr>
          <w:rFonts w:hint="eastAsia"/>
          <w:color w:val="auto"/>
          <w:highlight w:val="none"/>
          <w:lang w:val="en-US" w:eastAsia="zh-CN"/>
        </w:rPr>
      </w:pPr>
      <w:r>
        <w:rPr>
          <w:rFonts w:hint="eastAsia" w:ascii="宋体" w:hAnsi="宋体" w:eastAsia="宋体" w:cs="Times New Roman"/>
          <w:b/>
          <w:bCs/>
          <w:color w:val="auto"/>
          <w:sz w:val="24"/>
          <w:highlight w:val="none"/>
          <w:lang w:val="en-US" w:eastAsia="zh-CN"/>
        </w:rPr>
        <w:t xml:space="preserve">2、</w:t>
      </w:r>
      <w:r>
        <w:rPr>
          <w:rFonts w:hint="eastAsia" w:ascii="宋体" w:hAnsi="宋体"/>
          <w:b/>
          <w:bCs/>
          <w:color w:val="auto"/>
          <w:sz w:val="24"/>
          <w:highlight w:val="none"/>
        </w:rPr>
        <w:t xml:space="preserve">报价币种为人民币元</w:t>
      </w:r>
      <w:r>
        <w:rPr>
          <w:rFonts w:hint="eastAsia" w:ascii="宋体" w:hAnsi="宋体"/>
          <w:b/>
          <w:bCs/>
          <w:color w:val="auto"/>
          <w:sz w:val="24"/>
          <w:highlight w:val="none"/>
          <w:lang w:eastAsia="zh-CN"/>
        </w:rPr>
        <w:t xml:space="preserve">。</w:t>
      </w:r>
      <w:r/>
    </w:p>
    <w:p>
      <w:pPr>
        <w:rPr>
          <w:rFonts w:hint="eastAsia" w:ascii="宋体" w:hAnsi="宋体"/>
          <w:b/>
          <w:bCs/>
          <w:color w:val="auto"/>
          <w:sz w:val="24"/>
          <w:highlight w:val="none"/>
        </w:rPr>
      </w:pPr>
      <w:r>
        <w:rPr>
          <w:rFonts w:hint="eastAsia" w:ascii="宋体" w:hAnsi="宋体"/>
          <w:b/>
          <w:bCs/>
          <w:color w:val="auto"/>
          <w:sz w:val="24"/>
          <w:highlight w:val="none"/>
        </w:rPr>
        <w:br w:type="page" w:clear="all"/>
      </w:r>
      <w:r/>
    </w:p>
    <w:p>
      <w:pPr>
        <w:jc w:val="center"/>
        <w:spacing w:line="360" w:lineRule="auto"/>
        <w:rPr>
          <w:rFonts w:hint="eastAsia" w:ascii="黑体" w:eastAsia="黑体"/>
          <w:bCs/>
          <w:color w:val="auto"/>
          <w:sz w:val="28"/>
          <w:szCs w:val="28"/>
          <w:highlight w:val="none"/>
          <w:lang w:eastAsia="zh-CN"/>
        </w:rPr>
        <w:outlineLvl w:val="0"/>
      </w:pPr>
      <w:r>
        <w:rPr>
          <w:rFonts w:hint="eastAsia" w:ascii="黑体" w:eastAsia="黑体"/>
          <w:bCs/>
          <w:color w:val="auto"/>
          <w:sz w:val="28"/>
          <w:szCs w:val="28"/>
          <w:highlight w:val="none"/>
        </w:rPr>
        <w:t xml:space="preserve">开标一览表</w:t>
      </w:r>
      <w:r>
        <w:rPr>
          <w:rFonts w:hint="eastAsia" w:ascii="黑体" w:eastAsia="黑体"/>
          <w:bCs/>
          <w:color w:val="auto"/>
          <w:sz w:val="28"/>
          <w:szCs w:val="28"/>
          <w:highlight w:val="none"/>
          <w:lang w:eastAsia="zh-CN"/>
        </w:rPr>
        <w:t xml:space="preserve">（</w:t>
      </w:r>
      <w:r>
        <w:rPr>
          <w:rFonts w:hint="eastAsia" w:ascii="黑体" w:eastAsia="黑体"/>
          <w:bCs/>
          <w:color w:val="auto"/>
          <w:sz w:val="28"/>
          <w:szCs w:val="28"/>
          <w:highlight w:val="none"/>
          <w:lang w:val="en-US" w:eastAsia="zh-CN"/>
        </w:rPr>
        <w:t xml:space="preserve">采购包3</w:t>
      </w:r>
      <w:r>
        <w:rPr>
          <w:rFonts w:hint="eastAsia" w:ascii="黑体" w:eastAsia="黑体"/>
          <w:bCs/>
          <w:color w:val="auto"/>
          <w:sz w:val="28"/>
          <w:szCs w:val="28"/>
          <w:highlight w:val="none"/>
          <w:lang w:eastAsia="zh-CN"/>
        </w:rPr>
        <w:t xml:space="preserve">）</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8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736"/>
        <w:tblW w:w="88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jc w:val="center"/>
          <w:trHeight w:val="567"/>
        </w:trPr>
        <w:tc>
          <w:tcPr>
            <w:tcW w:w="5697"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lang w:val="en-US" w:eastAsia="zh-CN"/>
              </w:rPr>
              <w:t xml:space="preserve">投标报价</w:t>
            </w:r>
            <w:r>
              <w:rPr>
                <w:rFonts w:hint="eastAsia" w:ascii="宋体" w:hAnsi="宋体" w:eastAsia="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hint="eastAsia" w:ascii="宋体" w:hAnsi="宋体" w:eastAsia="宋体"/>
                <w:b/>
                <w:bCs/>
                <w:color w:val="auto"/>
                <w:sz w:val="24"/>
                <w:szCs w:val="24"/>
                <w:highlight w:val="none"/>
              </w:rPr>
              <w:t xml:space="preserve">）</w:t>
            </w:r>
            <w:r/>
          </w:p>
        </w:tc>
      </w:tr>
      <w:tr>
        <w:trPr>
          <w:cantSplit/>
          <w:jc w:val="center"/>
          <w:trHeight w:val="1630"/>
        </w:trPr>
        <w:tc>
          <w:tcPr>
            <w:tcW w:w="5697" w:type="dxa"/>
            <w:vAlign w:val="center"/>
            <w:textDirection w:val="lrTb"/>
            <w:noWrap w:val="false"/>
          </w:tcPr>
          <w:p>
            <w:pPr>
              <w:pStyle w:val="871"/>
              <w:jc w:val="center"/>
              <w:spacing w:line="360" w:lineRule="auto"/>
              <w:rPr>
                <w:rFonts w:hint="eastAsia" w:hAnsi="宋体"/>
                <w:bCs/>
                <w:color w:val="auto"/>
                <w:szCs w:val="24"/>
                <w:highlight w:val="none"/>
              </w:rPr>
            </w:pPr>
            <w:r>
              <w:rPr>
                <w:rFonts w:hint="eastAsia" w:hAnsi="宋体"/>
                <w:bCs/>
                <w:color w:val="auto"/>
                <w:szCs w:val="24"/>
                <w:highlight w:val="none"/>
              </w:rPr>
            </w:r>
            <w:r/>
          </w:p>
        </w:tc>
        <w:tc>
          <w:tcPr>
            <w:tcW w:w="3188" w:type="dxa"/>
            <w:vAlign w:val="center"/>
            <w:textDirection w:val="lrTb"/>
            <w:noWrap w:val="false"/>
          </w:tcPr>
          <w:p>
            <w:pPr>
              <w:pStyle w:val="871"/>
              <w:spacing w:line="360" w:lineRule="auto"/>
              <w:rPr>
                <w:rFonts w:hint="eastAsia" w:hAnsi="宋体"/>
                <w:b/>
                <w:color w:val="auto"/>
                <w:szCs w:val="24"/>
                <w:highlight w:val="none"/>
              </w:rPr>
            </w:pPr>
            <w:r>
              <w:rPr>
                <w:rFonts w:hint="eastAsia" w:hAnsi="宋体"/>
                <w:b/>
                <w:color w:val="auto"/>
                <w:szCs w:val="24"/>
                <w:highlight w:val="none"/>
              </w:rPr>
            </w:r>
            <w:r/>
          </w:p>
        </w:tc>
      </w:tr>
      <w:tr>
        <w:trPr>
          <w:cantSplit/>
          <w:jc w:val="center"/>
          <w:trHeight w:val="780"/>
        </w:trPr>
        <w:tc>
          <w:tcPr>
            <w:gridSpan w:val="2"/>
            <w:tcW w:w="8885" w:type="dxa"/>
            <w:vAlign w:val="center"/>
            <w:textDirection w:val="lrTb"/>
            <w:noWrap w:val="false"/>
          </w:tcPr>
          <w:p>
            <w:pPr>
              <w:spacing w:line="360" w:lineRule="auto"/>
              <w:rPr>
                <w:rFonts w:hint="eastAsia" w:ascii="宋体" w:hAnsi="宋体"/>
                <w:bCs/>
                <w:color w:val="auto"/>
                <w:sz w:val="24"/>
                <w:szCs w:val="24"/>
                <w:highlight w:val="none"/>
              </w:rPr>
            </w:pPr>
            <w:r>
              <w:rPr>
                <w:rFonts w:hint="eastAsia" w:ascii="宋体" w:hAnsi="宋体"/>
                <w:b/>
                <w:bCs/>
                <w:color w:val="auto"/>
                <w:sz w:val="24"/>
                <w:szCs w:val="24"/>
                <w:highlight w:val="none"/>
                <w:lang w:val="en-US" w:eastAsia="zh-CN"/>
              </w:rPr>
              <w:t xml:space="preserve">投标报价（大写）：　</w:t>
            </w:r>
            <w:r>
              <w:rPr>
                <w:rFonts w:hint="eastAsia" w:ascii="宋体" w:hAnsi="宋体"/>
                <w:bCs/>
                <w:color w:val="auto"/>
                <w:sz w:val="24"/>
                <w:szCs w:val="24"/>
                <w:highlight w:val="none"/>
              </w:rPr>
              <w:t xml:space="preserve">　　</w:t>
            </w:r>
            <w:r/>
          </w:p>
        </w:tc>
      </w:tr>
    </w:tbl>
    <w:p>
      <w:pPr>
        <w:ind w:firstLine="480"/>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firstLine="48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r>
      <w:r/>
    </w:p>
    <w:p>
      <w:pPr>
        <w:ind w:firstLine="482"/>
        <w:keepLines w:val="0"/>
        <w:keepNext w:val="0"/>
        <w:pageBreakBefore w:val="0"/>
        <w:spacing w:line="360"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填写说明：</w:t>
      </w:r>
      <w:r/>
    </w:p>
    <w:p>
      <w:pPr>
        <w:ind w:firstLine="482"/>
        <w:keepLines w:val="0"/>
        <w:keepNext w:val="0"/>
        <w:pageBreakBefore w:val="0"/>
        <w:spacing w:line="360" w:lineRule="auto"/>
        <w:widowControl w:val="off"/>
        <w:rPr>
          <w:rFonts w:hint="eastAsia" w:ascii="宋体" w:hAnsi="宋体" w:eastAsia="宋体" w:cs="Times New Roman"/>
          <w:b/>
          <w:bCs/>
          <w:color w:val="auto"/>
          <w:sz w:val="24"/>
          <w:highlight w:val="none"/>
          <w:lang w:eastAsia="zh-CN"/>
        </w:rPr>
      </w:pPr>
      <w:r>
        <w:rPr>
          <w:rFonts w:hint="eastAsia" w:ascii="宋体" w:hAnsi="宋体" w:eastAsia="宋体" w:cs="Times New Roman"/>
          <w:b/>
          <w:bCs/>
          <w:color w:val="auto"/>
          <w:sz w:val="24"/>
          <w:highlight w:val="none"/>
        </w:rPr>
        <w:t xml:space="preserve">1、本次投标报价包含本项目实施期间产生的所有费用</w:t>
      </w:r>
      <w:r>
        <w:rPr>
          <w:rFonts w:hint="eastAsia" w:ascii="宋体" w:hAnsi="宋体" w:eastAsia="宋体" w:cs="Times New Roman"/>
          <w:b/>
          <w:bCs/>
          <w:color w:val="auto"/>
          <w:sz w:val="24"/>
          <w:highlight w:val="none"/>
          <w:lang w:eastAsia="zh-CN"/>
        </w:rPr>
        <w:t xml:space="preserve">；</w:t>
      </w:r>
      <w:r/>
    </w:p>
    <w:p>
      <w:pPr>
        <w:ind w:firstLine="482"/>
        <w:keepLines w:val="0"/>
        <w:keepNext w:val="0"/>
        <w:pageBreakBefore w:val="0"/>
        <w:spacing w:line="360" w:lineRule="auto"/>
        <w:widowControl w:val="off"/>
        <w:rPr>
          <w:rFonts w:hint="eastAsia" w:ascii="宋体" w:hAnsi="宋体" w:cs="Times New Roman" w:eastAsiaTheme="minorEastAsia"/>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2、</w:t>
      </w:r>
      <w:r>
        <w:rPr>
          <w:rFonts w:hint="eastAsia" w:ascii="宋体" w:hAnsi="宋体"/>
          <w:b/>
          <w:bCs/>
          <w:color w:val="auto"/>
          <w:sz w:val="24"/>
          <w:highlight w:val="none"/>
        </w:rPr>
        <w:t xml:space="preserve">报价币种为人民币元</w:t>
      </w:r>
      <w:r>
        <w:rPr>
          <w:rFonts w:hint="eastAsia" w:ascii="宋体" w:hAnsi="宋体"/>
          <w:b/>
          <w:bCs/>
          <w:color w:val="auto"/>
          <w:sz w:val="24"/>
          <w:highlight w:val="none"/>
          <w:lang w:eastAsia="zh-CN"/>
        </w:rPr>
        <w:t xml:space="preserve">。</w:t>
      </w:r>
      <w:r/>
    </w:p>
    <w:p>
      <w:pPr>
        <w:ind w:firstLine="482"/>
        <w:keepLines w:val="0"/>
        <w:keepNext w:val="0"/>
        <w:pageBreakBefore w:val="0"/>
        <w:spacing w:line="360" w:lineRule="auto"/>
        <w:widowControl w:val="off"/>
        <w:rPr>
          <w:rFonts w:hint="default" w:ascii="宋体" w:hAnsi="宋体"/>
          <w:b/>
          <w:bCs/>
          <w:color w:val="auto"/>
          <w:sz w:val="24"/>
          <w:highlight w:val="none"/>
          <w:lang w:val="en-US" w:eastAsia="zh-CN"/>
        </w:rPr>
      </w:pPr>
      <w:r>
        <w:rPr>
          <w:rFonts w:hint="default" w:ascii="宋体" w:hAnsi="宋体"/>
          <w:b/>
          <w:bCs/>
          <w:color w:val="auto"/>
          <w:sz w:val="24"/>
          <w:highlight w:val="none"/>
          <w:lang w:val="en-US" w:eastAsia="zh-CN"/>
        </w:rPr>
      </w:r>
      <w:r/>
    </w:p>
    <w:p>
      <w:pPr>
        <w:pStyle w:val="784"/>
        <w:rPr>
          <w:rFonts w:hint="eastAsia"/>
          <w:color w:val="auto"/>
          <w:highlight w:val="none"/>
          <w:lang w:eastAsia="zh-CN"/>
        </w:rPr>
      </w:pPr>
      <w:r>
        <w:rPr>
          <w:rFonts w:hint="eastAsia"/>
          <w:color w:val="auto"/>
          <w:highlight w:val="none"/>
          <w:lang w:eastAsia="zh-CN"/>
        </w:rPr>
      </w:r>
      <w:r/>
    </w:p>
    <w:p>
      <w:pPr>
        <w:ind w:firstLine="480"/>
        <w:spacing w:line="360" w:lineRule="auto"/>
        <w:rPr>
          <w:rFonts w:hint="eastAsia" w:ascii="宋体" w:hAnsi="宋体" w:cs="宋体"/>
          <w:color w:val="auto"/>
          <w:sz w:val="22"/>
          <w:highlight w:val="none"/>
        </w:rPr>
      </w:pPr>
      <w:r>
        <w:rPr>
          <w:rFonts w:hint="eastAsia" w:ascii="黑体" w:eastAsia="黑体"/>
          <w:bCs/>
          <w:color w:val="auto"/>
          <w:sz w:val="24"/>
          <w:szCs w:val="24"/>
          <w:highlight w:val="none"/>
        </w:rPr>
        <w:br w:type="page" w:clear="all"/>
      </w:r>
      <w:bookmarkStart w:id="164" w:name="_Toc120614284"/>
      <w:r/>
      <w:r/>
    </w:p>
    <w:p>
      <w:pPr>
        <w:spacing w:line="360" w:lineRule="auto"/>
        <w:rPr>
          <w:rFonts w:hint="eastAsia"/>
          <w:b/>
          <w:color w:val="auto"/>
          <w:sz w:val="28"/>
          <w:szCs w:val="28"/>
          <w:highlight w:val="none"/>
        </w:rPr>
      </w:pPr>
      <w:r>
        <w:rPr>
          <w:rFonts w:hint="eastAsia"/>
          <w:b/>
          <w:color w:val="auto"/>
          <w:sz w:val="28"/>
          <w:szCs w:val="28"/>
          <w:highlight w:val="none"/>
          <w:lang w:val="en-US" w:eastAsia="zh-CN"/>
        </w:rPr>
        <w:t xml:space="preserve">九</w:t>
      </w:r>
      <w:r>
        <w:rPr>
          <w:b/>
          <w:color w:val="auto"/>
          <w:sz w:val="28"/>
          <w:szCs w:val="28"/>
          <w:highlight w:val="none"/>
        </w:rPr>
        <w:t xml:space="preserve">、</w:t>
      </w:r>
      <w:r>
        <w:rPr>
          <w:rFonts w:hint="eastAsia"/>
          <w:b/>
          <w:color w:val="auto"/>
          <w:sz w:val="28"/>
          <w:szCs w:val="28"/>
          <w:highlight w:val="none"/>
          <w:lang w:val="en-US" w:eastAsia="zh-CN"/>
        </w:rPr>
        <w:t xml:space="preserve">分项报价表</w:t>
      </w:r>
      <w:r>
        <w:rPr>
          <w:rFonts w:hint="eastAsia"/>
          <w:b/>
          <w:color w:val="auto"/>
          <w:sz w:val="28"/>
          <w:szCs w:val="28"/>
          <w:highlight w:val="none"/>
        </w:rPr>
        <w:t xml:space="preserve">（给定格式）：</w:t>
      </w:r>
      <w:r/>
    </w:p>
    <w:p>
      <w:pPr>
        <w:jc w:val="center"/>
        <w:spacing w:line="360" w:lineRule="auto"/>
        <w:rPr>
          <w:rFonts w:hint="eastAsia" w:ascii="黑体" w:eastAsia="黑体"/>
          <w:bCs/>
          <w:color w:val="auto"/>
          <w:sz w:val="28"/>
          <w:szCs w:val="28"/>
          <w:highlight w:val="none"/>
          <w:lang w:val="en-US" w:eastAsia="zh-CN"/>
        </w:rPr>
        <w:outlineLvl w:val="0"/>
      </w:pPr>
      <w:r>
        <w:rPr>
          <w:rFonts w:hint="eastAsia" w:ascii="黑体" w:eastAsia="黑体"/>
          <w:bCs/>
          <w:color w:val="auto"/>
          <w:sz w:val="28"/>
          <w:szCs w:val="28"/>
          <w:highlight w:val="none"/>
          <w:lang w:val="en-US" w:eastAsia="zh-CN"/>
        </w:rPr>
        <w:t xml:space="preserve">分项报价表（采购包1）</w:t>
      </w:r>
      <w:r/>
    </w:p>
    <w:p>
      <w:pPr>
        <w:pStyle w:val="784"/>
        <w:rPr>
          <w:rFonts w:hint="default"/>
          <w:color w:val="auto"/>
          <w:highlight w:val="none"/>
          <w:lang w:val="en-US" w:eastAsia="zh-CN"/>
        </w:rPr>
      </w:pPr>
      <w:r>
        <w:rPr>
          <w:rFonts w:hint="default"/>
          <w:color w:val="auto"/>
          <w:highlight w:val="none"/>
          <w:lang w:val="en-US" w:eastAsia="zh-CN"/>
        </w:rPr>
      </w:r>
      <w:r/>
    </w:p>
    <w:p>
      <w:pPr>
        <w:ind w:firstLine="480"/>
        <w:spacing w:line="360" w:lineRule="auto"/>
        <w:rPr>
          <w:rFonts w:hint="default"/>
          <w:color w:val="auto"/>
          <w:highlight w:val="none"/>
          <w:lang w:val="en-US" w:eastAsia="zh-CN"/>
        </w:rPr>
      </w:pPr>
      <w:r>
        <w:rPr>
          <w:rFonts w:hint="eastAsia" w:ascii="黑体" w:eastAsia="黑体"/>
          <w:bCs/>
          <w:color w:val="auto"/>
          <w:sz w:val="24"/>
          <w:szCs w:val="24"/>
          <w:highlight w:val="none"/>
        </w:rPr>
        <w:t xml:space="preserve">项目编号：</w:t>
      </w:r>
      <w:r/>
    </w:p>
    <w:tbl>
      <w:tblPr>
        <w:tblStyle w:val="736"/>
        <w:tblW w:w="9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9"/>
        <w:gridCol w:w="2595"/>
        <w:gridCol w:w="774"/>
        <w:gridCol w:w="822"/>
        <w:gridCol w:w="1420"/>
        <w:gridCol w:w="1543"/>
        <w:gridCol w:w="1214"/>
      </w:tblGrid>
      <w:tr>
        <w:trPr>
          <w:jc w:val="center"/>
          <w:trHeight w:val="1050"/>
        </w:trPr>
        <w:tc>
          <w:tcPr>
            <w:tcW w:w="949"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95" w:type="dxa"/>
            <w:vAlign w:val="center"/>
            <w:textDirection w:val="lrTb"/>
            <w:noWrap w:val="false"/>
          </w:tcPr>
          <w:p>
            <w:pPr>
              <w:jc w:val="center"/>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服务内容</w:t>
            </w:r>
            <w:r/>
          </w:p>
        </w:tc>
        <w:tc>
          <w:tcPr>
            <w:tcW w:w="774" w:type="dxa"/>
            <w:vAlign w:val="center"/>
            <w:textDirection w:val="lrTb"/>
            <w:noWrap w:val="false"/>
          </w:tcPr>
          <w:p>
            <w:pPr>
              <w:jc w:val="center"/>
              <w:widowControl/>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数量</w:t>
            </w:r>
            <w:r/>
          </w:p>
        </w:tc>
        <w:tc>
          <w:tcPr>
            <w:tcW w:w="822" w:type="dxa"/>
            <w:vAlign w:val="center"/>
            <w:textDirection w:val="lrTb"/>
            <w:noWrap w:val="false"/>
          </w:tcPr>
          <w:p>
            <w:pPr>
              <w:jc w:val="center"/>
              <w:widowControl/>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单位</w:t>
            </w:r>
            <w:r/>
          </w:p>
        </w:tc>
        <w:tc>
          <w:tcPr>
            <w:tcW w:w="1420"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单价（元）</w:t>
            </w:r>
            <w:r/>
          </w:p>
        </w:tc>
        <w:tc>
          <w:tcPr>
            <w:tcW w:w="1543"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小计（元）</w:t>
            </w:r>
            <w:r/>
          </w:p>
        </w:tc>
        <w:tc>
          <w:tcPr>
            <w:tcW w:w="121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备注</w:t>
            </w:r>
            <w:r/>
          </w:p>
        </w:tc>
      </w:tr>
      <w:tr>
        <w:trPr>
          <w:jc w:val="center"/>
          <w:trHeight w:val="736"/>
        </w:trPr>
        <w:tc>
          <w:tcPr>
            <w:tcW w:w="949"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w:t>
            </w:r>
            <w:r/>
          </w:p>
        </w:tc>
        <w:tc>
          <w:tcPr>
            <w:tcW w:w="2595"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77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822" w:type="dxa"/>
            <w:vAlign w:val="top"/>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420" w:type="dxa"/>
            <w:vAlign w:val="top"/>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543"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21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736"/>
        </w:trPr>
        <w:tc>
          <w:tcPr>
            <w:tcW w:w="949"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w:t>
            </w:r>
            <w:r/>
          </w:p>
        </w:tc>
        <w:tc>
          <w:tcPr>
            <w:tcW w:w="2595"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77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822" w:type="dxa"/>
            <w:vAlign w:val="top"/>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420" w:type="dxa"/>
            <w:vAlign w:val="top"/>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543"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21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736"/>
        </w:trPr>
        <w:tc>
          <w:tcPr>
            <w:tcW w:w="949"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w:t>
            </w:r>
            <w:r/>
          </w:p>
        </w:tc>
        <w:tc>
          <w:tcPr>
            <w:tcW w:w="2595"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77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822" w:type="dxa"/>
            <w:vAlign w:val="top"/>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420" w:type="dxa"/>
            <w:vAlign w:val="top"/>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543"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21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736"/>
        </w:trPr>
        <w:tc>
          <w:tcPr>
            <w:tcW w:w="949"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w:t>
            </w:r>
            <w:r/>
          </w:p>
        </w:tc>
        <w:tc>
          <w:tcPr>
            <w:tcW w:w="2595"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77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822" w:type="dxa"/>
            <w:vAlign w:val="top"/>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420" w:type="dxa"/>
            <w:vAlign w:val="top"/>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543"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21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736"/>
        </w:trPr>
        <w:tc>
          <w:tcPr>
            <w:tcW w:w="949" w:type="dxa"/>
            <w:vAlign w:val="center"/>
            <w:textDirection w:val="lrTb"/>
            <w:noWrap w:val="false"/>
          </w:tcPr>
          <w:p>
            <w:pPr>
              <w:jc w:val="center"/>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w:t>
            </w:r>
            <w:r/>
          </w:p>
        </w:tc>
        <w:tc>
          <w:tcPr>
            <w:tcW w:w="2595" w:type="dxa"/>
            <w:vAlign w:val="center"/>
            <w:textDirection w:val="lrTb"/>
            <w:noWrap w:val="false"/>
          </w:tcPr>
          <w:p>
            <w:pPr>
              <w:jc w:val="center"/>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tc>
        <w:tc>
          <w:tcPr>
            <w:tcW w:w="77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822" w:type="dxa"/>
            <w:vAlign w:val="top"/>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420" w:type="dxa"/>
            <w:vAlign w:val="top"/>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543"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21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736"/>
        </w:trPr>
        <w:tc>
          <w:tcPr>
            <w:gridSpan w:val="5"/>
            <w:tcW w:w="656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总价（元）</w:t>
            </w:r>
            <w:r/>
          </w:p>
        </w:tc>
        <w:tc>
          <w:tcPr>
            <w:tcW w:w="1543"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W w:w="121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firstLine="48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jc w:val="center"/>
        <w:spacing w:line="360" w:lineRule="auto"/>
        <w:rPr>
          <w:rFonts w:hint="eastAsia" w:ascii="黑体" w:eastAsia="黑体"/>
          <w:bCs/>
          <w:color w:val="auto"/>
          <w:sz w:val="28"/>
          <w:szCs w:val="28"/>
          <w:highlight w:val="none"/>
          <w:lang w:val="en-US" w:eastAsia="zh-CN"/>
        </w:rPr>
        <w:outlineLvl w:val="0"/>
      </w:pPr>
      <w:r>
        <w:rPr>
          <w:rFonts w:hint="eastAsia" w:ascii="黑体" w:eastAsia="黑体"/>
          <w:bCs/>
          <w:color w:val="auto"/>
          <w:sz w:val="28"/>
          <w:szCs w:val="28"/>
          <w:highlight w:val="none"/>
          <w:lang w:val="en-US" w:eastAsia="zh-CN"/>
        </w:rPr>
      </w:r>
      <w:r/>
    </w:p>
    <w:p>
      <w:pPr>
        <w:spacing w:line="360" w:lineRule="auto"/>
        <w:tabs>
          <w:tab w:val="left" w:pos="180" w:leader="none"/>
        </w:tabs>
        <w:rPr>
          <w:rFonts w:hint="eastAsia"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 xml:space="preserve">注：（1）</w:t>
      </w:r>
      <w:r>
        <w:rPr>
          <w:rFonts w:hint="eastAsia" w:ascii="宋体" w:hAnsi="宋体" w:cs="宋体"/>
          <w:color w:val="auto"/>
          <w:sz w:val="24"/>
          <w:highlight w:val="none"/>
        </w:rPr>
        <w:t xml:space="preserve">供应商应当根据“</w:t>
      </w:r>
      <w:r>
        <w:rPr>
          <w:rFonts w:hint="eastAsia" w:ascii="宋体" w:hAnsi="宋体" w:cs="宋体"/>
          <w:color w:val="auto"/>
          <w:sz w:val="24"/>
          <w:highlight w:val="none"/>
          <w:lang w:val="en-US" w:eastAsia="zh-CN"/>
        </w:rPr>
        <w:t xml:space="preserve">采购需求</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中</w:t>
      </w:r>
      <w:r>
        <w:rPr>
          <w:rFonts w:hint="eastAsia" w:ascii="宋体" w:hAnsi="宋体" w:cs="宋体"/>
          <w:color w:val="auto"/>
          <w:sz w:val="24"/>
          <w:highlight w:val="none"/>
        </w:rPr>
        <w:t xml:space="preserve">的内容在上表中详细填写</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Theme="minorEastAsia"/>
          <w:color w:val="auto"/>
          <w:sz w:val="24"/>
          <w:highlight w:val="none"/>
          <w:lang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供应商的报价应包含所有产生的人工费用、机械及材料费用、管理费用、利润和政府规费税金在内的全部费用</w:t>
      </w:r>
      <w:r>
        <w:rPr>
          <w:rFonts w:hint="eastAsia" w:ascii="宋体" w:hAnsi="宋体"/>
          <w:color w:val="auto"/>
          <w:sz w:val="24"/>
          <w:highlight w:val="none"/>
          <w:lang w:eastAsia="zh-CN"/>
        </w:rPr>
        <w:t xml:space="preserve">；</w:t>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）表格不够可自行延长。</w:t>
      </w:r>
      <w:r/>
    </w:p>
    <w:p>
      <w:pPr>
        <w:rPr>
          <w:rFonts w:hint="eastAsia" w:ascii="黑体" w:eastAsia="黑体"/>
          <w:bCs/>
          <w:color w:val="auto"/>
          <w:sz w:val="28"/>
          <w:szCs w:val="28"/>
          <w:highlight w:val="none"/>
          <w:lang w:val="en-US" w:eastAsia="zh-CN"/>
        </w:rPr>
      </w:pPr>
      <w:r>
        <w:rPr>
          <w:rFonts w:hint="eastAsia" w:ascii="黑体" w:eastAsia="黑体"/>
          <w:bCs/>
          <w:color w:val="auto"/>
          <w:sz w:val="28"/>
          <w:szCs w:val="28"/>
          <w:highlight w:val="none"/>
          <w:lang w:val="en-US" w:eastAsia="zh-CN"/>
        </w:rPr>
      </w:r>
      <w:r/>
    </w:p>
    <w:p>
      <w:pPr>
        <w:rPr>
          <w:rFonts w:hint="eastAsia" w:ascii="黑体" w:eastAsia="黑体"/>
          <w:bCs/>
          <w:color w:val="auto"/>
          <w:sz w:val="28"/>
          <w:szCs w:val="28"/>
          <w:highlight w:val="none"/>
          <w:lang w:val="en-US" w:eastAsia="zh-CN"/>
        </w:rPr>
      </w:pPr>
      <w:r>
        <w:rPr>
          <w:rFonts w:hint="eastAsia" w:ascii="黑体" w:eastAsia="黑体"/>
          <w:bCs/>
          <w:color w:val="auto"/>
          <w:sz w:val="28"/>
          <w:szCs w:val="28"/>
          <w:highlight w:val="none"/>
          <w:lang w:val="en-US" w:eastAsia="zh-CN"/>
        </w:rPr>
        <w:br w:type="page" w:clear="all"/>
      </w:r>
      <w:r/>
    </w:p>
    <w:p>
      <w:pPr>
        <w:jc w:val="center"/>
        <w:spacing w:line="360" w:lineRule="auto"/>
        <w:rPr>
          <w:rFonts w:hint="eastAsia" w:ascii="黑体" w:eastAsia="黑体"/>
          <w:bCs/>
          <w:color w:val="auto"/>
          <w:sz w:val="28"/>
          <w:szCs w:val="28"/>
          <w:highlight w:val="none"/>
          <w:lang w:val="en-US" w:eastAsia="zh-CN"/>
        </w:rPr>
        <w:outlineLvl w:val="0"/>
      </w:pPr>
      <w:r>
        <w:rPr>
          <w:rFonts w:hint="eastAsia" w:ascii="黑体" w:eastAsia="黑体"/>
          <w:bCs/>
          <w:color w:val="auto"/>
          <w:sz w:val="28"/>
          <w:szCs w:val="28"/>
          <w:highlight w:val="none"/>
          <w:lang w:val="en-US" w:eastAsia="zh-CN"/>
        </w:rPr>
        <w:t xml:space="preserve">分项报价表（采购包2）</w:t>
      </w:r>
      <w:r/>
    </w:p>
    <w:p>
      <w:pPr>
        <w:pStyle w:val="784"/>
        <w:rPr>
          <w:rFonts w:hint="default"/>
          <w:color w:val="auto"/>
          <w:highlight w:val="none"/>
          <w:lang w:val="en-US" w:eastAsia="zh-CN"/>
        </w:rPr>
      </w:pPr>
      <w:r>
        <w:rPr>
          <w:rFonts w:hint="default"/>
          <w:color w:val="auto"/>
          <w:highlight w:val="none"/>
          <w:lang w:val="en-US" w:eastAsia="zh-CN"/>
        </w:rPr>
      </w:r>
      <w:r/>
    </w:p>
    <w:p>
      <w:pPr>
        <w:ind w:firstLine="480"/>
        <w:spacing w:line="360" w:lineRule="auto"/>
        <w:rPr>
          <w:rFonts w:hint="default"/>
          <w:color w:val="auto"/>
          <w:highlight w:val="none"/>
          <w:lang w:val="en-US" w:eastAsia="zh-CN"/>
        </w:rPr>
      </w:pPr>
      <w:r>
        <w:rPr>
          <w:rFonts w:hint="eastAsia" w:ascii="黑体" w:eastAsia="黑体"/>
          <w:bCs/>
          <w:color w:val="auto"/>
          <w:sz w:val="24"/>
          <w:szCs w:val="24"/>
          <w:highlight w:val="none"/>
        </w:rPr>
        <w:t xml:space="preserve">项目编号：</w:t>
      </w:r>
      <w:r/>
    </w:p>
    <w:tbl>
      <w:tblPr>
        <w:tblStyle w:val="736"/>
        <w:tblW w:w="9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9"/>
        <w:gridCol w:w="2595"/>
        <w:gridCol w:w="774"/>
        <w:gridCol w:w="822"/>
        <w:gridCol w:w="1420"/>
        <w:gridCol w:w="1543"/>
        <w:gridCol w:w="1214"/>
      </w:tblGrid>
      <w:tr>
        <w:trPr>
          <w:jc w:val="center"/>
          <w:trHeight w:val="1050"/>
        </w:trPr>
        <w:tc>
          <w:tcPr>
            <w:tcW w:w="949"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95" w:type="dxa"/>
            <w:vAlign w:val="center"/>
            <w:textDirection w:val="lrTb"/>
            <w:noWrap w:val="false"/>
          </w:tcPr>
          <w:p>
            <w:pPr>
              <w:jc w:val="center"/>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服务内容</w:t>
            </w:r>
            <w:r/>
          </w:p>
        </w:tc>
        <w:tc>
          <w:tcPr>
            <w:tcW w:w="774" w:type="dxa"/>
            <w:vAlign w:val="center"/>
            <w:textDirection w:val="lrTb"/>
            <w:noWrap w:val="false"/>
          </w:tcPr>
          <w:p>
            <w:pPr>
              <w:jc w:val="center"/>
              <w:widowControl/>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数量</w:t>
            </w:r>
            <w:r/>
          </w:p>
        </w:tc>
        <w:tc>
          <w:tcPr>
            <w:tcW w:w="822" w:type="dxa"/>
            <w:vAlign w:val="center"/>
            <w:textDirection w:val="lrTb"/>
            <w:noWrap w:val="false"/>
          </w:tcPr>
          <w:p>
            <w:pPr>
              <w:jc w:val="center"/>
              <w:widowControl/>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单位</w:t>
            </w:r>
            <w:r/>
          </w:p>
        </w:tc>
        <w:tc>
          <w:tcPr>
            <w:tcW w:w="1420"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单价（元）</w:t>
            </w:r>
            <w:r/>
          </w:p>
        </w:tc>
        <w:tc>
          <w:tcPr>
            <w:tcW w:w="1543"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小计（元）</w:t>
            </w:r>
            <w:r/>
          </w:p>
        </w:tc>
        <w:tc>
          <w:tcPr>
            <w:tcW w:w="121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备注</w:t>
            </w:r>
            <w:r/>
          </w:p>
        </w:tc>
      </w:tr>
      <w:tr>
        <w:trPr>
          <w:jc w:val="center"/>
          <w:trHeight w:val="736"/>
        </w:trPr>
        <w:tc>
          <w:tcPr>
            <w:tcW w:w="949"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w:t>
            </w:r>
            <w:r/>
          </w:p>
        </w:tc>
        <w:tc>
          <w:tcPr>
            <w:tcW w:w="2595"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77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822" w:type="dxa"/>
            <w:vAlign w:val="top"/>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420" w:type="dxa"/>
            <w:vAlign w:val="top"/>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543"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21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736"/>
        </w:trPr>
        <w:tc>
          <w:tcPr>
            <w:tcW w:w="949"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w:t>
            </w:r>
            <w:r/>
          </w:p>
        </w:tc>
        <w:tc>
          <w:tcPr>
            <w:tcW w:w="2595"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77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822" w:type="dxa"/>
            <w:vAlign w:val="top"/>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420" w:type="dxa"/>
            <w:vAlign w:val="top"/>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543"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21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736"/>
        </w:trPr>
        <w:tc>
          <w:tcPr>
            <w:tcW w:w="949"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w:t>
            </w:r>
            <w:r/>
          </w:p>
        </w:tc>
        <w:tc>
          <w:tcPr>
            <w:tcW w:w="2595"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77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822" w:type="dxa"/>
            <w:vAlign w:val="top"/>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420" w:type="dxa"/>
            <w:vAlign w:val="top"/>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543"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21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736"/>
        </w:trPr>
        <w:tc>
          <w:tcPr>
            <w:tcW w:w="949"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w:t>
            </w:r>
            <w:r/>
          </w:p>
        </w:tc>
        <w:tc>
          <w:tcPr>
            <w:tcW w:w="2595"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77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822" w:type="dxa"/>
            <w:vAlign w:val="top"/>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420" w:type="dxa"/>
            <w:vAlign w:val="top"/>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543"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21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736"/>
        </w:trPr>
        <w:tc>
          <w:tcPr>
            <w:tcW w:w="949" w:type="dxa"/>
            <w:vAlign w:val="center"/>
            <w:textDirection w:val="lrTb"/>
            <w:noWrap w:val="false"/>
          </w:tcPr>
          <w:p>
            <w:pPr>
              <w:jc w:val="center"/>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w:t>
            </w:r>
            <w:r/>
          </w:p>
        </w:tc>
        <w:tc>
          <w:tcPr>
            <w:tcW w:w="2595" w:type="dxa"/>
            <w:vAlign w:val="center"/>
            <w:textDirection w:val="lrTb"/>
            <w:noWrap w:val="false"/>
          </w:tcPr>
          <w:p>
            <w:pPr>
              <w:jc w:val="center"/>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tc>
        <w:tc>
          <w:tcPr>
            <w:tcW w:w="77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822" w:type="dxa"/>
            <w:vAlign w:val="top"/>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420" w:type="dxa"/>
            <w:vAlign w:val="top"/>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543"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21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736"/>
        </w:trPr>
        <w:tc>
          <w:tcPr>
            <w:gridSpan w:val="5"/>
            <w:tcW w:w="656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总价（元）</w:t>
            </w:r>
            <w:r/>
          </w:p>
        </w:tc>
        <w:tc>
          <w:tcPr>
            <w:tcW w:w="1543"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W w:w="121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firstLine="48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jc w:val="center"/>
        <w:spacing w:line="360" w:lineRule="auto"/>
        <w:rPr>
          <w:rFonts w:hint="eastAsia" w:ascii="黑体" w:eastAsia="黑体"/>
          <w:bCs/>
          <w:color w:val="auto"/>
          <w:sz w:val="28"/>
          <w:szCs w:val="28"/>
          <w:highlight w:val="none"/>
          <w:lang w:val="en-US" w:eastAsia="zh-CN"/>
        </w:rPr>
        <w:outlineLvl w:val="0"/>
      </w:pPr>
      <w:r>
        <w:rPr>
          <w:rFonts w:hint="eastAsia" w:ascii="黑体" w:eastAsia="黑体"/>
          <w:bCs/>
          <w:color w:val="auto"/>
          <w:sz w:val="28"/>
          <w:szCs w:val="28"/>
          <w:highlight w:val="none"/>
          <w:lang w:val="en-US" w:eastAsia="zh-CN"/>
        </w:rPr>
      </w:r>
      <w:r/>
    </w:p>
    <w:p>
      <w:pPr>
        <w:spacing w:line="360" w:lineRule="auto"/>
        <w:tabs>
          <w:tab w:val="left" w:pos="180" w:leader="none"/>
        </w:tabs>
        <w:rPr>
          <w:rFonts w:hint="eastAsia"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 xml:space="preserve">注：（1）</w:t>
      </w:r>
      <w:r>
        <w:rPr>
          <w:rFonts w:hint="eastAsia" w:ascii="宋体" w:hAnsi="宋体" w:cs="宋体"/>
          <w:color w:val="auto"/>
          <w:sz w:val="24"/>
          <w:highlight w:val="none"/>
        </w:rPr>
        <w:t xml:space="preserve">供应商应当根据“</w:t>
      </w:r>
      <w:r>
        <w:rPr>
          <w:rFonts w:hint="eastAsia" w:ascii="宋体" w:hAnsi="宋体" w:cs="宋体"/>
          <w:color w:val="auto"/>
          <w:sz w:val="24"/>
          <w:highlight w:val="none"/>
          <w:lang w:val="en-US" w:eastAsia="zh-CN"/>
        </w:rPr>
        <w:t xml:space="preserve">采购需求</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中</w:t>
      </w:r>
      <w:r>
        <w:rPr>
          <w:rFonts w:hint="eastAsia" w:ascii="宋体" w:hAnsi="宋体" w:cs="宋体"/>
          <w:color w:val="auto"/>
          <w:sz w:val="24"/>
          <w:highlight w:val="none"/>
        </w:rPr>
        <w:t xml:space="preserve">的内容在上表中详细填写</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Theme="minorEastAsia"/>
          <w:color w:val="auto"/>
          <w:sz w:val="24"/>
          <w:highlight w:val="none"/>
          <w:lang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供应商的报价应包含所有产生的人工费用、机械及材料费用、管理费用、利润和政府规费税金在内的全部费用</w:t>
      </w:r>
      <w:r>
        <w:rPr>
          <w:rFonts w:hint="eastAsia" w:ascii="宋体" w:hAnsi="宋体"/>
          <w:color w:val="auto"/>
          <w:sz w:val="24"/>
          <w:highlight w:val="none"/>
          <w:lang w:eastAsia="zh-CN"/>
        </w:rPr>
        <w:t xml:space="preserve">；</w:t>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）表格不够可自行延长。</w:t>
      </w:r>
      <w:r/>
    </w:p>
    <w:p>
      <w:pPr>
        <w:rPr>
          <w:rFonts w:hint="eastAsia" w:ascii="黑体" w:eastAsia="黑体"/>
          <w:bCs/>
          <w:color w:val="auto"/>
          <w:sz w:val="28"/>
          <w:szCs w:val="28"/>
          <w:highlight w:val="none"/>
          <w:lang w:val="en-US" w:eastAsia="zh-CN"/>
        </w:rPr>
      </w:pPr>
      <w:r>
        <w:rPr>
          <w:rFonts w:hint="eastAsia" w:ascii="黑体" w:eastAsia="黑体"/>
          <w:bCs/>
          <w:color w:val="auto"/>
          <w:sz w:val="28"/>
          <w:szCs w:val="28"/>
          <w:highlight w:val="none"/>
          <w:lang w:val="en-US" w:eastAsia="zh-CN"/>
        </w:rPr>
      </w:r>
      <w:r/>
    </w:p>
    <w:p>
      <w:pPr>
        <w:rPr>
          <w:rFonts w:hint="eastAsia" w:ascii="黑体" w:eastAsia="黑体"/>
          <w:bCs/>
          <w:color w:val="auto"/>
          <w:sz w:val="28"/>
          <w:szCs w:val="28"/>
          <w:highlight w:val="none"/>
          <w:lang w:val="en-US" w:eastAsia="zh-CN"/>
        </w:rPr>
      </w:pPr>
      <w:r>
        <w:rPr>
          <w:rFonts w:hint="eastAsia" w:ascii="黑体" w:eastAsia="黑体"/>
          <w:bCs/>
          <w:color w:val="auto"/>
          <w:sz w:val="28"/>
          <w:szCs w:val="28"/>
          <w:highlight w:val="none"/>
          <w:lang w:val="en-US" w:eastAsia="zh-CN"/>
        </w:rPr>
        <w:br w:type="page" w:clear="all"/>
      </w:r>
      <w:r/>
    </w:p>
    <w:p>
      <w:pPr>
        <w:rPr>
          <w:rFonts w:hint="eastAsia" w:ascii="黑体" w:eastAsia="黑体"/>
          <w:bCs/>
          <w:color w:val="auto"/>
          <w:sz w:val="28"/>
          <w:szCs w:val="28"/>
          <w:highlight w:val="none"/>
          <w:lang w:val="en-US" w:eastAsia="zh-CN"/>
        </w:rPr>
      </w:pPr>
      <w:r>
        <w:rPr>
          <w:rFonts w:hint="eastAsia" w:ascii="黑体" w:eastAsia="黑体"/>
          <w:bCs/>
          <w:color w:val="auto"/>
          <w:sz w:val="28"/>
          <w:szCs w:val="28"/>
          <w:highlight w:val="none"/>
          <w:lang w:val="en-US" w:eastAsia="zh-CN"/>
        </w:rPr>
      </w:r>
      <w:r/>
    </w:p>
    <w:p>
      <w:pPr>
        <w:jc w:val="center"/>
        <w:spacing w:line="360" w:lineRule="auto"/>
        <w:rPr>
          <w:rFonts w:hint="eastAsia" w:ascii="黑体" w:eastAsia="黑体"/>
          <w:bCs/>
          <w:color w:val="auto"/>
          <w:sz w:val="28"/>
          <w:szCs w:val="28"/>
          <w:highlight w:val="none"/>
          <w:lang w:val="en-US" w:eastAsia="zh-CN"/>
        </w:rPr>
        <w:outlineLvl w:val="0"/>
      </w:pPr>
      <w:r>
        <w:rPr>
          <w:rFonts w:hint="eastAsia" w:ascii="黑体" w:eastAsia="黑体"/>
          <w:bCs/>
          <w:color w:val="auto"/>
          <w:sz w:val="28"/>
          <w:szCs w:val="28"/>
          <w:highlight w:val="none"/>
          <w:lang w:val="en-US" w:eastAsia="zh-CN"/>
        </w:rPr>
        <w:t xml:space="preserve">分项报价表（采购包3）</w:t>
      </w:r>
      <w:r/>
    </w:p>
    <w:p>
      <w:pPr>
        <w:rPr>
          <w:rFonts w:hint="eastAsia"/>
          <w:b/>
          <w:color w:val="auto"/>
          <w:sz w:val="28"/>
          <w:szCs w:val="28"/>
          <w:highlight w:val="none"/>
          <w:lang w:val="en-US" w:eastAsia="zh-CN"/>
        </w:rPr>
      </w:pPr>
      <w:r>
        <w:rPr>
          <w:rFonts w:hint="eastAsia"/>
          <w:b/>
          <w:color w:val="auto"/>
          <w:sz w:val="28"/>
          <w:szCs w:val="28"/>
          <w:highlight w:val="none"/>
          <w:lang w:val="en-US" w:eastAsia="zh-CN"/>
        </w:rPr>
      </w:r>
      <w:r/>
    </w:p>
    <w:p>
      <w:pPr>
        <w:ind w:firstLine="480"/>
        <w:spacing w:line="360" w:lineRule="auto"/>
        <w:rPr>
          <w:rFonts w:hint="default"/>
          <w:color w:val="auto"/>
          <w:highlight w:val="none"/>
          <w:lang w:val="en-US" w:eastAsia="zh-CN"/>
        </w:rPr>
      </w:pPr>
      <w:r>
        <w:rPr>
          <w:rFonts w:hint="eastAsia" w:ascii="黑体" w:eastAsia="黑体"/>
          <w:bCs/>
          <w:color w:val="auto"/>
          <w:sz w:val="24"/>
          <w:szCs w:val="24"/>
          <w:highlight w:val="none"/>
        </w:rPr>
        <w:t xml:space="preserve">项目编号：</w:t>
      </w:r>
      <w:r/>
    </w:p>
    <w:tbl>
      <w:tblPr>
        <w:tblStyle w:val="736"/>
        <w:tblW w:w="9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9"/>
        <w:gridCol w:w="2595"/>
        <w:gridCol w:w="774"/>
        <w:gridCol w:w="822"/>
        <w:gridCol w:w="1420"/>
        <w:gridCol w:w="1543"/>
        <w:gridCol w:w="1214"/>
      </w:tblGrid>
      <w:tr>
        <w:trPr>
          <w:jc w:val="center"/>
          <w:trHeight w:val="1050"/>
        </w:trPr>
        <w:tc>
          <w:tcPr>
            <w:tcW w:w="949"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95" w:type="dxa"/>
            <w:vAlign w:val="center"/>
            <w:textDirection w:val="lrTb"/>
            <w:noWrap w:val="false"/>
          </w:tcPr>
          <w:p>
            <w:pPr>
              <w:jc w:val="center"/>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服务内容</w:t>
            </w:r>
            <w:r/>
          </w:p>
        </w:tc>
        <w:tc>
          <w:tcPr>
            <w:tcW w:w="774" w:type="dxa"/>
            <w:vAlign w:val="center"/>
            <w:textDirection w:val="lrTb"/>
            <w:noWrap w:val="false"/>
          </w:tcPr>
          <w:p>
            <w:pPr>
              <w:jc w:val="center"/>
              <w:widowControl/>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数量</w:t>
            </w:r>
            <w:r/>
          </w:p>
        </w:tc>
        <w:tc>
          <w:tcPr>
            <w:tcW w:w="822" w:type="dxa"/>
            <w:vAlign w:val="center"/>
            <w:textDirection w:val="lrTb"/>
            <w:noWrap w:val="false"/>
          </w:tcPr>
          <w:p>
            <w:pPr>
              <w:jc w:val="center"/>
              <w:widowControl/>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单位</w:t>
            </w:r>
            <w:r/>
          </w:p>
        </w:tc>
        <w:tc>
          <w:tcPr>
            <w:tcW w:w="1420"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单价（元）</w:t>
            </w:r>
            <w:r/>
          </w:p>
        </w:tc>
        <w:tc>
          <w:tcPr>
            <w:tcW w:w="1543"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小计（元）</w:t>
            </w:r>
            <w:r/>
          </w:p>
        </w:tc>
        <w:tc>
          <w:tcPr>
            <w:tcW w:w="121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备注</w:t>
            </w:r>
            <w:r/>
          </w:p>
        </w:tc>
      </w:tr>
      <w:tr>
        <w:trPr>
          <w:jc w:val="center"/>
          <w:trHeight w:val="736"/>
        </w:trPr>
        <w:tc>
          <w:tcPr>
            <w:tcW w:w="949"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w:t>
            </w:r>
            <w:r/>
          </w:p>
        </w:tc>
        <w:tc>
          <w:tcPr>
            <w:tcW w:w="2595"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77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822" w:type="dxa"/>
            <w:vAlign w:val="top"/>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420" w:type="dxa"/>
            <w:vAlign w:val="top"/>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543"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21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736"/>
        </w:trPr>
        <w:tc>
          <w:tcPr>
            <w:tcW w:w="949"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w:t>
            </w:r>
            <w:r/>
          </w:p>
        </w:tc>
        <w:tc>
          <w:tcPr>
            <w:tcW w:w="2595"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77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822" w:type="dxa"/>
            <w:vAlign w:val="top"/>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420" w:type="dxa"/>
            <w:vAlign w:val="top"/>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543"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21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736"/>
        </w:trPr>
        <w:tc>
          <w:tcPr>
            <w:tcW w:w="949"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w:t>
            </w:r>
            <w:r/>
          </w:p>
        </w:tc>
        <w:tc>
          <w:tcPr>
            <w:tcW w:w="2595"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77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822" w:type="dxa"/>
            <w:vAlign w:val="top"/>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420" w:type="dxa"/>
            <w:vAlign w:val="top"/>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543"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21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736"/>
        </w:trPr>
        <w:tc>
          <w:tcPr>
            <w:tcW w:w="949"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w:t>
            </w:r>
            <w:r/>
          </w:p>
        </w:tc>
        <w:tc>
          <w:tcPr>
            <w:tcW w:w="2595"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77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822" w:type="dxa"/>
            <w:vAlign w:val="top"/>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420" w:type="dxa"/>
            <w:vAlign w:val="top"/>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543"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21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736"/>
        </w:trPr>
        <w:tc>
          <w:tcPr>
            <w:tcW w:w="949" w:type="dxa"/>
            <w:vAlign w:val="center"/>
            <w:textDirection w:val="lrTb"/>
            <w:noWrap w:val="false"/>
          </w:tcPr>
          <w:p>
            <w:pPr>
              <w:jc w:val="center"/>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w:t>
            </w:r>
            <w:r/>
          </w:p>
        </w:tc>
        <w:tc>
          <w:tcPr>
            <w:tcW w:w="2595" w:type="dxa"/>
            <w:vAlign w:val="center"/>
            <w:textDirection w:val="lrTb"/>
            <w:noWrap w:val="false"/>
          </w:tcPr>
          <w:p>
            <w:pPr>
              <w:jc w:val="center"/>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tc>
        <w:tc>
          <w:tcPr>
            <w:tcW w:w="77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822" w:type="dxa"/>
            <w:vAlign w:val="top"/>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420" w:type="dxa"/>
            <w:vAlign w:val="top"/>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543"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21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736"/>
        </w:trPr>
        <w:tc>
          <w:tcPr>
            <w:gridSpan w:val="5"/>
            <w:tcW w:w="656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总价（元）</w:t>
            </w:r>
            <w:r/>
          </w:p>
        </w:tc>
        <w:tc>
          <w:tcPr>
            <w:tcW w:w="1543"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W w:w="121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firstLine="48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rPr>
          <w:rFonts w:hint="eastAsia"/>
          <w:b/>
          <w:color w:val="auto"/>
          <w:sz w:val="28"/>
          <w:szCs w:val="28"/>
          <w:highlight w:val="none"/>
          <w:lang w:val="en-US" w:eastAsia="zh-CN"/>
        </w:rPr>
      </w:pPr>
      <w:r>
        <w:rPr>
          <w:rFonts w:hint="eastAsia"/>
          <w:b/>
          <w:color w:val="auto"/>
          <w:sz w:val="28"/>
          <w:szCs w:val="28"/>
          <w:highlight w:val="none"/>
          <w:lang w:val="en-US" w:eastAsia="zh-CN"/>
        </w:rPr>
      </w:r>
      <w:r/>
    </w:p>
    <w:p>
      <w:pPr>
        <w:spacing w:line="360" w:lineRule="auto"/>
        <w:tabs>
          <w:tab w:val="left" w:pos="180" w:leader="none"/>
        </w:tabs>
        <w:rPr>
          <w:rFonts w:hint="eastAsia"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 xml:space="preserve">注：（1）</w:t>
      </w:r>
      <w:r>
        <w:rPr>
          <w:rFonts w:hint="eastAsia" w:ascii="宋体" w:hAnsi="宋体" w:cs="宋体"/>
          <w:color w:val="auto"/>
          <w:sz w:val="24"/>
          <w:highlight w:val="none"/>
        </w:rPr>
        <w:t xml:space="preserve">供应商应当根据“</w:t>
      </w:r>
      <w:r>
        <w:rPr>
          <w:rFonts w:hint="eastAsia" w:ascii="宋体" w:hAnsi="宋体" w:cs="宋体"/>
          <w:color w:val="auto"/>
          <w:sz w:val="24"/>
          <w:highlight w:val="none"/>
          <w:lang w:val="en-US" w:eastAsia="zh-CN"/>
        </w:rPr>
        <w:t xml:space="preserve">采购需求</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中</w:t>
      </w:r>
      <w:r>
        <w:rPr>
          <w:rFonts w:hint="eastAsia" w:ascii="宋体" w:hAnsi="宋体" w:cs="宋体"/>
          <w:color w:val="auto"/>
          <w:sz w:val="24"/>
          <w:highlight w:val="none"/>
        </w:rPr>
        <w:t xml:space="preserve">的内容在上表中详细填写</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Theme="minorEastAsia"/>
          <w:color w:val="auto"/>
          <w:sz w:val="24"/>
          <w:highlight w:val="none"/>
          <w:lang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供应商的报价应包含所有产生的人工费用、机械及材料费用、管理费用、利润和政府规费税金在内的全部费用</w:t>
      </w:r>
      <w:r>
        <w:rPr>
          <w:rFonts w:hint="eastAsia" w:ascii="宋体" w:hAnsi="宋体"/>
          <w:color w:val="auto"/>
          <w:sz w:val="24"/>
          <w:highlight w:val="none"/>
          <w:lang w:eastAsia="zh-CN"/>
        </w:rPr>
        <w:t xml:space="preserve">；</w:t>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）表格不够可自行延长。</w:t>
      </w:r>
      <w:r/>
    </w:p>
    <w:p>
      <w:pPr>
        <w:rPr>
          <w:rFonts w:hint="eastAsia"/>
          <w:b/>
          <w:color w:val="auto"/>
          <w:sz w:val="28"/>
          <w:szCs w:val="28"/>
          <w:highlight w:val="none"/>
          <w:lang w:val="en-US" w:eastAsia="zh-CN"/>
        </w:rPr>
      </w:pPr>
      <w:r>
        <w:rPr>
          <w:rFonts w:hint="eastAsia"/>
          <w:b/>
          <w:color w:val="auto"/>
          <w:sz w:val="28"/>
          <w:szCs w:val="28"/>
          <w:highlight w:val="none"/>
          <w:lang w:val="en-US" w:eastAsia="zh-CN"/>
        </w:rPr>
        <w:br w:type="page" w:clear="all"/>
      </w:r>
      <w:r/>
    </w:p>
    <w:p>
      <w:pPr>
        <w:spacing w:line="360" w:lineRule="auto"/>
        <w:rPr>
          <w:b/>
          <w:color w:val="auto"/>
          <w:sz w:val="28"/>
          <w:szCs w:val="28"/>
          <w:highlight w:val="none"/>
        </w:rPr>
      </w:pPr>
      <w:r>
        <w:rPr>
          <w:rFonts w:hint="eastAsia"/>
          <w:b/>
          <w:color w:val="auto"/>
          <w:sz w:val="28"/>
          <w:szCs w:val="28"/>
          <w:highlight w:val="none"/>
          <w:lang w:val="en-US" w:eastAsia="zh-CN"/>
        </w:rPr>
        <w:t xml:space="preserve">十、</w:t>
      </w:r>
      <w:r>
        <w:rPr>
          <w:rFonts w:hint="eastAsia"/>
          <w:b/>
          <w:color w:val="auto"/>
          <w:sz w:val="28"/>
          <w:szCs w:val="28"/>
          <w:highlight w:val="none"/>
        </w:rPr>
        <w:t xml:space="preserve">投标偏离表（给定格式）：</w:t>
      </w:r>
      <w:r/>
    </w:p>
    <w:p>
      <w:pPr>
        <w:ind w:firstLine="490"/>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736"/>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ind w:firstLine="420"/>
        <w:spacing w:line="360" w:lineRule="auto"/>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spacing w:line="360" w:lineRule="auto"/>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spacing w:line="360" w:lineRule="auto"/>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spacing w:line="360" w:lineRule="auto"/>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spacing w:line="360" w:lineRule="auto"/>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960"/>
        <w:spacing w:line="360" w:lineRule="auto"/>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 “偏离说明”中注明“无偏离”；</w:t>
      </w:r>
      <w:r/>
    </w:p>
    <w:p>
      <w:pPr>
        <w:ind w:firstLine="420"/>
        <w:spacing w:line="360" w:lineRule="auto"/>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rPr>
        <w:t xml:space="preserve"> </w:t>
      </w:r>
      <w:r>
        <w:rPr>
          <w:rFonts w:hint="eastAsia" w:ascii="宋体" w:hAnsi="宋体"/>
          <w:bCs/>
          <w:color w:val="auto"/>
          <w:sz w:val="24"/>
          <w:szCs w:val="24"/>
          <w:highlight w:val="none"/>
        </w:rPr>
        <w:t xml:space="preserve">（3）如有技术偏离项，请于本表中列明偏离内容，如需要可自行延长，其余无偏离内容不须赘述。</w:t>
      </w:r>
      <w:bookmarkEnd w:id="164"/>
      <w:r/>
      <w:bookmarkStart w:id="165" w:name="_格式2__法定代表人授权书"/>
      <w:r/>
      <w:bookmarkEnd w:id="165"/>
      <w:r/>
      <w:bookmarkStart w:id="166" w:name="_Hlt26609389"/>
      <w:r/>
      <w:bookmarkEnd w:id="166"/>
      <w:r/>
      <w:bookmarkStart w:id="167" w:name="_Hlt26955066"/>
      <w:r/>
      <w:bookmarkEnd w:id="167"/>
      <w:r/>
      <w:bookmarkStart w:id="168" w:name="_Hlt26671374"/>
      <w:r/>
      <w:bookmarkEnd w:id="168"/>
      <w:r/>
      <w:r/>
    </w:p>
    <w:p>
      <w:pPr>
        <w:ind w:firstLine="420"/>
        <w:spacing w:line="360" w:lineRule="auto"/>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spacing w:line="360" w:lineRule="auto"/>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spacing w:line="360" w:lineRule="auto"/>
        <w:rPr>
          <w:color w:val="auto"/>
          <w:highlight w:val="none"/>
        </w:rPr>
      </w:pPr>
      <w:r>
        <w:rPr>
          <w:color w:val="auto"/>
          <w:highlight w:val="none"/>
        </w:rPr>
      </w:r>
      <w:r/>
    </w:p>
    <w:p>
      <w:pPr>
        <w:spacing w:line="360" w:lineRule="auto"/>
        <w:rPr>
          <w:b/>
          <w:color w:val="auto"/>
          <w:sz w:val="28"/>
          <w:szCs w:val="28"/>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十</w:t>
      </w:r>
      <w:r>
        <w:rPr>
          <w:rFonts w:hint="eastAsia"/>
          <w:b/>
          <w:color w:val="auto"/>
          <w:sz w:val="28"/>
          <w:szCs w:val="28"/>
          <w:highlight w:val="none"/>
          <w:lang w:val="en-US" w:eastAsia="zh-CN"/>
        </w:rPr>
        <w:t xml:space="preserve">一</w:t>
      </w:r>
      <w:r>
        <w:rPr>
          <w:rFonts w:hint="eastAsia"/>
          <w:b/>
          <w:color w:val="auto"/>
          <w:sz w:val="28"/>
          <w:szCs w:val="28"/>
          <w:highlight w:val="none"/>
        </w:rPr>
        <w:t xml:space="preserve">、项目人员配置表（格式）</w:t>
      </w:r>
      <w:r/>
    </w:p>
    <w:p>
      <w:pPr>
        <w:ind w:firstLine="420"/>
        <w:spacing w:line="360" w:lineRule="auto"/>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spacing w:line="360" w:lineRule="auto"/>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项目人员配置表</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7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476"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20"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ind w:firstLine="72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t xml:space="preserve">注：1. 本表对应项目人员配置情况，表格不够可自行延长。</w:t>
      </w:r>
      <w:r/>
    </w:p>
    <w:p>
      <w:pPr>
        <w:spacing w:line="360" w:lineRule="auto"/>
        <w:rPr>
          <w:rFonts w:hint="eastAsia" w:asciiTheme="minorEastAsia" w:hAnsiTheme="minorEastAsia"/>
          <w:bCs/>
          <w:color w:val="auto"/>
          <w:sz w:val="30"/>
          <w:highlight w:val="none"/>
        </w:rPr>
      </w:pPr>
      <w:r>
        <w:rPr>
          <w:rFonts w:hint="eastAsia" w:asciiTheme="minorEastAsia" w:hAnsiTheme="minorEastAsia"/>
          <w:bCs/>
          <w:color w:val="auto"/>
          <w:sz w:val="30"/>
          <w:highlight w:val="none"/>
        </w:rPr>
      </w:r>
      <w:r/>
    </w:p>
    <w:p>
      <w:pPr>
        <w:spacing w:line="360" w:lineRule="auto"/>
        <w:rPr>
          <w:rFonts w:hint="eastAsia" w:asciiTheme="minorEastAsia" w:hAnsiTheme="minorEastAsia"/>
          <w:bCs/>
          <w:color w:val="auto"/>
          <w:sz w:val="30"/>
          <w:highlight w:val="none"/>
        </w:rPr>
      </w:pPr>
      <w:r>
        <w:rPr>
          <w:rFonts w:hint="eastAsia" w:asciiTheme="minorEastAsia" w:hAnsiTheme="minorEastAsia"/>
          <w:bCs/>
          <w:color w:val="auto"/>
          <w:sz w:val="30"/>
          <w:highlight w:val="none"/>
        </w:rPr>
      </w:r>
      <w:r/>
    </w:p>
    <w:sectPr>
      <w:footnotePr/>
      <w:endnotePr/>
      <w:type w:val="nextPage"/>
      <w:pgSz w:w="11906" w:h="16838" w:orient="portrait"/>
      <w:pgMar w:top="850" w:right="851" w:bottom="850" w:left="1134" w:header="624" w:footer="907"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方正黑体_GBK">
    <w:panose1 w:val="020B0503020202020204"/>
  </w:font>
  <w:font w:name="Courier New">
    <w:panose1 w:val="02070309020205020404"/>
  </w:font>
  <w:font w:name="Tahoma">
    <w:panose1 w:val="020B060403050404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15900" cy="198120"/>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15917" cy="1983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7.0pt;height:15.6pt;mso-wrap-distance-left:9.0pt;mso-wrap-distance-top:0.0pt;mso-wrap-distance-right:9.0pt;mso-wrap-distance-bottom:0.0pt;v-text-anchor:top;visibility:visible;" filled="f" stroked="f" strokeweight="0.50pt">
              <v:textbox inset="0,0,0,0">
                <w:txbxContent>
                  <w:p>
                    <w:pPr>
                      <w:pStyle w:val="75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13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71"/>
      <w:isLgl w:val="false"/>
      <w:suff w:val="nothing"/>
      <w:lvlText w:val=""/>
      <w:lvlJc w:val="left"/>
      <w:pPr>
        <w:ind w:left="0" w:firstLine="0"/>
      </w:pPr>
      <w:rPr>
        <w:rFonts w:hint="eastAsia"/>
      </w:rPr>
    </w:lvl>
    <w:lvl w:ilvl="6">
      <w:start w:val="1"/>
      <w:numFmt w:val="decimal"/>
      <w:pStyle w:val="1073"/>
      <w:isLgl w:val="false"/>
      <w:suff w:val="nothing"/>
      <w:lvlText w:val=""/>
      <w:lvlJc w:val="left"/>
      <w:pPr>
        <w:ind w:left="0" w:firstLine="0"/>
      </w:pPr>
      <w:rPr>
        <w:rFonts w:hint="eastAsia"/>
      </w:rPr>
    </w:lvl>
    <w:lvl w:ilvl="7">
      <w:start w:val="1"/>
      <w:numFmt w:val="decimal"/>
      <w:pStyle w:val="1075"/>
      <w:isLgl w:val="false"/>
      <w:suff w:val="nothing"/>
      <w:lvlText w:val=""/>
      <w:lvlJc w:val="left"/>
      <w:pPr>
        <w:ind w:left="0" w:firstLine="0"/>
      </w:pPr>
      <w:rPr>
        <w:rFonts w:hint="eastAsia"/>
      </w:rPr>
    </w:lvl>
    <w:lvl w:ilvl="8">
      <w:start w:val="1"/>
      <w:numFmt w:val="decimal"/>
      <w:pStyle w:val="1077"/>
      <w:isLgl w:val="false"/>
      <w:suff w:val="nothing"/>
      <w:lvlText w:val=""/>
      <w:lvlJc w:val="left"/>
      <w:pPr>
        <w:ind w:left="0" w:firstLine="0"/>
      </w:pPr>
      <w:rPr>
        <w:rFonts w:hint="eastAsia"/>
      </w:rPr>
    </w:lvl>
  </w:abstractNum>
  <w:abstractNum w:abstractNumId="3">
    <w:multiLevelType w:val="hybridMultilevel"/>
    <w:lvl w:ilvl="0">
      <w:start w:val="1"/>
      <w:numFmt w:val="bullet"/>
      <w:pStyle w:val="74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upperLetter"/>
      <w:pStyle w:val="730"/>
      <w:isLgl w:val="false"/>
      <w:suff w:val="tab"/>
      <w:lvlText w:val="%1."/>
      <w:lvlJc w:val="left"/>
      <w:pPr>
        <w:ind w:left="360" w:hanging="360"/>
        <w:tabs>
          <w:tab w:val="left" w:pos="36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4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nothing"/>
      <w:lvlText w:val="%1、"/>
      <w:lvlJc w:val="left"/>
      <w:pPr>
        <w:ind w:left="0" w:firstLine="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1"/>
      <w:numFmt w:val="decimal"/>
      <w:isLgl w:val="false"/>
      <w:suff w:val="nothing"/>
      <w:lvlText w:val="%1、"/>
      <w:lvlJc w:val="left"/>
      <w:pPr>
        <w:ind w:left="0" w:firstLine="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ind w:left="0" w:firstLine="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japaneseCounting"/>
      <w:pStyle w:val="877"/>
      <w:isLgl w:val="false"/>
      <w:suff w:val="tab"/>
      <w:lvlText w:val="（%1)"/>
      <w:lvlJc w:val="left"/>
      <w:pPr>
        <w:ind w:left="840" w:hanging="720"/>
      </w:pPr>
      <w:rPr>
        <w:rFonts w:hint="default"/>
      </w:r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1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7">
    <w:multiLevelType w:val="hybridMultilevel"/>
    <w:lvl w:ilvl="0">
      <w:start w:val="1"/>
      <w:numFmt w:val="decimal"/>
      <w:isLgl w:val="false"/>
      <w:suff w:val="nothing"/>
      <w:lvlText w:val="%1、"/>
      <w:lvlJc w:val="left"/>
      <w:pPr>
        <w:ind w:left="0" w:firstLine="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5"/>
  </w:num>
  <w:num w:numId="2">
    <w:abstractNumId w:val="3"/>
  </w:num>
  <w:num w:numId="3">
    <w:abstractNumId w:val="14"/>
  </w:num>
  <w:num w:numId="4">
    <w:abstractNumId w:val="2"/>
  </w:num>
  <w:num w:numId="5">
    <w:abstractNumId w:val="1"/>
  </w:num>
  <w:num w:numId="6">
    <w:abstractNumId w:val="7"/>
  </w:num>
  <w:num w:numId="7">
    <w:abstractNumId w:val="10"/>
  </w:num>
  <w:num w:numId="8">
    <w:abstractNumId w:val="6"/>
  </w:num>
  <w:num w:numId="9">
    <w:abstractNumId w:val="12"/>
  </w:num>
  <w:num w:numId="10">
    <w:abstractNumId w:val="17"/>
  </w:num>
  <w:num w:numId="11">
    <w:abstractNumId w:val="13"/>
  </w:num>
  <w:num w:numId="12">
    <w:abstractNumId w:val="8"/>
  </w:num>
  <w:num w:numId="13">
    <w:abstractNumId w:val="11"/>
  </w:num>
  <w:num w:numId="14">
    <w:abstractNumId w:val="15"/>
  </w:num>
  <w:num w:numId="15">
    <w:abstractNumId w:val="4"/>
  </w:num>
  <w:num w:numId="16">
    <w:abstractNumId w:val="0"/>
  </w:num>
  <w:num w:numId="17">
    <w:abstractNumId w:val="16"/>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default="1">
    <w:name w:val="Normal"/>
    <w:next w:val="729"/>
    <w:uiPriority w:val="0"/>
    <w:qFormat/>
    <w:pPr>
      <w:jc w:val="both"/>
      <w:widowControl w:val="off"/>
    </w:pPr>
    <w:rPr>
      <w:rFonts w:hint="default" w:asciiTheme="minorHAnsi" w:hAnsiTheme="minorHAnsi" w:eastAsiaTheme="minorEastAsia" w:cstheme="minorBidi"/>
      <w:sz w:val="21"/>
      <w:szCs w:val="22"/>
    </w:rPr>
  </w:style>
  <w:style w:type="paragraph" w:styleId="726">
    <w:name w:val="Heading 1"/>
    <w:basedOn w:val="725"/>
    <w:next w:val="725"/>
    <w:link w:val="808"/>
    <w:uiPriority w:val="9"/>
    <w:qFormat/>
    <w:pPr>
      <w:jc w:val="center"/>
      <w:keepNext/>
      <w:outlineLvl w:val="0"/>
    </w:pPr>
    <w:rPr>
      <w:rFonts w:ascii="楷体_GB2312" w:hAnsi="Times New Roman" w:eastAsia="楷体_GB2312" w:cs="Times New Roman"/>
      <w:b/>
      <w:sz w:val="28"/>
      <w:szCs w:val="20"/>
    </w:rPr>
  </w:style>
  <w:style w:type="paragraph" w:styleId="727">
    <w:name w:val="Heading 2"/>
    <w:basedOn w:val="725"/>
    <w:next w:val="725"/>
    <w:link w:val="809"/>
    <w:uiPriority w:val="9"/>
    <w:qFormat/>
    <w:pPr>
      <w:jc w:val="center"/>
      <w:keepNext/>
      <w:outlineLvl w:val="1"/>
    </w:pPr>
    <w:rPr>
      <w:rFonts w:ascii="楷体_GB2312" w:hAnsi="Times New Roman" w:eastAsia="楷体_GB2312" w:cs="Times New Roman"/>
      <w:b/>
      <w:bCs/>
      <w:sz w:val="18"/>
      <w:szCs w:val="20"/>
    </w:rPr>
  </w:style>
  <w:style w:type="paragraph" w:styleId="728">
    <w:name w:val="Heading 3"/>
    <w:basedOn w:val="725"/>
    <w:next w:val="725"/>
    <w:link w:val="810"/>
    <w:uiPriority w:val="9"/>
    <w:qFormat/>
    <w:pPr>
      <w:jc w:val="left"/>
      <w:keepNext/>
    </w:pPr>
    <w:rPr>
      <w:rFonts w:asciiTheme="minorEastAsia" w:hAnsiTheme="minorEastAsia" w:eastAsiaTheme="minorEastAsia" w:cstheme="minorBidi"/>
      <w:bCs/>
      <w:sz w:val="24"/>
      <w:szCs w:val="24"/>
      <w:lang w:eastAsia="zh-CN"/>
    </w:rPr>
  </w:style>
  <w:style w:type="paragraph" w:styleId="729">
    <w:name w:val="Heading 4"/>
    <w:basedOn w:val="725"/>
    <w:next w:val="725"/>
    <w:link w:val="811"/>
    <w:uiPriority w:val="9"/>
    <w:qFormat/>
    <w:pPr>
      <w:keepNext/>
      <w:outlineLvl w:val="3"/>
    </w:pPr>
    <w:rPr>
      <w:rFonts w:ascii="Times New Roman" w:hAnsi="Times New Roman" w:eastAsia="楷体_GB2312" w:cs="Times New Roman"/>
      <w:b/>
      <w:bCs/>
      <w:sz w:val="15"/>
      <w:szCs w:val="20"/>
    </w:rPr>
  </w:style>
  <w:style w:type="paragraph" w:styleId="730">
    <w:name w:val="Heading 5"/>
    <w:basedOn w:val="725"/>
    <w:next w:val="725"/>
    <w:link w:val="812"/>
    <w:uiPriority w:val="9"/>
    <w:qFormat/>
    <w:pPr>
      <w:numPr>
        <w:ilvl w:val="0"/>
        <w:numId w:val="1"/>
      </w:numPr>
      <w:keepNext/>
      <w:outlineLvl w:val="4"/>
    </w:pPr>
    <w:rPr>
      <w:rFonts w:ascii="楷体_GB2312" w:hAnsi="Times New Roman" w:eastAsia="楷体_GB2312" w:cs="Times New Roman"/>
      <w:bCs/>
      <w:sz w:val="28"/>
      <w:szCs w:val="20"/>
    </w:rPr>
  </w:style>
  <w:style w:type="paragraph" w:styleId="731">
    <w:name w:val="Heading 6"/>
    <w:basedOn w:val="725"/>
    <w:next w:val="725"/>
    <w:link w:val="892"/>
    <w:uiPriority w:val="9"/>
    <w:qFormat/>
    <w:pPr>
      <w:keepLines/>
      <w:keepNext/>
      <w:spacing w:before="320" w:after="200"/>
      <w:outlineLvl w:val="5"/>
    </w:pPr>
    <w:rPr>
      <w:rFonts w:ascii="Arial" w:hAnsi="Arial" w:eastAsia="Arial" w:cs="Arial"/>
      <w:b/>
      <w:bCs/>
      <w:sz w:val="22"/>
    </w:rPr>
  </w:style>
  <w:style w:type="paragraph" w:styleId="732">
    <w:name w:val="Heading 7"/>
    <w:basedOn w:val="725"/>
    <w:next w:val="725"/>
    <w:link w:val="893"/>
    <w:uiPriority w:val="9"/>
    <w:qFormat/>
    <w:pPr>
      <w:keepLines/>
      <w:keepNext/>
      <w:spacing w:before="320" w:after="200"/>
      <w:outlineLvl w:val="6"/>
    </w:pPr>
    <w:rPr>
      <w:rFonts w:ascii="Arial" w:hAnsi="Arial" w:eastAsia="Arial" w:cs="Arial"/>
      <w:b/>
      <w:bCs/>
      <w:i/>
      <w:iCs/>
      <w:sz w:val="22"/>
    </w:rPr>
  </w:style>
  <w:style w:type="paragraph" w:styleId="733">
    <w:name w:val="Heading 8"/>
    <w:basedOn w:val="725"/>
    <w:next w:val="725"/>
    <w:link w:val="894"/>
    <w:uiPriority w:val="9"/>
    <w:qFormat/>
    <w:pPr>
      <w:keepLines/>
      <w:keepNext/>
      <w:spacing w:before="320" w:after="200"/>
      <w:outlineLvl w:val="7"/>
    </w:pPr>
    <w:rPr>
      <w:rFonts w:ascii="Arial" w:hAnsi="Arial" w:eastAsia="Arial" w:cs="Arial"/>
      <w:i/>
      <w:iCs/>
      <w:sz w:val="22"/>
    </w:rPr>
  </w:style>
  <w:style w:type="paragraph" w:styleId="734">
    <w:name w:val="Heading 9"/>
    <w:basedOn w:val="725"/>
    <w:next w:val="725"/>
    <w:link w:val="895"/>
    <w:uiPriority w:val="9"/>
    <w:qFormat/>
    <w:pPr>
      <w:keepLines/>
      <w:keepNext/>
      <w:spacing w:before="320" w:after="200"/>
      <w:outlineLvl w:val="8"/>
    </w:pPr>
    <w:rPr>
      <w:rFonts w:ascii="Arial" w:hAnsi="Arial" w:eastAsia="Arial" w:cs="Arial"/>
      <w:i/>
      <w:iCs/>
      <w:szCs w:val="21"/>
    </w:rPr>
  </w:style>
  <w:style w:type="character" w:styleId="735" w:default="1">
    <w:name w:val="Default Paragraph Font"/>
    <w:uiPriority w:val="1"/>
    <w:semiHidden/>
    <w:unhideWhenUsed/>
    <w:qFormat/>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name w:val="toc 7"/>
    <w:basedOn w:val="725"/>
    <w:next w:val="725"/>
    <w:uiPriority w:val="39"/>
    <w:unhideWhenUsed/>
    <w:qFormat/>
    <w:pPr>
      <w:ind w:left="1701"/>
      <w:spacing w:after="57"/>
    </w:pPr>
    <w:rPr>
      <w:rFonts w:ascii="Times New Roman" w:hAnsi="Times New Roman" w:eastAsia="宋体" w:cs="Times New Roman"/>
      <w:szCs w:val="21"/>
    </w:rPr>
  </w:style>
  <w:style w:type="paragraph" w:styleId="738">
    <w:name w:val="Normal Indent"/>
    <w:basedOn w:val="725"/>
    <w:uiPriority w:val="99"/>
    <w:qFormat/>
    <w:pPr>
      <w:ind w:firstLine="420"/>
    </w:pPr>
    <w:rPr>
      <w:rFonts w:ascii="Times New Roman" w:hAnsi="Times New Roman" w:eastAsia="宋体" w:cs="Times New Roman"/>
      <w:szCs w:val="20"/>
    </w:rPr>
  </w:style>
  <w:style w:type="paragraph" w:styleId="739">
    <w:name w:val="Caption"/>
    <w:basedOn w:val="725"/>
    <w:next w:val="725"/>
    <w:uiPriority w:val="35"/>
    <w:qFormat/>
    <w:pPr>
      <w:spacing w:line="276" w:lineRule="auto"/>
    </w:pPr>
    <w:rPr>
      <w:rFonts w:ascii="Times New Roman" w:hAnsi="Times New Roman" w:eastAsia="宋体" w:cs="Times New Roman"/>
      <w:b/>
      <w:bCs/>
      <w:color w:val="4f81bd"/>
      <w:sz w:val="18"/>
      <w:szCs w:val="18"/>
    </w:rPr>
  </w:style>
  <w:style w:type="paragraph" w:styleId="740">
    <w:name w:val="Document Map"/>
    <w:basedOn w:val="725"/>
    <w:link w:val="873"/>
    <w:uiPriority w:val="99"/>
    <w:semiHidden/>
    <w:qFormat/>
    <w:pPr>
      <w:shd w:val="clear" w:color="auto" w:fill="000080"/>
    </w:pPr>
    <w:rPr>
      <w:rFonts w:ascii="Times New Roman" w:hAnsi="Times New Roman" w:eastAsia="宋体" w:cs="Times New Roman"/>
      <w:sz w:val="20"/>
      <w:szCs w:val="20"/>
    </w:rPr>
  </w:style>
  <w:style w:type="paragraph" w:styleId="741">
    <w:name w:val="annotation text"/>
    <w:basedOn w:val="725"/>
    <w:link w:val="880"/>
    <w:uiPriority w:val="99"/>
    <w:semiHidden/>
    <w:unhideWhenUsed/>
    <w:qFormat/>
    <w:pPr>
      <w:jc w:val="left"/>
    </w:pPr>
  </w:style>
  <w:style w:type="paragraph" w:styleId="742">
    <w:name w:val="Body Text"/>
    <w:basedOn w:val="725"/>
    <w:next w:val="743"/>
    <w:link w:val="817"/>
    <w:uiPriority w:val="99"/>
    <w:qFormat/>
    <w:rPr>
      <w:rFonts w:ascii="华文中宋" w:hAnsi="Times New Roman" w:eastAsia="华文中宋" w:cs="Times New Roman"/>
      <w:bCs/>
      <w:sz w:val="28"/>
      <w:szCs w:val="20"/>
    </w:rPr>
  </w:style>
  <w:style w:type="paragraph" w:styleId="743">
    <w:name w:val="Body Text First Indent"/>
    <w:basedOn w:val="742"/>
    <w:uiPriority w:val="99"/>
    <w:unhideWhenUsed/>
    <w:qFormat/>
    <w:pPr>
      <w:ind w:firstLine="420"/>
      <w:spacing w:after="120"/>
    </w:pPr>
    <w:rPr>
      <w:rFonts w:ascii="Calibri" w:hAnsi="Calibri" w:eastAsia="宋体"/>
      <w:sz w:val="21"/>
      <w:szCs w:val="22"/>
    </w:rPr>
  </w:style>
  <w:style w:type="paragraph" w:styleId="744">
    <w:name w:val="Body Text Indent"/>
    <w:basedOn w:val="725"/>
    <w:next w:val="745"/>
    <w:link w:val="814"/>
    <w:uiPriority w:val="99"/>
    <w:qFormat/>
    <w:pPr>
      <w:ind w:firstLine="576"/>
    </w:pPr>
    <w:rPr>
      <w:rFonts w:ascii="Times New Roman" w:hAnsi="Times New Roman" w:eastAsia="宋体" w:cs="Times New Roman"/>
      <w:b/>
      <w:sz w:val="30"/>
      <w:szCs w:val="20"/>
    </w:rPr>
  </w:style>
  <w:style w:type="paragraph" w:styleId="745">
    <w:name w:val="envelope return"/>
    <w:basedOn w:val="725"/>
    <w:uiPriority w:val="99"/>
    <w:unhideWhenUsed/>
    <w:qFormat/>
    <w:rPr>
      <w:rFonts w:ascii="Arial" w:hAnsi="Arial"/>
    </w:rPr>
  </w:style>
  <w:style w:type="paragraph" w:styleId="746">
    <w:name w:val="List Bullet 2"/>
    <w:basedOn w:val="725"/>
    <w:uiPriority w:val="99"/>
    <w:semiHidden/>
    <w:unhideWhenUsed/>
    <w:qFormat/>
    <w:pPr>
      <w:numPr>
        <w:ilvl w:val="0"/>
        <w:numId w:val="2"/>
      </w:numPr>
    </w:pPr>
  </w:style>
  <w:style w:type="paragraph" w:styleId="747">
    <w:name w:val="index 4"/>
    <w:basedOn w:val="725"/>
    <w:next w:val="725"/>
    <w:uiPriority w:val="99"/>
    <w:qFormat/>
    <w:pPr>
      <w:ind w:left="600"/>
    </w:pPr>
    <w:rPr>
      <w:szCs w:val="24"/>
    </w:rPr>
  </w:style>
  <w:style w:type="paragraph" w:styleId="748">
    <w:name w:val="toc 5"/>
    <w:basedOn w:val="725"/>
    <w:next w:val="725"/>
    <w:uiPriority w:val="39"/>
    <w:unhideWhenUsed/>
    <w:qFormat/>
    <w:pPr>
      <w:ind w:left="1134"/>
      <w:spacing w:after="57"/>
    </w:pPr>
    <w:rPr>
      <w:rFonts w:ascii="Times New Roman" w:hAnsi="Times New Roman" w:eastAsia="宋体" w:cs="Times New Roman"/>
      <w:szCs w:val="21"/>
    </w:rPr>
  </w:style>
  <w:style w:type="paragraph" w:styleId="749">
    <w:name w:val="toc 3"/>
    <w:basedOn w:val="725"/>
    <w:next w:val="725"/>
    <w:uiPriority w:val="39"/>
    <w:unhideWhenUsed/>
    <w:qFormat/>
    <w:pPr>
      <w:ind w:left="567"/>
      <w:spacing w:after="57"/>
    </w:pPr>
    <w:rPr>
      <w:rFonts w:ascii="Times New Roman" w:hAnsi="Times New Roman" w:eastAsia="宋体" w:cs="Times New Roman"/>
      <w:szCs w:val="21"/>
    </w:rPr>
  </w:style>
  <w:style w:type="paragraph" w:styleId="750">
    <w:name w:val="Plain Text"/>
    <w:basedOn w:val="725"/>
    <w:uiPriority w:val="0"/>
    <w:qFormat/>
    <w:rPr>
      <w:rFonts w:ascii="黑体" w:cs="Times New Roman"/>
      <w:szCs w:val="21"/>
    </w:rPr>
  </w:style>
  <w:style w:type="paragraph" w:styleId="751">
    <w:name w:val="toc 8"/>
    <w:basedOn w:val="725"/>
    <w:next w:val="725"/>
    <w:uiPriority w:val="39"/>
    <w:unhideWhenUsed/>
    <w:qFormat/>
    <w:pPr>
      <w:ind w:left="1984"/>
      <w:spacing w:after="57"/>
    </w:pPr>
    <w:rPr>
      <w:rFonts w:ascii="Times New Roman" w:hAnsi="Times New Roman" w:eastAsia="宋体" w:cs="Times New Roman"/>
      <w:szCs w:val="21"/>
    </w:rPr>
  </w:style>
  <w:style w:type="paragraph" w:styleId="752">
    <w:name w:val="Date"/>
    <w:basedOn w:val="725"/>
    <w:next w:val="725"/>
    <w:link w:val="813"/>
    <w:uiPriority w:val="99"/>
    <w:qFormat/>
    <w:rPr>
      <w:rFonts w:ascii="Times New Roman" w:hAnsi="Times New Roman" w:eastAsia="黑体" w:cs="Times New Roman"/>
      <w:b/>
      <w:sz w:val="36"/>
      <w:szCs w:val="20"/>
    </w:rPr>
  </w:style>
  <w:style w:type="paragraph" w:styleId="753">
    <w:name w:val="Body Text Indent 2"/>
    <w:basedOn w:val="725"/>
    <w:link w:val="818"/>
    <w:uiPriority w:val="99"/>
    <w:qFormat/>
    <w:pPr>
      <w:ind w:left="900"/>
    </w:pPr>
    <w:rPr>
      <w:rFonts w:ascii="楷体_GB2312" w:hAnsi="Times New Roman" w:eastAsia="楷体_GB2312" w:cs="Times New Roman"/>
      <w:b/>
      <w:sz w:val="28"/>
      <w:szCs w:val="20"/>
    </w:rPr>
  </w:style>
  <w:style w:type="paragraph" w:styleId="754">
    <w:name w:val="endnote text"/>
    <w:basedOn w:val="725"/>
    <w:link w:val="920"/>
    <w:uiPriority w:val="99"/>
    <w:unhideWhenUsed/>
    <w:qFormat/>
    <w:rPr>
      <w:rFonts w:ascii="Times New Roman" w:hAnsi="Times New Roman" w:eastAsia="宋体" w:cs="Times New Roman"/>
      <w:sz w:val="20"/>
      <w:szCs w:val="21"/>
    </w:rPr>
  </w:style>
  <w:style w:type="paragraph" w:styleId="755">
    <w:name w:val="Balloon Text"/>
    <w:basedOn w:val="725"/>
    <w:link w:val="879"/>
    <w:uiPriority w:val="99"/>
    <w:unhideWhenUsed/>
    <w:qFormat/>
    <w:rPr>
      <w:rFonts w:ascii="Times New Roman" w:hAnsi="Times New Roman" w:eastAsia="宋体" w:cs="Times New Roman"/>
      <w:sz w:val="18"/>
      <w:szCs w:val="18"/>
    </w:rPr>
  </w:style>
  <w:style w:type="paragraph" w:styleId="756">
    <w:name w:val="Footer"/>
    <w:basedOn w:val="725"/>
    <w:link w:val="815"/>
    <w:uiPriority w:val="99"/>
    <w:qFormat/>
    <w:pPr>
      <w:jc w:val="left"/>
      <w:tabs>
        <w:tab w:val="center" w:pos="4153" w:leader="none"/>
        <w:tab w:val="right" w:pos="8306" w:leader="none"/>
      </w:tabs>
    </w:pPr>
    <w:rPr>
      <w:rFonts w:ascii="Times New Roman" w:hAnsi="Times New Roman" w:eastAsia="宋体" w:cs="Times New Roman"/>
      <w:sz w:val="18"/>
      <w:szCs w:val="20"/>
    </w:rPr>
  </w:style>
  <w:style w:type="paragraph" w:styleId="757">
    <w:name w:val="Header"/>
    <w:basedOn w:val="725"/>
    <w:link w:val="816"/>
    <w:uiPriority w:val="99"/>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20"/>
    </w:rPr>
  </w:style>
  <w:style w:type="paragraph" w:styleId="758">
    <w:name w:val="toc 1"/>
    <w:basedOn w:val="725"/>
    <w:next w:val="725"/>
    <w:uiPriority w:val="39"/>
    <w:unhideWhenUsed/>
    <w:qFormat/>
    <w:pPr>
      <w:spacing w:after="57"/>
    </w:pPr>
    <w:rPr>
      <w:rFonts w:ascii="Times New Roman" w:hAnsi="Times New Roman" w:eastAsia="宋体" w:cs="Times New Roman"/>
      <w:szCs w:val="21"/>
    </w:rPr>
  </w:style>
  <w:style w:type="paragraph" w:styleId="759">
    <w:name w:val="toc 4"/>
    <w:basedOn w:val="725"/>
    <w:next w:val="725"/>
    <w:uiPriority w:val="39"/>
    <w:unhideWhenUsed/>
    <w:qFormat/>
    <w:pPr>
      <w:ind w:left="850"/>
      <w:spacing w:after="57"/>
    </w:pPr>
    <w:rPr>
      <w:rFonts w:ascii="Times New Roman" w:hAnsi="Times New Roman" w:eastAsia="宋体" w:cs="Times New Roman"/>
      <w:szCs w:val="21"/>
    </w:rPr>
  </w:style>
  <w:style w:type="paragraph" w:styleId="760">
    <w:name w:val="Subtitle"/>
    <w:basedOn w:val="725"/>
    <w:next w:val="725"/>
    <w:link w:val="929"/>
    <w:uiPriority w:val="11"/>
    <w:qFormat/>
    <w:pPr>
      <w:ind w:firstLine="471"/>
      <w:jc w:val="center"/>
      <w:spacing w:before="240" w:after="60" w:line="312" w:lineRule="atLeast"/>
      <w:outlineLvl w:val="1"/>
    </w:pPr>
    <w:rPr>
      <w:rFonts w:ascii="Arial" w:hAnsi="Arial"/>
      <w:b/>
      <w:bCs/>
      <w:sz w:val="32"/>
      <w:szCs w:val="32"/>
    </w:rPr>
  </w:style>
  <w:style w:type="paragraph" w:styleId="761">
    <w:name w:val="List"/>
    <w:basedOn w:val="725"/>
    <w:uiPriority w:val="0"/>
    <w:qFormat/>
    <w:pPr>
      <w:ind w:firstLine="480"/>
      <w:spacing w:after="20" w:line="360" w:lineRule="auto"/>
      <w:tabs>
        <w:tab w:val="left" w:pos="420" w:leader="none"/>
      </w:tabs>
    </w:pPr>
    <w:rPr>
      <w:rFonts w:ascii="宋体" w:hAnsi="宋体" w:eastAsia="宋体" w:cs="宋体"/>
      <w:sz w:val="24"/>
      <w:szCs w:val="24"/>
    </w:rPr>
  </w:style>
  <w:style w:type="paragraph" w:styleId="762">
    <w:name w:val="footnote text"/>
    <w:basedOn w:val="725"/>
    <w:link w:val="918"/>
    <w:uiPriority w:val="99"/>
    <w:unhideWhenUsed/>
    <w:qFormat/>
    <w:pPr>
      <w:spacing w:after="40"/>
    </w:pPr>
    <w:rPr>
      <w:rFonts w:ascii="Times New Roman" w:hAnsi="Times New Roman" w:eastAsia="宋体" w:cs="Times New Roman"/>
      <w:sz w:val="18"/>
      <w:szCs w:val="21"/>
    </w:rPr>
  </w:style>
  <w:style w:type="paragraph" w:styleId="763">
    <w:name w:val="toc 6"/>
    <w:basedOn w:val="725"/>
    <w:next w:val="725"/>
    <w:uiPriority w:val="39"/>
    <w:unhideWhenUsed/>
    <w:qFormat/>
    <w:pPr>
      <w:ind w:left="1417"/>
      <w:spacing w:after="57"/>
    </w:pPr>
    <w:rPr>
      <w:rFonts w:ascii="Times New Roman" w:hAnsi="Times New Roman" w:eastAsia="宋体" w:cs="Times New Roman"/>
      <w:szCs w:val="21"/>
    </w:rPr>
  </w:style>
  <w:style w:type="paragraph" w:styleId="764">
    <w:name w:val="Body Text Indent 3"/>
    <w:basedOn w:val="725"/>
    <w:link w:val="819"/>
    <w:uiPriority w:val="99"/>
    <w:qFormat/>
    <w:pPr>
      <w:ind w:left="359" w:firstLine="359"/>
    </w:pPr>
    <w:rPr>
      <w:rFonts w:ascii="Times New Roman" w:hAnsi="Times New Roman" w:eastAsia="宋体" w:cs="Times New Roman"/>
      <w:sz w:val="20"/>
      <w:szCs w:val="20"/>
    </w:rPr>
  </w:style>
  <w:style w:type="paragraph" w:styleId="765">
    <w:name w:val="table of figures"/>
    <w:basedOn w:val="725"/>
    <w:next w:val="725"/>
    <w:uiPriority w:val="99"/>
    <w:unhideWhenUsed/>
    <w:qFormat/>
    <w:rPr>
      <w:rFonts w:ascii="Times New Roman" w:hAnsi="Times New Roman" w:eastAsia="宋体" w:cs="Times New Roman"/>
      <w:szCs w:val="21"/>
    </w:rPr>
  </w:style>
  <w:style w:type="paragraph" w:styleId="766">
    <w:name w:val="toc 2"/>
    <w:basedOn w:val="725"/>
    <w:next w:val="725"/>
    <w:uiPriority w:val="39"/>
    <w:unhideWhenUsed/>
    <w:qFormat/>
    <w:pPr>
      <w:ind w:left="283"/>
      <w:spacing w:after="57"/>
    </w:pPr>
    <w:rPr>
      <w:rFonts w:ascii="Times New Roman" w:hAnsi="Times New Roman" w:eastAsia="宋体" w:cs="Times New Roman"/>
      <w:szCs w:val="21"/>
    </w:rPr>
  </w:style>
  <w:style w:type="paragraph" w:styleId="767">
    <w:name w:val="toc 9"/>
    <w:basedOn w:val="725"/>
    <w:next w:val="725"/>
    <w:uiPriority w:val="39"/>
    <w:unhideWhenUsed/>
    <w:qFormat/>
    <w:pPr>
      <w:ind w:left="2268"/>
      <w:spacing w:after="57"/>
    </w:pPr>
    <w:rPr>
      <w:rFonts w:ascii="Times New Roman" w:hAnsi="Times New Roman" w:eastAsia="宋体" w:cs="Times New Roman"/>
      <w:szCs w:val="21"/>
    </w:rPr>
  </w:style>
  <w:style w:type="paragraph" w:styleId="768">
    <w:name w:val="Body Text 2"/>
    <w:basedOn w:val="725"/>
    <w:link w:val="874"/>
    <w:uiPriority w:val="99"/>
    <w:qFormat/>
    <w:pPr>
      <w:spacing w:after="120" w:line="480" w:lineRule="auto"/>
    </w:pPr>
    <w:rPr>
      <w:rFonts w:ascii="Times New Roman" w:hAnsi="Times New Roman" w:eastAsia="宋体" w:cs="Times New Roman"/>
      <w:sz w:val="20"/>
      <w:szCs w:val="20"/>
    </w:rPr>
  </w:style>
  <w:style w:type="paragraph" w:styleId="769">
    <w:name w:val="Normal (Web)"/>
    <w:basedOn w:val="725"/>
    <w:uiPriority w:val="99"/>
    <w:semiHidden/>
    <w:unhideWhenUsed/>
    <w:qFormat/>
    <w:pPr>
      <w:jc w:val="left"/>
      <w:spacing w:before="100" w:beforeAutospacing="1" w:after="100" w:afterAutospacing="1"/>
      <w:widowControl/>
    </w:pPr>
    <w:rPr>
      <w:rFonts w:ascii="宋体" w:hAnsi="宋体" w:eastAsia="宋体" w:cs="宋体"/>
      <w:sz w:val="24"/>
      <w:szCs w:val="24"/>
    </w:rPr>
  </w:style>
  <w:style w:type="paragraph" w:styleId="770">
    <w:name w:val="Title"/>
    <w:basedOn w:val="725"/>
    <w:next w:val="725"/>
    <w:link w:val="906"/>
    <w:uiPriority w:val="10"/>
    <w:qFormat/>
    <w:pPr>
      <w:contextualSpacing/>
      <w:spacing w:before="300" w:after="200"/>
    </w:pPr>
    <w:rPr>
      <w:rFonts w:ascii="Times New Roman" w:hAnsi="Times New Roman" w:eastAsia="宋体" w:cs="Times New Roman"/>
      <w:sz w:val="48"/>
      <w:szCs w:val="48"/>
    </w:rPr>
  </w:style>
  <w:style w:type="paragraph" w:styleId="771">
    <w:name w:val="annotation subject"/>
    <w:basedOn w:val="741"/>
    <w:next w:val="741"/>
    <w:link w:val="881"/>
    <w:uiPriority w:val="99"/>
    <w:semiHidden/>
    <w:unhideWhenUsed/>
    <w:qFormat/>
    <w:rPr>
      <w:b/>
      <w:bCs/>
    </w:rPr>
  </w:style>
  <w:style w:type="paragraph" w:styleId="772">
    <w:name w:val="Body Text First Indent 2"/>
    <w:basedOn w:val="744"/>
    <w:next w:val="725"/>
    <w:link w:val="884"/>
    <w:uiPriority w:val="99"/>
    <w:semiHidden/>
    <w:unhideWhenUsed/>
    <w:qFormat/>
    <w:pPr>
      <w:ind w:left="420" w:firstLine="420"/>
      <w:spacing w:after="120"/>
    </w:pPr>
    <w:rPr>
      <w:rFonts w:asciiTheme="minorHAnsi" w:hAnsiTheme="minorHAnsi" w:eastAsiaTheme="minorEastAsia" w:cstheme="minorBidi"/>
      <w:b w:val="0"/>
      <w:sz w:val="21"/>
      <w:szCs w:val="22"/>
    </w:rPr>
  </w:style>
  <w:style w:type="table" w:styleId="773">
    <w:name w:val="Table Grid"/>
    <w:basedOn w:val="736"/>
    <w:uiPriority w:val="59"/>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4">
    <w:name w:val="Strong"/>
    <w:uiPriority w:val="99"/>
    <w:qFormat/>
    <w:rPr>
      <w:rFonts w:cs="Times New Roman"/>
      <w:b/>
      <w:bCs/>
    </w:rPr>
  </w:style>
  <w:style w:type="character" w:styleId="775">
    <w:name w:val="endnote reference"/>
    <w:uiPriority w:val="99"/>
    <w:unhideWhenUsed/>
    <w:qFormat/>
    <w:rPr>
      <w:vertAlign w:val="superscript"/>
    </w:rPr>
  </w:style>
  <w:style w:type="character" w:styleId="776">
    <w:name w:val="page number"/>
    <w:uiPriority w:val="99"/>
    <w:qFormat/>
    <w:rPr>
      <w:rFonts w:cs="Times New Roman"/>
    </w:rPr>
  </w:style>
  <w:style w:type="character" w:styleId="777">
    <w:name w:val="FollowedHyperlink"/>
    <w:uiPriority w:val="99"/>
    <w:semiHidden/>
    <w:unhideWhenUsed/>
    <w:qFormat/>
    <w:rPr>
      <w:color w:val="800080"/>
      <w:u w:val="single"/>
    </w:rPr>
  </w:style>
  <w:style w:type="character" w:styleId="778">
    <w:name w:val="HTML Typewriter"/>
    <w:uiPriority w:val="99"/>
    <w:qFormat/>
    <w:rPr>
      <w:rFonts w:ascii="宋体" w:hAnsi="宋体" w:eastAsia="宋体" w:cs="宋体"/>
      <w:sz w:val="24"/>
      <w:szCs w:val="24"/>
    </w:rPr>
  </w:style>
  <w:style w:type="character" w:styleId="779">
    <w:name w:val="Hyperlink"/>
    <w:uiPriority w:val="99"/>
    <w:qFormat/>
    <w:rPr>
      <w:rFonts w:cs="Times New Roman"/>
      <w:color w:val="auto"/>
      <w:u w:val="none"/>
    </w:rPr>
  </w:style>
  <w:style w:type="character" w:styleId="780">
    <w:name w:val="annotation reference"/>
    <w:basedOn w:val="735"/>
    <w:uiPriority w:val="0"/>
    <w:semiHidden/>
    <w:unhideWhenUsed/>
    <w:qFormat/>
    <w:rPr>
      <w:sz w:val="21"/>
      <w:szCs w:val="21"/>
    </w:rPr>
  </w:style>
  <w:style w:type="character" w:styleId="781">
    <w:name w:val="footnote reference"/>
    <w:uiPriority w:val="99"/>
    <w:unhideWhenUsed/>
    <w:qFormat/>
    <w:rPr>
      <w:vertAlign w:val="superscript"/>
    </w:rPr>
  </w:style>
  <w:style w:type="paragraph" w:styleId="782" w:customStyle="1">
    <w:name w:val="Cn Heading3"/>
    <w:basedOn w:val="783"/>
    <w:uiPriority w:val="0"/>
    <w:qFormat/>
    <w:pPr>
      <w:ind w:firstLine="0"/>
      <w:spacing w:line="480" w:lineRule="auto"/>
      <w:outlineLvl w:val="2"/>
    </w:pPr>
    <w:rPr>
      <w:rFonts w:ascii="微软雅黑" w:hAnsi="微软雅黑" w:eastAsia="微软雅黑"/>
      <w:b/>
      <w:sz w:val="28"/>
      <w:szCs w:val="28"/>
      <w:lang w:eastAsia="ja-JP"/>
    </w:rPr>
  </w:style>
  <w:style w:type="paragraph" w:styleId="783" w:customStyle="1">
    <w:name w:val="列出段落1"/>
    <w:basedOn w:val="725"/>
    <w:link w:val="1136"/>
    <w:uiPriority w:val="0"/>
    <w:qFormat/>
    <w:pPr>
      <w:ind w:firstLine="420"/>
      <w:spacing w:before="120" w:after="120" w:line="360" w:lineRule="auto"/>
    </w:pPr>
    <w:rPr>
      <w:rFonts w:ascii="Calibri" w:hAnsi="Calibri" w:eastAsia="宋体" w:cs="Times New Roman"/>
      <w:sz w:val="24"/>
    </w:rPr>
  </w:style>
  <w:style w:type="paragraph" w:styleId="784" w:customStyle="1">
    <w:name w:val="索引 41"/>
    <w:basedOn w:val="725"/>
    <w:next w:val="725"/>
    <w:uiPriority w:val="99"/>
    <w:qFormat/>
    <w:pPr>
      <w:ind w:left="600"/>
    </w:pPr>
    <w:rPr>
      <w:szCs w:val="24"/>
    </w:rPr>
  </w:style>
  <w:style w:type="table" w:styleId="785" w:customStyle="1">
    <w:name w:val="Plain Table 1"/>
    <w:basedOn w:val="7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2"/>
    <w:basedOn w:val="73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3"/>
    <w:basedOn w:val="7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Plain Table 4"/>
    <w:basedOn w:val="7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Plain Table 5"/>
    <w:basedOn w:val="7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Grid Table 1 Light"/>
    <w:basedOn w:val="73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2"/>
    <w:basedOn w:val="7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3"/>
    <w:basedOn w:val="7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4"/>
    <w:basedOn w:val="73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5 Dark"/>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6 Colorful"/>
    <w:basedOn w:val="73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Grid Table 7 Colorful"/>
    <w:basedOn w:val="73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List Table 1 Light"/>
    <w:basedOn w:val="73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2"/>
    <w:basedOn w:val="73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List Table 3"/>
    <w:basedOn w:val="7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4"/>
    <w:basedOn w:val="7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5 Dark"/>
    <w:basedOn w:val="73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6 Colorful"/>
    <w:basedOn w:val="73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3" w:customStyle="1">
    <w:name w:val="List Table 7 Colorful"/>
    <w:basedOn w:val="73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4" w:customStyle="1">
    <w:name w:val="TOC Heading"/>
    <w:uiPriority w:val="39"/>
    <w:unhideWhenUsed/>
    <w:qFormat/>
    <w:rPr>
      <w:rFonts w:hint="default" w:ascii="Times New Roman" w:hAnsi="Times New Roman" w:eastAsia="宋体" w:cs="Times New Roman"/>
    </w:rPr>
  </w:style>
  <w:style w:type="paragraph" w:styleId="805" w:customStyle="1">
    <w:name w:val="明显引用1"/>
    <w:next w:val="725"/>
    <w:uiPriority w:val="99"/>
    <w:qFormat/>
    <w:pPr>
      <w:ind w:left="950" w:right="950"/>
      <w:jc w:val="center"/>
      <w:spacing w:before="360" w:after="360"/>
    </w:pPr>
    <w:rPr>
      <w:rFonts w:hint="default" w:ascii="Times New Roman" w:hAnsi="Times New Roman" w:eastAsia="宋体" w:cs="Times New Roman"/>
      <w:i/>
      <w:iCs/>
      <w:sz w:val="21"/>
      <w:szCs w:val="21"/>
    </w:rPr>
  </w:style>
  <w:style w:type="paragraph" w:styleId="806" w:customStyle="1">
    <w:name w:val="段"/>
    <w:next w:val="725"/>
    <w:uiPriority w:val="0"/>
    <w:qFormat/>
    <w:pPr>
      <w:ind w:firstLine="200"/>
      <w:jc w:val="both"/>
    </w:pPr>
    <w:rPr>
      <w:rFonts w:hint="default" w:ascii="宋体" w:hAnsi="Times New Roman" w:eastAsia="宋体" w:cs="Times New Roman"/>
      <w:sz w:val="21"/>
    </w:rPr>
  </w:style>
  <w:style w:type="paragraph" w:styleId="807" w:customStyle="1">
    <w:name w:val="TOC 标题1"/>
    <w:uiPriority w:val="39"/>
    <w:unhideWhenUsed/>
    <w:qFormat/>
    <w:rPr>
      <w:rFonts w:hint="default" w:asciiTheme="minorHAnsi" w:hAnsiTheme="minorHAnsi" w:eastAsiaTheme="minorEastAsia" w:cstheme="minorBidi"/>
    </w:rPr>
  </w:style>
  <w:style w:type="character" w:styleId="808" w:customStyle="1">
    <w:name w:val="标题 1 字符"/>
    <w:basedOn w:val="735"/>
    <w:link w:val="726"/>
    <w:uiPriority w:val="9"/>
    <w:qFormat/>
    <w:rPr>
      <w:rFonts w:ascii="楷体_GB2312" w:hAnsi="Times New Roman" w:eastAsia="楷体_GB2312" w:cs="Times New Roman"/>
      <w:b/>
      <w:sz w:val="28"/>
      <w:szCs w:val="20"/>
    </w:rPr>
  </w:style>
  <w:style w:type="character" w:styleId="809" w:customStyle="1">
    <w:name w:val="标题 2 字符"/>
    <w:basedOn w:val="735"/>
    <w:link w:val="727"/>
    <w:uiPriority w:val="9"/>
    <w:qFormat/>
    <w:rPr>
      <w:rFonts w:ascii="楷体_GB2312" w:hAnsi="Times New Roman" w:eastAsia="楷体_GB2312" w:cs="Times New Roman"/>
      <w:b/>
      <w:bCs/>
      <w:sz w:val="18"/>
      <w:szCs w:val="20"/>
    </w:rPr>
  </w:style>
  <w:style w:type="character" w:styleId="810" w:customStyle="1">
    <w:name w:val="标题 3 字符"/>
    <w:basedOn w:val="735"/>
    <w:link w:val="728"/>
    <w:uiPriority w:val="9"/>
    <w:qFormat/>
    <w:rPr>
      <w:rFonts w:asciiTheme="minorEastAsia" w:hAnsiTheme="minorEastAsia"/>
      <w:b/>
      <w:bCs/>
      <w:sz w:val="24"/>
      <w:szCs w:val="24"/>
    </w:rPr>
  </w:style>
  <w:style w:type="character" w:styleId="811" w:customStyle="1">
    <w:name w:val="标题 4 字符"/>
    <w:basedOn w:val="735"/>
    <w:link w:val="729"/>
    <w:uiPriority w:val="9"/>
    <w:qFormat/>
    <w:rPr>
      <w:rFonts w:ascii="Times New Roman" w:hAnsi="Times New Roman" w:eastAsia="楷体_GB2312" w:cs="Times New Roman"/>
      <w:b/>
      <w:bCs/>
      <w:sz w:val="15"/>
    </w:rPr>
  </w:style>
  <w:style w:type="character" w:styleId="812" w:customStyle="1">
    <w:name w:val="标题 5 字符"/>
    <w:basedOn w:val="735"/>
    <w:link w:val="730"/>
    <w:uiPriority w:val="9"/>
    <w:qFormat/>
    <w:rPr>
      <w:rFonts w:ascii="楷体_GB2312" w:hAnsi="Times New Roman" w:eastAsia="楷体_GB2312" w:cs="Times New Roman"/>
      <w:bCs/>
      <w:sz w:val="28"/>
    </w:rPr>
  </w:style>
  <w:style w:type="character" w:styleId="813" w:customStyle="1">
    <w:name w:val="日期 字符"/>
    <w:basedOn w:val="735"/>
    <w:link w:val="752"/>
    <w:uiPriority w:val="99"/>
    <w:qFormat/>
    <w:rPr>
      <w:rFonts w:ascii="Times New Roman" w:hAnsi="Times New Roman" w:eastAsia="黑体" w:cs="Times New Roman"/>
      <w:b/>
      <w:sz w:val="36"/>
      <w:szCs w:val="20"/>
    </w:rPr>
  </w:style>
  <w:style w:type="character" w:styleId="814" w:customStyle="1">
    <w:name w:val="正文文本缩进 字符"/>
    <w:basedOn w:val="735"/>
    <w:link w:val="744"/>
    <w:uiPriority w:val="99"/>
    <w:qFormat/>
    <w:rPr>
      <w:rFonts w:ascii="Times New Roman" w:hAnsi="Times New Roman" w:eastAsia="宋体" w:cs="Times New Roman"/>
      <w:b/>
      <w:sz w:val="30"/>
      <w:szCs w:val="20"/>
    </w:rPr>
  </w:style>
  <w:style w:type="character" w:styleId="815" w:customStyle="1">
    <w:name w:val="页脚 字符"/>
    <w:basedOn w:val="735"/>
    <w:link w:val="756"/>
    <w:uiPriority w:val="99"/>
    <w:qFormat/>
    <w:rPr>
      <w:rFonts w:ascii="Times New Roman" w:hAnsi="Times New Roman" w:eastAsia="宋体" w:cs="Times New Roman"/>
      <w:sz w:val="18"/>
      <w:szCs w:val="20"/>
    </w:rPr>
  </w:style>
  <w:style w:type="character" w:styleId="816" w:customStyle="1">
    <w:name w:val="页眉 字符"/>
    <w:basedOn w:val="735"/>
    <w:link w:val="757"/>
    <w:uiPriority w:val="99"/>
    <w:qFormat/>
    <w:rPr>
      <w:rFonts w:ascii="Times New Roman" w:hAnsi="Times New Roman" w:eastAsia="宋体" w:cs="Times New Roman"/>
      <w:sz w:val="18"/>
      <w:szCs w:val="20"/>
    </w:rPr>
  </w:style>
  <w:style w:type="character" w:styleId="817" w:customStyle="1">
    <w:name w:val="正文文本 字符"/>
    <w:basedOn w:val="735"/>
    <w:link w:val="742"/>
    <w:uiPriority w:val="99"/>
    <w:qFormat/>
    <w:rPr>
      <w:rFonts w:ascii="华文中宋" w:hAnsi="Times New Roman" w:eastAsia="华文中宋" w:cs="Times New Roman"/>
      <w:bCs/>
      <w:sz w:val="28"/>
      <w:szCs w:val="20"/>
    </w:rPr>
  </w:style>
  <w:style w:type="character" w:styleId="818" w:customStyle="1">
    <w:name w:val="正文文本缩进 2 字符"/>
    <w:basedOn w:val="735"/>
    <w:link w:val="753"/>
    <w:uiPriority w:val="99"/>
    <w:qFormat/>
    <w:rPr>
      <w:rFonts w:ascii="楷体_GB2312" w:hAnsi="Times New Roman" w:eastAsia="楷体_GB2312" w:cs="Times New Roman"/>
      <w:b/>
      <w:sz w:val="28"/>
      <w:szCs w:val="20"/>
    </w:rPr>
  </w:style>
  <w:style w:type="character" w:styleId="819" w:customStyle="1">
    <w:name w:val="正文文本缩进 3 字符"/>
    <w:basedOn w:val="735"/>
    <w:link w:val="764"/>
    <w:uiPriority w:val="99"/>
    <w:qFormat/>
    <w:rPr>
      <w:rFonts w:ascii="Times New Roman" w:hAnsi="Times New Roman" w:eastAsia="宋体" w:cs="Times New Roman"/>
      <w:sz w:val="20"/>
      <w:szCs w:val="20"/>
    </w:rPr>
  </w:style>
  <w:style w:type="paragraph" w:styleId="820" w:customStyle="1">
    <w:name w:val="font5"/>
    <w:basedOn w:val="725"/>
    <w:uiPriority w:val="0"/>
    <w:qFormat/>
    <w:pPr>
      <w:jc w:val="left"/>
      <w:spacing w:before="100" w:beforeAutospacing="1" w:after="100" w:afterAutospacing="1"/>
      <w:widowControl/>
    </w:pPr>
    <w:rPr>
      <w:rFonts w:ascii="宋体" w:hAnsi="宋体" w:eastAsia="宋体" w:cs="Times New Roman"/>
      <w:sz w:val="18"/>
      <w:szCs w:val="18"/>
    </w:rPr>
  </w:style>
  <w:style w:type="paragraph" w:styleId="821" w:customStyle="1">
    <w:name w:val="font6"/>
    <w:basedOn w:val="725"/>
    <w:uiPriority w:val="0"/>
    <w:qFormat/>
    <w:pPr>
      <w:jc w:val="left"/>
      <w:spacing w:before="100" w:beforeAutospacing="1" w:after="100" w:afterAutospacing="1"/>
      <w:widowControl/>
    </w:pPr>
    <w:rPr>
      <w:rFonts w:ascii="宋体" w:hAnsi="宋体" w:eastAsia="宋体" w:cs="Times New Roman"/>
      <w:b/>
      <w:bCs/>
      <w:sz w:val="20"/>
      <w:szCs w:val="20"/>
    </w:rPr>
  </w:style>
  <w:style w:type="paragraph" w:styleId="822" w:customStyle="1">
    <w:name w:val="font7"/>
    <w:basedOn w:val="725"/>
    <w:uiPriority w:val="0"/>
    <w:qFormat/>
    <w:pPr>
      <w:jc w:val="left"/>
      <w:spacing w:before="100" w:beforeAutospacing="1" w:after="100" w:afterAutospacing="1"/>
      <w:widowControl/>
    </w:pPr>
    <w:rPr>
      <w:rFonts w:ascii="Times New Roman" w:hAnsi="Times New Roman" w:eastAsia="宋体" w:cs="Times New Roman"/>
      <w:b/>
      <w:bCs/>
      <w:i/>
      <w:iCs/>
      <w:sz w:val="20"/>
      <w:szCs w:val="20"/>
    </w:rPr>
  </w:style>
  <w:style w:type="paragraph" w:styleId="823" w:customStyle="1">
    <w:name w:val="font8"/>
    <w:basedOn w:val="725"/>
    <w:uiPriority w:val="99"/>
    <w:qFormat/>
    <w:pPr>
      <w:jc w:val="left"/>
      <w:spacing w:before="100" w:beforeAutospacing="1" w:after="100" w:afterAutospacing="1"/>
      <w:widowControl/>
    </w:pPr>
    <w:rPr>
      <w:rFonts w:ascii="宋体" w:hAnsi="宋体" w:eastAsia="宋体" w:cs="Times New Roman"/>
      <w:b/>
      <w:bCs/>
      <w:i/>
      <w:iCs/>
      <w:sz w:val="20"/>
      <w:szCs w:val="20"/>
    </w:rPr>
  </w:style>
  <w:style w:type="paragraph" w:styleId="824" w:customStyle="1">
    <w:name w:val="font9"/>
    <w:basedOn w:val="725"/>
    <w:uiPriority w:val="99"/>
    <w:qFormat/>
    <w:pPr>
      <w:jc w:val="left"/>
      <w:spacing w:before="100" w:beforeAutospacing="1" w:after="100" w:afterAutospacing="1"/>
      <w:widowControl/>
    </w:pPr>
    <w:rPr>
      <w:rFonts w:ascii="Times New Roman" w:hAnsi="Times New Roman" w:eastAsia="宋体" w:cs="Times New Roman"/>
      <w:b/>
      <w:bCs/>
      <w:sz w:val="20"/>
      <w:szCs w:val="20"/>
    </w:rPr>
  </w:style>
  <w:style w:type="paragraph" w:styleId="825" w:customStyle="1">
    <w:name w:val="xl24"/>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26" w:customStyle="1">
    <w:name w:val="xl25"/>
    <w:basedOn w:val="7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27" w:customStyle="1">
    <w:name w:val="xl26"/>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28" w:customStyle="1">
    <w:name w:val="xl27"/>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29" w:customStyle="1">
    <w:name w:val="xl28"/>
    <w:basedOn w:val="7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30" w:customStyle="1">
    <w:name w:val="xl29"/>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31" w:customStyle="1">
    <w:name w:val="xl30"/>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32" w:customStyle="1">
    <w:name w:val="xl31"/>
    <w:basedOn w:val="72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Times New Roman"/>
      <w:b/>
      <w:bCs/>
      <w:sz w:val="24"/>
      <w:szCs w:val="24"/>
    </w:rPr>
  </w:style>
  <w:style w:type="paragraph" w:styleId="833" w:customStyle="1">
    <w:name w:val="xl32"/>
    <w:basedOn w:val="72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34" w:customStyle="1">
    <w:name w:val="xl33"/>
    <w:basedOn w:val="72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35" w:customStyle="1">
    <w:name w:val="xl34"/>
    <w:basedOn w:val="72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36" w:customStyle="1">
    <w:name w:val="xl35"/>
    <w:basedOn w:val="72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i/>
      <w:iCs/>
      <w:sz w:val="20"/>
      <w:szCs w:val="20"/>
    </w:rPr>
  </w:style>
  <w:style w:type="paragraph" w:styleId="837" w:customStyle="1">
    <w:name w:val="xl36"/>
    <w:basedOn w:val="72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38" w:customStyle="1">
    <w:name w:val="xl37"/>
    <w:basedOn w:val="72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i/>
      <w:iCs/>
      <w:sz w:val="20"/>
      <w:szCs w:val="20"/>
    </w:rPr>
  </w:style>
  <w:style w:type="paragraph" w:styleId="839" w:customStyle="1">
    <w:name w:val="xl38"/>
    <w:basedOn w:val="72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40" w:customStyle="1">
    <w:name w:val="xl39"/>
    <w:basedOn w:val="72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841" w:customStyle="1">
    <w:name w:val="xl40"/>
    <w:basedOn w:val="72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42" w:customStyle="1">
    <w:name w:val="xl41"/>
    <w:basedOn w:val="72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43" w:customStyle="1">
    <w:name w:val="xl42"/>
    <w:basedOn w:val="72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44" w:customStyle="1">
    <w:name w:val="xl43"/>
    <w:basedOn w:val="725"/>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45" w:customStyle="1">
    <w:name w:val="xl44"/>
    <w:basedOn w:val="725"/>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Times New Roman"/>
      <w:b/>
      <w:bCs/>
      <w:sz w:val="20"/>
      <w:szCs w:val="20"/>
    </w:rPr>
  </w:style>
  <w:style w:type="paragraph" w:styleId="846" w:customStyle="1">
    <w:name w:val="xl45"/>
    <w:basedOn w:val="725"/>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Times New Roman"/>
      <w:b/>
      <w:bCs/>
      <w:sz w:val="20"/>
      <w:szCs w:val="20"/>
    </w:rPr>
  </w:style>
  <w:style w:type="paragraph" w:styleId="847" w:customStyle="1">
    <w:name w:val="xl46"/>
    <w:basedOn w:val="725"/>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Times New Roman"/>
      <w:sz w:val="24"/>
      <w:szCs w:val="24"/>
    </w:rPr>
  </w:style>
  <w:style w:type="paragraph" w:styleId="848" w:customStyle="1">
    <w:name w:val="xl47"/>
    <w:basedOn w:val="725"/>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849" w:customStyle="1">
    <w:name w:val="xl48"/>
    <w:basedOn w:val="725"/>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sz w:val="20"/>
      <w:szCs w:val="20"/>
    </w:rPr>
  </w:style>
  <w:style w:type="paragraph" w:styleId="850" w:customStyle="1">
    <w:name w:val="xl49"/>
    <w:basedOn w:val="725"/>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sz w:val="20"/>
      <w:szCs w:val="20"/>
    </w:rPr>
  </w:style>
  <w:style w:type="paragraph" w:styleId="851" w:customStyle="1">
    <w:name w:val="xl50"/>
    <w:basedOn w:val="725"/>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52" w:customStyle="1">
    <w:name w:val="xl51"/>
    <w:basedOn w:val="725"/>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853" w:customStyle="1">
    <w:name w:val="xl52"/>
    <w:basedOn w:val="725"/>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854" w:customStyle="1">
    <w:name w:val="xl53"/>
    <w:basedOn w:val="725"/>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55" w:customStyle="1">
    <w:name w:val="xl54"/>
    <w:basedOn w:val="725"/>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eastAsia="宋体" w:cs="Times New Roman"/>
      <w:b/>
      <w:bCs/>
      <w:sz w:val="20"/>
      <w:szCs w:val="20"/>
    </w:rPr>
  </w:style>
  <w:style w:type="paragraph" w:styleId="856" w:customStyle="1">
    <w:name w:val="xl55"/>
    <w:basedOn w:val="725"/>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sz w:val="20"/>
      <w:szCs w:val="20"/>
    </w:rPr>
  </w:style>
  <w:style w:type="paragraph" w:styleId="857" w:customStyle="1">
    <w:name w:val="xl56"/>
    <w:basedOn w:val="725"/>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58" w:customStyle="1">
    <w:name w:val="xl57"/>
    <w:basedOn w:val="725"/>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i/>
      <w:iCs/>
      <w:sz w:val="20"/>
      <w:szCs w:val="20"/>
    </w:rPr>
  </w:style>
  <w:style w:type="paragraph" w:styleId="859" w:customStyle="1">
    <w:name w:val="xl58"/>
    <w:basedOn w:val="725"/>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i/>
      <w:iCs/>
      <w:sz w:val="20"/>
      <w:szCs w:val="20"/>
    </w:rPr>
  </w:style>
  <w:style w:type="paragraph" w:styleId="860" w:customStyle="1">
    <w:name w:val="xl59"/>
    <w:basedOn w:val="725"/>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61" w:customStyle="1">
    <w:name w:val="xl60"/>
    <w:basedOn w:val="725"/>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862" w:customStyle="1">
    <w:name w:val="xl61"/>
    <w:basedOn w:val="725"/>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863" w:customStyle="1">
    <w:name w:val="xl62"/>
    <w:basedOn w:val="725"/>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64" w:customStyle="1">
    <w:name w:val="xl63"/>
    <w:basedOn w:val="725"/>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20"/>
      <w:szCs w:val="20"/>
    </w:rPr>
  </w:style>
  <w:style w:type="paragraph" w:styleId="865" w:customStyle="1">
    <w:name w:val="font10"/>
    <w:basedOn w:val="725"/>
    <w:uiPriority w:val="99"/>
    <w:qFormat/>
    <w:pPr>
      <w:jc w:val="left"/>
      <w:spacing w:before="100" w:beforeAutospacing="1" w:after="100" w:afterAutospacing="1"/>
      <w:widowControl/>
    </w:pPr>
    <w:rPr>
      <w:rFonts w:ascii="楷体_GB2312" w:hAnsi="宋体" w:eastAsia="楷体_GB2312" w:cs="Times New Roman"/>
      <w:b/>
      <w:bCs/>
      <w:sz w:val="18"/>
      <w:szCs w:val="18"/>
    </w:rPr>
  </w:style>
  <w:style w:type="paragraph" w:styleId="866" w:customStyle="1">
    <w:name w:val="font11"/>
    <w:basedOn w:val="725"/>
    <w:uiPriority w:val="99"/>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867" w:customStyle="1">
    <w:name w:val="font12"/>
    <w:basedOn w:val="725"/>
    <w:uiPriority w:val="99"/>
    <w:qFormat/>
    <w:pPr>
      <w:jc w:val="left"/>
      <w:spacing w:before="100" w:beforeAutospacing="1" w:after="100" w:afterAutospacing="1"/>
      <w:widowControl/>
    </w:pPr>
    <w:rPr>
      <w:rFonts w:ascii="宋体" w:hAnsi="宋体" w:eastAsia="宋体" w:cs="Times New Roman"/>
      <w:sz w:val="36"/>
      <w:szCs w:val="36"/>
    </w:rPr>
  </w:style>
  <w:style w:type="paragraph" w:styleId="868" w:customStyle="1">
    <w:name w:val="font13"/>
    <w:basedOn w:val="725"/>
    <w:uiPriority w:val="99"/>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869" w:customStyle="1">
    <w:name w:val="font14"/>
    <w:basedOn w:val="725"/>
    <w:uiPriority w:val="99"/>
    <w:qFormat/>
    <w:pPr>
      <w:jc w:val="left"/>
      <w:spacing w:before="100" w:beforeAutospacing="1" w:after="100" w:afterAutospacing="1"/>
      <w:widowControl/>
    </w:pPr>
    <w:rPr>
      <w:rFonts w:ascii="Times New Roman" w:hAnsi="Times New Roman" w:eastAsia="宋体" w:cs="Times New Roman"/>
      <w:sz w:val="36"/>
      <w:szCs w:val="36"/>
    </w:rPr>
  </w:style>
  <w:style w:type="character" w:styleId="870" w:customStyle="1">
    <w:name w:val="case31"/>
    <w:uiPriority w:val="99"/>
    <w:qFormat/>
    <w:rPr>
      <w:rFonts w:cs="Times New Roman"/>
      <w:spacing w:val="390"/>
      <w:sz w:val="21"/>
      <w:szCs w:val="21"/>
    </w:rPr>
  </w:style>
  <w:style w:type="paragraph" w:styleId="871" w:customStyle="1">
    <w:name w:val="普通文字"/>
    <w:basedOn w:val="725"/>
    <w:next w:val="725"/>
    <w:uiPriority w:val="99"/>
    <w:qFormat/>
    <w:rPr>
      <w:rFonts w:ascii="宋体" w:hAnsi="Times New Roman" w:eastAsia="宋体" w:cs="Times New Roman"/>
      <w:sz w:val="24"/>
      <w:szCs w:val="20"/>
    </w:rPr>
  </w:style>
  <w:style w:type="paragraph" w:styleId="872" w:customStyle="1">
    <w:name w:val="默认段落字体 Para Char"/>
    <w:basedOn w:val="725"/>
    <w:uiPriority w:val="99"/>
    <w:qFormat/>
    <w:pPr>
      <w:ind w:left="552" w:hanging="420"/>
      <w:tabs>
        <w:tab w:val="left" w:pos="552" w:leader="none"/>
      </w:tabs>
    </w:pPr>
    <w:rPr>
      <w:rFonts w:ascii="Times New Roman" w:hAnsi="Times New Roman" w:eastAsia="宋体" w:cs="Times New Roman"/>
      <w:sz w:val="24"/>
      <w:szCs w:val="24"/>
    </w:rPr>
  </w:style>
  <w:style w:type="character" w:styleId="873" w:customStyle="1">
    <w:name w:val="文档结构图 字符"/>
    <w:basedOn w:val="735"/>
    <w:link w:val="740"/>
    <w:uiPriority w:val="99"/>
    <w:semiHidden/>
    <w:qFormat/>
    <w:rPr>
      <w:rFonts w:ascii="Times New Roman" w:hAnsi="Times New Roman" w:eastAsia="宋体" w:cs="Times New Roman"/>
      <w:sz w:val="20"/>
      <w:szCs w:val="20"/>
      <w:shd w:val="clear" w:color="auto" w:fill="000080"/>
    </w:rPr>
  </w:style>
  <w:style w:type="character" w:styleId="874" w:customStyle="1">
    <w:name w:val="正文文本 2 字符"/>
    <w:basedOn w:val="735"/>
    <w:link w:val="768"/>
    <w:uiPriority w:val="99"/>
    <w:qFormat/>
    <w:rPr>
      <w:rFonts w:ascii="Times New Roman" w:hAnsi="Times New Roman" w:eastAsia="宋体" w:cs="Times New Roman"/>
      <w:sz w:val="20"/>
      <w:szCs w:val="20"/>
    </w:rPr>
  </w:style>
  <w:style w:type="paragraph" w:styleId="875" w:customStyle="1">
    <w:name w:val="Char Char Char Char"/>
    <w:basedOn w:val="740"/>
    <w:uiPriority w:val="0"/>
    <w:qFormat/>
    <w:pPr>
      <w:spacing w:line="360" w:lineRule="auto"/>
    </w:pPr>
    <w:rPr>
      <w:rFonts w:ascii="Tahoma" w:hAnsi="Tahoma"/>
      <w:sz w:val="24"/>
      <w:szCs w:val="24"/>
    </w:rPr>
  </w:style>
  <w:style w:type="paragraph" w:styleId="876" w:customStyle="1">
    <w:name w:val="Char Char1 Char Char Char Char"/>
    <w:basedOn w:val="740"/>
    <w:uiPriority w:val="99"/>
    <w:qFormat/>
    <w:pPr>
      <w:ind w:left="357"/>
      <w:jc w:val="left"/>
      <w:spacing w:line="436" w:lineRule="exact"/>
      <w:outlineLvl w:val="3"/>
    </w:pPr>
    <w:rPr>
      <w:rFonts w:ascii="Tahoma" w:hAnsi="Tahoma"/>
      <w:b/>
      <w:sz w:val="24"/>
      <w:szCs w:val="24"/>
    </w:rPr>
  </w:style>
  <w:style w:type="paragraph" w:styleId="877">
    <w:name w:val="List Paragraph"/>
    <w:basedOn w:val="725"/>
    <w:uiPriority w:val="34"/>
    <w:qFormat/>
    <w:pPr>
      <w:numPr>
        <w:ilvl w:val="0"/>
        <w:numId w:val="3"/>
      </w:numPr>
      <w:spacing w:line="360" w:lineRule="auto"/>
    </w:pPr>
    <w:rPr>
      <w:rFonts w:eastAsia="宋体" w:cs="宋体" w:asciiTheme="minorEastAsia" w:hAnsiTheme="minorEastAsia"/>
      <w:b/>
      <w:sz w:val="24"/>
      <w:szCs w:val="20"/>
    </w:rPr>
  </w:style>
  <w:style w:type="paragraph" w:styleId="878" w:customStyle="1">
    <w:name w:val="修订1"/>
    <w:hidden/>
    <w:uiPriority w:val="99"/>
    <w:semiHidden/>
    <w:qFormat/>
    <w:rPr>
      <w:rFonts w:hint="default" w:ascii="Times New Roman" w:hAnsi="Times New Roman" w:eastAsia="宋体" w:cs="Times New Roman"/>
      <w:sz w:val="21"/>
    </w:rPr>
  </w:style>
  <w:style w:type="character" w:styleId="879" w:customStyle="1">
    <w:name w:val="批注框文本 字符"/>
    <w:basedOn w:val="735"/>
    <w:link w:val="755"/>
    <w:uiPriority w:val="99"/>
    <w:semiHidden/>
    <w:qFormat/>
    <w:rPr>
      <w:rFonts w:ascii="Times New Roman" w:hAnsi="Times New Roman" w:eastAsia="宋体" w:cs="Times New Roman"/>
      <w:sz w:val="18"/>
      <w:szCs w:val="18"/>
    </w:rPr>
  </w:style>
  <w:style w:type="character" w:styleId="880" w:customStyle="1">
    <w:name w:val="批注文字 字符"/>
    <w:basedOn w:val="735"/>
    <w:link w:val="741"/>
    <w:uiPriority w:val="99"/>
    <w:semiHidden/>
    <w:qFormat/>
  </w:style>
  <w:style w:type="character" w:styleId="881" w:customStyle="1">
    <w:name w:val="批注主题 字符"/>
    <w:basedOn w:val="880"/>
    <w:link w:val="771"/>
    <w:uiPriority w:val="99"/>
    <w:semiHidden/>
    <w:qFormat/>
    <w:rPr>
      <w:b/>
      <w:bCs/>
    </w:rPr>
  </w:style>
  <w:style w:type="paragraph" w:styleId="882" w:customStyle="1">
    <w:name w:val="列表段落1"/>
    <w:basedOn w:val="725"/>
    <w:uiPriority w:val="34"/>
    <w:qFormat/>
    <w:pPr>
      <w:ind w:firstLine="420"/>
    </w:pPr>
  </w:style>
  <w:style w:type="paragraph" w:styleId="883" w:customStyle="1">
    <w:name w:val="样式 小四 段前: 5 磅 段后: 5 磅 首行缩进:  2 字符"/>
    <w:basedOn w:val="725"/>
    <w:uiPriority w:val="0"/>
    <w:qFormat/>
    <w:pPr>
      <w:spacing w:line="360" w:lineRule="auto"/>
    </w:pPr>
    <w:rPr>
      <w:rFonts w:ascii="宋体" w:hAnsi="宋体"/>
      <w:szCs w:val="21"/>
    </w:rPr>
  </w:style>
  <w:style w:type="character" w:styleId="884" w:customStyle="1">
    <w:name w:val="正文文本首行缩进 2 字符"/>
    <w:basedOn w:val="814"/>
    <w:link w:val="772"/>
    <w:uiPriority w:val="99"/>
    <w:semiHidden/>
    <w:qFormat/>
    <w:rPr>
      <w:rFonts w:ascii="Times New Roman" w:hAnsi="Times New Roman" w:eastAsia="宋体" w:cs="Times New Roman"/>
      <w:b w:val="0"/>
      <w:sz w:val="21"/>
      <w:szCs w:val="22"/>
    </w:rPr>
  </w:style>
  <w:style w:type="table" w:styleId="885" w:customStyle="1">
    <w:name w:val="网格型1"/>
    <w:basedOn w:val="73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86" w:customStyle="1">
    <w:name w:val="网格型2"/>
    <w:basedOn w:val="73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87" w:customStyle="1">
    <w:name w:val="网格型3"/>
    <w:basedOn w:val="73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88" w:customStyle="1">
    <w:name w:val="网格型4"/>
    <w:basedOn w:val="73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89" w:customStyle="1">
    <w:name w:val="List Paragraph1"/>
    <w:basedOn w:val="725"/>
    <w:uiPriority w:val="0"/>
    <w:qFormat/>
    <w:pPr>
      <w:ind w:firstLine="420"/>
    </w:pPr>
    <w:rPr>
      <w:szCs w:val="21"/>
    </w:rPr>
  </w:style>
  <w:style w:type="paragraph" w:styleId="890" w:customStyle="1">
    <w:name w:val="标题 31"/>
    <w:basedOn w:val="725"/>
    <w:next w:val="725"/>
    <w:link w:val="891"/>
    <w:uiPriority w:val="0"/>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character" w:styleId="891" w:customStyle="1">
    <w:name w:val="标题 3 Char"/>
    <w:link w:val="890"/>
    <w:uiPriority w:val="0"/>
    <w:qFormat/>
    <w:rPr>
      <w:rFonts w:ascii="Times New Roman" w:hAnsi="Times New Roman" w:eastAsia="宋体" w:cs="Times New Roman"/>
      <w:b/>
      <w:bCs/>
      <w:sz w:val="32"/>
      <w:szCs w:val="32"/>
      <w:lang w:eastAsia="en-US"/>
    </w:rPr>
  </w:style>
  <w:style w:type="character" w:styleId="892" w:customStyle="1">
    <w:name w:val="标题 6 字符"/>
    <w:basedOn w:val="735"/>
    <w:link w:val="731"/>
    <w:uiPriority w:val="9"/>
    <w:qFormat/>
    <w:rPr>
      <w:rFonts w:ascii="Arial" w:hAnsi="Arial" w:eastAsia="Arial" w:cs="Arial"/>
      <w:b/>
      <w:bCs/>
      <w:sz w:val="22"/>
      <w:szCs w:val="22"/>
    </w:rPr>
  </w:style>
  <w:style w:type="character" w:styleId="893" w:customStyle="1">
    <w:name w:val="标题 7 字符"/>
    <w:basedOn w:val="735"/>
    <w:link w:val="732"/>
    <w:uiPriority w:val="9"/>
    <w:qFormat/>
    <w:rPr>
      <w:rFonts w:ascii="Arial" w:hAnsi="Arial" w:eastAsia="Arial" w:cs="Arial"/>
      <w:b/>
      <w:bCs/>
      <w:i/>
      <w:iCs/>
      <w:sz w:val="22"/>
      <w:szCs w:val="22"/>
    </w:rPr>
  </w:style>
  <w:style w:type="character" w:styleId="894" w:customStyle="1">
    <w:name w:val="标题 8 字符"/>
    <w:basedOn w:val="735"/>
    <w:link w:val="733"/>
    <w:uiPriority w:val="9"/>
    <w:qFormat/>
    <w:rPr>
      <w:rFonts w:ascii="Arial" w:hAnsi="Arial" w:eastAsia="Arial" w:cs="Arial"/>
      <w:i/>
      <w:iCs/>
      <w:sz w:val="22"/>
      <w:szCs w:val="22"/>
    </w:rPr>
  </w:style>
  <w:style w:type="character" w:styleId="895" w:customStyle="1">
    <w:name w:val="标题 9 字符"/>
    <w:basedOn w:val="735"/>
    <w:link w:val="734"/>
    <w:uiPriority w:val="9"/>
    <w:qFormat/>
    <w:rPr>
      <w:rFonts w:ascii="Arial" w:hAnsi="Arial" w:eastAsia="Arial" w:cs="Arial"/>
      <w:i/>
      <w:iCs/>
      <w:sz w:val="21"/>
      <w:szCs w:val="21"/>
    </w:rPr>
  </w:style>
  <w:style w:type="character" w:styleId="896" w:customStyle="1">
    <w:name w:val="Heading 1 Char"/>
    <w:uiPriority w:val="9"/>
    <w:qFormat/>
    <w:rPr>
      <w:rFonts w:ascii="Arial" w:hAnsi="Arial" w:eastAsia="Arial" w:cs="Arial"/>
      <w:sz w:val="40"/>
      <w:szCs w:val="40"/>
    </w:rPr>
  </w:style>
  <w:style w:type="character" w:styleId="897" w:customStyle="1">
    <w:name w:val="Heading 2 Char"/>
    <w:uiPriority w:val="9"/>
    <w:qFormat/>
    <w:rPr>
      <w:rFonts w:ascii="Arial" w:hAnsi="Arial" w:eastAsia="Arial" w:cs="Arial"/>
      <w:sz w:val="34"/>
    </w:rPr>
  </w:style>
  <w:style w:type="character" w:styleId="898" w:customStyle="1">
    <w:name w:val="Heading 3 Char"/>
    <w:uiPriority w:val="9"/>
    <w:qFormat/>
    <w:rPr>
      <w:rFonts w:ascii="Arial" w:hAnsi="Arial" w:eastAsia="Arial" w:cs="Arial"/>
      <w:sz w:val="30"/>
      <w:szCs w:val="30"/>
    </w:rPr>
  </w:style>
  <w:style w:type="character" w:styleId="899" w:customStyle="1">
    <w:name w:val="Heading 4 Char"/>
    <w:uiPriority w:val="9"/>
    <w:qFormat/>
    <w:rPr>
      <w:rFonts w:ascii="Arial" w:hAnsi="Arial" w:eastAsia="Arial" w:cs="Arial"/>
      <w:b/>
      <w:bCs/>
      <w:sz w:val="26"/>
      <w:szCs w:val="26"/>
    </w:rPr>
  </w:style>
  <w:style w:type="character" w:styleId="900" w:customStyle="1">
    <w:name w:val="Heading 5 Char"/>
    <w:uiPriority w:val="9"/>
    <w:qFormat/>
    <w:rPr>
      <w:rFonts w:ascii="Arial" w:hAnsi="Arial" w:eastAsia="Arial" w:cs="Arial"/>
      <w:b/>
      <w:bCs/>
      <w:sz w:val="24"/>
      <w:szCs w:val="24"/>
    </w:rPr>
  </w:style>
  <w:style w:type="character" w:styleId="901" w:customStyle="1">
    <w:name w:val="Heading 6 Char"/>
    <w:uiPriority w:val="9"/>
    <w:qFormat/>
    <w:rPr>
      <w:rFonts w:ascii="Arial" w:hAnsi="Arial" w:eastAsia="Arial" w:cs="Arial"/>
      <w:b/>
      <w:bCs/>
      <w:sz w:val="22"/>
      <w:szCs w:val="22"/>
    </w:rPr>
  </w:style>
  <w:style w:type="character" w:styleId="902" w:customStyle="1">
    <w:name w:val="Heading 7 Char"/>
    <w:uiPriority w:val="9"/>
    <w:qFormat/>
    <w:rPr>
      <w:rFonts w:ascii="Arial" w:hAnsi="Arial" w:eastAsia="Arial" w:cs="Arial"/>
      <w:b/>
      <w:bCs/>
      <w:i/>
      <w:iCs/>
      <w:sz w:val="22"/>
      <w:szCs w:val="22"/>
    </w:rPr>
  </w:style>
  <w:style w:type="character" w:styleId="903" w:customStyle="1">
    <w:name w:val="Heading 8 Char"/>
    <w:uiPriority w:val="9"/>
    <w:qFormat/>
    <w:rPr>
      <w:rFonts w:ascii="Arial" w:hAnsi="Arial" w:eastAsia="Arial" w:cs="Arial"/>
      <w:i/>
      <w:iCs/>
      <w:sz w:val="22"/>
      <w:szCs w:val="22"/>
    </w:rPr>
  </w:style>
  <w:style w:type="character" w:styleId="904" w:customStyle="1">
    <w:name w:val="Heading 9 Char"/>
    <w:uiPriority w:val="9"/>
    <w:qFormat/>
    <w:rPr>
      <w:rFonts w:ascii="Arial" w:hAnsi="Arial" w:eastAsia="Arial" w:cs="Arial"/>
      <w:i/>
      <w:iCs/>
      <w:sz w:val="21"/>
      <w:szCs w:val="21"/>
    </w:rPr>
  </w:style>
  <w:style w:type="paragraph" w:styleId="905">
    <w:name w:val="No Spacing"/>
    <w:uiPriority w:val="1"/>
    <w:qFormat/>
    <w:rPr>
      <w:rFonts w:hint="default" w:ascii="Calibri" w:hAnsi="Calibri" w:eastAsia="宋体" w:cs="Times New Roman"/>
    </w:rPr>
  </w:style>
  <w:style w:type="character" w:styleId="906" w:customStyle="1">
    <w:name w:val="标题 字符"/>
    <w:basedOn w:val="735"/>
    <w:link w:val="770"/>
    <w:uiPriority w:val="10"/>
    <w:qFormat/>
    <w:rPr>
      <w:rFonts w:ascii="Times New Roman" w:hAnsi="Times New Roman" w:eastAsia="宋体" w:cs="Times New Roman"/>
      <w:sz w:val="48"/>
      <w:szCs w:val="48"/>
    </w:rPr>
  </w:style>
  <w:style w:type="character" w:styleId="907" w:customStyle="1">
    <w:name w:val="Title Char"/>
    <w:uiPriority w:val="10"/>
    <w:qFormat/>
    <w:rPr>
      <w:sz w:val="48"/>
      <w:szCs w:val="48"/>
    </w:rPr>
  </w:style>
  <w:style w:type="character" w:styleId="908" w:customStyle="1">
    <w:name w:val="Subtitle Char"/>
    <w:uiPriority w:val="11"/>
    <w:qFormat/>
    <w:rPr>
      <w:sz w:val="24"/>
      <w:szCs w:val="24"/>
    </w:rPr>
  </w:style>
  <w:style w:type="paragraph" w:styleId="909">
    <w:name w:val="Quote"/>
    <w:basedOn w:val="725"/>
    <w:next w:val="725"/>
    <w:link w:val="910"/>
    <w:uiPriority w:val="29"/>
    <w:qFormat/>
    <w:pPr>
      <w:ind w:left="720" w:right="720"/>
    </w:pPr>
    <w:rPr>
      <w:rFonts w:ascii="Times New Roman" w:hAnsi="Times New Roman" w:eastAsia="宋体" w:cs="Times New Roman"/>
      <w:i/>
      <w:szCs w:val="21"/>
    </w:rPr>
  </w:style>
  <w:style w:type="character" w:styleId="910" w:customStyle="1">
    <w:name w:val="引用 字符"/>
    <w:basedOn w:val="735"/>
    <w:link w:val="909"/>
    <w:uiPriority w:val="29"/>
    <w:qFormat/>
    <w:rPr>
      <w:rFonts w:ascii="Times New Roman" w:hAnsi="Times New Roman" w:eastAsia="宋体" w:cs="Times New Roman"/>
      <w:i/>
      <w:sz w:val="21"/>
      <w:szCs w:val="21"/>
    </w:rPr>
  </w:style>
  <w:style w:type="character" w:styleId="911" w:customStyle="1">
    <w:name w:val="Quote Char"/>
    <w:uiPriority w:val="29"/>
    <w:qFormat/>
    <w:rPr>
      <w:i/>
    </w:rPr>
  </w:style>
  <w:style w:type="paragraph" w:styleId="912">
    <w:name w:val="Intense Quote"/>
    <w:basedOn w:val="725"/>
    <w:next w:val="725"/>
    <w:link w:val="9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Cs w:val="21"/>
    </w:rPr>
  </w:style>
  <w:style w:type="character" w:styleId="913" w:customStyle="1">
    <w:name w:val="明显引用 字符"/>
    <w:basedOn w:val="735"/>
    <w:link w:val="912"/>
    <w:uiPriority w:val="30"/>
    <w:qFormat/>
    <w:rPr>
      <w:rFonts w:ascii="Times New Roman" w:hAnsi="Times New Roman" w:eastAsia="宋体" w:cs="Times New Roman"/>
      <w:i/>
      <w:sz w:val="21"/>
      <w:szCs w:val="21"/>
      <w:shd w:val="clear" w:color="auto" w:fill="f2f2f2"/>
    </w:rPr>
  </w:style>
  <w:style w:type="character" w:styleId="914" w:customStyle="1">
    <w:name w:val="Intense Quote Char"/>
    <w:uiPriority w:val="30"/>
    <w:qFormat/>
    <w:rPr>
      <w:i/>
    </w:rPr>
  </w:style>
  <w:style w:type="character" w:styleId="915" w:customStyle="1">
    <w:name w:val="Header Char"/>
    <w:uiPriority w:val="99"/>
    <w:qFormat/>
  </w:style>
  <w:style w:type="character" w:styleId="916" w:customStyle="1">
    <w:name w:val="Footer Char"/>
    <w:uiPriority w:val="99"/>
    <w:qFormat/>
  </w:style>
  <w:style w:type="character" w:styleId="917" w:customStyle="1">
    <w:name w:val="Caption Char"/>
    <w:uiPriority w:val="99"/>
    <w:qFormat/>
  </w:style>
  <w:style w:type="character" w:styleId="918" w:customStyle="1">
    <w:name w:val="脚注文本 字符"/>
    <w:basedOn w:val="735"/>
    <w:link w:val="762"/>
    <w:uiPriority w:val="99"/>
    <w:qFormat/>
    <w:rPr>
      <w:rFonts w:ascii="Times New Roman" w:hAnsi="Times New Roman" w:eastAsia="宋体" w:cs="Times New Roman"/>
      <w:sz w:val="18"/>
      <w:szCs w:val="21"/>
    </w:rPr>
  </w:style>
  <w:style w:type="character" w:styleId="919" w:customStyle="1">
    <w:name w:val="Footnote Text Char"/>
    <w:uiPriority w:val="99"/>
    <w:qFormat/>
    <w:rPr>
      <w:sz w:val="18"/>
    </w:rPr>
  </w:style>
  <w:style w:type="character" w:styleId="920" w:customStyle="1">
    <w:name w:val="尾注文本 字符"/>
    <w:basedOn w:val="735"/>
    <w:link w:val="754"/>
    <w:uiPriority w:val="99"/>
    <w:qFormat/>
    <w:rPr>
      <w:rFonts w:ascii="Times New Roman" w:hAnsi="Times New Roman" w:eastAsia="宋体" w:cs="Times New Roman"/>
      <w:szCs w:val="21"/>
    </w:rPr>
  </w:style>
  <w:style w:type="character" w:styleId="921" w:customStyle="1">
    <w:name w:val="Endnote Text Char"/>
    <w:uiPriority w:val="99"/>
    <w:qFormat/>
    <w:rPr>
      <w:sz w:val="20"/>
    </w:rPr>
  </w:style>
  <w:style w:type="paragraph" w:styleId="922" w:customStyle="1">
    <w:name w:val="目录 71"/>
    <w:basedOn w:val="725"/>
    <w:next w:val="725"/>
    <w:uiPriority w:val="39"/>
    <w:unhideWhenUsed/>
    <w:qFormat/>
    <w:pPr>
      <w:ind w:left="1701"/>
      <w:spacing w:after="57"/>
    </w:pPr>
    <w:rPr>
      <w:rFonts w:ascii="Times New Roman" w:hAnsi="Times New Roman" w:eastAsia="宋体" w:cs="Times New Roman"/>
      <w:szCs w:val="21"/>
    </w:rPr>
  </w:style>
  <w:style w:type="paragraph" w:styleId="923" w:customStyle="1">
    <w:name w:val="目录 51"/>
    <w:basedOn w:val="725"/>
    <w:next w:val="725"/>
    <w:uiPriority w:val="39"/>
    <w:unhideWhenUsed/>
    <w:qFormat/>
    <w:pPr>
      <w:ind w:left="1134"/>
      <w:spacing w:after="57"/>
    </w:pPr>
    <w:rPr>
      <w:rFonts w:ascii="Times New Roman" w:hAnsi="Times New Roman" w:eastAsia="宋体" w:cs="Times New Roman"/>
      <w:szCs w:val="21"/>
    </w:rPr>
  </w:style>
  <w:style w:type="paragraph" w:styleId="924" w:customStyle="1">
    <w:name w:val="目录 31"/>
    <w:basedOn w:val="725"/>
    <w:next w:val="725"/>
    <w:uiPriority w:val="39"/>
    <w:unhideWhenUsed/>
    <w:qFormat/>
    <w:pPr>
      <w:ind w:left="567"/>
      <w:spacing w:after="57"/>
    </w:pPr>
    <w:rPr>
      <w:rFonts w:ascii="Times New Roman" w:hAnsi="Times New Roman" w:eastAsia="宋体" w:cs="Times New Roman"/>
      <w:szCs w:val="21"/>
    </w:rPr>
  </w:style>
  <w:style w:type="paragraph" w:styleId="925" w:customStyle="1">
    <w:name w:val="目录 81"/>
    <w:basedOn w:val="725"/>
    <w:next w:val="725"/>
    <w:uiPriority w:val="39"/>
    <w:unhideWhenUsed/>
    <w:qFormat/>
    <w:pPr>
      <w:ind w:left="1984"/>
      <w:spacing w:after="57"/>
    </w:pPr>
    <w:rPr>
      <w:rFonts w:ascii="Times New Roman" w:hAnsi="Times New Roman" w:eastAsia="宋体" w:cs="Times New Roman"/>
      <w:szCs w:val="21"/>
    </w:rPr>
  </w:style>
  <w:style w:type="character" w:styleId="926" w:customStyle="1">
    <w:name w:val="页脚 字符1"/>
    <w:uiPriority w:val="99"/>
    <w:qFormat/>
  </w:style>
  <w:style w:type="paragraph" w:styleId="927" w:customStyle="1">
    <w:name w:val="目录 11"/>
    <w:basedOn w:val="725"/>
    <w:next w:val="725"/>
    <w:uiPriority w:val="39"/>
    <w:unhideWhenUsed/>
    <w:qFormat/>
    <w:pPr>
      <w:spacing w:after="57"/>
    </w:pPr>
    <w:rPr>
      <w:rFonts w:ascii="Times New Roman" w:hAnsi="Times New Roman" w:eastAsia="宋体" w:cs="Times New Roman"/>
      <w:szCs w:val="21"/>
    </w:rPr>
  </w:style>
  <w:style w:type="paragraph" w:styleId="928" w:customStyle="1">
    <w:name w:val="目录 41"/>
    <w:basedOn w:val="725"/>
    <w:next w:val="725"/>
    <w:uiPriority w:val="39"/>
    <w:unhideWhenUsed/>
    <w:qFormat/>
    <w:pPr>
      <w:ind w:left="850"/>
      <w:spacing w:after="57"/>
    </w:pPr>
    <w:rPr>
      <w:rFonts w:ascii="Times New Roman" w:hAnsi="Times New Roman" w:eastAsia="宋体" w:cs="Times New Roman"/>
      <w:szCs w:val="21"/>
    </w:rPr>
  </w:style>
  <w:style w:type="character" w:styleId="929" w:customStyle="1">
    <w:name w:val="副标题 字符"/>
    <w:link w:val="760"/>
    <w:uiPriority w:val="11"/>
    <w:qFormat/>
    <w:rPr>
      <w:rFonts w:ascii="Arial" w:hAnsi="Arial"/>
      <w:b/>
      <w:bCs/>
      <w:sz w:val="32"/>
      <w:szCs w:val="32"/>
    </w:rPr>
  </w:style>
  <w:style w:type="paragraph" w:styleId="930" w:customStyle="1">
    <w:name w:val="目录 61"/>
    <w:basedOn w:val="725"/>
    <w:next w:val="725"/>
    <w:uiPriority w:val="39"/>
    <w:unhideWhenUsed/>
    <w:qFormat/>
    <w:pPr>
      <w:ind w:left="1417"/>
      <w:spacing w:after="57"/>
    </w:pPr>
    <w:rPr>
      <w:rFonts w:ascii="Times New Roman" w:hAnsi="Times New Roman" w:eastAsia="宋体" w:cs="Times New Roman"/>
      <w:szCs w:val="21"/>
    </w:rPr>
  </w:style>
  <w:style w:type="paragraph" w:styleId="931" w:customStyle="1">
    <w:name w:val="目录 21"/>
    <w:basedOn w:val="725"/>
    <w:next w:val="725"/>
    <w:uiPriority w:val="39"/>
    <w:unhideWhenUsed/>
    <w:qFormat/>
    <w:pPr>
      <w:ind w:left="283"/>
      <w:spacing w:after="57"/>
    </w:pPr>
    <w:rPr>
      <w:rFonts w:ascii="Times New Roman" w:hAnsi="Times New Roman" w:eastAsia="宋体" w:cs="Times New Roman"/>
      <w:szCs w:val="21"/>
    </w:rPr>
  </w:style>
  <w:style w:type="paragraph" w:styleId="932" w:customStyle="1">
    <w:name w:val="目录 91"/>
    <w:basedOn w:val="725"/>
    <w:next w:val="725"/>
    <w:uiPriority w:val="39"/>
    <w:unhideWhenUsed/>
    <w:qFormat/>
    <w:pPr>
      <w:ind w:left="2268"/>
      <w:spacing w:after="57"/>
    </w:pPr>
    <w:rPr>
      <w:rFonts w:ascii="Times New Roman" w:hAnsi="Times New Roman" w:eastAsia="宋体" w:cs="Times New Roman"/>
      <w:szCs w:val="21"/>
    </w:rPr>
  </w:style>
  <w:style w:type="character" w:styleId="933" w:customStyle="1">
    <w:name w:val="font5 Char"/>
    <w:uiPriority w:val="0"/>
    <w:qFormat/>
    <w:rPr>
      <w:rFonts w:ascii="宋体" w:hAnsi="宋体" w:eastAsia="宋体"/>
      <w:sz w:val="28"/>
      <w:szCs w:val="28"/>
      <w:lang w:val="en-US" w:eastAsia="zh-CN" w:bidi="ar-SA"/>
    </w:rPr>
  </w:style>
  <w:style w:type="paragraph" w:styleId="934" w:customStyle="1">
    <w:name w:val="列出段落2"/>
    <w:basedOn w:val="725"/>
    <w:uiPriority w:val="34"/>
    <w:qFormat/>
    <w:pPr>
      <w:contextualSpacing/>
      <w:ind w:left="720"/>
    </w:pPr>
    <w:rPr>
      <w:rFonts w:ascii="Times New Roman" w:hAnsi="Times New Roman" w:eastAsia="宋体" w:cs="Times New Roman"/>
      <w:szCs w:val="21"/>
    </w:rPr>
  </w:style>
  <w:style w:type="table" w:styleId="935" w:customStyle="1">
    <w:name w:val="Table Grid Light"/>
    <w:uiPriority w:val="59"/>
    <w:qFormat/>
    <w:rPr>
      <w:rFonts w:ascii="Calibri" w:hAnsi="Calibri"/>
    </w:rPr>
    <w:tblPr>
      <w:tblCellMar>
        <w:left w:w="0" w:type="dxa"/>
        <w:top w:w="0" w:type="dxa"/>
        <w:right w:w="0" w:type="dxa"/>
        <w:bottom w:w="0" w:type="dxa"/>
      </w:tblCellMar>
    </w:tblPr>
  </w:style>
  <w:style w:type="table" w:styleId="936" w:customStyle="1">
    <w:name w:val="无格式表格 11"/>
    <w:uiPriority w:val="59"/>
    <w:qFormat/>
    <w:rPr>
      <w:rFonts w:ascii="Calibri" w:hAnsi="Calibri"/>
    </w:rPr>
    <w:tblPr>
      <w:tblCellMar>
        <w:left w:w="0" w:type="dxa"/>
        <w:top w:w="0" w:type="dxa"/>
        <w:right w:w="0" w:type="dxa"/>
        <w:bottom w:w="0" w:type="dxa"/>
      </w:tblCellMar>
    </w:tblPr>
  </w:style>
  <w:style w:type="table" w:styleId="937" w:customStyle="1">
    <w:name w:val="无格式表格 21"/>
    <w:uiPriority w:val="59"/>
    <w:qFormat/>
    <w:rPr>
      <w:rFonts w:ascii="Calibri" w:hAnsi="Calibri"/>
    </w:rPr>
    <w:tblPr>
      <w:tblCellMar>
        <w:left w:w="0" w:type="dxa"/>
        <w:top w:w="0" w:type="dxa"/>
        <w:right w:w="0" w:type="dxa"/>
        <w:bottom w:w="0" w:type="dxa"/>
      </w:tblCellMar>
    </w:tblPr>
  </w:style>
  <w:style w:type="table" w:styleId="938" w:customStyle="1">
    <w:name w:val="无格式表格 31"/>
    <w:uiPriority w:val="99"/>
    <w:qFormat/>
    <w:rPr>
      <w:rFonts w:ascii="Calibri" w:hAnsi="Calibri"/>
    </w:rPr>
    <w:tblPr>
      <w:tblCellMar>
        <w:left w:w="0" w:type="dxa"/>
        <w:top w:w="0" w:type="dxa"/>
        <w:right w:w="0" w:type="dxa"/>
        <w:bottom w:w="0" w:type="dxa"/>
      </w:tblCellMar>
    </w:tblPr>
  </w:style>
  <w:style w:type="table" w:styleId="939" w:customStyle="1">
    <w:name w:val="无格式表格 41"/>
    <w:uiPriority w:val="99"/>
    <w:qFormat/>
    <w:rPr>
      <w:rFonts w:ascii="Calibri" w:hAnsi="Calibri"/>
    </w:rPr>
    <w:tblPr>
      <w:tblCellMar>
        <w:left w:w="0" w:type="dxa"/>
        <w:top w:w="0" w:type="dxa"/>
        <w:right w:w="0" w:type="dxa"/>
        <w:bottom w:w="0" w:type="dxa"/>
      </w:tblCellMar>
    </w:tblPr>
  </w:style>
  <w:style w:type="table" w:styleId="940" w:customStyle="1">
    <w:name w:val="无格式表格 51"/>
    <w:uiPriority w:val="99"/>
    <w:qFormat/>
    <w:rPr>
      <w:rFonts w:ascii="Calibri" w:hAnsi="Calibri"/>
    </w:rPr>
    <w:tblPr>
      <w:tblCellMar>
        <w:left w:w="0" w:type="dxa"/>
        <w:top w:w="0" w:type="dxa"/>
        <w:right w:w="0" w:type="dxa"/>
        <w:bottom w:w="0" w:type="dxa"/>
      </w:tblCellMar>
    </w:tblPr>
  </w:style>
  <w:style w:type="table" w:styleId="941" w:customStyle="1">
    <w:name w:val="网格表 1 浅色1"/>
    <w:uiPriority w:val="99"/>
    <w:qFormat/>
    <w:rPr>
      <w:rFonts w:ascii="Calibri" w:hAnsi="Calibri"/>
    </w:rPr>
    <w:tblPr>
      <w:tblCellMar>
        <w:left w:w="0" w:type="dxa"/>
        <w:top w:w="0" w:type="dxa"/>
        <w:right w:w="0" w:type="dxa"/>
        <w:bottom w:w="0" w:type="dxa"/>
      </w:tblCellMar>
    </w:tblPr>
  </w:style>
  <w:style w:type="table" w:styleId="942" w:customStyle="1">
    <w:name w:val="Grid Table 1 Light - Accent 1"/>
    <w:uiPriority w:val="99"/>
    <w:qFormat/>
    <w:rPr>
      <w:rFonts w:ascii="Calibri" w:hAnsi="Calibri"/>
    </w:rPr>
    <w:tblPr>
      <w:tblCellMar>
        <w:left w:w="0" w:type="dxa"/>
        <w:top w:w="0" w:type="dxa"/>
        <w:right w:w="0" w:type="dxa"/>
        <w:bottom w:w="0" w:type="dxa"/>
      </w:tblCellMar>
    </w:tblPr>
  </w:style>
  <w:style w:type="table" w:styleId="943" w:customStyle="1">
    <w:name w:val="Grid Table 1 Light - Accent 2"/>
    <w:uiPriority w:val="99"/>
    <w:qFormat/>
    <w:rPr>
      <w:rFonts w:ascii="Calibri" w:hAnsi="Calibri"/>
    </w:rPr>
    <w:tblPr>
      <w:tblCellMar>
        <w:left w:w="0" w:type="dxa"/>
        <w:top w:w="0" w:type="dxa"/>
        <w:right w:w="0" w:type="dxa"/>
        <w:bottom w:w="0" w:type="dxa"/>
      </w:tblCellMar>
    </w:tblPr>
  </w:style>
  <w:style w:type="table" w:styleId="944" w:customStyle="1">
    <w:name w:val="Grid Table 1 Light - Accent 3"/>
    <w:uiPriority w:val="99"/>
    <w:qFormat/>
    <w:rPr>
      <w:rFonts w:ascii="Calibri" w:hAnsi="Calibri"/>
    </w:rPr>
    <w:tblPr>
      <w:tblCellMar>
        <w:left w:w="0" w:type="dxa"/>
        <w:top w:w="0" w:type="dxa"/>
        <w:right w:w="0" w:type="dxa"/>
        <w:bottom w:w="0" w:type="dxa"/>
      </w:tblCellMar>
    </w:tblPr>
  </w:style>
  <w:style w:type="table" w:styleId="945" w:customStyle="1">
    <w:name w:val="Grid Table 1 Light - Accent 4"/>
    <w:uiPriority w:val="99"/>
    <w:qFormat/>
    <w:rPr>
      <w:rFonts w:ascii="Calibri" w:hAnsi="Calibri"/>
    </w:rPr>
    <w:tblPr>
      <w:tblCellMar>
        <w:left w:w="0" w:type="dxa"/>
        <w:top w:w="0" w:type="dxa"/>
        <w:right w:w="0" w:type="dxa"/>
        <w:bottom w:w="0" w:type="dxa"/>
      </w:tblCellMar>
    </w:tblPr>
  </w:style>
  <w:style w:type="table" w:styleId="946" w:customStyle="1">
    <w:name w:val="Grid Table 1 Light - Accent 5"/>
    <w:uiPriority w:val="99"/>
    <w:qFormat/>
    <w:rPr>
      <w:rFonts w:ascii="Calibri" w:hAnsi="Calibri"/>
    </w:rPr>
    <w:tblPr>
      <w:tblCellMar>
        <w:left w:w="0" w:type="dxa"/>
        <w:top w:w="0" w:type="dxa"/>
        <w:right w:w="0" w:type="dxa"/>
        <w:bottom w:w="0" w:type="dxa"/>
      </w:tblCellMar>
    </w:tblPr>
  </w:style>
  <w:style w:type="table" w:styleId="947" w:customStyle="1">
    <w:name w:val="Grid Table 1 Light - Accent 6"/>
    <w:uiPriority w:val="99"/>
    <w:qFormat/>
    <w:rPr>
      <w:rFonts w:ascii="Calibri" w:hAnsi="Calibri"/>
    </w:rPr>
    <w:tblPr>
      <w:tblCellMar>
        <w:left w:w="0" w:type="dxa"/>
        <w:top w:w="0" w:type="dxa"/>
        <w:right w:w="0" w:type="dxa"/>
        <w:bottom w:w="0" w:type="dxa"/>
      </w:tblCellMar>
    </w:tblPr>
  </w:style>
  <w:style w:type="table" w:styleId="948" w:customStyle="1">
    <w:name w:val="网格表 21"/>
    <w:uiPriority w:val="99"/>
    <w:qFormat/>
    <w:rPr>
      <w:rFonts w:ascii="Calibri" w:hAnsi="Calibri"/>
    </w:rPr>
    <w:tblPr>
      <w:tblCellMar>
        <w:left w:w="0" w:type="dxa"/>
        <w:top w:w="0" w:type="dxa"/>
        <w:right w:w="0" w:type="dxa"/>
        <w:bottom w:w="0" w:type="dxa"/>
      </w:tblCellMar>
    </w:tblPr>
  </w:style>
  <w:style w:type="table" w:styleId="949" w:customStyle="1">
    <w:name w:val="Grid Table 2 - Accent 1"/>
    <w:uiPriority w:val="99"/>
    <w:qFormat/>
    <w:rPr>
      <w:rFonts w:ascii="Calibri" w:hAnsi="Calibri"/>
    </w:rPr>
    <w:tblPr>
      <w:tblCellMar>
        <w:left w:w="0" w:type="dxa"/>
        <w:top w:w="0" w:type="dxa"/>
        <w:right w:w="0" w:type="dxa"/>
        <w:bottom w:w="0" w:type="dxa"/>
      </w:tblCellMar>
    </w:tblPr>
  </w:style>
  <w:style w:type="table" w:styleId="950" w:customStyle="1">
    <w:name w:val="Grid Table 2 - Accent 2"/>
    <w:uiPriority w:val="99"/>
    <w:qFormat/>
    <w:rPr>
      <w:rFonts w:ascii="Calibri" w:hAnsi="Calibri"/>
    </w:rPr>
    <w:tblPr>
      <w:tblCellMar>
        <w:left w:w="0" w:type="dxa"/>
        <w:top w:w="0" w:type="dxa"/>
        <w:right w:w="0" w:type="dxa"/>
        <w:bottom w:w="0" w:type="dxa"/>
      </w:tblCellMar>
    </w:tblPr>
  </w:style>
  <w:style w:type="table" w:styleId="951" w:customStyle="1">
    <w:name w:val="Grid Table 2 - Accent 3"/>
    <w:uiPriority w:val="99"/>
    <w:qFormat/>
    <w:rPr>
      <w:rFonts w:ascii="Calibri" w:hAnsi="Calibri"/>
    </w:rPr>
    <w:tblPr>
      <w:tblCellMar>
        <w:left w:w="0" w:type="dxa"/>
        <w:top w:w="0" w:type="dxa"/>
        <w:right w:w="0" w:type="dxa"/>
        <w:bottom w:w="0" w:type="dxa"/>
      </w:tblCellMar>
    </w:tblPr>
  </w:style>
  <w:style w:type="table" w:styleId="952" w:customStyle="1">
    <w:name w:val="Grid Table 2 - Accent 4"/>
    <w:uiPriority w:val="99"/>
    <w:qFormat/>
    <w:rPr>
      <w:rFonts w:ascii="Calibri" w:hAnsi="Calibri"/>
    </w:rPr>
    <w:tblPr>
      <w:tblCellMar>
        <w:left w:w="0" w:type="dxa"/>
        <w:top w:w="0" w:type="dxa"/>
        <w:right w:w="0" w:type="dxa"/>
        <w:bottom w:w="0" w:type="dxa"/>
      </w:tblCellMar>
    </w:tblPr>
  </w:style>
  <w:style w:type="table" w:styleId="953" w:customStyle="1">
    <w:name w:val="Grid Table 2 - Accent 5"/>
    <w:uiPriority w:val="99"/>
    <w:qFormat/>
    <w:rPr>
      <w:rFonts w:ascii="Calibri" w:hAnsi="Calibri"/>
    </w:rPr>
    <w:tblPr>
      <w:tblCellMar>
        <w:left w:w="0" w:type="dxa"/>
        <w:top w:w="0" w:type="dxa"/>
        <w:right w:w="0" w:type="dxa"/>
        <w:bottom w:w="0" w:type="dxa"/>
      </w:tblCellMar>
    </w:tblPr>
  </w:style>
  <w:style w:type="table" w:styleId="954" w:customStyle="1">
    <w:name w:val="Grid Table 2 - Accent 6"/>
    <w:uiPriority w:val="99"/>
    <w:qFormat/>
    <w:rPr>
      <w:rFonts w:ascii="Calibri" w:hAnsi="Calibri"/>
    </w:rPr>
    <w:tblPr>
      <w:tblCellMar>
        <w:left w:w="0" w:type="dxa"/>
        <w:top w:w="0" w:type="dxa"/>
        <w:right w:w="0" w:type="dxa"/>
        <w:bottom w:w="0" w:type="dxa"/>
      </w:tblCellMar>
    </w:tblPr>
  </w:style>
  <w:style w:type="table" w:styleId="955" w:customStyle="1">
    <w:name w:val="网格表 31"/>
    <w:uiPriority w:val="99"/>
    <w:qFormat/>
    <w:rPr>
      <w:rFonts w:ascii="Calibri" w:hAnsi="Calibri"/>
    </w:rPr>
    <w:tblPr>
      <w:tblCellMar>
        <w:left w:w="0" w:type="dxa"/>
        <w:top w:w="0" w:type="dxa"/>
        <w:right w:w="0" w:type="dxa"/>
        <w:bottom w:w="0" w:type="dxa"/>
      </w:tblCellMar>
    </w:tblPr>
  </w:style>
  <w:style w:type="table" w:styleId="956" w:customStyle="1">
    <w:name w:val="Grid Table 3 - Accent 1"/>
    <w:uiPriority w:val="99"/>
    <w:qFormat/>
    <w:rPr>
      <w:rFonts w:ascii="Calibri" w:hAnsi="Calibri"/>
    </w:rPr>
    <w:tblPr>
      <w:tblCellMar>
        <w:left w:w="0" w:type="dxa"/>
        <w:top w:w="0" w:type="dxa"/>
        <w:right w:w="0" w:type="dxa"/>
        <w:bottom w:w="0" w:type="dxa"/>
      </w:tblCellMar>
    </w:tblPr>
  </w:style>
  <w:style w:type="table" w:styleId="957" w:customStyle="1">
    <w:name w:val="Grid Table 3 - Accent 2"/>
    <w:uiPriority w:val="99"/>
    <w:qFormat/>
    <w:rPr>
      <w:rFonts w:ascii="Calibri" w:hAnsi="Calibri"/>
    </w:rPr>
    <w:tblPr>
      <w:tblCellMar>
        <w:left w:w="0" w:type="dxa"/>
        <w:top w:w="0" w:type="dxa"/>
        <w:right w:w="0" w:type="dxa"/>
        <w:bottom w:w="0" w:type="dxa"/>
      </w:tblCellMar>
    </w:tblPr>
  </w:style>
  <w:style w:type="table" w:styleId="958" w:customStyle="1">
    <w:name w:val="Grid Table 3 - Accent 3"/>
    <w:uiPriority w:val="99"/>
    <w:qFormat/>
    <w:rPr>
      <w:rFonts w:ascii="Calibri" w:hAnsi="Calibri"/>
    </w:rPr>
    <w:tblPr>
      <w:tblCellMar>
        <w:left w:w="0" w:type="dxa"/>
        <w:top w:w="0" w:type="dxa"/>
        <w:right w:w="0" w:type="dxa"/>
        <w:bottom w:w="0" w:type="dxa"/>
      </w:tblCellMar>
    </w:tblPr>
  </w:style>
  <w:style w:type="table" w:styleId="959" w:customStyle="1">
    <w:name w:val="Grid Table 3 - Accent 4"/>
    <w:uiPriority w:val="99"/>
    <w:qFormat/>
    <w:rPr>
      <w:rFonts w:ascii="Calibri" w:hAnsi="Calibri"/>
    </w:rPr>
    <w:tblPr>
      <w:tblCellMar>
        <w:left w:w="0" w:type="dxa"/>
        <w:top w:w="0" w:type="dxa"/>
        <w:right w:w="0" w:type="dxa"/>
        <w:bottom w:w="0" w:type="dxa"/>
      </w:tblCellMar>
    </w:tblPr>
  </w:style>
  <w:style w:type="table" w:styleId="960" w:customStyle="1">
    <w:name w:val="Grid Table 3 - Accent 5"/>
    <w:uiPriority w:val="99"/>
    <w:qFormat/>
    <w:rPr>
      <w:rFonts w:ascii="Calibri" w:hAnsi="Calibri"/>
    </w:rPr>
    <w:tblPr>
      <w:tblCellMar>
        <w:left w:w="0" w:type="dxa"/>
        <w:top w:w="0" w:type="dxa"/>
        <w:right w:w="0" w:type="dxa"/>
        <w:bottom w:w="0" w:type="dxa"/>
      </w:tblCellMar>
    </w:tblPr>
  </w:style>
  <w:style w:type="table" w:styleId="961" w:customStyle="1">
    <w:name w:val="Grid Table 3 - Accent 6"/>
    <w:uiPriority w:val="99"/>
    <w:qFormat/>
    <w:rPr>
      <w:rFonts w:ascii="Calibri" w:hAnsi="Calibri"/>
    </w:rPr>
    <w:tblPr>
      <w:tblCellMar>
        <w:left w:w="0" w:type="dxa"/>
        <w:top w:w="0" w:type="dxa"/>
        <w:right w:w="0" w:type="dxa"/>
        <w:bottom w:w="0" w:type="dxa"/>
      </w:tblCellMar>
    </w:tblPr>
  </w:style>
  <w:style w:type="table" w:styleId="962" w:customStyle="1">
    <w:name w:val="网格表 41"/>
    <w:uiPriority w:val="59"/>
    <w:qFormat/>
    <w:rPr>
      <w:rFonts w:ascii="Calibri" w:hAnsi="Calibri"/>
    </w:rPr>
    <w:tblPr>
      <w:tblCellMar>
        <w:left w:w="0" w:type="dxa"/>
        <w:top w:w="0" w:type="dxa"/>
        <w:right w:w="0" w:type="dxa"/>
        <w:bottom w:w="0" w:type="dxa"/>
      </w:tblCellMar>
    </w:tblPr>
  </w:style>
  <w:style w:type="table" w:styleId="963" w:customStyle="1">
    <w:name w:val="Grid Table 4 - Accent 1"/>
    <w:uiPriority w:val="59"/>
    <w:qFormat/>
    <w:rPr>
      <w:rFonts w:ascii="Calibri" w:hAnsi="Calibri"/>
    </w:rPr>
    <w:tblPr>
      <w:tblCellMar>
        <w:left w:w="0" w:type="dxa"/>
        <w:top w:w="0" w:type="dxa"/>
        <w:right w:w="0" w:type="dxa"/>
        <w:bottom w:w="0" w:type="dxa"/>
      </w:tblCellMar>
    </w:tblPr>
  </w:style>
  <w:style w:type="table" w:styleId="964" w:customStyle="1">
    <w:name w:val="Grid Table 4 - Accent 2"/>
    <w:uiPriority w:val="59"/>
    <w:qFormat/>
    <w:rPr>
      <w:rFonts w:ascii="Calibri" w:hAnsi="Calibri"/>
    </w:rPr>
    <w:tblPr>
      <w:tblCellMar>
        <w:left w:w="0" w:type="dxa"/>
        <w:top w:w="0" w:type="dxa"/>
        <w:right w:w="0" w:type="dxa"/>
        <w:bottom w:w="0" w:type="dxa"/>
      </w:tblCellMar>
    </w:tblPr>
  </w:style>
  <w:style w:type="table" w:styleId="965" w:customStyle="1">
    <w:name w:val="Grid Table 4 - Accent 3"/>
    <w:uiPriority w:val="59"/>
    <w:qFormat/>
    <w:rPr>
      <w:rFonts w:ascii="Calibri" w:hAnsi="Calibri"/>
    </w:rPr>
    <w:tblPr>
      <w:tblCellMar>
        <w:left w:w="0" w:type="dxa"/>
        <w:top w:w="0" w:type="dxa"/>
        <w:right w:w="0" w:type="dxa"/>
        <w:bottom w:w="0" w:type="dxa"/>
      </w:tblCellMar>
    </w:tblPr>
  </w:style>
  <w:style w:type="table" w:styleId="966" w:customStyle="1">
    <w:name w:val="Grid Table 4 - Accent 4"/>
    <w:uiPriority w:val="59"/>
    <w:qFormat/>
    <w:rPr>
      <w:rFonts w:ascii="Calibri" w:hAnsi="Calibri"/>
    </w:rPr>
    <w:tblPr>
      <w:tblCellMar>
        <w:left w:w="0" w:type="dxa"/>
        <w:top w:w="0" w:type="dxa"/>
        <w:right w:w="0" w:type="dxa"/>
        <w:bottom w:w="0" w:type="dxa"/>
      </w:tblCellMar>
    </w:tblPr>
  </w:style>
  <w:style w:type="table" w:styleId="967" w:customStyle="1">
    <w:name w:val="Grid Table 4 - Accent 5"/>
    <w:uiPriority w:val="59"/>
    <w:qFormat/>
    <w:rPr>
      <w:rFonts w:ascii="Calibri" w:hAnsi="Calibri"/>
    </w:rPr>
    <w:tblPr>
      <w:tblCellMar>
        <w:left w:w="0" w:type="dxa"/>
        <w:top w:w="0" w:type="dxa"/>
        <w:right w:w="0" w:type="dxa"/>
        <w:bottom w:w="0" w:type="dxa"/>
      </w:tblCellMar>
    </w:tblPr>
  </w:style>
  <w:style w:type="table" w:styleId="968" w:customStyle="1">
    <w:name w:val="Grid Table 4 - Accent 6"/>
    <w:uiPriority w:val="59"/>
    <w:qFormat/>
    <w:rPr>
      <w:rFonts w:ascii="Calibri" w:hAnsi="Calibri"/>
    </w:rPr>
    <w:tblPr>
      <w:tblCellMar>
        <w:left w:w="0" w:type="dxa"/>
        <w:top w:w="0" w:type="dxa"/>
        <w:right w:w="0" w:type="dxa"/>
        <w:bottom w:w="0" w:type="dxa"/>
      </w:tblCellMar>
    </w:tblPr>
  </w:style>
  <w:style w:type="table" w:styleId="969" w:customStyle="1">
    <w:name w:val="网格表 5 深色1"/>
    <w:uiPriority w:val="99"/>
    <w:qFormat/>
    <w:rPr>
      <w:rFonts w:ascii="Calibri" w:hAnsi="Calibri"/>
    </w:rPr>
    <w:tblPr>
      <w:tblCellMar>
        <w:left w:w="0" w:type="dxa"/>
        <w:top w:w="0" w:type="dxa"/>
        <w:right w:w="0" w:type="dxa"/>
        <w:bottom w:w="0" w:type="dxa"/>
      </w:tblCellMar>
    </w:tblPr>
  </w:style>
  <w:style w:type="table" w:styleId="970" w:customStyle="1">
    <w:name w:val="Grid Table 5 Dark- Accent 1"/>
    <w:uiPriority w:val="99"/>
    <w:qFormat/>
    <w:rPr>
      <w:rFonts w:ascii="Calibri" w:hAnsi="Calibri"/>
    </w:rPr>
    <w:tblPr>
      <w:tblCellMar>
        <w:left w:w="0" w:type="dxa"/>
        <w:top w:w="0" w:type="dxa"/>
        <w:right w:w="0" w:type="dxa"/>
        <w:bottom w:w="0" w:type="dxa"/>
      </w:tblCellMar>
    </w:tblPr>
  </w:style>
  <w:style w:type="table" w:styleId="971" w:customStyle="1">
    <w:name w:val="Grid Table 5 Dark - Accent 2"/>
    <w:uiPriority w:val="99"/>
    <w:qFormat/>
    <w:rPr>
      <w:rFonts w:ascii="Calibri" w:hAnsi="Calibri"/>
    </w:rPr>
    <w:tblPr>
      <w:tblCellMar>
        <w:left w:w="0" w:type="dxa"/>
        <w:top w:w="0" w:type="dxa"/>
        <w:right w:w="0" w:type="dxa"/>
        <w:bottom w:w="0" w:type="dxa"/>
      </w:tblCellMar>
    </w:tblPr>
  </w:style>
  <w:style w:type="table" w:styleId="972" w:customStyle="1">
    <w:name w:val="Grid Table 5 Dark - Accent 3"/>
    <w:uiPriority w:val="99"/>
    <w:qFormat/>
    <w:rPr>
      <w:rFonts w:ascii="Calibri" w:hAnsi="Calibri"/>
    </w:rPr>
    <w:tblPr>
      <w:tblCellMar>
        <w:left w:w="0" w:type="dxa"/>
        <w:top w:w="0" w:type="dxa"/>
        <w:right w:w="0" w:type="dxa"/>
        <w:bottom w:w="0" w:type="dxa"/>
      </w:tblCellMar>
    </w:tblPr>
  </w:style>
  <w:style w:type="table" w:styleId="973" w:customStyle="1">
    <w:name w:val="Grid Table 5 Dark- Accent 4"/>
    <w:uiPriority w:val="99"/>
    <w:qFormat/>
    <w:rPr>
      <w:rFonts w:ascii="Calibri" w:hAnsi="Calibri"/>
    </w:rPr>
    <w:tblPr>
      <w:tblCellMar>
        <w:left w:w="0" w:type="dxa"/>
        <w:top w:w="0" w:type="dxa"/>
        <w:right w:w="0" w:type="dxa"/>
        <w:bottom w:w="0" w:type="dxa"/>
      </w:tblCellMar>
    </w:tblPr>
  </w:style>
  <w:style w:type="table" w:styleId="974" w:customStyle="1">
    <w:name w:val="Grid Table 5 Dark - Accent 5"/>
    <w:uiPriority w:val="99"/>
    <w:qFormat/>
    <w:rPr>
      <w:rFonts w:ascii="Calibri" w:hAnsi="Calibri"/>
    </w:rPr>
    <w:tblPr>
      <w:tblCellMar>
        <w:left w:w="0" w:type="dxa"/>
        <w:top w:w="0" w:type="dxa"/>
        <w:right w:w="0" w:type="dxa"/>
        <w:bottom w:w="0" w:type="dxa"/>
      </w:tblCellMar>
    </w:tblPr>
  </w:style>
  <w:style w:type="table" w:styleId="975" w:customStyle="1">
    <w:name w:val="Grid Table 5 Dark - Accent 6"/>
    <w:uiPriority w:val="99"/>
    <w:qFormat/>
    <w:rPr>
      <w:rFonts w:ascii="Calibri" w:hAnsi="Calibri"/>
    </w:rPr>
    <w:tblPr>
      <w:tblCellMar>
        <w:left w:w="0" w:type="dxa"/>
        <w:top w:w="0" w:type="dxa"/>
        <w:right w:w="0" w:type="dxa"/>
        <w:bottom w:w="0" w:type="dxa"/>
      </w:tblCellMar>
    </w:tblPr>
  </w:style>
  <w:style w:type="table" w:styleId="976" w:customStyle="1">
    <w:name w:val="网格表 6 彩色1"/>
    <w:uiPriority w:val="99"/>
    <w:qFormat/>
    <w:rPr>
      <w:rFonts w:ascii="Calibri" w:hAnsi="Calibri"/>
    </w:rPr>
    <w:tblPr>
      <w:tblCellMar>
        <w:left w:w="0" w:type="dxa"/>
        <w:top w:w="0" w:type="dxa"/>
        <w:right w:w="0" w:type="dxa"/>
        <w:bottom w:w="0" w:type="dxa"/>
      </w:tblCellMar>
    </w:tblPr>
  </w:style>
  <w:style w:type="table" w:styleId="977"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978"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979"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980"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981"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982"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983" w:customStyle="1">
    <w:name w:val="网格表 7 彩色1"/>
    <w:uiPriority w:val="99"/>
    <w:qFormat/>
    <w:rPr>
      <w:rFonts w:ascii="Calibri" w:hAnsi="Calibri"/>
    </w:rPr>
    <w:tblPr>
      <w:tblCellMar>
        <w:left w:w="0" w:type="dxa"/>
        <w:top w:w="0" w:type="dxa"/>
        <w:right w:w="0" w:type="dxa"/>
        <w:bottom w:w="0" w:type="dxa"/>
      </w:tblCellMar>
    </w:tblPr>
  </w:style>
  <w:style w:type="table" w:styleId="984"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985"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986"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987"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988"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989"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990" w:customStyle="1">
    <w:name w:val="清单表 1 浅色1"/>
    <w:uiPriority w:val="99"/>
    <w:qFormat/>
    <w:rPr>
      <w:rFonts w:ascii="Calibri" w:hAnsi="Calibri"/>
    </w:rPr>
    <w:tblPr>
      <w:tblCellMar>
        <w:left w:w="0" w:type="dxa"/>
        <w:top w:w="0" w:type="dxa"/>
        <w:right w:w="0" w:type="dxa"/>
        <w:bottom w:w="0" w:type="dxa"/>
      </w:tblCellMar>
    </w:tblPr>
  </w:style>
  <w:style w:type="table" w:styleId="991" w:customStyle="1">
    <w:name w:val="List Table 1 Light - Accent 1"/>
    <w:uiPriority w:val="99"/>
    <w:qFormat/>
    <w:rPr>
      <w:rFonts w:ascii="Calibri" w:hAnsi="Calibri"/>
    </w:rPr>
    <w:tblPr>
      <w:tblCellMar>
        <w:left w:w="0" w:type="dxa"/>
        <w:top w:w="0" w:type="dxa"/>
        <w:right w:w="0" w:type="dxa"/>
        <w:bottom w:w="0" w:type="dxa"/>
      </w:tblCellMar>
    </w:tblPr>
  </w:style>
  <w:style w:type="table" w:styleId="992" w:customStyle="1">
    <w:name w:val="List Table 1 Light - Accent 2"/>
    <w:uiPriority w:val="99"/>
    <w:qFormat/>
    <w:rPr>
      <w:rFonts w:ascii="Calibri" w:hAnsi="Calibri"/>
    </w:rPr>
    <w:tblPr>
      <w:tblCellMar>
        <w:left w:w="0" w:type="dxa"/>
        <w:top w:w="0" w:type="dxa"/>
        <w:right w:w="0" w:type="dxa"/>
        <w:bottom w:w="0" w:type="dxa"/>
      </w:tblCellMar>
    </w:tblPr>
  </w:style>
  <w:style w:type="table" w:styleId="993" w:customStyle="1">
    <w:name w:val="List Table 1 Light - Accent 3"/>
    <w:uiPriority w:val="99"/>
    <w:qFormat/>
    <w:rPr>
      <w:rFonts w:ascii="Calibri" w:hAnsi="Calibri"/>
    </w:rPr>
    <w:tblPr>
      <w:tblCellMar>
        <w:left w:w="0" w:type="dxa"/>
        <w:top w:w="0" w:type="dxa"/>
        <w:right w:w="0" w:type="dxa"/>
        <w:bottom w:w="0" w:type="dxa"/>
      </w:tblCellMar>
    </w:tblPr>
  </w:style>
  <w:style w:type="table" w:styleId="994" w:customStyle="1">
    <w:name w:val="List Table 1 Light - Accent 4"/>
    <w:uiPriority w:val="99"/>
    <w:qFormat/>
    <w:rPr>
      <w:rFonts w:ascii="Calibri" w:hAnsi="Calibri"/>
    </w:rPr>
    <w:tblPr>
      <w:tblCellMar>
        <w:left w:w="0" w:type="dxa"/>
        <w:top w:w="0" w:type="dxa"/>
        <w:right w:w="0" w:type="dxa"/>
        <w:bottom w:w="0" w:type="dxa"/>
      </w:tblCellMar>
    </w:tblPr>
  </w:style>
  <w:style w:type="table" w:styleId="995" w:customStyle="1">
    <w:name w:val="List Table 1 Light - Accent 5"/>
    <w:uiPriority w:val="99"/>
    <w:qFormat/>
    <w:rPr>
      <w:rFonts w:ascii="Calibri" w:hAnsi="Calibri"/>
    </w:rPr>
    <w:tblPr>
      <w:tblCellMar>
        <w:left w:w="0" w:type="dxa"/>
        <w:top w:w="0" w:type="dxa"/>
        <w:right w:w="0" w:type="dxa"/>
        <w:bottom w:w="0" w:type="dxa"/>
      </w:tblCellMar>
    </w:tblPr>
  </w:style>
  <w:style w:type="table" w:styleId="996" w:customStyle="1">
    <w:name w:val="List Table 1 Light - Accent 6"/>
    <w:uiPriority w:val="99"/>
    <w:qFormat/>
    <w:rPr>
      <w:rFonts w:ascii="Calibri" w:hAnsi="Calibri"/>
    </w:rPr>
    <w:tblPr>
      <w:tblCellMar>
        <w:left w:w="0" w:type="dxa"/>
        <w:top w:w="0" w:type="dxa"/>
        <w:right w:w="0" w:type="dxa"/>
        <w:bottom w:w="0" w:type="dxa"/>
      </w:tblCellMar>
    </w:tblPr>
  </w:style>
  <w:style w:type="table" w:styleId="997" w:customStyle="1">
    <w:name w:val="清单表 21"/>
    <w:uiPriority w:val="99"/>
    <w:qFormat/>
    <w:rPr>
      <w:rFonts w:ascii="Calibri" w:hAnsi="Calibri"/>
    </w:rPr>
    <w:tblPr>
      <w:tblCellMar>
        <w:left w:w="0" w:type="dxa"/>
        <w:top w:w="0" w:type="dxa"/>
        <w:right w:w="0" w:type="dxa"/>
        <w:bottom w:w="0" w:type="dxa"/>
      </w:tblCellMar>
    </w:tblPr>
  </w:style>
  <w:style w:type="table" w:styleId="998" w:customStyle="1">
    <w:name w:val="List Table 2 - Accent 1"/>
    <w:uiPriority w:val="99"/>
    <w:qFormat/>
    <w:rPr>
      <w:rFonts w:ascii="Calibri" w:hAnsi="Calibri"/>
    </w:rPr>
    <w:tblPr>
      <w:tblCellMar>
        <w:left w:w="0" w:type="dxa"/>
        <w:top w:w="0" w:type="dxa"/>
        <w:right w:w="0" w:type="dxa"/>
        <w:bottom w:w="0" w:type="dxa"/>
      </w:tblCellMar>
    </w:tblPr>
  </w:style>
  <w:style w:type="table" w:styleId="999" w:customStyle="1">
    <w:name w:val="List Table 2 - Accent 2"/>
    <w:uiPriority w:val="99"/>
    <w:qFormat/>
    <w:rPr>
      <w:rFonts w:ascii="Calibri" w:hAnsi="Calibri"/>
    </w:rPr>
    <w:tblPr>
      <w:tblCellMar>
        <w:left w:w="0" w:type="dxa"/>
        <w:top w:w="0" w:type="dxa"/>
        <w:right w:w="0" w:type="dxa"/>
        <w:bottom w:w="0" w:type="dxa"/>
      </w:tblCellMar>
    </w:tblPr>
  </w:style>
  <w:style w:type="table" w:styleId="1000" w:customStyle="1">
    <w:name w:val="List Table 2 - Accent 3"/>
    <w:uiPriority w:val="99"/>
    <w:qFormat/>
    <w:rPr>
      <w:rFonts w:ascii="Calibri" w:hAnsi="Calibri"/>
    </w:rPr>
    <w:tblPr>
      <w:tblCellMar>
        <w:left w:w="0" w:type="dxa"/>
        <w:top w:w="0" w:type="dxa"/>
        <w:right w:w="0" w:type="dxa"/>
        <w:bottom w:w="0" w:type="dxa"/>
      </w:tblCellMar>
    </w:tblPr>
  </w:style>
  <w:style w:type="table" w:styleId="1001" w:customStyle="1">
    <w:name w:val="List Table 2 - Accent 4"/>
    <w:uiPriority w:val="99"/>
    <w:qFormat/>
    <w:rPr>
      <w:rFonts w:ascii="Calibri" w:hAnsi="Calibri"/>
    </w:rPr>
    <w:tblPr>
      <w:tblCellMar>
        <w:left w:w="0" w:type="dxa"/>
        <w:top w:w="0" w:type="dxa"/>
        <w:right w:w="0" w:type="dxa"/>
        <w:bottom w:w="0" w:type="dxa"/>
      </w:tblCellMar>
    </w:tblPr>
  </w:style>
  <w:style w:type="table" w:styleId="1002" w:customStyle="1">
    <w:name w:val="List Table 2 - Accent 5"/>
    <w:uiPriority w:val="99"/>
    <w:qFormat/>
    <w:rPr>
      <w:rFonts w:ascii="Calibri" w:hAnsi="Calibri"/>
    </w:rPr>
    <w:tblPr>
      <w:tblCellMar>
        <w:left w:w="0" w:type="dxa"/>
        <w:top w:w="0" w:type="dxa"/>
        <w:right w:w="0" w:type="dxa"/>
        <w:bottom w:w="0" w:type="dxa"/>
      </w:tblCellMar>
    </w:tblPr>
  </w:style>
  <w:style w:type="table" w:styleId="1003" w:customStyle="1">
    <w:name w:val="List Table 2 - Accent 6"/>
    <w:uiPriority w:val="99"/>
    <w:qFormat/>
    <w:rPr>
      <w:rFonts w:ascii="Calibri" w:hAnsi="Calibri"/>
    </w:rPr>
    <w:tblPr>
      <w:tblCellMar>
        <w:left w:w="0" w:type="dxa"/>
        <w:top w:w="0" w:type="dxa"/>
        <w:right w:w="0" w:type="dxa"/>
        <w:bottom w:w="0" w:type="dxa"/>
      </w:tblCellMar>
    </w:tblPr>
  </w:style>
  <w:style w:type="table" w:styleId="1004" w:customStyle="1">
    <w:name w:val="清单表 31"/>
    <w:uiPriority w:val="99"/>
    <w:qFormat/>
    <w:rPr>
      <w:rFonts w:ascii="Calibri" w:hAnsi="Calibri"/>
    </w:rPr>
    <w:tblPr>
      <w:tblCellMar>
        <w:left w:w="0" w:type="dxa"/>
        <w:top w:w="0" w:type="dxa"/>
        <w:right w:w="0" w:type="dxa"/>
        <w:bottom w:w="0" w:type="dxa"/>
      </w:tblCellMar>
    </w:tblPr>
  </w:style>
  <w:style w:type="table" w:styleId="1005" w:customStyle="1">
    <w:name w:val="List Table 3 - Accent 1"/>
    <w:uiPriority w:val="99"/>
    <w:qFormat/>
    <w:rPr>
      <w:rFonts w:ascii="Calibri" w:hAnsi="Calibri"/>
    </w:rPr>
    <w:tblPr>
      <w:tblCellMar>
        <w:left w:w="0" w:type="dxa"/>
        <w:top w:w="0" w:type="dxa"/>
        <w:right w:w="0" w:type="dxa"/>
        <w:bottom w:w="0" w:type="dxa"/>
      </w:tblCellMar>
    </w:tblPr>
  </w:style>
  <w:style w:type="table" w:styleId="1006" w:customStyle="1">
    <w:name w:val="List Table 3 - Accent 2"/>
    <w:uiPriority w:val="99"/>
    <w:qFormat/>
    <w:rPr>
      <w:rFonts w:ascii="Calibri" w:hAnsi="Calibri"/>
    </w:rPr>
    <w:tblPr>
      <w:tblCellMar>
        <w:left w:w="0" w:type="dxa"/>
        <w:top w:w="0" w:type="dxa"/>
        <w:right w:w="0" w:type="dxa"/>
        <w:bottom w:w="0" w:type="dxa"/>
      </w:tblCellMar>
    </w:tblPr>
  </w:style>
  <w:style w:type="table" w:styleId="1007" w:customStyle="1">
    <w:name w:val="List Table 3 - Accent 3"/>
    <w:uiPriority w:val="99"/>
    <w:qFormat/>
    <w:rPr>
      <w:rFonts w:ascii="Calibri" w:hAnsi="Calibri"/>
    </w:rPr>
    <w:tblPr>
      <w:tblCellMar>
        <w:left w:w="0" w:type="dxa"/>
        <w:top w:w="0" w:type="dxa"/>
        <w:right w:w="0" w:type="dxa"/>
        <w:bottom w:w="0" w:type="dxa"/>
      </w:tblCellMar>
    </w:tblPr>
  </w:style>
  <w:style w:type="table" w:styleId="1008" w:customStyle="1">
    <w:name w:val="List Table 3 - Accent 4"/>
    <w:uiPriority w:val="99"/>
    <w:qFormat/>
    <w:rPr>
      <w:rFonts w:ascii="Calibri" w:hAnsi="Calibri"/>
    </w:rPr>
    <w:tblPr>
      <w:tblCellMar>
        <w:left w:w="0" w:type="dxa"/>
        <w:top w:w="0" w:type="dxa"/>
        <w:right w:w="0" w:type="dxa"/>
        <w:bottom w:w="0" w:type="dxa"/>
      </w:tblCellMar>
    </w:tblPr>
  </w:style>
  <w:style w:type="table" w:styleId="1009" w:customStyle="1">
    <w:name w:val="List Table 3 - Accent 5"/>
    <w:uiPriority w:val="99"/>
    <w:qFormat/>
    <w:rPr>
      <w:rFonts w:ascii="Calibri" w:hAnsi="Calibri"/>
    </w:rPr>
    <w:tblPr>
      <w:tblCellMar>
        <w:left w:w="0" w:type="dxa"/>
        <w:top w:w="0" w:type="dxa"/>
        <w:right w:w="0" w:type="dxa"/>
        <w:bottom w:w="0" w:type="dxa"/>
      </w:tblCellMar>
    </w:tblPr>
  </w:style>
  <w:style w:type="table" w:styleId="1010" w:customStyle="1">
    <w:name w:val="List Table 3 - Accent 6"/>
    <w:uiPriority w:val="99"/>
    <w:qFormat/>
    <w:rPr>
      <w:rFonts w:ascii="Calibri" w:hAnsi="Calibri"/>
    </w:rPr>
    <w:tblPr>
      <w:tblCellMar>
        <w:left w:w="0" w:type="dxa"/>
        <w:top w:w="0" w:type="dxa"/>
        <w:right w:w="0" w:type="dxa"/>
        <w:bottom w:w="0" w:type="dxa"/>
      </w:tblCellMar>
    </w:tblPr>
  </w:style>
  <w:style w:type="table" w:styleId="1011" w:customStyle="1">
    <w:name w:val="清单表 41"/>
    <w:uiPriority w:val="99"/>
    <w:qFormat/>
    <w:rPr>
      <w:rFonts w:ascii="Calibri" w:hAnsi="Calibri"/>
    </w:rPr>
    <w:tblPr>
      <w:tblCellMar>
        <w:left w:w="0" w:type="dxa"/>
        <w:top w:w="0" w:type="dxa"/>
        <w:right w:w="0" w:type="dxa"/>
        <w:bottom w:w="0" w:type="dxa"/>
      </w:tblCellMar>
    </w:tblPr>
  </w:style>
  <w:style w:type="table" w:styleId="1012" w:customStyle="1">
    <w:name w:val="List Table 4 - Accent 1"/>
    <w:uiPriority w:val="99"/>
    <w:qFormat/>
    <w:rPr>
      <w:rFonts w:ascii="Calibri" w:hAnsi="Calibri"/>
    </w:rPr>
    <w:tblPr>
      <w:tblCellMar>
        <w:left w:w="0" w:type="dxa"/>
        <w:top w:w="0" w:type="dxa"/>
        <w:right w:w="0" w:type="dxa"/>
        <w:bottom w:w="0" w:type="dxa"/>
      </w:tblCellMar>
    </w:tblPr>
  </w:style>
  <w:style w:type="table" w:styleId="1013" w:customStyle="1">
    <w:name w:val="List Table 4 - Accent 2"/>
    <w:uiPriority w:val="99"/>
    <w:qFormat/>
    <w:rPr>
      <w:rFonts w:ascii="Calibri" w:hAnsi="Calibri"/>
    </w:rPr>
    <w:tblPr>
      <w:tblCellMar>
        <w:left w:w="0" w:type="dxa"/>
        <w:top w:w="0" w:type="dxa"/>
        <w:right w:w="0" w:type="dxa"/>
        <w:bottom w:w="0" w:type="dxa"/>
      </w:tblCellMar>
    </w:tblPr>
  </w:style>
  <w:style w:type="table" w:styleId="1014" w:customStyle="1">
    <w:name w:val="List Table 4 - Accent 3"/>
    <w:uiPriority w:val="99"/>
    <w:qFormat/>
    <w:rPr>
      <w:rFonts w:ascii="Calibri" w:hAnsi="Calibri"/>
    </w:rPr>
    <w:tblPr>
      <w:tblCellMar>
        <w:left w:w="0" w:type="dxa"/>
        <w:top w:w="0" w:type="dxa"/>
        <w:right w:w="0" w:type="dxa"/>
        <w:bottom w:w="0" w:type="dxa"/>
      </w:tblCellMar>
    </w:tblPr>
  </w:style>
  <w:style w:type="table" w:styleId="1015" w:customStyle="1">
    <w:name w:val="List Table 4 - Accent 4"/>
    <w:uiPriority w:val="99"/>
    <w:qFormat/>
    <w:rPr>
      <w:rFonts w:ascii="Calibri" w:hAnsi="Calibri"/>
    </w:rPr>
    <w:tblPr>
      <w:tblCellMar>
        <w:left w:w="0" w:type="dxa"/>
        <w:top w:w="0" w:type="dxa"/>
        <w:right w:w="0" w:type="dxa"/>
        <w:bottom w:w="0" w:type="dxa"/>
      </w:tblCellMar>
    </w:tblPr>
  </w:style>
  <w:style w:type="table" w:styleId="1016" w:customStyle="1">
    <w:name w:val="List Table 4 - Accent 5"/>
    <w:uiPriority w:val="99"/>
    <w:qFormat/>
    <w:rPr>
      <w:rFonts w:ascii="Calibri" w:hAnsi="Calibri"/>
    </w:rPr>
    <w:tblPr>
      <w:tblCellMar>
        <w:left w:w="0" w:type="dxa"/>
        <w:top w:w="0" w:type="dxa"/>
        <w:right w:w="0" w:type="dxa"/>
        <w:bottom w:w="0" w:type="dxa"/>
      </w:tblCellMar>
    </w:tblPr>
  </w:style>
  <w:style w:type="table" w:styleId="1017" w:customStyle="1">
    <w:name w:val="List Table 4 - Accent 6"/>
    <w:uiPriority w:val="99"/>
    <w:qFormat/>
    <w:rPr>
      <w:rFonts w:ascii="Calibri" w:hAnsi="Calibri"/>
    </w:rPr>
    <w:tblPr>
      <w:tblCellMar>
        <w:left w:w="0" w:type="dxa"/>
        <w:top w:w="0" w:type="dxa"/>
        <w:right w:w="0" w:type="dxa"/>
        <w:bottom w:w="0" w:type="dxa"/>
      </w:tblCellMar>
    </w:tblPr>
  </w:style>
  <w:style w:type="table" w:styleId="1018" w:customStyle="1">
    <w:name w:val="清单表 5 深色1"/>
    <w:uiPriority w:val="99"/>
    <w:qFormat/>
    <w:rPr>
      <w:rFonts w:ascii="Calibri" w:hAnsi="Calibri"/>
    </w:rPr>
    <w:tblPr>
      <w:tblCellMar>
        <w:left w:w="0" w:type="dxa"/>
        <w:top w:w="0" w:type="dxa"/>
        <w:right w:w="0" w:type="dxa"/>
        <w:bottom w:w="0" w:type="dxa"/>
      </w:tblCellMar>
    </w:tblPr>
  </w:style>
  <w:style w:type="table" w:styleId="1019" w:customStyle="1">
    <w:name w:val="List Table 5 Dark - Accent 1"/>
    <w:uiPriority w:val="99"/>
    <w:qFormat/>
    <w:rPr>
      <w:rFonts w:ascii="Calibri" w:hAnsi="Calibri"/>
    </w:rPr>
    <w:tblPr>
      <w:tblCellMar>
        <w:left w:w="0" w:type="dxa"/>
        <w:top w:w="0" w:type="dxa"/>
        <w:right w:w="0" w:type="dxa"/>
        <w:bottom w:w="0" w:type="dxa"/>
      </w:tblCellMar>
    </w:tblPr>
  </w:style>
  <w:style w:type="table" w:styleId="1020" w:customStyle="1">
    <w:name w:val="List Table 5 Dark - Accent 2"/>
    <w:uiPriority w:val="99"/>
    <w:qFormat/>
    <w:rPr>
      <w:rFonts w:ascii="Calibri" w:hAnsi="Calibri"/>
    </w:rPr>
    <w:tblPr>
      <w:tblCellMar>
        <w:left w:w="0" w:type="dxa"/>
        <w:top w:w="0" w:type="dxa"/>
        <w:right w:w="0" w:type="dxa"/>
        <w:bottom w:w="0" w:type="dxa"/>
      </w:tblCellMar>
    </w:tblPr>
  </w:style>
  <w:style w:type="table" w:styleId="1021" w:customStyle="1">
    <w:name w:val="List Table 5 Dark - Accent 3"/>
    <w:uiPriority w:val="99"/>
    <w:qFormat/>
    <w:rPr>
      <w:rFonts w:ascii="Calibri" w:hAnsi="Calibri"/>
    </w:rPr>
    <w:tblPr>
      <w:tblCellMar>
        <w:left w:w="0" w:type="dxa"/>
        <w:top w:w="0" w:type="dxa"/>
        <w:right w:w="0" w:type="dxa"/>
        <w:bottom w:w="0" w:type="dxa"/>
      </w:tblCellMar>
    </w:tblPr>
  </w:style>
  <w:style w:type="table" w:styleId="1022" w:customStyle="1">
    <w:name w:val="List Table 5 Dark - Accent 4"/>
    <w:uiPriority w:val="99"/>
    <w:qFormat/>
    <w:rPr>
      <w:rFonts w:ascii="Calibri" w:hAnsi="Calibri"/>
    </w:rPr>
    <w:tblPr>
      <w:tblCellMar>
        <w:left w:w="0" w:type="dxa"/>
        <w:top w:w="0" w:type="dxa"/>
        <w:right w:w="0" w:type="dxa"/>
        <w:bottom w:w="0" w:type="dxa"/>
      </w:tblCellMar>
    </w:tblPr>
  </w:style>
  <w:style w:type="table" w:styleId="1023" w:customStyle="1">
    <w:name w:val="List Table 5 Dark - Accent 5"/>
    <w:uiPriority w:val="99"/>
    <w:qFormat/>
    <w:rPr>
      <w:rFonts w:ascii="Calibri" w:hAnsi="Calibri"/>
    </w:rPr>
    <w:tblPr>
      <w:tblCellMar>
        <w:left w:w="0" w:type="dxa"/>
        <w:top w:w="0" w:type="dxa"/>
        <w:right w:w="0" w:type="dxa"/>
        <w:bottom w:w="0" w:type="dxa"/>
      </w:tblCellMar>
    </w:tblPr>
  </w:style>
  <w:style w:type="table" w:styleId="1024" w:customStyle="1">
    <w:name w:val="List Table 5 Dark - Accent 6"/>
    <w:uiPriority w:val="99"/>
    <w:qFormat/>
    <w:rPr>
      <w:rFonts w:ascii="Calibri" w:hAnsi="Calibri"/>
    </w:rPr>
    <w:tblPr>
      <w:tblCellMar>
        <w:left w:w="0" w:type="dxa"/>
        <w:top w:w="0" w:type="dxa"/>
        <w:right w:w="0" w:type="dxa"/>
        <w:bottom w:w="0" w:type="dxa"/>
      </w:tblCellMar>
    </w:tblPr>
  </w:style>
  <w:style w:type="table" w:styleId="1025" w:customStyle="1">
    <w:name w:val="清单表 6 彩色1"/>
    <w:uiPriority w:val="99"/>
    <w:qFormat/>
    <w:rPr>
      <w:rFonts w:ascii="Calibri" w:hAnsi="Calibri"/>
    </w:rPr>
    <w:tblPr>
      <w:tblCellMar>
        <w:left w:w="0" w:type="dxa"/>
        <w:top w:w="0" w:type="dxa"/>
        <w:right w:w="0" w:type="dxa"/>
        <w:bottom w:w="0" w:type="dxa"/>
      </w:tblCellMar>
    </w:tblPr>
  </w:style>
  <w:style w:type="table" w:styleId="1026"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027"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028"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029"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030"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031"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032" w:customStyle="1">
    <w:name w:val="清单表 7 彩色1"/>
    <w:uiPriority w:val="99"/>
    <w:qFormat/>
    <w:rPr>
      <w:rFonts w:ascii="Calibri" w:hAnsi="Calibri"/>
    </w:rPr>
    <w:tblPr>
      <w:tblCellMar>
        <w:left w:w="0" w:type="dxa"/>
        <w:top w:w="0" w:type="dxa"/>
        <w:right w:w="0" w:type="dxa"/>
        <w:bottom w:w="0" w:type="dxa"/>
      </w:tblCellMar>
    </w:tblPr>
  </w:style>
  <w:style w:type="table" w:styleId="1033"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034"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035"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036"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037"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038"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039"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040"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041"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042"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043"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044"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045"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046"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047"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048"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049"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050"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051"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052"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053" w:customStyle="1">
    <w:name w:val="Bordered"/>
    <w:uiPriority w:val="99"/>
    <w:qFormat/>
    <w:rPr>
      <w:rFonts w:ascii="Calibri" w:hAnsi="Calibri"/>
    </w:rPr>
    <w:tblPr>
      <w:tblCellMar>
        <w:left w:w="0" w:type="dxa"/>
        <w:top w:w="0" w:type="dxa"/>
        <w:right w:w="0" w:type="dxa"/>
        <w:bottom w:w="0" w:type="dxa"/>
      </w:tblCellMar>
    </w:tblPr>
  </w:style>
  <w:style w:type="table" w:styleId="1054" w:customStyle="1">
    <w:name w:val="Bordered - Accent 1"/>
    <w:uiPriority w:val="99"/>
    <w:qFormat/>
    <w:rPr>
      <w:rFonts w:ascii="Calibri" w:hAnsi="Calibri"/>
    </w:rPr>
    <w:tblPr>
      <w:tblCellMar>
        <w:left w:w="0" w:type="dxa"/>
        <w:top w:w="0" w:type="dxa"/>
        <w:right w:w="0" w:type="dxa"/>
        <w:bottom w:w="0" w:type="dxa"/>
      </w:tblCellMar>
    </w:tblPr>
  </w:style>
  <w:style w:type="table" w:styleId="1055" w:customStyle="1">
    <w:name w:val="Bordered - Accent 2"/>
    <w:uiPriority w:val="99"/>
    <w:qFormat/>
    <w:rPr>
      <w:rFonts w:ascii="Calibri" w:hAnsi="Calibri"/>
    </w:rPr>
    <w:tblPr>
      <w:tblCellMar>
        <w:left w:w="0" w:type="dxa"/>
        <w:top w:w="0" w:type="dxa"/>
        <w:right w:w="0" w:type="dxa"/>
        <w:bottom w:w="0" w:type="dxa"/>
      </w:tblCellMar>
    </w:tblPr>
  </w:style>
  <w:style w:type="table" w:styleId="1056" w:customStyle="1">
    <w:name w:val="Bordered - Accent 3"/>
    <w:uiPriority w:val="99"/>
    <w:qFormat/>
    <w:rPr>
      <w:rFonts w:ascii="Calibri" w:hAnsi="Calibri"/>
    </w:rPr>
    <w:tblPr>
      <w:tblCellMar>
        <w:left w:w="0" w:type="dxa"/>
        <w:top w:w="0" w:type="dxa"/>
        <w:right w:w="0" w:type="dxa"/>
        <w:bottom w:w="0" w:type="dxa"/>
      </w:tblCellMar>
    </w:tblPr>
  </w:style>
  <w:style w:type="table" w:styleId="1057" w:customStyle="1">
    <w:name w:val="Bordered - Accent 4"/>
    <w:uiPriority w:val="99"/>
    <w:qFormat/>
    <w:rPr>
      <w:rFonts w:ascii="Calibri" w:hAnsi="Calibri"/>
    </w:rPr>
    <w:tblPr>
      <w:tblCellMar>
        <w:left w:w="0" w:type="dxa"/>
        <w:top w:w="0" w:type="dxa"/>
        <w:right w:w="0" w:type="dxa"/>
        <w:bottom w:w="0" w:type="dxa"/>
      </w:tblCellMar>
    </w:tblPr>
  </w:style>
  <w:style w:type="table" w:styleId="1058" w:customStyle="1">
    <w:name w:val="Bordered - Accent 5"/>
    <w:uiPriority w:val="99"/>
    <w:qFormat/>
    <w:rPr>
      <w:rFonts w:ascii="Calibri" w:hAnsi="Calibri"/>
    </w:rPr>
    <w:tblPr>
      <w:tblCellMar>
        <w:left w:w="0" w:type="dxa"/>
        <w:top w:w="0" w:type="dxa"/>
        <w:right w:w="0" w:type="dxa"/>
        <w:bottom w:w="0" w:type="dxa"/>
      </w:tblCellMar>
    </w:tblPr>
  </w:style>
  <w:style w:type="table" w:styleId="1059" w:customStyle="1">
    <w:name w:val="Bordered - Accent 6"/>
    <w:uiPriority w:val="99"/>
    <w:qFormat/>
    <w:rPr>
      <w:rFonts w:ascii="Calibri" w:hAnsi="Calibri"/>
    </w:rPr>
    <w:tblPr>
      <w:tblCellMar>
        <w:left w:w="0" w:type="dxa"/>
        <w:top w:w="0" w:type="dxa"/>
        <w:right w:w="0" w:type="dxa"/>
        <w:bottom w:w="0" w:type="dxa"/>
      </w:tblCellMar>
    </w:tblPr>
  </w:style>
  <w:style w:type="paragraph" w:styleId="1060" w:customStyle="1">
    <w:name w:val="TOC 标题11"/>
    <w:uiPriority w:val="39"/>
    <w:unhideWhenUsed/>
    <w:qFormat/>
    <w:rPr>
      <w:rFonts w:hint="default" w:ascii="Calibri" w:hAnsi="Calibri" w:eastAsia="宋体" w:cs="Times New Roman"/>
    </w:rPr>
  </w:style>
  <w:style w:type="paragraph" w:styleId="1061" w:customStyle="1">
    <w:name w:val="标题 11"/>
    <w:basedOn w:val="725"/>
    <w:next w:val="725"/>
    <w:link w:val="1062"/>
    <w:uiPriority w:val="0"/>
    <w:qFormat/>
    <w:pPr>
      <w:jc w:val="center"/>
      <w:keepNext/>
      <w:outlineLvl w:val="0"/>
    </w:pPr>
    <w:rPr>
      <w:rFonts w:ascii="楷体_GB2312" w:hAnsi="Times New Roman" w:eastAsia="楷体_GB2312" w:cs="Times New Roman"/>
      <w:sz w:val="28"/>
      <w:szCs w:val="28"/>
      <w:lang w:eastAsia="en-US"/>
    </w:rPr>
  </w:style>
  <w:style w:type="character" w:styleId="1062" w:customStyle="1">
    <w:name w:val="标题 1 Char"/>
    <w:link w:val="1061"/>
    <w:uiPriority w:val="0"/>
    <w:qFormat/>
    <w:rPr>
      <w:rFonts w:ascii="楷体_GB2312" w:hAnsi="Times New Roman" w:eastAsia="楷体_GB2312" w:cs="Times New Roman"/>
      <w:sz w:val="28"/>
      <w:szCs w:val="28"/>
      <w:lang w:eastAsia="en-US"/>
    </w:rPr>
  </w:style>
  <w:style w:type="paragraph" w:styleId="1063" w:customStyle="1">
    <w:name w:val="标题 21"/>
    <w:basedOn w:val="725"/>
    <w:next w:val="1064"/>
    <w:link w:val="1065"/>
    <w:uiPriority w:val="0"/>
    <w:qFormat/>
    <w:pPr>
      <w:jc w:val="center"/>
      <w:keepLines/>
      <w:keepNext/>
      <w:spacing w:before="260" w:after="260" w:line="416" w:lineRule="auto"/>
      <w:outlineLvl w:val="1"/>
    </w:pPr>
    <w:rPr>
      <w:rFonts w:ascii="Arial" w:hAnsi="Arial" w:eastAsia="幼圆" w:cs="Times New Roman"/>
      <w:b/>
      <w:bCs/>
      <w:sz w:val="44"/>
      <w:szCs w:val="44"/>
      <w:lang w:eastAsia="en-US"/>
    </w:rPr>
  </w:style>
  <w:style w:type="paragraph" w:styleId="1064" w:customStyle="1">
    <w:name w:val="正文缩进1"/>
    <w:basedOn w:val="725"/>
    <w:link w:val="1066"/>
    <w:uiPriority w:val="0"/>
    <w:qFormat/>
    <w:pPr>
      <w:ind w:firstLine="420"/>
    </w:pPr>
    <w:rPr>
      <w:rFonts w:ascii="Times New Roman" w:hAnsi="Times New Roman" w:eastAsia="宋体" w:cs="Times New Roman"/>
      <w:sz w:val="20"/>
      <w:szCs w:val="21"/>
      <w:lang w:eastAsia="en-US"/>
    </w:rPr>
  </w:style>
  <w:style w:type="character" w:styleId="1065" w:customStyle="1">
    <w:name w:val="标题 2 Char"/>
    <w:link w:val="1063"/>
    <w:uiPriority w:val="0"/>
    <w:qFormat/>
    <w:rPr>
      <w:rFonts w:ascii="Arial" w:hAnsi="Arial" w:eastAsia="幼圆" w:cs="Times New Roman"/>
      <w:b/>
      <w:bCs/>
      <w:sz w:val="44"/>
      <w:szCs w:val="44"/>
      <w:lang w:eastAsia="en-US"/>
    </w:rPr>
  </w:style>
  <w:style w:type="character" w:styleId="1066" w:customStyle="1">
    <w:name w:val="正文缩进 Char"/>
    <w:link w:val="1064"/>
    <w:uiPriority w:val="0"/>
    <w:qFormat/>
    <w:rPr>
      <w:rFonts w:ascii="Times New Roman" w:hAnsi="Times New Roman" w:eastAsia="宋体" w:cs="Times New Roman"/>
      <w:szCs w:val="21"/>
      <w:lang w:eastAsia="en-US"/>
    </w:rPr>
  </w:style>
  <w:style w:type="paragraph" w:styleId="1067" w:customStyle="1">
    <w:name w:val="标题 41"/>
    <w:basedOn w:val="725"/>
    <w:next w:val="1064"/>
    <w:link w:val="1068"/>
    <w:uiPriority w:val="0"/>
    <w:qFormat/>
    <w:pPr>
      <w:keepLines/>
      <w:keepNext/>
      <w:spacing w:before="280" w:after="290" w:line="376" w:lineRule="auto"/>
      <w:outlineLvl w:val="3"/>
    </w:pPr>
    <w:rPr>
      <w:rFonts w:ascii="Arial" w:hAnsi="Arial" w:eastAsia="黑体" w:cs="Times New Roman"/>
      <w:b/>
      <w:bCs/>
      <w:sz w:val="28"/>
      <w:szCs w:val="28"/>
      <w:lang w:eastAsia="en-US"/>
    </w:rPr>
  </w:style>
  <w:style w:type="character" w:styleId="1068" w:customStyle="1">
    <w:name w:val="标题 4 Char"/>
    <w:link w:val="1067"/>
    <w:uiPriority w:val="0"/>
    <w:qFormat/>
    <w:rPr>
      <w:rFonts w:ascii="Arial" w:hAnsi="Arial" w:eastAsia="黑体" w:cs="Times New Roman"/>
      <w:b/>
      <w:bCs/>
      <w:sz w:val="28"/>
      <w:szCs w:val="28"/>
      <w:lang w:eastAsia="en-US"/>
    </w:rPr>
  </w:style>
  <w:style w:type="paragraph" w:styleId="1069" w:customStyle="1">
    <w:name w:val="标题 51"/>
    <w:basedOn w:val="725"/>
    <w:next w:val="1064"/>
    <w:link w:val="1070"/>
    <w:uiPriority w:val="0"/>
    <w:qFormat/>
    <w:pPr>
      <w:keepNext/>
      <w:outlineLvl w:val="4"/>
    </w:pPr>
    <w:rPr>
      <w:rFonts w:ascii="宋体" w:hAnsi="Times New Roman" w:eastAsia="宋体" w:cs="Times New Roman"/>
      <w:color w:val="000000"/>
      <w:sz w:val="28"/>
      <w:szCs w:val="28"/>
      <w:lang w:eastAsia="en-US"/>
    </w:rPr>
  </w:style>
  <w:style w:type="character" w:styleId="1070" w:customStyle="1">
    <w:name w:val="标题 5 Char"/>
    <w:link w:val="1069"/>
    <w:uiPriority w:val="0"/>
    <w:qFormat/>
    <w:rPr>
      <w:rFonts w:ascii="宋体" w:hAnsi="Times New Roman" w:eastAsia="宋体" w:cs="Times New Roman"/>
      <w:color w:val="000000"/>
      <w:sz w:val="28"/>
      <w:szCs w:val="28"/>
      <w:lang w:eastAsia="en-US"/>
    </w:rPr>
  </w:style>
  <w:style w:type="paragraph" w:styleId="1071" w:customStyle="1">
    <w:name w:val="标题 61"/>
    <w:basedOn w:val="725"/>
    <w:next w:val="725"/>
    <w:link w:val="1072"/>
    <w:uiPriority w:val="0"/>
    <w:qFormat/>
    <w:pPr>
      <w:numPr>
        <w:ilvl w:val="5"/>
        <w:numId w:val="4"/>
      </w:numPr>
      <w:keepLines/>
      <w:keepNext/>
      <w:spacing w:before="240" w:after="64" w:line="320" w:lineRule="auto"/>
      <w:outlineLvl w:val="5"/>
    </w:pPr>
    <w:rPr>
      <w:rFonts w:ascii="Arial" w:hAnsi="Arial" w:eastAsia="黑体" w:cs="Times New Roman"/>
      <w:b/>
      <w:bCs/>
      <w:sz w:val="24"/>
      <w:szCs w:val="24"/>
      <w:lang w:eastAsia="en-US"/>
    </w:rPr>
  </w:style>
  <w:style w:type="character" w:styleId="1072" w:customStyle="1">
    <w:name w:val="标题 6 Char"/>
    <w:link w:val="1071"/>
    <w:uiPriority w:val="0"/>
    <w:qFormat/>
    <w:rPr>
      <w:rFonts w:ascii="Arial" w:hAnsi="Arial" w:eastAsia="黑体" w:cs="Times New Roman"/>
      <w:b/>
      <w:bCs/>
      <w:sz w:val="24"/>
      <w:szCs w:val="24"/>
      <w:lang w:eastAsia="en-US"/>
    </w:rPr>
  </w:style>
  <w:style w:type="paragraph" w:styleId="1073" w:customStyle="1">
    <w:name w:val="标题 71"/>
    <w:basedOn w:val="725"/>
    <w:next w:val="725"/>
    <w:link w:val="1074"/>
    <w:uiPriority w:val="0"/>
    <w:qFormat/>
    <w:pPr>
      <w:numPr>
        <w:ilvl w:val="6"/>
        <w:numId w:val="4"/>
      </w:numPr>
      <w:keepLines/>
      <w:keepNext/>
      <w:spacing w:before="240" w:after="64" w:line="320" w:lineRule="auto"/>
      <w:outlineLvl w:val="6"/>
    </w:pPr>
    <w:rPr>
      <w:rFonts w:ascii="Times New Roman" w:hAnsi="Times New Roman" w:eastAsia="宋体" w:cs="Times New Roman"/>
      <w:b/>
      <w:bCs/>
      <w:sz w:val="24"/>
      <w:szCs w:val="24"/>
      <w:lang w:eastAsia="en-US"/>
    </w:rPr>
  </w:style>
  <w:style w:type="character" w:styleId="1074" w:customStyle="1">
    <w:name w:val="标题 7 Char"/>
    <w:link w:val="1073"/>
    <w:uiPriority w:val="0"/>
    <w:qFormat/>
    <w:rPr>
      <w:rFonts w:ascii="Times New Roman" w:hAnsi="Times New Roman" w:eastAsia="宋体" w:cs="Times New Roman"/>
      <w:b/>
      <w:bCs/>
      <w:sz w:val="24"/>
      <w:szCs w:val="24"/>
      <w:lang w:eastAsia="en-US"/>
    </w:rPr>
  </w:style>
  <w:style w:type="paragraph" w:styleId="1075" w:customStyle="1">
    <w:name w:val="标题 81"/>
    <w:basedOn w:val="725"/>
    <w:next w:val="725"/>
    <w:link w:val="1076"/>
    <w:uiPriority w:val="0"/>
    <w:qFormat/>
    <w:pPr>
      <w:numPr>
        <w:ilvl w:val="7"/>
        <w:numId w:val="4"/>
      </w:numPr>
      <w:keepLines/>
      <w:keepNext/>
      <w:spacing w:before="240" w:after="64" w:line="320" w:lineRule="auto"/>
      <w:outlineLvl w:val="7"/>
    </w:pPr>
    <w:rPr>
      <w:rFonts w:ascii="Arial" w:hAnsi="Arial" w:eastAsia="黑体" w:cs="Times New Roman"/>
      <w:sz w:val="24"/>
      <w:szCs w:val="24"/>
      <w:lang w:eastAsia="en-US"/>
    </w:rPr>
  </w:style>
  <w:style w:type="character" w:styleId="1076" w:customStyle="1">
    <w:name w:val="标题 8 Char"/>
    <w:link w:val="1075"/>
    <w:uiPriority w:val="0"/>
    <w:qFormat/>
    <w:rPr>
      <w:rFonts w:ascii="Arial" w:hAnsi="Arial" w:eastAsia="黑体" w:cs="Times New Roman"/>
      <w:sz w:val="24"/>
      <w:szCs w:val="24"/>
      <w:lang w:eastAsia="en-US"/>
    </w:rPr>
  </w:style>
  <w:style w:type="paragraph" w:styleId="1077" w:customStyle="1">
    <w:name w:val="标题 91"/>
    <w:basedOn w:val="725"/>
    <w:next w:val="725"/>
    <w:link w:val="1078"/>
    <w:uiPriority w:val="0"/>
    <w:qFormat/>
    <w:pPr>
      <w:numPr>
        <w:ilvl w:val="8"/>
        <w:numId w:val="4"/>
      </w:numPr>
      <w:keepLines/>
      <w:keepNext/>
      <w:spacing w:before="240" w:after="64" w:line="320" w:lineRule="auto"/>
      <w:outlineLvl w:val="8"/>
    </w:pPr>
    <w:rPr>
      <w:rFonts w:ascii="Arial" w:hAnsi="Arial" w:eastAsia="黑体" w:cs="Times New Roman"/>
      <w:sz w:val="20"/>
      <w:szCs w:val="21"/>
      <w:lang w:eastAsia="en-US"/>
    </w:rPr>
  </w:style>
  <w:style w:type="character" w:styleId="1078" w:customStyle="1">
    <w:name w:val="标题 9 Char"/>
    <w:link w:val="1077"/>
    <w:uiPriority w:val="0"/>
    <w:qFormat/>
    <w:rPr>
      <w:rFonts w:ascii="Arial" w:hAnsi="Arial" w:eastAsia="黑体" w:cs="Times New Roman"/>
      <w:szCs w:val="21"/>
      <w:lang w:eastAsia="en-US"/>
    </w:rPr>
  </w:style>
  <w:style w:type="character" w:styleId="1079" w:customStyle="1">
    <w:name w:val="默认段落字体1"/>
    <w:uiPriority w:val="1"/>
    <w:unhideWhenUsed/>
    <w:qFormat/>
  </w:style>
  <w:style w:type="table" w:styleId="1080"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081" w:customStyle="1">
    <w:name w:val="列表 31"/>
    <w:basedOn w:val="725"/>
    <w:uiPriority w:val="0"/>
    <w:qFormat/>
    <w:pPr>
      <w:ind w:left="100" w:hanging="200"/>
    </w:pPr>
    <w:rPr>
      <w:rFonts w:ascii="Times New Roman" w:hAnsi="Times New Roman" w:eastAsia="宋体" w:cs="Times New Roman"/>
      <w:szCs w:val="21"/>
    </w:rPr>
  </w:style>
  <w:style w:type="paragraph" w:styleId="1082" w:customStyle="1">
    <w:name w:val="目录 711"/>
    <w:basedOn w:val="725"/>
    <w:next w:val="725"/>
    <w:uiPriority w:val="0"/>
    <w:semiHidden/>
    <w:qFormat/>
    <w:pPr>
      <w:ind w:left="1260"/>
      <w:jc w:val="left"/>
    </w:pPr>
    <w:rPr>
      <w:rFonts w:ascii="Times New Roman" w:hAnsi="Times New Roman" w:eastAsia="宋体" w:cs="Times New Roman"/>
      <w:szCs w:val="21"/>
    </w:rPr>
  </w:style>
  <w:style w:type="paragraph" w:styleId="1083" w:customStyle="1">
    <w:name w:val="文档结构图1"/>
    <w:basedOn w:val="725"/>
    <w:link w:val="1084"/>
    <w:uiPriority w:val="0"/>
    <w:semiHidden/>
    <w:qFormat/>
    <w:pPr>
      <w:shd w:val="clear" w:color="auto" w:fill="000080"/>
    </w:pPr>
    <w:rPr>
      <w:rFonts w:ascii="Times New Roman" w:hAnsi="Times New Roman" w:eastAsia="宋体" w:cs="Times New Roman"/>
      <w:sz w:val="20"/>
      <w:szCs w:val="21"/>
      <w:lang w:eastAsia="en-US"/>
    </w:rPr>
  </w:style>
  <w:style w:type="character" w:styleId="1084" w:customStyle="1">
    <w:name w:val="文档结构图 Char"/>
    <w:link w:val="1083"/>
    <w:uiPriority w:val="0"/>
    <w:semiHidden/>
    <w:qFormat/>
    <w:rPr>
      <w:rFonts w:ascii="Times New Roman" w:hAnsi="Times New Roman" w:eastAsia="宋体" w:cs="Times New Roman"/>
      <w:szCs w:val="21"/>
      <w:shd w:val="clear" w:color="auto" w:fill="000080"/>
      <w:lang w:eastAsia="en-US"/>
    </w:rPr>
  </w:style>
  <w:style w:type="paragraph" w:styleId="1085" w:customStyle="1">
    <w:name w:val="批注文字1"/>
    <w:basedOn w:val="725"/>
    <w:link w:val="1086"/>
    <w:uiPriority w:val="0"/>
    <w:semiHidden/>
    <w:qFormat/>
    <w:pPr>
      <w:jc w:val="left"/>
    </w:pPr>
    <w:rPr>
      <w:rFonts w:ascii="Times New Roman" w:hAnsi="Times New Roman" w:eastAsia="宋体" w:cs="Times New Roman"/>
      <w:sz w:val="20"/>
      <w:szCs w:val="21"/>
      <w:lang w:eastAsia="en-US"/>
    </w:rPr>
  </w:style>
  <w:style w:type="character" w:styleId="1086" w:customStyle="1">
    <w:name w:val="批注文字 Char"/>
    <w:link w:val="1085"/>
    <w:uiPriority w:val="0"/>
    <w:semiHidden/>
    <w:qFormat/>
    <w:rPr>
      <w:rFonts w:ascii="Times New Roman" w:hAnsi="Times New Roman" w:eastAsia="宋体" w:cs="Times New Roman"/>
      <w:szCs w:val="21"/>
      <w:lang w:eastAsia="en-US"/>
    </w:rPr>
  </w:style>
  <w:style w:type="paragraph" w:styleId="1087" w:customStyle="1">
    <w:name w:val="正文文本 31"/>
    <w:basedOn w:val="725"/>
    <w:link w:val="1088"/>
    <w:uiPriority w:val="0"/>
    <w:qFormat/>
    <w:rPr>
      <w:rFonts w:ascii="仿宋_GB2312" w:hAnsi="Arial" w:eastAsia="仿宋_GB2312" w:cs="Times New Roman"/>
      <w:sz w:val="32"/>
      <w:szCs w:val="32"/>
      <w:lang w:eastAsia="en-US"/>
    </w:rPr>
  </w:style>
  <w:style w:type="character" w:styleId="1088" w:customStyle="1">
    <w:name w:val="正文文本 3 Char"/>
    <w:link w:val="1087"/>
    <w:uiPriority w:val="0"/>
    <w:qFormat/>
    <w:rPr>
      <w:rFonts w:ascii="仿宋_GB2312" w:hAnsi="Arial" w:eastAsia="仿宋_GB2312" w:cs="Times New Roman"/>
      <w:sz w:val="32"/>
      <w:szCs w:val="32"/>
      <w:lang w:eastAsia="en-US"/>
    </w:rPr>
  </w:style>
  <w:style w:type="paragraph" w:styleId="1089" w:customStyle="1">
    <w:name w:val="正文文本1"/>
    <w:basedOn w:val="725"/>
    <w:link w:val="1090"/>
    <w:uiPriority w:val="0"/>
    <w:qFormat/>
    <w:rPr>
      <w:rFonts w:ascii="楷体_GB2312" w:hAnsi="Arial" w:eastAsia="楷体_GB2312" w:cs="Times New Roman"/>
      <w:sz w:val="28"/>
      <w:szCs w:val="28"/>
      <w:lang w:eastAsia="en-US"/>
    </w:rPr>
  </w:style>
  <w:style w:type="character" w:styleId="1090" w:customStyle="1">
    <w:name w:val="正文文本 Char"/>
    <w:link w:val="1089"/>
    <w:uiPriority w:val="0"/>
    <w:qFormat/>
    <w:rPr>
      <w:rFonts w:ascii="楷体_GB2312" w:hAnsi="Arial" w:eastAsia="楷体_GB2312" w:cs="Times New Roman"/>
      <w:sz w:val="28"/>
      <w:szCs w:val="28"/>
      <w:lang w:eastAsia="en-US"/>
    </w:rPr>
  </w:style>
  <w:style w:type="paragraph" w:styleId="1091" w:customStyle="1">
    <w:name w:val="正文文本缩进1"/>
    <w:basedOn w:val="725"/>
    <w:link w:val="1092"/>
    <w:uiPriority w:val="0"/>
    <w:qFormat/>
    <w:pPr>
      <w:ind w:firstLine="645"/>
    </w:pPr>
    <w:rPr>
      <w:rFonts w:ascii="楷体_GB2312" w:hAnsi="Times New Roman" w:eastAsia="楷体_GB2312" w:cs="Times New Roman"/>
      <w:sz w:val="32"/>
      <w:szCs w:val="32"/>
      <w:lang w:eastAsia="en-US"/>
    </w:rPr>
  </w:style>
  <w:style w:type="character" w:styleId="1092" w:customStyle="1">
    <w:name w:val="正文文本缩进 Char"/>
    <w:link w:val="1091"/>
    <w:uiPriority w:val="0"/>
    <w:qFormat/>
    <w:rPr>
      <w:rFonts w:ascii="楷体_GB2312" w:hAnsi="Times New Roman" w:eastAsia="楷体_GB2312" w:cs="Times New Roman"/>
      <w:sz w:val="32"/>
      <w:szCs w:val="32"/>
      <w:lang w:eastAsia="en-US"/>
    </w:rPr>
  </w:style>
  <w:style w:type="paragraph" w:styleId="1093" w:customStyle="1">
    <w:name w:val="列表 21"/>
    <w:basedOn w:val="725"/>
    <w:uiPriority w:val="0"/>
    <w:qFormat/>
    <w:pPr>
      <w:ind w:left="100" w:hanging="200"/>
    </w:pPr>
    <w:rPr>
      <w:rFonts w:ascii="Times New Roman" w:hAnsi="Times New Roman" w:eastAsia="宋体" w:cs="Times New Roman"/>
      <w:szCs w:val="21"/>
    </w:rPr>
  </w:style>
  <w:style w:type="paragraph" w:styleId="1094" w:customStyle="1">
    <w:name w:val="目录 511"/>
    <w:basedOn w:val="725"/>
    <w:next w:val="725"/>
    <w:uiPriority w:val="0"/>
    <w:semiHidden/>
    <w:qFormat/>
    <w:pPr>
      <w:ind w:left="840"/>
      <w:jc w:val="left"/>
    </w:pPr>
    <w:rPr>
      <w:rFonts w:ascii="Times New Roman" w:hAnsi="Times New Roman" w:eastAsia="宋体" w:cs="Times New Roman"/>
      <w:szCs w:val="21"/>
    </w:rPr>
  </w:style>
  <w:style w:type="paragraph" w:styleId="1095" w:customStyle="1">
    <w:name w:val="目录 311"/>
    <w:basedOn w:val="725"/>
    <w:next w:val="725"/>
    <w:uiPriority w:val="0"/>
    <w:semiHidden/>
    <w:qFormat/>
    <w:pPr>
      <w:ind w:left="420"/>
      <w:jc w:val="left"/>
    </w:pPr>
    <w:rPr>
      <w:rFonts w:ascii="Times New Roman" w:hAnsi="Times New Roman" w:eastAsia="宋体" w:cs="Times New Roman"/>
      <w:i/>
      <w:iCs/>
      <w:szCs w:val="24"/>
    </w:rPr>
  </w:style>
  <w:style w:type="paragraph" w:styleId="1096" w:customStyle="1">
    <w:name w:val="纯文本1"/>
    <w:basedOn w:val="725"/>
    <w:link w:val="1097"/>
    <w:uiPriority w:val="0"/>
    <w:qFormat/>
    <w:rPr>
      <w:rFonts w:ascii="宋体" w:hAnsi="Courier New" w:eastAsia="宋体" w:cs="Times New Roman"/>
      <w:sz w:val="20"/>
      <w:szCs w:val="21"/>
      <w:lang w:eastAsia="en-US"/>
    </w:rPr>
  </w:style>
  <w:style w:type="character" w:styleId="1097" w:customStyle="1">
    <w:name w:val="纯文本 Char"/>
    <w:link w:val="1096"/>
    <w:uiPriority w:val="0"/>
    <w:qFormat/>
    <w:rPr>
      <w:rFonts w:ascii="宋体" w:hAnsi="Courier New" w:eastAsia="宋体" w:cs="Times New Roman"/>
      <w:szCs w:val="21"/>
      <w:lang w:eastAsia="en-US"/>
    </w:rPr>
  </w:style>
  <w:style w:type="paragraph" w:styleId="1098" w:customStyle="1">
    <w:name w:val="目录 811"/>
    <w:basedOn w:val="725"/>
    <w:next w:val="725"/>
    <w:uiPriority w:val="0"/>
    <w:semiHidden/>
    <w:qFormat/>
    <w:pPr>
      <w:ind w:left="1470"/>
      <w:jc w:val="left"/>
    </w:pPr>
    <w:rPr>
      <w:rFonts w:ascii="Times New Roman" w:hAnsi="Times New Roman" w:eastAsia="宋体" w:cs="Times New Roman"/>
      <w:szCs w:val="21"/>
    </w:rPr>
  </w:style>
  <w:style w:type="paragraph" w:styleId="1099" w:customStyle="1">
    <w:name w:val="日期1"/>
    <w:basedOn w:val="725"/>
    <w:next w:val="725"/>
    <w:link w:val="1100"/>
    <w:uiPriority w:val="0"/>
    <w:qFormat/>
    <w:rPr>
      <w:rFonts w:ascii="Times New Roman" w:hAnsi="Times New Roman" w:eastAsia="宋体" w:cs="Times New Roman"/>
      <w:sz w:val="24"/>
      <w:szCs w:val="24"/>
      <w:lang w:eastAsia="en-US"/>
    </w:rPr>
  </w:style>
  <w:style w:type="character" w:styleId="1100" w:customStyle="1">
    <w:name w:val="日期 Char"/>
    <w:link w:val="1099"/>
    <w:uiPriority w:val="0"/>
    <w:qFormat/>
    <w:rPr>
      <w:rFonts w:ascii="Times New Roman" w:hAnsi="Times New Roman" w:eastAsia="宋体" w:cs="Times New Roman"/>
      <w:sz w:val="24"/>
      <w:szCs w:val="24"/>
      <w:lang w:eastAsia="en-US"/>
    </w:rPr>
  </w:style>
  <w:style w:type="paragraph" w:styleId="1101" w:customStyle="1">
    <w:name w:val="正文文本缩进 21"/>
    <w:basedOn w:val="725"/>
    <w:link w:val="1102"/>
    <w:uiPriority w:val="0"/>
    <w:qFormat/>
    <w:pPr>
      <w:ind w:left="630" w:firstLine="645"/>
    </w:pPr>
    <w:rPr>
      <w:rFonts w:ascii="Arial" w:hAnsi="Arial" w:eastAsia="仿宋_GB2312" w:cs="Times New Roman"/>
      <w:sz w:val="32"/>
      <w:szCs w:val="32"/>
      <w:lang w:eastAsia="en-US"/>
    </w:rPr>
  </w:style>
  <w:style w:type="character" w:styleId="1102" w:customStyle="1">
    <w:name w:val="正文文本缩进 2 Char"/>
    <w:link w:val="1101"/>
    <w:uiPriority w:val="0"/>
    <w:qFormat/>
    <w:rPr>
      <w:rFonts w:ascii="Arial" w:hAnsi="Arial" w:eastAsia="仿宋_GB2312" w:cs="Times New Roman"/>
      <w:sz w:val="32"/>
      <w:szCs w:val="32"/>
      <w:lang w:eastAsia="en-US"/>
    </w:rPr>
  </w:style>
  <w:style w:type="paragraph" w:styleId="1103" w:customStyle="1">
    <w:name w:val="批注框文本1"/>
    <w:basedOn w:val="725"/>
    <w:link w:val="1104"/>
    <w:uiPriority w:val="0"/>
    <w:semiHidden/>
    <w:qFormat/>
    <w:rPr>
      <w:rFonts w:ascii="Times New Roman" w:hAnsi="Times New Roman" w:eastAsia="宋体" w:cs="Times New Roman"/>
      <w:sz w:val="18"/>
      <w:szCs w:val="18"/>
      <w:lang w:eastAsia="en-US"/>
    </w:rPr>
  </w:style>
  <w:style w:type="character" w:styleId="1104" w:customStyle="1">
    <w:name w:val="批注框文本 Char"/>
    <w:link w:val="1103"/>
    <w:uiPriority w:val="0"/>
    <w:semiHidden/>
    <w:qFormat/>
    <w:rPr>
      <w:rFonts w:ascii="Times New Roman" w:hAnsi="Times New Roman" w:eastAsia="宋体" w:cs="Times New Roman"/>
      <w:sz w:val="18"/>
      <w:szCs w:val="18"/>
      <w:lang w:eastAsia="en-US"/>
    </w:rPr>
  </w:style>
  <w:style w:type="paragraph" w:styleId="1105" w:customStyle="1">
    <w:name w:val="页脚1"/>
    <w:basedOn w:val="725"/>
    <w:link w:val="1106"/>
    <w:uiPriority w:val="0"/>
    <w:qFormat/>
    <w:pPr>
      <w:jc w:val="left"/>
      <w:tabs>
        <w:tab w:val="center" w:pos="4153" w:leader="none"/>
        <w:tab w:val="right" w:pos="8306" w:leader="none"/>
      </w:tabs>
    </w:pPr>
    <w:rPr>
      <w:rFonts w:ascii="Times New Roman" w:hAnsi="Times New Roman" w:eastAsia="宋体" w:cs="Times New Roman"/>
      <w:sz w:val="18"/>
      <w:szCs w:val="18"/>
      <w:lang w:eastAsia="en-US"/>
    </w:rPr>
  </w:style>
  <w:style w:type="character" w:styleId="1106" w:customStyle="1">
    <w:name w:val="页脚 Char"/>
    <w:link w:val="1105"/>
    <w:uiPriority w:val="0"/>
    <w:qFormat/>
    <w:rPr>
      <w:rFonts w:ascii="Times New Roman" w:hAnsi="Times New Roman" w:eastAsia="宋体" w:cs="Times New Roman"/>
      <w:sz w:val="18"/>
      <w:szCs w:val="18"/>
      <w:lang w:eastAsia="en-US"/>
    </w:rPr>
  </w:style>
  <w:style w:type="paragraph" w:styleId="1107" w:customStyle="1">
    <w:name w:val="页眉1"/>
    <w:basedOn w:val="725"/>
    <w:link w:val="1108"/>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lang w:eastAsia="en-US"/>
    </w:rPr>
  </w:style>
  <w:style w:type="character" w:styleId="1108" w:customStyle="1">
    <w:name w:val="页眉 Char"/>
    <w:link w:val="1107"/>
    <w:uiPriority w:val="99"/>
    <w:qFormat/>
    <w:rPr>
      <w:rFonts w:ascii="Times New Roman" w:hAnsi="Times New Roman" w:eastAsia="宋体" w:cs="Times New Roman"/>
      <w:sz w:val="18"/>
      <w:szCs w:val="18"/>
      <w:lang w:eastAsia="en-US"/>
    </w:rPr>
  </w:style>
  <w:style w:type="paragraph" w:styleId="1109" w:customStyle="1">
    <w:name w:val="目录 1111"/>
    <w:basedOn w:val="725"/>
    <w:next w:val="725"/>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110" w:customStyle="1">
    <w:name w:val="目录 411"/>
    <w:basedOn w:val="725"/>
    <w:next w:val="725"/>
    <w:uiPriority w:val="0"/>
    <w:semiHidden/>
    <w:qFormat/>
    <w:pPr>
      <w:ind w:left="630"/>
      <w:jc w:val="left"/>
    </w:pPr>
    <w:rPr>
      <w:rFonts w:ascii="Times New Roman" w:hAnsi="Times New Roman" w:eastAsia="宋体" w:cs="Times New Roman"/>
      <w:szCs w:val="21"/>
    </w:rPr>
  </w:style>
  <w:style w:type="paragraph" w:styleId="1111" w:customStyle="1">
    <w:name w:val="列表1"/>
    <w:basedOn w:val="725"/>
    <w:uiPriority w:val="0"/>
    <w:qFormat/>
    <w:pPr>
      <w:ind w:left="200" w:hanging="200"/>
    </w:pPr>
    <w:rPr>
      <w:rFonts w:ascii="Times New Roman" w:hAnsi="Times New Roman" w:eastAsia="宋体" w:cs="Times New Roman"/>
      <w:szCs w:val="21"/>
    </w:rPr>
  </w:style>
  <w:style w:type="paragraph" w:styleId="1112" w:customStyle="1">
    <w:name w:val="目录 611"/>
    <w:basedOn w:val="725"/>
    <w:next w:val="725"/>
    <w:uiPriority w:val="0"/>
    <w:semiHidden/>
    <w:qFormat/>
    <w:pPr>
      <w:ind w:left="1050"/>
      <w:jc w:val="left"/>
    </w:pPr>
    <w:rPr>
      <w:rFonts w:ascii="Times New Roman" w:hAnsi="Times New Roman" w:eastAsia="宋体" w:cs="Times New Roman"/>
      <w:szCs w:val="21"/>
    </w:rPr>
  </w:style>
  <w:style w:type="paragraph" w:styleId="1113" w:customStyle="1">
    <w:name w:val="正文文本缩进 31"/>
    <w:basedOn w:val="725"/>
    <w:link w:val="1114"/>
    <w:uiPriority w:val="0"/>
    <w:qFormat/>
    <w:pPr>
      <w:ind w:left="645" w:firstLine="645"/>
    </w:pPr>
    <w:rPr>
      <w:rFonts w:ascii="Arial" w:hAnsi="Arial" w:eastAsia="仿宋_GB2312" w:cs="Times New Roman"/>
      <w:color w:val="ffff00"/>
      <w:sz w:val="32"/>
      <w:szCs w:val="32"/>
      <w:lang w:eastAsia="en-US"/>
    </w:rPr>
  </w:style>
  <w:style w:type="character" w:styleId="1114" w:customStyle="1">
    <w:name w:val="正文文本缩进 3 Char"/>
    <w:link w:val="1113"/>
    <w:uiPriority w:val="0"/>
    <w:qFormat/>
    <w:rPr>
      <w:rFonts w:ascii="Arial" w:hAnsi="Arial" w:eastAsia="仿宋_GB2312" w:cs="Times New Roman"/>
      <w:color w:val="ffff00"/>
      <w:sz w:val="32"/>
      <w:szCs w:val="32"/>
      <w:lang w:eastAsia="en-US"/>
    </w:rPr>
  </w:style>
  <w:style w:type="paragraph" w:styleId="1115" w:customStyle="1">
    <w:name w:val="图表目录1"/>
    <w:basedOn w:val="725"/>
    <w:next w:val="725"/>
    <w:uiPriority w:val="0"/>
    <w:semiHidden/>
    <w:qFormat/>
    <w:pPr>
      <w:ind w:left="840" w:hanging="420"/>
    </w:pPr>
    <w:rPr>
      <w:rFonts w:ascii="Times New Roman" w:hAnsi="Times New Roman" w:eastAsia="宋体" w:cs="Times New Roman"/>
      <w:szCs w:val="21"/>
    </w:rPr>
  </w:style>
  <w:style w:type="paragraph" w:styleId="1116" w:customStyle="1">
    <w:name w:val="目录 211"/>
    <w:basedOn w:val="725"/>
    <w:next w:val="725"/>
    <w:uiPriority w:val="0"/>
    <w:semiHidden/>
    <w:qFormat/>
    <w:pPr>
      <w:ind w:left="210"/>
      <w:jc w:val="left"/>
    </w:pPr>
    <w:rPr>
      <w:rFonts w:ascii="Times New Roman" w:hAnsi="Times New Roman" w:eastAsia="宋体" w:cs="Times New Roman"/>
      <w:smallCaps/>
      <w:szCs w:val="24"/>
    </w:rPr>
  </w:style>
  <w:style w:type="paragraph" w:styleId="1117" w:customStyle="1">
    <w:name w:val="目录 911"/>
    <w:basedOn w:val="725"/>
    <w:next w:val="725"/>
    <w:uiPriority w:val="0"/>
    <w:semiHidden/>
    <w:qFormat/>
    <w:pPr>
      <w:ind w:left="1680"/>
      <w:jc w:val="left"/>
    </w:pPr>
    <w:rPr>
      <w:rFonts w:ascii="Times New Roman" w:hAnsi="Times New Roman" w:eastAsia="宋体" w:cs="Times New Roman"/>
      <w:szCs w:val="21"/>
    </w:rPr>
  </w:style>
  <w:style w:type="paragraph" w:styleId="1118" w:customStyle="1">
    <w:name w:val="正文文本 21"/>
    <w:basedOn w:val="725"/>
    <w:link w:val="1119"/>
    <w:uiPriority w:val="0"/>
    <w:qFormat/>
    <w:pPr>
      <w:jc w:val="center"/>
      <w:widowControl/>
    </w:pPr>
    <w:rPr>
      <w:rFonts w:ascii="楷体_GB2312" w:hAnsi="Times New Roman" w:eastAsia="楷体_GB2312" w:cs="Times New Roman"/>
      <w:sz w:val="28"/>
      <w:szCs w:val="28"/>
      <w:lang w:eastAsia="en-US"/>
    </w:rPr>
  </w:style>
  <w:style w:type="character" w:styleId="1119" w:customStyle="1">
    <w:name w:val="正文文本 2 Char"/>
    <w:link w:val="1118"/>
    <w:uiPriority w:val="0"/>
    <w:qFormat/>
    <w:rPr>
      <w:rFonts w:ascii="楷体_GB2312" w:hAnsi="Times New Roman" w:eastAsia="楷体_GB2312" w:cs="Times New Roman"/>
      <w:sz w:val="28"/>
      <w:szCs w:val="28"/>
      <w:lang w:eastAsia="en-US"/>
    </w:rPr>
  </w:style>
  <w:style w:type="paragraph" w:styleId="1120" w:customStyle="1">
    <w:name w:val="普通(网站)1"/>
    <w:basedOn w:val="725"/>
    <w:uiPriority w:val="99"/>
    <w:qFormat/>
    <w:pPr>
      <w:jc w:val="left"/>
      <w:spacing w:before="100" w:beforeAutospacing="1" w:after="100" w:afterAutospacing="1"/>
      <w:widowControl/>
    </w:pPr>
    <w:rPr>
      <w:rFonts w:ascii="宋体" w:hAnsi="宋体" w:eastAsia="宋体" w:cs="宋体"/>
      <w:sz w:val="24"/>
      <w:szCs w:val="24"/>
    </w:rPr>
  </w:style>
  <w:style w:type="paragraph" w:styleId="1121" w:customStyle="1">
    <w:name w:val="索引 11"/>
    <w:basedOn w:val="725"/>
    <w:next w:val="725"/>
    <w:uiPriority w:val="0"/>
    <w:semiHidden/>
    <w:qFormat/>
    <w:pPr>
      <w:spacing w:line="240" w:lineRule="atLeast"/>
    </w:pPr>
    <w:rPr>
      <w:rFonts w:ascii="Times New Roman" w:hAnsi="Times New Roman" w:eastAsia="宋体" w:cs="Times New Roman"/>
      <w:b/>
      <w:bCs/>
      <w:szCs w:val="21"/>
    </w:rPr>
  </w:style>
  <w:style w:type="paragraph" w:styleId="1122" w:customStyle="1">
    <w:name w:val="批注主题1"/>
    <w:basedOn w:val="1085"/>
    <w:next w:val="1085"/>
    <w:link w:val="1123"/>
    <w:uiPriority w:val="0"/>
    <w:semiHidden/>
    <w:qFormat/>
    <w:rPr>
      <w:b/>
      <w:bCs/>
    </w:rPr>
  </w:style>
  <w:style w:type="character" w:styleId="1123" w:customStyle="1">
    <w:name w:val="批注主题 Char"/>
    <w:link w:val="1122"/>
    <w:uiPriority w:val="0"/>
    <w:semiHidden/>
    <w:qFormat/>
    <w:rPr>
      <w:rFonts w:ascii="Times New Roman" w:hAnsi="Times New Roman" w:eastAsia="宋体" w:cs="Times New Roman"/>
      <w:b/>
      <w:bCs/>
      <w:szCs w:val="21"/>
      <w:lang w:eastAsia="en-US"/>
    </w:rPr>
  </w:style>
  <w:style w:type="paragraph" w:styleId="1124" w:customStyle="1">
    <w:name w:val="正文首行缩进1"/>
    <w:basedOn w:val="725"/>
    <w:link w:val="1125"/>
    <w:uiPriority w:val="0"/>
    <w:qFormat/>
    <w:pPr>
      <w:ind w:firstLine="200"/>
      <w:spacing w:line="360" w:lineRule="auto"/>
    </w:pPr>
    <w:rPr>
      <w:rFonts w:ascii="仿宋_GB2312" w:hAnsi="Times New Roman" w:eastAsia="仿宋_GB2312" w:cs="Times New Roman"/>
      <w:sz w:val="30"/>
      <w:szCs w:val="30"/>
      <w:lang w:eastAsia="en-US"/>
    </w:rPr>
  </w:style>
  <w:style w:type="character" w:styleId="1125" w:customStyle="1">
    <w:name w:val="正文首行缩进 Char"/>
    <w:link w:val="1124"/>
    <w:uiPriority w:val="0"/>
    <w:qFormat/>
    <w:rPr>
      <w:rFonts w:ascii="仿宋_GB2312" w:hAnsi="Times New Roman" w:eastAsia="仿宋_GB2312" w:cs="Times New Roman"/>
      <w:sz w:val="30"/>
      <w:szCs w:val="30"/>
      <w:lang w:eastAsia="en-US"/>
    </w:rPr>
  </w:style>
  <w:style w:type="paragraph" w:styleId="1126" w:customStyle="1">
    <w:name w:val="正文首行缩进 21"/>
    <w:basedOn w:val="1091"/>
    <w:link w:val="1127"/>
    <w:uiPriority w:val="0"/>
    <w:qFormat/>
    <w:pPr>
      <w:ind w:firstLine="420"/>
      <w:spacing w:line="360" w:lineRule="auto"/>
    </w:pPr>
    <w:rPr>
      <w:rFonts w:ascii="宋体" w:hAnsi="宋体" w:eastAsia="宋体"/>
      <w:szCs w:val="20"/>
    </w:rPr>
  </w:style>
  <w:style w:type="character" w:styleId="1127" w:customStyle="1">
    <w:name w:val="正文首行缩进 2 Char"/>
    <w:link w:val="1126"/>
    <w:uiPriority w:val="0"/>
    <w:qFormat/>
    <w:rPr>
      <w:rFonts w:ascii="宋体" w:hAnsi="宋体" w:eastAsia="宋体" w:cs="Times New Roman"/>
      <w:sz w:val="32"/>
      <w:lang w:eastAsia="en-US"/>
    </w:rPr>
  </w:style>
  <w:style w:type="character" w:styleId="1128" w:customStyle="1">
    <w:name w:val="要点1"/>
    <w:uiPriority w:val="0"/>
    <w:qFormat/>
    <w:rPr>
      <w:b/>
      <w:bCs/>
    </w:rPr>
  </w:style>
  <w:style w:type="character" w:styleId="1129" w:customStyle="1">
    <w:name w:val="页码1"/>
    <w:uiPriority w:val="0"/>
    <w:qFormat/>
  </w:style>
  <w:style w:type="character" w:styleId="1130" w:customStyle="1">
    <w:name w:val="已访问的超链接1"/>
    <w:uiPriority w:val="0"/>
    <w:qFormat/>
    <w:rPr>
      <w:color w:val="800080"/>
      <w:u w:val="single"/>
    </w:rPr>
  </w:style>
  <w:style w:type="character" w:styleId="1131" w:customStyle="1">
    <w:name w:val="HTML 打字机1"/>
    <w:uiPriority w:val="99"/>
    <w:qFormat/>
    <w:rPr>
      <w:rFonts w:ascii="宋体" w:hAnsi="宋体" w:eastAsia="宋体" w:cs="宋体"/>
      <w:sz w:val="24"/>
      <w:szCs w:val="24"/>
    </w:rPr>
  </w:style>
  <w:style w:type="character" w:styleId="1132" w:customStyle="1">
    <w:name w:val="超链接1"/>
    <w:uiPriority w:val="0"/>
    <w:qFormat/>
    <w:rPr>
      <w:color w:val="0000ff"/>
      <w:u w:val="single"/>
    </w:rPr>
  </w:style>
  <w:style w:type="character" w:styleId="1133" w:customStyle="1">
    <w:name w:val="批注引用1"/>
    <w:uiPriority w:val="0"/>
    <w:semiHidden/>
    <w:qFormat/>
    <w:rPr>
      <w:rFonts w:hint="default" w:asciiTheme="minorHAnsi" w:hAnsiTheme="minorHAnsi" w:eastAsiaTheme="minorEastAsia" w:cstheme="minorBidi"/>
      <w:sz w:val="21"/>
      <w:szCs w:val="22"/>
    </w:rPr>
  </w:style>
  <w:style w:type="character" w:styleId="1134" w:customStyle="1">
    <w:name w:val="二级目录 Char"/>
    <w:link w:val="1135"/>
    <w:uiPriority w:val="0"/>
    <w:qFormat/>
    <w:rPr>
      <w:b/>
      <w:sz w:val="30"/>
      <w:szCs w:val="28"/>
    </w:rPr>
  </w:style>
  <w:style w:type="paragraph" w:styleId="1135" w:customStyle="1">
    <w:name w:val="二级目录"/>
    <w:next w:val="725"/>
    <w:link w:val="1134"/>
    <w:uiPriority w:val="0"/>
    <w:qFormat/>
    <w:pPr>
      <w:numPr>
        <w:ilvl w:val="0"/>
        <w:numId w:val="5"/>
      </w:numPr>
      <w:tabs>
        <w:tab w:val="left" w:pos="1145" w:leader="none"/>
      </w:tabs>
      <w:outlineLvl w:val="1"/>
    </w:pPr>
    <w:rPr>
      <w:rFonts w:hint="default" w:asciiTheme="minorHAnsi" w:hAnsiTheme="minorHAnsi" w:eastAsiaTheme="minorEastAsia" w:cstheme="minorBidi"/>
      <w:b/>
      <w:sz w:val="30"/>
      <w:szCs w:val="28"/>
    </w:rPr>
  </w:style>
  <w:style w:type="character" w:styleId="1136" w:customStyle="1">
    <w:name w:val="列出段落 Char"/>
    <w:link w:val="783"/>
    <w:uiPriority w:val="0"/>
    <w:qFormat/>
    <w:rPr>
      <w:rFonts w:ascii="Calibri" w:hAnsi="Calibri" w:eastAsia="宋体" w:cs="Times New Roman"/>
      <w:sz w:val="24"/>
      <w:szCs w:val="22"/>
    </w:rPr>
  </w:style>
  <w:style w:type="paragraph" w:styleId="1137" w:customStyle="1">
    <w:name w:val="Body Text(ch)"/>
    <w:basedOn w:val="725"/>
    <w:next w:val="1089"/>
    <w:uiPriority w:val="0"/>
    <w:qFormat/>
    <w:pPr>
      <w:spacing w:after="120"/>
    </w:pPr>
    <w:rPr>
      <w:rFonts w:ascii="宋体" w:hAnsi="Arial" w:eastAsia="宋体" w:cs="Times New Roman"/>
      <w:bCs/>
      <w:iCs/>
      <w:szCs w:val="24"/>
    </w:rPr>
  </w:style>
  <w:style w:type="paragraph" w:styleId="1138" w:customStyle="1">
    <w:name w:val="Char"/>
    <w:basedOn w:val="725"/>
    <w:uiPriority w:val="0"/>
    <w:qFormat/>
    <w:pPr>
      <w:ind w:firstLine="200"/>
      <w:tabs>
        <w:tab w:val="left" w:pos="360" w:leader="none"/>
      </w:tabs>
    </w:pPr>
    <w:rPr>
      <w:rFonts w:ascii="Times New Roman" w:hAnsi="Times New Roman" w:eastAsia="宋体" w:cs="Times New Roman"/>
      <w:sz w:val="28"/>
      <w:szCs w:val="30"/>
    </w:rPr>
  </w:style>
  <w:style w:type="paragraph" w:styleId="1139" w:customStyle="1">
    <w:name w:val="普通正文"/>
    <w:basedOn w:val="725"/>
    <w:uiPriority w:val="0"/>
    <w:qFormat/>
    <w:pPr>
      <w:ind w:firstLine="480"/>
      <w:jc w:val="left"/>
      <w:spacing w:before="120" w:after="120" w:line="360" w:lineRule="auto"/>
    </w:pPr>
    <w:rPr>
      <w:rFonts w:ascii="Arial" w:hAnsi="Arial" w:eastAsia="宋体" w:cs="Times New Roman"/>
      <w:sz w:val="24"/>
      <w:szCs w:val="24"/>
    </w:rPr>
  </w:style>
  <w:style w:type="paragraph" w:styleId="1140" w:customStyle="1">
    <w:name w:val="table_lines"/>
    <w:basedOn w:val="725"/>
    <w:uiPriority w:val="0"/>
    <w:qFormat/>
    <w:pPr>
      <w:jc w:val="left"/>
      <w:widowControl/>
    </w:pPr>
    <w:rPr>
      <w:rFonts w:ascii="Times New Roman" w:hAnsi="Times New Roman" w:eastAsia="宋体" w:cs="Times New Roman"/>
      <w:sz w:val="20"/>
      <w:szCs w:val="20"/>
      <w:lang w:val="de-DE" w:eastAsia="de-DE"/>
    </w:rPr>
  </w:style>
  <w:style w:type="paragraph" w:styleId="1141"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1142" w:customStyle="1">
    <w:name w:val="列出段落21"/>
    <w:basedOn w:val="725"/>
    <w:uiPriority w:val="99"/>
    <w:qFormat/>
    <w:pPr>
      <w:contextualSpacing/>
      <w:ind w:left="720"/>
      <w:jc w:val="left"/>
      <w:widowControl/>
    </w:pPr>
    <w:rPr>
      <w:rFonts w:ascii="Calibri" w:hAnsi="Calibri" w:eastAsia="宋体" w:cs="Times New Roman"/>
      <w:sz w:val="24"/>
      <w:szCs w:val="24"/>
      <w:lang w:eastAsia="en-US" w:bidi="en-US"/>
    </w:rPr>
  </w:style>
  <w:style w:type="paragraph" w:styleId="1143" w:customStyle="1">
    <w:name w:val="4"/>
    <w:basedOn w:val="725"/>
    <w:next w:val="1113"/>
    <w:uiPriority w:val="0"/>
    <w:qFormat/>
    <w:pPr>
      <w:ind w:firstLine="420"/>
      <w:spacing w:line="360" w:lineRule="auto"/>
    </w:pPr>
    <w:rPr>
      <w:rFonts w:ascii="Times New Roman" w:hAnsi="Times New Roman" w:eastAsia="宋体" w:cs="Times New Roman"/>
      <w:color w:val="ff0000"/>
      <w:sz w:val="24"/>
      <w:szCs w:val="24"/>
    </w:rPr>
  </w:style>
  <w:style w:type="paragraph" w:styleId="1144" w:customStyle="1">
    <w:name w:val="普通 (Web)"/>
    <w:basedOn w:val="725"/>
    <w:uiPriority w:val="0"/>
    <w:qFormat/>
    <w:pPr>
      <w:jc w:val="left"/>
      <w:spacing w:before="100" w:beforeAutospacing="1" w:after="100" w:afterAutospacing="1"/>
      <w:widowControl/>
    </w:pPr>
    <w:rPr>
      <w:rFonts w:ascii="宋体" w:hAnsi="宋体" w:eastAsia="宋体" w:cs="Times New Roman"/>
      <w:sz w:val="24"/>
      <w:szCs w:val="24"/>
    </w:rPr>
  </w:style>
  <w:style w:type="paragraph" w:styleId="1145" w:customStyle="1">
    <w:name w:val="Char Char Char Char Char Char Char Char Char Char"/>
    <w:basedOn w:val="725"/>
    <w:uiPriority w:val="0"/>
    <w:qFormat/>
    <w:pPr>
      <w:spacing w:line="360" w:lineRule="auto"/>
    </w:pPr>
    <w:rPr>
      <w:rFonts w:ascii="Times New Roman" w:hAnsi="Times New Roman" w:eastAsia="宋体" w:cs="Times New Roman"/>
      <w:sz w:val="24"/>
      <w:szCs w:val="20"/>
    </w:rPr>
  </w:style>
  <w:style w:type="paragraph" w:styleId="1146" w:customStyle="1">
    <w:name w:val="样式1"/>
    <w:basedOn w:val="725"/>
    <w:uiPriority w:val="0"/>
    <w:qFormat/>
    <w:pPr>
      <w:numPr>
        <w:ilvl w:val="0"/>
        <w:numId w:val="6"/>
      </w:numPr>
    </w:pPr>
    <w:rPr>
      <w:rFonts w:ascii="宋体" w:hAnsi="宋体" w:eastAsia="宋体" w:cs="Times New Roman"/>
      <w:szCs w:val="21"/>
    </w:rPr>
  </w:style>
  <w:style w:type="paragraph" w:styleId="1147" w:customStyle="1">
    <w:name w:val="图标"/>
    <w:basedOn w:val="725"/>
    <w:next w:val="725"/>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48" w:customStyle="1">
    <w:name w:val="标题3"/>
    <w:basedOn w:val="725"/>
    <w:next w:val="725"/>
    <w:uiPriority w:val="0"/>
    <w:qFormat/>
    <w:pPr>
      <w:ind w:firstLine="624"/>
      <w:spacing w:line="590" w:lineRule="atLeast"/>
    </w:pPr>
    <w:rPr>
      <w:rFonts w:ascii="方正黑体_GBK" w:hAnsi="Times New Roman" w:eastAsia="方正黑体_GBK" w:cs="Times New Roman"/>
      <w:sz w:val="32"/>
      <w:szCs w:val="32"/>
    </w:rPr>
  </w:style>
  <w:style w:type="paragraph" w:styleId="1149" w:customStyle="1">
    <w:name w:val="Char Char Char Char Char Char Char Char"/>
    <w:basedOn w:val="725"/>
    <w:uiPriority w:val="0"/>
    <w:qFormat/>
    <w:pPr>
      <w:jc w:val="left"/>
      <w:spacing w:after="160" w:line="240" w:lineRule="exact"/>
      <w:widowControl/>
    </w:pPr>
    <w:rPr>
      <w:rFonts w:ascii="Verdana" w:hAnsi="Verdana" w:eastAsia="宋体" w:cs="Times New Roman"/>
      <w:sz w:val="20"/>
      <w:szCs w:val="20"/>
      <w:lang w:eastAsia="en-US"/>
    </w:rPr>
  </w:style>
  <w:style w:type="paragraph" w:styleId="1150" w:customStyle="1">
    <w:name w:val="table_1stline"/>
    <w:basedOn w:val="725"/>
    <w:uiPriority w:val="0"/>
    <w:qFormat/>
    <w:pPr>
      <w:jc w:val="left"/>
      <w:spacing w:before="120"/>
      <w:widowControl/>
    </w:pPr>
    <w:rPr>
      <w:rFonts w:ascii="Times New Roman" w:hAnsi="Times New Roman" w:eastAsia="宋体" w:cs="Times New Roman"/>
      <w:bCs/>
      <w:sz w:val="20"/>
      <w:szCs w:val="20"/>
      <w:lang w:val="de-DE" w:eastAsia="de-DE"/>
    </w:rPr>
  </w:style>
  <w:style w:type="paragraph" w:styleId="1151" w:customStyle="1">
    <w:name w:val="标题1"/>
    <w:basedOn w:val="725"/>
    <w:next w:val="725"/>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52" w:customStyle="1">
    <w:name w:val="修订2"/>
    <w:uiPriority w:val="99"/>
    <w:semiHidden/>
    <w:qFormat/>
    <w:rPr>
      <w:rFonts w:hint="default" w:ascii="Times New Roman" w:hAnsi="Times New Roman" w:eastAsia="宋体" w:cs="Times New Roman"/>
      <w:sz w:val="21"/>
      <w:szCs w:val="21"/>
    </w:rPr>
  </w:style>
  <w:style w:type="paragraph" w:styleId="1153" w:customStyle="1">
    <w:name w:val="无间隔1"/>
    <w:uiPriority w:val="99"/>
    <w:qFormat/>
    <w:pPr>
      <w:jc w:val="both"/>
      <w:widowControl w:val="off"/>
    </w:pPr>
    <w:rPr>
      <w:rFonts w:hint="default" w:ascii="Times New Roman" w:hAnsi="Times New Roman" w:eastAsia="宋体" w:cs="Times New Roman"/>
      <w:sz w:val="21"/>
      <w:szCs w:val="21"/>
    </w:rPr>
  </w:style>
  <w:style w:type="paragraph" w:styleId="1154" w:customStyle="1">
    <w:name w:val="目录 111"/>
    <w:basedOn w:val="725"/>
    <w:next w:val="725"/>
    <w:uiPriority w:val="39"/>
    <w:unhideWhenUsed/>
    <w:qFormat/>
    <w:pPr>
      <w:jc w:val="left"/>
      <w:spacing w:after="100" w:line="259" w:lineRule="auto"/>
      <w:widowControl/>
    </w:pPr>
    <w:rPr>
      <w:rFonts w:ascii="Calibri" w:hAnsi="Calibri" w:eastAsia="宋体" w:cs="Times New Roman"/>
      <w:sz w:val="22"/>
    </w:rPr>
  </w:style>
  <w:style w:type="table" w:styleId="1155" w:customStyle="1">
    <w:name w:val="网格型5"/>
    <w:basedOn w:val="73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56" w:customStyle="1">
    <w:name w:val="a0"/>
    <w:basedOn w:val="725"/>
    <w:uiPriority w:val="0"/>
    <w:qFormat/>
    <w:pPr>
      <w:jc w:val="left"/>
      <w:spacing w:before="100" w:beforeAutospacing="1" w:after="100" w:afterAutospacing="1"/>
      <w:widowControl/>
    </w:pPr>
    <w:rPr>
      <w:rFonts w:ascii="宋体" w:hAnsi="宋体" w:cs="宋体"/>
    </w:rPr>
  </w:style>
  <w:style w:type="character" w:styleId="1157" w:customStyle="1">
    <w:name w:val="NormalCharacter"/>
    <w:uiPriority w:val="0"/>
    <w:qFormat/>
  </w:style>
  <w:style w:type="paragraph" w:styleId="1158" w:customStyle="1">
    <w:name w:val="_Style 1"/>
    <w:basedOn w:val="725"/>
    <w:uiPriority w:val="34"/>
    <w:qFormat/>
    <w:pPr>
      <w:ind w:firstLine="420"/>
    </w:pPr>
    <w:rPr>
      <w:rFonts w:ascii="Calibri" w:hAnsi="Calibri"/>
    </w:rPr>
  </w:style>
  <w:style w:type="paragraph" w:styleId="1159" w:customStyle="1">
    <w:name w:val="UserStyle_0"/>
    <w:basedOn w:val="725"/>
    <w:uiPriority w:val="0"/>
    <w:qFormat/>
    <w:pPr>
      <w:ind w:left="420" w:firstLine="420"/>
      <w:spacing w:after="120"/>
      <w:widowControl/>
    </w:pPr>
    <w:rPr>
      <w:rFonts w:ascii="Times New Roman" w:hAnsi="Times New Roman"/>
      <w:szCs w:val="20"/>
    </w:rPr>
  </w:style>
  <w:style w:type="paragraph" w:styleId="1160" w:customStyle="1">
    <w:name w:val="UserStyle_87"/>
    <w:basedOn w:val="725"/>
    <w:uiPriority w:val="0"/>
    <w:qFormat/>
    <w:pPr>
      <w:ind w:firstLine="420"/>
      <w:widowControl/>
    </w:pPr>
  </w:style>
  <w:style w:type="character" w:styleId="1161" w:customStyle="1">
    <w:name w:val="UserStyle_88"/>
    <w:uiPriority w:val="0"/>
    <w:qFormat/>
  </w:style>
  <w:style w:type="paragraph" w:styleId="1162" w:customStyle="1">
    <w:name w:val="BodyText1I2"/>
    <w:basedOn w:val="725"/>
    <w:uiPriority w:val="0"/>
    <w:qFormat/>
    <w:pPr>
      <w:ind w:left="420" w:firstLine="420"/>
      <w:spacing w:after="120"/>
    </w:pPr>
    <w:rPr>
      <w:rFonts w:ascii="Times New Roman" w:hAnsi="Times New Roman"/>
      <w:szCs w:val="20"/>
    </w:rPr>
  </w:style>
  <w:style w:type="paragraph" w:styleId="1163" w:customStyle="1">
    <w:name w:val="msolistparagraph"/>
    <w:basedOn w:val="725"/>
    <w:uiPriority w:val="0"/>
    <w:qFormat/>
    <w:pPr>
      <w:ind w:firstLine="420"/>
    </w:pPr>
    <w:rPr>
      <w:rFonts w:ascii="Calibri" w:hAnsi="Calibri" w:eastAsia="宋体" w:cs="Times New Roman"/>
      <w:szCs w:val="24"/>
    </w:rPr>
  </w:style>
  <w:style w:type="paragraph" w:styleId="1164" w:customStyle="1">
    <w:name w:val="样式3"/>
    <w:basedOn w:val="750"/>
    <w:uiPriority w:val="0"/>
    <w:qFormat/>
    <w:pPr>
      <w:ind w:firstLine="499"/>
      <w:jc w:val="left"/>
      <w:keepLines/>
      <w:spacing w:before="120" w:after="120"/>
      <w:widowControl/>
      <w:tabs>
        <w:tab w:val="left" w:pos="360" w:leader="none"/>
      </w:tabs>
    </w:pPr>
    <w:rPr>
      <w:rFonts w:ascii="Arial" w:hAnsi="宋体"/>
      <w:b/>
      <w:bCs/>
      <w:color w:val="000000"/>
      <w:sz w:val="24"/>
      <w:szCs w:val="24"/>
    </w:rPr>
  </w:style>
  <w:style w:type="numbering" w:styleId="1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wmf"/><Relationship Id="rId14" Type="http://schemas.openxmlformats.org/officeDocument/2006/relationships/oleObject" Target="embeddings/oleObject1.bin"/><Relationship Id="rId15" Type="http://schemas.openxmlformats.org/officeDocument/2006/relationships/image" Target="media/image2.wmf"/><Relationship Id="rId16" Type="http://schemas.openxmlformats.org/officeDocument/2006/relationships/oleObject" Target="embeddings/oleObject2.bin"/><Relationship Id="rId17" Type="http://schemas.openxmlformats.org/officeDocument/2006/relationships/image" Target="media/image3.wmf"/><Relationship Id="rId18" Type="http://schemas.openxmlformats.org/officeDocument/2006/relationships/oleObject" Target="embeddings/oleObject3.bin"/><Relationship Id="rId19" Type="http://schemas.openxmlformats.org/officeDocument/2006/relationships/image" Target="media/image4.wmf"/><Relationship Id="rId20" Type="http://schemas.openxmlformats.org/officeDocument/2006/relationships/oleObject" Target="embeddings/oleObject4.bin"/><Relationship Id="rId21" Type="http://schemas.openxmlformats.org/officeDocument/2006/relationships/image" Target="media/image5.wmf"/><Relationship Id="rId22" Type="http://schemas.openxmlformats.org/officeDocument/2006/relationships/oleObject" Target="embeddings/oleObject5.bin"/><Relationship Id="rId23" Type="http://schemas.openxmlformats.org/officeDocument/2006/relationships/image" Target="media/image6.wmf"/><Relationship Id="rId24" Type="http://schemas.openxmlformats.org/officeDocument/2006/relationships/oleObject" Target="embeddings/oleObject6.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黄炜</dc:creator>
  <cp:lastModifiedBy>许丽萍</cp:lastModifiedBy>
  <cp:revision>7</cp:revision>
  <dcterms:created xsi:type="dcterms:W3CDTF">2024-10-30T10:04:00Z</dcterms:created>
  <dcterms:modified xsi:type="dcterms:W3CDTF">2025-09-23T08:38:25Z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DA51D0DDE62D43279C3A5C1514E937E3_13</vt:lpwstr>
  </property>
  <property fmtid="{D5CDD505-2E9C-101B-9397-08002B2CF9AE}" pid="4" name="KSOTemplateDocerSaveRecord">
    <vt:lpwstr>eyJoZGlkIjoiOWQ4ZDVkODY4ZGIxNmFhN2NhMzc3ZTdmNTkyNmNlODciLCJ1c2VySWQiOiI1NjE1OTU0OTYifQ==</vt:lpwstr>
  </property>
</Properties>
</file>