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1"/>
        <w:spacing w:before="120" w:beforeAutospacing="0" w:after="120" w:afterAutospacing="0" w:line="360" w:lineRule="auto"/>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120" w:beforeAutospacing="0" w:after="120" w:afterAutospacing="0" w:line="360" w:lineRule="auto"/>
        <w:rPr>
          <w:rFonts w:hint="eastAsia" w:ascii="宋体" w:hAnsi="宋体" w:eastAsia="宋体" w:cs="宋体"/>
          <w:sz w:val="22"/>
          <w:szCs w:val="22"/>
        </w:rPr>
      </w:pPr>
      <w:r>
        <w:rPr>
          <w:rFonts w:hint="eastAsia" w:ascii="宋体" w:hAnsi="宋体" w:eastAsia="宋体" w:cs="宋体"/>
          <w:b/>
          <w:color w:val="000000"/>
          <w:sz w:val="96"/>
          <w:szCs w:val="96"/>
        </w:rPr>
        <w:t xml:space="preserve">招 标 文 件</w:t>
      </w:r>
      <w:r/>
    </w:p>
    <w:p>
      <w:pPr>
        <w:pStyle w:val="711"/>
        <w:spacing w:before="120" w:beforeAutospacing="0" w:after="120" w:afterAutospacing="0" w:line="360" w:lineRule="auto"/>
        <w:rPr>
          <w:rFonts w:hint="eastAsia" w:ascii="宋体" w:hAnsi="宋体" w:eastAsia="宋体" w:cs="宋体"/>
          <w:b/>
          <w:color w:val="000000"/>
          <w:sz w:val="28"/>
          <w:szCs w:val="28"/>
        </w:rPr>
      </w:pPr>
      <w:r/>
      <w:bookmarkStart w:id="217" w:name="_GoBack"/>
      <w:r/>
      <w:bookmarkEnd w:id="217"/>
      <w:r/>
      <w:r/>
    </w:p>
    <w:p>
      <w:pPr>
        <w:pStyle w:val="711"/>
        <w:spacing w:before="120" w:beforeAutospacing="0" w:after="120" w:afterAutospacing="0"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11"/>
        <w:spacing w:before="120" w:beforeAutospacing="0" w:after="120" w:afterAutospacing="0"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11"/>
        <w:ind w:left="1405" w:hanging="1606"/>
        <w:spacing w:before="120" w:beforeAutospacing="0" w:after="120" w:afterAutospacing="0" w:line="360" w:lineRule="auto"/>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rPr>
        <w:t xml:space="preserve">项目名称：</w:t>
      </w:r>
      <w:r>
        <w:rPr>
          <w:rFonts w:hint="eastAsia" w:ascii="宋体" w:hAnsi="宋体" w:eastAsia="宋体" w:cs="宋体"/>
          <w:b/>
          <w:color w:val="000000"/>
          <w:sz w:val="32"/>
          <w:szCs w:val="32"/>
          <w:lang w:eastAsia="zh-CN"/>
        </w:rPr>
        <w:t xml:space="preserve">亭湖区数字化医共体“十张网”（十大中心）信息化建设二期项目</w:t>
      </w:r>
      <w:r/>
    </w:p>
    <w:p>
      <w:pPr>
        <w:pStyle w:val="711"/>
        <w:jc w:val="both"/>
        <w:spacing w:beforeAutospacing="0" w:afterAutospacing="0"/>
        <w:rPr>
          <w:rFonts w:hint="eastAsia" w:ascii="宋体" w:hAnsi="宋体" w:eastAsia="宋体" w:cs="宋体"/>
          <w:sz w:val="24"/>
          <w:szCs w:val="24"/>
          <w:lang w:eastAsia="zh-CN"/>
        </w:rPr>
      </w:pPr>
      <w:r>
        <w:rPr>
          <w:rFonts w:hint="eastAsia" w:ascii="宋体" w:hAnsi="宋体" w:eastAsia="宋体" w:cs="宋体"/>
          <w:b/>
          <w:color w:val="000000"/>
          <w:sz w:val="32"/>
          <w:szCs w:val="32"/>
        </w:rPr>
        <w:t xml:space="preserve">项目编号：JSZC-320902-JZCG-G2024-0028</w:t>
      </w:r>
      <w:r>
        <w:rPr>
          <w:rFonts w:hint="eastAsia" w:ascii="宋体" w:hAnsi="宋体" w:eastAsia="宋体" w:cs="宋体"/>
          <w:b/>
          <w:color w:val="000000"/>
          <w:sz w:val="32"/>
          <w:szCs w:val="32"/>
          <w:lang w:val="en-US" w:eastAsia="zh-CN"/>
        </w:rPr>
        <w:t xml:space="preserve"> </w:t>
      </w:r>
      <w:r/>
    </w:p>
    <w:p>
      <w:pPr>
        <w:pStyle w:val="711"/>
        <w:spacing w:beforeAutospacing="0" w:afterAutospacing="0" w:line="360" w:lineRule="auto"/>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spacing w:beforeAutospacing="0" w:afterAutospacing="0" w:line="360" w:lineRule="auto"/>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spacing w:beforeAutospacing="0" w:afterAutospacing="0" w:line="360" w:lineRule="auto"/>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spacing w:beforeAutospacing="0" w:afterAutospacing="0" w:line="360" w:lineRule="auto"/>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spacing w:beforeAutospacing="0" w:afterAutospacing="0" w:line="360" w:lineRule="auto"/>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spacing w:beforeAutospacing="0" w:afterAutospacing="0" w:line="360" w:lineRule="auto"/>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spacing w:beforeAutospacing="0" w:afterAutospacing="0" w:line="360" w:lineRule="auto"/>
        <w:rPr>
          <w:rFonts w:hint="eastAsia" w:ascii="宋体" w:hAnsi="宋体" w:eastAsia="宋体" w:cs="宋体"/>
          <w:sz w:val="22"/>
          <w:szCs w:val="22"/>
        </w:rPr>
      </w:pPr>
      <w:r>
        <w:rPr>
          <w:rFonts w:hint="eastAsia" w:ascii="宋体" w:hAnsi="宋体" w:eastAsia="宋体" w:cs="宋体"/>
          <w:sz w:val="22"/>
          <w:szCs w:val="22"/>
        </w:rPr>
      </w:r>
      <w:r/>
    </w:p>
    <w:p>
      <w:pPr>
        <w:pStyle w:val="711"/>
        <w:spacing w:beforeAutospacing="0" w:afterAutospacing="0" w:line="360" w:lineRule="auto"/>
        <w:rPr>
          <w:rFonts w:hint="eastAsia" w:ascii="宋体" w:hAnsi="宋体" w:eastAsia="宋体" w:cs="宋体"/>
          <w:sz w:val="22"/>
          <w:szCs w:val="22"/>
        </w:rPr>
      </w:pPr>
      <w:r>
        <w:rPr>
          <w:rFonts w:hint="eastAsia" w:ascii="宋体" w:hAnsi="宋体" w:eastAsia="宋体" w:cs="宋体"/>
          <w:sz w:val="22"/>
          <w:szCs w:val="22"/>
        </w:rPr>
      </w:r>
      <w:r/>
    </w:p>
    <w:p>
      <w:pPr>
        <w:pStyle w:val="711"/>
        <w:spacing w:beforeAutospacing="0" w:afterAutospacing="0" w:line="360" w:lineRule="auto"/>
        <w:rPr>
          <w:rFonts w:hint="eastAsia" w:ascii="宋体" w:hAnsi="宋体" w:eastAsia="宋体" w:cs="宋体"/>
          <w:sz w:val="22"/>
          <w:szCs w:val="22"/>
        </w:rPr>
      </w:pPr>
      <w:r>
        <w:rPr>
          <w:rFonts w:hint="eastAsia" w:ascii="宋体" w:hAnsi="宋体" w:eastAsia="宋体" w:cs="宋体"/>
          <w:sz w:val="22"/>
          <w:szCs w:val="22"/>
        </w:rPr>
      </w:r>
      <w:r/>
    </w:p>
    <w:p>
      <w:pPr>
        <w:pStyle w:val="711"/>
        <w:spacing w:beforeAutospacing="0" w:afterAutospacing="0" w:line="360" w:lineRule="auto"/>
        <w:rPr>
          <w:rFonts w:hint="eastAsia" w:ascii="宋体" w:hAnsi="宋体" w:eastAsia="宋体" w:cs="宋体"/>
          <w:sz w:val="22"/>
          <w:szCs w:val="22"/>
        </w:rPr>
      </w:pPr>
      <w:r>
        <w:rPr>
          <w:rFonts w:hint="eastAsia" w:ascii="宋体" w:hAnsi="宋体" w:eastAsia="宋体" w:cs="宋体"/>
          <w:sz w:val="22"/>
          <w:szCs w:val="22"/>
        </w:rPr>
      </w:r>
      <w:r/>
    </w:p>
    <w:p>
      <w:pPr>
        <w:pStyle w:val="711"/>
        <w:spacing w:beforeAutospacing="0" w:afterAutospacing="0" w:line="360" w:lineRule="auto"/>
        <w:rPr>
          <w:rFonts w:hint="eastAsia" w:ascii="宋体" w:hAnsi="宋体" w:eastAsia="宋体" w:cs="宋体"/>
          <w:sz w:val="22"/>
          <w:szCs w:val="22"/>
        </w:rPr>
      </w:pPr>
      <w:r>
        <w:rPr>
          <w:rFonts w:hint="eastAsia" w:ascii="宋体" w:hAnsi="宋体" w:eastAsia="宋体" w:cs="宋体"/>
          <w:sz w:val="22"/>
          <w:szCs w:val="22"/>
        </w:rPr>
      </w:r>
      <w:r/>
    </w:p>
    <w:p>
      <w:pPr>
        <w:pStyle w:val="711"/>
        <w:spacing w:beforeAutospacing="0" w:afterAutospacing="0" w:line="360" w:lineRule="auto"/>
        <w:rPr>
          <w:rFonts w:hint="eastAsia" w:ascii="宋体" w:hAnsi="宋体" w:eastAsia="宋体" w:cs="宋体"/>
          <w:sz w:val="22"/>
          <w:szCs w:val="22"/>
        </w:rPr>
      </w:pPr>
      <w:r>
        <w:rPr>
          <w:rFonts w:hint="eastAsia" w:ascii="宋体" w:hAnsi="宋体" w:eastAsia="宋体" w:cs="宋体"/>
          <w:sz w:val="22"/>
          <w:szCs w:val="22"/>
        </w:rPr>
        <w:t xml:space="preserve"> </w:t>
      </w:r>
      <w:r/>
    </w:p>
    <w:p>
      <w:pPr>
        <w:jc w:val="center"/>
        <w:rPr>
          <w:rFonts w:hint="eastAsia" w:ascii="宋体" w:hAnsi="宋体" w:eastAsia="宋体" w:cs="宋体"/>
          <w:b/>
          <w:bCs/>
          <w:sz w:val="32"/>
          <w:szCs w:val="32"/>
          <w:highlight w:val="none"/>
          <w:lang w:eastAsia="zh-CN"/>
        </w:rPr>
      </w:pPr>
      <w:r>
        <w:rPr>
          <w:rFonts w:hint="eastAsia" w:ascii="宋体" w:hAnsi="宋体" w:eastAsia="宋体" w:cs="宋体"/>
          <w:b/>
          <w:bCs/>
          <w:sz w:val="32"/>
          <w:szCs w:val="32"/>
          <w:lang w:eastAsia="zh-CN"/>
        </w:rPr>
        <w:t xml:space="preserve">盐城市亭湖区卫生健康委员会</w:t>
      </w:r>
      <w:r/>
    </w:p>
    <w:p>
      <w:pPr>
        <w:pStyle w:val="711"/>
        <w:ind w:firstLine="3092"/>
        <w:jc w:val="both"/>
        <w:spacing w:before="120" w:beforeAutospacing="0" w:after="120" w:afterAutospacing="0" w:line="360" w:lineRule="auto"/>
        <w:rPr>
          <w:rFonts w:hint="eastAsia" w:ascii="宋体" w:hAnsi="宋体" w:eastAsia="宋体" w:cs="宋体"/>
          <w:sz w:val="22"/>
          <w:szCs w:val="22"/>
        </w:rPr>
      </w:pPr>
      <w:r>
        <w:rPr>
          <w:rFonts w:hint="eastAsia" w:ascii="宋体" w:hAnsi="宋体" w:eastAsia="宋体" w:cs="宋体"/>
          <w:b/>
          <w:color w:val="000000"/>
          <w:sz w:val="28"/>
          <w:szCs w:val="28"/>
        </w:rPr>
        <w:t xml:space="preserve">202</w:t>
      </w:r>
      <w:r>
        <w:rPr>
          <w:rFonts w:hint="eastAsia" w:ascii="宋体" w:hAnsi="宋体" w:eastAsia="宋体" w:cs="宋体"/>
          <w:b/>
          <w:color w:val="000000"/>
          <w:sz w:val="28"/>
          <w:szCs w:val="28"/>
          <w:lang w:val="en-US" w:eastAsia="zh-CN"/>
        </w:rPr>
        <w:t xml:space="preserve">4</w:t>
      </w:r>
      <w:r>
        <w:rPr>
          <w:rFonts w:hint="eastAsia" w:ascii="宋体" w:hAnsi="宋体" w:eastAsia="宋体" w:cs="宋体"/>
          <w:b/>
          <w:color w:val="000000"/>
          <w:sz w:val="28"/>
          <w:szCs w:val="28"/>
        </w:rPr>
        <w:t xml:space="preserve">年</w:t>
      </w:r>
      <w:r>
        <w:rPr>
          <w:rFonts w:hint="eastAsia" w:ascii="宋体" w:hAnsi="宋体" w:eastAsia="宋体" w:cs="宋体"/>
          <w:b/>
          <w:color w:val="000000"/>
          <w:sz w:val="28"/>
          <w:szCs w:val="28"/>
          <w:lang w:val="en-US" w:eastAsia="zh-CN"/>
        </w:rPr>
        <w:t xml:space="preserve">1</w:t>
      </w:r>
      <w:r>
        <w:rPr>
          <w:rFonts w:hint="eastAsia" w:ascii="宋体" w:hAnsi="宋体" w:eastAsia="宋体" w:cs="宋体"/>
          <w:b/>
          <w:color w:val="000000"/>
          <w:sz w:val="28"/>
          <w:szCs w:val="28"/>
        </w:rPr>
        <w:t xml:space="preserve">2月11</w:t>
      </w:r>
      <w:r>
        <w:rPr>
          <w:rFonts w:hint="eastAsia" w:ascii="宋体" w:hAnsi="宋体" w:eastAsia="宋体" w:cs="宋体"/>
          <w:b/>
          <w:color w:val="000000"/>
          <w:sz w:val="28"/>
          <w:szCs w:val="28"/>
          <w:lang w:val="en-US" w:eastAsia="zh-CN"/>
        </w:rPr>
        <w:t xml:space="preserve">日</w:t>
      </w:r>
      <w:r/>
    </w:p>
    <w:p>
      <w:pPr>
        <w:pStyle w:val="711"/>
        <w:jc w:val="center"/>
        <w:spacing w:before="120" w:beforeAutospacing="0" w:after="120" w:afterAutospacing="0" w:line="360" w:lineRule="auto"/>
        <w:rPr>
          <w:rFonts w:hint="eastAsia" w:ascii="宋体" w:hAnsi="宋体" w:eastAsia="宋体" w:cs="宋体"/>
          <w:color w:val="000000"/>
          <w:sz w:val="20"/>
          <w:szCs w:val="20"/>
        </w:rPr>
      </w:pPr>
      <w:r>
        <w:rPr>
          <w:rFonts w:hint="eastAsia" w:ascii="宋体" w:hAnsi="宋体" w:eastAsia="宋体" w:cs="宋体"/>
          <w:color w:val="000000"/>
          <w:sz w:val="20"/>
          <w:szCs w:val="20"/>
        </w:rPr>
      </w:r>
      <w:r/>
    </w:p>
    <w:p>
      <w:pPr>
        <w:pStyle w:val="711"/>
        <w:jc w:val="center"/>
        <w:spacing w:before="120" w:beforeAutospacing="0" w:after="120" w:afterAutospacing="0" w:line="360" w:lineRule="auto"/>
        <w:rPr>
          <w:rFonts w:hint="eastAsia" w:ascii="宋体" w:hAnsi="宋体" w:eastAsia="宋体" w:cs="宋体"/>
          <w:color w:val="000000"/>
          <w:sz w:val="20"/>
          <w:szCs w:val="20"/>
          <w:highlight w:val="none"/>
        </w:rPr>
      </w:pPr>
      <w:r>
        <w:rPr>
          <w:rFonts w:hint="eastAsia" w:ascii="宋体" w:hAnsi="宋体" w:eastAsia="宋体" w:cs="宋体"/>
          <w:sz w:val="22"/>
          <w:szCs w:val="22"/>
        </w:rPr>
        <w:t xml:space="preserve"> </w:t>
      </w:r>
      <w:r>
        <w:rPr>
          <w:rFonts w:hint="eastAsia" w:ascii="宋体" w:hAnsi="宋体" w:eastAsia="宋体" w:cs="宋体"/>
          <w:color w:val="000000"/>
          <w:sz w:val="20"/>
          <w:szCs w:val="20"/>
        </w:rPr>
        <w:t xml:space="preserve"> </w:t>
      </w:r>
      <w:bookmarkStart w:id="0" w:name="_Toc479757206"/>
      <w:r/>
      <w:bookmarkStart w:id="1" w:name="_Toc513029200"/>
      <w:r/>
      <w:bookmarkStart w:id="2" w:name="_Toc20823272"/>
      <w:r/>
      <w:bookmarkStart w:id="3" w:name="_Toc120614210"/>
      <w:r/>
      <w:bookmarkStart w:id="4" w:name="_Toc16938516"/>
      <w:r/>
      <w:bookmarkStart w:id="5" w:name="_Toc523127445"/>
      <w:r>
        <w:rPr>
          <w:rFonts w:hint="eastAsia" w:ascii="宋体" w:hAnsi="宋体" w:eastAsia="宋体" w:cs="宋体"/>
          <w:color w:val="000000"/>
          <w:sz w:val="20"/>
          <w:szCs w:val="20"/>
        </w:rPr>
        <w:t xml:space="preserve"> </w:t>
      </w:r>
      <w:r/>
    </w:p>
    <w:p>
      <w:pPr>
        <w:pStyle w:val="711"/>
        <w:jc w:val="center"/>
        <w:spacing w:before="120" w:beforeAutospacing="0" w:after="120" w:afterAutospacing="0" w:line="360" w:lineRule="auto"/>
        <w:rPr>
          <w:rFonts w:hint="eastAsia" w:ascii="宋体" w:hAnsi="宋体" w:eastAsia="宋体" w:cs="宋体"/>
          <w:b/>
          <w:color w:val="000000"/>
          <w:sz w:val="40"/>
          <w:szCs w:val="4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40"/>
          <w:szCs w:val="40"/>
        </w:rPr>
      </w:r>
      <w:r/>
    </w:p>
    <w:p>
      <w:pPr>
        <w:pStyle w:val="711"/>
        <w:jc w:val="center"/>
        <w:spacing w:before="120" w:beforeAutospacing="0" w:after="120" w:afterAutospacing="0" w:line="360" w:lineRule="auto"/>
        <w:rPr>
          <w:rFonts w:hint="eastAsia" w:ascii="宋体" w:hAnsi="宋体" w:eastAsia="宋体" w:cs="宋体"/>
          <w:sz w:val="22"/>
          <w:szCs w:val="22"/>
        </w:rPr>
      </w:pPr>
      <w:r>
        <w:rPr>
          <w:rFonts w:hint="eastAsia" w:ascii="宋体" w:hAnsi="宋体" w:eastAsia="宋体" w:cs="宋体"/>
          <w:b/>
          <w:color w:val="000000"/>
          <w:sz w:val="40"/>
          <w:szCs w:val="40"/>
        </w:rPr>
        <w:t xml:space="preserve">总  目  录</w:t>
      </w:r>
      <w:bookmarkEnd w:id="0"/>
      <w:r/>
      <w:bookmarkEnd w:id="1"/>
      <w:r/>
      <w:bookmarkEnd w:id="2"/>
      <w:r/>
      <w:bookmarkEnd w:id="3"/>
      <w:r/>
      <w:bookmarkEnd w:id="4"/>
      <w:r/>
      <w:bookmarkEnd w:id="5"/>
      <w:r/>
      <w:r/>
    </w:p>
    <w:p>
      <w:pPr>
        <w:pStyle w:val="711"/>
        <w:jc w:val="both"/>
        <w:spacing w:beforeAutospacing="0" w:afterAutospacing="0" w:line="480" w:lineRule="auto"/>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ind w:left="2160" w:hanging="1440"/>
        <w:jc w:val="both"/>
        <w:spacing w:beforeAutospacing="0" w:afterAutospacing="0" w:line="480" w:lineRule="auto"/>
        <w:tabs>
          <w:tab w:val="left" w:pos="1441" w:leader="none"/>
        </w:tabs>
        <w:rPr>
          <w:rFonts w:hint="eastAsia" w:ascii="宋体" w:hAnsi="宋体" w:eastAsia="宋体" w:cs="宋体"/>
          <w:sz w:val="22"/>
          <w:szCs w:val="22"/>
          <w:lang w:val="en-US" w:eastAsia="zh-CN"/>
        </w:rPr>
      </w:pPr>
      <w:r>
        <w:rPr>
          <w:rFonts w:hint="eastAsia" w:ascii="宋体" w:hAnsi="宋体" w:eastAsia="宋体" w:cs="宋体"/>
          <w:color w:val="000000"/>
          <w:sz w:val="32"/>
          <w:szCs w:val="32"/>
          <w:lang w:val="en-US" w:eastAsia="zh-CN"/>
        </w:rPr>
        <w:t xml:space="preserve">招标公告</w:t>
      </w:r>
      <w:r>
        <w:rPr>
          <w:rFonts w:hint="eastAsia" w:ascii="宋体" w:hAnsi="宋体" w:eastAsia="宋体" w:cs="宋体"/>
          <w:color w:val="000000"/>
          <w:sz w:val="32"/>
          <w:szCs w:val="32"/>
        </w:rPr>
        <w:t xml:space="preserve">…………………………………… </w:t>
      </w:r>
      <w:r>
        <w:rPr>
          <w:rFonts w:hint="eastAsia" w:ascii="宋体" w:hAnsi="宋体" w:eastAsia="宋体" w:cs="宋体"/>
          <w:color w:val="000000"/>
          <w:sz w:val="32"/>
          <w:szCs w:val="32"/>
          <w:lang w:val="en-US" w:eastAsia="zh-CN"/>
        </w:rPr>
        <w:t xml:space="preserve">2</w:t>
      </w:r>
      <w:r/>
    </w:p>
    <w:p>
      <w:pPr>
        <w:pStyle w:val="711"/>
        <w:ind w:left="2160" w:hanging="1440"/>
        <w:jc w:val="both"/>
        <w:spacing w:beforeAutospacing="0" w:afterAutospacing="0" w:line="480" w:lineRule="auto"/>
        <w:tabs>
          <w:tab w:val="left" w:pos="1441" w:leader="none"/>
        </w:tabs>
        <w:rPr>
          <w:rFonts w:hint="eastAsia" w:ascii="宋体" w:hAnsi="宋体" w:eastAsia="宋体" w:cs="宋体"/>
          <w:sz w:val="22"/>
          <w:szCs w:val="22"/>
        </w:rPr>
      </w:pPr>
      <w:r>
        <w:rPr>
          <w:rFonts w:hint="eastAsia" w:ascii="宋体" w:hAnsi="宋体" w:eastAsia="宋体" w:cs="宋体"/>
          <w:color w:val="000000"/>
          <w:sz w:val="32"/>
          <w:szCs w:val="32"/>
        </w:rPr>
        <w:t xml:space="preserve">投标人须知…………………………………</w:t>
      </w:r>
      <w:r>
        <w:rPr>
          <w:rFonts w:hint="eastAsia" w:ascii="宋体" w:hAnsi="宋体" w:eastAsia="宋体" w:cs="宋体"/>
          <w:color w:val="000000"/>
          <w:sz w:val="32"/>
          <w:szCs w:val="32"/>
          <w:lang w:val="en-US" w:eastAsia="zh-CN"/>
        </w:rPr>
        <w:t xml:space="preserve"> 5</w:t>
      </w:r>
      <w:r>
        <w:rPr>
          <w:rFonts w:hint="eastAsia" w:ascii="宋体" w:hAnsi="宋体" w:eastAsia="宋体" w:cs="宋体"/>
          <w:color w:val="000000"/>
          <w:sz w:val="32"/>
          <w:szCs w:val="32"/>
        </w:rPr>
        <w:t xml:space="preserve"> </w:t>
      </w:r>
      <w:r/>
    </w:p>
    <w:p>
      <w:pPr>
        <w:pStyle w:val="711"/>
        <w:ind w:left="2160" w:hanging="1440"/>
        <w:jc w:val="both"/>
        <w:spacing w:beforeAutospacing="0" w:afterAutospacing="0" w:line="480" w:lineRule="auto"/>
        <w:tabs>
          <w:tab w:val="left" w:pos="1441" w:leader="none"/>
        </w:tabs>
        <w:rPr>
          <w:rFonts w:hint="eastAsia" w:ascii="宋体" w:hAnsi="宋体" w:eastAsia="宋体" w:cs="宋体"/>
          <w:sz w:val="22"/>
          <w:szCs w:val="22"/>
          <w:lang w:val="en-US" w:eastAsia="zh-CN"/>
        </w:rPr>
      </w:pPr>
      <w:r>
        <w:rPr>
          <w:rFonts w:hint="eastAsia" w:ascii="宋体" w:hAnsi="宋体" w:eastAsia="宋体" w:cs="宋体"/>
          <w:color w:val="000000"/>
          <w:sz w:val="32"/>
          <w:szCs w:val="32"/>
        </w:rPr>
        <w:t xml:space="preserve">合同文本……………………………………</w:t>
      </w:r>
      <w:r>
        <w:rPr>
          <w:rFonts w:hint="eastAsia" w:ascii="宋体" w:hAnsi="宋体" w:eastAsia="宋体" w:cs="宋体"/>
          <w:color w:val="000000"/>
          <w:sz w:val="32"/>
          <w:szCs w:val="32"/>
          <w:lang w:val="en-US" w:eastAsia="zh-CN"/>
        </w:rPr>
        <w:t xml:space="preserve"> 15</w:t>
      </w:r>
      <w:r/>
    </w:p>
    <w:p>
      <w:pPr>
        <w:pStyle w:val="711"/>
        <w:ind w:left="2160" w:hanging="1440"/>
        <w:jc w:val="both"/>
        <w:spacing w:beforeAutospacing="0" w:afterAutospacing="0" w:line="480" w:lineRule="auto"/>
        <w:tabs>
          <w:tab w:val="left" w:pos="1441" w:leader="none"/>
        </w:tabs>
        <w:rPr>
          <w:rFonts w:hint="eastAsia" w:ascii="宋体" w:hAnsi="宋体" w:eastAsia="宋体" w:cs="宋体"/>
          <w:sz w:val="22"/>
          <w:szCs w:val="22"/>
          <w:lang w:val="en-US" w:eastAsia="zh-CN"/>
        </w:rPr>
      </w:pPr>
      <w:r>
        <w:rPr>
          <w:rFonts w:hint="eastAsia" w:ascii="宋体" w:hAnsi="宋体" w:eastAsia="宋体" w:cs="宋体"/>
          <w:color w:val="000000"/>
          <w:sz w:val="32"/>
          <w:szCs w:val="32"/>
        </w:rPr>
        <w:t xml:space="preserve">采购需求……………………………………</w:t>
      </w:r>
      <w:r>
        <w:rPr>
          <w:rFonts w:hint="eastAsia" w:ascii="宋体" w:hAnsi="宋体" w:eastAsia="宋体" w:cs="宋体"/>
          <w:color w:val="000000"/>
          <w:sz w:val="32"/>
          <w:szCs w:val="32"/>
          <w:lang w:val="en-US" w:eastAsia="zh-CN"/>
        </w:rPr>
        <w:t xml:space="preserve"> 24</w:t>
      </w:r>
      <w:r/>
    </w:p>
    <w:p>
      <w:pPr>
        <w:pStyle w:val="711"/>
        <w:ind w:left="2160" w:hanging="1440"/>
        <w:jc w:val="both"/>
        <w:spacing w:beforeAutospacing="0" w:afterAutospacing="0" w:line="480" w:lineRule="auto"/>
        <w:tabs>
          <w:tab w:val="left" w:pos="1441" w:leader="none"/>
        </w:tabs>
        <w:rPr>
          <w:rFonts w:hint="default" w:ascii="宋体" w:hAnsi="宋体" w:eastAsia="宋体" w:cs="宋体"/>
          <w:sz w:val="22"/>
          <w:szCs w:val="22"/>
          <w:lang w:val="en-US" w:eastAsia="zh-CN"/>
        </w:rPr>
      </w:pPr>
      <w:r>
        <w:rPr>
          <w:rFonts w:hint="eastAsia" w:ascii="宋体" w:hAnsi="宋体" w:eastAsia="宋体" w:cs="宋体"/>
          <w:color w:val="000000"/>
          <w:sz w:val="32"/>
          <w:szCs w:val="32"/>
        </w:rPr>
        <w:t xml:space="preserve">评标方法与评标标准………………………</w:t>
      </w:r>
      <w:r>
        <w:rPr>
          <w:rFonts w:hint="eastAsia" w:ascii="宋体" w:hAnsi="宋体" w:eastAsia="宋体" w:cs="宋体"/>
          <w:color w:val="000000"/>
          <w:sz w:val="32"/>
          <w:szCs w:val="32"/>
          <w:lang w:val="en-US" w:eastAsia="zh-CN"/>
        </w:rPr>
        <w:t xml:space="preserve"> 47</w:t>
      </w:r>
      <w:r/>
    </w:p>
    <w:p>
      <w:pPr>
        <w:pStyle w:val="711"/>
        <w:ind w:left="2160" w:hanging="1440"/>
        <w:jc w:val="both"/>
        <w:spacing w:beforeAutospacing="0" w:afterAutospacing="0" w:line="480" w:lineRule="auto"/>
        <w:tabs>
          <w:tab w:val="left" w:pos="1441" w:leader="none"/>
        </w:tabs>
        <w:rPr>
          <w:rFonts w:hint="default" w:ascii="宋体" w:hAnsi="宋体" w:eastAsia="宋体" w:cs="宋体"/>
          <w:sz w:val="22"/>
          <w:szCs w:val="22"/>
          <w:lang w:val="en-US" w:eastAsia="zh-CN"/>
        </w:rPr>
      </w:pPr>
      <w:r>
        <w:rPr>
          <w:rFonts w:hint="eastAsia" w:ascii="宋体" w:hAnsi="宋体" w:eastAsia="宋体" w:cs="宋体"/>
          <w:color w:val="000000"/>
          <w:sz w:val="32"/>
          <w:szCs w:val="32"/>
        </w:rPr>
        <w:t xml:space="preserve">投标文件格式………………………………</w:t>
      </w:r>
      <w:r>
        <w:rPr>
          <w:rFonts w:hint="eastAsia" w:ascii="宋体" w:hAnsi="宋体" w:eastAsia="宋体" w:cs="宋体"/>
          <w:color w:val="000000"/>
          <w:sz w:val="32"/>
          <w:szCs w:val="32"/>
          <w:lang w:val="en-US" w:eastAsia="zh-CN"/>
        </w:rPr>
        <w:t xml:space="preserve"> 53</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rPr>
      </w:r>
      <w:r/>
    </w:p>
    <w:p>
      <w:pPr>
        <w:pStyle w:val="711"/>
        <w:jc w:val="center"/>
        <w:keepNext/>
        <w:spacing w:beforeAutospacing="0" w:afterAutospacing="0"/>
        <w:rPr>
          <w:rFonts w:hint="eastAsia" w:ascii="宋体" w:hAnsi="宋体" w:eastAsia="宋体" w:cs="宋体"/>
          <w:color w:val="000000"/>
          <w:sz w:val="40"/>
          <w:szCs w:val="40"/>
          <w:lang w:val="en-US" w:eastAsia="zh-CN"/>
        </w:rPr>
      </w:pPr>
      <w:r>
        <w:rPr>
          <w:rFonts w:hint="eastAsia" w:ascii="宋体" w:hAnsi="宋体" w:eastAsia="宋体" w:cs="宋体"/>
          <w:color w:val="000000"/>
          <w:sz w:val="40"/>
          <w:szCs w:val="40"/>
        </w:rPr>
        <w:t xml:space="preserve">第一章 </w:t>
      </w:r>
      <w:r>
        <w:rPr>
          <w:rFonts w:hint="eastAsia" w:ascii="宋体" w:hAnsi="宋体" w:eastAsia="宋体" w:cs="宋体"/>
          <w:color w:val="000000"/>
          <w:sz w:val="40"/>
          <w:szCs w:val="40"/>
          <w:lang w:val="en-US" w:eastAsia="zh-CN"/>
        </w:rPr>
        <w:t xml:space="preserve">招标公告</w:t>
      </w:r>
      <w:r/>
    </w:p>
    <w:p>
      <w:pPr>
        <w:pStyle w:val="711"/>
        <w:ind w:firstLine="482"/>
        <w:jc w:val="both"/>
        <w:keepLines w:val="0"/>
        <w:keepNext w:val="0"/>
        <w:pageBreakBefore w:val="0"/>
        <w:spacing w:beforeAutospacing="0" w:afterAutospacing="0" w:line="360" w:lineRule="auto"/>
        <w:widowControl w:val="off"/>
        <w:rPr>
          <w:rFonts w:hint="eastAsia" w:ascii="宋体" w:hAnsi="宋体" w:eastAsia="宋体" w:cs="宋体"/>
          <w:sz w:val="21"/>
          <w:szCs w:val="2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rPr>
        <w:t xml:space="preserve">项目概况</w:t>
      </w:r>
      <w:r/>
    </w:p>
    <w:p>
      <w:pPr>
        <w:pStyle w:val="711"/>
        <w:ind w:firstLine="482"/>
        <w:jc w:val="both"/>
        <w:keepLines w:val="0"/>
        <w:keepNext w:val="0"/>
        <w:pageBreakBefore w:val="0"/>
        <w:spacing w:beforeAutospacing="0" w:afterAutospacing="0" w:line="360" w:lineRule="auto"/>
        <w:widowControl w:val="off"/>
        <w:rPr>
          <w:rFonts w:hint="eastAsia" w:ascii="宋体" w:hAnsi="宋体" w:eastAsia="宋体" w:cs="宋体"/>
          <w:sz w:val="21"/>
          <w:szCs w:val="2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u w:val="single"/>
          <w:lang w:eastAsia="zh-CN"/>
        </w:rPr>
        <w:t xml:space="preserve">亭湖区数字化医共体“十张网”（十大中心）信息化建设二期项目</w:t>
      </w:r>
      <w:r>
        <w:rPr>
          <w:rFonts w:hint="eastAsia" w:ascii="宋体" w:hAnsi="宋体" w:eastAsia="宋体" w:cs="宋体"/>
          <w:color w:val="000000"/>
          <w:sz w:val="21"/>
          <w:szCs w:val="21"/>
        </w:rPr>
        <w:t xml:space="preserve">的潜在投标人可在</w:t>
      </w:r>
      <w:r>
        <w:rPr>
          <w:rFonts w:hint="eastAsia" w:ascii="宋体" w:hAnsi="宋体" w:eastAsia="宋体" w:cs="宋体"/>
          <w:sz w:val="21"/>
          <w:szCs w:val="21"/>
          <w:highlight w:val="none"/>
          <w:u w:val="single"/>
          <w:lang w:val="en-US" w:eastAsia="zh-CN"/>
        </w:rPr>
        <w:t xml:space="preserve">“苏采云”系统内免费下载（投标人必须在苏采云系统中获取采购文件，方能参与政府采购项目）</w:t>
      </w:r>
      <w:r>
        <w:rPr>
          <w:rFonts w:hint="eastAsia" w:ascii="宋体" w:hAnsi="宋体" w:eastAsia="宋体" w:cs="宋体"/>
          <w:sz w:val="21"/>
          <w:szCs w:val="21"/>
        </w:rPr>
        <w:t xml:space="preserve">获取招标文件</w:t>
      </w:r>
      <w:r>
        <w:rPr>
          <w:rFonts w:hint="eastAsia" w:ascii="宋体" w:hAnsi="宋体" w:eastAsia="宋体" w:cs="宋体"/>
          <w:color w:val="000000"/>
          <w:sz w:val="21"/>
          <w:szCs w:val="21"/>
        </w:rPr>
        <w:t xml:space="preserve">，并</w:t>
      </w:r>
      <w:r>
        <w:rPr>
          <w:rFonts w:hint="eastAsia" w:ascii="宋体" w:hAnsi="宋体" w:eastAsia="宋体" w:cs="宋体"/>
          <w:color w:val="000000"/>
          <w:sz w:val="21"/>
          <w:szCs w:val="21"/>
          <w:highlight w:val="none"/>
        </w:rPr>
        <w:t xml:space="preserve">于</w:t>
      </w:r>
      <w:r>
        <w:rPr>
          <w:rFonts w:hint="eastAsia" w:ascii="宋体" w:hAnsi="宋体" w:eastAsia="宋体" w:cs="宋体"/>
          <w:color w:val="000000"/>
          <w:sz w:val="21"/>
          <w:szCs w:val="21"/>
          <w:highlight w:val="none"/>
          <w:u w:val="single"/>
          <w:lang w:val="en-US" w:eastAsia="zh-CN"/>
        </w:rPr>
        <w:t xml:space="preserve">2025</w:t>
      </w:r>
      <w:r>
        <w:rPr>
          <w:rFonts w:hint="eastAsia" w:ascii="宋体" w:hAnsi="宋体" w:eastAsia="宋体" w:cs="宋体"/>
          <w:color w:val="000000"/>
          <w:sz w:val="21"/>
          <w:szCs w:val="21"/>
          <w:highlight w:val="none"/>
          <w:u w:val="single"/>
        </w:rPr>
        <w:t xml:space="preserve">年</w:t>
      </w:r>
      <w:r>
        <w:rPr>
          <w:rFonts w:hint="eastAsia" w:ascii="宋体" w:hAnsi="宋体" w:eastAsia="宋体" w:cs="宋体"/>
          <w:color w:val="000000"/>
          <w:sz w:val="21"/>
          <w:szCs w:val="21"/>
          <w:highlight w:val="none"/>
          <w:u w:val="single"/>
          <w:lang w:val="en-US" w:eastAsia="zh-CN"/>
        </w:rPr>
        <w:t xml:space="preserve">1</w:t>
      </w:r>
      <w:r>
        <w:rPr>
          <w:rFonts w:hint="eastAsia" w:ascii="宋体" w:hAnsi="宋体" w:eastAsia="宋体" w:cs="宋体"/>
          <w:color w:val="000000"/>
          <w:sz w:val="21"/>
          <w:szCs w:val="21"/>
          <w:highlight w:val="none"/>
          <w:u w:val="single"/>
        </w:rPr>
        <w:t xml:space="preserve">月</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rPr>
        <w:t xml:space="preserve">日</w:t>
      </w:r>
      <w:r>
        <w:rPr>
          <w:rFonts w:hint="eastAsia" w:ascii="宋体" w:hAnsi="宋体" w:eastAsia="宋体" w:cs="宋体"/>
          <w:color w:val="000000"/>
          <w:sz w:val="21"/>
          <w:szCs w:val="21"/>
          <w:highlight w:val="none"/>
          <w:u w:val="single"/>
          <w:lang w:val="en-US" w:eastAsia="zh-CN"/>
        </w:rPr>
        <w:t xml:space="preserve">09</w:t>
      </w:r>
      <w:r>
        <w:rPr>
          <w:rFonts w:hint="eastAsia" w:ascii="宋体" w:hAnsi="宋体" w:eastAsia="宋体" w:cs="宋体"/>
          <w:color w:val="000000"/>
          <w:sz w:val="21"/>
          <w:szCs w:val="21"/>
          <w:highlight w:val="none"/>
          <w:u w:val="single"/>
        </w:rPr>
        <w:t xml:space="preserve">点</w:t>
      </w:r>
      <w:r>
        <w:rPr>
          <w:rFonts w:hint="eastAsia" w:ascii="宋体" w:hAnsi="宋体" w:eastAsia="宋体" w:cs="宋体"/>
          <w:color w:val="000000"/>
          <w:sz w:val="21"/>
          <w:szCs w:val="21"/>
          <w:highlight w:val="none"/>
          <w:u w:val="single"/>
          <w:lang w:val="en-US" w:eastAsia="zh-CN"/>
        </w:rPr>
        <w:t xml:space="preserve">00</w:t>
      </w:r>
      <w:r>
        <w:rPr>
          <w:rFonts w:hint="eastAsia" w:ascii="宋体" w:hAnsi="宋体" w:eastAsia="宋体" w:cs="宋体"/>
          <w:color w:val="000000"/>
          <w:sz w:val="21"/>
          <w:szCs w:val="21"/>
          <w:highlight w:val="none"/>
          <w:u w:val="single"/>
        </w:rPr>
        <w:t xml:space="preserve">分（北京时间）</w:t>
      </w:r>
      <w:r>
        <w:rPr>
          <w:rFonts w:hint="eastAsia" w:ascii="宋体" w:hAnsi="宋体" w:eastAsia="宋体" w:cs="宋体"/>
          <w:color w:val="000000"/>
          <w:sz w:val="21"/>
          <w:szCs w:val="21"/>
        </w:rPr>
        <w:t xml:space="preserve">前递交投标文件。</w:t>
      </w:r>
      <w:r/>
    </w:p>
    <w:p>
      <w:pPr>
        <w:ind w:left="0" w:right="0" w:firstLine="498"/>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82"/>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1.项目编号：JSZC-320902-JZCG-G2024-0028 </w:t>
      </w:r>
      <w:r/>
    </w:p>
    <w:p>
      <w:pPr>
        <w:ind w:left="0" w:right="0" w:firstLine="482"/>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2.项目名称：亭湖区数字化医共体“十张网”（十大中心）信息化建设二期项目</w:t>
      </w:r>
      <w:r/>
    </w:p>
    <w:p>
      <w:pPr>
        <w:ind w:left="0" w:right="0" w:firstLine="482"/>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3.采购方式：公开招标</w:t>
      </w:r>
      <w:r/>
    </w:p>
    <w:p>
      <w:pPr>
        <w:ind w:left="0" w:right="0" w:firstLine="482"/>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4.预算金额：616万元</w:t>
      </w:r>
      <w:r/>
    </w:p>
    <w:p>
      <w:pPr>
        <w:ind w:left="0" w:right="0" w:firstLine="482"/>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5.最高限价：616万元，投标报价高于最高限价的，采购人将不予接受，视为无效标书。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需求：亭湖区数字化医共体“十张网”（十大中心）信息化建设二期项目在一期基础上参照省医共体信息化规范要求，继续完善项目的建设内容，并在此之上能够打造出具有亭湖特色的应用，建设内容包括：医养结合（送医送护）中心、慢病管理（医防融合）中心、医疗质控中心以及对应的驾驶舱大屏等，具体内容及要求详见招标文件第四章项目需求。</w:t>
      </w:r>
      <w:r/>
    </w:p>
    <w:p>
      <w:pPr>
        <w:ind w:left="0" w:right="0" w:firstLine="482"/>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7.合同履行期限：中标人须在签订合同后90个日历天内全部供货及安装完毕，并完成全部建设工作并投入试运行。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8、本项目不接受联合体投标。</w:t>
      </w:r>
      <w:r/>
    </w:p>
    <w:p>
      <w:pPr>
        <w:ind w:left="0" w:right="0" w:firstLine="281"/>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1.满足《中华人民共和国政府采购法》第二十二条规定，并提供下列材料：</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法人或者其他组织的营业执照等证明文件，自然人的身份证明；</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1.2上一年度的财务状况报表（成立不满一年无需提供）；</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1.3具备履行合同所必需的设备和专业技术能力的书面声明；</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1.5参加政府采购活动前3年内在经营活动中没有重大违法记录的书面声明。</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1.6法律、行政法规规定的其他条件。</w:t>
      </w:r>
      <w:r/>
    </w:p>
    <w:p>
      <w:pPr>
        <w:ind w:left="0" w:right="0" w:firstLine="48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1.8单位负责人为同一人或者存在直接控股、管理关系的不同供应商，不得参加同一合同项下的政府采购活动。</w:t>
      </w:r>
      <w:r/>
    </w:p>
    <w:p>
      <w:pPr>
        <w:ind w:left="0" w:right="0" w:firstLine="48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2.落实政府采购政策需满足的资格要求：无</w:t>
      </w:r>
      <w:r/>
    </w:p>
    <w:p>
      <w:pPr>
        <w:ind w:left="0" w:right="0" w:firstLine="480"/>
        <w:jc w:val="both"/>
        <w:spacing w:before="240" w:after="24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3.本项目的特定资格要求：无</w:t>
      </w:r>
      <w:r/>
    </w:p>
    <w:p>
      <w:pPr>
        <w:ind w:left="0" w:right="0" w:firstLine="422"/>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三、获取招标文件</w:t>
      </w:r>
      <w:r/>
    </w:p>
    <w:p>
      <w:pPr>
        <w:ind w:left="0" w:right="0" w:firstLine="48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w:t>
      </w:r>
      <w:r>
        <w:rPr>
          <w:rFonts w:ascii="SimSun" w:hAnsi="SimSun" w:eastAsia="SimSun" w:cs="SimSun"/>
          <w:color w:val="000000"/>
          <w:sz w:val="21"/>
        </w:rPr>
      </w:r>
      <w:r>
        <w:rPr>
          <w:rFonts w:ascii="SimSun" w:hAnsi="SimSun" w:eastAsia="SimSun" w:cs="SimSun"/>
          <w:color w:val="000000"/>
          <w:sz w:val="21"/>
          <w:highlight w:val="white"/>
        </w:rPr>
        <w:t xml:space="preserve">自本公告发布之日起5个工作日</w:t>
      </w:r>
      <w:r/>
      <w:r>
        <w:rPr>
          <w:rFonts w:ascii="SimSun" w:hAnsi="SimSun" w:eastAsia="SimSun" w:cs="SimSun"/>
          <w:color w:val="000000"/>
          <w:sz w:val="21"/>
        </w:rPr>
      </w:r>
      <w:r>
        <w:rPr>
          <w:rFonts w:ascii="SimSun" w:hAnsi="SimSun" w:eastAsia="SimSun" w:cs="SimSun"/>
          <w:color w:val="000000"/>
          <w:sz w:val="21"/>
        </w:rPr>
        <w:t xml:space="preserve">。</w:t>
      </w:r>
      <w:r/>
    </w:p>
    <w:p>
      <w:pPr>
        <w:ind w:left="0" w:right="0" w:firstLine="48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2.地点：“苏采云”系统内免费下载（投标人必须在苏采云系统中获取采购文件，方能参与政府采购项目）；</w:t>
      </w:r>
      <w:r/>
    </w:p>
    <w:p>
      <w:pPr>
        <w:ind w:left="0" w:right="0" w:firstLine="48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3.方式：本项目采用网上注册登记方式。 </w:t>
      </w:r>
      <w:r/>
    </w:p>
    <w:p>
      <w:pPr>
        <w:ind w:left="0" w:firstLine="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4.售价：0元</w:t>
      </w:r>
      <w:r/>
    </w:p>
    <w:p>
      <w:pPr>
        <w:ind w:left="0" w:right="0" w:firstLine="422"/>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四、提交投标文件截止时间、开标时间和地点</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1.时间：2025年1月2日 09:00（北京时间）； </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2.地点：“苏采云”政府采购交易系统网上开标大厅。</w:t>
      </w:r>
      <w:r/>
    </w:p>
    <w:p>
      <w:pPr>
        <w:ind w:left="0" w:right="0" w:firstLine="482"/>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五、公告期限</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自本公告发布之日起5个工作日。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六、其他补充事宜</w:t>
      </w:r>
      <w:r/>
    </w:p>
    <w:p>
      <w:pPr>
        <w:ind w:left="0" w:right="0" w:firstLine="48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1.潜在供应商访问电子招标响应交易平台的网络地址和方法： </w:t>
      </w:r>
      <w:r/>
    </w:p>
    <w:p>
      <w:pPr>
        <w:ind w:left="0" w:right="0" w:firstLine="48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48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2.潜在投标人访问“苏采云”系统方法：江苏省政府采购网首页-“苏采云”链接。 </w:t>
      </w:r>
      <w:r/>
    </w:p>
    <w:p>
      <w:pPr>
        <w:ind w:left="0" w:right="0" w:firstLine="48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3.采购文件（后缀名为“.kedt”）、供应商操作手册及政府采购客户端 工具可通过“苏采云”系统相应链接进行下载。 </w:t>
      </w:r>
      <w:r/>
    </w:p>
    <w:p>
      <w:pPr>
        <w:ind w:left="0" w:right="0" w:firstLine="48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4.采购代理机构将数据电文形式的采购文件加载至“苏采云”系统，供潜在供应商下载或者查阅。 </w:t>
      </w:r>
      <w:r/>
    </w:p>
    <w:p>
      <w:pPr>
        <w:ind w:left="0" w:right="0" w:firstLine="48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5.请潜在投标单位提前安装相应的控件（详见《“苏采云”系统供应商操作手册》）并使用谷歌浏览器登录“苏采云”系统参与不见面开评标。 </w:t>
      </w:r>
      <w:r/>
    </w:p>
    <w:p>
      <w:pPr>
        <w:ind w:left="0" w:right="0" w:firstLine="480"/>
        <w:jc w:val="both"/>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如潜在投标人未按上述要求操作，将自行承担所产生的风险。</w:t>
      </w:r>
      <w:r/>
    </w:p>
    <w:p>
      <w:pPr>
        <w:ind w:left="0" w:right="0" w:firstLine="420"/>
        <w:jc w:val="both"/>
        <w:spacing w:before="240" w:after="24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6.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560"/>
        <w:jc w:val="both"/>
        <w:spacing w:before="240" w:after="24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20"/>
        <w:jc w:val="both"/>
        <w:spacing w:before="240" w:after="24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7.有关本次招标的事项若存在变动或修改，敬请及时关注盐城市政府采购中心在“中国政府采购网”、“江苏政府采购网”、“盐城市政府采购网”发布的更正公告。</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8.本次招标不收取投标保证金，不收取质量保证金。</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9.电子响应文件一份(通过系统提交)；纸质响应文件正本一份，副本二份（评审结束后由中标候选人邮寄至招标代理机构，未中标单位不需要提供）。</w:t>
      </w:r>
      <w:r/>
    </w:p>
    <w:p>
      <w:pPr>
        <w:pStyle w:val="683"/>
        <w:ind w:left="0" w:right="0" w:firstLine="482"/>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21"/>
          <w:highlight w:val="white"/>
        </w:rPr>
        <w:t xml:space="preserve">七、对本次招标提出询问，请按以下方式联系。</w:t>
      </w:r>
      <w:r/>
    </w:p>
    <w:p>
      <w:pPr>
        <w:ind w:left="0" w:right="0" w:firstLine="560"/>
        <w:jc w:val="both"/>
        <w:spacing w:before="240" w:after="24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1.采购人信息</w:t>
      </w:r>
      <w:r/>
    </w:p>
    <w:p>
      <w:pPr>
        <w:ind w:left="0" w:right="0" w:firstLine="560"/>
        <w:jc w:val="both"/>
        <w:spacing w:before="240" w:after="24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名 称：</w:t>
      </w:r>
      <w:r>
        <w:rPr>
          <w:rFonts w:ascii="SimSun" w:hAnsi="SimSun" w:eastAsia="SimSun" w:cs="SimSun"/>
          <w:color w:val="000000"/>
          <w:sz w:val="21"/>
        </w:rPr>
        <w:t xml:space="preserve">盐城市亭湖区卫生健康委员会</w:t>
      </w:r>
      <w:r>
        <w:rPr>
          <w:rFonts w:ascii="SimSun" w:hAnsi="SimSun" w:eastAsia="SimSun" w:cs="SimSun"/>
          <w:color w:val="333333"/>
          <w:sz w:val="21"/>
          <w:highlight w:val="white"/>
        </w:rPr>
        <w:t xml:space="preserve">  </w:t>
      </w:r>
      <w:r/>
    </w:p>
    <w:p>
      <w:pPr>
        <w:ind w:left="0" w:right="0" w:firstLine="560"/>
        <w:jc w:val="both"/>
        <w:spacing w:before="240" w:after="24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地址： </w:t>
      </w:r>
      <w:r>
        <w:rPr>
          <w:rFonts w:ascii="SimSun" w:hAnsi="SimSun" w:eastAsia="SimSun" w:cs="SimSun"/>
          <w:color w:val="000000"/>
          <w:sz w:val="21"/>
        </w:rPr>
        <w:t xml:space="preserve">盐城市建军东路131号</w:t>
      </w:r>
      <w:r>
        <w:rPr>
          <w:rFonts w:ascii="SimSun" w:hAnsi="SimSun" w:eastAsia="SimSun" w:cs="SimSun"/>
          <w:color w:val="333333"/>
          <w:sz w:val="21"/>
          <w:highlight w:val="white"/>
        </w:rPr>
        <w:t xml:space="preserve">  </w:t>
      </w:r>
      <w:r/>
    </w:p>
    <w:p>
      <w:pPr>
        <w:ind w:left="0" w:right="0" w:firstLine="560"/>
        <w:jc w:val="both"/>
        <w:spacing w:before="240" w:after="24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联系人：孙先生             </w:t>
      </w:r>
      <w:r/>
    </w:p>
    <w:p>
      <w:pPr>
        <w:ind w:left="0" w:right="0" w:firstLine="560"/>
        <w:jc w:val="both"/>
        <w:spacing w:before="240" w:after="24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联系方式：18932297777            </w:t>
      </w:r>
      <w:r/>
    </w:p>
    <w:p>
      <w:pPr>
        <w:numPr>
          <w:ilvl w:val="0"/>
          <w:numId w:val="5"/>
        </w:numPr>
        <w:jc w:val="both"/>
        <w:spacing w:before="240" w:after="24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采购代理机构信息</w:t>
      </w:r>
      <w:r/>
    </w:p>
    <w:p>
      <w:pPr>
        <w:ind w:left="560" w:right="0" w:firstLine="0"/>
        <w:jc w:val="both"/>
        <w:spacing w:before="240" w:after="24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名 称：亭湖区公共资源交易中心</w:t>
      </w:r>
      <w:r/>
    </w:p>
    <w:p>
      <w:pPr>
        <w:ind w:left="560" w:right="0" w:firstLine="0"/>
        <w:jc w:val="both"/>
        <w:spacing w:before="240" w:after="24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地址：盐城市亭湖区希望大道中路18号</w:t>
      </w:r>
      <w:r/>
    </w:p>
    <w:p>
      <w:pPr>
        <w:ind w:left="0" w:right="0" w:firstLine="560"/>
        <w:jc w:val="both"/>
        <w:spacing w:before="240" w:after="24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联系方式：0515-89802019                </w:t>
      </w:r>
      <w:r/>
    </w:p>
    <w:p>
      <w:pPr>
        <w:ind w:left="0" w:right="0" w:firstLine="560"/>
        <w:jc w:val="both"/>
        <w:spacing w:before="240" w:after="24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3.项目联系方式</w:t>
      </w:r>
      <w:r/>
    </w:p>
    <w:p>
      <w:pPr>
        <w:ind w:left="0" w:right="0" w:firstLine="560"/>
        <w:jc w:val="both"/>
        <w:spacing w:before="240" w:after="24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项目联系人：</w:t>
      </w:r>
      <w:r>
        <w:rPr>
          <w:rFonts w:ascii="SimSun" w:hAnsi="SimSun" w:eastAsia="SimSun" w:cs="SimSun"/>
          <w:color w:val="333333"/>
          <w:sz w:val="21"/>
          <w:highlight w:val="white"/>
        </w:rPr>
        <w:t xml:space="preserve">孙先生</w:t>
      </w:r>
      <w:r>
        <w:rPr>
          <w:rFonts w:ascii="SimSun" w:hAnsi="SimSun" w:eastAsia="SimSun" w:cs="SimSun"/>
          <w:color w:val="000000"/>
          <w:sz w:val="21"/>
        </w:rPr>
      </w:r>
      <w:r/>
    </w:p>
    <w:p>
      <w:pPr>
        <w:ind w:left="0" w:right="0" w:firstLine="560"/>
        <w:jc w:val="both"/>
        <w:spacing w:before="240" w:after="24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电　　 话：</w:t>
      </w:r>
      <w:r>
        <w:rPr>
          <w:rFonts w:ascii="SimSun" w:hAnsi="SimSun" w:eastAsia="SimSun" w:cs="SimSun"/>
          <w:color w:val="333333"/>
          <w:sz w:val="21"/>
          <w:highlight w:val="white"/>
        </w:rPr>
        <w:t xml:space="preserve">18932297777</w:t>
      </w:r>
      <w:r>
        <w:rPr>
          <w:rFonts w:ascii="SimSun" w:hAnsi="SimSun" w:eastAsia="SimSun" w:cs="SimSun"/>
          <w:color w:val="000000"/>
          <w:sz w:val="21"/>
        </w:rPr>
      </w:r>
      <w:r/>
    </w:p>
    <w:p>
      <w:pPr>
        <w:ind w:left="0" w:right="0" w:firstLine="560"/>
        <w:jc w:val="both"/>
        <w:spacing w:before="240" w:after="24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1"/>
          <w:highlight w:val="white"/>
        </w:rPr>
        <w:t xml:space="preserve">地   址：</w:t>
      </w:r>
      <w:r>
        <w:rPr>
          <w:rFonts w:ascii="SimSun" w:hAnsi="SimSun" w:eastAsia="SimSun" w:cs="SimSun"/>
          <w:color w:val="000000"/>
          <w:sz w:val="21"/>
        </w:rPr>
        <w:t xml:space="preserve">盐城市建军东路131号</w:t>
      </w:r>
      <w:r>
        <w:rPr>
          <w:rFonts w:ascii="SimSun" w:hAnsi="SimSun" w:eastAsia="SimSun" w:cs="SimSun"/>
          <w:color w:val="000000"/>
          <w:sz w:val="21"/>
        </w:rPr>
      </w:r>
      <w:r/>
    </w:p>
    <w:p>
      <w:pPr>
        <w:pStyle w:val="711"/>
        <w:ind w:left="0" w:right="0" w:firstLine="560"/>
        <w:jc w:val="both"/>
        <w:keepLines w:val="0"/>
        <w:keepNext w:val="0"/>
        <w:pageBreakBefore w:val="0"/>
        <w:spacing w:beforeAutospacing="0" w:afterAutospacing="0" w:line="420" w:lineRule="exact"/>
        <w:shd w:val="clear" w:color="auto" w:fill="ffffff"/>
        <w:widowControl/>
        <w:rPr>
          <w:rFonts w:hint="eastAsia" w:ascii="宋体" w:hAnsi="宋体" w:eastAsia="宋体" w:cs="宋体"/>
          <w:sz w:val="21"/>
          <w:szCs w:val="21"/>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lang w:eastAsia="zh-CN"/>
        </w:rPr>
      </w:r>
      <w:r/>
    </w:p>
    <w:p>
      <w:pPr>
        <w:pStyle w:val="711"/>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eastAsia="zh-CN"/>
        </w:rPr>
      </w:r>
      <w:r/>
    </w:p>
    <w:p>
      <w:pPr>
        <w:pStyle w:val="711"/>
        <w:ind w:right="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sz w:val="40"/>
          <w:szCs w:val="4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sz w:val="40"/>
          <w:szCs w:val="40"/>
        </w:rPr>
      </w:r>
      <w:r>
        <w:rPr>
          <w:rFonts w:hint="eastAsia" w:ascii="宋体" w:hAnsi="宋体" w:eastAsia="宋体" w:cs="宋体"/>
          <w:b/>
          <w:color w:val="000000"/>
          <w:sz w:val="40"/>
          <w:szCs w:val="40"/>
        </w:rPr>
      </w:r>
      <w:r/>
    </w:p>
    <w:p>
      <w:pPr>
        <w:pStyle w:val="711"/>
        <w:ind w:right="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sz w:val="40"/>
          <w:szCs w:val="4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40"/>
          <w:szCs w:val="40"/>
        </w:rPr>
      </w:r>
      <w:r>
        <w:rPr>
          <w:rFonts w:hint="eastAsia" w:ascii="宋体" w:hAnsi="宋体" w:eastAsia="宋体" w:cs="宋体"/>
          <w:b/>
          <w:bCs/>
          <w:color w:val="000000"/>
          <w:sz w:val="40"/>
          <w:szCs w:val="40"/>
        </w:rPr>
      </w:r>
      <w:r/>
    </w:p>
    <w:p>
      <w:pPr>
        <w:pStyle w:val="711"/>
        <w:ind w:right="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sz w:val="40"/>
          <w:szCs w:val="40"/>
        </w:rPr>
        <w:pBdr>
          <w:top w:val="none" w:color="auto" w:sz="0" w:space="0"/>
          <w:left w:val="none" w:color="auto" w:sz="0" w:space="0"/>
          <w:bottom w:val="none" w:color="auto" w:sz="0" w:space="0"/>
          <w:right w:val="none" w:color="auto" w:sz="0" w:space="0"/>
        </w:pBdr>
        <w:suppressLineNumbers w:val="0"/>
      </w:pPr>
      <w:r/>
      <w:bookmarkStart w:id="27" w:name="_Toc120614211"/>
      <w:r/>
      <w:r/>
    </w:p>
    <w:p>
      <w:pPr>
        <w:pStyle w:val="711"/>
        <w:ind w:right="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2"/>
          <w:szCs w:val="2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000000"/>
          <w:sz w:val="40"/>
          <w:szCs w:val="40"/>
        </w:rPr>
        <w:t xml:space="preserve">第二章  </w:t>
      </w:r>
      <w:bookmarkEnd w:id="27"/>
      <w:r/>
      <w:bookmarkStart w:id="28" w:name="_Toc16938518"/>
      <w:r/>
      <w:bookmarkStart w:id="29" w:name="_Toc513029202"/>
      <w:r/>
      <w:bookmarkStart w:id="30" w:name="_Toc20823274"/>
      <w:r/>
      <w:bookmarkStart w:id="31" w:name="_Toc120614213"/>
      <w:r>
        <w:rPr>
          <w:rFonts w:hint="eastAsia" w:ascii="宋体" w:hAnsi="宋体" w:eastAsia="宋体" w:cs="宋体"/>
          <w:b/>
          <w:color w:val="000000"/>
          <w:sz w:val="40"/>
          <w:szCs w:val="40"/>
        </w:rPr>
        <w:t xml:space="preserve">投标人须知</w:t>
      </w:r>
      <w:bookmarkEnd w:id="28"/>
      <w:r/>
      <w:bookmarkEnd w:id="29"/>
      <w:r/>
      <w:bookmarkEnd w:id="30"/>
      <w:r/>
      <w:bookmarkEnd w:id="31"/>
      <w:r/>
      <w:r/>
    </w:p>
    <w:p>
      <w:pPr>
        <w:pStyle w:val="711"/>
        <w:ind w:firstLine="498"/>
        <w:jc w:val="both"/>
        <w:keepLines/>
        <w:keepNext/>
        <w:spacing w:before="145" w:beforeAutospacing="0" w:after="145" w:afterAutospacing="0" w:line="360" w:lineRule="auto"/>
        <w:rPr>
          <w:rFonts w:hint="eastAsia" w:ascii="宋体" w:hAnsi="宋体" w:eastAsia="宋体" w:cs="宋体"/>
          <w:sz w:val="21"/>
          <w:szCs w:val="21"/>
        </w:rPr>
      </w:pPr>
      <w:r/>
      <w:bookmarkStart w:id="32" w:name="_Toc513029203"/>
      <w:r/>
      <w:bookmarkStart w:id="33" w:name="_Toc120614214"/>
      <w:r/>
      <w:bookmarkStart w:id="34" w:name="_Toc20823275"/>
      <w:r/>
      <w:bookmarkStart w:id="35" w:name="_Toc16938519"/>
      <w:r>
        <w:rPr>
          <w:rFonts w:hint="eastAsia" w:ascii="宋体" w:hAnsi="宋体" w:eastAsia="宋体" w:cs="宋体"/>
          <w:b/>
          <w:color w:val="000000"/>
          <w:sz w:val="21"/>
          <w:szCs w:val="21"/>
        </w:rPr>
        <w:t xml:space="preserve">一、总则</w:t>
      </w:r>
      <w:bookmarkEnd w:id="32"/>
      <w:r/>
      <w:bookmarkEnd w:id="33"/>
      <w:r/>
      <w:bookmarkEnd w:id="34"/>
      <w:r/>
      <w:bookmarkEnd w:id="35"/>
      <w:r/>
      <w:r/>
    </w:p>
    <w:p>
      <w:pPr>
        <w:pStyle w:val="711"/>
        <w:ind w:firstLine="420"/>
        <w:jc w:val="both"/>
        <w:keepLines/>
        <w:keepNext/>
        <w:pageBreakBefore w:val="0"/>
        <w:spacing w:beforeAutospacing="0" w:afterAutospacing="0" w:line="360" w:lineRule="auto"/>
        <w:widowControl w:val="off"/>
        <w:rPr>
          <w:rFonts w:hint="eastAsia" w:ascii="宋体" w:hAnsi="宋体" w:eastAsia="宋体" w:cs="宋体"/>
          <w:sz w:val="21"/>
          <w:szCs w:val="21"/>
        </w:rPr>
      </w:pPr>
      <w:r/>
      <w:bookmarkStart w:id="36" w:name="_Toc16938520"/>
      <w:r/>
      <w:bookmarkStart w:id="37" w:name="_Toc513029204"/>
      <w:r/>
      <w:bookmarkStart w:id="38" w:name="_Toc458694821"/>
      <w:r/>
      <w:bookmarkStart w:id="39" w:name="_Toc20823276"/>
      <w:r/>
      <w:bookmarkStart w:id="40" w:name="_Hlt16619475"/>
      <w:r>
        <w:rPr>
          <w:rFonts w:hint="eastAsia" w:ascii="宋体" w:hAnsi="宋体" w:eastAsia="宋体" w:cs="宋体"/>
          <w:color w:val="000000"/>
          <w:sz w:val="21"/>
          <w:szCs w:val="21"/>
        </w:rPr>
        <w:t xml:space="preserve">1</w:t>
      </w:r>
      <w:bookmarkEnd w:id="36"/>
      <w:r>
        <w:rPr>
          <w:rFonts w:hint="eastAsia" w:ascii="宋体" w:hAnsi="宋体" w:eastAsia="宋体" w:cs="宋体"/>
          <w:color w:val="000000"/>
          <w:sz w:val="21"/>
          <w:szCs w:val="21"/>
        </w:rPr>
        <w:t xml:space="preserve">、招标方式</w:t>
      </w:r>
      <w:bookmarkEnd w:id="37"/>
      <w:r/>
      <w:bookmarkEnd w:id="38"/>
      <w:r/>
      <w:bookmarkEnd w:id="39"/>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1.1本次招标采取公开招标方式，本招标文件仅适用于招标公告中所述项目。</w:t>
      </w:r>
      <w:r/>
    </w:p>
    <w:p>
      <w:pPr>
        <w:pStyle w:val="711"/>
        <w:ind w:firstLine="420"/>
        <w:jc w:val="both"/>
        <w:keepLines/>
        <w:keepNext/>
        <w:pageBreakBefore w:val="0"/>
        <w:spacing w:beforeAutospacing="0" w:afterAutospacing="0" w:line="360" w:lineRule="auto"/>
        <w:widowControl w:val="off"/>
        <w:rPr>
          <w:rFonts w:hint="eastAsia" w:ascii="宋体" w:hAnsi="宋体" w:eastAsia="宋体" w:cs="宋体"/>
          <w:sz w:val="21"/>
          <w:szCs w:val="21"/>
        </w:rPr>
      </w:pPr>
      <w:r/>
      <w:bookmarkStart w:id="41" w:name="_Toc16938521"/>
      <w:r/>
      <w:bookmarkStart w:id="42" w:name="_Toc20823277"/>
      <w:r/>
      <w:bookmarkStart w:id="43" w:name="_Toc513029205"/>
      <w:r>
        <w:rPr>
          <w:rFonts w:hint="eastAsia" w:ascii="宋体" w:hAnsi="宋体" w:eastAsia="宋体" w:cs="宋体"/>
          <w:color w:val="000000"/>
          <w:sz w:val="21"/>
          <w:szCs w:val="21"/>
        </w:rPr>
        <w:t xml:space="preserve">2、合格的投标人</w:t>
      </w:r>
      <w:bookmarkEnd w:id="41"/>
      <w:r/>
      <w:bookmarkEnd w:id="42"/>
      <w:r/>
      <w:bookmarkEnd w:id="43"/>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2.1满足招标公告中供应商的资格要求的规定。</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2.2满足本文件实质性要求和条件的规定。</w:t>
      </w:r>
      <w:r/>
    </w:p>
    <w:p>
      <w:pPr>
        <w:pStyle w:val="711"/>
        <w:ind w:firstLine="420"/>
        <w:jc w:val="both"/>
        <w:keepLines/>
        <w:keepNext/>
        <w:pageBreakBefore w:val="0"/>
        <w:spacing w:beforeAutospacing="0" w:afterAutospacing="0" w:line="360" w:lineRule="auto"/>
        <w:widowControl w:val="off"/>
        <w:rPr>
          <w:rFonts w:hint="eastAsia" w:ascii="宋体" w:hAnsi="宋体" w:eastAsia="宋体" w:cs="宋体"/>
          <w:sz w:val="21"/>
          <w:szCs w:val="21"/>
        </w:rPr>
      </w:pPr>
      <w:r/>
      <w:bookmarkStart w:id="44" w:name="_Toc20823278"/>
      <w:r/>
      <w:bookmarkStart w:id="45" w:name="_Toc513029206"/>
      <w:r/>
      <w:bookmarkStart w:id="46" w:name="_Toc16938522"/>
      <w:r>
        <w:rPr>
          <w:rFonts w:hint="eastAsia" w:ascii="宋体" w:hAnsi="宋体" w:eastAsia="宋体" w:cs="宋体"/>
          <w:color w:val="000000"/>
          <w:sz w:val="21"/>
          <w:szCs w:val="21"/>
        </w:rPr>
        <w:t xml:space="preserve">3、适用法律</w:t>
      </w:r>
      <w:bookmarkEnd w:id="44"/>
      <w:r/>
      <w:bookmarkEnd w:id="45"/>
      <w:r/>
      <w:bookmarkEnd w:id="46"/>
      <w:r/>
      <w:r/>
    </w:p>
    <w:p>
      <w:pPr>
        <w:pStyle w:val="711"/>
        <w:ind w:firstLine="42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3.1本次招标及由此产生的合同受中华人民共和国有关的法律法规制约和保护。</w:t>
      </w:r>
      <w:r/>
    </w:p>
    <w:p>
      <w:pPr>
        <w:pStyle w:val="711"/>
        <w:ind w:firstLine="420"/>
        <w:jc w:val="both"/>
        <w:keepLines/>
        <w:keepNext/>
        <w:pageBreakBefore w:val="0"/>
        <w:spacing w:beforeAutospacing="0" w:afterAutospacing="0" w:line="360" w:lineRule="auto"/>
        <w:widowControl w:val="off"/>
        <w:rPr>
          <w:rFonts w:hint="eastAsia" w:ascii="宋体" w:hAnsi="宋体" w:eastAsia="宋体" w:cs="宋体"/>
          <w:sz w:val="21"/>
          <w:szCs w:val="21"/>
        </w:rPr>
      </w:pPr>
      <w:r/>
      <w:bookmarkStart w:id="47" w:name="_Toc462564067"/>
      <w:r/>
      <w:bookmarkStart w:id="48" w:name="_Toc16938523"/>
      <w:r/>
      <w:bookmarkStart w:id="49" w:name="_Toc20823279"/>
      <w:r/>
      <w:bookmarkStart w:id="50" w:name="_Toc513029207"/>
      <w:r>
        <w:rPr>
          <w:rFonts w:hint="eastAsia" w:ascii="宋体" w:hAnsi="宋体" w:eastAsia="宋体" w:cs="宋体"/>
          <w:color w:val="000000"/>
          <w:sz w:val="21"/>
          <w:szCs w:val="21"/>
        </w:rPr>
        <w:t xml:space="preserve">4、投标费用</w:t>
      </w:r>
      <w:bookmarkEnd w:id="47"/>
      <w:r/>
      <w:bookmarkEnd w:id="48"/>
      <w:r/>
      <w:bookmarkEnd w:id="49"/>
      <w:r/>
      <w:bookmarkEnd w:id="50"/>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4.1投标人应自行承担所有与参加投标有关的费用，无论投标过程中的做法和结果如何，</w:t>
      </w:r>
      <w:r>
        <w:rPr>
          <w:rFonts w:hint="eastAsia" w:ascii="宋体" w:hAnsi="宋体" w:eastAsia="宋体" w:cs="宋体"/>
          <w:color w:val="000000"/>
          <w:sz w:val="21"/>
          <w:szCs w:val="21"/>
          <w:lang w:eastAsia="zh-CN"/>
        </w:rPr>
        <w:t xml:space="preserve">采购代理机构与采购人</w:t>
      </w:r>
      <w:r>
        <w:rPr>
          <w:rFonts w:hint="eastAsia" w:ascii="宋体" w:hAnsi="宋体" w:eastAsia="宋体" w:cs="宋体"/>
          <w:color w:val="000000"/>
          <w:sz w:val="21"/>
          <w:szCs w:val="21"/>
        </w:rPr>
        <w:t xml:space="preserve">在任何情况下均无义务和责任承担这些费用。</w:t>
      </w:r>
      <w:r/>
    </w:p>
    <w:p>
      <w:pPr>
        <w:pStyle w:val="711"/>
        <w:ind w:firstLine="480"/>
        <w:jc w:val="both"/>
        <w:spacing w:beforeAutospacing="0" w:afterAutospacing="0" w:line="0" w:lineRule="atLeast"/>
        <w:rPr>
          <w:rFonts w:hint="eastAsia" w:ascii="宋体" w:hAnsi="宋体" w:eastAsia="宋体" w:cs="宋体"/>
          <w:sz w:val="21"/>
          <w:szCs w:val="21"/>
        </w:rPr>
      </w:pPr>
      <w:r>
        <w:rPr>
          <w:rFonts w:hint="eastAsia" w:ascii="宋体" w:hAnsi="宋体" w:eastAsia="宋体" w:cs="宋体"/>
          <w:color w:val="000000"/>
          <w:sz w:val="21"/>
          <w:szCs w:val="21"/>
        </w:rPr>
        <w:t xml:space="preserve">4.2本次招标采购</w:t>
      </w:r>
      <w:r>
        <w:rPr>
          <w:rFonts w:hint="eastAsia" w:ascii="宋体" w:hAnsi="宋体" w:eastAsia="宋体" w:cs="宋体"/>
          <w:color w:val="000000"/>
          <w:sz w:val="21"/>
          <w:szCs w:val="21"/>
          <w:lang w:eastAsia="zh-CN"/>
        </w:rPr>
        <w:t xml:space="preserve">人</w:t>
      </w:r>
      <w:r>
        <w:rPr>
          <w:rFonts w:hint="eastAsia" w:ascii="宋体" w:hAnsi="宋体" w:eastAsia="宋体" w:cs="宋体"/>
          <w:color w:val="000000"/>
          <w:sz w:val="21"/>
          <w:szCs w:val="21"/>
        </w:rPr>
        <w:t xml:space="preserve">和采购</w:t>
      </w:r>
      <w:r>
        <w:rPr>
          <w:rFonts w:hint="eastAsia" w:ascii="宋体" w:hAnsi="宋体" w:eastAsia="宋体" w:cs="宋体"/>
          <w:color w:val="000000"/>
          <w:sz w:val="21"/>
          <w:szCs w:val="21"/>
          <w:lang w:val="en-US" w:eastAsia="zh-CN"/>
        </w:rPr>
        <w:t xml:space="preserve">代理机构</w:t>
      </w:r>
      <w:r>
        <w:rPr>
          <w:rFonts w:hint="eastAsia" w:ascii="宋体" w:hAnsi="宋体" w:eastAsia="宋体" w:cs="宋体"/>
          <w:color w:val="000000"/>
          <w:sz w:val="21"/>
          <w:szCs w:val="21"/>
        </w:rPr>
        <w:t xml:space="preserve">不收取标书工本费与中标服务费。</w:t>
      </w:r>
      <w:r/>
    </w:p>
    <w:p>
      <w:pPr>
        <w:pStyle w:val="711"/>
        <w:ind w:firstLine="480"/>
        <w:jc w:val="both"/>
        <w:keepLines/>
        <w:keepNext/>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5、招标文件的约束力</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5.1投标人一旦参加本项目采购活动，即被认为接受了本招标文件的规定和约束。</w:t>
      </w:r>
      <w:r/>
    </w:p>
    <w:p>
      <w:pPr>
        <w:pStyle w:val="711"/>
        <w:ind w:firstLine="321"/>
        <w:jc w:val="both"/>
        <w:keepLines/>
        <w:keepNext/>
        <w:spacing w:before="145" w:beforeAutospacing="0" w:after="145" w:afterAutospacing="0" w:line="360" w:lineRule="auto"/>
        <w:rPr>
          <w:rFonts w:hint="eastAsia" w:ascii="宋体" w:hAnsi="宋体" w:eastAsia="宋体" w:cs="宋体"/>
          <w:sz w:val="21"/>
          <w:szCs w:val="21"/>
        </w:rPr>
      </w:pPr>
      <w:r/>
      <w:bookmarkStart w:id="51" w:name="_Toc20823281"/>
      <w:r/>
      <w:bookmarkStart w:id="52" w:name="_Toc120614215"/>
      <w:r/>
      <w:bookmarkStart w:id="53" w:name="_Toc16938525"/>
      <w:r/>
      <w:bookmarkStart w:id="54" w:name="_Toc513029209"/>
      <w:r>
        <w:rPr>
          <w:rFonts w:hint="eastAsia" w:ascii="宋体" w:hAnsi="宋体" w:eastAsia="宋体" w:cs="宋体"/>
          <w:b/>
          <w:color w:val="000000"/>
          <w:sz w:val="21"/>
          <w:szCs w:val="21"/>
        </w:rPr>
        <w:t xml:space="preserve">二、招标文件</w:t>
      </w:r>
      <w:bookmarkEnd w:id="51"/>
      <w:r/>
      <w:bookmarkEnd w:id="52"/>
      <w:r/>
      <w:bookmarkEnd w:id="53"/>
      <w:r/>
      <w:bookmarkEnd w:id="54"/>
      <w:r/>
      <w:r/>
    </w:p>
    <w:p>
      <w:pPr>
        <w:pStyle w:val="711"/>
        <w:ind w:firstLine="420"/>
        <w:jc w:val="both"/>
        <w:keepLines/>
        <w:keepNext/>
        <w:pageBreakBefore w:val="0"/>
        <w:spacing w:beforeAutospacing="0" w:afterAutospacing="0" w:line="360" w:lineRule="auto"/>
        <w:widowControl w:val="off"/>
        <w:rPr>
          <w:rFonts w:hint="eastAsia" w:ascii="宋体" w:hAnsi="宋体" w:eastAsia="宋体" w:cs="宋体"/>
          <w:sz w:val="21"/>
          <w:szCs w:val="21"/>
        </w:rPr>
      </w:pPr>
      <w:r/>
      <w:bookmarkStart w:id="55" w:name="_Toc16938526"/>
      <w:r/>
      <w:bookmarkStart w:id="56" w:name="_Toc513029210"/>
      <w:r/>
      <w:bookmarkStart w:id="57" w:name="_Toc20823282"/>
      <w:r>
        <w:rPr>
          <w:rFonts w:hint="eastAsia" w:ascii="宋体" w:hAnsi="宋体" w:eastAsia="宋体" w:cs="宋体"/>
          <w:color w:val="000000"/>
          <w:sz w:val="21"/>
          <w:szCs w:val="21"/>
        </w:rPr>
        <w:t xml:space="preserve">6、招标文件构成</w:t>
      </w:r>
      <w:bookmarkEnd w:id="55"/>
      <w:r/>
      <w:bookmarkEnd w:id="56"/>
      <w:r/>
      <w:bookmarkEnd w:id="57"/>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6.1 招标文件由以下部分组成：</w:t>
      </w:r>
      <w:r/>
    </w:p>
    <w:p>
      <w:pPr>
        <w:pStyle w:val="711"/>
        <w:ind w:firstLine="360"/>
        <w:jc w:val="both"/>
        <w:pageBreakBefore w:val="0"/>
        <w:spacing w:beforeAutospacing="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招标公告</w:t>
      </w:r>
      <w:r/>
    </w:p>
    <w:p>
      <w:pPr>
        <w:pStyle w:val="711"/>
        <w:ind w:firstLine="36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（2）投标人须知</w:t>
      </w:r>
      <w:r/>
    </w:p>
    <w:p>
      <w:pPr>
        <w:pStyle w:val="711"/>
        <w:ind w:firstLine="36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（3）合同文本</w:t>
      </w:r>
      <w:r/>
    </w:p>
    <w:p>
      <w:pPr>
        <w:pStyle w:val="711"/>
        <w:ind w:firstLine="36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（4）采购需求</w:t>
      </w:r>
      <w:r/>
    </w:p>
    <w:p>
      <w:pPr>
        <w:pStyle w:val="711"/>
        <w:ind w:firstLine="36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（5）评标方法与评标标准</w:t>
      </w:r>
      <w:r/>
    </w:p>
    <w:p>
      <w:pPr>
        <w:pStyle w:val="711"/>
        <w:ind w:firstLine="36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（6）投标文件格式</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请仔细检查招标文件是否齐全，如有缺漏请立即与</w:t>
      </w:r>
      <w:r>
        <w:rPr>
          <w:rFonts w:hint="eastAsia" w:ascii="宋体" w:hAnsi="宋体" w:eastAsia="宋体" w:cs="宋体"/>
          <w:color w:val="000000"/>
          <w:sz w:val="21"/>
          <w:szCs w:val="21"/>
          <w:lang w:eastAsia="zh-CN"/>
        </w:rPr>
        <w:t xml:space="preserve">采购代理机构</w:t>
      </w:r>
      <w:r>
        <w:rPr>
          <w:rFonts w:hint="eastAsia" w:ascii="宋体" w:hAnsi="宋体" w:eastAsia="宋体" w:cs="宋体"/>
          <w:color w:val="000000"/>
          <w:sz w:val="21"/>
          <w:szCs w:val="21"/>
        </w:rPr>
        <w:t xml:space="preserve">联系解决。</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1"/>
        <w:ind w:firstLine="560"/>
        <w:jc w:val="both"/>
        <w:keepLines/>
        <w:keepNext/>
        <w:pageBreakBefore w:val="0"/>
        <w:spacing w:beforeAutospacing="0" w:afterAutospacing="0" w:line="360" w:lineRule="auto"/>
        <w:widowControl w:val="off"/>
        <w:rPr>
          <w:rFonts w:hint="eastAsia" w:ascii="宋体" w:hAnsi="宋体" w:eastAsia="宋体" w:cs="宋体"/>
          <w:sz w:val="21"/>
          <w:szCs w:val="21"/>
        </w:rPr>
      </w:pPr>
      <w:r/>
      <w:bookmarkStart w:id="58" w:name="_Toc462564070"/>
      <w:r/>
      <w:bookmarkStart w:id="59" w:name="_Toc16938527"/>
      <w:r/>
      <w:bookmarkStart w:id="60" w:name="_Toc513029211"/>
      <w:r/>
      <w:bookmarkStart w:id="61" w:name="_Toc20823283"/>
      <w:r>
        <w:rPr>
          <w:rFonts w:hint="eastAsia" w:ascii="宋体" w:hAnsi="宋体" w:eastAsia="宋体" w:cs="宋体"/>
          <w:color w:val="000000"/>
          <w:sz w:val="21"/>
          <w:szCs w:val="21"/>
        </w:rPr>
        <w:t xml:space="preserve">7、招标文件的澄清</w:t>
      </w:r>
      <w:bookmarkEnd w:id="58"/>
      <w:r/>
      <w:bookmarkEnd w:id="59"/>
      <w:r/>
      <w:bookmarkEnd w:id="60"/>
      <w:r/>
      <w:bookmarkEnd w:id="61"/>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7.1任何要求对招标文件进行澄清的投标人，应在投标截止期</w:t>
      </w:r>
      <w:r>
        <w:rPr>
          <w:rFonts w:hint="eastAsia" w:ascii="宋体" w:hAnsi="宋体" w:eastAsia="宋体" w:cs="宋体"/>
          <w:b/>
          <w:color w:val="000000"/>
          <w:sz w:val="21"/>
          <w:szCs w:val="21"/>
        </w:rPr>
        <w:t xml:space="preserve">十日</w:t>
      </w:r>
      <w:r>
        <w:rPr>
          <w:rFonts w:hint="eastAsia" w:ascii="宋体" w:hAnsi="宋体" w:eastAsia="宋体" w:cs="宋体"/>
          <w:color w:val="000000"/>
          <w:sz w:val="21"/>
          <w:szCs w:val="21"/>
        </w:rPr>
        <w:t xml:space="preserve">前按招标公告中的通讯地址，以书面形式通知采购代理机构。</w:t>
      </w:r>
      <w:r/>
    </w:p>
    <w:p>
      <w:pPr>
        <w:pStyle w:val="711"/>
        <w:ind w:firstLine="560"/>
        <w:jc w:val="both"/>
        <w:keepLines/>
        <w:keepNext/>
        <w:pageBreakBefore w:val="0"/>
        <w:spacing w:beforeAutospacing="0" w:afterAutospacing="0" w:line="360" w:lineRule="auto"/>
        <w:widowControl w:val="off"/>
        <w:rPr>
          <w:rFonts w:hint="eastAsia" w:ascii="宋体" w:hAnsi="宋体" w:eastAsia="宋体" w:cs="宋体"/>
          <w:sz w:val="21"/>
          <w:szCs w:val="21"/>
        </w:rPr>
      </w:pPr>
      <w:r/>
      <w:bookmarkStart w:id="62" w:name="_Toc513029212"/>
      <w:r/>
      <w:bookmarkStart w:id="63" w:name="_Toc20823284"/>
      <w:r/>
      <w:bookmarkStart w:id="64" w:name="_Toc462564071"/>
      <w:r/>
      <w:bookmarkStart w:id="65" w:name="_Toc16938528"/>
      <w:r>
        <w:rPr>
          <w:rFonts w:hint="eastAsia" w:ascii="宋体" w:hAnsi="宋体" w:eastAsia="宋体" w:cs="宋体"/>
          <w:color w:val="000000"/>
          <w:sz w:val="21"/>
          <w:szCs w:val="21"/>
        </w:rPr>
        <w:t xml:space="preserve">8、招标文件的修改</w:t>
      </w:r>
      <w:bookmarkEnd w:id="62"/>
      <w:r/>
      <w:bookmarkEnd w:id="63"/>
      <w:r/>
      <w:bookmarkEnd w:id="64"/>
      <w:r/>
      <w:bookmarkEnd w:id="65"/>
      <w:r/>
      <w:r/>
    </w:p>
    <w:p>
      <w:pPr>
        <w:pStyle w:val="711"/>
        <w:ind w:firstLine="560"/>
        <w:jc w:val="both"/>
        <w:keepLines/>
        <w:keepNext/>
        <w:pageBreakBefore w:val="0"/>
        <w:spacing w:beforeAutospacing="0" w:afterAutospacing="0" w:line="360" w:lineRule="auto"/>
        <w:widowControl w:val="off"/>
        <w:rPr>
          <w:rFonts w:hint="eastAsia" w:ascii="宋体" w:hAnsi="宋体" w:eastAsia="宋体" w:cs="宋体"/>
          <w:color w:val="000000"/>
          <w:sz w:val="21"/>
          <w:szCs w:val="21"/>
        </w:rPr>
      </w:pPr>
      <w:r/>
      <w:bookmarkStart w:id="66" w:name="_Toc513029213"/>
      <w:r/>
      <w:bookmarkStart w:id="67" w:name="_Toc20823285"/>
      <w:r/>
      <w:bookmarkStart w:id="68" w:name="_Toc120614216"/>
      <w:r/>
      <w:bookmarkStart w:id="69" w:name="_Toc16938529"/>
      <w:r/>
      <w:bookmarkStart w:id="70" w:name="_Toc462564072"/>
      <w:r>
        <w:rPr>
          <w:rFonts w:hint="eastAsia" w:ascii="宋体" w:hAnsi="宋体" w:eastAsia="宋体" w:cs="宋体"/>
          <w:color w:val="000000"/>
          <w:sz w:val="21"/>
          <w:szCs w:val="21"/>
        </w:rPr>
        <w:t xml:space="preserve">8.1在投标截止时间前，</w:t>
      </w:r>
      <w:r>
        <w:rPr>
          <w:rFonts w:hint="eastAsia" w:ascii="宋体" w:hAnsi="宋体" w:eastAsia="宋体" w:cs="宋体"/>
          <w:color w:val="000000"/>
          <w:sz w:val="21"/>
          <w:szCs w:val="21"/>
          <w:lang w:eastAsia="zh-CN"/>
        </w:rPr>
        <w:t xml:space="preserve">采购代理机构</w:t>
      </w:r>
      <w:r>
        <w:rPr>
          <w:rFonts w:hint="eastAsia" w:ascii="宋体" w:hAnsi="宋体" w:eastAsia="宋体" w:cs="宋体"/>
          <w:color w:val="000000"/>
          <w:sz w:val="21"/>
          <w:szCs w:val="21"/>
        </w:rPr>
        <w:t xml:space="preserve">可以对招标文件进行修改。</w:t>
      </w:r>
      <w:r/>
    </w:p>
    <w:p>
      <w:pPr>
        <w:pStyle w:val="711"/>
        <w:ind w:firstLine="560"/>
        <w:jc w:val="both"/>
        <w:keepLines/>
        <w:keepNext/>
        <w:pageBreakBefore w:val="0"/>
        <w:spacing w:beforeAutospacing="0" w:afterAutospacing="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8.2</w:t>
      </w:r>
      <w:r>
        <w:rPr>
          <w:rFonts w:hint="eastAsia" w:ascii="宋体" w:hAnsi="宋体" w:eastAsia="宋体" w:cs="宋体"/>
          <w:color w:val="000000"/>
          <w:sz w:val="21"/>
          <w:szCs w:val="21"/>
          <w:lang w:eastAsia="zh-CN"/>
        </w:rPr>
        <w:t xml:space="preserve">采购代理机构</w:t>
      </w:r>
      <w:r>
        <w:rPr>
          <w:rFonts w:hint="eastAsia" w:ascii="宋体" w:hAnsi="宋体" w:eastAsia="宋体" w:cs="宋体"/>
          <w:color w:val="000000"/>
          <w:sz w:val="21"/>
          <w:szCs w:val="21"/>
        </w:rPr>
        <w:t xml:space="preserve">有权按照法定的要求推迟投标截止日期和开标日期。</w:t>
      </w:r>
      <w:r/>
    </w:p>
    <w:p>
      <w:pPr>
        <w:pStyle w:val="711"/>
        <w:ind w:firstLine="560"/>
        <w:jc w:val="both"/>
        <w:keepLines/>
        <w:keepNext/>
        <w:pageBreakBefore w:val="0"/>
        <w:spacing w:beforeAutospacing="0" w:afterAutospacing="0" w:line="360" w:lineRule="auto"/>
        <w:widowControl w:val="off"/>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8.3招标文件的修改将在</w:t>
      </w:r>
      <w:r>
        <w:rPr>
          <w:rFonts w:hint="eastAsia" w:ascii="宋体" w:hAnsi="宋体" w:eastAsia="宋体" w:cs="宋体"/>
          <w:color w:val="000000"/>
          <w:sz w:val="21"/>
          <w:szCs w:val="21"/>
          <w:lang w:val="en-US" w:eastAsia="zh-CN"/>
        </w:rPr>
        <w:t xml:space="preserve">中国政府采购网、</w:t>
      </w:r>
      <w:r>
        <w:rPr>
          <w:rFonts w:hint="eastAsia" w:ascii="宋体" w:hAnsi="宋体" w:eastAsia="宋体" w:cs="宋体"/>
          <w:color w:val="000000"/>
          <w:sz w:val="21"/>
          <w:szCs w:val="21"/>
        </w:rPr>
        <w:t xml:space="preserve">江苏政府采购网</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盐城市政府采购网公布，补充文件将作为招标文件的组成部分，并对投标人具有约束力。</w:t>
      </w:r>
      <w:r/>
    </w:p>
    <w:p>
      <w:pPr>
        <w:pStyle w:val="711"/>
        <w:ind w:firstLine="482"/>
        <w:jc w:val="both"/>
        <w:keepLines/>
        <w:keepNext/>
        <w:spacing w:before="145" w:beforeAutospacing="0" w:after="145" w:afterAutospacing="0" w:line="360" w:lineRule="auto"/>
        <w:rPr>
          <w:rFonts w:hint="eastAsia" w:ascii="宋体" w:hAnsi="宋体" w:eastAsia="宋体" w:cs="宋体"/>
          <w:sz w:val="21"/>
          <w:szCs w:val="21"/>
        </w:rPr>
      </w:pPr>
      <w:r>
        <w:rPr>
          <w:rFonts w:hint="eastAsia" w:ascii="宋体" w:hAnsi="宋体" w:eastAsia="宋体" w:cs="宋体"/>
          <w:b/>
          <w:color w:val="000000"/>
          <w:sz w:val="21"/>
          <w:szCs w:val="21"/>
        </w:rPr>
        <w:t xml:space="preserve">三、投标文件的编制</w:t>
      </w:r>
      <w:bookmarkEnd w:id="66"/>
      <w:r/>
      <w:bookmarkEnd w:id="67"/>
      <w:r/>
      <w:bookmarkEnd w:id="68"/>
      <w:r/>
      <w:bookmarkEnd w:id="69"/>
      <w:r/>
      <w:bookmarkEnd w:id="70"/>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bookmarkStart w:id="71" w:name="_Toc513029214"/>
      <w:r/>
      <w:bookmarkStart w:id="72" w:name="_Toc462564073"/>
      <w:r/>
      <w:bookmarkStart w:id="73" w:name="_Toc16938530"/>
      <w:r/>
      <w:bookmarkStart w:id="74" w:name="_Toc20823286"/>
      <w:r/>
      <w:bookmarkStart w:id="75" w:name="_Hlt26954838"/>
      <w:r/>
      <w:bookmarkStart w:id="76" w:name="_Hlt26670360"/>
      <w:r/>
      <w:bookmarkStart w:id="77" w:name="_Hlt26668975"/>
      <w:r>
        <w:rPr>
          <w:rFonts w:hint="eastAsia" w:ascii="宋体" w:hAnsi="宋体" w:eastAsia="宋体" w:cs="宋体"/>
          <w:sz w:val="21"/>
          <w:szCs w:val="21"/>
        </w:rPr>
        <w:t xml:space="preserve">9、投标文件的语言及度量衡单位</w:t>
      </w:r>
      <w:bookmarkEnd w:id="71"/>
      <w:r/>
      <w:bookmarkEnd w:id="72"/>
      <w:r/>
      <w:bookmarkEnd w:id="73"/>
      <w:r/>
      <w:bookmarkEnd w:id="74"/>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9.1投标人提交的投标文件以及投标人与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就有关投标的所有来往通知、函件和文件均应使用简体中文。</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9.2除技术性能另有规定外，投标文件所使用的度量衡单位，均须采用国家法定计量单位。</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bookmarkStart w:id="78" w:name="_Toc513029215"/>
      <w:r/>
      <w:bookmarkStart w:id="79" w:name="_Toc462564074"/>
      <w:r/>
      <w:bookmarkStart w:id="80" w:name="_Toc16938531"/>
      <w:r/>
      <w:bookmarkStart w:id="81" w:name="_Toc20823287"/>
      <w:r>
        <w:rPr>
          <w:rFonts w:hint="eastAsia" w:ascii="宋体" w:hAnsi="宋体" w:eastAsia="宋体" w:cs="宋体"/>
          <w:sz w:val="21"/>
          <w:szCs w:val="21"/>
        </w:rPr>
        <w:t xml:space="preserve">10、投标文件构成</w:t>
      </w:r>
      <w:bookmarkEnd w:id="78"/>
      <w:r/>
      <w:bookmarkEnd w:id="79"/>
      <w:r/>
      <w:bookmarkEnd w:id="80"/>
      <w:r/>
      <w:bookmarkEnd w:id="81"/>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10.1投标人编写的投标文件应包括资格证明文件、符合性证明文件、投标分项报价表、技术要求响应及偏离表、商务要求响应及偏离表、其他证明文件、投标函、开标一览表等部分。</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10.2如标书制作工具中格式和内容与</w:t>
      </w:r>
      <w:r>
        <w:rPr>
          <w:rFonts w:hint="eastAsia" w:ascii="宋体" w:hAnsi="宋体" w:eastAsia="宋体" w:cs="宋体"/>
          <w:sz w:val="21"/>
          <w:szCs w:val="21"/>
          <w:lang w:val="en-US" w:eastAsia="zh-CN"/>
        </w:rPr>
        <w:t xml:space="preserve">“中国政府采购网”、</w:t>
      </w:r>
      <w:r>
        <w:rPr>
          <w:rFonts w:hint="eastAsia" w:ascii="宋体" w:hAnsi="宋体" w:eastAsia="宋体" w:cs="宋体"/>
          <w:sz w:val="21"/>
          <w:szCs w:val="21"/>
        </w:rPr>
        <w:t xml:space="preserve">“江苏政府采购网”、“盐城市政府采购网”发布的招标文件不一致，请以</w:t>
      </w:r>
      <w:r>
        <w:rPr>
          <w:rFonts w:hint="eastAsia" w:ascii="宋体" w:hAnsi="宋体" w:eastAsia="宋体" w:cs="宋体"/>
          <w:sz w:val="21"/>
          <w:szCs w:val="21"/>
          <w:lang w:val="en-US" w:eastAsia="zh-CN"/>
        </w:rPr>
        <w:t xml:space="preserve">“中国政府采购网”、</w:t>
      </w:r>
      <w:r>
        <w:rPr>
          <w:rFonts w:hint="eastAsia" w:ascii="宋体" w:hAnsi="宋体" w:eastAsia="宋体" w:cs="宋体"/>
          <w:sz w:val="21"/>
          <w:szCs w:val="21"/>
        </w:rPr>
        <w:t xml:space="preserve">“江苏政府采购网”、“盐城市政府采购网”发布的招标文件为准。</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bookmarkStart w:id="82" w:name="_Toc513029219"/>
      <w:r/>
      <w:bookmarkStart w:id="83" w:name="_Toc49090509"/>
      <w:r/>
      <w:bookmarkStart w:id="84" w:name="_Toc14577354"/>
      <w:r/>
      <w:bookmarkStart w:id="85" w:name="_Toc49090507"/>
      <w:r/>
      <w:bookmarkStart w:id="86" w:name="_Toc513029216"/>
      <w:r/>
      <w:bookmarkStart w:id="87" w:name="_Toc14577357"/>
      <w:r>
        <w:rPr>
          <w:rFonts w:hint="eastAsia" w:ascii="宋体" w:hAnsi="宋体" w:eastAsia="宋体" w:cs="宋体"/>
          <w:sz w:val="21"/>
          <w:szCs w:val="21"/>
        </w:rPr>
        <w:t xml:space="preserve">11、证明投标人及投标标的符合招标文件规定的文件</w:t>
      </w:r>
      <w:bookmarkEnd w:id="82"/>
      <w:r/>
      <w:bookmarkEnd w:id="83"/>
      <w:r/>
      <w:bookmarkEnd w:id="84"/>
      <w:r/>
      <w:bookmarkEnd w:id="85"/>
      <w:r/>
      <w:bookmarkEnd w:id="86"/>
      <w:r/>
      <w:bookmarkEnd w:id="87"/>
      <w:r/>
      <w:r/>
    </w:p>
    <w:p>
      <w:pPr>
        <w:pStyle w:val="711"/>
        <w:ind w:firstLine="420"/>
        <w:jc w:val="both"/>
        <w:pageBreakBefore w:val="0"/>
        <w:spacing w:beforeAutospacing="0" w:afterAutospacing="0" w:line="360" w:lineRule="auto"/>
        <w:widowControl w:val="off"/>
        <w:rPr>
          <w:rFonts w:hint="eastAsia" w:ascii="宋体" w:hAnsi="宋体" w:eastAsia="宋体" w:cs="宋体"/>
          <w:sz w:val="21"/>
          <w:szCs w:val="21"/>
        </w:rPr>
      </w:pPr>
      <w:r/>
      <w:bookmarkStart w:id="88" w:name="_Toc49090508"/>
      <w:r/>
      <w:bookmarkStart w:id="89" w:name="_Toc14577355"/>
      <w:r>
        <w:rPr>
          <w:rFonts w:hint="eastAsia" w:ascii="宋体" w:hAnsi="宋体" w:eastAsia="宋体" w:cs="宋体"/>
          <w:sz w:val="21"/>
          <w:szCs w:val="21"/>
        </w:rPr>
        <w:t xml:space="preserve">11.1投标人应按照法律、法规、规章和规范性文件以及招标文件要求提交证明文件，证明其及投标标的符合招标文件规定。</w:t>
      </w:r>
      <w:bookmarkEnd w:id="88"/>
      <w:r/>
      <w:bookmarkEnd w:id="89"/>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11.2招标文件对证明文件无明确形式要求的，证明文件可以以文字资料、图纸和数据等形式提交。</w:t>
      </w:r>
      <w:r/>
    </w:p>
    <w:p>
      <w:pPr>
        <w:pStyle w:val="711"/>
        <w:ind w:firstLine="420"/>
        <w:jc w:val="both"/>
        <w:keepLines/>
        <w:keepNext/>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12、投标分项报价</w:t>
      </w:r>
      <w:bookmarkStart w:id="90" w:name="_Hlt26670373"/>
      <w:r>
        <w:rPr>
          <w:rFonts w:hint="eastAsia" w:ascii="宋体" w:hAnsi="宋体" w:eastAsia="宋体" w:cs="宋体"/>
          <w:color w:val="000000"/>
          <w:sz w:val="21"/>
          <w:szCs w:val="21"/>
        </w:rPr>
        <w:t xml:space="preserve">表</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12.1投</w:t>
      </w:r>
      <w:bookmarkStart w:id="91" w:name="_Hlt26954840"/>
      <w:r>
        <w:rPr>
          <w:rFonts w:hint="eastAsia" w:ascii="宋体" w:hAnsi="宋体" w:eastAsia="宋体" w:cs="宋体"/>
          <w:color w:val="000000"/>
          <w:sz w:val="21"/>
          <w:szCs w:val="21"/>
        </w:rPr>
        <w:t xml:space="preserve">标人应按照招标文件规定格式填报投标分项报价表</w:t>
      </w:r>
      <w:bookmarkStart w:id="92" w:name="_Hlt26670399"/>
      <w:r>
        <w:rPr>
          <w:rFonts w:hint="eastAsia" w:ascii="宋体" w:hAnsi="宋体" w:eastAsia="宋体" w:cs="宋体"/>
          <w:color w:val="000000"/>
          <w:sz w:val="21"/>
          <w:szCs w:val="21"/>
        </w:rPr>
        <w:t xml:space="preserve">。</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12.2投标货币。投标文件中的单价和总价无特殊规定的采用人民币报价，以元为单位标注。招标文件中另有规定的按规定执行。</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有关费用处理的约定</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1、投标人根据</w:t>
      </w:r>
      <w:r>
        <w:rPr>
          <w:rFonts w:hint="eastAsia" w:ascii="宋体" w:hAnsi="宋体" w:eastAsia="宋体" w:cs="宋体"/>
          <w:color w:val="000000"/>
          <w:sz w:val="21"/>
          <w:szCs w:val="21"/>
          <w:highlight w:val="none"/>
        </w:rPr>
        <w:t xml:space="preserve">现场实际情况、采购人提供的硬件及软件服务、自身实力、结合市场行情报价，此报价应包括为完成招标文件中的所有内容。投标人应充分考虑为完成上述内容所必须的全部服务所需的所有费用，即主要包括（但不限于）：货物费用（含硬件、软件、附件、辅材、配件、备品备件、专用工具、技术资料等）、直接和间接成本费、材料损耗费、劳务费、竣工面的清洁费、垃圾清运费、包装费、运杂费（含运输费）、装卸费、调试（含试运行）费、数据和网络的整合费、系统集成费、保修费、保险费、配合费、安装费、技术（含操作、维护等）培训、维护、升级、保密及售后服务</w:t>
      </w:r>
      <w:r>
        <w:rPr>
          <w:rFonts w:hint="eastAsia" w:ascii="宋体" w:hAnsi="宋体" w:eastAsia="宋体" w:cs="宋体"/>
          <w:b w:val="0"/>
          <w:bCs w:val="0"/>
          <w:color w:val="000000"/>
          <w:sz w:val="21"/>
          <w:szCs w:val="21"/>
          <w:highlight w:val="none"/>
        </w:rPr>
        <w:t xml:space="preserve">费</w:t>
      </w:r>
      <w:r>
        <w:rPr>
          <w:rFonts w:hint="eastAsia" w:ascii="宋体" w:hAnsi="宋体" w:eastAsia="宋体" w:cs="宋体"/>
          <w:b w:val="0"/>
          <w:bCs w:val="0"/>
          <w:i w:val="0"/>
          <w:iCs w:val="0"/>
          <w:color w:val="000000"/>
          <w:sz w:val="21"/>
          <w:szCs w:val="21"/>
          <w:highlight w:val="none"/>
        </w:rPr>
        <w:t xml:space="preserve">、</w:t>
      </w:r>
      <w:r>
        <w:rPr>
          <w:rFonts w:hint="eastAsia" w:ascii="宋体" w:hAnsi="宋体" w:eastAsia="宋体" w:cs="宋体"/>
          <w:b w:val="0"/>
          <w:bCs w:val="0"/>
          <w:i w:val="0"/>
          <w:iCs w:val="0"/>
          <w:color w:val="000000"/>
          <w:sz w:val="21"/>
          <w:szCs w:val="21"/>
          <w:highlight w:val="none"/>
          <w:lang w:eastAsia="zh-CN"/>
        </w:rPr>
        <w:t xml:space="preserve">招标人咨询费（</w:t>
      </w:r>
      <w:r>
        <w:rPr>
          <w:rFonts w:hint="eastAsia" w:ascii="宋体" w:hAnsi="宋体" w:eastAsia="宋体" w:cs="宋体"/>
          <w:b w:val="0"/>
          <w:bCs w:val="0"/>
          <w:color w:val="000000"/>
          <w:sz w:val="21"/>
          <w:szCs w:val="21"/>
          <w:highlight w:val="none"/>
        </w:rPr>
        <w:t xml:space="preserve">按苏招协（2022）002号文件规定标准50%计取，由中标人承担</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rPr>
        <w:t xml:space="preserve">管理费、税金、利润、风险费、成品保护费、不可预见费及其他一切相关费用等所需的全部费用，凡漏项或少计均视为优惠，招标人不另行增加费用。各类风险和政策性调整等风险已包括在投标报价中，最终结算时除合同约定调整外一律不予调整。</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投标报价方式：固定单价报价。</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由投标人自行根据采购人提供的招标文件及答疑文件等资料要求，并根据市场行情、结合自身公司实力、管理水平等因素，按要求的报价格式进行报价。中标后，执行其投标报价金额，其在招标范围内的漏项或缺项部分视为已包含在其投标总价中，结算时除变更外，一律不预调整中标价。</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2、只允许有一个报价，任何有选择的报价将被拒绝。</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12.5</w:t>
      </w:r>
      <w:r>
        <w:rPr>
          <w:rFonts w:hint="eastAsia" w:ascii="宋体" w:hAnsi="宋体" w:eastAsia="宋体" w:cs="宋体"/>
          <w:color w:val="000000"/>
          <w:sz w:val="21"/>
          <w:szCs w:val="21"/>
          <w:highlight w:val="none"/>
        </w:rPr>
        <w:t xml:space="preserve">现场踏勘要求：投标人均应自行到项目现场进行踏勘，充分了解项目位置、情况及任何其他足以影响报价的情况，并将本项目可预见的相关费用考虑到投标报价中，中标后采购人可认为本项目可预见的所有费用已在投标报价中予以考虑。任何因忽视或误解现场情况而导致的索赔将不被批准。</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12.6</w:t>
      </w:r>
      <w:r>
        <w:rPr>
          <w:rFonts w:hint="eastAsia" w:ascii="宋体" w:hAnsi="宋体" w:eastAsia="宋体" w:cs="宋体"/>
          <w:color w:val="000000"/>
          <w:sz w:val="21"/>
          <w:szCs w:val="21"/>
          <w:highlight w:val="none"/>
        </w:rPr>
        <w:t xml:space="preserve">其它费用处理</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招标文件未列明，而投标人认为必需的费用也需列入报价。</w:t>
      </w:r>
      <w:r/>
    </w:p>
    <w:p>
      <w:pPr>
        <w:pStyle w:val="711"/>
        <w:ind w:firstLine="420"/>
        <w:jc w:val="both"/>
        <w:keepLines/>
        <w:keepNext/>
        <w:pageBreakBefore w:val="0"/>
        <w:spacing w:beforeAutospacing="0" w:afterAutospacing="0" w:line="360" w:lineRule="auto"/>
        <w:widowControl w:val="off"/>
        <w:rPr>
          <w:rFonts w:hint="eastAsia" w:ascii="宋体" w:hAnsi="宋体" w:eastAsia="宋体" w:cs="宋体"/>
          <w:sz w:val="21"/>
          <w:szCs w:val="21"/>
        </w:rPr>
      </w:pPr>
      <w:r/>
      <w:bookmarkStart w:id="93" w:name="_Hlt26670482"/>
      <w:r/>
      <w:bookmarkStart w:id="94" w:name="_Hlt26954848"/>
      <w:r/>
      <w:bookmarkStart w:id="95" w:name="_Hlt26954842"/>
      <w:r/>
      <w:bookmarkStart w:id="96" w:name="_Hlt26954844"/>
      <w:r/>
      <w:bookmarkStart w:id="97" w:name="_Hlt26954846"/>
      <w:r/>
      <w:bookmarkStart w:id="98" w:name="_Hlt26668983"/>
      <w:r/>
      <w:bookmarkStart w:id="99" w:name="_Hlt26670403"/>
      <w:r/>
      <w:bookmarkStart w:id="100" w:name="_Hlt26670486"/>
      <w:r/>
      <w:bookmarkStart w:id="101" w:name="_Hlt26954731"/>
      <w:r/>
      <w:bookmarkStart w:id="102" w:name="_Hlt26670425"/>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rPr>
        <w:t xml:space="preserve">、技术要求响应及偏离表、商务要求响应及偏离表</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rPr>
        <w:t xml:space="preserve">.1投标人需对招标文件中的技术要求与商务要求逐项作出响应或偏离，并说明原因。</w:t>
      </w:r>
      <w:r/>
    </w:p>
    <w:p>
      <w:pPr>
        <w:pStyle w:val="711"/>
        <w:ind w:firstLine="480"/>
        <w:jc w:val="both"/>
        <w:pageBreakBefore w:val="0"/>
        <w:spacing w:beforeAutospacing="0" w:afterAutospacing="0" w:line="360" w:lineRule="auto"/>
        <w:widowControl w:val="off"/>
        <w:tabs>
          <w:tab w:val="left" w:pos="1036" w:leader="none"/>
        </w:tabs>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rPr>
        <w:t xml:space="preserve">.2投标人可在投标文件中提供认为需要的其他技术文件或说明。</w:t>
      </w:r>
      <w:r/>
    </w:p>
    <w:p>
      <w:pPr>
        <w:pStyle w:val="711"/>
        <w:ind w:firstLine="420"/>
        <w:jc w:val="both"/>
        <w:keepLines/>
        <w:keepNext/>
        <w:pageBreakBefore w:val="0"/>
        <w:spacing w:beforeAutospacing="0" w:afterAutospacing="0" w:line="360" w:lineRule="auto"/>
        <w:widowControl w:val="off"/>
        <w:rPr>
          <w:rFonts w:hint="eastAsia" w:ascii="宋体" w:hAnsi="宋体" w:eastAsia="宋体" w:cs="宋体"/>
          <w:sz w:val="21"/>
          <w:szCs w:val="21"/>
        </w:rPr>
      </w:pPr>
      <w:r/>
      <w:bookmarkStart w:id="103" w:name="_Toc49090510"/>
      <w:r/>
      <w:bookmarkStart w:id="104" w:name="_Toc14577359"/>
      <w:r>
        <w:rPr>
          <w:rFonts w:hint="eastAsia" w:ascii="宋体" w:hAnsi="宋体" w:eastAsia="宋体" w:cs="宋体"/>
          <w:color w:val="000000"/>
          <w:sz w:val="21"/>
          <w:szCs w:val="21"/>
          <w:lang w:val="en-US" w:eastAsia="zh-CN"/>
        </w:rPr>
        <w:t xml:space="preserve">14</w:t>
      </w:r>
      <w:r>
        <w:rPr>
          <w:rFonts w:hint="eastAsia" w:ascii="宋体" w:hAnsi="宋体" w:eastAsia="宋体" w:cs="宋体"/>
          <w:color w:val="000000"/>
          <w:sz w:val="21"/>
          <w:szCs w:val="21"/>
        </w:rPr>
        <w:t xml:space="preserve">、投标函和开标一览表</w:t>
      </w:r>
      <w:bookmarkEnd w:id="103"/>
      <w:r/>
      <w:bookmarkEnd w:id="104"/>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14</w:t>
      </w:r>
      <w:r>
        <w:rPr>
          <w:rFonts w:hint="eastAsia" w:ascii="宋体" w:hAnsi="宋体" w:eastAsia="宋体" w:cs="宋体"/>
          <w:color w:val="000000"/>
          <w:sz w:val="21"/>
          <w:szCs w:val="21"/>
        </w:rPr>
        <w:t xml:space="preserve">.1投标人应按照招标文件中提供的格式完整、正确填写投标函、开标一览表。</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14</w:t>
      </w:r>
      <w:r>
        <w:rPr>
          <w:rFonts w:hint="eastAsia" w:ascii="宋体" w:hAnsi="宋体" w:eastAsia="宋体" w:cs="宋体"/>
          <w:color w:val="000000"/>
          <w:sz w:val="21"/>
          <w:szCs w:val="21"/>
        </w:rPr>
        <w:t xml:space="preserve">.2对于采用货币报价的项目，开标一览表中的投标总报价应与投标分项报价表中的投标总报价一致，如不一致，不作为无效投标处理，但评标时按开标一览表中价格为准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1"/>
          <w:szCs w:val="21"/>
        </w:rPr>
        <w:t xml:space="preserve">。</w:t>
      </w:r>
      <w:r/>
    </w:p>
    <w:p>
      <w:pPr>
        <w:pStyle w:val="711"/>
        <w:ind w:firstLine="420"/>
        <w:jc w:val="both"/>
        <w:keepLines/>
        <w:keepNext/>
        <w:pageBreakBefore w:val="0"/>
        <w:spacing w:beforeAutospacing="0" w:afterAutospacing="0" w:line="360" w:lineRule="auto"/>
        <w:widowControl w:val="off"/>
        <w:rPr>
          <w:rFonts w:hint="eastAsia" w:ascii="宋体" w:hAnsi="宋体" w:eastAsia="宋体" w:cs="宋体"/>
          <w:sz w:val="21"/>
          <w:szCs w:val="21"/>
        </w:rPr>
      </w:pPr>
      <w:r/>
      <w:bookmarkStart w:id="105" w:name="_Toc14577360"/>
      <w:r/>
      <w:bookmarkStart w:id="106" w:name="_Toc49090511"/>
      <w:r/>
      <w:bookmarkStart w:id="107" w:name="_Hlt26954734"/>
      <w:r/>
      <w:bookmarkStart w:id="108" w:name="_Hlt26670489"/>
      <w:r/>
      <w:bookmarkStart w:id="109" w:name="_Hlt26954850"/>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rPr>
        <w:t xml:space="preserve">、投标有效期</w:t>
      </w:r>
      <w:bookmarkEnd w:id="105"/>
      <w:r/>
      <w:bookmarkEnd w:id="106"/>
      <w:r/>
      <w:r/>
    </w:p>
    <w:p>
      <w:pPr>
        <w:pStyle w:val="711"/>
        <w:ind w:firstLine="482"/>
        <w:jc w:val="both"/>
        <w:keepLines/>
        <w:keepNext/>
        <w:spacing w:before="145" w:beforeAutospacing="0" w:after="145" w:afterAutospacing="0" w:line="360" w:lineRule="auto"/>
        <w:rPr>
          <w:rFonts w:hint="eastAsia" w:ascii="宋体" w:hAnsi="宋体" w:eastAsia="宋体" w:cs="宋体"/>
          <w:b w:val="0"/>
          <w:bCs/>
          <w:color w:val="000000"/>
          <w:sz w:val="21"/>
          <w:szCs w:val="21"/>
        </w:rPr>
      </w:pPr>
      <w:r/>
      <w:bookmarkStart w:id="110" w:name="_Toc513029224"/>
      <w:r/>
      <w:bookmarkStart w:id="111" w:name="_Toc16938540"/>
      <w:r/>
      <w:bookmarkStart w:id="112" w:name="_Toc120614217"/>
      <w:r/>
      <w:bookmarkStart w:id="113" w:name="_Toc20823296"/>
      <w:r/>
      <w:bookmarkStart w:id="114" w:name="_Hlt26954852"/>
      <w:r/>
      <w:bookmarkStart w:id="115" w:name="_Hlt26954739"/>
      <w:r>
        <w:rPr>
          <w:rFonts w:hint="eastAsia" w:ascii="宋体" w:hAnsi="宋体" w:eastAsia="宋体" w:cs="宋体"/>
          <w:color w:val="000000"/>
          <w:sz w:val="21"/>
          <w:szCs w:val="21"/>
        </w:rPr>
        <w:t xml:space="preserve">15.1投标有效期为</w:t>
      </w:r>
      <w:r>
        <w:rPr>
          <w:rFonts w:hint="eastAsia" w:ascii="宋体" w:hAnsi="宋体" w:eastAsia="宋体" w:cs="宋体"/>
          <w:color w:val="000000"/>
          <w:sz w:val="21"/>
          <w:szCs w:val="21"/>
          <w:lang w:eastAsia="zh-CN"/>
        </w:rPr>
        <w:t xml:space="preserve">采购代理机构</w:t>
      </w:r>
      <w:r>
        <w:rPr>
          <w:rFonts w:hint="eastAsia" w:ascii="宋体" w:hAnsi="宋体" w:eastAsia="宋体" w:cs="宋体"/>
          <w:color w:val="000000"/>
          <w:sz w:val="21"/>
          <w:szCs w:val="21"/>
        </w:rPr>
        <w:t xml:space="preserve">规定的开标之日后六十（60）天。投标有效期比规定短的将被视为未实质性响应招标文件而予以拒绝。</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16、投标有效期的延长</w:t>
      </w:r>
      <w:r/>
    </w:p>
    <w:p>
      <w:pPr>
        <w:pStyle w:val="711"/>
        <w:ind w:firstLine="480"/>
        <w:jc w:val="both"/>
        <w:pageBreakBefore w:val="0"/>
        <w:spacing w:beforeAutospacing="0" w:afterAutospacing="0" w:line="360" w:lineRule="auto"/>
        <w:widowControl w:val="off"/>
        <w:rPr>
          <w:rFonts w:hint="eastAsia" w:ascii="宋体" w:hAnsi="宋体" w:eastAsia="宋体" w:cs="宋体"/>
          <w:b w:val="0"/>
          <w:bCs/>
          <w:color w:val="000000"/>
          <w:sz w:val="21"/>
          <w:szCs w:val="21"/>
        </w:rPr>
      </w:pPr>
      <w:r>
        <w:rPr>
          <w:rFonts w:hint="eastAsia" w:ascii="宋体" w:hAnsi="宋体" w:eastAsia="宋体" w:cs="宋体"/>
          <w:color w:val="000000"/>
          <w:sz w:val="21"/>
          <w:szCs w:val="21"/>
        </w:rPr>
        <w:t xml:space="preserve">16.1在特殊情况下，</w:t>
      </w:r>
      <w:r>
        <w:rPr>
          <w:rFonts w:hint="eastAsia" w:ascii="宋体" w:hAnsi="宋体" w:eastAsia="宋体" w:cs="宋体"/>
          <w:color w:val="000000"/>
          <w:sz w:val="21"/>
          <w:szCs w:val="21"/>
          <w:lang w:eastAsia="zh-CN"/>
        </w:rPr>
        <w:t xml:space="preserve">采购代理机构</w:t>
      </w:r>
      <w:r>
        <w:rPr>
          <w:rFonts w:hint="eastAsia" w:ascii="宋体" w:hAnsi="宋体" w:eastAsia="宋体" w:cs="宋体"/>
          <w:color w:val="000000"/>
          <w:sz w:val="21"/>
          <w:szCs w:val="21"/>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1"/>
          <w:szCs w:val="21"/>
          <w:lang w:eastAsia="zh-CN"/>
        </w:rPr>
        <w:t xml:space="preserve">采购代理机构</w:t>
      </w:r>
      <w:r>
        <w:rPr>
          <w:rFonts w:hint="eastAsia" w:ascii="宋体" w:hAnsi="宋体" w:eastAsia="宋体" w:cs="宋体"/>
          <w:color w:val="000000"/>
          <w:sz w:val="21"/>
          <w:szCs w:val="21"/>
        </w:rPr>
        <w:t xml:space="preserve">的这一要求而放弃投标。同意延长投标有效期的投标人既不能要求也不允许修改其投标文件，同时受投标有效期约束的所有权利与义务均延长至新的有效期。</w:t>
      </w:r>
      <w:r/>
    </w:p>
    <w:p>
      <w:pPr>
        <w:pStyle w:val="711"/>
        <w:ind w:firstLine="482"/>
        <w:jc w:val="both"/>
        <w:keepLines/>
        <w:keepNext/>
        <w:spacing w:before="145" w:beforeAutospacing="0" w:after="145" w:afterAutospacing="0" w:line="360" w:lineRule="auto"/>
        <w:rPr>
          <w:rFonts w:hint="eastAsia" w:ascii="宋体" w:hAnsi="宋体" w:eastAsia="宋体" w:cs="宋体"/>
          <w:sz w:val="21"/>
          <w:szCs w:val="21"/>
        </w:rPr>
      </w:pPr>
      <w:r>
        <w:rPr>
          <w:rFonts w:hint="eastAsia" w:ascii="宋体" w:hAnsi="宋体" w:eastAsia="宋体" w:cs="宋体"/>
          <w:b/>
          <w:color w:val="000000"/>
          <w:sz w:val="21"/>
          <w:szCs w:val="21"/>
        </w:rPr>
        <w:t xml:space="preserve">四、投标文件的递交</w:t>
      </w:r>
      <w:bookmarkEnd w:id="110"/>
      <w:r/>
      <w:bookmarkEnd w:id="111"/>
      <w:r/>
      <w:bookmarkEnd w:id="112"/>
      <w:r/>
      <w:bookmarkEnd w:id="113"/>
      <w:r/>
      <w:r/>
    </w:p>
    <w:p>
      <w:pPr>
        <w:pStyle w:val="711"/>
        <w:ind w:firstLine="560"/>
        <w:jc w:val="both"/>
        <w:keepLines/>
        <w:keepNext/>
        <w:pageBreakBefore w:val="0"/>
        <w:spacing w:beforeAutospacing="0" w:afterAutospacing="0" w:line="360" w:lineRule="auto"/>
        <w:widowControl w:val="off"/>
        <w:rPr>
          <w:rFonts w:hint="eastAsia" w:ascii="宋体" w:hAnsi="宋体" w:eastAsia="宋体" w:cs="宋体"/>
          <w:sz w:val="21"/>
          <w:szCs w:val="21"/>
        </w:rPr>
      </w:pPr>
      <w:r/>
      <w:bookmarkStart w:id="116" w:name="_Toc513029225"/>
      <w:r/>
      <w:bookmarkStart w:id="117" w:name="_Toc462564084"/>
      <w:r/>
      <w:bookmarkStart w:id="118" w:name="_Toc16938541"/>
      <w:r/>
      <w:bookmarkStart w:id="119" w:name="_Toc20823297"/>
      <w:r>
        <w:rPr>
          <w:rFonts w:hint="eastAsia" w:ascii="宋体" w:hAnsi="宋体" w:eastAsia="宋体" w:cs="宋体"/>
          <w:color w:val="000000"/>
          <w:sz w:val="21"/>
          <w:szCs w:val="21"/>
        </w:rPr>
        <w:t xml:space="preserve">17、投标文件</w:t>
      </w:r>
      <w:bookmarkEnd w:id="116"/>
      <w:r/>
      <w:bookmarkEnd w:id="117"/>
      <w:r/>
      <w:bookmarkEnd w:id="118"/>
      <w:r/>
      <w:bookmarkEnd w:id="119"/>
      <w:r>
        <w:rPr>
          <w:rFonts w:hint="eastAsia" w:ascii="宋体" w:hAnsi="宋体" w:eastAsia="宋体" w:cs="宋体"/>
          <w:color w:val="000000"/>
          <w:sz w:val="21"/>
          <w:szCs w:val="21"/>
        </w:rPr>
        <w:t xml:space="preserve">的递交</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17.1 电子投标文件的递交</w:t>
      </w:r>
      <w:r/>
    </w:p>
    <w:p>
      <w:pPr>
        <w:pStyle w:val="711"/>
        <w:ind w:left="525"/>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投标人应当按照《操作手册》规定，在投标截止时间前制作并上传电子投标文件。</w:t>
      </w:r>
      <w:bookmarkStart w:id="120" w:name="_Toc20823298"/>
      <w:r/>
      <w:bookmarkEnd w:id="120"/>
      <w:r/>
      <w:bookmarkStart w:id="121" w:name="_Toc16938542"/>
      <w:r/>
      <w:bookmarkEnd w:id="121"/>
      <w:r/>
      <w:bookmarkStart w:id="122" w:name="_Toc513029226"/>
      <w:r/>
      <w:r/>
    </w:p>
    <w:p>
      <w:pPr>
        <w:ind w:firstLine="480"/>
        <w:rPr>
          <w:rFonts w:hint="eastAsia" w:ascii="宋体" w:hAnsi="宋体" w:eastAsia="宋体" w:cs="宋体"/>
          <w:sz w:val="21"/>
          <w:szCs w:val="21"/>
        </w:rPr>
      </w:pPr>
      <w:r>
        <w:rPr>
          <w:rFonts w:hint="eastAsia" w:ascii="宋体" w:hAnsi="宋体" w:eastAsia="宋体" w:cs="宋体"/>
          <w:sz w:val="21"/>
          <w:szCs w:val="21"/>
        </w:rPr>
        <w:t xml:space="preserve">18、投标截止时间</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i/>
          <w:color w:val="000000"/>
          <w:sz w:val="21"/>
          <w:szCs w:val="21"/>
          <w:u w:val="single"/>
        </w:rPr>
        <w:t xml:space="preserve">18.1投标人上传电子投标文件的时间不得迟于招标公告中规定的投标截止时间。</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投标人应充分考虑到网络环境、网络带宽等风险因素，如因投标人自身原因造成的电子投标文件上传不成功的按照本招标文件第二章第26.1.2条 规定做无效投标处理。</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18.2</w:t>
      </w:r>
      <w:r>
        <w:rPr>
          <w:rFonts w:hint="eastAsia" w:ascii="宋体" w:hAnsi="宋体" w:eastAsia="宋体" w:cs="宋体"/>
          <w:color w:val="000000"/>
          <w:sz w:val="21"/>
          <w:szCs w:val="21"/>
          <w:lang w:eastAsia="zh-CN"/>
        </w:rPr>
        <w:t xml:space="preserve">采购代理机构</w:t>
      </w:r>
      <w:r>
        <w:rPr>
          <w:rFonts w:hint="eastAsia" w:ascii="宋体" w:hAnsi="宋体" w:eastAsia="宋体" w:cs="宋体"/>
          <w:color w:val="000000"/>
          <w:sz w:val="21"/>
          <w:szCs w:val="21"/>
        </w:rPr>
        <w:t xml:space="preserve">可以按照规定，通过修改招标文件酌情延长投标截止时间，在此情况下，投标人的所有权利和义务以及投标人受制的截止时间均应以延长后新的截止时间为准。</w:t>
      </w:r>
      <w:r/>
    </w:p>
    <w:p>
      <w:pPr>
        <w:pStyle w:val="711"/>
        <w:ind w:firstLine="420"/>
        <w:jc w:val="both"/>
        <w:keepLines/>
        <w:keepNext/>
        <w:pageBreakBefore w:val="0"/>
        <w:spacing w:beforeAutospacing="0" w:afterAutospacing="0" w:line="360" w:lineRule="auto"/>
        <w:widowControl w:val="off"/>
        <w:rPr>
          <w:rFonts w:hint="eastAsia" w:ascii="宋体" w:hAnsi="宋体" w:eastAsia="宋体" w:cs="宋体"/>
          <w:sz w:val="21"/>
          <w:szCs w:val="21"/>
        </w:rPr>
      </w:pPr>
      <w:r/>
      <w:bookmarkStart w:id="123" w:name="_Toc16938543"/>
      <w:r/>
      <w:bookmarkStart w:id="124" w:name="_Toc20823299"/>
      <w:r/>
      <w:bookmarkStart w:id="125" w:name="_Toc513029227"/>
      <w:r>
        <w:rPr>
          <w:rFonts w:hint="eastAsia" w:ascii="宋体" w:hAnsi="宋体" w:eastAsia="宋体" w:cs="宋体"/>
          <w:color w:val="000000"/>
          <w:sz w:val="21"/>
          <w:szCs w:val="21"/>
        </w:rPr>
        <w:t xml:space="preserve">19、投标文件</w:t>
      </w:r>
      <w:bookmarkEnd w:id="123"/>
      <w:r/>
      <w:bookmarkEnd w:id="124"/>
      <w:r/>
      <w:bookmarkEnd w:id="125"/>
      <w:r>
        <w:rPr>
          <w:rFonts w:hint="eastAsia" w:ascii="宋体" w:hAnsi="宋体" w:eastAsia="宋体" w:cs="宋体"/>
          <w:color w:val="000000"/>
          <w:sz w:val="21"/>
          <w:szCs w:val="21"/>
        </w:rPr>
        <w:t xml:space="preserve">的拒收</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19.1</w:t>
      </w:r>
      <w:r>
        <w:rPr>
          <w:rFonts w:hint="eastAsia" w:ascii="宋体" w:hAnsi="宋体" w:eastAsia="宋体" w:cs="宋体"/>
          <w:color w:val="000000"/>
          <w:sz w:val="21"/>
          <w:szCs w:val="21"/>
          <w:lang w:eastAsia="zh-CN"/>
        </w:rPr>
        <w:t xml:space="preserve">采购代理机构</w:t>
      </w:r>
      <w:r>
        <w:rPr>
          <w:rFonts w:hint="eastAsia" w:ascii="宋体" w:hAnsi="宋体" w:eastAsia="宋体" w:cs="宋体"/>
          <w:color w:val="000000"/>
          <w:sz w:val="21"/>
          <w:szCs w:val="21"/>
        </w:rPr>
        <w:t xml:space="preserve">拒绝接收在其规定的投标截止时间后上传的任何投标文件。</w:t>
      </w:r>
      <w:r/>
    </w:p>
    <w:p>
      <w:pPr>
        <w:pStyle w:val="711"/>
        <w:ind w:firstLine="420"/>
        <w:jc w:val="both"/>
        <w:keepLines/>
        <w:keepNext/>
        <w:pageBreakBefore w:val="0"/>
        <w:spacing w:beforeAutospacing="0" w:afterAutospacing="0" w:line="360" w:lineRule="auto"/>
        <w:widowControl w:val="off"/>
        <w:rPr>
          <w:rFonts w:hint="eastAsia" w:ascii="宋体" w:hAnsi="宋体" w:eastAsia="宋体" w:cs="宋体"/>
          <w:sz w:val="21"/>
          <w:szCs w:val="21"/>
        </w:rPr>
      </w:pPr>
      <w:r/>
      <w:bookmarkStart w:id="126" w:name="_Toc20823300"/>
      <w:r/>
      <w:bookmarkStart w:id="127" w:name="_Toc16938544"/>
      <w:r/>
      <w:bookmarkStart w:id="128" w:name="_Toc513029228"/>
      <w:r>
        <w:rPr>
          <w:rFonts w:hint="eastAsia" w:ascii="宋体" w:hAnsi="宋体" w:eastAsia="宋体" w:cs="宋体"/>
          <w:color w:val="000000"/>
          <w:sz w:val="21"/>
          <w:szCs w:val="21"/>
        </w:rPr>
        <w:t xml:space="preserve">20、投标文件的撤回和修改</w:t>
      </w:r>
      <w:bookmarkEnd w:id="126"/>
      <w:r/>
      <w:bookmarkEnd w:id="127"/>
      <w:r/>
      <w:bookmarkEnd w:id="128"/>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20.1投标文件的撤回</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21.1.1电子投标文件的撤回</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投标人可在投标截止时间前，撤回其电子投标文件，具体操作方法见《操作手册》。</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21.1.2投标人撤回电子投标文件，则认为其不再参与本项目投标活动。</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20.2 投标文件的修改</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20.2.1投标人可在投标截止时间前，对其电子投标文件进行修改，具体操作方法见《操作手册》。</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20.2.2在投标截止时间之后，投标人不得对其电子投标文件作任何修改。</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20.3在投标截止时间至招标文件中规定的投标有效期满之间的这段时间内，投标人不得撤回其投标。</w:t>
      </w:r>
      <w:r/>
    </w:p>
    <w:p>
      <w:pPr>
        <w:pStyle w:val="711"/>
        <w:ind w:firstLine="482"/>
        <w:jc w:val="both"/>
        <w:keepLines/>
        <w:keepNext/>
        <w:spacing w:before="145" w:beforeAutospacing="0" w:after="145" w:afterAutospacing="0" w:line="360" w:lineRule="auto"/>
        <w:rPr>
          <w:rFonts w:hint="eastAsia" w:ascii="宋体" w:hAnsi="宋体" w:eastAsia="宋体" w:cs="宋体"/>
          <w:sz w:val="21"/>
          <w:szCs w:val="21"/>
        </w:rPr>
      </w:pPr>
      <w:r/>
      <w:bookmarkStart w:id="129" w:name="_Toc120614218"/>
      <w:r/>
      <w:bookmarkStart w:id="130" w:name="_Toc16938545"/>
      <w:r/>
      <w:bookmarkStart w:id="131" w:name="_Toc20823301"/>
      <w:r/>
      <w:bookmarkStart w:id="132" w:name="_Toc513029229"/>
      <w:r>
        <w:rPr>
          <w:rFonts w:hint="eastAsia" w:ascii="宋体" w:hAnsi="宋体" w:eastAsia="宋体" w:cs="宋体"/>
          <w:b/>
          <w:color w:val="000000"/>
          <w:sz w:val="21"/>
          <w:szCs w:val="21"/>
        </w:rPr>
        <w:t xml:space="preserve">五、开标与评标</w:t>
      </w:r>
      <w:bookmarkEnd w:id="129"/>
      <w:r/>
      <w:bookmarkEnd w:id="130"/>
      <w:r/>
      <w:bookmarkEnd w:id="131"/>
      <w:r/>
      <w:bookmarkEnd w:id="132"/>
      <w:r/>
      <w:r/>
    </w:p>
    <w:p>
      <w:pPr>
        <w:pStyle w:val="711"/>
        <w:ind w:firstLine="420"/>
        <w:jc w:val="both"/>
        <w:keepLines/>
        <w:keepNext/>
        <w:spacing w:beforeAutospacing="0" w:afterAutospacing="0"/>
        <w:rPr>
          <w:rFonts w:hint="eastAsia" w:ascii="宋体" w:hAnsi="宋体" w:eastAsia="宋体" w:cs="宋体"/>
          <w:color w:val="auto"/>
          <w:sz w:val="21"/>
          <w:szCs w:val="21"/>
        </w:rPr>
      </w:pPr>
      <w:r/>
      <w:bookmarkStart w:id="133" w:name="_Toc513029230"/>
      <w:r/>
      <w:bookmarkStart w:id="134" w:name="_Toc16938546"/>
      <w:r/>
      <w:bookmarkStart w:id="135" w:name="_Toc20823302"/>
      <w:r>
        <w:rPr>
          <w:rFonts w:hint="eastAsia" w:ascii="宋体" w:hAnsi="宋体" w:eastAsia="宋体" w:cs="宋体"/>
          <w:color w:val="auto"/>
          <w:sz w:val="21"/>
          <w:szCs w:val="21"/>
        </w:rPr>
        <w:t xml:space="preserve">21、开标</w:t>
      </w:r>
      <w:bookmarkEnd w:id="133"/>
      <w:r/>
      <w:bookmarkEnd w:id="134"/>
      <w:r/>
      <w:bookmarkEnd w:id="135"/>
      <w:r/>
      <w:r/>
    </w:p>
    <w:p>
      <w:pPr>
        <w:pStyle w:val="711"/>
        <w:ind w:firstLine="360"/>
        <w:jc w:val="both"/>
        <w:pageBreakBefore w:val="0"/>
        <w:spacing w:beforeAutospacing="0" w:afterAutospacing="0" w:line="4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21.1</w:t>
      </w:r>
      <w:r>
        <w:rPr>
          <w:rFonts w:hint="eastAsia" w:ascii="宋体" w:hAnsi="宋体" w:eastAsia="宋体" w:cs="宋体"/>
          <w:color w:val="auto"/>
          <w:sz w:val="21"/>
          <w:szCs w:val="21"/>
          <w:lang w:eastAsia="zh-CN"/>
        </w:rPr>
        <w:t xml:space="preserve">采购代理机构</w:t>
      </w:r>
      <w:r>
        <w:rPr>
          <w:rFonts w:hint="eastAsia" w:ascii="宋体" w:hAnsi="宋体" w:eastAsia="宋体" w:cs="宋体"/>
          <w:color w:val="auto"/>
          <w:sz w:val="21"/>
          <w:szCs w:val="21"/>
        </w:rPr>
        <w:t xml:space="preserve">将在招标公告中规定的时间和地点组织公开开标。投标人应当按照《操作手册》规定，参加开标活动和在苏采云系统规定的时间内对投标文件进行解密。</w:t>
      </w:r>
      <w:r/>
    </w:p>
    <w:p>
      <w:pPr>
        <w:pStyle w:val="711"/>
        <w:ind w:firstLine="480"/>
        <w:jc w:val="both"/>
        <w:pageBreakBefore w:val="0"/>
        <w:spacing w:beforeAutospacing="0" w:afterAutospacing="0" w:line="4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21.2开标仪式由</w:t>
      </w:r>
      <w:r>
        <w:rPr>
          <w:rFonts w:hint="eastAsia" w:ascii="宋体" w:hAnsi="宋体" w:eastAsia="宋体" w:cs="宋体"/>
          <w:color w:val="auto"/>
          <w:sz w:val="21"/>
          <w:szCs w:val="21"/>
          <w:lang w:eastAsia="zh-CN"/>
        </w:rPr>
        <w:t xml:space="preserve">采购代理机构</w:t>
      </w:r>
      <w:r>
        <w:rPr>
          <w:rFonts w:hint="eastAsia" w:ascii="宋体" w:hAnsi="宋体" w:eastAsia="宋体" w:cs="宋体"/>
          <w:color w:val="auto"/>
          <w:sz w:val="21"/>
          <w:szCs w:val="21"/>
        </w:rPr>
        <w:t xml:space="preserve">组织。苏采云系统将自动对项目进行开标，并宣布各投标人名称和投标价格。</w:t>
      </w:r>
      <w:r/>
    </w:p>
    <w:p>
      <w:pPr>
        <w:pStyle w:val="711"/>
        <w:ind w:firstLine="480"/>
        <w:jc w:val="both"/>
        <w:pageBreakBefore w:val="0"/>
        <w:spacing w:beforeAutospacing="0" w:afterAutospacing="0" w:line="4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21.3投标人在开标过程中涉及到的投标文件解密、开标结果确认等工作，应按照《操作手册》规定执行。</w:t>
      </w:r>
      <w:r/>
    </w:p>
    <w:p>
      <w:pPr>
        <w:pStyle w:val="711"/>
        <w:ind w:firstLine="480"/>
        <w:jc w:val="both"/>
        <w:pageBreakBefore w:val="0"/>
        <w:spacing w:beforeAutospacing="0" w:afterAutospacing="0" w:line="4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21.4投标人如果对开标过程和开标记录有疑义，应当根据《操作手册》规定提出，如苏采云系统中《开标记录表》宣布后5分钟内未提出的，视同认可开标结果。</w:t>
      </w:r>
      <w:r/>
    </w:p>
    <w:p>
      <w:pPr>
        <w:pStyle w:val="711"/>
        <w:ind w:firstLine="420"/>
        <w:jc w:val="both"/>
        <w:keepLines/>
        <w:keepNext/>
        <w:pageBreakBefore w:val="0"/>
        <w:spacing w:beforeAutospacing="0" w:afterAutospacing="0" w:line="440" w:lineRule="exact"/>
        <w:widowControl w:val="off"/>
        <w:rPr>
          <w:rFonts w:hint="eastAsia" w:ascii="宋体" w:hAnsi="宋体" w:eastAsia="宋体" w:cs="宋体"/>
          <w:color w:val="auto"/>
          <w:sz w:val="21"/>
          <w:szCs w:val="21"/>
        </w:rPr>
      </w:pPr>
      <w:r/>
      <w:bookmarkStart w:id="136" w:name="_Toc20823303"/>
      <w:r/>
      <w:bookmarkStart w:id="137" w:name="_Toc513029231"/>
      <w:r/>
      <w:bookmarkStart w:id="138" w:name="_Toc16938547"/>
      <w:r>
        <w:rPr>
          <w:rFonts w:hint="eastAsia" w:ascii="宋体" w:hAnsi="宋体" w:eastAsia="宋体" w:cs="宋体"/>
          <w:color w:val="auto"/>
          <w:sz w:val="21"/>
          <w:szCs w:val="21"/>
        </w:rPr>
        <w:t xml:space="preserve">22、评标委员会</w:t>
      </w:r>
      <w:bookmarkEnd w:id="136"/>
      <w:r/>
      <w:bookmarkEnd w:id="137"/>
      <w:r/>
      <w:bookmarkEnd w:id="138"/>
      <w:r/>
      <w:r/>
    </w:p>
    <w:p>
      <w:pPr>
        <w:pStyle w:val="711"/>
        <w:jc w:val="both"/>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t xml:space="preserve">22.1开标后，</w:t>
      </w:r>
      <w:r>
        <w:rPr>
          <w:rFonts w:hint="eastAsia" w:ascii="宋体" w:hAnsi="宋体" w:eastAsia="宋体" w:cs="宋体"/>
          <w:color w:val="000000"/>
          <w:sz w:val="21"/>
          <w:szCs w:val="21"/>
          <w:lang w:eastAsia="zh-CN"/>
        </w:rPr>
        <w:t xml:space="preserve">采购代理机构</w:t>
      </w:r>
      <w:r>
        <w:rPr>
          <w:rFonts w:hint="eastAsia" w:ascii="宋体" w:hAnsi="宋体" w:eastAsia="宋体" w:cs="宋体"/>
          <w:color w:val="000000"/>
          <w:sz w:val="21"/>
          <w:szCs w:val="21"/>
        </w:rPr>
        <w:t xml:space="preserve">将立即组织评标委员会（以下简称评委会）进行评标。</w:t>
      </w:r>
      <w:r/>
    </w:p>
    <w:p>
      <w:pPr>
        <w:pStyle w:val="711"/>
        <w:jc w:val="both"/>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t xml:space="preserve">22.2评委会由采购人代表和有关技术、经济等方面的专家组成，且人员构成符合政府采购有关规定。</w:t>
      </w:r>
      <w:r/>
    </w:p>
    <w:p>
      <w:pPr>
        <w:pStyle w:val="711"/>
        <w:jc w:val="both"/>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t xml:space="preserve">22.3评委会独立工作，负责评审所有投标文件并确定中标侯选人。</w:t>
      </w:r>
      <w:r/>
    </w:p>
    <w:p>
      <w:pPr>
        <w:pStyle w:val="711"/>
        <w:ind w:firstLine="420"/>
        <w:jc w:val="both"/>
        <w:keepLines/>
        <w:keepNext/>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b/>
          <w:bCs/>
          <w:color w:val="000000"/>
          <w:sz w:val="21"/>
          <w:szCs w:val="21"/>
        </w:rPr>
        <w:t xml:space="preserve">23、评标过程的保密与公正</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23.1凡是与审查、澄清、评价和比较投标的有关资料以及授标建议等，采购人、评委、</w:t>
      </w:r>
      <w:r>
        <w:rPr>
          <w:rFonts w:hint="eastAsia" w:ascii="宋体" w:hAnsi="宋体" w:eastAsia="宋体" w:cs="宋体"/>
          <w:color w:val="000000"/>
          <w:sz w:val="21"/>
          <w:szCs w:val="21"/>
          <w:lang w:eastAsia="zh-CN"/>
        </w:rPr>
        <w:t xml:space="preserve">采购代理机构</w:t>
      </w:r>
      <w:r>
        <w:rPr>
          <w:rFonts w:hint="eastAsia" w:ascii="宋体" w:hAnsi="宋体" w:eastAsia="宋体" w:cs="宋体"/>
          <w:color w:val="000000"/>
          <w:sz w:val="21"/>
          <w:szCs w:val="21"/>
        </w:rPr>
        <w:t xml:space="preserve">均不得向投标人或与评标无关的其他人员透露。</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23.2在评标过程中，投标人不得以任何行为影响评标过程，否则其投标文件将被作为无效投标文件。</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sz w:val="21"/>
          <w:szCs w:val="21"/>
        </w:rPr>
        <w:t xml:space="preserve">23</w:t>
      </w: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eastAsia="zh-CN"/>
          <w14:textFill>
            <w14:solidFill>
              <w14:schemeClr w14:val="tx1"/>
            </w14:solidFill>
          </w14:textFill>
        </w:rPr>
        <w:t xml:space="preserve">采购代理机构</w:t>
      </w:r>
      <w:r>
        <w:rPr>
          <w:rFonts w:hint="eastAsia" w:ascii="宋体" w:hAnsi="宋体" w:eastAsia="宋体" w:cs="宋体"/>
          <w:color w:val="000000" w:themeColor="text1"/>
          <w:sz w:val="21"/>
          <w:szCs w:val="21"/>
          <w14:textFill>
            <w14:solidFill>
              <w14:schemeClr w14:val="tx1"/>
            </w14:solidFill>
          </w14:textFill>
        </w:rPr>
        <w:t xml:space="preserve">和评标委员会不向未中标的投标人解释未中标原因，也不公布评标过程中的相关细节。</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23.4采用综合评分法的项目，未中标的投标人可于中标结果公告期限届满之日起通过苏采云系统查看自己的评审得分及排序情况。</w:t>
      </w:r>
      <w:r/>
    </w:p>
    <w:p>
      <w:pPr>
        <w:pStyle w:val="711"/>
        <w:ind w:firstLine="420"/>
        <w:jc w:val="both"/>
        <w:keepLines/>
        <w:keepNext/>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bookmarkStart w:id="139" w:name="_Toc20823304"/>
      <w:r/>
      <w:bookmarkStart w:id="140" w:name="_Toc513029232"/>
      <w:r/>
      <w:bookmarkStart w:id="141" w:name="_Toc16938548"/>
      <w:r>
        <w:rPr>
          <w:rFonts w:hint="eastAsia" w:ascii="宋体" w:hAnsi="宋体" w:eastAsia="宋体" w:cs="宋体"/>
          <w:b/>
          <w:bCs/>
          <w:color w:val="000000" w:themeColor="text1"/>
          <w:sz w:val="21"/>
          <w:szCs w:val="21"/>
          <w14:textFill>
            <w14:solidFill>
              <w14:schemeClr w14:val="tx1"/>
            </w14:solidFill>
          </w14:textFill>
        </w:rPr>
        <w:t xml:space="preserve">24、投标文件的澄清</w:t>
      </w:r>
      <w:bookmarkEnd w:id="139"/>
      <w:r/>
      <w:bookmarkEnd w:id="140"/>
      <w:r/>
      <w:bookmarkEnd w:id="141"/>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24.1评标期间，评委会对投标文件中含义不明确、同类问题表述不一致或者有明显文字和计算错误的内容</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有权要求投标人作出必要的澄清、说明或者补正。</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投标人的澄清、说明或者补正不得超出投标文件的范围或者改变投标文件的实质性内容。</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评标委员会并非对每个投标人都做澄清要求。</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11"/>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themeColor="text1"/>
          <w:sz w:val="21"/>
          <w:szCs w:val="21"/>
          <w14:textFill>
            <w14:solidFill>
              <w14:schemeClr w14:val="tx1"/>
            </w14:solidFill>
          </w14:textFill>
        </w:rPr>
        <w:t xml:space="preserve">  24.3接到评委会澄清、说明和补正要求的投标人如未按规定做出澄清、</w:t>
      </w:r>
      <w:r>
        <w:rPr>
          <w:rFonts w:hint="eastAsia" w:ascii="宋体" w:hAnsi="宋体" w:eastAsia="宋体" w:cs="宋体"/>
          <w:color w:val="000000"/>
          <w:sz w:val="21"/>
          <w:szCs w:val="21"/>
        </w:rPr>
        <w:t xml:space="preserve">说明和补正，其风险由投标人自行承担。</w:t>
      </w:r>
      <w:r/>
    </w:p>
    <w:p>
      <w:pPr>
        <w:pStyle w:val="711"/>
        <w:ind w:firstLine="420"/>
        <w:jc w:val="both"/>
        <w:keepLines/>
        <w:keepNext/>
        <w:pageBreakBefore w:val="0"/>
        <w:spacing w:beforeAutospacing="0" w:afterAutospacing="0" w:line="360" w:lineRule="auto"/>
        <w:widowControl w:val="off"/>
        <w:rPr>
          <w:rFonts w:hint="eastAsia" w:ascii="宋体" w:hAnsi="宋体" w:eastAsia="宋体" w:cs="宋体"/>
          <w:sz w:val="21"/>
          <w:szCs w:val="21"/>
        </w:rPr>
      </w:pPr>
      <w:r/>
      <w:bookmarkStart w:id="142" w:name="_Toc16938549"/>
      <w:r/>
      <w:bookmarkStart w:id="143" w:name="_Toc20823305"/>
      <w:r/>
      <w:bookmarkStart w:id="144" w:name="_Toc513029233"/>
      <w:r>
        <w:rPr>
          <w:rFonts w:hint="eastAsia" w:ascii="宋体" w:hAnsi="宋体" w:eastAsia="宋体" w:cs="宋体"/>
          <w:b/>
          <w:bCs/>
          <w:color w:val="000000"/>
          <w:sz w:val="21"/>
          <w:szCs w:val="21"/>
        </w:rPr>
        <w:t xml:space="preserve">25、对投标文件的初审</w:t>
      </w:r>
      <w:bookmarkEnd w:id="142"/>
      <w:r/>
      <w:bookmarkEnd w:id="143"/>
      <w:r/>
      <w:bookmarkEnd w:id="144"/>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25.1投标文件初审分为资格审查和符合性审查。</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25.1.1资格审查：依据法律法规和招标文件的规定，由采购人对投标文件中的资格证明文件进行审查。资格审查的结论，采购人以书面形式向评委会进行反馈。</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采购人在进行资格性审查的同时，将在“信用中国”网站（www.creditchina.gov.cn）查询投标人的信用记录，以确定投标人是否具备投标资格,查询结果留存并归档。</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sz w:val="21"/>
          <w:szCs w:val="21"/>
        </w:rPr>
        <w:t xml:space="preserve">25.1.2符合性审查：依据招标文件的规定，由评委会从投标文件的有效性、完整性和对招标文件的响应程度进行审</w:t>
      </w:r>
      <w:r>
        <w:rPr>
          <w:rFonts w:hint="eastAsia" w:ascii="宋体" w:hAnsi="宋体" w:eastAsia="宋体" w:cs="宋体"/>
          <w:color w:val="000000" w:themeColor="text1"/>
          <w:sz w:val="21"/>
          <w:szCs w:val="21"/>
          <w14:textFill>
            <w14:solidFill>
              <w14:schemeClr w14:val="tx1"/>
            </w14:solidFill>
          </w14:textFill>
        </w:rPr>
        <w:t xml:space="preserve">查，以确定是否对招标文件的实质性要求作出响应。</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25.1.3未通过资格审查或符合性审查的投标人，</w:t>
      </w:r>
      <w:r>
        <w:rPr>
          <w:rFonts w:hint="eastAsia" w:ascii="宋体" w:hAnsi="宋体" w:eastAsia="宋体" w:cs="宋体"/>
          <w:color w:val="auto"/>
          <w:sz w:val="21"/>
          <w:szCs w:val="21"/>
          <w:lang w:eastAsia="zh-CN"/>
        </w:rPr>
        <w:t xml:space="preserve">采购代理机构</w:t>
      </w:r>
      <w:r>
        <w:rPr>
          <w:rFonts w:hint="eastAsia" w:ascii="宋体" w:hAnsi="宋体" w:eastAsia="宋体" w:cs="宋体"/>
          <w:color w:val="000000" w:themeColor="text1"/>
          <w:sz w:val="21"/>
          <w:szCs w:val="21"/>
          <w14:textFill>
            <w14:solidFill>
              <w14:schemeClr w14:val="tx1"/>
            </w14:solidFill>
          </w14:textFill>
        </w:rPr>
        <w:t xml:space="preserve">将在苏采云系统中告知未通过资格审查或符合性审查的原因，评标结束后，</w:t>
      </w:r>
      <w:r>
        <w:rPr>
          <w:rFonts w:hint="eastAsia" w:ascii="宋体" w:hAnsi="宋体" w:eastAsia="宋体" w:cs="宋体"/>
          <w:color w:val="000000" w:themeColor="text1"/>
          <w:sz w:val="21"/>
          <w:szCs w:val="21"/>
          <w:lang w:eastAsia="zh-CN"/>
          <w14:textFill>
            <w14:solidFill>
              <w14:schemeClr w14:val="tx1"/>
            </w14:solidFill>
          </w14:textFill>
        </w:rPr>
        <w:t xml:space="preserve">采购代理机构</w:t>
      </w:r>
      <w:r>
        <w:rPr>
          <w:rFonts w:hint="eastAsia" w:ascii="宋体" w:hAnsi="宋体" w:eastAsia="宋体" w:cs="宋体"/>
          <w:color w:val="000000" w:themeColor="text1"/>
          <w:sz w:val="21"/>
          <w:szCs w:val="21"/>
          <w14:textFill>
            <w14:solidFill>
              <w14:schemeClr w14:val="tx1"/>
            </w14:solidFill>
          </w14:textFill>
        </w:rPr>
        <w:t xml:space="preserve">将不再告知未通过资格审查和符合性审查的原因。</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themeColor="text1"/>
          <w:sz w:val="21"/>
          <w:szCs w:val="21"/>
          <w14:textFill>
            <w14:solidFill>
              <w14:schemeClr w14:val="tx1"/>
            </w14:solidFill>
          </w14:textFill>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themeColor="text1"/>
          <w:sz w:val="21"/>
          <w:szCs w:val="21"/>
          <w:lang w:eastAsia="zh-CN"/>
          <w14:textFill>
            <w14:solidFill>
              <w14:schemeClr w14:val="tx1"/>
            </w14:solidFill>
          </w14:textFill>
        </w:rPr>
        <w:t xml:space="preserve">采购代理机构</w:t>
      </w:r>
      <w:r>
        <w:rPr>
          <w:rFonts w:hint="eastAsia" w:ascii="宋体" w:hAnsi="宋体" w:eastAsia="宋体" w:cs="宋体"/>
          <w:color w:val="000000" w:themeColor="text1"/>
          <w:sz w:val="21"/>
          <w:szCs w:val="21"/>
          <w14:textFill>
            <w14:solidFill>
              <w14:schemeClr w14:val="tx1"/>
            </w14:solidFill>
          </w14:textFill>
        </w:rPr>
        <w:t xml:space="preserve">的权利或投标人的义务，纠正这些偏离或保留将会对其他实质性响应要求的投标人的竞争地位产生不公</w:t>
      </w:r>
      <w:r>
        <w:rPr>
          <w:rFonts w:hint="eastAsia" w:ascii="宋体" w:hAnsi="宋体" w:eastAsia="宋体" w:cs="宋体"/>
          <w:color w:val="000000"/>
          <w:sz w:val="21"/>
          <w:szCs w:val="21"/>
        </w:rPr>
        <w:t xml:space="preserve">正的影响。重大偏离的认定需经过评委会以少数服从多数的原则作出结论。评委决定投标文件的响应性只根据投标文件本身的内容，而不寻求外部的证据。</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25.3如果投标文件实质上没有响应招标文件的要求，评委会将予以拒绝，投标人不得通过修改或撤销不合要求的偏离或保留而使其投标成为实质性响应的投标。</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25.4评委会将对确定为实质性响应的投标进行进一步审核，确定其是否有计算上或累加上的算术错误，修正错误的原则如下：</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（1）投标文件中开标一览表内容与投标文件中相应内容不一致的，以开标一览表为准。</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（2）大写金额和小写金额不一致的，以大写金额为准。</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sz w:val="21"/>
          <w:szCs w:val="21"/>
        </w:rPr>
        <w:t xml:space="preserve">（3）单价金额小数点或者百分比有明显错位的，以开标一览表的总价为准，并修改单价。</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（4）总价金额与按单价汇总金额不一致的，以单价金额计算结果为准。</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同时出现两种以上错误的，按照前款规定的顺序修正。</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11"/>
        <w:ind w:firstLine="420"/>
        <w:jc w:val="both"/>
        <w:pageBreakBefore w:val="0"/>
        <w:spacing w:beforeAutospacing="0" w:afterAutospacing="0" w:line="360" w:lineRule="auto"/>
        <w:widowControl w:val="off"/>
        <w:rPr>
          <w:rFonts w:hint="eastAsia" w:ascii="宋体" w:hAnsi="宋体" w:eastAsia="宋体" w:cs="宋体"/>
          <w:sz w:val="21"/>
          <w:szCs w:val="21"/>
        </w:rPr>
      </w:pPr>
      <w:r/>
      <w:bookmarkStart w:id="145" w:name="_Toc513029234"/>
      <w:r/>
      <w:bookmarkStart w:id="146" w:name="_Toc20823306"/>
      <w:r/>
      <w:bookmarkStart w:id="147" w:name="_Toc16938550"/>
      <w:r>
        <w:rPr>
          <w:rFonts w:hint="eastAsia" w:ascii="宋体" w:hAnsi="宋体" w:eastAsia="宋体" w:cs="宋体"/>
          <w:color w:val="000000" w:themeColor="text1"/>
          <w:sz w:val="21"/>
          <w:szCs w:val="21"/>
          <w14:textFill>
            <w14:solidFill>
              <w14:schemeClr w14:val="tx1"/>
            </w14:solidFill>
          </w14:textFill>
        </w:rPr>
        <w:t xml:space="preserve">25.6投标人在开、评标全过程中应保持通讯畅通，及时登录苏采云系统查阅、答复</w:t>
      </w:r>
      <w:r>
        <w:rPr>
          <w:rFonts w:hint="eastAsia" w:ascii="宋体" w:hAnsi="宋体" w:eastAsia="宋体" w:cs="宋体"/>
          <w:color w:val="000000"/>
          <w:sz w:val="21"/>
          <w:szCs w:val="21"/>
        </w:rPr>
        <w:t xml:space="preserve">相关信息，并安排专人与</w:t>
      </w:r>
      <w:r>
        <w:rPr>
          <w:rFonts w:hint="eastAsia" w:ascii="宋体" w:hAnsi="宋体" w:eastAsia="宋体" w:cs="宋体"/>
          <w:color w:val="000000"/>
          <w:sz w:val="21"/>
          <w:szCs w:val="21"/>
          <w:lang w:eastAsia="zh-CN"/>
        </w:rPr>
        <w:t xml:space="preserve">采购代理机构</w:t>
      </w:r>
      <w:r>
        <w:rPr>
          <w:rFonts w:hint="eastAsia" w:ascii="宋体" w:hAnsi="宋体" w:eastAsia="宋体" w:cs="宋体"/>
          <w:color w:val="000000"/>
          <w:sz w:val="21"/>
          <w:szCs w:val="21"/>
        </w:rPr>
        <w:t xml:space="preserve">及评标委员会联系。</w:t>
      </w:r>
      <w:bookmarkEnd w:id="145"/>
      <w:r/>
      <w:bookmarkEnd w:id="146"/>
      <w:r/>
      <w:bookmarkEnd w:id="147"/>
      <w:r/>
      <w:r/>
    </w:p>
    <w:p>
      <w:pPr>
        <w:pStyle w:val="711"/>
        <w:ind w:firstLine="420"/>
        <w:jc w:val="both"/>
        <w:keepLines/>
        <w:keepNext/>
        <w:pageBreakBefore w:val="0"/>
        <w:spacing w:beforeAutospacing="0" w:afterAutospacing="0" w:line="360" w:lineRule="auto"/>
        <w:widowControl w:val="off"/>
        <w:rPr>
          <w:rFonts w:hint="eastAsia" w:ascii="宋体" w:hAnsi="宋体" w:eastAsia="宋体" w:cs="宋体"/>
          <w:b/>
          <w:bCs/>
          <w:sz w:val="21"/>
          <w:szCs w:val="21"/>
        </w:rPr>
      </w:pPr>
      <w:r>
        <w:rPr>
          <w:rFonts w:hint="eastAsia" w:ascii="宋体" w:hAnsi="宋体" w:eastAsia="宋体" w:cs="宋体"/>
          <w:b/>
          <w:bCs/>
          <w:color w:val="000000"/>
          <w:sz w:val="21"/>
          <w:szCs w:val="21"/>
        </w:rPr>
        <w:t xml:space="preserve">26、无效投标条款和废标条款</w:t>
      </w:r>
      <w:r/>
    </w:p>
    <w:p>
      <w:pPr>
        <w:pStyle w:val="711"/>
        <w:ind w:left="479"/>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bookmarkStart w:id="148" w:name="_Toc16938551"/>
      <w:r/>
      <w:bookmarkStart w:id="149" w:name="_Toc20823307"/>
      <w:r/>
      <w:bookmarkStart w:id="150" w:name="_Toc513029235"/>
      <w:r>
        <w:rPr>
          <w:rFonts w:hint="eastAsia" w:ascii="宋体" w:hAnsi="宋体" w:eastAsia="宋体" w:cs="宋体"/>
          <w:color w:val="000000"/>
          <w:sz w:val="21"/>
          <w:szCs w:val="21"/>
        </w:rPr>
        <w:t xml:space="preserve">26.1</w:t>
      </w:r>
      <w:r>
        <w:rPr>
          <w:rFonts w:hint="eastAsia" w:ascii="宋体" w:hAnsi="宋体" w:eastAsia="宋体" w:cs="宋体"/>
          <w:color w:val="000000" w:themeColor="text1"/>
          <w:sz w:val="21"/>
          <w:szCs w:val="21"/>
          <w14:textFill>
            <w14:solidFill>
              <w14:schemeClr w14:val="tx1"/>
            </w14:solidFill>
          </w14:textFill>
        </w:rPr>
        <w:t xml:space="preserve">无效投标条款</w:t>
      </w:r>
      <w:bookmarkEnd w:id="148"/>
      <w:r/>
      <w:bookmarkEnd w:id="149"/>
      <w:r/>
      <w:bookmarkEnd w:id="150"/>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26.1.1投标人在苏采云系统规定的时间内未成功解密电子投标文件的。</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26.1.2投标人未按照招标文件要求上传电子投标文件的。</w:t>
      </w:r>
      <w:r/>
    </w:p>
    <w:p>
      <w:pPr>
        <w:pStyle w:val="711"/>
        <w:ind w:left="479"/>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26.1.3同一投标人提交两个（含两个）以上不同的投标报价的。</w:t>
      </w:r>
      <w:r/>
    </w:p>
    <w:p>
      <w:pPr>
        <w:pStyle w:val="711"/>
        <w:ind w:left="479"/>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themeColor="text1"/>
          <w:sz w:val="21"/>
          <w:szCs w:val="21"/>
          <w14:textFill>
            <w14:solidFill>
              <w14:schemeClr w14:val="tx1"/>
            </w14:solidFill>
          </w14:textFill>
        </w:rPr>
        <w:t xml:space="preserve">26.1.4投标人不具备招标文件中规定资格</w:t>
      </w:r>
      <w:r>
        <w:rPr>
          <w:rFonts w:hint="eastAsia" w:ascii="宋体" w:hAnsi="宋体" w:eastAsia="宋体" w:cs="宋体"/>
          <w:color w:val="000000"/>
          <w:sz w:val="21"/>
          <w:szCs w:val="21"/>
        </w:rPr>
        <w:t xml:space="preserve">要求的。</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26.1.5投标人的报价超过了采购预算或最高限价的。</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26.1.6未通过符合性审查的。</w:t>
      </w:r>
      <w:r/>
    </w:p>
    <w:p>
      <w:pPr>
        <w:pStyle w:val="711"/>
        <w:ind w:firstLine="36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 26.1.7不符合招标文件中规定的实质性要求和条件的</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sz w:val="21"/>
          <w:szCs w:val="21"/>
        </w:rPr>
        <w:t xml:space="preserve">26.1.8投标人被“信用中国”网站（www.creditchina.gov.cn）列入失信被执行人或重大税收违法案件当事人名单或政府采购严重失信行为记录名单。或查询“信用中国”网站后发现投标人存在其</w:t>
      </w:r>
      <w:r>
        <w:rPr>
          <w:rFonts w:hint="eastAsia" w:ascii="宋体" w:hAnsi="宋体" w:eastAsia="宋体" w:cs="宋体"/>
          <w:color w:val="000000" w:themeColor="text1"/>
          <w:sz w:val="21"/>
          <w:szCs w:val="21"/>
          <w14:textFill>
            <w14:solidFill>
              <w14:schemeClr w14:val="tx1"/>
            </w14:solidFill>
          </w14:textFill>
        </w:rPr>
        <w:t xml:space="preserve">他不符合《中华人民共和国政府采购法》第二十二条规定条件的信用记录。</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26.1.9投标文件含有采购人不能接受的附加条件的。</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26.1.11投标文件未按照招标文件要求加盖CA电子公章的。</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26.1.12其他法律、法规及本招标文件规定的属无效投标的情形。</w:t>
      </w:r>
      <w:r/>
    </w:p>
    <w:p>
      <w:pPr>
        <w:pStyle w:val="711"/>
        <w:ind w:left="479"/>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26.2废标条款</w:t>
      </w:r>
      <w:r/>
    </w:p>
    <w:p>
      <w:pPr>
        <w:pStyle w:val="711"/>
        <w:ind w:left="479"/>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sz w:val="21"/>
          <w:szCs w:val="21"/>
        </w:rPr>
        <w:t xml:space="preserve">26.2.1符合专业条件的供应商或者对招标文件作实质响应的供应商不足三家的。26.2.2</w:t>
      </w:r>
      <w:r>
        <w:rPr>
          <w:rFonts w:hint="eastAsia" w:ascii="宋体" w:hAnsi="宋体" w:eastAsia="宋体" w:cs="宋体"/>
          <w:color w:val="000000" w:themeColor="text1"/>
          <w:sz w:val="21"/>
          <w:szCs w:val="21"/>
          <w14:textFill>
            <w14:solidFill>
              <w14:schemeClr w14:val="tx1"/>
            </w14:solidFill>
          </w14:textFill>
        </w:rPr>
        <w:t xml:space="preserve">出现影响采购公正的违法、违规行为的。</w:t>
      </w:r>
      <w:r/>
    </w:p>
    <w:p>
      <w:pPr>
        <w:pStyle w:val="711"/>
        <w:ind w:left="479"/>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26.2.3因重大变故，采购任务取消的。</w:t>
      </w:r>
      <w:r/>
    </w:p>
    <w:p>
      <w:pPr>
        <w:pStyle w:val="711"/>
        <w:ind w:left="479"/>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26.2.4评标委员会认定招标文件存在歧义、重大缺陷导致评审工作无法进行。</w:t>
      </w:r>
      <w:r/>
    </w:p>
    <w:p>
      <w:pPr>
        <w:pStyle w:val="711"/>
        <w:ind w:left="479"/>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26.2.5因苏采云系统系统故障原因造成开标不成功的。</w:t>
      </w:r>
      <w:r/>
    </w:p>
    <w:p>
      <w:pPr>
        <w:pStyle w:val="711"/>
        <w:ind w:left="479"/>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26.3 投标截止时间结束后参加投标的供应商不足三家的处理：</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themeColor="text1"/>
          <w:sz w:val="21"/>
          <w:szCs w:val="21"/>
          <w14:textFill>
            <w14:solidFill>
              <w14:schemeClr w14:val="tx1"/>
            </w14:solidFill>
          </w14:textFill>
        </w:rPr>
        <w:t xml:space="preserve">26.3.1如出现投标截止时间结束后参加投</w:t>
      </w:r>
      <w:r>
        <w:rPr>
          <w:rFonts w:hint="eastAsia" w:ascii="宋体" w:hAnsi="宋体" w:eastAsia="宋体" w:cs="宋体"/>
          <w:color w:val="000000"/>
          <w:sz w:val="21"/>
          <w:szCs w:val="21"/>
        </w:rPr>
        <w:t xml:space="preserve">标的供应商或者在评标期间对招标文件做出实质响应的供应商不足三家情况，按政府采购相关规定执行。</w:t>
      </w:r>
      <w:r/>
    </w:p>
    <w:p>
      <w:pPr>
        <w:pStyle w:val="711"/>
        <w:ind w:firstLine="482"/>
        <w:jc w:val="both"/>
        <w:keepLines/>
        <w:keepNext/>
        <w:spacing w:before="145" w:beforeAutospacing="0" w:after="145" w:afterAutospacing="0" w:line="360" w:lineRule="auto"/>
        <w:rPr>
          <w:rFonts w:hint="eastAsia" w:ascii="宋体" w:hAnsi="宋体" w:eastAsia="宋体" w:cs="宋体"/>
          <w:sz w:val="21"/>
          <w:szCs w:val="21"/>
        </w:rPr>
      </w:pPr>
      <w:r/>
      <w:bookmarkStart w:id="151" w:name="_Toc120614219"/>
      <w:r>
        <w:rPr>
          <w:rFonts w:hint="eastAsia" w:ascii="宋体" w:hAnsi="宋体" w:eastAsia="宋体" w:cs="宋体"/>
          <w:b/>
          <w:color w:val="000000"/>
          <w:sz w:val="21"/>
          <w:szCs w:val="21"/>
        </w:rPr>
        <w:t xml:space="preserve">六、定标</w:t>
      </w:r>
      <w:bookmarkEnd w:id="151"/>
      <w:r/>
      <w:r/>
    </w:p>
    <w:p>
      <w:pPr>
        <w:pStyle w:val="711"/>
        <w:ind w:firstLine="600"/>
        <w:jc w:val="both"/>
        <w:keepLines/>
        <w:keepNext/>
        <w:pageBreakBefore w:val="0"/>
        <w:spacing w:beforeAutospacing="0" w:afterAutospacing="0" w:line="360" w:lineRule="auto"/>
        <w:widowControl w:val="off"/>
        <w:rPr>
          <w:rFonts w:hint="eastAsia" w:ascii="宋体" w:hAnsi="宋体" w:eastAsia="宋体" w:cs="宋体"/>
          <w:sz w:val="21"/>
          <w:szCs w:val="21"/>
        </w:rPr>
      </w:pPr>
      <w:r/>
      <w:bookmarkStart w:id="152" w:name="_Toc20823310"/>
      <w:r/>
      <w:bookmarkStart w:id="153" w:name="_Toc513029238"/>
      <w:r/>
      <w:bookmarkStart w:id="154" w:name="_Toc16938554"/>
      <w:r>
        <w:rPr>
          <w:rFonts w:hint="eastAsia" w:ascii="宋体" w:hAnsi="宋体" w:eastAsia="宋体" w:cs="宋体"/>
          <w:color w:val="000000"/>
          <w:sz w:val="21"/>
          <w:szCs w:val="21"/>
        </w:rPr>
        <w:t xml:space="preserve">27、</w:t>
      </w:r>
      <w:bookmarkEnd w:id="152"/>
      <w:r>
        <w:rPr>
          <w:rFonts w:hint="eastAsia" w:ascii="宋体" w:hAnsi="宋体" w:eastAsia="宋体" w:cs="宋体"/>
          <w:color w:val="000000"/>
          <w:sz w:val="21"/>
          <w:szCs w:val="21"/>
        </w:rPr>
        <w:t xml:space="preserve">确定</w:t>
      </w:r>
      <w:bookmarkEnd w:id="153"/>
      <w:r/>
      <w:bookmarkEnd w:id="154"/>
      <w:r>
        <w:rPr>
          <w:rFonts w:hint="eastAsia" w:ascii="宋体" w:hAnsi="宋体" w:eastAsia="宋体" w:cs="宋体"/>
          <w:color w:val="000000"/>
          <w:sz w:val="21"/>
          <w:szCs w:val="21"/>
        </w:rPr>
        <w:t xml:space="preserve">中标单位</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27.1中标候选人的选取原则和数量见招标文件第五章规定。 </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27.2采购人应根据评委会推荐的中标候选人确定中标人。</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rPr>
        <w:t xml:space="preserve">27.3</w:t>
      </w:r>
      <w:r>
        <w:rPr>
          <w:rFonts w:hint="eastAsia" w:ascii="宋体" w:hAnsi="宋体" w:eastAsia="宋体" w:cs="宋体"/>
          <w:color w:val="000000"/>
          <w:sz w:val="21"/>
          <w:szCs w:val="21"/>
          <w:lang w:eastAsia="zh-CN"/>
        </w:rPr>
        <w:t xml:space="preserve">采购代理机构</w:t>
      </w:r>
      <w:r>
        <w:rPr>
          <w:rFonts w:hint="eastAsia" w:ascii="宋体" w:hAnsi="宋体" w:eastAsia="宋体" w:cs="宋体"/>
          <w:color w:val="000000"/>
          <w:sz w:val="21"/>
          <w:szCs w:val="21"/>
        </w:rPr>
        <w:t xml:space="preserve">将</w:t>
      </w:r>
      <w:r>
        <w:rPr>
          <w:rFonts w:hint="eastAsia" w:ascii="宋体" w:hAnsi="宋体" w:eastAsia="宋体" w:cs="宋体"/>
          <w:color w:val="000000"/>
          <w:sz w:val="21"/>
          <w:szCs w:val="21"/>
          <w:highlight w:val="none"/>
        </w:rPr>
        <w:t xml:space="preserve">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中国政府采购网”、</w:t>
      </w:r>
      <w:r>
        <w:rPr>
          <w:rFonts w:hint="eastAsia" w:ascii="宋体" w:hAnsi="宋体" w:eastAsia="宋体" w:cs="宋体"/>
          <w:color w:val="000000"/>
          <w:sz w:val="21"/>
          <w:szCs w:val="21"/>
          <w:highlight w:val="none"/>
        </w:rPr>
        <w:t xml:space="preserve">“江苏政府采购网”、“盐城市政府采购网”发布中标公告，公告期限为1个工作日。</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27.4若有充分证据证明，中标人出现下列情况之一的，一经查实，将被取消中标资格：</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27.4.1提供虚假材料谋取中标的。</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27.4.2向采购人、</w:t>
      </w:r>
      <w:r>
        <w:rPr>
          <w:rFonts w:hint="eastAsia" w:ascii="宋体" w:hAnsi="宋体" w:eastAsia="宋体" w:cs="宋体"/>
          <w:color w:val="000000"/>
          <w:sz w:val="21"/>
          <w:szCs w:val="21"/>
          <w:lang w:eastAsia="zh-CN"/>
        </w:rPr>
        <w:t xml:space="preserve">采购代理机构</w:t>
      </w:r>
      <w:r>
        <w:rPr>
          <w:rFonts w:hint="eastAsia" w:ascii="宋体" w:hAnsi="宋体" w:eastAsia="宋体" w:cs="宋体"/>
          <w:color w:val="000000"/>
          <w:sz w:val="21"/>
          <w:szCs w:val="21"/>
        </w:rPr>
        <w:t xml:space="preserve">行贿或者提供其他不正当利益的。</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27.4.3属于本文件规定的无效条件，但在评标过程中又未被评委会发现的。</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27.4.4与采购人或者其他供应商恶意串通的。</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27.4.5采取不正当手段诋毁、排挤其他供应商的。</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bookmarkStart w:id="155" w:name="_Toc200451960"/>
      <w:r>
        <w:rPr>
          <w:rFonts w:hint="eastAsia" w:ascii="宋体" w:hAnsi="宋体" w:eastAsia="宋体" w:cs="宋体"/>
          <w:color w:val="000000"/>
          <w:sz w:val="21"/>
          <w:szCs w:val="21"/>
        </w:rPr>
        <w:t xml:space="preserve">27.5 有下列情形之一的，视为投标人串通投标，投标无效：</w:t>
      </w:r>
      <w:bookmarkEnd w:id="155"/>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27.5.1不同投标人的投标文件由同一单位或者个人编制。</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27.5.2不同投标人委托同一单位或者个人办理投标事宜。</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27.5.3不同投标人的投标文件载明的项目管理成员或者联系人员为同一人。</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27.5.4不同投标人的投标文件异常一致或者投标报价呈规律性差异。</w:t>
      </w:r>
      <w:r/>
    </w:p>
    <w:p>
      <w:pPr>
        <w:pStyle w:val="711"/>
        <w:ind w:firstLine="600"/>
        <w:jc w:val="both"/>
        <w:keepLines/>
        <w:keepNext/>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28、质疑处理</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28.1提出质疑的供应商应当是参与所质疑项目采购活动的供应商。潜在供应商依法获取其可质疑的采购文件的，可以对采购文件提出质疑。</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1"/>
          <w:szCs w:val="21"/>
          <w:lang w:eastAsia="zh-CN"/>
        </w:rPr>
        <w:t xml:space="preserve">采购代理机构</w:t>
      </w:r>
      <w:r>
        <w:rPr>
          <w:rFonts w:hint="eastAsia" w:ascii="宋体" w:hAnsi="宋体" w:eastAsia="宋体" w:cs="宋体"/>
          <w:color w:val="000000"/>
          <w:sz w:val="21"/>
          <w:szCs w:val="21"/>
        </w:rPr>
        <w:t xml:space="preserve">或采购人提出质疑。上述应知其权益受到损害之日，是指：</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28.2.1</w:t>
      </w:r>
      <w:r>
        <w:rPr>
          <w:rFonts w:hint="eastAsia" w:ascii="宋体" w:hAnsi="宋体" w:eastAsia="宋体" w:cs="宋体"/>
          <w:b/>
          <w:bCs/>
          <w:color w:val="000000"/>
          <w:sz w:val="21"/>
          <w:szCs w:val="21"/>
        </w:rPr>
        <w:t xml:space="preserve">对可以质疑的采购文件提出质疑的，为采购文件公告期限届满之日；</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28.2.2对采购过程提出质疑的，为各采购程序环节结束之日；</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28.2.3对中标或者成交结果提出质疑的，为中标或者成交结果公告期限届满之日。</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1"/>
          <w:szCs w:val="21"/>
          <w:lang w:eastAsia="zh-CN"/>
        </w:rPr>
        <w:t xml:space="preserve">采购代理机构</w:t>
      </w:r>
      <w:r>
        <w:rPr>
          <w:rFonts w:hint="eastAsia" w:ascii="宋体" w:hAnsi="宋体" w:eastAsia="宋体" w:cs="宋体"/>
          <w:color w:val="000000"/>
          <w:sz w:val="21"/>
          <w:szCs w:val="21"/>
        </w:rPr>
        <w:t xml:space="preserve">、采购人将只对供应商第一次质疑作出答复。</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11"/>
        <w:ind w:firstLine="482"/>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28.4</w:t>
      </w:r>
      <w:r>
        <w:rPr>
          <w:rFonts w:hint="eastAsia" w:ascii="宋体" w:hAnsi="宋体" w:eastAsia="宋体" w:cs="宋体"/>
          <w:color w:val="000000" w:themeColor="text1"/>
          <w:sz w:val="21"/>
          <w:szCs w:val="21"/>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1"/>
          <w:szCs w:val="21"/>
        </w:rPr>
        <w:t xml:space="preserve">供应商对除上述事项以外其他事项的询问、质疑请向</w:t>
      </w:r>
      <w:r>
        <w:rPr>
          <w:rFonts w:hint="eastAsia" w:ascii="宋体" w:hAnsi="宋体" w:eastAsia="宋体" w:cs="宋体"/>
          <w:color w:val="000000"/>
          <w:sz w:val="21"/>
          <w:szCs w:val="21"/>
          <w:lang w:eastAsia="zh-CN"/>
        </w:rPr>
        <w:t xml:space="preserve">采购代理机构</w:t>
      </w:r>
      <w:r>
        <w:rPr>
          <w:rFonts w:hint="eastAsia" w:ascii="宋体" w:hAnsi="宋体" w:eastAsia="宋体" w:cs="宋体"/>
          <w:color w:val="000000"/>
          <w:sz w:val="21"/>
          <w:szCs w:val="21"/>
        </w:rPr>
        <w:t xml:space="preserve">提出，由</w:t>
      </w:r>
      <w:r>
        <w:rPr>
          <w:rFonts w:hint="eastAsia" w:ascii="宋体" w:hAnsi="宋体" w:eastAsia="宋体" w:cs="宋体"/>
          <w:color w:val="000000"/>
          <w:sz w:val="21"/>
          <w:szCs w:val="21"/>
          <w:lang w:eastAsia="zh-CN"/>
        </w:rPr>
        <w:t xml:space="preserve">采购代理机构</w:t>
      </w:r>
      <w:r>
        <w:rPr>
          <w:rFonts w:hint="eastAsia" w:ascii="宋体" w:hAnsi="宋体" w:eastAsia="宋体" w:cs="宋体"/>
          <w:color w:val="000000"/>
          <w:sz w:val="21"/>
          <w:szCs w:val="21"/>
        </w:rPr>
        <w:t xml:space="preserve">负责答复。</w:t>
      </w:r>
      <w:r/>
    </w:p>
    <w:p>
      <w:pPr>
        <w:ind w:firstLine="440"/>
        <w:jc w:val="left"/>
        <w:pageBreakBefore w:val="0"/>
        <w:spacing w:line="360" w:lineRule="auto"/>
        <w:widowControl w:val="off"/>
        <w:tabs>
          <w:tab w:val="left" w:pos="1331" w:leader="none"/>
        </w:tabs>
        <w:rPr>
          <w:rFonts w:hint="eastAsia" w:ascii="宋体" w:hAnsi="宋体" w:eastAsia="宋体" w:cs="宋体"/>
          <w:color w:val="ff0000"/>
          <w:sz w:val="21"/>
          <w:szCs w:val="21"/>
          <w:lang w:val="en-US" w:eastAsia="zh-CN" w:bidi="ar-SA"/>
        </w:rPr>
      </w:pPr>
      <w:r>
        <w:rPr>
          <w:rFonts w:hint="eastAsia" w:ascii="宋体" w:hAnsi="宋体" w:eastAsia="宋体" w:cs="宋体"/>
          <w:color w:val="000000"/>
          <w:sz w:val="21"/>
          <w:szCs w:val="21"/>
          <w:highlight w:val="none"/>
          <w:lang w:val="en-US" w:eastAsia="zh-CN" w:bidi="ar-SA"/>
        </w:rPr>
        <w:t xml:space="preserve">采购代理机构及采购人只接收以纸质原件形式送达的质疑,采购人和采购代理机构不接受未填写快递运单的快件。质疑接收部门为亭湖区公共资源交易中心，</w:t>
      </w:r>
      <w:r>
        <w:rPr>
          <w:rFonts w:hint="eastAsia" w:ascii="宋体" w:hAnsi="宋体" w:eastAsia="宋体" w:cs="宋体"/>
          <w:color w:val="000000"/>
          <w:sz w:val="21"/>
          <w:szCs w:val="21"/>
          <w:lang w:val="en-US" w:eastAsia="zh-CN" w:bidi="ar-SA"/>
        </w:rPr>
        <w:t xml:space="preserve">采购代理机构</w:t>
      </w:r>
      <w:r>
        <w:rPr>
          <w:rFonts w:hint="eastAsia" w:ascii="宋体" w:hAnsi="宋体" w:eastAsia="宋体" w:cs="宋体"/>
          <w:color w:val="ff0000"/>
          <w:sz w:val="21"/>
          <w:szCs w:val="21"/>
          <w:lang w:val="en-US" w:eastAsia="zh-CN" w:bidi="ar-SA"/>
        </w:rPr>
        <w:t xml:space="preserve">联系地址：盐城市亭湖区希望大道中路18号，联系电话：0515-89802019。</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28.5 以下情形的质疑不予受理</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28.5.1内容不符合《政府采购质疑和投诉办法》第十二条规定的质疑。</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28.5.2超出政府采购法定期限的质疑。</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28.5.3以传真、电子邮件等方式递交的非原件形式的质疑。</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28.5.4未参加投标活动的供应商或在投标活动中自身权益未受到损害的供应商所提出的质疑。</w:t>
      </w:r>
      <w:r/>
    </w:p>
    <w:p>
      <w:pPr>
        <w:pStyle w:val="711"/>
        <w:ind w:firstLine="480"/>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28.5.5供应商组成联合体参加投标，联合体中任何一方或多方未按要求签字、盖章、加盖公章的质疑。</w:t>
      </w:r>
      <w:r/>
    </w:p>
    <w:p>
      <w:pPr>
        <w:pStyle w:val="711"/>
        <w:ind w:firstLine="468"/>
        <w:jc w:val="both"/>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28.6供应商提出书面质疑必须有理、有据，不得捏造事实、提供虚假材料进行恶意质疑。否则，一经查实，</w:t>
      </w:r>
      <w:r>
        <w:rPr>
          <w:rFonts w:hint="eastAsia" w:ascii="宋体" w:hAnsi="宋体" w:eastAsia="宋体" w:cs="宋体"/>
          <w:color w:val="000000"/>
          <w:sz w:val="21"/>
          <w:szCs w:val="21"/>
          <w:lang w:eastAsia="zh-CN"/>
        </w:rPr>
        <w:t xml:space="preserve">采购代理机构</w:t>
      </w:r>
      <w:r>
        <w:rPr>
          <w:rFonts w:hint="eastAsia" w:ascii="宋体" w:hAnsi="宋体" w:eastAsia="宋体" w:cs="宋体"/>
          <w:color w:val="000000"/>
          <w:sz w:val="21"/>
          <w:szCs w:val="21"/>
        </w:rPr>
        <w:t xml:space="preserve">有权依据政府采购的有关规定，报请政府采购监管部门对该供应商进行相应的行政处罚和记录该供应商的失信信息。</w:t>
      </w:r>
      <w:r/>
    </w:p>
    <w:p>
      <w:pPr>
        <w:pStyle w:val="711"/>
        <w:ind w:firstLine="600"/>
        <w:jc w:val="both"/>
        <w:keepLines/>
        <w:keepNext/>
        <w:pageBreakBefore w:val="0"/>
        <w:spacing w:beforeAutospacing="0" w:afterAutospacing="0"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29、中标通知书</w:t>
      </w:r>
      <w:r/>
    </w:p>
    <w:p>
      <w:pPr>
        <w:pStyle w:val="711"/>
        <w:ind w:firstLine="600"/>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sz w:val="21"/>
          <w:szCs w:val="21"/>
        </w:rPr>
        <w:t xml:space="preserve">29.l中标结果确定后，</w:t>
      </w:r>
      <w:r>
        <w:rPr>
          <w:rFonts w:hint="eastAsia" w:ascii="宋体" w:hAnsi="宋体" w:eastAsia="宋体" w:cs="宋体"/>
          <w:color w:val="000000"/>
          <w:sz w:val="21"/>
          <w:szCs w:val="21"/>
          <w:lang w:eastAsia="zh-CN"/>
        </w:rPr>
        <w:t xml:space="preserve">采购代</w:t>
      </w:r>
      <w:r>
        <w:rPr>
          <w:rFonts w:hint="eastAsia" w:ascii="宋体" w:hAnsi="宋体" w:eastAsia="宋体" w:cs="宋体"/>
          <w:color w:val="000000" w:themeColor="text1"/>
          <w:sz w:val="21"/>
          <w:szCs w:val="21"/>
          <w:lang w:eastAsia="zh-CN"/>
          <w14:textFill>
            <w14:solidFill>
              <w14:schemeClr w14:val="tx1"/>
            </w14:solidFill>
          </w14:textFill>
        </w:rPr>
        <w:t xml:space="preserve">理机构</w:t>
      </w:r>
      <w:r>
        <w:rPr>
          <w:rFonts w:hint="eastAsia" w:ascii="宋体" w:hAnsi="宋体" w:eastAsia="宋体" w:cs="宋体"/>
          <w:color w:val="000000" w:themeColor="text1"/>
          <w:sz w:val="21"/>
          <w:szCs w:val="21"/>
          <w14:textFill>
            <w14:solidFill>
              <w14:schemeClr w14:val="tx1"/>
            </w14:solidFill>
          </w14:textFill>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11"/>
        <w:ind w:firstLine="600"/>
        <w:jc w:val="both"/>
        <w:pageBreakBefore w:val="0"/>
        <w:spacing w:beforeAutospacing="0" w:afterAutospacing="0" w:line="36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29.2中标通知书将是合同的一个组成部分。对采购人和中标人均具有法律效力。中标通知书发出后，采购人改变中标结果的，或者中标人放弃中标项目的，应当依法承担法律责任。</w:t>
      </w:r>
      <w:r/>
    </w:p>
    <w:p>
      <w:pPr>
        <w:pStyle w:val="711"/>
        <w:jc w:val="both"/>
        <w:keepLines/>
        <w:keepNext/>
        <w:spacing w:before="145" w:beforeAutospacing="0" w:after="145" w:afterAutospacing="0" w:line="360" w:lineRule="auto"/>
        <w:rPr>
          <w:rFonts w:hint="eastAsia" w:ascii="宋体" w:hAnsi="宋体" w:eastAsia="宋体" w:cs="宋体"/>
          <w:sz w:val="21"/>
          <w:szCs w:val="21"/>
        </w:rPr>
      </w:pPr>
      <w:r/>
      <w:bookmarkStart w:id="156" w:name="_Toc20823308"/>
      <w:r/>
      <w:bookmarkStart w:id="157" w:name="_Toc513029236"/>
      <w:r/>
      <w:bookmarkStart w:id="158" w:name="_Toc16938552"/>
      <w:r/>
      <w:bookmarkStart w:id="159" w:name="_Toc120614220"/>
      <w:r>
        <w:rPr>
          <w:rFonts w:hint="eastAsia" w:ascii="宋体" w:hAnsi="宋体" w:eastAsia="宋体" w:cs="宋体"/>
          <w:b/>
          <w:color w:val="000000"/>
          <w:sz w:val="21"/>
          <w:szCs w:val="21"/>
        </w:rPr>
        <w:t xml:space="preserve">七、授予合同</w:t>
      </w:r>
      <w:bookmarkEnd w:id="156"/>
      <w:r/>
      <w:bookmarkEnd w:id="157"/>
      <w:r/>
      <w:bookmarkEnd w:id="158"/>
      <w:r/>
      <w:bookmarkEnd w:id="159"/>
      <w:r/>
      <w:r/>
    </w:p>
    <w:p>
      <w:pPr>
        <w:pStyle w:val="711"/>
        <w:ind w:firstLine="600"/>
        <w:jc w:val="both"/>
        <w:keepLines/>
        <w:keepNext/>
        <w:pageBreakBefore w:val="0"/>
        <w:spacing w:beforeAutospacing="0" w:afterAutospacing="0" w:line="440" w:lineRule="exact"/>
        <w:widowControl w:val="off"/>
        <w:rPr>
          <w:rFonts w:hint="eastAsia" w:ascii="宋体" w:hAnsi="宋体" w:eastAsia="宋体" w:cs="宋体"/>
          <w:sz w:val="21"/>
          <w:szCs w:val="21"/>
        </w:rPr>
      </w:pPr>
      <w:r/>
      <w:bookmarkStart w:id="160" w:name="_Toc20823309"/>
      <w:r/>
      <w:bookmarkStart w:id="161" w:name="_Toc16938553"/>
      <w:r/>
      <w:bookmarkStart w:id="162" w:name="_Toc513029237"/>
      <w:r>
        <w:rPr>
          <w:rFonts w:hint="eastAsia" w:ascii="宋体" w:hAnsi="宋体" w:eastAsia="宋体" w:cs="宋体"/>
          <w:color w:val="000000"/>
          <w:sz w:val="21"/>
          <w:szCs w:val="21"/>
        </w:rPr>
        <w:t xml:space="preserve">30.签订合同</w:t>
      </w:r>
      <w:bookmarkEnd w:id="160"/>
      <w:r/>
      <w:bookmarkEnd w:id="161"/>
      <w:r/>
      <w:bookmarkEnd w:id="162"/>
      <w:r/>
      <w:r/>
    </w:p>
    <w:p>
      <w:pPr>
        <w:pStyle w:val="711"/>
        <w:ind w:firstLine="600"/>
        <w:jc w:val="both"/>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30.l中标人应当在中标通知书发出之日起三十日内，按照招标文件确定的事项与采购人签订政府采购合同。</w:t>
      </w:r>
      <w:r/>
    </w:p>
    <w:p>
      <w:pPr>
        <w:pStyle w:val="711"/>
        <w:ind w:firstLine="600"/>
        <w:jc w:val="both"/>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30.2招标文件、中标人的投标文件及招标过程中有关澄清、承诺文件均应作为合同附件。</w:t>
      </w:r>
      <w:r/>
    </w:p>
    <w:p>
      <w:pPr>
        <w:pStyle w:val="711"/>
        <w:ind w:firstLine="600"/>
        <w:jc w:val="both"/>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30.3签订合同后，</w:t>
      </w:r>
      <w:r>
        <w:rPr>
          <w:rFonts w:hint="eastAsia" w:ascii="宋体" w:hAnsi="宋体" w:eastAsia="宋体" w:cs="宋体"/>
          <w:i/>
          <w:color w:val="000000"/>
          <w:sz w:val="21"/>
          <w:szCs w:val="21"/>
          <w:u w:val="single"/>
        </w:rPr>
        <w:t xml:space="preserve">中标人不得将合同标的进行转包</w:t>
      </w:r>
      <w:r>
        <w:rPr>
          <w:rFonts w:hint="eastAsia" w:ascii="宋体" w:hAnsi="宋体" w:eastAsia="宋体" w:cs="宋体"/>
          <w:color w:val="000000"/>
          <w:sz w:val="21"/>
          <w:szCs w:val="21"/>
        </w:rPr>
        <w:t xml:space="preserve">。未经采购人同意，中标人也不得采用分包的形式履行合同，否则采购人有权终止合同。转包或分包造成采购人损失的，中标人应承担相应赔偿责任。</w:t>
      </w:r>
      <w:r/>
    </w:p>
    <w:p>
      <w:pPr>
        <w:pStyle w:val="711"/>
        <w:ind w:firstLine="600"/>
        <w:jc w:val="both"/>
        <w:keepLines/>
        <w:keepNext/>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31、服务（包含与服务相关的货物）的追加</w:t>
      </w:r>
      <w:r/>
    </w:p>
    <w:p>
      <w:pPr>
        <w:pStyle w:val="711"/>
        <w:ind w:firstLine="480"/>
        <w:jc w:val="both"/>
        <w:pageBreakBefore w:val="0"/>
        <w:spacing w:beforeAutospacing="0" w:afterAutospacing="0" w:line="440" w:lineRule="exac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11"/>
        <w:ind w:firstLine="600"/>
        <w:jc w:val="both"/>
        <w:keepLines/>
        <w:keepNext/>
        <w:pageBreakBefore w:val="0"/>
        <w:spacing w:beforeAutospacing="0" w:afterAutospacing="0" w:line="440" w:lineRule="exact"/>
        <w:widowControl w:val="off"/>
        <w:rPr>
          <w:rFonts w:hint="eastAsia" w:ascii="宋体" w:hAnsi="宋体" w:eastAsia="宋体" w:cs="宋体"/>
          <w:sz w:val="21"/>
          <w:szCs w:val="21"/>
          <w:highlight w:val="none"/>
        </w:rPr>
      </w:pPr>
      <w:r/>
      <w:bookmarkStart w:id="163" w:name="_Toc20823314"/>
      <w:r/>
      <w:bookmarkStart w:id="164" w:name="_Toc120614221"/>
      <w:r/>
      <w:bookmarkStart w:id="165" w:name="_Toc479757207"/>
      <w:r/>
      <w:bookmarkStart w:id="166" w:name="_Toc513029242"/>
      <w:r/>
      <w:bookmarkStart w:id="167" w:name="_Toc16938558"/>
      <w:r>
        <w:rPr>
          <w:rFonts w:hint="eastAsia" w:ascii="宋体" w:hAnsi="宋体" w:eastAsia="宋体" w:cs="宋体"/>
          <w:color w:val="000000"/>
          <w:sz w:val="21"/>
          <w:szCs w:val="21"/>
          <w:highlight w:val="none"/>
        </w:rPr>
        <w:t xml:space="preserve">32、</w:t>
      </w:r>
      <w:bookmarkEnd w:id="163"/>
      <w:r/>
      <w:bookmarkEnd w:id="164"/>
      <w:r/>
      <w:bookmarkEnd w:id="165"/>
      <w:r/>
      <w:bookmarkEnd w:id="166"/>
      <w:r/>
      <w:bookmarkEnd w:id="167"/>
      <w:r>
        <w:rPr>
          <w:rFonts w:hint="eastAsia" w:ascii="宋体" w:hAnsi="宋体" w:eastAsia="宋体" w:cs="宋体"/>
          <w:color w:val="000000"/>
          <w:sz w:val="21"/>
          <w:szCs w:val="21"/>
          <w:highlight w:val="none"/>
        </w:rPr>
        <w:t xml:space="preserve">政府采购</w:t>
      </w:r>
      <w:r>
        <w:rPr>
          <w:rFonts w:hint="eastAsia" w:ascii="宋体" w:hAnsi="宋体" w:eastAsia="宋体" w:cs="宋体"/>
          <w:color w:val="000000"/>
          <w:sz w:val="21"/>
          <w:szCs w:val="21"/>
          <w:highlight w:val="none"/>
          <w:lang w:eastAsia="zh-CN"/>
        </w:rPr>
        <w:t xml:space="preserve">线上合同信用融资</w:t>
      </w:r>
      <w:r>
        <w:rPr>
          <w:rFonts w:hint="eastAsia" w:ascii="宋体" w:hAnsi="宋体" w:eastAsia="宋体" w:cs="宋体"/>
          <w:color w:val="000000"/>
          <w:sz w:val="21"/>
          <w:szCs w:val="21"/>
          <w:highlight w:val="none"/>
        </w:rPr>
        <w:t xml:space="preserve">政策</w:t>
      </w:r>
      <w:r/>
    </w:p>
    <w:p>
      <w:pPr>
        <w:pStyle w:val="711"/>
        <w:ind w:firstLine="420"/>
        <w:keepNext/>
        <w:pageBreakBefore w:val="0"/>
        <w:spacing w:beforeAutospacing="0" w:afterAutospacing="0" w:line="44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w:t>
      </w:r>
      <w:r>
        <w:rPr>
          <w:rFonts w:hint="eastAsia" w:ascii="宋体" w:hAnsi="宋体" w:eastAsia="宋体" w:cs="宋体"/>
          <w:sz w:val="21"/>
          <w:szCs w:val="21"/>
          <w:highlight w:val="none"/>
        </w:rPr>
        <w:t xml:space="preserve">具体操作流程请参考苏采云系统中供应商操作手册。 </w:t>
      </w:r>
      <w:r/>
    </w:p>
    <w:p>
      <w:pPr>
        <w:pStyle w:val="711"/>
        <w:ind w:firstLine="420"/>
        <w:jc w:val="both"/>
        <w:pageBreakBefore w:val="0"/>
        <w:spacing w:beforeAutospacing="0" w:afterAutospacing="0" w:line="44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 </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其他</w:t>
      </w:r>
      <w:r/>
    </w:p>
    <w:p>
      <w:pPr>
        <w:ind w:firstLine="42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33.1</w:t>
      </w:r>
      <w:r>
        <w:rPr>
          <w:rFonts w:hint="eastAsia" w:ascii="宋体" w:hAnsi="宋体" w:eastAsia="宋体" w:cs="宋体"/>
          <w:color w:val="000000" w:themeColor="text1"/>
          <w:sz w:val="21"/>
          <w:szCs w:val="21"/>
          <w:highlight w:val="none"/>
          <w14:textFill>
            <w14:solidFill>
              <w14:schemeClr w14:val="tx1"/>
            </w14:solidFill>
          </w14:textFill>
        </w:rPr>
        <w:t xml:space="preserve">供应商对于投标产品的商品包装、快递包装应按照《关于印发《商品包装政府采购需求标准（试行）》、《快递包装政府采购需求标准（试行）》的通知》</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财办库〔2020〕123号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执行。</w:t>
      </w:r>
      <w:r/>
    </w:p>
    <w:p>
      <w:pPr>
        <w:ind w:firstLine="42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33.2</w:t>
      </w:r>
      <w:r>
        <w:rPr>
          <w:rFonts w:hint="eastAsia" w:ascii="宋体" w:hAnsi="宋体" w:eastAsia="宋体" w:cs="宋体"/>
          <w:color w:val="000000" w:themeColor="text1"/>
          <w:sz w:val="21"/>
          <w:szCs w:val="21"/>
          <w:highlight w:val="none"/>
          <w14:textFill>
            <w14:solidFill>
              <w14:schemeClr w14:val="tx1"/>
            </w14:solidFill>
          </w14:textFill>
        </w:rPr>
        <w:t xml:space="preserve">本文件中若涉及到数据中心采购，应按照《&lt;绿色数据中心政府采购需求标准（试行）&gt;的通知》（财库〔2023〕7号）执行。</w:t>
      </w:r>
      <w:r/>
    </w:p>
    <w:p>
      <w:pPr>
        <w:pStyle w:val="711"/>
        <w:ind w:firstLine="480"/>
        <w:jc w:val="both"/>
        <w:pageBreakBefore w:val="0"/>
        <w:spacing w:beforeAutospacing="0" w:afterAutospacing="0"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34.3 本项目落实预付款制度，预付款比例为30%。在签订合同时，中标、成交供应商明确书面表示无需预付款或者主动要求降低预付款比例的，采购人可就预付款比例作相应调整。</w:t>
      </w:r>
      <w:r/>
    </w:p>
    <w:p>
      <w:pPr>
        <w:pStyle w:val="711"/>
        <w:ind w:firstLine="480"/>
        <w:jc w:val="both"/>
        <w:pageBreakBefore w:val="0"/>
        <w:spacing w:beforeAutospacing="0" w:afterAutospacing="0"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34.4 确需收取履约保证金的，履约保证金的缴纳形式：</w:t>
      </w:r>
      <w:r/>
    </w:p>
    <w:p>
      <w:pPr>
        <w:pStyle w:val="711"/>
        <w:ind w:firstLine="480"/>
        <w:jc w:val="both"/>
        <w:pageBreakBefore w:val="0"/>
        <w:spacing w:beforeAutospacing="0" w:afterAutospacing="0"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11"/>
        <w:ind w:firstLine="480"/>
        <w:jc w:val="both"/>
        <w:pageBreakBefore w:val="0"/>
        <w:spacing w:beforeAutospacing="0" w:afterAutospacing="0"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如以履约保函（保险）形式缴纳履约保证金，供应商可通过政府采购电子履约保函（保险）平台（www.jsdzbh.com）在线申请履约保函（保险）。</w:t>
      </w:r>
      <w:r/>
    </w:p>
    <w:p>
      <w:pPr>
        <w:ind w:firstLine="420"/>
        <w:pageBreakBefore w:val="0"/>
        <w:spacing w:line="44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sz w:val="21"/>
          <w:szCs w:val="21"/>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color w:val="000000"/>
          <w:sz w:val="22"/>
          <w:szCs w:val="22"/>
          <w:highlight w:val="none"/>
          <w:lang w:val="en-US" w:eastAsia="zh-CN"/>
        </w:rPr>
        <w:t xml:space="preserve">  </w:t>
      </w:r>
      <w:r/>
    </w:p>
    <w:p>
      <w:pPr>
        <w:pStyle w:val="711"/>
        <w:ind w:firstLine="480"/>
        <w:jc w:val="both"/>
        <w:pageBreakBefore w:val="0"/>
        <w:spacing w:beforeAutospacing="0" w:afterAutospacing="0" w:line="360"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p>
      <w:pPr>
        <w:pStyle w:val="711"/>
        <w:jc w:val="both"/>
        <w:spacing w:beforeAutospacing="0" w:afterAutospacing="0" w:line="0" w:lineRule="atLeast"/>
        <w:rPr>
          <w:rFonts w:hint="eastAsia" w:ascii="宋体" w:hAnsi="宋体" w:eastAsia="宋体" w:cs="宋体"/>
          <w:color w:val="000000"/>
          <w:sz w:val="22"/>
          <w:szCs w:val="22"/>
          <w:highlight w:val="red"/>
        </w:rPr>
      </w:pPr>
      <w:r>
        <w:rPr>
          <w:rFonts w:hint="eastAsia" w:ascii="宋体" w:hAnsi="宋体" w:eastAsia="宋体" w:cs="宋体"/>
          <w:color w:val="000000"/>
          <w:sz w:val="22"/>
          <w:szCs w:val="22"/>
          <w:highlight w:val="red"/>
        </w:rPr>
      </w:r>
      <w:r/>
    </w:p>
    <w:p>
      <w:pPr>
        <w:pStyle w:val="711"/>
        <w:jc w:val="both"/>
        <w:spacing w:beforeAutospacing="0" w:afterAutospacing="0" w:line="0" w:lineRule="atLeast"/>
        <w:rPr>
          <w:rFonts w:hint="eastAsia" w:ascii="宋体" w:hAnsi="宋体" w:eastAsia="宋体" w:cs="宋体"/>
          <w:color w:val="000000"/>
          <w:sz w:val="22"/>
          <w:szCs w:val="22"/>
          <w:highlight w:val="red"/>
        </w:rPr>
      </w:pPr>
      <w:r>
        <w:rPr>
          <w:rFonts w:hint="eastAsia" w:ascii="宋体" w:hAnsi="宋体" w:eastAsia="宋体" w:cs="宋体"/>
          <w:color w:val="000000"/>
          <w:sz w:val="22"/>
          <w:szCs w:val="22"/>
          <w:highlight w:val="red"/>
        </w:rPr>
      </w:r>
      <w:r/>
    </w:p>
    <w:p>
      <w:pPr>
        <w:pStyle w:val="711"/>
        <w:jc w:val="both"/>
        <w:spacing w:beforeAutospacing="0" w:afterAutospacing="0" w:line="0" w:lineRule="atLeast"/>
        <w:rPr>
          <w:rFonts w:hint="eastAsia" w:ascii="宋体" w:hAnsi="宋体" w:eastAsia="宋体" w:cs="宋体"/>
          <w:color w:val="000000"/>
          <w:sz w:val="22"/>
          <w:szCs w:val="22"/>
          <w:highlight w:val="red"/>
        </w:rPr>
      </w:pPr>
      <w:r>
        <w:rPr>
          <w:rFonts w:hint="eastAsia" w:ascii="宋体" w:hAnsi="宋体" w:eastAsia="宋体" w:cs="宋体"/>
          <w:color w:val="000000"/>
          <w:sz w:val="22"/>
          <w:szCs w:val="22"/>
          <w:highlight w:val="red"/>
        </w:rPr>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color w:val="000000"/>
          <w:sz w:val="40"/>
          <w:szCs w:val="40"/>
        </w:rPr>
        <w:t xml:space="preserve">第三章  合同文本</w:t>
      </w:r>
      <w:r/>
    </w:p>
    <w:p>
      <w:pPr>
        <w:pStyle w:val="711"/>
        <w:ind w:firstLine="480"/>
        <w:jc w:val="both"/>
        <w:spacing w:beforeAutospacing="0" w:afterAutospacing="0" w:line="0" w:lineRule="atLeast"/>
        <w:rPr>
          <w:rFonts w:hint="eastAsia" w:ascii="宋体" w:hAnsi="宋体" w:eastAsia="宋体" w:cs="宋体"/>
          <w:sz w:val="22"/>
          <w:szCs w:val="22"/>
        </w:rPr>
      </w:pPr>
      <w:r/>
      <w:bookmarkStart w:id="168" w:name="_Toc16938559"/>
      <w:r/>
      <w:bookmarkStart w:id="169" w:name="_Toc513029243"/>
      <w:r/>
      <w:bookmarkStart w:id="170" w:name="_Toc20823315"/>
      <w:r>
        <w:rPr>
          <w:rFonts w:hint="eastAsia" w:ascii="宋体" w:hAnsi="宋体" w:eastAsia="宋体" w:cs="宋体"/>
          <w:color w:val="000000"/>
          <w:sz w:val="22"/>
          <w:szCs w:val="22"/>
        </w:rPr>
        <w:t xml:space="preserve">以下为中标后签定本项目合同的通用条款，中标人不得提出实质性的修改。</w:t>
      </w:r>
      <w:bookmarkEnd w:id="168"/>
      <w:r/>
      <w:bookmarkEnd w:id="169"/>
      <w:r/>
      <w:bookmarkEnd w:id="170"/>
      <w:r>
        <w:rPr>
          <w:rFonts w:hint="eastAsia" w:ascii="宋体" w:hAnsi="宋体" w:eastAsia="宋体" w:cs="宋体"/>
          <w:sz w:val="22"/>
          <w:szCs w:val="22"/>
        </w:rPr>
        <w:t xml:space="preserve"> </w:t>
      </w:r>
      <w:r/>
    </w:p>
    <w:p>
      <w:pPr>
        <w:pStyle w:val="711"/>
        <w:jc w:val="center"/>
        <w:spacing w:before="145" w:beforeAutospacing="0" w:after="145" w:afterAutospacing="0"/>
        <w:rPr>
          <w:rFonts w:hint="eastAsia" w:ascii="宋体" w:hAnsi="宋体" w:eastAsia="宋体" w:cs="宋体"/>
          <w:sz w:val="22"/>
          <w:szCs w:val="22"/>
        </w:rPr>
      </w:pPr>
      <w:r>
        <w:rPr>
          <w:rFonts w:hint="eastAsia" w:ascii="宋体" w:hAnsi="宋体" w:eastAsia="宋体" w:cs="宋体"/>
          <w:b/>
          <w:color w:val="000000"/>
          <w:sz w:val="28"/>
          <w:szCs w:val="28"/>
        </w:rPr>
        <w:t xml:space="preserve">盐城市政府采购合同（服务</w:t>
      </w:r>
      <w:r>
        <w:rPr>
          <w:rFonts w:hint="eastAsia" w:ascii="宋体" w:hAnsi="宋体" w:eastAsia="宋体" w:cs="宋体"/>
          <w:b/>
          <w:color w:val="000000"/>
          <w:sz w:val="28"/>
          <w:szCs w:val="28"/>
          <w:lang w:val="en-US" w:eastAsia="zh-CN"/>
        </w:rPr>
        <w:t xml:space="preserve">类</w:t>
      </w:r>
      <w:r>
        <w:rPr>
          <w:rFonts w:hint="eastAsia" w:ascii="宋体" w:hAnsi="宋体" w:eastAsia="宋体" w:cs="宋体"/>
          <w:b/>
          <w:color w:val="000000"/>
          <w:sz w:val="28"/>
          <w:szCs w:val="28"/>
        </w:rPr>
        <w:t xml:space="preserve">）（合同编号）</w:t>
      </w:r>
      <w:r/>
    </w:p>
    <w:p>
      <w:pPr>
        <w:pStyle w:val="711"/>
        <w:jc w:val="both"/>
        <w:keepLines/>
        <w:keepNext w:val="0"/>
        <w:pageBreakBefore w:val="0"/>
        <w:spacing w:before="120" w:beforeAutospacing="0" w:after="120" w:afterAutospacing="0"/>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w:t>
      </w:r>
      <w:r/>
    </w:p>
    <w:p>
      <w:pPr>
        <w:pStyle w:val="711"/>
        <w:jc w:val="both"/>
        <w:keepLines/>
        <w:keepNext w:val="0"/>
        <w:pageBreakBefore w:val="0"/>
        <w:spacing w:beforeAutospacing="0" w:afterAutospacing="0"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项目名称：亭湖区数字化医共体“十张网”（十大中心）信息化建设二期项目</w:t>
      </w:r>
      <w:r/>
    </w:p>
    <w:p>
      <w:pPr>
        <w:pStyle w:val="711"/>
        <w:jc w:val="both"/>
        <w:keepLines/>
        <w:keepNext w:val="0"/>
        <w:pageBreakBefore w:val="0"/>
        <w:spacing w:beforeAutospacing="0" w:afterAutospacing="0" w:line="440" w:lineRule="exac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项目编号：</w:t>
      </w:r>
      <w:r/>
    </w:p>
    <w:p>
      <w:pPr>
        <w:pStyle w:val="711"/>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rPr>
        <w:t xml:space="preserve">甲方：（买方）</w:t>
      </w:r>
      <w:r>
        <w:rPr>
          <w:rFonts w:hint="eastAsia" w:ascii="宋体" w:hAnsi="宋体" w:eastAsia="宋体" w:cs="宋体"/>
          <w:color w:val="000000"/>
          <w:sz w:val="21"/>
          <w:szCs w:val="21"/>
          <w:u w:val="single"/>
        </w:rPr>
        <w:t xml:space="preserve">盐城市亭湖区卫生健康委员会</w:t>
      </w:r>
      <w:r/>
    </w:p>
    <w:p>
      <w:pPr>
        <w:pStyle w:val="711"/>
        <w:jc w:val="both"/>
        <w:keepNext w:val="0"/>
        <w:pageBreakBefore w:val="0"/>
        <w:spacing w:beforeAutospacing="0" w:afterAutospacing="0" w:line="440" w:lineRule="exact"/>
        <w:rPr>
          <w:rFonts w:hint="eastAsia" w:ascii="宋体" w:hAnsi="宋体" w:eastAsia="宋体" w:cs="宋体"/>
          <w:sz w:val="21"/>
          <w:szCs w:val="21"/>
          <w:lang w:val="en-US" w:eastAsia="zh-CN"/>
        </w:rPr>
      </w:pPr>
      <w:r>
        <w:rPr>
          <w:rFonts w:hint="eastAsia" w:ascii="宋体" w:hAnsi="宋体" w:eastAsia="宋体" w:cs="宋体"/>
          <w:color w:val="000000"/>
          <w:sz w:val="21"/>
          <w:szCs w:val="21"/>
        </w:rPr>
        <w:t xml:space="preserve">乙方：（卖方）</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val="en-US" w:eastAsia="zh-CN"/>
        </w:rPr>
        <w:t xml:space="preserve">                  </w:t>
      </w:r>
      <w:r/>
    </w:p>
    <w:p>
      <w:pPr>
        <w:pStyle w:val="711"/>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t xml:space="preserve">甲、乙双方根据</w:t>
      </w:r>
      <w:r>
        <w:rPr>
          <w:rFonts w:hint="eastAsia" w:ascii="宋体" w:hAnsi="宋体" w:eastAsia="宋体" w:cs="宋体"/>
          <w:color w:val="000000"/>
          <w:sz w:val="21"/>
          <w:szCs w:val="21"/>
          <w:u w:val="single"/>
          <w:lang w:eastAsia="zh-CN"/>
        </w:rPr>
        <w:t xml:space="preserve">亭湖区数字化医共体“十张网”（十大中心）信息化建设二期项目</w:t>
      </w:r>
      <w:r>
        <w:rPr>
          <w:rFonts w:hint="eastAsia" w:ascii="宋体" w:hAnsi="宋体" w:eastAsia="宋体" w:cs="宋体"/>
          <w:color w:val="000000"/>
          <w:sz w:val="21"/>
          <w:szCs w:val="21"/>
        </w:rPr>
        <w:t xml:space="preserve">公开招标的结果，签署本合同。</w:t>
      </w:r>
      <w:r/>
    </w:p>
    <w:p>
      <w:pPr>
        <w:pStyle w:val="711"/>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b/>
          <w:color w:val="000000"/>
          <w:sz w:val="21"/>
          <w:szCs w:val="21"/>
        </w:rPr>
        <w:t xml:space="preserve">一、合同内容</w:t>
      </w:r>
      <w:r/>
    </w:p>
    <w:p>
      <w:pPr>
        <w:pStyle w:val="711"/>
        <w:jc w:val="both"/>
        <w:keepNext w:val="0"/>
        <w:pageBreakBefore w:val="0"/>
        <w:spacing w:beforeAutospacing="0" w:afterAutospacing="0" w:line="440" w:lineRule="exact"/>
        <w:rPr>
          <w:rFonts w:hint="eastAsia" w:ascii="宋体" w:hAnsi="宋体" w:eastAsia="宋体" w:cs="宋体"/>
          <w:sz w:val="21"/>
          <w:szCs w:val="21"/>
          <w:lang w:eastAsia="zh-CN"/>
        </w:rPr>
      </w:pPr>
      <w:r>
        <w:rPr>
          <w:rFonts w:hint="eastAsia" w:ascii="宋体" w:hAnsi="宋体" w:eastAsia="宋体" w:cs="宋体"/>
          <w:color w:val="000000"/>
          <w:sz w:val="21"/>
          <w:szCs w:val="21"/>
        </w:rPr>
        <w:t xml:space="preserve">1.1 标的名称：</w:t>
      </w:r>
      <w:r>
        <w:rPr>
          <w:rFonts w:hint="eastAsia" w:ascii="宋体" w:hAnsi="宋体" w:eastAsia="宋体" w:cs="宋体"/>
          <w:color w:val="000000"/>
          <w:sz w:val="21"/>
          <w:szCs w:val="21"/>
          <w:lang w:eastAsia="zh-CN"/>
        </w:rPr>
        <w:t xml:space="preserve">亭湖区数字化医共体“十张网”（十大中心）信息化建设二期项目</w:t>
      </w:r>
      <w:r/>
    </w:p>
    <w:p>
      <w:pPr>
        <w:pStyle w:val="711"/>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rPr>
        <w:t xml:space="preserve">1.2标的质量：“合格”，并符合招标文件中技术要求、国家现行的相关规范标准及有关部门最新颁布的相应的最新标准；项目确保按规范和标准验收，且达国家合格标准。</w:t>
      </w:r>
      <w:r/>
    </w:p>
    <w:p>
      <w:pPr>
        <w:pStyle w:val="711"/>
        <w:jc w:val="both"/>
        <w:keepNext w:val="0"/>
        <w:pageBreakBefore w:val="0"/>
        <w:spacing w:beforeAutospacing="0" w:afterAutospacing="0"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 标的数量（规模）：</w:t>
      </w:r>
      <w:r/>
    </w:p>
    <w:p>
      <w:pPr>
        <w:pStyle w:val="711"/>
        <w:jc w:val="both"/>
        <w:keepNext w:val="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1.4 履行时间（期限）：</w:t>
      </w:r>
      <w:r>
        <w:rPr>
          <w:rFonts w:hint="eastAsia" w:ascii="宋体" w:hAnsi="宋体" w:eastAsia="宋体" w:cs="宋体"/>
          <w:color w:val="auto"/>
          <w:sz w:val="21"/>
          <w:szCs w:val="21"/>
          <w:highlight w:val="none"/>
        </w:rPr>
        <w:t xml:space="preserve">中标人须在签订合同后90个日历天内全部供货及安装完毕，并完成全部建设工作并投入试运行。</w:t>
      </w:r>
      <w:r/>
    </w:p>
    <w:p>
      <w:pPr>
        <w:pStyle w:val="711"/>
        <w:jc w:val="both"/>
        <w:keepNext w:val="0"/>
        <w:pageBreakBefore w:val="0"/>
        <w:spacing w:beforeAutospacing="0" w:afterAutospacing="0" w:line="440" w:lineRule="exact"/>
        <w:rPr>
          <w:rFonts w:hint="eastAsia" w:ascii="宋体" w:hAnsi="宋体" w:eastAsia="宋体" w:cs="宋体"/>
          <w:sz w:val="21"/>
          <w:szCs w:val="21"/>
          <w:lang w:eastAsia="zh-CN"/>
        </w:rPr>
      </w:pPr>
      <w:r>
        <w:rPr>
          <w:rFonts w:hint="eastAsia" w:ascii="宋体" w:hAnsi="宋体" w:eastAsia="宋体" w:cs="宋体"/>
          <w:color w:val="000000"/>
          <w:sz w:val="21"/>
          <w:szCs w:val="21"/>
        </w:rPr>
        <w:t xml:space="preserve">1.5 履行地点：</w:t>
      </w:r>
      <w:r>
        <w:rPr>
          <w:rFonts w:hint="eastAsia" w:ascii="宋体" w:hAnsi="宋体" w:eastAsia="宋体" w:cs="宋体"/>
          <w:color w:val="000000"/>
          <w:sz w:val="21"/>
          <w:szCs w:val="21"/>
          <w:lang w:eastAsia="zh-CN"/>
        </w:rPr>
        <w:t xml:space="preserve">招标人指定地点。</w:t>
      </w:r>
      <w:r/>
    </w:p>
    <w:p>
      <w:pPr>
        <w:pStyle w:val="711"/>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rPr>
        <w:t xml:space="preserve">1.6履行方式：乙方必须完全按照国家法律法规、甲方招标文件的要求、乙方投标（响应）文件承诺等相关要求履行合同。</w:t>
      </w:r>
      <w:r/>
    </w:p>
    <w:p>
      <w:pPr>
        <w:pStyle w:val="711"/>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b/>
          <w:color w:val="000000"/>
          <w:sz w:val="21"/>
          <w:szCs w:val="21"/>
        </w:rPr>
        <w:t xml:space="preserve">二、合同金额</w:t>
      </w:r>
      <w:r/>
    </w:p>
    <w:p>
      <w:pPr>
        <w:pStyle w:val="711"/>
        <w:ind w:left="410" w:hanging="410"/>
        <w:jc w:val="both"/>
        <w:keepNext w:val="0"/>
        <w:pageBreakBefore w:val="0"/>
        <w:spacing w:beforeAutospacing="0" w:afterAutospacing="0" w:line="440" w:lineRule="exact"/>
        <w:rPr>
          <w:rFonts w:hint="eastAsia" w:ascii="宋体" w:hAnsi="宋体" w:eastAsia="宋体" w:cs="宋体"/>
          <w:color w:val="ff0000"/>
          <w:sz w:val="21"/>
          <w:szCs w:val="21"/>
        </w:rPr>
      </w:pPr>
      <w:r>
        <w:rPr>
          <w:rFonts w:hint="eastAsia" w:ascii="宋体" w:hAnsi="宋体" w:eastAsia="宋体" w:cs="宋体"/>
          <w:color w:val="000000"/>
          <w:sz w:val="21"/>
          <w:szCs w:val="21"/>
        </w:rPr>
        <w:t xml:space="preserve">2.1本合同金额为（大写）：_______________圆（_______________元）人民币或其他币种。</w:t>
      </w:r>
      <w:r/>
    </w:p>
    <w:p>
      <w:pPr>
        <w:pStyle w:val="711"/>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b/>
          <w:color w:val="000000"/>
          <w:sz w:val="21"/>
          <w:szCs w:val="21"/>
        </w:rPr>
        <w:t xml:space="preserve">三、技术资料</w:t>
      </w:r>
      <w:r/>
    </w:p>
    <w:p>
      <w:pPr>
        <w:pStyle w:val="711"/>
        <w:ind w:left="410" w:hanging="410"/>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rPr>
        <w:t xml:space="preserve">3.1乙方应按招标文件规定的时间向甲方提供服务（包含与服务相关的货物）的有关技术资料。</w:t>
      </w:r>
      <w:r/>
    </w:p>
    <w:p>
      <w:pPr>
        <w:pStyle w:val="711"/>
        <w:ind w:left="410" w:hanging="410"/>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11"/>
        <w:ind w:left="412" w:hanging="412"/>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b/>
          <w:color w:val="000000"/>
          <w:sz w:val="21"/>
          <w:szCs w:val="21"/>
        </w:rPr>
        <w:t xml:space="preserve">四、知识产权</w:t>
      </w:r>
      <w:r/>
    </w:p>
    <w:p>
      <w:pPr>
        <w:pStyle w:val="711"/>
        <w:ind w:left="408" w:hanging="408"/>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11"/>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b/>
          <w:color w:val="000000"/>
          <w:sz w:val="21"/>
          <w:szCs w:val="21"/>
        </w:rPr>
        <w:t xml:space="preserve">五、产权担保</w:t>
      </w:r>
      <w:r/>
    </w:p>
    <w:p>
      <w:pPr>
        <w:pStyle w:val="711"/>
        <w:ind w:left="412" w:hanging="412"/>
        <w:jc w:val="both"/>
        <w:keepNext w:val="0"/>
        <w:pageBreakBefore w:val="0"/>
        <w:spacing w:beforeAutospacing="0" w:afterAutospacing="0" w:line="44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5.1乙方保证所交付的服务（包含与服务相关的货物）的所有权完全属于乙方且无任何抵押、查封等产权瑕疵。</w:t>
      </w:r>
      <w:r/>
    </w:p>
    <w:p>
      <w:pPr>
        <w:pStyle w:val="711"/>
        <w:ind w:left="410" w:hanging="410"/>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b/>
          <w:color w:val="000000"/>
          <w:sz w:val="21"/>
          <w:szCs w:val="21"/>
          <w:lang w:val="en-US" w:eastAsia="zh-CN"/>
        </w:rPr>
        <w:t xml:space="preserve">六</w:t>
      </w:r>
      <w:r>
        <w:rPr>
          <w:rFonts w:hint="eastAsia" w:ascii="宋体" w:hAnsi="宋体" w:eastAsia="宋体" w:cs="宋体"/>
          <w:b/>
          <w:color w:val="000000"/>
          <w:sz w:val="21"/>
          <w:szCs w:val="21"/>
        </w:rPr>
        <w:t xml:space="preserve">、履约保证金</w:t>
      </w:r>
      <w:r/>
    </w:p>
    <w:p>
      <w:pPr>
        <w:pStyle w:val="711"/>
        <w:jc w:val="both"/>
        <w:keepNext w:val="0"/>
        <w:pageBreakBefore w:val="0"/>
        <w:spacing w:beforeAutospacing="0" w:afterAutospacing="0"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.1乙方交纳人民币</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u w:val="single"/>
          <w:lang w:val="en-US" w:eastAsia="zh-CN"/>
        </w:rPr>
        <w:t xml:space="preserve">        元（</w:t>
      </w:r>
      <w:r>
        <w:rPr>
          <w:rFonts w:hint="eastAsia" w:ascii="宋体" w:hAnsi="宋体" w:eastAsia="宋体" w:cs="宋体"/>
          <w:color w:val="000000"/>
          <w:sz w:val="21"/>
          <w:szCs w:val="21"/>
        </w:rPr>
        <w:t xml:space="preserve">合同价</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u w:val="single"/>
        </w:rPr>
        <w:t xml:space="preserve">0%</w:t>
      </w:r>
      <w:r>
        <w:rPr>
          <w:rFonts w:hint="eastAsia" w:ascii="宋体" w:hAnsi="宋体" w:eastAsia="宋体" w:cs="宋体"/>
          <w:color w:val="000000"/>
          <w:sz w:val="21"/>
          <w:szCs w:val="21"/>
          <w:u w:val="single"/>
          <w:lang w:val="en-US" w:eastAsia="zh-CN"/>
        </w:rPr>
        <w:t xml:space="preserve">）</w:t>
      </w:r>
      <w:r>
        <w:rPr>
          <w:rFonts w:hint="eastAsia" w:ascii="宋体" w:hAnsi="宋体" w:eastAsia="宋体" w:cs="宋体"/>
          <w:color w:val="000000"/>
          <w:sz w:val="21"/>
          <w:szCs w:val="21"/>
        </w:rPr>
        <w:t xml:space="preserve">作为本合同的履约保证金。</w:t>
      </w:r>
      <w:r/>
    </w:p>
    <w:p>
      <w:pPr>
        <w:pStyle w:val="711"/>
        <w:jc w:val="both"/>
        <w:keepNext w:val="0"/>
        <w:pageBreakBefore w:val="0"/>
        <w:spacing w:beforeAutospacing="0" w:afterAutospacing="0"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采购人对AA评级及以上政府采购供应商（需提供信用管理部门备案的第三方信用报告）降低履约保证金缴纳比例</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zh-CN" w:eastAsia="zh-CN"/>
        </w:rPr>
        <w:t xml:space="preserve">本项目履约保证金调整为合同价的</w:t>
      </w:r>
      <w:r>
        <w:rPr>
          <w:rFonts w:hint="eastAsia" w:ascii="宋体" w:hAnsi="宋体" w:eastAsia="宋体" w:cs="宋体"/>
          <w:color w:val="000000"/>
          <w:sz w:val="21"/>
          <w:szCs w:val="21"/>
          <w:lang w:eastAsia="zh-CN"/>
        </w:rPr>
        <w:t xml:space="preserve">5%</w:t>
      </w:r>
      <w:r>
        <w:rPr>
          <w:rFonts w:hint="eastAsia" w:ascii="宋体" w:hAnsi="宋体" w:eastAsia="宋体" w:cs="宋体"/>
          <w:color w:val="000000"/>
          <w:sz w:val="21"/>
          <w:szCs w:val="21"/>
        </w:rPr>
        <w:t xml:space="preserve">；政府采购供应商信用报告应满足市信用办《关于执行&lt;江苏省企业信用评价指引（试行）》落实信用报告互认互用的通知》（盐信用办〔2021〕16号）规定，且信用报告概述页等内容通过“信用盐城”网站可查实。</w:t>
      </w:r>
      <w:r/>
    </w:p>
    <w:p>
      <w:pPr>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6.2确需收取履约保证金的，履约保证金的缴纳形式：</w:t>
      </w:r>
      <w:r/>
    </w:p>
    <w:p>
      <w:pPr>
        <w:pStyle w:val="711"/>
        <w:jc w:val="both"/>
        <w:keepNext w:val="0"/>
        <w:pageBreakBefore w:val="0"/>
        <w:spacing w:beforeAutospacing="0" w:afterAutospacing="0" w:line="440" w:lineRule="exact"/>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val="en-US" w:eastAsia="zh-CN"/>
        </w:rPr>
        <w:t xml:space="preserve">6.2.1</w:t>
      </w:r>
      <w:r>
        <w:rPr>
          <w:rFonts w:hint="eastAsia" w:ascii="宋体" w:hAnsi="宋体" w:eastAsia="宋体" w:cs="宋体"/>
          <w:b w:val="0"/>
          <w:bCs/>
          <w:color w:val="000000"/>
          <w:sz w:val="21"/>
          <w:szCs w:val="21"/>
          <w:lang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11"/>
        <w:jc w:val="both"/>
        <w:keepNext w:val="0"/>
        <w:pageBreakBefore w:val="0"/>
        <w:spacing w:beforeAutospacing="0" w:afterAutospacing="0" w:line="440" w:lineRule="exact"/>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6.2.2 如以履约保函（保险）形式缴纳履约保证金，供应商可通过政府采购电子履约保函（保险）平台（www.jsdzbh.com）在线申请履约保函（保险）。</w:t>
      </w:r>
      <w:r/>
    </w:p>
    <w:p>
      <w:pPr>
        <w:pStyle w:val="711"/>
        <w:jc w:val="both"/>
        <w:keepNext w:val="0"/>
        <w:pageBreakBefore w:val="0"/>
        <w:spacing w:beforeAutospacing="0" w:afterAutospacing="0" w:line="440" w:lineRule="exact"/>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6.</w:t>
      </w:r>
      <w:r>
        <w:rPr>
          <w:rFonts w:hint="eastAsia" w:ascii="宋体" w:hAnsi="宋体" w:eastAsia="宋体" w:cs="宋体"/>
          <w:b w:val="0"/>
          <w:bCs/>
          <w:color w:val="000000"/>
          <w:sz w:val="21"/>
          <w:szCs w:val="21"/>
          <w:lang w:val="en-US" w:eastAsia="zh-CN"/>
        </w:rPr>
        <w:t xml:space="preserve">3</w:t>
      </w:r>
      <w:r>
        <w:rPr>
          <w:rFonts w:hint="eastAsia" w:ascii="宋体" w:hAnsi="宋体" w:eastAsia="宋体" w:cs="宋体"/>
          <w:b w:val="0"/>
          <w:bCs/>
          <w:color w:val="000000"/>
          <w:sz w:val="21"/>
          <w:szCs w:val="21"/>
          <w:lang w:eastAsia="zh-CN"/>
        </w:rPr>
        <w:t xml:space="preserve">合同履行结束后，甲方应及时退还交纳的履约保证金。</w:t>
      </w:r>
      <w:r/>
    </w:p>
    <w:p>
      <w:pPr>
        <w:pStyle w:val="711"/>
        <w:jc w:val="both"/>
        <w:keepNext w:val="0"/>
        <w:pageBreakBefore w:val="0"/>
        <w:spacing w:beforeAutospacing="0" w:afterAutospacing="0" w:line="440" w:lineRule="exact"/>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6.</w:t>
      </w:r>
      <w:r>
        <w:rPr>
          <w:rFonts w:hint="eastAsia" w:ascii="宋体" w:hAnsi="宋体" w:eastAsia="宋体" w:cs="宋体"/>
          <w:b w:val="0"/>
          <w:bCs/>
          <w:color w:val="000000"/>
          <w:sz w:val="21"/>
          <w:szCs w:val="21"/>
          <w:lang w:val="en-US" w:eastAsia="zh-CN"/>
        </w:rPr>
        <w:t xml:space="preserve">4</w:t>
      </w:r>
      <w:r>
        <w:rPr>
          <w:rFonts w:hint="eastAsia" w:ascii="宋体" w:hAnsi="宋体" w:eastAsia="宋体" w:cs="宋体"/>
          <w:b w:val="0"/>
          <w:bCs/>
          <w:color w:val="000000"/>
          <w:sz w:val="21"/>
          <w:szCs w:val="21"/>
          <w:lang w:eastAsia="zh-CN"/>
        </w:rPr>
        <w:t xml:space="preserve">履约保证金的退还：</w:t>
      </w:r>
      <w:r/>
    </w:p>
    <w:p>
      <w:pPr>
        <w:pStyle w:val="711"/>
        <w:jc w:val="both"/>
        <w:keepNext w:val="0"/>
        <w:pageBreakBefore w:val="0"/>
        <w:spacing w:beforeAutospacing="0" w:afterAutospacing="0" w:line="440" w:lineRule="exact"/>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6.</w:t>
      </w:r>
      <w:r>
        <w:rPr>
          <w:rFonts w:hint="eastAsia" w:ascii="宋体" w:hAnsi="宋体" w:eastAsia="宋体" w:cs="宋体"/>
          <w:b w:val="0"/>
          <w:bCs/>
          <w:color w:val="000000"/>
          <w:sz w:val="21"/>
          <w:szCs w:val="21"/>
          <w:lang w:val="en-US" w:eastAsia="zh-CN"/>
        </w:rPr>
        <w:t xml:space="preserve">4</w:t>
      </w:r>
      <w:r>
        <w:rPr>
          <w:rFonts w:hint="eastAsia" w:ascii="宋体" w:hAnsi="宋体" w:eastAsia="宋体" w:cs="宋体"/>
          <w:b w:val="0"/>
          <w:bCs/>
          <w:color w:val="000000"/>
          <w:sz w:val="21"/>
          <w:szCs w:val="21"/>
          <w:lang w:eastAsia="zh-CN"/>
        </w:rPr>
        <w:t xml:space="preserve">.1方式：无息退还至投标人缴纳履约保证金的账户。如为保函，在到期时自行失效。</w:t>
      </w:r>
      <w:r/>
    </w:p>
    <w:p>
      <w:pPr>
        <w:pStyle w:val="711"/>
        <w:jc w:val="both"/>
        <w:keepNext w:val="0"/>
        <w:pageBreakBefore w:val="0"/>
        <w:spacing w:beforeAutospacing="0" w:afterAutospacing="0" w:line="440" w:lineRule="exact"/>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6.</w:t>
      </w:r>
      <w:r>
        <w:rPr>
          <w:rFonts w:hint="eastAsia" w:ascii="宋体" w:hAnsi="宋体" w:eastAsia="宋体" w:cs="宋体"/>
          <w:b w:val="0"/>
          <w:bCs/>
          <w:color w:val="000000"/>
          <w:sz w:val="21"/>
          <w:szCs w:val="21"/>
          <w:lang w:val="en-US" w:eastAsia="zh-CN"/>
        </w:rPr>
        <w:t xml:space="preserve">4</w:t>
      </w:r>
      <w:r>
        <w:rPr>
          <w:rFonts w:hint="eastAsia" w:ascii="宋体" w:hAnsi="宋体" w:eastAsia="宋体" w:cs="宋体"/>
          <w:b w:val="0"/>
          <w:bCs/>
          <w:color w:val="000000"/>
          <w:sz w:val="21"/>
          <w:szCs w:val="21"/>
          <w:lang w:eastAsia="zh-CN"/>
        </w:rPr>
        <w:t xml:space="preserve">.2时间：验收合格且采购人收到发票后30日内。</w:t>
      </w:r>
      <w:r/>
    </w:p>
    <w:p>
      <w:pPr>
        <w:pStyle w:val="711"/>
        <w:jc w:val="both"/>
        <w:keepNext w:val="0"/>
        <w:pageBreakBefore w:val="0"/>
        <w:spacing w:beforeAutospacing="0" w:afterAutospacing="0" w:line="440" w:lineRule="exact"/>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6.</w:t>
      </w:r>
      <w:r>
        <w:rPr>
          <w:rFonts w:hint="eastAsia" w:ascii="宋体" w:hAnsi="宋体" w:eastAsia="宋体" w:cs="宋体"/>
          <w:b w:val="0"/>
          <w:bCs/>
          <w:color w:val="000000"/>
          <w:sz w:val="21"/>
          <w:szCs w:val="21"/>
          <w:lang w:val="en-US" w:eastAsia="zh-CN"/>
        </w:rPr>
        <w:t xml:space="preserve">4</w:t>
      </w:r>
      <w:r>
        <w:rPr>
          <w:rFonts w:hint="eastAsia" w:ascii="宋体" w:hAnsi="宋体" w:eastAsia="宋体" w:cs="宋体"/>
          <w:b w:val="0"/>
          <w:bCs/>
          <w:color w:val="000000"/>
          <w:sz w:val="21"/>
          <w:szCs w:val="21"/>
          <w:lang w:eastAsia="zh-CN"/>
        </w:rPr>
        <w:t xml:space="preserve">.3条件：按合同要求全部履约完成并经采购人验收合格，且采购人收到中标人出具的发票。</w:t>
      </w:r>
      <w:r/>
    </w:p>
    <w:p>
      <w:pPr>
        <w:pStyle w:val="711"/>
        <w:jc w:val="both"/>
        <w:keepNext w:val="0"/>
        <w:pageBreakBefore w:val="0"/>
        <w:spacing w:beforeAutospacing="0" w:afterAutospacing="0" w:line="440" w:lineRule="exact"/>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6.</w:t>
      </w:r>
      <w:r>
        <w:rPr>
          <w:rFonts w:hint="eastAsia" w:ascii="宋体" w:hAnsi="宋体" w:eastAsia="宋体" w:cs="宋体"/>
          <w:b w:val="0"/>
          <w:bCs/>
          <w:color w:val="000000"/>
          <w:sz w:val="21"/>
          <w:szCs w:val="21"/>
          <w:lang w:val="en-US" w:eastAsia="zh-CN"/>
        </w:rPr>
        <w:t xml:space="preserve">4</w:t>
      </w:r>
      <w:r>
        <w:rPr>
          <w:rFonts w:hint="eastAsia" w:ascii="宋体" w:hAnsi="宋体" w:eastAsia="宋体" w:cs="宋体"/>
          <w:b w:val="0"/>
          <w:bCs/>
          <w:color w:val="000000"/>
          <w:sz w:val="21"/>
          <w:szCs w:val="21"/>
          <w:lang w:eastAsia="zh-CN"/>
        </w:rPr>
        <w:t xml:space="preserve">.4不予退还情形：</w:t>
      </w:r>
      <w:r/>
    </w:p>
    <w:p>
      <w:pPr>
        <w:pStyle w:val="711"/>
        <w:jc w:val="both"/>
        <w:keepNext w:val="0"/>
        <w:pageBreakBefore w:val="0"/>
        <w:spacing w:beforeAutospacing="0" w:afterAutospacing="0" w:line="440" w:lineRule="exact"/>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除不可抗力情况外，投标人出现下列情形之一的，其履约保证金，招标人将视情节决定不予退还或部分不予退还。</w:t>
      </w:r>
      <w:r/>
    </w:p>
    <w:p>
      <w:pPr>
        <w:pStyle w:val="711"/>
        <w:jc w:val="both"/>
        <w:keepNext w:val="0"/>
        <w:pageBreakBefore w:val="0"/>
        <w:spacing w:beforeAutospacing="0" w:afterAutospacing="0" w:line="440" w:lineRule="exact"/>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（1）中标人无正当理由拒绝签订合同的，或者在签订合同时向采购人提出附加条件或者更改合同实质性内容要求的；</w:t>
      </w:r>
      <w:r/>
    </w:p>
    <w:p>
      <w:pPr>
        <w:pStyle w:val="711"/>
        <w:jc w:val="both"/>
        <w:keepNext w:val="0"/>
        <w:pageBreakBefore w:val="0"/>
        <w:spacing w:beforeAutospacing="0" w:afterAutospacing="0" w:line="440" w:lineRule="exact"/>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（2）中标人不履行与采购人订立的合同的；</w:t>
      </w:r>
      <w:r/>
    </w:p>
    <w:p>
      <w:pPr>
        <w:pStyle w:val="711"/>
        <w:jc w:val="both"/>
        <w:keepNext w:val="0"/>
        <w:pageBreakBefore w:val="0"/>
        <w:spacing w:beforeAutospacing="0" w:afterAutospacing="0" w:line="440" w:lineRule="exact"/>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（3）中标人所供货物或服务不符合招标文件规定要求的；</w:t>
      </w:r>
      <w:r/>
    </w:p>
    <w:p>
      <w:pPr>
        <w:pStyle w:val="711"/>
        <w:jc w:val="both"/>
        <w:keepNext w:val="0"/>
        <w:pageBreakBefore w:val="0"/>
        <w:spacing w:beforeAutospacing="0" w:afterAutospacing="0" w:line="440" w:lineRule="exact"/>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（4）中标人采取欺骗、弄虚作假方式投标的或与其它投标人串通投标的；</w:t>
      </w:r>
      <w:r/>
    </w:p>
    <w:p>
      <w:pPr>
        <w:pStyle w:val="711"/>
        <w:jc w:val="both"/>
        <w:keepNext w:val="0"/>
        <w:pageBreakBefore w:val="0"/>
        <w:spacing w:beforeAutospacing="0" w:afterAutospacing="0" w:line="440" w:lineRule="exact"/>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（5）中标人将合同内容转包、违法分包的；</w:t>
      </w:r>
      <w:r/>
    </w:p>
    <w:p>
      <w:pPr>
        <w:pStyle w:val="711"/>
        <w:jc w:val="both"/>
        <w:keepNext w:val="0"/>
        <w:pageBreakBefore w:val="0"/>
        <w:spacing w:beforeAutospacing="0" w:afterAutospacing="0" w:line="440" w:lineRule="exact"/>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（6）中标人故意捏造事实或伪造证明材料，进行虚假恶意投诉或反映的。</w:t>
      </w:r>
      <w:r/>
    </w:p>
    <w:p>
      <w:pPr>
        <w:pStyle w:val="711"/>
        <w:jc w:val="both"/>
        <w:keepNext w:val="0"/>
        <w:pageBreakBefore w:val="0"/>
        <w:spacing w:beforeAutospacing="0" w:afterAutospacing="0" w:line="440" w:lineRule="exact"/>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6.</w:t>
      </w:r>
      <w:r>
        <w:rPr>
          <w:rFonts w:hint="eastAsia" w:ascii="宋体" w:hAnsi="宋体" w:eastAsia="宋体" w:cs="宋体"/>
          <w:b w:val="0"/>
          <w:bCs/>
          <w:color w:val="000000"/>
          <w:sz w:val="21"/>
          <w:szCs w:val="21"/>
          <w:lang w:val="en-US" w:eastAsia="zh-CN"/>
        </w:rPr>
        <w:t xml:space="preserve">4</w:t>
      </w:r>
      <w:r>
        <w:rPr>
          <w:rFonts w:hint="eastAsia" w:ascii="宋体" w:hAnsi="宋体" w:eastAsia="宋体" w:cs="宋体"/>
          <w:b w:val="0"/>
          <w:bCs/>
          <w:color w:val="000000"/>
          <w:sz w:val="21"/>
          <w:szCs w:val="21"/>
          <w:lang w:eastAsia="zh-CN"/>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11"/>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b/>
          <w:color w:val="000000"/>
          <w:sz w:val="21"/>
          <w:szCs w:val="21"/>
          <w:lang w:val="en-US" w:eastAsia="zh-CN"/>
        </w:rPr>
        <w:t xml:space="preserve">七</w:t>
      </w:r>
      <w:r>
        <w:rPr>
          <w:rFonts w:hint="eastAsia" w:ascii="宋体" w:hAnsi="宋体" w:eastAsia="宋体" w:cs="宋体"/>
          <w:b/>
          <w:color w:val="000000"/>
          <w:sz w:val="21"/>
          <w:szCs w:val="21"/>
        </w:rPr>
        <w:t xml:space="preserve">、合同转包或分包</w:t>
      </w:r>
      <w:r/>
    </w:p>
    <w:p>
      <w:pPr>
        <w:pStyle w:val="711"/>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.1乙方不得将合同标的转包给他人履行。</w:t>
      </w:r>
      <w:r/>
    </w:p>
    <w:p>
      <w:pPr>
        <w:pStyle w:val="711"/>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.2乙方不得将合同标的分包给他人履行。</w:t>
      </w:r>
      <w:r/>
    </w:p>
    <w:p>
      <w:pPr>
        <w:pStyle w:val="711"/>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.3乙方如有转包或未经甲方同意的分包行为，甲方有权解除合同。</w:t>
      </w:r>
      <w:r/>
    </w:p>
    <w:p>
      <w:pPr>
        <w:pStyle w:val="711"/>
        <w:jc w:val="both"/>
        <w:keepNext w:val="0"/>
        <w:pageBreakBefore w:val="0"/>
        <w:spacing w:beforeAutospacing="0" w:afterAutospacing="0" w:line="440" w:lineRule="exact"/>
        <w:rPr>
          <w:rFonts w:hint="eastAsia" w:ascii="宋体" w:hAnsi="宋体" w:eastAsia="宋体" w:cs="宋体"/>
          <w:color w:val="auto"/>
          <w:sz w:val="21"/>
          <w:szCs w:val="21"/>
        </w:rPr>
      </w:pPr>
      <w:r>
        <w:rPr>
          <w:rFonts w:hint="eastAsia" w:ascii="宋体" w:hAnsi="宋体" w:eastAsia="宋体" w:cs="宋体"/>
          <w:b/>
          <w:color w:val="auto"/>
          <w:sz w:val="21"/>
          <w:szCs w:val="21"/>
          <w:lang w:val="en-US" w:eastAsia="zh-CN"/>
        </w:rPr>
        <w:t xml:space="preserve">八</w:t>
      </w:r>
      <w:r>
        <w:rPr>
          <w:rFonts w:hint="eastAsia" w:ascii="宋体" w:hAnsi="宋体" w:eastAsia="宋体" w:cs="宋体"/>
          <w:b/>
          <w:color w:val="auto"/>
          <w:sz w:val="21"/>
          <w:szCs w:val="21"/>
        </w:rPr>
        <w:t xml:space="preserve">、合同款项支付</w:t>
      </w:r>
      <w:r/>
    </w:p>
    <w:p>
      <w:pPr>
        <w:pStyle w:val="711"/>
        <w:jc w:val="both"/>
        <w:keepNext w:val="0"/>
        <w:pageBreakBefore w:val="0"/>
        <w:spacing w:beforeAutospacing="0" w:afterAutospacing="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.1合同款项</w:t>
      </w:r>
      <w:r>
        <w:rPr>
          <w:rFonts w:hint="eastAsia" w:ascii="宋体" w:hAnsi="宋体" w:eastAsia="宋体" w:cs="宋体"/>
          <w:color w:val="auto"/>
          <w:sz w:val="21"/>
          <w:szCs w:val="21"/>
          <w:highlight w:val="none"/>
        </w:rPr>
        <w:t xml:space="preserve">的支付方式及进度安排</w:t>
      </w:r>
      <w:r/>
    </w:p>
    <w:p>
      <w:pPr>
        <w:pStyle w:val="711"/>
        <w:jc w:val="both"/>
        <w:keepNext w:val="0"/>
        <w:pageBreakBefore w:val="0"/>
        <w:spacing w:beforeAutospacing="0" w:afterAutospacing="0" w:line="440" w:lineRule="exact"/>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方案1：</w:t>
      </w:r>
      <w:r/>
    </w:p>
    <w:p>
      <w:pPr>
        <w:pStyle w:val="711"/>
        <w:jc w:val="both"/>
        <w:keepNext w:val="0"/>
        <w:pageBreakBefore w:val="0"/>
        <w:spacing w:beforeAutospacing="0" w:afterAutospacing="0" w:line="44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 xml:space="preserve">8</w:t>
      </w:r>
      <w:r>
        <w:rPr>
          <w:rFonts w:hint="eastAsia" w:ascii="宋体" w:hAnsi="宋体" w:eastAsia="宋体" w:cs="宋体"/>
          <w:color w:val="auto"/>
          <w:sz w:val="21"/>
          <w:szCs w:val="21"/>
          <w:highlight w:val="none"/>
          <w:u w:val="none"/>
        </w:rPr>
        <w:t xml:space="preserve">.1.1 预付款</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rPr>
        <w:t xml:space="preserve">支付时间：合同签订后</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rPr>
        <w:t xml:space="preserve">采购人收到</w:t>
      </w:r>
      <w:r>
        <w:rPr>
          <w:rFonts w:hint="eastAsia" w:ascii="宋体" w:hAnsi="宋体" w:eastAsia="宋体" w:cs="宋体"/>
          <w:color w:val="auto"/>
          <w:sz w:val="21"/>
          <w:szCs w:val="21"/>
          <w:highlight w:val="none"/>
          <w:u w:val="none"/>
          <w:lang w:eastAsia="zh-CN"/>
        </w:rPr>
        <w:t xml:space="preserve">预付款</w:t>
      </w:r>
      <w:r>
        <w:rPr>
          <w:rFonts w:hint="eastAsia" w:ascii="宋体" w:hAnsi="宋体" w:eastAsia="宋体" w:cs="宋体"/>
          <w:color w:val="auto"/>
          <w:sz w:val="21"/>
          <w:szCs w:val="21"/>
          <w:highlight w:val="none"/>
          <w:u w:val="none"/>
        </w:rPr>
        <w:t xml:space="preserve">发票后10个工作日内，预付款支付比例：合同金额的</w:t>
      </w:r>
      <w:r>
        <w:rPr>
          <w:rFonts w:hint="eastAsia" w:ascii="宋体" w:hAnsi="宋体" w:eastAsia="宋体" w:cs="宋体"/>
          <w:color w:val="auto"/>
          <w:sz w:val="21"/>
          <w:szCs w:val="21"/>
          <w:highlight w:val="none"/>
          <w:u w:val="none"/>
          <w:lang w:val="en-US" w:eastAsia="zh-CN"/>
        </w:rPr>
        <w:t xml:space="preserve">30</w:t>
      </w:r>
      <w:r>
        <w:rPr>
          <w:rFonts w:hint="eastAsia" w:ascii="宋体" w:hAnsi="宋体" w:eastAsia="宋体" w:cs="宋体"/>
          <w:color w:val="auto"/>
          <w:sz w:val="21"/>
          <w:szCs w:val="21"/>
          <w:highlight w:val="none"/>
          <w:u w:val="none"/>
        </w:rPr>
        <w:t xml:space="preserve">%。</w:t>
      </w:r>
      <w:r/>
    </w:p>
    <w:p>
      <w:pPr>
        <w:pStyle w:val="711"/>
        <w:jc w:val="both"/>
        <w:keepNext w:val="0"/>
        <w:pageBreakBefore w:val="0"/>
        <w:spacing w:beforeAutospacing="0" w:afterAutospacing="0" w:line="440" w:lineRule="exact"/>
        <w:rPr>
          <w:rStyle w:val="875"/>
          <w:rFonts w:hint="eastAsia" w:ascii="宋体" w:hAnsi="宋体" w:eastAsia="宋体" w:cs="宋体"/>
          <w:b w:val="0"/>
          <w:i w:val="0"/>
          <w:caps w:val="0"/>
          <w:color w:val="auto"/>
          <w:spacing w:val="0"/>
          <w:sz w:val="21"/>
          <w:szCs w:val="21"/>
          <w:lang w:val="en-US" w:eastAsia="zh-CN" w:bidi="ar-SA"/>
        </w:rPr>
      </w:pPr>
      <w:r>
        <w:rPr>
          <w:rFonts w:hint="eastAsia" w:ascii="宋体" w:hAnsi="宋体" w:eastAsia="宋体" w:cs="宋体"/>
          <w:color w:val="auto"/>
          <w:sz w:val="21"/>
          <w:szCs w:val="21"/>
          <w:u w:val="none"/>
          <w:lang w:val="en-US" w:eastAsia="zh-CN"/>
        </w:rPr>
        <w:t xml:space="preserve">8.1.2</w:t>
      </w:r>
      <w:r>
        <w:rPr>
          <w:rFonts w:hint="eastAsia" w:ascii="宋体" w:hAnsi="宋体" w:eastAsia="宋体" w:cs="宋体"/>
          <w:color w:val="auto"/>
          <w:sz w:val="21"/>
          <w:szCs w:val="21"/>
          <w:u w:val="none"/>
        </w:rPr>
        <w:t xml:space="preserve">尾款</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u w:val="none"/>
        </w:rPr>
        <w:t xml:space="preserve">支付时间：项目交付,采购人收到发票后10个工作日内，付至合同价的20%；项目验收合格，采购人收到发票后10个工作日内，付至合同价的40%；通过国家全民健康信息平台互联互通标准化成熟度测评四级甲等且审计结束付至审定价的60%，余款按最后一次付款的次年每年（分2年）平均支付审定金额的20%至审定金额的100%服务款项止。</w:t>
      </w:r>
      <w:r>
        <w:rPr>
          <w:rStyle w:val="875"/>
          <w:rFonts w:hint="eastAsia" w:ascii="宋体" w:hAnsi="宋体" w:eastAsia="宋体" w:cs="宋体"/>
          <w:b w:val="0"/>
          <w:i w:val="0"/>
          <w:caps w:val="0"/>
          <w:color w:val="auto"/>
          <w:spacing w:val="0"/>
          <w:sz w:val="21"/>
          <w:szCs w:val="21"/>
          <w:lang w:val="en-US" w:eastAsia="zh-CN" w:bidi="ar-SA"/>
        </w:rPr>
        <w:t xml:space="preserve">（首次付款金额=应付金额-预付款金额；如首次应付金额不够预付款金额，就不付款。待第二次付款足够，减去预付款，予以结算。以此类推）</w:t>
      </w:r>
      <w:r/>
    </w:p>
    <w:p>
      <w:pPr>
        <w:pStyle w:val="711"/>
        <w:jc w:val="both"/>
        <w:keepNext w:val="0"/>
        <w:pageBreakBefore w:val="0"/>
        <w:spacing w:beforeAutospacing="0" w:afterAutospacing="0" w:line="440" w:lineRule="exact"/>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方案2：</w:t>
      </w:r>
      <w:r>
        <w:rPr>
          <w:rFonts w:hint="eastAsia" w:ascii="宋体" w:hAnsi="宋体" w:eastAsia="宋体" w:cs="宋体"/>
          <w:color w:val="auto"/>
          <w:sz w:val="21"/>
          <w:szCs w:val="21"/>
          <w:u w:val="none"/>
        </w:rPr>
        <w:t xml:space="preserve">项目交付,采购人收到发票后10个工作日内，付至合同价的20%；项目验收合格，采购人收到发票后10个工作日内，付至合同价的40%；通过国家全民健康信息平台互联互通标准化成熟度测评四级甲等且审计结束付至审定价的60%，余款按最后一次付款的次年每年（分2年）平均支付审定金额的20%至审定金额的100%服务款项止。</w:t>
      </w:r>
      <w:r/>
    </w:p>
    <w:p>
      <w:pPr>
        <w:jc w:val="both"/>
        <w:keepNext w:val="0"/>
        <w:pageBreakBefore w:val="0"/>
        <w:spacing w:beforeAutospacing="0" w:afterAutospacing="0" w:line="440" w:lineRule="exact"/>
        <w:rPr>
          <w:rStyle w:val="875"/>
          <w:rFonts w:hint="eastAsia" w:ascii="宋体" w:hAnsi="宋体" w:eastAsia="宋体" w:cs="宋体"/>
          <w:b/>
          <w:bCs/>
          <w:i w:val="0"/>
          <w:caps w:val="0"/>
          <w:color w:val="auto"/>
          <w:spacing w:val="0"/>
          <w:sz w:val="21"/>
          <w:szCs w:val="21"/>
          <w:lang w:val="en-US" w:eastAsia="zh-CN" w:bidi="ar-SA"/>
        </w:rPr>
      </w:pPr>
      <w:r>
        <w:rPr>
          <w:rStyle w:val="875"/>
          <w:rFonts w:hint="eastAsia" w:ascii="宋体" w:hAnsi="宋体" w:eastAsia="宋体" w:cs="宋体"/>
          <w:b/>
          <w:bCs/>
          <w:i w:val="0"/>
          <w:caps w:val="0"/>
          <w:color w:val="auto"/>
          <w:spacing w:val="0"/>
          <w:sz w:val="21"/>
          <w:szCs w:val="21"/>
          <w:lang w:val="en-US" w:eastAsia="zh-CN" w:bidi="ar-SA"/>
        </w:rPr>
        <w:t xml:space="preserve">注：在签合同时，如乙方明确表示无需预付款则按方案2执行付款。</w:t>
      </w:r>
      <w:r/>
    </w:p>
    <w:p>
      <w:pPr>
        <w:pStyle w:val="869"/>
        <w:numPr>
          <w:ilvl w:val="0"/>
          <w:numId w:val="0"/>
        </w:numPr>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九</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结算方式</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.1本项目采用</w:t>
      </w:r>
      <w:r>
        <w:rPr>
          <w:rFonts w:hint="eastAsia" w:ascii="宋体" w:hAnsi="宋体" w:eastAsia="宋体" w:cs="宋体"/>
          <w:sz w:val="21"/>
          <w:szCs w:val="21"/>
          <w:highlight w:val="none"/>
          <w:u w:val="single"/>
        </w:rPr>
        <w:t xml:space="preserve">“</w:t>
      </w:r>
      <w:r>
        <w:rPr>
          <w:rFonts w:hint="eastAsia" w:ascii="宋体" w:hAnsi="宋体" w:eastAsia="宋体" w:cs="宋体"/>
          <w:b/>
          <w:sz w:val="21"/>
          <w:szCs w:val="21"/>
          <w:highlight w:val="none"/>
          <w:u w:val="single"/>
        </w:rPr>
        <w:t xml:space="preserve">全费用固定综合单价</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合同。项目结算时，工程量按实结算；除设计变更或甲方调整项目内容或合同约定调整外，一律不调整中标综合单价。</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结算总价=∑中标综合单价×实际合格工程量±设计变更或甲方调整项目内容或合同约定调整价款；其中中标综合单价结算时一律不予调整（除设计变更或甲方调整项目内容或合同约定调整外），工程量按实结算。</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.2 设计变更或甲方调整项目内容或合同约定调整价款的确定：</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1）在投标报价书中有相同单价的，执行投标报价书中的单价；</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2）在投标报价书中有类似单价的，参照投标报价书中的类似单价执行；</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3）在投标报价书中没有单价或类似单价的，其单价由乙方提出，经甲方认可后执行。</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.3因乙方自身原因造成工程量增加的，乙方无权要求任何补偿。</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.4合同履行中，甲方需追加与合同标的相同的货物和服务的，在不改变合同其他条款的前提下，可以与乙方协商签订补充合同，但所有补充合同的采购金额不超过原合同金额10%。</w:t>
      </w:r>
      <w:r/>
    </w:p>
    <w:p>
      <w:pPr>
        <w:pStyle w:val="711"/>
        <w:ind w:firstLine="220"/>
        <w:jc w:val="both"/>
        <w:keepLines w:val="0"/>
        <w:keepNext w:val="0"/>
        <w:pageBreakBefore w:val="0"/>
        <w:spacing w:beforeAutospacing="0" w:afterAutospacing="0" w:line="44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.5合同履行中，甲方若由于各种客观原因，必须对采购项目所牵涉的货物和服务进行适当的减少时，在甲、乙双方协商一致的前提下，可以按照招标采购时的价格水平做相应的调减，并据此签订补充合同。</w:t>
      </w:r>
      <w:r/>
    </w:p>
    <w:p>
      <w:pPr>
        <w:pStyle w:val="711"/>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b/>
          <w:color w:val="000000"/>
          <w:sz w:val="21"/>
          <w:szCs w:val="21"/>
          <w:lang w:val="en-US" w:eastAsia="zh-CN"/>
        </w:rPr>
        <w:t xml:space="preserve">十</w:t>
      </w:r>
      <w:r>
        <w:rPr>
          <w:rFonts w:hint="eastAsia" w:ascii="宋体" w:hAnsi="宋体" w:eastAsia="宋体" w:cs="宋体"/>
          <w:b/>
          <w:color w:val="000000"/>
          <w:sz w:val="21"/>
          <w:szCs w:val="21"/>
        </w:rPr>
        <w:t xml:space="preserve">、税费</w:t>
      </w:r>
      <w:r/>
    </w:p>
    <w:p>
      <w:pPr>
        <w:pStyle w:val="711"/>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.1本合同执行中相关的一切税费均由乙方负担。</w:t>
      </w:r>
      <w:r/>
    </w:p>
    <w:p>
      <w:pPr>
        <w:pStyle w:val="711"/>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b/>
          <w:color w:val="000000"/>
          <w:sz w:val="21"/>
          <w:szCs w:val="21"/>
          <w:lang w:eastAsia="zh-CN"/>
        </w:rPr>
        <w:t xml:space="preserve">十</w:t>
      </w:r>
      <w:r>
        <w:rPr>
          <w:rFonts w:hint="eastAsia" w:ascii="宋体" w:hAnsi="宋体" w:eastAsia="宋体" w:cs="宋体"/>
          <w:b/>
          <w:color w:val="000000"/>
          <w:sz w:val="21"/>
          <w:szCs w:val="21"/>
          <w:lang w:val="en-US" w:eastAsia="zh-CN"/>
        </w:rPr>
        <w:t xml:space="preserve">一</w:t>
      </w:r>
      <w:r>
        <w:rPr>
          <w:rFonts w:hint="eastAsia" w:ascii="宋体" w:hAnsi="宋体" w:eastAsia="宋体" w:cs="宋体"/>
          <w:b/>
          <w:color w:val="000000"/>
          <w:sz w:val="21"/>
          <w:szCs w:val="21"/>
        </w:rPr>
        <w:t xml:space="preserve">、项目验收</w:t>
      </w:r>
      <w:r/>
    </w:p>
    <w:p>
      <w:pPr>
        <w:pStyle w:val="711"/>
        <w:ind w:left="480" w:hanging="480"/>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.1甲方依法组织履约验收工作。</w:t>
      </w:r>
      <w:r/>
    </w:p>
    <w:p>
      <w:pPr>
        <w:pStyle w:val="711"/>
        <w:ind w:left="480" w:hanging="480"/>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11"/>
        <w:ind w:left="480" w:hanging="480"/>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.3对于实际使用人和甲方分离的项目，甲方邀请实际使用人参与验收。</w:t>
      </w:r>
      <w:r/>
    </w:p>
    <w:p>
      <w:pPr>
        <w:pStyle w:val="711"/>
        <w:ind w:left="480" w:hanging="480"/>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.4如有必要，甲方邀请参加本项目的其他供应商或第三方专业机构及专家参与验收，相关意见将作为验收书的参考资料。</w:t>
      </w:r>
      <w:r/>
    </w:p>
    <w:p>
      <w:pPr>
        <w:pStyle w:val="711"/>
        <w:ind w:left="480" w:hanging="480"/>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11"/>
        <w:ind w:left="480" w:hanging="480"/>
        <w:jc w:val="both"/>
        <w:keepNext w:val="0"/>
        <w:pageBreakBefore w:val="0"/>
        <w:spacing w:beforeAutospacing="0" w:afterAutospacing="0"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132" w:right="-130" w:firstLine="431"/>
        <w:jc w:val="left"/>
        <w:keepNext w:val="0"/>
        <w:pageBreakBefore w:val="0"/>
        <w:spacing w:line="44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十</w:t>
      </w:r>
      <w:r>
        <w:rPr>
          <w:rFonts w:hint="eastAsia" w:ascii="宋体" w:hAnsi="宋体" w:eastAsia="宋体" w:cs="宋体"/>
          <w:b/>
          <w:bCs/>
          <w:sz w:val="21"/>
          <w:szCs w:val="21"/>
          <w:highlight w:val="none"/>
          <w:lang w:val="en-US" w:eastAsia="zh-CN"/>
        </w:rPr>
        <w:t xml:space="preserve">二</w:t>
      </w:r>
      <w:r>
        <w:rPr>
          <w:rFonts w:hint="eastAsia" w:ascii="宋体" w:hAnsi="宋体" w:eastAsia="宋体" w:cs="宋体"/>
          <w:b/>
          <w:bCs/>
          <w:sz w:val="21"/>
          <w:szCs w:val="21"/>
          <w:highlight w:val="none"/>
        </w:rPr>
        <w:t xml:space="preserve">、安装与调试（含试运行）</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.1安装地点：</w:t>
      </w:r>
      <w:r>
        <w:rPr>
          <w:rFonts w:hint="eastAsia" w:ascii="宋体" w:hAnsi="宋体" w:eastAsia="宋体" w:cs="宋体"/>
          <w:sz w:val="21"/>
          <w:szCs w:val="21"/>
          <w:highlight w:val="none"/>
          <w:lang w:eastAsia="zh-CN"/>
        </w:rPr>
        <w:t xml:space="preserve">招标人指定地点</w:t>
      </w:r>
      <w:r>
        <w:rPr>
          <w:rFonts w:hint="eastAsia" w:ascii="宋体" w:hAnsi="宋体" w:eastAsia="宋体" w:cs="宋体"/>
          <w:sz w:val="21"/>
          <w:szCs w:val="21"/>
          <w:highlight w:val="none"/>
        </w:rPr>
        <w:t xml:space="preserve">。</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.2安装人员：乙方应指派有经验的技术人员到现场负责货物安装，甲方对于不能胜任工作者，有权要求乙方调换，费用由乙方负责。</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.3乙方应在准备部署本设备1周前，向甲方提供安装、调试（含试运行）的进度计划表和安装作业措施计划。</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.4安装、调试（含试运行）期间，乙方负责组织专业技术人员进行货物安装、调试（含试运行），甲方将提供必须的基本条件和专人配合，保证各项安装工作顺利进行。</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.5乙方负责设备的安装，承担与安装项目相关的一切费用（包括食宿等费用）。</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.6乙方安装过程中必须做到文明安装，安装完毕的货物及其环境应清理干净。</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.7乙方详细进行技术交底，详细讲解操作规程、设备性能及有关注意事项等。</w:t>
      </w:r>
      <w:r/>
    </w:p>
    <w:p>
      <w:pPr>
        <w:pStyle w:val="698"/>
        <w:ind w:left="-132" w:right="-130" w:firstLine="442"/>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十</w:t>
      </w:r>
      <w:r>
        <w:rPr>
          <w:rFonts w:hint="eastAsia" w:ascii="宋体" w:hAnsi="宋体" w:eastAsia="宋体" w:cs="宋体"/>
          <w:b/>
          <w:bCs/>
          <w:sz w:val="21"/>
          <w:szCs w:val="21"/>
          <w:highlight w:val="none"/>
          <w:lang w:val="en-US" w:eastAsia="zh-CN"/>
        </w:rPr>
        <w:t xml:space="preserve">三</w:t>
      </w:r>
      <w:r>
        <w:rPr>
          <w:rFonts w:hint="eastAsia" w:ascii="宋体" w:hAnsi="宋体" w:eastAsia="宋体" w:cs="宋体"/>
          <w:b/>
          <w:bCs/>
          <w:sz w:val="21"/>
          <w:szCs w:val="21"/>
          <w:highlight w:val="none"/>
        </w:rPr>
        <w:t xml:space="preserve">、质量保证和售后服务</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rPr>
        <w:t xml:space="preserve">.1按合同定期到货和安装，安装前乙方需把设备技术文件资料（含安装说明书及使用说明书）报甲方审核。乙方应保证其提供的设备技术文件资料完整清晰、准确无误，并能满足货物的检验、安装、调试（含试运行）、验收试验、运行和维护的需要以及本合同的规定。</w:t>
      </w:r>
      <w:r/>
    </w:p>
    <w:p>
      <w:pPr>
        <w:ind w:right="-130" w:firstLine="44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.2质保期</w:t>
      </w:r>
      <w:r>
        <w:rPr>
          <w:rFonts w:hint="eastAsia" w:ascii="宋体" w:hAnsi="宋体" w:eastAsia="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 xml:space="preserve">年</w:t>
      </w:r>
      <w:r>
        <w:rPr>
          <w:rFonts w:hint="eastAsia" w:ascii="宋体" w:hAnsi="宋体" w:eastAsia="宋体" w:cs="宋体"/>
          <w:color w:val="auto"/>
          <w:sz w:val="21"/>
          <w:szCs w:val="21"/>
          <w:highlight w:val="none"/>
        </w:rPr>
        <w:t xml:space="preserve">（自</w:t>
      </w:r>
      <w:r>
        <w:rPr>
          <w:rFonts w:hint="eastAsia" w:ascii="宋体" w:hAnsi="宋体" w:eastAsia="宋体" w:cs="宋体"/>
          <w:color w:val="auto"/>
          <w:sz w:val="21"/>
          <w:szCs w:val="21"/>
          <w:highlight w:val="none"/>
          <w:lang w:val="en-US" w:eastAsia="zh-CN"/>
        </w:rPr>
        <w:t xml:space="preserve">项目交付且</w:t>
      </w:r>
      <w:r>
        <w:rPr>
          <w:rFonts w:hint="eastAsia" w:ascii="宋体" w:hAnsi="宋体" w:eastAsia="宋体" w:cs="宋体"/>
          <w:color w:val="auto"/>
          <w:sz w:val="21"/>
          <w:szCs w:val="21"/>
          <w:highlight w:val="none"/>
        </w:rPr>
        <w:t xml:space="preserve">验收合格之日起计）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在质量保修期内，除责任事故外，货物（含硬件系统、软件系统两部分）实行“三包”，乙方对货物（含软、硬件等）出现的各类故障应及时提供免费维修服务，对非人为破坏造成的零部件损坏，应及时免费更换。</w:t>
      </w:r>
      <w:r/>
    </w:p>
    <w:p>
      <w:pPr>
        <w:pStyle w:val="869"/>
        <w:ind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rPr>
        <w:t xml:space="preserve">.3在质量保修期内的工作应包括对所有货物每季度至少1次的常规检查并维护保养。</w:t>
      </w:r>
      <w:r/>
    </w:p>
    <w:p>
      <w:pPr>
        <w:pStyle w:val="869"/>
        <w:ind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rPr>
        <w:t xml:space="preserve">.4货物质量为“合格”，并符合招标文件中技术要求、国家现行的相关规范标准；否则，乙方应无条件更换。项目确保按规范和标准验收，且达国家合格标准；否则，乙方应无条件整改。</w:t>
      </w:r>
      <w:r/>
    </w:p>
    <w:p>
      <w:pPr>
        <w:pStyle w:val="869"/>
        <w:ind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rPr>
        <w:t xml:space="preserve">.5所有货物、器材及配件，必须是优质品，要求有厂家出具的质量合格证（或权威部门检测报告）和证明书。乙方均须按投标承诺的品牌及型号进行采购。</w:t>
      </w:r>
      <w:r/>
    </w:p>
    <w:p>
      <w:pPr>
        <w:pStyle w:val="869"/>
        <w:ind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rPr>
        <w:t xml:space="preserve">.6乙方应保证所提供的货物是完整的、全新的、未使用过的、技术上先进和成熟的、是用一流的工艺和最佳材料制造而成的，并且是非长期积压的库存商品，完全符合招标文件要求及投标承诺、国家现行的相关规范标准及合同规定的质量、型号、品牌、技术要求、数量和性能的要求。乙方应保证所提供的货物经正确安装、正常运行和保养在其使用寿命期内应具有满意的性能。在质量保修期内，乙方应对由于货物的工艺、材料和制造原因产生的缺陷而发生的任何不足或故障负责。</w:t>
      </w:r>
      <w:r/>
    </w:p>
    <w:p>
      <w:pPr>
        <w:pStyle w:val="869"/>
        <w:ind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rPr>
        <w:t xml:space="preserve">.7如果货物的质量、性能、型号、技术要求、品牌、数量与合同不符，或在规定的质量保修期内证实货物是有缺陷的，包括潜在的缺陷或使用不符合要求的材料、零部件等，甲方应尽快以书面形式通知乙方，并提出索赔。</w:t>
      </w:r>
      <w:r/>
    </w:p>
    <w:p>
      <w:pPr>
        <w:pStyle w:val="869"/>
        <w:ind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rPr>
        <w:t xml:space="preserve">.8乙方须具备较高的售后服务能力，货物出现故障时，乙方须积极响应。在质量保修期内，乙方须建立24小时报修电话。如果出现质量、技术问题，甲方通过电话通知乙方，乙方接到报修电话后，在30分钟内作出响应，在4小时内派遣有经验的维修工程师到现场提供免费维修服务，并尽快修复故障。一般问题应在8小时内解决，重大故障应启动应急备用方案，最长不超过48小时解决。</w:t>
      </w:r>
      <w:r/>
    </w:p>
    <w:p>
      <w:pPr>
        <w:pStyle w:val="869"/>
        <w:ind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在质量保修期内，乙方应免费向甲方提供所有货物维保和升级的服务，在货物维保和升级时，乙方应派遣专业技术人员到现场提供服务；在质量保修期满后，实行有偿终身上门维保和升级服务，可合理收取相关费用（乙方和甲方将在双方的合作情况的基础上协商确定）。如设备需异地维修，乙方应向甲方提供临时代用设备。</w:t>
      </w:r>
      <w:r/>
    </w:p>
    <w:p>
      <w:pPr>
        <w:pStyle w:val="869"/>
        <w:ind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rPr>
        <w:t xml:space="preserve">.9乙方为甲方的技术人员免费提供技术培训，并免费提供详细的培训资料。</w:t>
      </w:r>
      <w:r/>
    </w:p>
    <w:p>
      <w:pPr>
        <w:pStyle w:val="869"/>
        <w:ind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rPr>
        <w:t xml:space="preserve">.10为了保证项目的质量，提高投资经济效益，乙方可对本项目设计不合理的部分做优化设计，但优化方案和价格均需征得甲方同意和认可。</w:t>
      </w:r>
      <w:r/>
    </w:p>
    <w:p>
      <w:pPr>
        <w:pStyle w:val="869"/>
        <w:ind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rPr>
        <w:t xml:space="preserve">.11非甲方原因，质量整改所发生的费用不予增加，工期也不予顺延。</w:t>
      </w:r>
      <w:r/>
    </w:p>
    <w:p>
      <w:pPr>
        <w:pStyle w:val="869"/>
        <w:ind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rPr>
        <w:t xml:space="preserve">.12所有货物必须都有厂家铭牌，货物必须与铭牌一致，甲方拒绝贴牌货物。如乙方采用贴牌货物，一经发现取消其中标资格、终止合同，履约保证金不予退还（如给甲方造成的损失超过履约保证金数额的，乙方还应当对超过部分予以赔偿），并承担相应的法律责任。</w:t>
      </w:r>
      <w:r/>
    </w:p>
    <w:p>
      <w:pPr>
        <w:ind w:left="-132" w:right="-130" w:firstLine="442"/>
        <w:keepNext w:val="0"/>
        <w:pageBreakBefore w:val="0"/>
        <w:spacing w:line="440" w:lineRule="exact"/>
        <w:tabs>
          <w:tab w:val="left" w:pos="632" w:leader="none"/>
          <w:tab w:val="left" w:pos="2828"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十</w:t>
      </w:r>
      <w:r>
        <w:rPr>
          <w:rFonts w:hint="eastAsia" w:ascii="宋体" w:hAnsi="宋体" w:eastAsia="宋体" w:cs="宋体"/>
          <w:b/>
          <w:bCs/>
          <w:sz w:val="21"/>
          <w:szCs w:val="21"/>
          <w:highlight w:val="none"/>
          <w:lang w:val="en-US" w:eastAsia="zh-CN"/>
        </w:rPr>
        <w:t xml:space="preserve">四</w:t>
      </w:r>
      <w:r>
        <w:rPr>
          <w:rFonts w:hint="eastAsia" w:ascii="宋体" w:hAnsi="宋体" w:eastAsia="宋体" w:cs="宋体"/>
          <w:b/>
          <w:bCs/>
          <w:sz w:val="21"/>
          <w:szCs w:val="21"/>
          <w:highlight w:val="none"/>
        </w:rPr>
        <w:t xml:space="preserve">、培训</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rPr>
        <w:t xml:space="preserve">.1人员培训是本项目实施的一个重要环节。乙方须为本项目所涉及的相关业务人员与技术管理人员提供技术培训，时间和内容是使其能够掌握本项目应用系统的操作和维护工作，并提供相应的培训计划（包括但不限于：1）培训的类别；2）培训人员与人数；3）培训的课程，培训至少包括系统使用培训，系统运维培训等；4）培训方式；5）培训教材安排；6）师资安排）。</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rPr>
        <w:t xml:space="preserve">.2本项目人员培训应达到相应的质量目标，保证系统顺利上线和运维。</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rPr>
        <w:t xml:space="preserve">.3为确保货物的顺利实施，并能够稳定、高效地运行，乙方应针对软件特点、人员状况，关键项目实施计划等，制订可行的培训计划、提供全方位多层次的培训服务。</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软件的培训对象主要包括本项目所涉及的相关业务人员与技术管理人员等，培训内容包括应用培训、技术类培训和维护类培训。乙方提供的培训分为项目专题培训和项目现场培训。</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bookmarkStart w:id="171" w:name="_Toc246612801"/>
      <w:r/>
      <w:bookmarkStart w:id="172" w:name="_Toc247688036"/>
      <w:r/>
      <w:bookmarkStart w:id="173" w:name="_Toc240166609"/>
      <w:r/>
      <w:bookmarkStart w:id="174" w:name="_Toc239304068"/>
      <w:r/>
      <w:bookmarkStart w:id="175" w:name="_Toc235326214"/>
      <w:r/>
      <w:bookmarkStart w:id="176" w:name="_Toc241493101"/>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rPr>
        <w:t xml:space="preserve">.3.1项目专题培训</w:t>
      </w:r>
      <w:bookmarkEnd w:id="171"/>
      <w:r/>
      <w:bookmarkEnd w:id="172"/>
      <w:r/>
      <w:bookmarkEnd w:id="173"/>
      <w:r/>
      <w:bookmarkEnd w:id="174"/>
      <w:r/>
      <w:bookmarkEnd w:id="175"/>
      <w:r/>
      <w:bookmarkEnd w:id="176"/>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项目专题培训将贯穿于整个项目实施过程，采取集中培训的方式进行。培训主要包括以下类型的培训：</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首先是货物安装以及货物运行管理相关的培训，目的使他们能够从整体上了解和掌握与货物的相关知识。</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其次是货物安装、运行管理方法培训，使之掌握项目管理技能。</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三是专业技术培训，对货物中使用到的相关技术和设备、软件的使用进行培训，使用户能够掌握货物的基本原理、安装配置及运行维护等方面的技术。培训完成后，用户要能够维护货物，保障货物安全、高效的运行。</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专题培训中的专业技术培训分为货物技术管理人员培训和货物相关业务人员培训；乙方派出的培训教员应至少具有相同课程的教学经验，且培训教员均要求具有三年以上的教学经验；所有的培训教员必须用中文授课，除非有其它的协议规定。培训时间、地点由乙方与甲方共同商议确定。（培训教员名单连同培训计划一并提交用户，用户认为培训教员不合适可要求更换）</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bookmarkStart w:id="177" w:name="_Toc235326215"/>
      <w:r/>
      <w:bookmarkStart w:id="178" w:name="_Toc177816690"/>
      <w:r/>
      <w:bookmarkStart w:id="179" w:name="_Toc241493102"/>
      <w:r/>
      <w:bookmarkStart w:id="180" w:name="_Toc239304069"/>
      <w:r/>
      <w:bookmarkStart w:id="181" w:name="_Toc50540198"/>
      <w:r/>
      <w:bookmarkStart w:id="182" w:name="_Toc240166610"/>
      <w:r/>
      <w:bookmarkStart w:id="183" w:name="_Toc211328962"/>
      <w:r/>
      <w:bookmarkStart w:id="184" w:name="_Toc246612802"/>
      <w:r/>
      <w:bookmarkStart w:id="185" w:name="_Toc247688037"/>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rPr>
        <w:t xml:space="preserve">.3.2项目现场培训</w:t>
      </w:r>
      <w:bookmarkEnd w:id="177"/>
      <w:r/>
      <w:bookmarkEnd w:id="178"/>
      <w:r/>
      <w:bookmarkEnd w:id="179"/>
      <w:r/>
      <w:bookmarkEnd w:id="180"/>
      <w:r/>
      <w:bookmarkEnd w:id="181"/>
      <w:r/>
      <w:bookmarkEnd w:id="182"/>
      <w:r/>
      <w:bookmarkEnd w:id="183"/>
      <w:r/>
      <w:bookmarkEnd w:id="184"/>
      <w:r/>
      <w:bookmarkEnd w:id="185"/>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乙方的安装、调试（含试运行）工程师在安装现场负责完成培训任务。培训时间、地点由乙方与甲方共同商议确定。</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rPr>
        <w:t xml:space="preserve">.4乙方应负责甲方技术人员或甲方指定的后期运营单位的相关培训工作，同时提出相关人员所需具备的素质要求。</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rPr>
        <w:t xml:space="preserve">.5乙方应该在系统安装、调试（含试运行）过程中，向甲方或甲方指定的运营单位做好系统开发、维护、运营等相关技术的知识转移。其中，系统操作培训应包括所提供货物的原理和技术性能、操作维护方法、安装调测、排除故障及货物结构等各个方面, 并提供全套培训教材(中文或英文)和培训课程计划表。</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rPr>
        <w:t xml:space="preserve">.6本项目根据采购人要求实施全程培训，培训所发生的租用教学场地、相关学习条件的费用及其它所有培训费用均已包含在合同价中，甲方不再另行支付。</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rPr>
        <w:t xml:space="preserve">.7乙方应在现场安装、调试（含试运行）完成后，根据甲方需求进行现场培训，拟定详细的培训大纲，在培训前2周提交甲方，并征得甲方同意。现场培训主要讲解操作方法和故障检测技能，并辅导进行操作实习。</w:t>
      </w:r>
      <w:r/>
    </w:p>
    <w:p>
      <w:pPr>
        <w:ind w:left="-132" w:right="-130" w:firstLine="44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rPr>
        <w:t xml:space="preserve">.8乙方必须为所有被培训人员提供培训用文字资料和讲义等相关用品。</w:t>
      </w:r>
      <w:r/>
    </w:p>
    <w:p>
      <w:pPr>
        <w:pStyle w:val="698"/>
        <w:ind w:left="-132" w:right="-130" w:firstLine="442"/>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w:t>
      </w:r>
      <w:r>
        <w:rPr>
          <w:rFonts w:hint="eastAsia" w:ascii="宋体" w:hAnsi="宋体" w:eastAsia="宋体" w:cs="宋体"/>
          <w:b/>
          <w:bCs/>
          <w:sz w:val="21"/>
          <w:szCs w:val="21"/>
          <w:highlight w:val="none"/>
          <w:lang w:val="en-US" w:eastAsia="zh-CN"/>
        </w:rPr>
        <w:t xml:space="preserve">五</w:t>
      </w:r>
      <w:r>
        <w:rPr>
          <w:rFonts w:hint="eastAsia" w:ascii="宋体" w:hAnsi="宋体" w:eastAsia="宋体" w:cs="宋体"/>
          <w:b/>
          <w:bCs/>
          <w:sz w:val="21"/>
          <w:szCs w:val="21"/>
          <w:highlight w:val="none"/>
        </w:rPr>
        <w:t xml:space="preserve">、索赔</w:t>
      </w:r>
      <w:r/>
    </w:p>
    <w:p>
      <w:pPr>
        <w:ind w:firstLine="440"/>
        <w:keepLines w:val="0"/>
        <w:keepNext w:val="0"/>
        <w:pageBreakBefore w:val="0"/>
        <w:spacing w:line="440" w:lineRule="exact"/>
        <w:widowControl w:val="off"/>
        <w:tabs>
          <w:tab w:val="left" w:pos="632" w:leader="none"/>
          <w:tab w:val="left" w:pos="2828"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1如对照国家标准或当地质检部门或第三方机构出具的检验结果证实其货物的质量不合格或达不到招标要求的：软件部分质量不合格或达不到招标要求的，则甲方有权不予该项目软件部分验收；设备部分质量不合格或达不到招标要求的，则甲方有权要求乙方进行无条件更换；同时甲方有权根据国家标准或当地质检部门或第三方机构出具的检验结果向乙方提出索赔，并从货款中扣除赔偿费，但赔偿费的最高限额为合同价的10%。</w:t>
      </w:r>
      <w:r/>
    </w:p>
    <w:p>
      <w:pPr>
        <w:keepLines w:val="0"/>
        <w:keepNext w:val="0"/>
        <w:pageBreakBefore w:val="0"/>
        <w:spacing w:line="440" w:lineRule="exact"/>
        <w:widowControl w:val="off"/>
        <w:tabs>
          <w:tab w:val="left" w:pos="632" w:leader="none"/>
          <w:tab w:val="left" w:pos="2828"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.2在根据合同规定的质量保修期内，如乙方对甲方提出的索赔和差异负有责任的，乙方应按照甲方同意的下列一种或多种方式解决索赔事宜：</w:t>
      </w:r>
      <w:r/>
    </w:p>
    <w:p>
      <w:pPr>
        <w:ind w:firstLine="440"/>
        <w:keepLines w:val="0"/>
        <w:keepNext w:val="0"/>
        <w:pageBreakBefore w:val="0"/>
        <w:spacing w:line="440" w:lineRule="exact"/>
        <w:widowControl w:val="off"/>
        <w:tabs>
          <w:tab w:val="left" w:pos="632" w:leader="none"/>
          <w:tab w:val="left" w:pos="2828"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2.1乙方同意退货，并按合同规定的同种货币将货款退还给甲方，并承担由此发生的一切损失和费用，包括利息、银行手续费、运费、保险费、检验费、仓储费、装卸费、误工费以及为保证退回货物所需的其他必要费用。</w:t>
      </w:r>
      <w:r/>
    </w:p>
    <w:p>
      <w:pPr>
        <w:ind w:firstLine="440"/>
        <w:keepLines w:val="0"/>
        <w:keepNext w:val="0"/>
        <w:pageBreakBefore w:val="0"/>
        <w:spacing w:line="440" w:lineRule="exact"/>
        <w:widowControl w:val="off"/>
        <w:tabs>
          <w:tab w:val="left" w:pos="632" w:leader="none"/>
          <w:tab w:val="left" w:pos="2828"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2.2用符合质量、型号、品牌、技术要求和性能要求的新零件、部件或货物来更换有缺陷的部分或修补缺陷部分，乙方应承担一切费用和风险，并负担甲方所发生的一切直接费用。甲方应按合同规定，相应延长修补或更换件的质量保修期。</w:t>
      </w:r>
      <w:r/>
    </w:p>
    <w:p>
      <w:pPr>
        <w:pStyle w:val="711"/>
        <w:ind w:firstLine="440"/>
        <w:jc w:val="both"/>
        <w:keepLines w:val="0"/>
        <w:keepNext w:val="0"/>
        <w:pageBreakBefore w:val="0"/>
        <w:spacing w:beforeAutospacing="0" w:afterAutospacing="0"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3如果在甲方发出索赔通知后15天内，乙方未作辩论或未作答复，上述索赔应视为已被乙方接受。如乙方未能在甲方提出索赔通知后15天内或甲方同意的更长时间内，按照本合同第16.2条规定的任何一种方法解决索赔事宜，甲方将从未付款中扣回索赔金额。如果这些金额不足以补偿索赔金额，甲方有权向乙方提出不足部分的补偿。</w:t>
      </w:r>
      <w:r/>
    </w:p>
    <w:p>
      <w:pPr>
        <w:pStyle w:val="711"/>
        <w:jc w:val="both"/>
        <w:keepNext w:val="0"/>
        <w:pageBreakBefore w:val="0"/>
        <w:spacing w:beforeAutospacing="0" w:afterAutospacing="0" w:line="440" w:lineRule="exact"/>
        <w:rPr>
          <w:rFonts w:hint="eastAsia" w:ascii="宋体" w:hAnsi="宋体" w:eastAsia="宋体" w:cs="宋体"/>
          <w:sz w:val="21"/>
          <w:szCs w:val="21"/>
          <w:highlight w:val="none"/>
        </w:rPr>
      </w:pPr>
      <w:r>
        <w:rPr>
          <w:rFonts w:hint="eastAsia" w:ascii="宋体" w:hAnsi="宋体" w:eastAsia="宋体" w:cs="宋体"/>
          <w:b/>
          <w:color w:val="000000"/>
          <w:sz w:val="21"/>
          <w:szCs w:val="21"/>
        </w:rPr>
        <w:t xml:space="preserve">十</w:t>
      </w:r>
      <w:r>
        <w:rPr>
          <w:rFonts w:hint="eastAsia" w:ascii="宋体" w:hAnsi="宋体" w:eastAsia="宋体" w:cs="宋体"/>
          <w:b/>
          <w:color w:val="000000"/>
          <w:sz w:val="21"/>
          <w:szCs w:val="21"/>
          <w:lang w:val="en-US" w:eastAsia="zh-CN"/>
        </w:rPr>
        <w:t xml:space="preserve">六</w:t>
      </w: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highlight w:val="none"/>
        </w:rPr>
        <w:t xml:space="preserve">违约责任</w:t>
      </w:r>
      <w:r/>
    </w:p>
    <w:p>
      <w:pPr>
        <w:pStyle w:val="711"/>
        <w:ind w:left="410" w:hanging="410"/>
        <w:jc w:val="both"/>
        <w:keepNext w:val="0"/>
        <w:pageBreakBefore w:val="0"/>
        <w:spacing w:beforeAutospacing="0" w:afterAutospacing="0" w:line="44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rPr>
        <w:t xml:space="preserve">.1甲方无正当理由拒绝接受乙方提供服务的，甲方向乙方偿付拒绝接受服务合同价款总值</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的违约金。</w:t>
      </w:r>
      <w:r/>
    </w:p>
    <w:p>
      <w:pPr>
        <w:pStyle w:val="711"/>
        <w:ind w:left="410" w:hanging="410"/>
        <w:jc w:val="both"/>
        <w:keepNext w:val="0"/>
        <w:pageBreakBefore w:val="0"/>
        <w:spacing w:beforeAutospacing="0" w:afterAutospacing="0" w:line="44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rPr>
        <w:t xml:space="preserve">.2甲方无故逾期验收和办理合同款项支付手续的,甲方应按逾期付款总额</w:t>
      </w:r>
      <w:r>
        <w:rPr>
          <w:rFonts w:hint="eastAsia" w:ascii="宋体" w:hAnsi="宋体" w:eastAsia="宋体" w:cs="宋体"/>
          <w:color w:val="000000"/>
          <w:sz w:val="21"/>
          <w:szCs w:val="21"/>
          <w:highlight w:val="none"/>
          <w:u w:val="single"/>
          <w:lang w:eastAsia="zh-CN"/>
        </w:rPr>
        <w:t xml:space="preserve">千分之一</w:t>
      </w:r>
      <w:r>
        <w:rPr>
          <w:rFonts w:hint="eastAsia" w:ascii="宋体" w:hAnsi="宋体" w:eastAsia="宋体" w:cs="宋体"/>
          <w:color w:val="000000"/>
          <w:sz w:val="21"/>
          <w:szCs w:val="21"/>
          <w:highlight w:val="none"/>
        </w:rPr>
        <w:t xml:space="preserve">每日向乙方支付违约金。</w:t>
      </w:r>
      <w:r/>
    </w:p>
    <w:p>
      <w:pPr>
        <w:pStyle w:val="711"/>
        <w:ind w:left="410" w:hanging="410"/>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rPr>
        <w:t xml:space="preserve">.3乙方逾期提供服务的，乙方应按逾期提供服务合同总额每日千分之</w:t>
      </w:r>
      <w:r>
        <w:rPr>
          <w:rFonts w:hint="eastAsia" w:ascii="宋体" w:hAnsi="宋体" w:eastAsia="宋体" w:cs="宋体"/>
          <w:color w:val="000000"/>
          <w:sz w:val="21"/>
          <w:szCs w:val="21"/>
          <w:highlight w:val="none"/>
          <w:lang w:eastAsia="zh-CN"/>
        </w:rPr>
        <w:t xml:space="preserve">一</w:t>
      </w:r>
      <w:r>
        <w:rPr>
          <w:rFonts w:hint="eastAsia" w:ascii="宋体" w:hAnsi="宋体" w:eastAsia="宋体" w:cs="宋体"/>
          <w:color w:val="000000"/>
          <w:sz w:val="21"/>
          <w:szCs w:val="21"/>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的违约金，如造成甲方损失超</w:t>
      </w:r>
      <w:r>
        <w:rPr>
          <w:rFonts w:hint="eastAsia" w:ascii="宋体" w:hAnsi="宋体" w:eastAsia="宋体" w:cs="宋体"/>
          <w:color w:val="000000"/>
          <w:sz w:val="21"/>
          <w:szCs w:val="21"/>
        </w:rPr>
        <w:t xml:space="preserve">过违约金的，超出部分由乙方继续承担赔偿责任。 </w:t>
      </w:r>
      <w:r/>
    </w:p>
    <w:p>
      <w:pPr>
        <w:pStyle w:val="711"/>
        <w:ind w:left="410" w:hanging="410"/>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16</w:t>
      </w:r>
      <w:r>
        <w:rPr>
          <w:rFonts w:hint="eastAsia" w:ascii="宋体" w:hAnsi="宋体" w:eastAsia="宋体" w:cs="宋体"/>
          <w:color w:val="000000"/>
          <w:sz w:val="21"/>
          <w:szCs w:val="21"/>
        </w:rPr>
        <w:t xml:space="preserve">.4乙方所提供服务的标准不符合合同规定及招标文件规定标准的，甲方有权拒绝接受服务，并可单方面解除合同。</w:t>
      </w:r>
      <w:r/>
    </w:p>
    <w:p>
      <w:pPr>
        <w:pStyle w:val="711"/>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b/>
          <w:color w:val="000000"/>
          <w:sz w:val="21"/>
          <w:szCs w:val="21"/>
        </w:rPr>
        <w:t xml:space="preserve">十</w:t>
      </w:r>
      <w:r>
        <w:rPr>
          <w:rFonts w:hint="eastAsia" w:ascii="宋体" w:hAnsi="宋体" w:eastAsia="宋体" w:cs="宋体"/>
          <w:b/>
          <w:color w:val="000000"/>
          <w:sz w:val="21"/>
          <w:szCs w:val="21"/>
          <w:lang w:val="en-US" w:eastAsia="zh-CN"/>
        </w:rPr>
        <w:t xml:space="preserve">七</w:t>
      </w:r>
      <w:r>
        <w:rPr>
          <w:rFonts w:hint="eastAsia" w:ascii="宋体" w:hAnsi="宋体" w:eastAsia="宋体" w:cs="宋体"/>
          <w:b/>
          <w:color w:val="000000"/>
          <w:sz w:val="21"/>
          <w:szCs w:val="21"/>
        </w:rPr>
        <w:t xml:space="preserve">、不可抗力事件处理</w:t>
      </w:r>
      <w:r/>
    </w:p>
    <w:p>
      <w:pPr>
        <w:pStyle w:val="711"/>
        <w:ind w:left="480" w:hanging="480"/>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17</w:t>
      </w:r>
      <w:r>
        <w:rPr>
          <w:rFonts w:hint="eastAsia" w:ascii="宋体" w:hAnsi="宋体" w:eastAsia="宋体" w:cs="宋体"/>
          <w:color w:val="000000"/>
          <w:sz w:val="21"/>
          <w:szCs w:val="21"/>
        </w:rPr>
        <w:t xml:space="preserve">.1在合同有效期内，任何一方因不可抗力事件导致不能履行合同，则合同履行期可延长，其延长期与不可抗力影响 期相同。</w:t>
      </w:r>
      <w:r/>
    </w:p>
    <w:p>
      <w:pPr>
        <w:pStyle w:val="711"/>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17</w:t>
      </w:r>
      <w:r>
        <w:rPr>
          <w:rFonts w:hint="eastAsia" w:ascii="宋体" w:hAnsi="宋体" w:eastAsia="宋体" w:cs="宋体"/>
          <w:color w:val="000000"/>
          <w:sz w:val="21"/>
          <w:szCs w:val="21"/>
        </w:rPr>
        <w:t xml:space="preserve">.2不可抗力事件发生后，应立即通知对方，并寄送有关权威机构出具的证明。</w:t>
      </w:r>
      <w:r/>
    </w:p>
    <w:p>
      <w:pPr>
        <w:pStyle w:val="711"/>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17</w:t>
      </w:r>
      <w:r>
        <w:rPr>
          <w:rFonts w:hint="eastAsia" w:ascii="宋体" w:hAnsi="宋体" w:eastAsia="宋体" w:cs="宋体"/>
          <w:color w:val="000000"/>
          <w:sz w:val="21"/>
          <w:szCs w:val="21"/>
        </w:rPr>
        <w:t xml:space="preserve">.3不可抗力事件延续120天以上，双方应通过友好协商，确定是否继续履行合同。</w:t>
      </w:r>
      <w:r/>
    </w:p>
    <w:p>
      <w:pPr>
        <w:pStyle w:val="711"/>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b/>
          <w:color w:val="000000"/>
          <w:sz w:val="21"/>
          <w:szCs w:val="21"/>
        </w:rPr>
        <w:t xml:space="preserve">十</w:t>
      </w:r>
      <w:r>
        <w:rPr>
          <w:rFonts w:hint="eastAsia" w:ascii="宋体" w:hAnsi="宋体" w:eastAsia="宋体" w:cs="宋体"/>
          <w:b/>
          <w:color w:val="000000"/>
          <w:sz w:val="21"/>
          <w:szCs w:val="21"/>
          <w:lang w:val="en-US" w:eastAsia="zh-CN"/>
        </w:rPr>
        <w:t xml:space="preserve">八</w:t>
      </w:r>
      <w:r>
        <w:rPr>
          <w:rFonts w:hint="eastAsia" w:ascii="宋体" w:hAnsi="宋体" w:eastAsia="宋体" w:cs="宋体"/>
          <w:b/>
          <w:color w:val="000000"/>
          <w:sz w:val="21"/>
          <w:szCs w:val="21"/>
        </w:rPr>
        <w:t xml:space="preserve">、解决争议的方法</w:t>
      </w:r>
      <w:r/>
    </w:p>
    <w:p>
      <w:pPr>
        <w:pStyle w:val="711"/>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18</w:t>
      </w:r>
      <w:r>
        <w:rPr>
          <w:rFonts w:hint="eastAsia" w:ascii="宋体" w:hAnsi="宋体" w:eastAsia="宋体" w:cs="宋体"/>
          <w:color w:val="000000"/>
          <w:sz w:val="21"/>
          <w:szCs w:val="21"/>
        </w:rPr>
        <w:t xml:space="preserve">.1双方在签订、履行合同中所发生的一切争议，应通过友好协商解决。如协商不成，由甲方住所地人民法院管辖。</w:t>
      </w:r>
      <w:r/>
    </w:p>
    <w:p>
      <w:pPr>
        <w:pStyle w:val="711"/>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b/>
          <w:color w:val="000000"/>
          <w:sz w:val="21"/>
          <w:szCs w:val="21"/>
        </w:rPr>
        <w:t xml:space="preserve">十</w:t>
      </w:r>
      <w:r>
        <w:rPr>
          <w:rFonts w:hint="eastAsia" w:ascii="宋体" w:hAnsi="宋体" w:eastAsia="宋体" w:cs="宋体"/>
          <w:b/>
          <w:color w:val="000000"/>
          <w:sz w:val="21"/>
          <w:szCs w:val="21"/>
          <w:lang w:val="en-US" w:eastAsia="zh-CN"/>
        </w:rPr>
        <w:t xml:space="preserve">九</w:t>
      </w:r>
      <w:r>
        <w:rPr>
          <w:rFonts w:hint="eastAsia" w:ascii="宋体" w:hAnsi="宋体" w:eastAsia="宋体" w:cs="宋体"/>
          <w:b/>
          <w:color w:val="000000"/>
          <w:sz w:val="21"/>
          <w:szCs w:val="21"/>
        </w:rPr>
        <w:t xml:space="preserve">、合同生效及其它</w:t>
      </w:r>
      <w:r/>
    </w:p>
    <w:p>
      <w:pPr>
        <w:pStyle w:val="711"/>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19</w:t>
      </w:r>
      <w:r>
        <w:rPr>
          <w:rFonts w:hint="eastAsia" w:ascii="宋体" w:hAnsi="宋体" w:eastAsia="宋体" w:cs="宋体"/>
          <w:color w:val="000000"/>
          <w:sz w:val="21"/>
          <w:szCs w:val="21"/>
        </w:rPr>
        <w:t xml:space="preserve">.1合同经双方法定代表人或授权委托代表人签字并加盖单位公章后生效。</w:t>
      </w:r>
      <w:r/>
    </w:p>
    <w:p>
      <w:pPr>
        <w:pStyle w:val="711"/>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19</w:t>
      </w:r>
      <w:r>
        <w:rPr>
          <w:rFonts w:hint="eastAsia" w:ascii="宋体" w:hAnsi="宋体" w:eastAsia="宋体" w:cs="宋体"/>
          <w:color w:val="000000"/>
          <w:sz w:val="21"/>
          <w:szCs w:val="21"/>
        </w:rPr>
        <w:t xml:space="preserve">.2本合同未尽事宜，遵照《民法典》、《政府采购法》有关条文执行。</w:t>
      </w:r>
      <w:r/>
    </w:p>
    <w:p>
      <w:pPr>
        <w:pStyle w:val="711"/>
        <w:ind w:left="480" w:hanging="480"/>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19</w:t>
      </w:r>
      <w:r>
        <w:rPr>
          <w:rFonts w:hint="eastAsia" w:ascii="宋体" w:hAnsi="宋体" w:eastAsia="宋体" w:cs="宋体"/>
          <w:color w:val="000000"/>
          <w:sz w:val="21"/>
          <w:szCs w:val="21"/>
        </w:rPr>
        <w:t xml:space="preserve">.3 本合同正本一式</w:t>
      </w:r>
      <w:r>
        <w:rPr>
          <w:rFonts w:hint="eastAsia" w:ascii="宋体" w:hAnsi="宋体" w:eastAsia="宋体" w:cs="宋体"/>
          <w:color w:val="000000"/>
          <w:sz w:val="21"/>
          <w:szCs w:val="21"/>
          <w:lang w:eastAsia="zh-CN"/>
        </w:rPr>
        <w:t xml:space="preserve">肆</w:t>
      </w:r>
      <w:r>
        <w:rPr>
          <w:rFonts w:hint="eastAsia" w:ascii="宋体" w:hAnsi="宋体" w:eastAsia="宋体" w:cs="宋体"/>
          <w:color w:val="000000"/>
          <w:sz w:val="21"/>
          <w:szCs w:val="21"/>
        </w:rPr>
        <w:t xml:space="preserve">份，具有同等法律效力，甲方、乙方各执</w:t>
      </w:r>
      <w:r>
        <w:rPr>
          <w:rFonts w:hint="eastAsia" w:ascii="宋体" w:hAnsi="宋体" w:eastAsia="宋体" w:cs="宋体"/>
          <w:color w:val="000000"/>
          <w:sz w:val="21"/>
          <w:szCs w:val="21"/>
          <w:lang w:eastAsia="zh-CN"/>
        </w:rPr>
        <w:t xml:space="preserve">贰</w:t>
      </w:r>
      <w:r>
        <w:rPr>
          <w:rFonts w:hint="eastAsia" w:ascii="宋体" w:hAnsi="宋体" w:eastAsia="宋体" w:cs="宋体"/>
          <w:color w:val="000000"/>
          <w:sz w:val="21"/>
          <w:szCs w:val="21"/>
        </w:rPr>
        <w:t xml:space="preserve">份。</w:t>
      </w:r>
      <w:r/>
    </w:p>
    <w:p>
      <w:pPr>
        <w:pStyle w:val="711"/>
        <w:ind w:left="480" w:hanging="480"/>
        <w:jc w:val="both"/>
        <w:keepNext w:val="0"/>
        <w:pageBreakBefore w:val="0"/>
        <w:spacing w:beforeAutospacing="0" w:afterAutospacing="0"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711"/>
        <w:ind w:left="480" w:hanging="480"/>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rPr>
        <w:t xml:space="preserve">甲方：               乙方： </w:t>
      </w:r>
      <w:r/>
    </w:p>
    <w:p>
      <w:pPr>
        <w:pStyle w:val="711"/>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rPr>
        <w:t xml:space="preserve">地址：               地址： </w:t>
      </w:r>
      <w:r/>
    </w:p>
    <w:p>
      <w:pPr>
        <w:pStyle w:val="711"/>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rPr>
        <w:t xml:space="preserve">法定代表人或授权代表：       法定代表人或授权代表：</w:t>
      </w:r>
      <w:r/>
    </w:p>
    <w:p>
      <w:pPr>
        <w:pStyle w:val="711"/>
        <w:jc w:val="both"/>
        <w:keepNext w:val="0"/>
        <w:pageBreakBefore w:val="0"/>
        <w:spacing w:beforeAutospacing="0" w:afterAutospacing="0" w:line="440" w:lineRule="exact"/>
        <w:rPr>
          <w:rFonts w:hint="eastAsia" w:ascii="宋体" w:hAnsi="宋体" w:eastAsia="宋体" w:cs="宋体"/>
          <w:sz w:val="21"/>
          <w:szCs w:val="21"/>
        </w:rPr>
      </w:pPr>
      <w:r>
        <w:rPr>
          <w:rFonts w:hint="eastAsia" w:ascii="宋体" w:hAnsi="宋体" w:eastAsia="宋体" w:cs="宋体"/>
          <w:color w:val="000000"/>
          <w:sz w:val="21"/>
          <w:szCs w:val="21"/>
        </w:rPr>
        <w:t xml:space="preserve">联系电话：             联系电话：          </w:t>
      </w:r>
      <w:r/>
    </w:p>
    <w:p>
      <w:pPr>
        <w:pStyle w:val="711"/>
        <w:jc w:val="center"/>
        <w:keepNext w:val="0"/>
        <w:pageBreakBefore w:val="0"/>
        <w:spacing w:beforeAutospacing="0" w:afterAutospacing="0" w:line="440" w:lineRule="exact"/>
        <w:rPr>
          <w:rFonts w:hint="eastAsia" w:ascii="宋体" w:hAnsi="宋体" w:eastAsia="宋体" w:cs="宋体"/>
          <w:sz w:val="22"/>
          <w:szCs w:val="22"/>
          <w:highlight w:val="cyan"/>
        </w:rPr>
      </w:pPr>
      <w:r>
        <w:rPr>
          <w:rFonts w:hint="eastAsia" w:ascii="宋体" w:hAnsi="宋体" w:eastAsia="宋体" w:cs="宋体"/>
          <w:color w:val="000000"/>
          <w:sz w:val="21"/>
          <w:szCs w:val="21"/>
        </w:rPr>
        <w:t xml:space="preserve">                                          签订日期：      年    月   日</w:t>
      </w:r>
      <w:bookmarkStart w:id="186" w:name="_Toc479757211"/>
      <w:r/>
      <w:bookmarkStart w:id="187" w:name="_Toc16938590"/>
      <w:r/>
      <w:bookmarkStart w:id="188" w:name="_Hlt16619350"/>
      <w:r/>
      <w:bookmarkStart w:id="189" w:name="_Toc120614244"/>
      <w:r/>
      <w:bookmarkStart w:id="190" w:name="_Toc20823346"/>
      <w:r/>
      <w:bookmarkStart w:id="191" w:name="_Toc462564139"/>
      <w:r/>
      <w:bookmarkStart w:id="192" w:name="_Hlt16619369"/>
      <w:r>
        <w:rPr>
          <w:rFonts w:hint="eastAsia" w:ascii="宋体" w:hAnsi="宋体" w:eastAsia="宋体" w:cs="宋体"/>
          <w:color w:val="000000"/>
          <w:sz w:val="21"/>
          <w:szCs w:val="21"/>
        </w:rPr>
        <w:br w:type="page" w:clear="all"/>
      </w:r>
      <w:r>
        <w:rPr>
          <w:rFonts w:hint="eastAsia" w:ascii="宋体" w:hAnsi="宋体" w:eastAsia="宋体" w:cs="宋体"/>
          <w:color w:val="000000"/>
          <w:sz w:val="40"/>
          <w:szCs w:val="40"/>
          <w:highlight w:val="none"/>
        </w:rPr>
        <w:t xml:space="preserve">第</w:t>
      </w:r>
      <w:bookmarkEnd w:id="186"/>
      <w:r>
        <w:rPr>
          <w:rFonts w:hint="eastAsia" w:ascii="宋体" w:hAnsi="宋体" w:eastAsia="宋体" w:cs="宋体"/>
          <w:color w:val="000000"/>
          <w:sz w:val="40"/>
          <w:szCs w:val="40"/>
          <w:highlight w:val="none"/>
        </w:rPr>
        <w:t xml:space="preserve">四章 采购需求</w:t>
      </w:r>
      <w:bookmarkEnd w:id="187"/>
      <w:r/>
      <w:bookmarkEnd w:id="188"/>
      <w:r/>
      <w:bookmarkEnd w:id="189"/>
      <w:r/>
      <w:bookmarkEnd w:id="190"/>
      <w:r/>
      <w:bookmarkEnd w:id="191"/>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b/>
          <w:bCs/>
          <w:color w:val="000000"/>
        </w:rPr>
        <w:t xml:space="preserve">项目属性:服务类项目</w:t>
      </w:r>
      <w:r>
        <w:rPr>
          <w:rFonts w:hint="eastAsia" w:ascii="宋体" w:hAnsi="宋体" w:eastAsia="宋体" w:cs="宋体"/>
          <w:color w:val="000000"/>
        </w:rPr>
        <w:t xml:space="preserve">。</w:t>
      </w:r>
      <w:r>
        <w:rPr>
          <w:rFonts w:hint="eastAsia" w:ascii="宋体" w:hAnsi="宋体" w:eastAsia="宋体" w:cs="宋体"/>
          <w:sz w:val="22"/>
          <w:szCs w:val="22"/>
        </w:rPr>
        <w:t xml:space="preserve"> </w:t>
      </w:r>
      <w:r/>
    </w:p>
    <w:p>
      <w:pPr>
        <w:pStyle w:val="683"/>
        <w:ind w:left="0" w:right="0" w:firstLine="0"/>
        <w:jc w:val="both"/>
        <w:spacing w:before="360" w:after="20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32"/>
          <w:lang w:val="en-US" w:eastAsia="zh-CN"/>
        </w:rPr>
        <w:t xml:space="preserve">一</w:t>
      </w:r>
      <w:r>
        <w:rPr>
          <w:rFonts w:hint="eastAsia" w:ascii="宋体" w:hAnsi="宋体" w:eastAsia="宋体" w:cs="宋体"/>
          <w:b/>
          <w:color w:val="000000"/>
          <w:sz w:val="24"/>
          <w:szCs w:val="32"/>
        </w:rPr>
        <w:t xml:space="preserve">、软硬件设备清单及技术需求</w:t>
      </w:r>
      <w:r/>
    </w:p>
    <w:tbl>
      <w:tblPr>
        <w:tblStyle w:val="692"/>
        <w:tblW w:w="9285" w:type="dxa"/>
        <w:tblInd w:w="-41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9"/>
        <w:gridCol w:w="741"/>
        <w:gridCol w:w="873"/>
        <w:gridCol w:w="1037"/>
        <w:gridCol w:w="345"/>
        <w:gridCol w:w="30"/>
        <w:gridCol w:w="4587"/>
        <w:gridCol w:w="468"/>
        <w:gridCol w:w="525"/>
      </w:tblGrid>
      <w:tr>
        <w:trPr>
          <w:trHeight w:val="79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建设内容</w:t>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功能明细</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详细功能参数</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90"/>
        </w:trPr>
        <w:tc>
          <w:tcPr>
            <w:gridSpan w:val="9"/>
            <w:tcBorders>
              <w:top w:val="single" w:color="000000" w:sz="4" w:space="0"/>
              <w:left w:val="single" w:color="000000" w:sz="4" w:space="0"/>
              <w:bottom w:val="single" w:color="000000" w:sz="4" w:space="0"/>
              <w:right w:val="single" w:color="000000" w:sz="4" w:space="0"/>
            </w:tcBorders>
            <w:tcW w:w="928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一、亭湖区数字化医共体“十张网”信息化二期项目软件功能配置，建设范围覆盖亭湖区15家社区卫生服务中心。建设内容如下：</w:t>
            </w:r>
            <w:r/>
          </w:p>
        </w:tc>
      </w:tr>
      <w:tr>
        <w:trPr>
          <w:trHeight w:val="107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慢病管理（医防融合）中心</w:t>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基础管理</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基础数据管理</w:t>
            </w:r>
            <w:r/>
          </w:p>
        </w:tc>
        <w:tc>
          <w:tcPr>
            <w:gridSpan w:val="2"/>
            <w:tcBorders>
              <w:top w:val="single" w:color="000000" w:sz="4" w:space="0"/>
              <w:left w:val="single" w:color="000000" w:sz="4" w:space="0"/>
              <w:bottom w:val="single" w:color="000000" w:sz="4" w:space="0"/>
              <w:right w:val="single" w:color="000000" w:sz="4" w:space="0"/>
            </w:tcBorders>
            <w:tcW w:w="4617" w:type="dxa"/>
            <w:vAlign w:val="center"/>
            <w:vMerge w:val="restart"/>
            <w:textDirection w:val="lrTb"/>
            <w:noWrap w:val="false"/>
          </w:tcPr>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需提供随访服务中心系统基础管理维护，包括基础数据管理、基础应用管理。</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基础数据管理：需支持对基础数据进行维护，如人员角色权限、数据字典。</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Style w:val="878"/>
                <w:rFonts w:hint="eastAsia"/>
                <w:sz w:val="21"/>
                <w:szCs w:val="21"/>
                <w:lang w:val="en-US" w:eastAsia="zh-CN" w:bidi="ar"/>
              </w:rPr>
              <w:t xml:space="preserve">▲基础应用管理：需支持对基础应用进行维护，如评估设置、随访设置、药品信息管理、人群标签管理（提供系统真实截图证明）。</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1005"/>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基础应用管理</w:t>
            </w:r>
            <w:r/>
          </w:p>
        </w:tc>
        <w:tc>
          <w:tcPr>
            <w:gridSpan w:val="2"/>
            <w:tcBorders>
              <w:top w:val="single" w:color="000000" w:sz="4" w:space="0"/>
              <w:left w:val="single" w:color="000000" w:sz="4" w:space="0"/>
              <w:bottom w:val="single" w:color="000000" w:sz="4" w:space="0"/>
              <w:right w:val="single" w:color="000000" w:sz="4" w:space="0"/>
            </w:tcBorders>
            <w:tcW w:w="4617"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90"/>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健康数据</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慢病专病库</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需支持将建设医疗健康数据库，将居民诊断信息、健康体征信息、危险因素信息等进行存储，为人群分层评定、健康随访服务提供依据。</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115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健康档案</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档案列表</w:t>
            </w:r>
            <w:r/>
          </w:p>
        </w:tc>
        <w:tc>
          <w:tcPr>
            <w:gridSpan w:val="2"/>
            <w:tcBorders>
              <w:top w:val="single" w:color="000000" w:sz="4" w:space="0"/>
              <w:left w:val="single" w:color="000000" w:sz="4" w:space="0"/>
              <w:bottom w:val="single" w:color="000000" w:sz="4" w:space="0"/>
              <w:right w:val="single" w:color="000000" w:sz="4" w:space="0"/>
            </w:tcBorders>
            <w:tcW w:w="4617" w:type="dxa"/>
            <w:vAlign w:val="center"/>
            <w:vMerge w:val="restart"/>
            <w:textDirection w:val="lrTb"/>
            <w:noWrap w:val="false"/>
          </w:tcPr>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需支持对健康随访服务对象基础档案信息进行管理维护。</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▲档案列表：需提供档案列表功能，列表需根据居民姓名、档案状态等进行查询；需支持以卡片形式展示医生所管对象，可查看居民档案完善状态（提供系统真实截图证明）。</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Style w:val="878"/>
                <w:rFonts w:hint="eastAsia"/>
                <w:sz w:val="21"/>
                <w:szCs w:val="21"/>
                <w:lang w:val="en-US" w:eastAsia="zh-CN" w:bidi="ar"/>
              </w:rPr>
              <w:t xml:space="preserve">档案维护：需支持对基础档案信息进行维护。</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865"/>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档案维护</w:t>
            </w:r>
            <w:r/>
          </w:p>
        </w:tc>
        <w:tc>
          <w:tcPr>
            <w:gridSpan w:val="2"/>
            <w:tcBorders>
              <w:top w:val="single" w:color="000000" w:sz="4" w:space="0"/>
              <w:left w:val="single" w:color="000000" w:sz="4" w:space="0"/>
              <w:bottom w:val="single" w:color="000000" w:sz="4" w:space="0"/>
              <w:right w:val="single" w:color="000000" w:sz="4" w:space="0"/>
            </w:tcBorders>
            <w:tcW w:w="4617"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134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健康筛查</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筛查队列</w:t>
            </w:r>
            <w:r/>
          </w:p>
        </w:tc>
        <w:tc>
          <w:tcPr>
            <w:gridSpan w:val="2"/>
            <w:tcBorders>
              <w:top w:val="single" w:color="000000" w:sz="4" w:space="0"/>
              <w:left w:val="single" w:color="000000" w:sz="4" w:space="0"/>
              <w:bottom w:val="single" w:color="000000" w:sz="4" w:space="0"/>
              <w:right w:val="single" w:color="000000" w:sz="4" w:space="0"/>
            </w:tcBorders>
            <w:tcW w:w="461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需根据上消化道肿瘤、前列腺肿瘤、肺结节、宫颈癌、乳腺癌筛查以及高血压、糖尿病靶器官筛查规则，基于全民健康信息平台，自动进行筛查。需支持将筛查出需要管理的对象推送至健康随访中心。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筛查队列：需提供筛查队列进行查看。可根据管理机构、病种、居民信息等进行查询。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疾病筛查：需支持查看健康随访对象疾病筛查详情。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人群分层评定：需支持根据各疾病分层规则，为居民提供人群分层评定，分为红色、黄色、绿色进行分色管理。其中，上消化道肿瘤、前列腺肿瘤、肺结节、宫颈癌、乳腺癌疑似及患者分层评估，由亭湖区人民医院医护完成。高血压、糖尿病人群分层评估，由基层医疗机构医生完成。</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1524"/>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疾病筛查</w:t>
            </w:r>
            <w:r/>
          </w:p>
        </w:tc>
        <w:tc>
          <w:tcPr>
            <w:gridSpan w:val="2"/>
            <w:tcBorders>
              <w:top w:val="single" w:color="000000" w:sz="4" w:space="0"/>
              <w:left w:val="single" w:color="000000" w:sz="4" w:space="0"/>
              <w:bottom w:val="single" w:color="000000" w:sz="4" w:space="0"/>
              <w:right w:val="single" w:color="000000" w:sz="4" w:space="0"/>
            </w:tcBorders>
            <w:tcW w:w="4617"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167"/>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人群分层评定</w:t>
            </w:r>
            <w:r/>
          </w:p>
        </w:tc>
        <w:tc>
          <w:tcPr>
            <w:gridSpan w:val="2"/>
            <w:tcBorders>
              <w:top w:val="single" w:color="000000" w:sz="4" w:space="0"/>
              <w:left w:val="single" w:color="000000" w:sz="4" w:space="0"/>
              <w:bottom w:val="single" w:color="000000" w:sz="4" w:space="0"/>
              <w:right w:val="single" w:color="000000" w:sz="4" w:space="0"/>
            </w:tcBorders>
            <w:tcW w:w="4617"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1071"/>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健康随访</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随访列表</w:t>
            </w:r>
            <w:r/>
          </w:p>
        </w:tc>
        <w:tc>
          <w:tcPr>
            <w:gridSpan w:val="2"/>
            <w:tcBorders>
              <w:top w:val="single" w:color="000000" w:sz="4" w:space="0"/>
              <w:left w:val="single" w:color="000000" w:sz="4" w:space="0"/>
              <w:bottom w:val="single" w:color="000000" w:sz="4" w:space="0"/>
              <w:right w:val="single" w:color="000000" w:sz="4" w:space="0"/>
            </w:tcBorders>
            <w:tcW w:w="461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需根据疾病分色管理，建立分级随访体系。</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▲随访列表：需提供随访列表，可根据随访机构、随访任务、居民信息等进行查询（提供系统真实截图证明）。</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分级随访：需支持根据人群分层评定结果，自动生成对应随访计划，为居民提供健康随访服务。其中，上消化道肿瘤、前列腺肿瘤、肺结节、宫颈癌、乳腺癌疑似及患者的健康随访，由亭湖区人民医院医护完成。高血压、糖尿病人群健康随访，由基层医疗机构医生完成。</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随访通知：需支持与短信平台对接，根据规定的时间范围，在临近随访时间时，通过短信方式提醒居民。</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服务登记：需支持医护将健康随访信息进行登记，实现任务核销。</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135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分级随访</w:t>
            </w:r>
            <w:r/>
          </w:p>
        </w:tc>
        <w:tc>
          <w:tcPr>
            <w:gridSpan w:val="2"/>
            <w:tcBorders>
              <w:top w:val="single" w:color="000000" w:sz="4" w:space="0"/>
              <w:left w:val="single" w:color="000000" w:sz="4" w:space="0"/>
              <w:bottom w:val="single" w:color="000000" w:sz="4" w:space="0"/>
              <w:right w:val="single" w:color="000000" w:sz="4" w:space="0"/>
            </w:tcBorders>
            <w:tcW w:w="4617"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1254"/>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随访通知</w:t>
            </w:r>
            <w:r/>
          </w:p>
        </w:tc>
        <w:tc>
          <w:tcPr>
            <w:gridSpan w:val="2"/>
            <w:tcBorders>
              <w:top w:val="single" w:color="000000" w:sz="4" w:space="0"/>
              <w:left w:val="single" w:color="000000" w:sz="4" w:space="0"/>
              <w:bottom w:val="single" w:color="000000" w:sz="4" w:space="0"/>
              <w:right w:val="single" w:color="000000" w:sz="4" w:space="0"/>
            </w:tcBorders>
            <w:tcW w:w="4617"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90"/>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服务登记</w:t>
            </w:r>
            <w:r/>
          </w:p>
        </w:tc>
        <w:tc>
          <w:tcPr>
            <w:gridSpan w:val="2"/>
            <w:tcBorders>
              <w:top w:val="single" w:color="000000" w:sz="4" w:space="0"/>
              <w:left w:val="single" w:color="000000" w:sz="4" w:space="0"/>
              <w:bottom w:val="single" w:color="000000" w:sz="4" w:space="0"/>
              <w:right w:val="single" w:color="000000" w:sz="4" w:space="0"/>
            </w:tcBorders>
            <w:tcW w:w="4617"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974"/>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健康主页</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健康筛查</w:t>
            </w:r>
            <w:r/>
          </w:p>
        </w:tc>
        <w:tc>
          <w:tcPr>
            <w:gridSpan w:val="2"/>
            <w:tcBorders>
              <w:top w:val="single" w:color="000000" w:sz="4" w:space="0"/>
              <w:left w:val="single" w:color="000000" w:sz="4" w:space="0"/>
              <w:bottom w:val="single" w:color="000000" w:sz="4" w:space="0"/>
              <w:right w:val="single" w:color="000000" w:sz="4" w:space="0"/>
            </w:tcBorders>
            <w:tcW w:w="461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需提供居民健康主页，将健康随访各类服务整合展示，以人为中心提供统一入口。</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健康筛查：需支持通过居民健康主页，查看其健康筛查记录及其详情。</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健康随访：需支持通过居民健康主页，查看其健康随访记录及其详情。如该患者近期有健康随访任务，可在此处新增随访信息。</w:t>
            </w:r>
            <w:r/>
          </w:p>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rPr>
              <w:t xml:space="preserve">▲健康处方：需提供健康随访服务中心涉及的健教处方模板，支持医护为居民提供针对性健康教育处方（提供系统真实截图证明）。</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rPr>
              <w:t xml:space="preserve">体征趋势：需支持通过居民健康主页，以图表及表格模式查看居民近期体征趋势。</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1124"/>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健康随访</w:t>
            </w:r>
            <w:r/>
          </w:p>
        </w:tc>
        <w:tc>
          <w:tcPr>
            <w:gridSpan w:val="2"/>
            <w:tcBorders>
              <w:top w:val="single" w:color="000000" w:sz="4" w:space="0"/>
              <w:left w:val="single" w:color="000000" w:sz="4" w:space="0"/>
              <w:bottom w:val="single" w:color="000000" w:sz="4" w:space="0"/>
              <w:right w:val="single" w:color="000000" w:sz="4" w:space="0"/>
            </w:tcBorders>
            <w:tcW w:w="4617"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1094"/>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健康处方</w:t>
            </w:r>
            <w:r/>
          </w:p>
        </w:tc>
        <w:tc>
          <w:tcPr>
            <w:gridSpan w:val="2"/>
            <w:tcBorders>
              <w:top w:val="single" w:color="000000" w:sz="4" w:space="0"/>
              <w:left w:val="single" w:color="000000" w:sz="4" w:space="0"/>
              <w:bottom w:val="single" w:color="000000" w:sz="4" w:space="0"/>
              <w:right w:val="single" w:color="000000" w:sz="4" w:space="0"/>
            </w:tcBorders>
            <w:tcW w:w="4617"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9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体征趋势</w:t>
            </w:r>
            <w:r/>
          </w:p>
        </w:tc>
        <w:tc>
          <w:tcPr>
            <w:gridSpan w:val="2"/>
            <w:tcBorders>
              <w:top w:val="single" w:color="000000" w:sz="4" w:space="0"/>
              <w:left w:val="single" w:color="000000" w:sz="4" w:space="0"/>
              <w:bottom w:val="single" w:color="000000" w:sz="4" w:space="0"/>
              <w:right w:val="single" w:color="000000" w:sz="4" w:space="0"/>
            </w:tcBorders>
            <w:tcW w:w="4617"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1898"/>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医疗质控中心</w:t>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基础功能</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规则库维护</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需支持按病历目录维护评分规则，支持病历目录、评分规则的新增、修改、删除等操作，支持关联规则的查看；</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需支持对评分规则评分方式、扣分类型、扣分分值、启用状态进行配置，支持自动评分、手动评分两种评分方式；</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需支持评分规则列表展示功能，展示信息包括：评分项目名称、扣分标准、评分方式等，支持按评分项目名称、启用状态等条件进行检索。</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131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评分规则知识库</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需支持评分规则知识库功能，根据病历质控业务内置评分规则；</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需支持质控规则知识库功能，根据病历质控业务内置质控规则；</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需支持质控规则与评分规则关联。</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90"/>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模板管理</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需提供病历模板库，模板按病历目录分类，支持模板引用和编辑；</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需支持病历模板列表展示功能，支持病历模板的新建、修改、删除、复制等操作；</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需支持病历模板可视化配置功能，支持对病历各元素进行自定义配置，支持模板模拟运行；</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▲需支持模板元素库、段落库功能，支持模板元素和段落的编辑（提供系统真实截图证明）。</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37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病历质控</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自动质控</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需支持根据已配置规则对病历进行自动质控并评分，支持病历质控结果列表展示，展示信息包括：机构、就诊流水号、姓名、评价等级等，支持按机构、日期、姓名等条件进行检索，支持质控结果的导出；</w:t>
            </w:r>
            <w:r/>
          </w:p>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需支持质控明细查看，支持将病历通过已配置的病历模板进行可视化展示；</w:t>
            </w:r>
            <w:r/>
          </w:p>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需支持病历质控明细列表展示，展示信息包括：书写项目、缺陷内容、扣分标准、评分方式、扣分理由、扣分分值等，支持扣分明细查看，支持按评分方式、扣分情况等条件进行检索；</w:t>
            </w:r>
            <w:r/>
          </w:p>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需支持病历质控明细与可视化病历的联动显示；</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需支持病历点评，支持患者点评、机构点评，支持对病历标记为典型病历和科研病历，支持好评、差评操作，支持填写点评说明和反馈说明，支持点评发布、查看和修改。</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823"/>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人工质控</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▲需支持在联动查看病历质控明细与可视化病历时，对需手动评分的规则进行人工质控评分（提供系统真实截图证明）。</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8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电子病历抽查</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按条件随机抽查下级机构的病历进行质控，并可批注。</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31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统计分析</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病历质量趋势统计分析</w:t>
            </w:r>
            <w:r/>
          </w:p>
        </w:tc>
        <w:tc>
          <w:tcPr>
            <w:gridSpan w:val="2"/>
            <w:tcBorders>
              <w:top w:val="single" w:color="000000" w:sz="4" w:space="0"/>
              <w:left w:val="single" w:color="000000" w:sz="4" w:space="0"/>
              <w:bottom w:val="single" w:color="000000" w:sz="4" w:space="0"/>
              <w:right w:val="single" w:color="000000" w:sz="4" w:space="0"/>
            </w:tcBorders>
            <w:tcW w:w="461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需支持从病历质量趋势、病历质量问题分布、病历质控问题统计、病案首页完整率，四个维度对电子病历质控情况进行统计和分析。</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31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病历质量问题分布情况</w:t>
            </w:r>
            <w:r/>
          </w:p>
        </w:tc>
        <w:tc>
          <w:tcPr>
            <w:gridSpan w:val="2"/>
            <w:tcBorders>
              <w:top w:val="single" w:color="000000" w:sz="4" w:space="0"/>
              <w:left w:val="single" w:color="000000" w:sz="4" w:space="0"/>
              <w:bottom w:val="single" w:color="000000" w:sz="4" w:space="0"/>
              <w:right w:val="single" w:color="000000" w:sz="4" w:space="0"/>
            </w:tcBorders>
            <w:tcW w:w="4617"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31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病历质控问题统计分析</w:t>
            </w:r>
            <w:r/>
          </w:p>
        </w:tc>
        <w:tc>
          <w:tcPr>
            <w:gridSpan w:val="2"/>
            <w:tcBorders>
              <w:top w:val="single" w:color="000000" w:sz="4" w:space="0"/>
              <w:left w:val="single" w:color="000000" w:sz="4" w:space="0"/>
              <w:bottom w:val="single" w:color="000000" w:sz="4" w:space="0"/>
              <w:right w:val="single" w:color="000000" w:sz="4" w:space="0"/>
            </w:tcBorders>
            <w:tcW w:w="4617"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918"/>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病案首页完整率统计分析</w:t>
            </w:r>
            <w:r/>
          </w:p>
        </w:tc>
        <w:tc>
          <w:tcPr>
            <w:gridSpan w:val="2"/>
            <w:tcBorders>
              <w:top w:val="single" w:color="000000" w:sz="4" w:space="0"/>
              <w:left w:val="single" w:color="000000" w:sz="4" w:space="0"/>
              <w:bottom w:val="single" w:color="000000" w:sz="4" w:space="0"/>
              <w:right w:val="single" w:color="000000" w:sz="4" w:space="0"/>
            </w:tcBorders>
            <w:tcW w:w="4617"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31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医养结合（送医送护）中心</w:t>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居民端-用户体系</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用户登录</w:t>
            </w:r>
            <w:r/>
          </w:p>
        </w:tc>
        <w:tc>
          <w:tcPr>
            <w:gridSpan w:val="2"/>
            <w:tcBorders>
              <w:top w:val="single" w:color="000000" w:sz="4" w:space="0"/>
              <w:left w:val="single" w:color="000000" w:sz="4" w:space="0"/>
              <w:bottom w:val="single" w:color="000000" w:sz="4" w:space="0"/>
              <w:right w:val="single" w:color="000000" w:sz="4" w:space="0"/>
            </w:tcBorders>
            <w:tcW w:w="461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支持嵌入指定公众号</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31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用户注册</w:t>
            </w:r>
            <w:r/>
          </w:p>
        </w:tc>
        <w:tc>
          <w:tcPr>
            <w:gridSpan w:val="2"/>
            <w:tcBorders>
              <w:top w:val="single" w:color="000000" w:sz="4" w:space="0"/>
              <w:left w:val="single" w:color="000000" w:sz="4" w:space="0"/>
              <w:bottom w:val="single" w:color="000000" w:sz="4" w:space="0"/>
              <w:right w:val="single" w:color="000000" w:sz="4" w:space="0"/>
            </w:tcBorders>
            <w:tcW w:w="4617" w:type="dxa"/>
            <w:vAlign w:val="center"/>
            <w:vMerge w:val="continue"/>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31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实名认证</w:t>
            </w:r>
            <w:r/>
          </w:p>
        </w:tc>
        <w:tc>
          <w:tcPr>
            <w:gridSpan w:val="2"/>
            <w:tcBorders>
              <w:top w:val="single" w:color="000000" w:sz="4" w:space="0"/>
              <w:left w:val="single" w:color="000000" w:sz="4" w:space="0"/>
              <w:bottom w:val="single" w:color="000000" w:sz="4" w:space="0"/>
              <w:right w:val="single" w:color="000000" w:sz="4" w:space="0"/>
            </w:tcBorders>
            <w:tcW w:w="4617" w:type="dxa"/>
            <w:vAlign w:val="center"/>
            <w:vMerge w:val="continue"/>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928"/>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居民端-Banner广告</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首页广告</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首页头部/中间位置广告，支持多张展示</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居民端-地址管理</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家庭地址</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管理居住地址</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928"/>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居民端-家庭成员</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家庭成员</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▲对家庭成员进行管理，显示与本人关系（提供系统真实截图证明）。</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03"/>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居民端-通知公告</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内容列表</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通知公告信息以列表方式展示，用户在线选择</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07"/>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内容查阅</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对单条信息进行在线浏览访问</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居民端-搜索</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医护服务搜索</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支持搜索医院已开通的医护服务项目</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医护搜索</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支持搜索医院开通医护服务的医护</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90"/>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居民端-医护评估</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电话评估</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通过电话方式进行综合评估</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8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面对面评估</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对需上门的患者进行院内面对面评估</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8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居民端-服务签约</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在线签约</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患者通过在线签约，提交电子签名</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8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面对面签约</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患者在面对面评估通过后进行线下签约</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90"/>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居民端-按服务找</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服务列表</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以服务项图片+文字以列表方式展示</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67"/>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服务详情</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详细介绍服务项内容，包括服务价格、服务说明、服务流程等</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居民端-按医护找</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服务列表</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以服务项图片+文字以列表方式展示</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53"/>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服务详情</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详细介绍服务项内容，包括服务价格、服务说明、服务流程等</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794"/>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居民端-医护咨询</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图文咨询</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通过图文、语音进行咨询</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1103"/>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居民端-知情同意书</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知情同意书</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▲患者预约过程中，阅读并确认知情同意书，知情同意书可限制阅读时间，限制时间结束，才可点击阅读并同意（提供系统真实截图证明）。</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8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居民端-服务预约</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排班模式</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选择医护及排班时间，在线预约明日及以后日期服务项目</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2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指派模式</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在线预约明日及以后日期服务项目，医院管理员指派医护</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8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居民端-我的订单</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待付款订单</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患者医护预约待付款订单</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8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待服务订单</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患者医护预约成功，待服务订单</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75"/>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服务中订单</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患者医护预约成功，服务中订单</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25"/>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待评价订单</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患者医护服务结束，未评价订单</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75"/>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已完成订单</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患者医护服务结束，已完成订单</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07"/>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取消订单</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患者医护预约待付款订单可取消</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7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居民端-在线支付</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支付宝</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支持支付宝第三方支付平台完成在线支付</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8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微信支付</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支持微信支付第三方支付平台完成在线支付</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30"/>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居民端-服务记录</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服务列表</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医护服务完成以列表方式展示</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4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服务详情</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已完成医护服务可查看详细信息，包括服务医护、时间、价格等</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74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居民端-一键投诉</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投诉提交</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▲患者对医护服务的医护进行投诉，可提交投诉原因（提供系统真实截图证明）。</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居民端-在线评价</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服务评价</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患者对医护服务的医护进行在线评价</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928"/>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居民端-收到的评价</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医护评价</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在线查看医护对患者的评价</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928"/>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居民端-最近预约的医护</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预约的医护</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显示最近预约的医护，快速进行再次预约</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居民端-医护服务</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推荐服务</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显示推荐的医护服务项目</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4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最新预约的服务</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显示最新预约的医护服务，快速进行再次预约</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31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居民端-消息通知</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PUSH通知</w:t>
            </w:r>
            <w:r/>
          </w:p>
        </w:tc>
        <w:tc>
          <w:tcPr>
            <w:gridSpan w:val="2"/>
            <w:tcBorders>
              <w:top w:val="single" w:color="000000" w:sz="4" w:space="0"/>
              <w:left w:val="single" w:color="000000" w:sz="4" w:space="0"/>
              <w:bottom w:val="single" w:color="000000" w:sz="4" w:space="0"/>
              <w:right w:val="single" w:color="000000" w:sz="4" w:space="0"/>
            </w:tcBorders>
            <w:tcW w:w="461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对接医院现有平台</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31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短信通知</w:t>
            </w:r>
            <w:r/>
          </w:p>
        </w:tc>
        <w:tc>
          <w:tcPr>
            <w:gridSpan w:val="2"/>
            <w:tcBorders>
              <w:top w:val="single" w:color="000000" w:sz="4" w:space="0"/>
              <w:left w:val="single" w:color="000000" w:sz="4" w:space="0"/>
              <w:bottom w:val="single" w:color="000000" w:sz="4" w:space="0"/>
              <w:right w:val="single" w:color="000000" w:sz="4" w:space="0"/>
            </w:tcBorders>
            <w:tcW w:w="4617" w:type="dxa"/>
            <w:vAlign w:val="center"/>
            <w:vMerge w:val="continue"/>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居民端-个人设置</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个人信息</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对接医院现有平台</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89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医护端-用户体系</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用户登录</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基于医院管理平台端医护信息创建的登录账号，医护可完成医护端在线登录。</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医护端-医护评估</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电话评估</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通过电话方式进行综合评估</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75"/>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面对面评估</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对需上门的患者进行院内评估，并上传评估信息</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44"/>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医护端-我的预约</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预约服务</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患者对医护预约的医护服务，以列表方式展示</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17"/>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服务接单</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医护对患者的预约服务服务进行接单</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5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确认出发</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医护确认出发进行上门服务，并触发平台对医护进行投保</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39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确认达到</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医护确认到达患者家中</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68"/>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开始服务</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医护上门后，通过扫描二维码现场开始服务可记录开始时间</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30"/>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结束服务</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服务结束后，医护可在线提交服务介绍内容，并自动转化订单状态。</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医护端-智能语音</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语音提醒</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开始服务、即将服务均通过智能语音提醒医护</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医护端-路径导航</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上门医护导航</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医护上门医护导航到患者家路径</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867"/>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医护端-评估指派</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指派医护评估</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▲医护在线指派医护对患者进行评估，评估指派列表显示开通评估权限的护士列表（提供系统真实截图证明）。</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90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医护端-出诊指派</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指派医护出诊</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▲医护在线为患者指派出诊医护，指派列表显示开通对应服务项目的护士列表（提供系统真实截图证明）。</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375"/>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医护端-医护咨询</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图文咨询</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支持在线图文、语音咨询</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31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视频咨询</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支持视频在线咨询</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医护端-服务签约</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协议上传</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线下签约协议提供拍照上传</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86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医护端-费用补缴</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费用补缴</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▲对差额费用通过二维码向患者进行收费，支持出示收款码、代付两种支付方式（提供系统真实截图证明）。</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1"/>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医护端-医护保险</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保险告知</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对接保险公司系统(每个医护订单都需要购买综合医护险，展示保险产品的责任、保障等内容)</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6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保险购买</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对接保险公司系统(患者预约成功后并完成接单，系统自动购买综合医护险)</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17"/>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保险理赔</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对接保险公司系统(如属于医护综合险出险条件的，可通过线上发起理赔)</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24"/>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保单管理</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对接保险公司系统(医护综合险购买成功后，医护可查看保单的详细内容，包括保额、责任范围等)</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医护端-一键报警</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一键报警</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拨打电话方式，连接110电话号码</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医护端-行程分享</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实时分享</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通过设置开关方式进行位置分享</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3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一键分享</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分享到微信朋友进行实时分享位置</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6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医护端-紧急联系人</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联系人添加</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可设置添加紧急联系人，包括姓名、电话号码等</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8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联系人列表</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可添加多个紧急联系人，以列表方式展示</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联系人号码拨打</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通过设置的联系人信息，可一键呼出联系</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1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医护端-温馨贴士</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贴士列表</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以资讯发布方式告知和提醒</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90"/>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贴士内容</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对单条贴士可详细查看内容</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03"/>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医护端-服务记录</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服务列表</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预约服务以列表方式展示</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48"/>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服务详情</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已完成医护服务可查看详细信息，包括患者信息、时间、价格等</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94"/>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医护端-患者评价</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评价列表</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患者对已完成的医护服务进行评价，多记录以列表方式展示</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48"/>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评价详情</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医护可查看评价详细信息，包括星级、标签等</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44"/>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医护端-医护评价</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评价患者</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对已经服务完成的订单，医护评价患者</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医护端-投诉患者</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投诉患者</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对患者进行在线投诉</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03"/>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医护端-我的订单</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待服务订单</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医护接单完成后，待服务订单</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7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服务中订单</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医护接单完成后，服务中订单</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6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已完成订单</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医护对患者医护完成的订单</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31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交通费上传</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上传交通费的凭证</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4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取消订单</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医护/医护长可取消患者预约订单</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5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退款申请</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可以对订单进行部分退款申请</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医护端-退款审核</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退款审核</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医护长对医护申请的退款进行审核</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44"/>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医护端-我的排班</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排班列表</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按日期查看医护自己的排班</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25"/>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排班详情</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可以对排班进行新增、停诊、编辑等</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93"/>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医护端-耗材管理</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耗材登记</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对应医护服务订单的耗材领取登记</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17"/>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耗材查看</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对应医护服务订单的耗材信息查看</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48"/>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耗材归还</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对应医护服务订单的非一性次耗材的归还</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81"/>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废物处理</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对应医护服务订单的医疗废物处置自动定位，处置地址和时间推送，处置记录查询等</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928"/>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医护端-患者管理</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签约患者</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对线下或线上签约患者进行管理，包括签约时间、签约人等</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57"/>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医护端-消息通知</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PUSH通知</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通过APP消息系统向医护完成信息通知</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3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短信通知</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通过短信系统向医护完成信息通知</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31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医护端-统计分析</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服务量统计</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对医护各类服务状态的订单进行统计</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服务收入统计</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对医护医护服务的收入进行统计</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1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评价统计</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患者对医护的评价信息进行统计</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医护端-我的</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个人信息</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包括头像、姓名、医院、科室、证件照、资质等</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31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推荐码</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显示医护个人的推荐码</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90"/>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电子名片</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▲显示医护个人电子名片，并可进行分享（提供系统真实截图证明）。</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医院端-总览</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总览</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提供订单数量统计、患者总数、待办事项</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928"/>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医院端-科室管理</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科室管理</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提供医院下属的科室新增、删除、修改、查询功能</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08"/>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医院端-医护管理</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医护管理</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提供科室下的医护信息新增、删除、修改、查询功能</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03"/>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咨询设置</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对医院医护人员的图文、视频咨询进行开关</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928"/>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医院端-患者管理</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患者管理</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提供医院服务过的患者，以列表方式展示，包括姓名、手机号码、订单量等</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31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医院端-签约管理</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新增签约</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提供医院新增签约患者</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700"/>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签约详情</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可对签约患者进行详细查看，包括出诊费、姓名、协议、居住地等</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17"/>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医院端-医护项目管理</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项目管理</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提供医护项目开通、关闭、设置等</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5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服务查看</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可对每个服务项目进行详细查看</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71"/>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医院端-排班管理</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排班管理</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可对医护进行排班、停诊等</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50"/>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节假日管理</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▲对节假日进行新增、编辑、删除（提供系统真实截图证明）。</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医院端-订单管理</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订单详情-待付款</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医院下所有的待付款医护订单</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订单详情-待服务</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医院下所有的待服务医护订单</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订单详情-服务中</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医院下所有的服务中医护订单</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31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订单详情-已取消</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医院下所有的已取消医护订单</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订单详情-待评价</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医院下所有的待评价医护订单</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订单详情-已完成</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医院下所有的已完成医护订单</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44"/>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咨询订单</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查看医护咨询的图文、视频订单</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48"/>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医院端-耗材管理</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耗材包管理</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▲对服务所需的耗材包进行管理，支持耗材自由搭配（提供系统真实截图证明）。</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耗材登记</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医院下所有的耗材领取登记</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耗材查看</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医院下所有的耗材信息查看</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耗材归还</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医院下所有的非一性次耗材的归还</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988"/>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废物处理</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▲医院下所有的医疗废物处置进行管理，可显示处置地址和时间，处置记录查询等（提供系统真实截图证明）。</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0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医院端-评价管理</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评价审核</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提供患者对医护的评价审核权限</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8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评价发布</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审核通过评价信息对居民端发布</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31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咨询评价</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查看医护咨询的评价</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医院端-结算管理</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支付结算</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医院下所有的订单支付结算信息</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4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医院端-投诉管理</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投诉处理</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医院下所有医护/患者投诉信息</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60"/>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投诉未处理</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医院下所有未处理的医护/患者投诉信息</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75"/>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投诉已处理</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医院下所有已处理的医护/患者投诉信息</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医院端-报警管理</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报警管理</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以列表方式展示医院下所有报警信息</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928"/>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医院端-保险管理</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保险信息</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对接保险公司系统，实现保险管理：支持平台下属医疗机构的保险信息</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31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医院端-运营管理</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院内公告</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对医院公告进行管理</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13"/>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单页管理</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对知情同意书、急诊预约提示等单页内容进行统一管理</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31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广告管理</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对患者端首页banner广告进行管理</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监管端-资质准入</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医疗机构准入监管</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医疗机构在线准入进行监管</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7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医护执业准入监管</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▲对应医疗机构下的医护资质信息进行监管（提供系统真实截图证明）。</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988"/>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162</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线上服务项目监管</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▲对应医疗机构的线上开展的服务项目进行监管，可通过监管端统一管理所有机构的服务项目（提供系统真实截图证明）。</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163</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服务收费报备监管</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对应医疗机构服务项目收费报备进行监管</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90"/>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164</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监管端-医护服务</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综合评估监管</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线上或线下评估患者进行监管，未评估和不符合条件的患者不提供上门医护服务</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患者签约监管</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对医疗机构签约的患者信息进行监管</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166</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服务过程监管</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医护对患者的服务过程进行监管</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167</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耗材使用监管</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对医疗机构耗材使用、废物处理等信息进行监管</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777"/>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监管端-订单结算</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医护订单监管</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▲对医护详细订单信息进行监管，支持多种条件筛选订单类型（提供系统真实截图证明）。</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94"/>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169</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订单收费监管</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对订单收费情况进行监管，和服务收费报备进行比对，避免乱收费</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31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170</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结算对账单管理</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对结算对账单进行监管</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30"/>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171</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监管端-医护案件</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违规案件监管</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对操作违规、耗材违规使用等情况进行监管</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44"/>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报警案件监管</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对医护一键报警的情况进行监管</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58"/>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173</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监管端-效果评价</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服务效率监管</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医护对患者的服务时间进行监管</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9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174</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评价信息监管</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▲患者和医护双向评价进行监管（提供系统真实截图证明）。</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投诉信息监管</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患者和医护双向投诉进行监管</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73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监管端-名单库</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黑名单</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对不良患者进行拉黑，进入黑名单，涉及违法行为交由公安机关处理</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93"/>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177</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监管端-通知公告</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公告管理</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对患者端公告内容进行统一管理</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03"/>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178</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提示管理</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对患者端提示内容进行统一管理</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90"/>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179</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监管端-运营管理</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单页管理</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对知情同意书、急诊预约提示等单页内容进行统一管理</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90"/>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广告管理</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对患者端首页banner广告进行管理</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814"/>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181</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数据BI视窗系统-数据大屏</w:t>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综合指标</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指标包括注册患者数、医护服务订单总量、医院数、医护数、报警案件、投诉案件、服务项目数、服务总时长</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44"/>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医院排名指标</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按医护服务次数、订单量对全区医院进行排名</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3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183</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动态实时指标</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实时显示医护服务预约动态数据</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397"/>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184</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实时显示医护服务完成动态数据</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90"/>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其他业务指标</w:t>
            </w:r>
            <w:r/>
          </w:p>
        </w:tc>
        <w:tc>
          <w:tcPr>
            <w:gridSpan w:val="2"/>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指标包括医护人次、医护效率、医护质量等统计</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01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186</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7"/>
            <w:tcBorders>
              <w:top w:val="single" w:color="000000" w:sz="4" w:space="0"/>
              <w:left w:val="single" w:color="000000" w:sz="4" w:space="0"/>
              <w:bottom w:val="single" w:color="000000" w:sz="4" w:space="0"/>
              <w:right w:val="single" w:color="000000" w:sz="4" w:space="0"/>
            </w:tcBorders>
            <w:tcW w:w="7865" w:type="dxa"/>
            <w:vAlign w:val="center"/>
            <w:textDirection w:val="lrTb"/>
            <w:noWrap w:val="false"/>
          </w:tcPr>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监管对接要求</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系统应向江苏省卫生健康行政部门推送关于“互联网+护理服务”的监管数据方案(上线时间要求视省里接口开放时间和配合情况而定)。包括:基础监管数据、服务监管数据、业务监管数据、质控监管数据等。 </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合作模式</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项目以公有云建设模式落地部署。</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系统管理要求</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 (1)主数据管理:对服务提供主体的机构、科室、医护、项目、耗材等主数据，可依据不同的医疗机构分别设定和维护。</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 (2)用户权限管理:可设定系统内部用户和外部接入用户的角色，对每个角色进行功能、数据访问权限的授权。支持机构、科室(部门)的角色设定。 </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 (3)运行监管与日志管理:提供运行状态的监控，记录重要的运行事件。例 如，运行错误日志、重要数据访问日志、数据修改与删除日志等。</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Style w:val="878"/>
                <w:rFonts w:hint="eastAsia"/>
                <w:sz w:val="21"/>
                <w:szCs w:val="21"/>
                <w:lang w:val="en-US" w:eastAsia="zh-CN" w:bidi="ar"/>
              </w:rPr>
              <w:t xml:space="preserve"> (4)结算管理:结合收入分配方案，对医疗机构、医护人员等不同角色提供不同的结算规则。</w:t>
            </w:r>
            <w:r/>
          </w:p>
        </w:tc>
      </w:tr>
      <w:tr>
        <w:trPr>
          <w:trHeight w:val="4131"/>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“十张网”大屏</w:t>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十张网总览大屏（两张）</w:t>
            </w:r>
            <w:r/>
          </w:p>
        </w:tc>
        <w:tc>
          <w:tcPr>
            <w:gridSpan w:val="3"/>
            <w:tcBorders>
              <w:top w:val="single" w:color="000000" w:sz="4" w:space="0"/>
              <w:left w:val="single" w:color="000000" w:sz="4" w:space="0"/>
              <w:bottom w:val="single" w:color="000000" w:sz="4" w:space="0"/>
              <w:right w:val="single" w:color="000000" w:sz="4" w:space="0"/>
            </w:tcBorders>
            <w:tcW w:w="4962" w:type="dxa"/>
            <w:vAlign w:val="center"/>
            <w:vMerge w:val="restart"/>
            <w:textDirection w:val="lrTb"/>
            <w:noWrap w:val="false"/>
          </w:tcPr>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本项目是在一期项目基础上进行业务拓展，“十张网”大屏设计风格需与一期项目中的大屏风格保持一致。</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功能要求</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全局配置</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（1）屏幕设置</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工具需支持大屏屏幕全局基础参数进行自定义配置，包括屏幕大小、屏幕名称、全局请求处理方式、背景颜色、背景图片、自动刷新、预览态工具、水印设置、缩放方式、栅格间距等内容。</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（2）图层配置</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工具需支持大屏图层配置，对不同元素放置在不同的图层上进行管理和调整。每个图层可以包含图像、文本、形状等特定的内容。可以独立地对每个图层进行编辑，如调整颜色、透明度、大小、位置等，而不影响其他图层。可控制图层的显示或隐藏、堆叠顺序等，实现复杂的组合效果和设计。</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（3）性能分析</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工具需支持大屏性能分析，可选择简单分析、交互组件分析、全局参数分析等分析方式，并可以设定响应时间阈值，支持分析详情的展示。</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（4）主题皮肤</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工具需支持大屏全局颜色切换，可选择不少于三种主题皮肤包。</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（5）数据过滤器</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工具需支持数据过滤功能，通过代码建立逻辑过滤器，模块取数可以主动调用过滤器对接口获取的数据进行过滤和整理。</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（6）全局参数</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工具需支持全局参数设置，配置页面内全局参数，按需赋值和引用。</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（7）自动生成存储</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工具需支持自动生成存储，可以根据demo数据快速在指定数据库生成存储。</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（8）一键转换</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工具需支持一键转换功能，可以将大屏样式转换为PC端样式和移动端样式。</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（9）自动生成代码</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工具支持查看页面配置源码和组件配置源码。</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组件配置</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（1）大屏组件库</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工具需支持多种种类的组件，包括图表类、辅助类、交互类、主图类、3D类、组合类等组件种类功能。</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图表</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需支持常见的图表展示类型，包括折线图、柱状图、饼图、仪表板、混合图、雷达图、漏斗图、玉玦图、水球图、词云图、散点图、矩形树图、桑基图、热力图、关系图、旭日图等类型。</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辅助</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需支持常见的辅助组件，包括文本组件、图片组件、边框组件、时间控件、自定义背景块、数字翻牌器、视频组件、IFRAME组件、天气组件、进度条、状态组件、跟踪路径、轮播卡片、动画、时间线、富文本编辑器等类型。</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交互</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需支持常见的交互组件，包括按钮组件、TAB组件、时间选择器、轮播组件、下拉框、级联选择器、时间轴、标签等类型。</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表格</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需支持常见的表格组件，包括基础表格、复杂表格、图谱表格等类型。</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地图</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需支持常见的地图组件，包括标注类地图、百度地图、Echart 地图、天地图等类型。</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3D</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需支持3D加载器组件。</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组合</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需支持组合组件，通过自定义的当时，对不同类型的组件进行组合展示。</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大屏组件功能</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（1）基本配置</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需支持对组件进行内容配置，包括基本属性、主题包、图表属性等内容，可以调整图表的尺寸、位置、角度、透明度、颜色、背景色、边框、文字、内容间距、显示效果等内容。</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（2）数据配置</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需支持对组件进行数据配置，可以对数据源进行选择，可同后台数据库直接调用数据模型，支持内部数据库、外部数据库、内部API、外部API、静态数据、智能分析等模型类型，也可通过模型名称进行搜索引用。</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可设置请求处理模式，具备合并请求、首次请求、取消隐藏组件并请求、绑定当前登录机构请求控制开关，并且可以与特定组件合并请求。</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可选择数据缓存是否开启，并且可以配置缓存时间。</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可支持数据处理支持单个、多个、逐个、统一的转换方式，支持强制转换开启，以及数据千分位、小数位等配置。支持智能处理模式，可对数据进行加工和补齐。</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（3）效果配置</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需支持组件的载入、退出动画配置。动画类型支持滑动、渐显，并可以配置动画持续和延迟时间。支持图形的3D变换，可配置透视距离，视点位置，并且可以对图形进行旋转、缩放、斜切和平移等变化操作。支持交互自定义事件配置，可对动作类型、关联组件、关联参数、动作过滤器等内容进行相关设置。</w:t>
            </w:r>
            <w:r/>
          </w:p>
          <w:p>
            <w:pPr>
              <w:jc w:val="left"/>
              <w:keepLines w:val="0"/>
              <w:keepNext w:val="0"/>
              <w:widowControl/>
              <w:rPr>
                <w:rStyle w:val="878"/>
                <w:rFonts w:hint="eastAsia"/>
                <w:sz w:val="21"/>
                <w:szCs w:val="21"/>
                <w:lang w:val="en-US" w:eastAsia="zh-CN" w:bidi="ar"/>
              </w:rPr>
              <w:suppressLineNumbers w:val="0"/>
            </w:pPr>
            <w:r>
              <w:rPr>
                <w:rStyle w:val="878"/>
                <w:rFonts w:hint="eastAsia"/>
                <w:sz w:val="21"/>
                <w:szCs w:val="21"/>
                <w:lang w:val="en-US" w:eastAsia="zh-CN" w:bidi="ar"/>
              </w:rPr>
              <w:t xml:space="preserve">组件全局修改</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Style w:val="878"/>
                <w:rFonts w:hint="eastAsia"/>
                <w:sz w:val="21"/>
                <w:szCs w:val="21"/>
                <w:lang w:val="en-US" w:eastAsia="zh-CN" w:bidi="ar"/>
              </w:rPr>
              <w:t xml:space="preserve">需支持组件的全局修改，可对大屏画布内各组件的进行统一的配置和修改。</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4075"/>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188</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医养结合（送医送护）中心大屏</w:t>
            </w:r>
            <w:r/>
          </w:p>
        </w:tc>
        <w:tc>
          <w:tcPr>
            <w:gridSpan w:val="3"/>
            <w:tcBorders>
              <w:top w:val="single" w:color="000000" w:sz="4" w:space="0"/>
              <w:left w:val="single" w:color="000000" w:sz="4" w:space="0"/>
              <w:bottom w:val="single" w:color="000000" w:sz="4" w:space="0"/>
              <w:right w:val="single" w:color="000000" w:sz="4" w:space="0"/>
            </w:tcBorders>
            <w:tcW w:w="496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144"/>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189</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慢病管理（医防融合）中心大屏</w:t>
            </w:r>
            <w:r/>
          </w:p>
        </w:tc>
        <w:tc>
          <w:tcPr>
            <w:gridSpan w:val="3"/>
            <w:tcBorders>
              <w:top w:val="single" w:color="000000" w:sz="4" w:space="0"/>
              <w:left w:val="single" w:color="000000" w:sz="4" w:space="0"/>
              <w:bottom w:val="single" w:color="000000" w:sz="4" w:space="0"/>
              <w:right w:val="single" w:color="000000" w:sz="4" w:space="0"/>
            </w:tcBorders>
            <w:tcW w:w="496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7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190</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医疗质控中心大屏</w:t>
            </w:r>
            <w:r/>
          </w:p>
        </w:tc>
        <w:tc>
          <w:tcPr>
            <w:gridSpan w:val="3"/>
            <w:tcBorders>
              <w:top w:val="single" w:color="000000" w:sz="4" w:space="0"/>
              <w:left w:val="single" w:color="000000" w:sz="4" w:space="0"/>
              <w:bottom w:val="single" w:color="000000" w:sz="4" w:space="0"/>
              <w:right w:val="single" w:color="000000" w:sz="4" w:space="0"/>
            </w:tcBorders>
            <w:tcW w:w="496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928"/>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191</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全民健康信息平台拓展</w:t>
            </w:r>
            <w:r/>
          </w:p>
        </w:tc>
        <w:tc>
          <w:tcPr>
            <w:gridSpan w:val="7"/>
            <w:tcBorders>
              <w:top w:val="single" w:color="000000" w:sz="4" w:space="0"/>
              <w:left w:val="single" w:color="000000" w:sz="4" w:space="0"/>
              <w:bottom w:val="single" w:color="000000" w:sz="4" w:space="0"/>
              <w:right w:val="single" w:color="000000" w:sz="4" w:space="0"/>
            </w:tcBorders>
            <w:tcW w:w="786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为保障数据源的一致性及后期运维工作的便捷性，投标软件供应商须基于亭湖区现有的全民健康信息平台上进行升级来完成本项目要求。升级内容如下：</w:t>
            </w:r>
            <w:r/>
          </w:p>
        </w:tc>
      </w:tr>
      <w:tr>
        <w:trPr>
          <w:trHeight w:val="89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192</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数据资源中心升级</w:t>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共享调阅库</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需支持与其它外部平台或系统进行共享调阅，包括健康档案数据、电子病历数据、卫生资源数据等。</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193</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协同应用库</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协同应用库需基于平台为区域医疗协同应用提供业务和数据支撑，包括业务协同提醒服务、分级诊疗协同服务、公共卫生协同服务、临床诊疗协同服务等。</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90"/>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194</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共享文档库</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共享文档库需支持按《卫生信息共享文档编制规范》、《健康档案共享文档规范》、《区域全民健康信息互联互通标准化成熟度测评方案（2020年版）》的要求构建区域共享文档库。</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1422"/>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数据治理管理</w:t>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共享文档配置</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需支持通过列表展示已配置的共享文档模板，展示信息包括文档规范编码、模板类型，支持通过模板类型进行检索；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需支持共享文档模板配置功能，支持对xml格式的共享文档进行编辑。</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90"/>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196</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共享文档注册</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需支持共享文档注册服务，支持共享文档单类型注册、多类型批量注册，支持一键注册功能；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需支持通过列表展示已注册共享文档，展示信息包括：业务表名、业务名称、正确数量、未生成数量、错误数量、注册状态等；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需支持通过业务名称进行检索。</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171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197</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共享文档解析</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需支持通过列表展示已注册的共享文档，展示信息包括：文档标题、姓名、证件号码、建档机构等；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需支持通过注册机构、文档类型、姓名、证件号码等条件进行检索，支持单个或批量导出；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需支持共享文档查阅，支持将xml格式的共享文档进行可视化解析展示。</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90"/>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198</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共享文档组装</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需支持按已配置的共享文档模板将居民的医疗卫生数据进行组装，生成xml格式的共享文档。</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830"/>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199</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共享文档验证</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需支持对已注册共享文档进行自动校验，支持统计未通过检验的文档数，支持通过列表展示未通过校验文档，展示信息包括：业务表名、业务名称等，支持通过业务表名进项检索，支持人工更改校验状态。</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718"/>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平台基础服务</w:t>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注册服务</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注册服务应提供居民注册服务，医疗卫生机构注册服务，医疗卫生人员注册服务。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（1）居民注册服务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需提供区域所有内居民信息注册服务，系统为每个居民分配唯一的标识，存储居民的健康标识号、基本信息，为平台、医疗就诊及公共卫生相关的业务系统提供人员身份识别功能。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（2）医疗卫生机构注册服务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需提供区域内所有医疗机构包括二三级医院、基层医疗卫生机构、疾病预防控制中心、卫生监督所、妇幼保健所等的卫生机构注册服务，系统为每个机构分配唯一的标识，满足医共体信息平台层下属医疗卫生机构的互联互通要求，并提供唯一标识的创建、修改、注销等维护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（3）医疗卫生人员注册服务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需提供区域内所有卫生管理机构的医疗服务提供者，包括全科医生、专科医生、护士、实验室医师、医学影像专业人员、疾病预防控制专业人员、妇幼保健人员及其他从事与居民健康服务相关的从业人员每人一个唯一的标识，给平台以及与平台交互的系统和用户所使用，并提供唯一标识的创建、修改、注销等维护功能。</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38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201</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全程健康档案服务</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（1）健康档案调阅服务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需支持将平台存储的居民健康档案为有权限的用户提供健康档案检索和调阅服务，包括全生命周期健康档案调阅、检查结果共享调阅、检验结果共享调阅、诊疗记录调阅、病历信息调阅。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（2）健康档案存储服务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需支持以标准化的方式存储健康档案信息，包含个人基本信息、主要疾病和健康问题摘要、儿童保健、妇女保健、疾病控制、疾病管理以及医疗服务；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需支持向接入的各级医疗卫生机构提供健康档案文档的提交与注册服务。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（3）健康档案管理服务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需支持注册健康档案、更新健康档案文档元数据、查询健康档案索引功能。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（4）健康档案采集服务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需支持为平台内健康档案文档集的采集、注册与存储提供服务。</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58"/>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202</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订阅发布服务</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（1）文档订阅发布服务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需支持提供以健康档案共享文档为主要对象的文档订阅、暂停文档订阅、恢复文档订阅、文档发布与通知服务。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（2）通知订阅发布服务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需支持提供健康档案共享文档及其它共享文档的通知订阅、取消订阅、暂停订阅、恢复订阅）、发布服务。</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1241"/>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203</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智能提醒服务</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需支持对接机构内业务系统，为医护人员在进行诊疗服务时提供重复用药提醒、重复检查提醒、重复检验提醒、近期同类诊疗提醒等实时提醒服务。</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831"/>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204</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术语字典注册服务</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需建立术语注册库，用以规范医疗卫生事件中所产生的信息含义的一致性问题。术语由平台管理者进行注册、更新和维护。</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841"/>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205</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时间一致性服务</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需支持在客户端发起维护时间请求时，向客户端提供返回标准时间的时间一致性服务。</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794"/>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206</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节点验证服务</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需支持在远程节点与平台进行信息交互、服务访问、消息传输时，提供远程节点身份验证、访问权限验证服务。</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795"/>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207</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安全审计服务</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需支持为审计源提供审计事件消息的审计记录服务。</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5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0"/>
                <w:szCs w:val="20"/>
                <w:u w:val="none"/>
                <w:lang w:val="en-US" w:eastAsia="zh-CN" w:bidi="ar"/>
              </w:rPr>
              <w:t xml:space="preserve">208</w:t>
            </w:r>
            <w:r/>
          </w:p>
        </w:tc>
        <w:tc>
          <w:tcPr>
            <w:tcBorders>
              <w:top w:val="single" w:color="000000" w:sz="4" w:space="0"/>
              <w:left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系统接口</w:t>
            </w:r>
            <w:r/>
          </w:p>
        </w:tc>
        <w:tc>
          <w:tcPr>
            <w:tcBorders>
              <w:top w:val="single" w:color="000000" w:sz="4" w:space="0"/>
              <w:left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微信公众号接口</w:t>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妇儿保自助服务（对接）</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支持与妇儿保系统提供H5链接对接，实现妇儿保自助服务。</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5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209</w:t>
            </w:r>
            <w:r/>
          </w:p>
        </w:tc>
        <w:tc>
          <w:tcPr>
            <w:tcBorders>
              <w:left w:val="single" w:color="000000" w:sz="4" w:space="0"/>
              <w:right w:val="single" w:color="000000" w:sz="4" w:space="0"/>
            </w:tcBorders>
            <w:tcW w:w="74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left w:val="single" w:color="000000" w:sz="4" w:space="0"/>
              <w:right w:val="single" w:color="000000" w:sz="4" w:space="0"/>
            </w:tcBorders>
            <w:tcW w:w="87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计免预约服务（对接）</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支持与计免系统提供H5链接对接，实现计免预约服务。</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5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210</w:t>
            </w:r>
            <w:r/>
          </w:p>
        </w:tc>
        <w:tc>
          <w:tcPr>
            <w:tcBorders>
              <w:left w:val="single" w:color="000000" w:sz="4" w:space="0"/>
              <w:right w:val="single" w:color="000000" w:sz="4" w:space="0"/>
            </w:tcBorders>
            <w:tcW w:w="74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left w:val="single" w:color="000000" w:sz="4" w:space="0"/>
              <w:right w:val="single" w:color="000000" w:sz="4" w:space="0"/>
            </w:tcBorders>
            <w:tcW w:w="87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入园入学查验服务（对接）</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支持与入园入学系统提供H5链接对接，实现入园入学查验服务。</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5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211</w:t>
            </w:r>
            <w:r/>
          </w:p>
        </w:tc>
        <w:tc>
          <w:tcPr>
            <w:tcBorders>
              <w:left w:val="single" w:color="000000" w:sz="4" w:space="0"/>
              <w:right w:val="single" w:color="000000" w:sz="4" w:space="0"/>
            </w:tcBorders>
            <w:tcW w:w="74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急救呼叫服务（对接）</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支持与急救系统提供H5链接对接，实现急救呼叫服务。</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5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212</w:t>
            </w:r>
            <w:r/>
          </w:p>
        </w:tc>
        <w:tc>
          <w:tcPr>
            <w:tcBorders>
              <w:left w:val="single" w:color="000000" w:sz="4" w:space="0"/>
              <w:right w:val="single" w:color="000000" w:sz="4" w:space="0"/>
            </w:tcBorders>
            <w:tcW w:w="74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平台数据接口</w:t>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继续医学教育服务平台接口</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全民健康信息平台与继续医学教育服务平台对接，实现数据互联互通。</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5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213</w:t>
            </w:r>
            <w:r/>
          </w:p>
        </w:tc>
        <w:tc>
          <w:tcPr>
            <w:tcBorders>
              <w:left w:val="single" w:color="000000" w:sz="4" w:space="0"/>
              <w:right w:val="single" w:color="000000" w:sz="4" w:space="0"/>
            </w:tcBorders>
            <w:tcW w:w="74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left w:val="single" w:color="000000" w:sz="4" w:space="0"/>
              <w:right w:val="single" w:color="000000" w:sz="4" w:space="0"/>
            </w:tcBorders>
            <w:tcW w:w="87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应急指挥调度系统接口</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全民健康信息平台与应急指挥调度系统对接，实现数据互联互通。</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5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214</w:t>
            </w:r>
            <w:r/>
          </w:p>
        </w:tc>
        <w:tc>
          <w:tcPr>
            <w:tcBorders>
              <w:left w:val="single" w:color="000000" w:sz="4" w:space="0"/>
              <w:right w:val="single" w:color="000000" w:sz="4" w:space="0"/>
            </w:tcBorders>
            <w:tcW w:w="74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left w:val="single" w:color="000000" w:sz="4" w:space="0"/>
              <w:right w:val="single" w:color="000000" w:sz="4" w:space="0"/>
            </w:tcBorders>
            <w:tcW w:w="87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教育系统接口</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全民健康信息平台与教育系统对接，实现数据互联互通。</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5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215</w:t>
            </w:r>
            <w:r/>
          </w:p>
        </w:tc>
        <w:tc>
          <w:tcPr>
            <w:tcBorders>
              <w:left w:val="single" w:color="000000" w:sz="4" w:space="0"/>
              <w:right w:val="single" w:color="000000" w:sz="4" w:space="0"/>
            </w:tcBorders>
            <w:tcW w:w="74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left w:val="single" w:color="000000" w:sz="4" w:space="0"/>
              <w:right w:val="single" w:color="000000" w:sz="4" w:space="0"/>
            </w:tcBorders>
            <w:tcW w:w="87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大数据局接口</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全民健康信息平台与大数据局对接，实现数据互联互通。</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5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216</w:t>
            </w:r>
            <w:r/>
          </w:p>
        </w:tc>
        <w:tc>
          <w:tcPr>
            <w:tcBorders>
              <w:left w:val="single" w:color="000000" w:sz="4" w:space="0"/>
              <w:right w:val="single" w:color="000000" w:sz="4" w:space="0"/>
            </w:tcBorders>
            <w:tcW w:w="74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left w:val="single" w:color="000000" w:sz="4" w:space="0"/>
              <w:right w:val="single" w:color="000000" w:sz="4" w:space="0"/>
            </w:tcBorders>
            <w:tcW w:w="87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养老系统对接</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全民健康信息平台与养老系统对接，实现数据互联互通。</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5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217</w:t>
            </w:r>
            <w:r/>
          </w:p>
        </w:tc>
        <w:tc>
          <w:tcPr>
            <w:tcBorders>
              <w:left w:val="single" w:color="000000" w:sz="4" w:space="0"/>
              <w:right w:val="single" w:color="000000" w:sz="4" w:space="0"/>
            </w:tcBorders>
            <w:tcW w:w="74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left w:val="single" w:color="000000" w:sz="4" w:space="0"/>
              <w:right w:val="single" w:color="000000" w:sz="4" w:space="0"/>
            </w:tcBorders>
            <w:tcW w:w="87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下发人民医院接口</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全民健康信息平台与亭湖区人民医院院内平台对接，下发数据。</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5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218</w:t>
            </w:r>
            <w:r/>
          </w:p>
        </w:tc>
        <w:tc>
          <w:tcPr>
            <w:tcBorders>
              <w:left w:val="single" w:color="000000" w:sz="4" w:space="0"/>
              <w:right w:val="single" w:color="000000" w:sz="4" w:space="0"/>
            </w:tcBorders>
            <w:tcW w:w="74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left w:val="single" w:color="000000" w:sz="4" w:space="0"/>
              <w:right w:val="single" w:color="000000" w:sz="4" w:space="0"/>
            </w:tcBorders>
            <w:tcW w:w="87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江苏省检验结果互认接口</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全民健康信息平台、区域检验系统与江苏省检验结果互认平台对接，实现检验结果互认。</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5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219</w:t>
            </w:r>
            <w:r/>
          </w:p>
        </w:tc>
        <w:tc>
          <w:tcPr>
            <w:tcBorders>
              <w:left w:val="single" w:color="000000" w:sz="4" w:space="0"/>
              <w:right w:val="single" w:color="000000" w:sz="4" w:space="0"/>
            </w:tcBorders>
            <w:tcW w:w="74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送医送护中心接口</w:t>
            </w:r>
            <w:r/>
          </w:p>
        </w:tc>
        <w:tc>
          <w:tcPr>
            <w:tcBorders>
              <w:top w:val="single" w:color="000000" w:sz="4" w:space="0"/>
              <w:left w:val="single" w:color="000000" w:sz="4" w:space="0"/>
              <w:bottom w:val="single" w:color="000000" w:sz="4" w:space="0"/>
              <w:right w:val="single" w:color="000000" w:sz="4" w:space="0"/>
            </w:tcBorders>
            <w:tcW w:w="458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全民健康信息平台与送医送护中心对接，获取监管所需业务数据。</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1054"/>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220</w:t>
            </w:r>
            <w:r/>
          </w:p>
        </w:tc>
        <w:tc>
          <w:tcPr>
            <w:tcBorders>
              <w:left w:val="single" w:color="000000" w:sz="4" w:space="0"/>
              <w:right w:val="single" w:color="000000" w:sz="4" w:space="0"/>
            </w:tcBorders>
            <w:tcW w:w="74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right w:val="single" w:color="000000" w:sz="4" w:space="0"/>
            </w:tcBorders>
            <w:tcW w:w="87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慢病管理接口</w:t>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全民健康信息平台对接</w:t>
            </w:r>
            <w:r/>
          </w:p>
        </w:tc>
        <w:tc>
          <w:tcPr>
            <w:tcBorders>
              <w:top w:val="single" w:color="000000" w:sz="4" w:space="0"/>
              <w:left w:val="single" w:color="000000" w:sz="4" w:space="0"/>
              <w:right w:val="single" w:color="000000" w:sz="4" w:space="0"/>
            </w:tcBorders>
            <w:tcW w:w="458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全民健康信息平台对接：需支持与亭湖区全民健康信息平台对接，获取居民在亭湖区人民医院、基层医疗机构诊疗及体检信息，实现目标管理对象自动筛查，并获取关联数据，为后续业务提供支持。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基本公共卫生系统对接：需支持亭湖区基本公共卫生系统对接，针对高血压、糖尿病患者健康随访，实现两方数据共享同步，避免数据重复录入。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短信平台对接：需支持与短信平台对接，通过短信方式对近期随访进行提醒。</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104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221</w:t>
            </w:r>
            <w:r/>
          </w:p>
        </w:tc>
        <w:tc>
          <w:tcPr>
            <w:tcBorders>
              <w:left w:val="single" w:color="000000" w:sz="4" w:space="0"/>
              <w:right w:val="single" w:color="000000" w:sz="4" w:space="0"/>
            </w:tcBorders>
            <w:tcW w:w="74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left w:val="single" w:color="000000" w:sz="4" w:space="0"/>
              <w:right w:val="single" w:color="000000" w:sz="4" w:space="0"/>
            </w:tcBorders>
            <w:tcW w:w="87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基本公共卫生系统对接</w:t>
            </w:r>
            <w:r/>
          </w:p>
        </w:tc>
        <w:tc>
          <w:tcPr>
            <w:tcBorders>
              <w:left w:val="single" w:color="000000" w:sz="4" w:space="0"/>
              <w:right w:val="single" w:color="000000" w:sz="4" w:space="0"/>
            </w:tcBorders>
            <w:tcW w:w="4587"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65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222</w:t>
            </w:r>
            <w:r/>
          </w:p>
        </w:tc>
        <w:tc>
          <w:tcPr>
            <w:tcBorders>
              <w:left w:val="single" w:color="000000" w:sz="4" w:space="0"/>
              <w:bottom w:val="single" w:color="000000" w:sz="4" w:space="0"/>
              <w:right w:val="single" w:color="000000" w:sz="4" w:space="0"/>
            </w:tcBorders>
            <w:tcW w:w="74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left w:val="single" w:color="000000" w:sz="4" w:space="0"/>
              <w:bottom w:val="single" w:color="000000" w:sz="4" w:space="0"/>
              <w:right w:val="single" w:color="000000" w:sz="4" w:space="0"/>
            </w:tcBorders>
            <w:tcW w:w="87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短信平台对接</w:t>
            </w:r>
            <w:r/>
          </w:p>
        </w:tc>
        <w:tc>
          <w:tcPr>
            <w:tcBorders>
              <w:left w:val="single" w:color="000000" w:sz="4" w:space="0"/>
              <w:bottom w:val="single" w:color="000000" w:sz="4" w:space="0"/>
              <w:right w:val="single" w:color="000000" w:sz="4" w:space="0"/>
            </w:tcBorders>
            <w:tcW w:w="4587"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316"/>
        </w:trPr>
        <w:tc>
          <w:tcPr>
            <w:gridSpan w:val="9"/>
            <w:tcBorders>
              <w:top w:val="single" w:color="000000" w:sz="4" w:space="0"/>
              <w:left w:val="single" w:color="000000" w:sz="4" w:space="0"/>
              <w:bottom w:val="single" w:color="000000" w:sz="4" w:space="0"/>
              <w:right w:val="single" w:color="000000" w:sz="4" w:space="0"/>
            </w:tcBorders>
            <w:tcW w:w="9285" w:type="dxa"/>
            <w:vAlign w:val="center"/>
            <w:textDirection w:val="lrTb"/>
            <w:noWrap/>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二、亭湖区数字化医共体“十张网”信息化二期项目心电接口</w:t>
            </w:r>
            <w:r/>
          </w:p>
        </w:tc>
      </w:tr>
      <w:tr>
        <w:trPr>
          <w:trHeight w:val="31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区域心电接口</w:t>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平台对接</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区域心电中心与全民健康信息平台对接，实现心电信息获取和报告回传</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31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数据实时上传改造</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实现区域心电图各项数据实时上传</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316"/>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二期接口改造</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“十张网”心电中心大屏各项指标对接，实现大屏总览数据上报展示</w:t>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90"/>
        </w:trPr>
        <w:tc>
          <w:tcPr>
            <w:gridSpan w:val="9"/>
            <w:tcBorders>
              <w:top w:val="single" w:color="000000" w:sz="4" w:space="0"/>
              <w:left w:val="single" w:color="000000" w:sz="4" w:space="0"/>
              <w:bottom w:val="single" w:color="000000" w:sz="4" w:space="0"/>
              <w:right w:val="single" w:color="000000" w:sz="4" w:space="0"/>
            </w:tcBorders>
            <w:tcW w:w="9285" w:type="dxa"/>
            <w:vAlign w:val="center"/>
            <w:textDirection w:val="lrTb"/>
            <w:noWrap/>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三、亭湖区数字化医共体“十张网”信息化二期项目硬件功能配置</w:t>
            </w:r>
            <w:r/>
          </w:p>
        </w:tc>
      </w:tr>
      <w:tr>
        <w:trPr>
          <w:trHeight w:val="1197"/>
        </w:trPr>
        <w:tc>
          <w:tcPr>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防火墙</w:t>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性能参数</w:t>
            </w:r>
            <w:r/>
          </w:p>
        </w:tc>
        <w:tc>
          <w:tcPr>
            <w:gridSpan w:val="3"/>
            <w:tcBorders>
              <w:top w:val="single" w:color="000000" w:sz="4" w:space="0"/>
              <w:left w:val="single" w:color="000000" w:sz="4" w:space="0"/>
              <w:bottom w:val="single" w:color="000000" w:sz="4" w:space="0"/>
              <w:right w:val="single" w:color="000000" w:sz="4" w:space="0"/>
            </w:tcBorders>
            <w:tcW w:w="496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采用国产化CPU及操作系统，网络层吞吐量≥10G，防病毒吞吐量≥1G，并发连接数≥400万，HTTP新建连接数≥10万，规格：≥1U，内存：≥8G，接口：≥6千兆电口，开通入侵防御及防病毒模块，含三年硬件质保、软件升级、特征库升级服务。</w:t>
            </w:r>
            <w:r/>
          </w:p>
        </w:tc>
        <w:tc>
          <w:tcPr>
            <w:tcBorders>
              <w:top w:val="single" w:color="000000" w:sz="4" w:space="0"/>
              <w:left w:val="single" w:color="000000" w:sz="4" w:space="0"/>
              <w:bottom w:val="single" w:color="000000" w:sz="4" w:space="0"/>
              <w:right w:val="single" w:color="000000" w:sz="4" w:space="0"/>
            </w:tcBorders>
            <w:tcW w:w="46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233"/>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规则库</w:t>
            </w:r>
            <w:r/>
          </w:p>
        </w:tc>
        <w:tc>
          <w:tcPr>
            <w:gridSpan w:val="3"/>
            <w:tcBorders>
              <w:top w:val="single" w:color="000000" w:sz="4" w:space="0"/>
              <w:left w:val="single" w:color="000000" w:sz="4" w:space="0"/>
              <w:bottom w:val="single" w:color="000000" w:sz="4" w:space="0"/>
              <w:right w:val="single" w:color="000000" w:sz="4" w:space="0"/>
            </w:tcBorders>
            <w:tcW w:w="496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设备具备独立的热门威胁库，支持木马、勒索软件、蠕虫、挖矿病毒等种类，特征总数在60万条以上；支持木马远控类、恶意链接类、移动安全类、异常流量类僵尸网络行为的检测；</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高级威胁防护</w:t>
            </w:r>
            <w:r/>
          </w:p>
        </w:tc>
        <w:tc>
          <w:tcPr>
            <w:gridSpan w:val="3"/>
            <w:tcBorders>
              <w:top w:val="single" w:color="000000" w:sz="4" w:space="0"/>
              <w:left w:val="single" w:color="000000" w:sz="4" w:space="0"/>
              <w:bottom w:val="single" w:color="000000" w:sz="4" w:space="0"/>
              <w:right w:val="single" w:color="000000" w:sz="4" w:space="0"/>
            </w:tcBorders>
            <w:tcW w:w="4962" w:type="dxa"/>
            <w:vAlign w:val="top"/>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▲支持针对勒索的专项防护功能，能够防护勒索病毒样本的传输。（需提供具备CMA/CNAS资质的权威检测报告）</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8"/>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防病毒</w:t>
            </w:r>
            <w:r/>
          </w:p>
        </w:tc>
        <w:tc>
          <w:tcPr>
            <w:gridSpan w:val="3"/>
            <w:tcBorders>
              <w:top w:val="single" w:color="000000" w:sz="4" w:space="0"/>
              <w:left w:val="single" w:color="000000" w:sz="4" w:space="0"/>
              <w:bottom w:val="single" w:color="000000" w:sz="4" w:space="0"/>
              <w:right w:val="single" w:color="000000" w:sz="4" w:space="0"/>
            </w:tcBorders>
            <w:tcW w:w="4962" w:type="dxa"/>
            <w:vAlign w:val="top"/>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产品支持对多重压缩文件的病毒检测能力，支持不小于16层压缩文件病毒检测与处置。</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35"/>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威胁防护</w:t>
            </w:r>
            <w:r/>
          </w:p>
        </w:tc>
        <w:tc>
          <w:tcPr>
            <w:gridSpan w:val="3"/>
            <w:tcBorders>
              <w:top w:val="single" w:color="000000" w:sz="4" w:space="0"/>
              <w:left w:val="single" w:color="000000" w:sz="4" w:space="0"/>
              <w:bottom w:val="single" w:color="000000" w:sz="4" w:space="0"/>
              <w:right w:val="single" w:color="000000" w:sz="4" w:space="0"/>
            </w:tcBorders>
            <w:tcW w:w="4962" w:type="dxa"/>
            <w:vAlign w:val="top"/>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▲产品支持云端未知威胁主动探测技术，实现5min内未知威胁情报全网设备下发。（需提供具备CMA/CNAS资质的权威检测报告）</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设备具备独立的入侵防护漏洞规则特征库，特征总数在7400条以上，支持自定义漏洞攻击规则库；</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支持僵尸网络检测，防止失陷主机威胁内网扩散</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可提供最新的威胁情报信息，能够对新爆发的流行高危漏洞进行预警和自动检测，发现问题后支持一键生成防护规则</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19"/>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DoS/DDoS攻击防护</w:t>
            </w:r>
            <w:r/>
          </w:p>
        </w:tc>
        <w:tc>
          <w:tcPr>
            <w:gridSpan w:val="3"/>
            <w:tcBorders>
              <w:top w:val="single" w:color="000000" w:sz="4" w:space="0"/>
              <w:left w:val="single" w:color="000000" w:sz="4" w:space="0"/>
              <w:bottom w:val="single" w:color="000000" w:sz="4" w:space="0"/>
              <w:right w:val="single" w:color="000000" w:sz="4" w:space="0"/>
            </w:tcBorders>
            <w:tcW w:w="496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支持SYN Flood、ICMP Flood、UDP Flood、DNS Flood、ARP Flood等DoS/DDoS攻击防护；支持IP地址扫描和端口扫描防护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支持内网访问控制，配置内网区域只允许指定的IP地址或IP范围对外进行访问，防止内部伪造源IP对外DoS攻击的情况</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32"/>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高级威胁检测</w:t>
            </w:r>
            <w:r/>
          </w:p>
        </w:tc>
        <w:tc>
          <w:tcPr>
            <w:gridSpan w:val="3"/>
            <w:tcBorders>
              <w:top w:val="single" w:color="000000" w:sz="4" w:space="0"/>
              <w:left w:val="single" w:color="000000" w:sz="4" w:space="0"/>
              <w:bottom w:val="single" w:color="000000" w:sz="4" w:space="0"/>
              <w:right w:val="single" w:color="000000" w:sz="4" w:space="0"/>
            </w:tcBorders>
            <w:tcW w:w="4962" w:type="dxa"/>
            <w:vAlign w:val="top"/>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支持微信端接收安全事件告警，微信端一键处置安全事件，如一键隔离挖矿主机、僵尸主机、横向攻击的内网失陷主机等；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针对黑客挂马网页网站，支持微信端一键断网，迅速减少网站挂马等安全事件造成较大外部影响</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2"/>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勒索防护</w:t>
            </w:r>
            <w:r/>
          </w:p>
        </w:tc>
        <w:tc>
          <w:tcPr>
            <w:gridSpan w:val="3"/>
            <w:tcBorders>
              <w:top w:val="single" w:color="000000" w:sz="4" w:space="0"/>
              <w:left w:val="single" w:color="000000" w:sz="4" w:space="0"/>
              <w:bottom w:val="single" w:color="000000" w:sz="4" w:space="0"/>
              <w:right w:val="single" w:color="000000" w:sz="4" w:space="0"/>
            </w:tcBorders>
            <w:tcW w:w="4962" w:type="dxa"/>
            <w:vAlign w:val="top"/>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具备勒索软件通信防护功能。</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72"/>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URL/文件过滤</w:t>
            </w:r>
            <w:r/>
          </w:p>
        </w:tc>
        <w:tc>
          <w:tcPr>
            <w:gridSpan w:val="3"/>
            <w:tcBorders>
              <w:top w:val="single" w:color="000000" w:sz="4" w:space="0"/>
              <w:left w:val="single" w:color="000000" w:sz="4" w:space="0"/>
              <w:bottom w:val="single" w:color="000000" w:sz="4" w:space="0"/>
              <w:right w:val="single" w:color="000000" w:sz="4" w:space="0"/>
            </w:tcBorders>
            <w:tcW w:w="496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支持URL过滤，HTTP和HTTPS协议下的GET，POST请求过滤；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支持文件过滤，支持过滤文件上传和下载方向，支持多种文件类型，如电源、音乐、图片、文本、压缩文件、应用程序等并可支持用户自定义</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25"/>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流量控制</w:t>
            </w:r>
            <w:r/>
          </w:p>
        </w:tc>
        <w:tc>
          <w:tcPr>
            <w:gridSpan w:val="3"/>
            <w:tcBorders>
              <w:top w:val="single" w:color="000000" w:sz="4" w:space="0"/>
              <w:left w:val="single" w:color="000000" w:sz="4" w:space="0"/>
              <w:bottom w:val="single" w:color="000000" w:sz="4" w:space="0"/>
              <w:right w:val="single" w:color="000000" w:sz="4" w:space="0"/>
            </w:tcBorders>
            <w:tcW w:w="496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支持基于应用类型，网站类型，文件类型进行带宽分配和流量控制，支持基于时间、地域、认证用户、子接口和VLAN等因素实现对象的流量控制。</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81"/>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策略管理</w:t>
            </w:r>
            <w:r/>
          </w:p>
        </w:tc>
        <w:tc>
          <w:tcPr>
            <w:gridSpan w:val="3"/>
            <w:tcBorders>
              <w:top w:val="single" w:color="000000" w:sz="4" w:space="0"/>
              <w:left w:val="single" w:color="000000" w:sz="4" w:space="0"/>
              <w:bottom w:val="single" w:color="000000" w:sz="4" w:space="0"/>
              <w:right w:val="single" w:color="000000" w:sz="4" w:space="0"/>
            </w:tcBorders>
            <w:tcW w:w="4962" w:type="dxa"/>
            <w:vAlign w:val="top"/>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▲支持策略生命周期管理功能，支持对安全策略修改的时间、原因、变更类型进行统一管理，便于策略的运维与管理。（需提供具备CMA/CNAS资质的权威检测报告）</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73"/>
        </w:trPr>
        <w:tc>
          <w:tcPr>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入侵防御</w:t>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性能参数</w:t>
            </w:r>
            <w:r/>
          </w:p>
        </w:tc>
        <w:tc>
          <w:tcPr>
            <w:gridSpan w:val="3"/>
            <w:tcBorders>
              <w:top w:val="single" w:color="000000" w:sz="4" w:space="0"/>
              <w:left w:val="single" w:color="000000" w:sz="4" w:space="0"/>
              <w:bottom w:val="single" w:color="000000" w:sz="4" w:space="0"/>
              <w:right w:val="single" w:color="000000" w:sz="4" w:space="0"/>
            </w:tcBorders>
            <w:tcW w:w="4962" w:type="dxa"/>
            <w:vAlign w:val="top"/>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产品采用国产化CPU及操作系统，网络层吞吐量：≥10G，IPS吞吐量：≥1G，并发连接数：≥400万，HTTP新建连接数：≥10万 规格：≥1U，内存：≥8G，硬盘容量：≥128G SSD，电源：≥单电源，接口：≥6千兆电口，开通入侵防御模块，含三年硬件质保、软件升级、特征库升级服务。</w:t>
            </w:r>
            <w:r/>
          </w:p>
        </w:tc>
        <w:tc>
          <w:tcPr>
            <w:tcBorders>
              <w:top w:val="single" w:color="000000" w:sz="4" w:space="0"/>
              <w:left w:val="single" w:color="000000" w:sz="4" w:space="0"/>
              <w:bottom w:val="single" w:color="000000" w:sz="4" w:space="0"/>
              <w:right w:val="single" w:color="000000" w:sz="4" w:space="0"/>
            </w:tcBorders>
            <w:tcW w:w="46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57"/>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威胁定位</w:t>
            </w:r>
            <w:r/>
          </w:p>
        </w:tc>
        <w:tc>
          <w:tcPr>
            <w:gridSpan w:val="3"/>
            <w:tcBorders>
              <w:top w:val="single" w:color="000000" w:sz="4" w:space="0"/>
              <w:left w:val="single" w:color="000000" w:sz="4" w:space="0"/>
              <w:bottom w:val="single" w:color="000000" w:sz="4" w:space="0"/>
              <w:right w:val="single" w:color="000000" w:sz="4" w:space="0"/>
            </w:tcBorders>
            <w:tcW w:w="4962" w:type="dxa"/>
            <w:vAlign w:val="top"/>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支持恶意域名重定向功能，用于DNS代理服务器场景下定位内网感染僵尸网络病毒的真实主机IP地址；</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848"/>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蜜罐联动</w:t>
            </w:r>
            <w:r/>
          </w:p>
        </w:tc>
        <w:tc>
          <w:tcPr>
            <w:gridSpan w:val="3"/>
            <w:tcBorders>
              <w:top w:val="single" w:color="000000" w:sz="4" w:space="0"/>
              <w:left w:val="single" w:color="000000" w:sz="4" w:space="0"/>
              <w:bottom w:val="single" w:color="000000" w:sz="4" w:space="0"/>
              <w:right w:val="single" w:color="000000" w:sz="4" w:space="0"/>
            </w:tcBorders>
            <w:tcW w:w="4962" w:type="dxa"/>
            <w:vAlign w:val="top"/>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产品支持主动防御功能，通过与云端蜜罐智能联动，通过仿真虚拟业务混淆黑客攻击，并对攻击进行溯源取证和阻断威胁IP，保护真实业务安全。需提供公安部计算机信息系统安全产品质量监督检验中心、中国信息安全测评中心、中华人民共和国国家版权局之中任意一家检测机构出具关于“主动防御功能”的相关证书证明功能有效性。</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33"/>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防病毒</w:t>
            </w:r>
            <w:r/>
          </w:p>
        </w:tc>
        <w:tc>
          <w:tcPr>
            <w:gridSpan w:val="3"/>
            <w:tcBorders>
              <w:top w:val="single" w:color="000000" w:sz="4" w:space="0"/>
              <w:left w:val="single" w:color="000000" w:sz="4" w:space="0"/>
              <w:bottom w:val="single" w:color="000000" w:sz="4" w:space="0"/>
              <w:right w:val="single" w:color="000000" w:sz="4" w:space="0"/>
            </w:tcBorders>
            <w:tcW w:w="496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支持对多重压缩文件的病毒检测能力，支持不小于16层压缩文件病毒检测与处置。</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入侵防御</w:t>
            </w:r>
            <w:r/>
          </w:p>
        </w:tc>
        <w:tc>
          <w:tcPr>
            <w:gridSpan w:val="3"/>
            <w:tcBorders>
              <w:top w:val="single" w:color="000000" w:sz="4" w:space="0"/>
              <w:left w:val="single" w:color="000000" w:sz="4" w:space="0"/>
              <w:bottom w:val="single" w:color="000000" w:sz="4" w:space="0"/>
              <w:right w:val="single" w:color="000000" w:sz="4" w:space="0"/>
            </w:tcBorders>
            <w:tcW w:w="496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产品支持勒索病毒检测与防御功能；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可提供最新的威胁情报信息，能够对新爆发的流行高危漏洞进行预警和自动检测，发现问题后支持一键生成防护规则；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设备具备独立的入侵防护漏洞规则特征库，特征总数在7400条以上，支持自定义漏洞攻击规则库；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支持僵尸网络检测，防止失陷主机威胁内网扩散</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1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攻击防护</w:t>
            </w:r>
            <w:r/>
          </w:p>
        </w:tc>
        <w:tc>
          <w:tcPr>
            <w:gridSpan w:val="3"/>
            <w:tcBorders>
              <w:top w:val="single" w:color="000000" w:sz="4" w:space="0"/>
              <w:left w:val="single" w:color="000000" w:sz="4" w:space="0"/>
              <w:bottom w:val="single" w:color="000000" w:sz="4" w:space="0"/>
              <w:right w:val="single" w:color="000000" w:sz="4" w:space="0"/>
            </w:tcBorders>
            <w:tcW w:w="4962"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支持SYN Flood、ICMP Flood、UDP Flood、DNS Flood、ARP Flood等DoS/DDoS攻击防护；支持IP地址扫描和端口扫描防护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支持内网访问控制，配置内网区域只允许指定的IP地址或IP范围对外进行访问，防止内部伪造源IP对外DoS攻击的情况</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23"/>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高级威胁检测</w:t>
            </w:r>
            <w:r/>
          </w:p>
        </w:tc>
        <w:tc>
          <w:tcPr>
            <w:gridSpan w:val="3"/>
            <w:tcBorders>
              <w:top w:val="single" w:color="000000" w:sz="4" w:space="0"/>
              <w:left w:val="single" w:color="000000" w:sz="4" w:space="0"/>
              <w:bottom w:val="single" w:color="000000" w:sz="4" w:space="0"/>
              <w:right w:val="single" w:color="000000" w:sz="4" w:space="0"/>
            </w:tcBorders>
            <w:tcW w:w="4962" w:type="dxa"/>
            <w:vAlign w:val="top"/>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支持基于攻击阶段图的方式来匹配并展示当前用户遭受到攻击的具体所处状态，并详细给出针对性处理建议，便于用户快速响应安全问题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产品安全能力图谱，可展示设备对资产防护的有效性，对当前的风险预测、风险防御、风险检测能力进行展示，并对当前资产安全状态进行评级；同时展示当前设备的安全能力等级，展示每日安全能力的更新情况</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安全日志</w:t>
            </w:r>
            <w:r/>
          </w:p>
        </w:tc>
        <w:tc>
          <w:tcPr>
            <w:gridSpan w:val="3"/>
            <w:tcBorders>
              <w:top w:val="single" w:color="000000" w:sz="4" w:space="0"/>
              <w:left w:val="single" w:color="000000" w:sz="4" w:space="0"/>
              <w:bottom w:val="single" w:color="000000" w:sz="4" w:space="0"/>
              <w:right w:val="single" w:color="000000" w:sz="4" w:space="0"/>
            </w:tcBorders>
            <w:tcW w:w="4962" w:type="dxa"/>
            <w:vAlign w:val="top"/>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安全日志根据日志类型可存储在产品内置数据中心、外置数据中心、Syslog日志服务器、安全感知系统多种方式</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151"/>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配置管理</w:t>
            </w:r>
            <w:r/>
          </w:p>
        </w:tc>
        <w:tc>
          <w:tcPr>
            <w:gridSpan w:val="3"/>
            <w:tcBorders>
              <w:top w:val="single" w:color="000000" w:sz="4" w:space="0"/>
              <w:left w:val="single" w:color="000000" w:sz="4" w:space="0"/>
              <w:bottom w:val="single" w:color="000000" w:sz="4" w:space="0"/>
              <w:right w:val="single" w:color="000000" w:sz="4" w:space="0"/>
            </w:tcBorders>
            <w:tcW w:w="4962" w:type="dxa"/>
            <w:vAlign w:val="top"/>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支持场景化的配置向导功能，可选择不同的部署方式及使用场景实现产品快速实施；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支持页面定制，并开放HTML源码供管理员快速完成定制工作，包括快速更换企业Logo、公告文件、发现病毒、Web认证、修改密码、认证结果、禁止访问等，贴合管理员的安全管理工作。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支持设备排障界面图形化展示丢包信息包含出入接口、阻断具体模块、相关策略、原因和排障建议； </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82"/>
        </w:trPr>
        <w:tc>
          <w:tcPr>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日志审计</w:t>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性能参数</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产品采用国产化CPU及操作系统，本次提供100个主机审计许可证书，规格：≥2U架构，内存：≥16G，硬盘容量：≥128G SSD+4T SATA，电源：≥冗余电源，接口：≥6个千兆电口+2个万兆光口SFP+，含三年硬件质保、软件升级服务。</w:t>
            </w:r>
            <w:r/>
          </w:p>
        </w:tc>
        <w:tc>
          <w:tcPr>
            <w:tcBorders>
              <w:top w:val="single" w:color="000000" w:sz="4" w:space="0"/>
              <w:left w:val="single" w:color="000000" w:sz="4" w:space="0"/>
              <w:bottom w:val="single" w:color="000000" w:sz="4" w:space="0"/>
              <w:right w:val="single" w:color="000000" w:sz="4" w:space="0"/>
            </w:tcBorders>
            <w:tcW w:w="46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950"/>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日志采集</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内置大量日志处理模型，自动解析主流网络设备、安全设备和中间件的日志数据，标准化自动识别系统类型至少达到200种</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28"/>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传输与存储转发</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支持设置日志存储策略，包括设置日志存储周期（天）、存储空间容量使用阈值等；</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8"/>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合规检测</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▲支持等保合规检测，并具备专项合规自检工具（提供系统真实截图证明）。</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151"/>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日志分析</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网站攻击、漏洞利用、C&amp;C通信、暴力破解、拒绝服务、主机脆弱性、主机异常、恶意软件、账号异常、权限异常、侦查探测等内置关联分析规则，内置关联分析规则数量达到350条以上，支持自定义关联分析规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支持预置审计策略模板，包括：Windows主机类审计策略模板、Linux/Unix主机类审计策略模板、数据库系统类审计策略模板等，内置审计规则数量不少于40条</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数据生成</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支持POC测试工具一键生成数据。</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08"/>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资产管理</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支持资产全生命周期管理，资产入库审核、资产离线风险识别、资产退库、资产数据更新，责任人管理机制等，支持自定义资产标签、属性、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支持对IPv4/ipv6对象的自动发现功能，对自动发现的设备可以修改、删除或转为资产。</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99"/>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日志转发</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支持定时转发，可通过syslog和kafka方式转发到第三方平台，并且支持转发原始日志和已解析日志的两种日志</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5"/>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规则解析</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▲支持通过正则、分隔符、json、xml的可视方式进行自定义规则解析，支持对解析结果字段的新增、合并、映射（提供系统真实截图证明）。</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96"/>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系统管理</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支持自定义前台web前端和后端ssh的端口，支持页面超时时间和开启ssh后台登录。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提供管理员账号创建、修改、删除，并可针对创建的管理员进行权限设置；支持IP免登录，指定IP免认证直接进入平台；支持只允许某些IP登录平台；支持页面权限配置和资产范围配置，用于管理账号权限，满足用户三权分立的需求；支持usb-key认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支持网络连通性测试工具，至少支持ping、tracert route、telnet三种拨测方法；</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80"/>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首页可视</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可视化展示，包括数据分布、安全事件趋势图、关联规则告警趋势图、接入设备概况等，可提供设备专项分析场景。如防火墙外部攻击场景分析、VPN账号异常场景分析、Windows服务器主机异常场景分析等，通过设备专项页面对每一台设备安全情况深度专业化分析。</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30"/>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日志检索</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支持将检索查询的条件收藏为查询模版，支持查询模版创建、导入导出、删除功能，支持历史搜索记录功能。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支持自定义过滤条件检索，支持对模糊ip、多个ip、ip地址段、应用、协议、MAC地址等其他字段精准检索，至少支持AND、OR、NOT三种运算符</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47"/>
        </w:trPr>
        <w:tc>
          <w:tcPr>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堡垒机</w:t>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性能参数</w:t>
            </w:r>
            <w:r/>
          </w:p>
        </w:tc>
        <w:tc>
          <w:tcPr>
            <w:gridSpan w:val="3"/>
            <w:tcBorders>
              <w:top w:val="single" w:color="000000" w:sz="4" w:space="0"/>
              <w:left w:val="single" w:color="000000" w:sz="4" w:space="0"/>
              <w:bottom w:val="single" w:color="000000" w:sz="4" w:space="0"/>
              <w:right w:val="single" w:color="000000" w:sz="4" w:space="0"/>
            </w:tcBorders>
            <w:tcW w:w="4962" w:type="dxa"/>
            <w:vAlign w:val="top"/>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产品采用国产化CPU及操作系统，包含运维授权数：50，图形运维最大并发数：≥100，字符运维最大并发数：≥200，规格：≥1U设备，内存：≥8G，硬盘容量：≥1.92T SSD，电源：≥单电源，接口：≥6千兆电口+4千兆光口SFP，含三年硬件质保、软件升级服务。</w:t>
            </w:r>
            <w:r/>
          </w:p>
        </w:tc>
        <w:tc>
          <w:tcPr>
            <w:tcBorders>
              <w:top w:val="single" w:color="000000" w:sz="4" w:space="0"/>
              <w:left w:val="single" w:color="000000" w:sz="4" w:space="0"/>
              <w:bottom w:val="single" w:color="000000" w:sz="4" w:space="0"/>
              <w:right w:val="single" w:color="000000" w:sz="4" w:space="0"/>
            </w:tcBorders>
            <w:tcW w:w="46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95"/>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Ipv6</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▲全面支持IPV6，设备自身可以配置IPV6地址供客户端访问，并且支持目标设备配置IPV6地址实现单点登陆和审计（提供系统真实截图证明）。</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876"/>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接入认证</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支持通过动作流配置提供广泛的应用接入支持，无论被接入的资源如何设计登录动作，通过动作流配置都可以实现单点登陆和审计接入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用户登陆认证方式支持静态口令认证、手机动态口令认证、Usbkey（数字证书）认证、AD域认证、Radius认证等认证方式；并支持各种认证方式和静态口令组合认证</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60"/>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内置能力</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内置三员角色的同时支持角色灵活自定义，可根据用户实际的管理特性或特殊的安全管理组织架构，划分管理角色的管理范畴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支持RDP安全模式（RDP、NLA、TLS、ANY）设置，以适应RDP-Tcp属性中的所有功能配置，包括加密级别为客户端兼容、低、高、符合FIPS标准等加密级别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支持一对一、一对多、多对多授权，如将单个资产授权多个用户，一个用户授予多个资产，用户组向资产组授权</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2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稳定性</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支持在授权基础上自定义访问审批流程，可设置一级或多级审批人，每级审批可指定通过投票数，需逐级审批通过才可最终发起运维操作</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97"/>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改密计划</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定期变更目标设备真实口令，支持自定义口令变更周期和口令强度。口令变更方式至少支持手动指定固定口令、通过密码表生成口令、依照设备挂载的口令策略生成随机口令、依照密码策略生成同一口令等方式</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95"/>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客户端兼容</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全面支持Windows、linux、国产麒麟系统、Android、IOS、Mac OS等客户端，实现跨终端适应性BYOD（Bring Your Own Device）</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69"/>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黑名单</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支持命令黑命单，对字符型设备（如linux/unix/网络设备）的高危命令执行进行阻断，如rm、shutdown、reboot等</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60"/>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命令审批</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支持命令审批规则，用户执行高危命令时需要管理员审批后才允许执行；命令审批规则可以指定运维人员、访问设备、设备账号及命令审批人</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01"/>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审计日志</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支持web页面直接发起运维，无需安装任何控件，并同时支持调用SecureCRT、Xshell、Putty、WinSCP、FileZilla、RDP等客户端工具实现单点登陆，不改变运维人员操作习惯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支持监控正在运维的会话，信息包括运维用户、运维客户端地址、资源地址、协议、开始时间等，并可以实时阻断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图形资源访问时，支持键盘、剪切板、窗口标题、文件传输记录，并且对图形资源的审计回放时，可以从某个键盘、剪切板、窗口标题、文件传输记录的指定位置开始回放</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62"/>
        </w:trPr>
        <w:tc>
          <w:tcPr>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漏洞扫描</w:t>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性能参数</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产品采用国产化CPU及操作系统，系统漏扫授权IP数：≥1000；WEB漏扫授权URL数：≥200；规格：≥2U，内存：≥32GB，硬盘容量：≥128G SSD+4TB，电源：≥冗余电源，接口：≥ 4千兆电口+4千兆光口SFP+2万兆光口SFP+，含三年硬件质保、软件升级、特征库升级服务。</w:t>
            </w:r>
            <w:r/>
          </w:p>
        </w:tc>
        <w:tc>
          <w:tcPr>
            <w:tcBorders>
              <w:top w:val="single" w:color="000000" w:sz="4" w:space="0"/>
              <w:left w:val="single" w:color="000000" w:sz="4" w:space="0"/>
              <w:bottom w:val="single" w:color="000000" w:sz="4" w:space="0"/>
              <w:right w:val="single" w:color="000000" w:sz="4" w:space="0"/>
            </w:tcBorders>
            <w:tcW w:w="46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237"/>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风险统计</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支持全局风险统计功能，通过扇形图、条状图、标签、表格等形式直观展示资产风险分布、漏洞风险等级分布、紧急漏洞、风险资产清单等信息，并可查看详情。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支持从紧急漏洞的视角展示主机风险，清晰呈现已发生和未发生的紧急漏洞类型，支持以报表形式展示紧急漏洞的风险等级、影响资产数、漏洞数量、最近发现时间，可关联漏洞详情。</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任务类型</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▲支持全面扫描、资产发现、系统漏洞扫描、弱口令扫描、WEB漏洞扫描、基线配置核查六种任务类型，其中全面扫描支持系统漏洞扫描、WEB漏洞扫描、弱口令扫描（提供系统真实截图证明）。</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资产发现</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支持资产发现功能，可基于IP地址、IP网段、IP范围、URL等方式进行资产发现扫描，支持EXCEL格式批量导入。</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63"/>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系统漏洞扫描</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支持检测的漏洞数大于19000条，兼容CVE、CNNVD、CNVD、Bugtraq等主流标准。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支持操作系统、网络设备、数据库、中间件等漏洞扫描。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支持紧急漏洞进行单独评估，实现紧急漏洞批量排查，包括Microsoft Windows RDP 远程代码执行漏洞（CVE-2019-0708）、OpenSSL Heartbleed 心脏滴血漏洞（CVE-2014-0160）、Windows SMB 远程代码执行漏洞（MS08-067）、Windows SMB 远程代码执行漏洞（MS17-010）等。</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43"/>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WEB漏洞扫描</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支持行业通用标准OWASP，支持通用WEB漏洞检测，如：SQL注入、XSS、目录遍历、本地/远程文件包含漏洞、安全配置错误、命令执行、敏感信息泄露等。</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96"/>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弱口令扫描</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支持对多种服务协议的弱口令猜解，包括FTP、IMAP、Microsoft SQL、MySQL、PcAnywhere、POP3、SMB、Telnet、VNC、SSH、RDP、ORACLE、Rsync、SMTP、VMware等。</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38"/>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基线配置核查</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基线配置核查支持任务立即执行和指定时间执行两种执行方式，且指定时间可以精确到分钟。</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35"/>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合规自检平台</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▲支持域管理功能，系统默认内置数据域、终端接入域、运维管理域等九个域，可根据客户实际情况进行自定义管理（提供系统真实截图证明）。</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支持统一管理所有业务系统的合规情况，合规报告可导出。业务系统差距报告量化、可视化整改前后的符合情况和安全问题。</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187"/>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报告管理</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导出统计报表和详细报告，统计报告包括综述信息、风险概况、资产风险列表、风险详情、参考标准、安全建议等内容；详细报告包括风险概述、资产风险列表、资产风险详情等内容，其中，基线风险会展示检测结果、风险等级、基线ID、基线项类型、风险值、检查点描述、解决方案等内容。漏洞风险会展示风险页面、风险等级、风险描述、危害影响、解决方案、参考资料、风险举证等内容。</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36"/>
        </w:trPr>
        <w:tc>
          <w:tcPr>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终端安全管理系统</w:t>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性能参数</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产品符合国产化要求，本次提供100套服务器端安全软件授权，含三年软件升级、特征库升级服务。</w:t>
            </w:r>
            <w:r/>
          </w:p>
        </w:tc>
        <w:tc>
          <w:tcPr>
            <w:tcBorders>
              <w:top w:val="single" w:color="000000" w:sz="4" w:space="0"/>
              <w:left w:val="single" w:color="000000" w:sz="4" w:space="0"/>
              <w:bottom w:val="single" w:color="000000" w:sz="4" w:space="0"/>
              <w:right w:val="single" w:color="000000" w:sz="4" w:space="0"/>
            </w:tcBorders>
            <w:tcW w:w="46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85"/>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升级管理</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支持客户端的错峰升级，可根据实际情况控制客户端同时升级的最大数量，避免大量终端程序同时更新造成网络拥堵或I/O风暴</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22"/>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云端威胁分析</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▲支持跳转链接至云端安全威胁响应系统，针对已发生的病毒的基本信息，影响分析（客户情况、影响行业、区域分布）、威胁分析和处理建议（需提供具备CMA/CNAS资质的权威机构颁发的产品功能检测报告）</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85"/>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微隔离</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支持基于IP（组）、服务和角色维度进行配置项设置，并支持备份及恢复。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支持图形化显示业务系统、服务器及访问流量详情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流量线详情支持展示该流量线对应的控制策略；图形化显示服务器间流量关系，包括访问详情、流量趋势等</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72"/>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轻桌管</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支持自定义拦截终端软件弹窗，可在终端设置自动拦截骚扰弹窗开关。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支持终端用户一键式垃圾清理功能，通过一键式垃圾清理来缓解终端因为堆积太多缓存导致卡顿的情况</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威胁检测</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具备针对最新未知的文件，使用IOC特征（文件hash、dns、url、ip等）的技术，进行云端查询。云端的安全中心，使用大数据分析平台，基于多维威胁情报、云端沙箱技术、多引擎扩展的检测技术等，秒级响应未知文件的检测结果。（需提供具备CMA/CNAS资质的权威机构颁发的产品功能检测报告） </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3"/>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屏幕水印</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支持系统屏幕水印功能，灵活定义屏幕水印内容，可设置不透明度、生效范围和生效时间段等，如有敏感信息泄露可以通过水印信息辅助做溯源</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流量可视</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流量线详情支持展示该流量线对应的控制策略；图形化显示服务器间流量关系，包括访问详情、流量趋势等。</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07"/>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合规自检</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一键式操作对指定终端/终端组进行合规性检查，包括身份鉴别、访问控制、安全审计、剩余信息保护、入侵防范、恶意代码防范，对不合规的检查项提供设置建议，并可视化展示终端的基线合规检查结果。</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策略配置</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支持安全策略一体化配置，通过一条策略即可实现不同安全功能的配置，包括：终端病毒查杀的文件扫描配置和Windows系统下信任区文件目录配置；</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39"/>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应用管控</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支持应用管控功能，内置常用的系统应用，包括IM、下载工具、代理工具、办公软件等，并且支持新增自定义应用，</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13"/>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防火墙联动</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支持与本次投标防火墙联动，当防火墙检测到某主机有僵木蠕毒的C2通信时，支持手动或自动化将恶意域名信息下发到本产品做C2通信的封锁拦截，实现精准防远控。</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8"/>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Webshell检测</w:t>
            </w:r>
            <w:r/>
          </w:p>
        </w:tc>
        <w:tc>
          <w:tcPr>
            <w:gridSpan w:val="3"/>
            <w:tcBorders>
              <w:top w:val="single" w:color="000000" w:sz="4" w:space="0"/>
              <w:left w:val="single" w:color="000000" w:sz="4" w:space="0"/>
              <w:bottom w:val="single" w:color="000000" w:sz="4" w:space="0"/>
              <w:right w:val="single" w:color="000000" w:sz="4" w:space="0"/>
            </w:tcBorders>
            <w:tcW w:w="4962" w:type="dxa"/>
            <w:vAlign w:val="bottom"/>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展示终端检测到的WebShell事件及事件详情，包括：恶意文件名称，威胁等级，受感染的文件，发现时间，检测引擎，文件类型，文件名，文件Hash值，文件大小，文件创建时间；可配置WebShell实时扫描，一旦发现WebShell文件，可自动隔离或仅上报不隔离</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80"/>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威胁检索</w:t>
            </w:r>
            <w:r/>
          </w:p>
        </w:tc>
        <w:tc>
          <w:tcPr>
            <w:gridSpan w:val="3"/>
            <w:tcBorders>
              <w:top w:val="single" w:color="000000" w:sz="4" w:space="0"/>
              <w:left w:val="single" w:color="000000" w:sz="4" w:space="0"/>
              <w:bottom w:val="single" w:color="000000" w:sz="4" w:space="0"/>
              <w:right w:val="single" w:color="000000" w:sz="4" w:space="0"/>
            </w:tcBorders>
            <w:tcW w:w="496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▲支持基于威胁情报的病毒特征值全网终端搜索，可定位出全网终端该病毒的感染情况。（需提供具备CMA/CNAS资质的权威机构颁发的产品功能检测报告） </w:t>
            </w:r>
            <w:r/>
          </w:p>
        </w:tc>
        <w:tc>
          <w:tcPr>
            <w:tcBorders>
              <w:top w:val="single" w:color="000000" w:sz="4" w:space="0"/>
              <w:left w:val="single" w:color="000000" w:sz="4" w:space="0"/>
              <w:bottom w:val="single" w:color="000000" w:sz="4" w:space="0"/>
              <w:right w:val="single" w:color="000000" w:sz="4" w:space="0"/>
            </w:tcBorders>
            <w:tcW w:w="468"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683"/>
        <w:ind w:left="0" w:right="0" w:firstLine="0"/>
        <w:jc w:val="both"/>
        <w:keepLines w:val="0"/>
        <w:keepNext w:val="0"/>
        <w:pageBreakBefore w:val="0"/>
        <w:spacing w:before="0" w:beforeAutospacing="0" w:after="0" w:afterAutospacing="0" w:line="340" w:lineRule="exact"/>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二、商务要求</w:t>
      </w:r>
      <w:r/>
    </w:p>
    <w:p>
      <w:pPr>
        <w:pStyle w:val="711"/>
        <w:ind w:left="0" w:right="0" w:firstLine="420"/>
        <w:jc w:val="left"/>
        <w:keepLines w:val="0"/>
        <w:keepNext w:val="0"/>
        <w:pageBreakBefore w:val="0"/>
        <w:spacing w:beforeAutospacing="0" w:afterAutospacing="0" w:line="340" w:lineRule="exact"/>
        <w:widowControl/>
        <w:rPr>
          <w:rFonts w:hint="eastAsia" w:ascii="宋体" w:hAnsi="宋体" w:eastAsia="宋体" w:cs="宋体"/>
          <w:b/>
          <w:bCs/>
          <w:color w:val="auto"/>
          <w:sz w:val="21"/>
          <w:szCs w:val="21"/>
          <w:highlight w:val="none"/>
          <w:shd w:val="clear" w:color="auto" w:fill="ffffff"/>
        </w:rPr>
        <w:suppressLineNumbers w:val="0"/>
      </w:pPr>
      <w:r>
        <w:rPr>
          <w:rFonts w:hint="eastAsia" w:ascii="宋体" w:hAnsi="宋体" w:eastAsia="宋体" w:cs="宋体"/>
          <w:b/>
          <w:bCs/>
          <w:color w:val="auto"/>
          <w:sz w:val="21"/>
          <w:szCs w:val="21"/>
          <w:highlight w:val="none"/>
          <w:shd w:val="clear" w:color="auto" w:fill="ffffff"/>
          <w:lang w:val="en-US" w:eastAsia="zh-CN"/>
        </w:rPr>
        <w:t xml:space="preserve">1、</w:t>
      </w:r>
      <w:r>
        <w:rPr>
          <w:rFonts w:hint="eastAsia" w:ascii="宋体" w:hAnsi="宋体" w:eastAsia="宋体" w:cs="宋体"/>
          <w:b/>
          <w:bCs/>
          <w:color w:val="auto"/>
          <w:sz w:val="21"/>
          <w:szCs w:val="21"/>
        </w:rPr>
        <w:t xml:space="preserve">合同履行期限：</w:t>
      </w:r>
      <w:r>
        <w:rPr>
          <w:rFonts w:hint="eastAsia" w:ascii="宋体" w:hAnsi="宋体" w:eastAsia="宋体" w:cs="宋体"/>
          <w:color w:val="auto"/>
          <w:sz w:val="21"/>
          <w:szCs w:val="21"/>
        </w:rPr>
        <w:t xml:space="preserve">中标人须在签订合同后90个日历天内全部供货及安装完毕，并完成全部建设工作并投入试运行。</w:t>
      </w:r>
      <w:r/>
    </w:p>
    <w:p>
      <w:pPr>
        <w:pStyle w:val="711"/>
        <w:ind w:left="0" w:right="0" w:firstLine="420"/>
        <w:jc w:val="left"/>
        <w:keepLines w:val="0"/>
        <w:keepNext w:val="0"/>
        <w:pageBreakBefore w:val="0"/>
        <w:spacing w:beforeAutospacing="0" w:afterAutospacing="0" w:line="340" w:lineRule="exact"/>
        <w:widowControl/>
        <w:rPr>
          <w:rFonts w:hint="eastAsia" w:ascii="宋体" w:hAnsi="宋体" w:eastAsia="宋体" w:cs="宋体"/>
          <w:color w:val="auto"/>
          <w:sz w:val="21"/>
          <w:szCs w:val="21"/>
          <w:highlight w:val="none"/>
          <w:shd w:val="clear" w:color="auto" w:fill="ffffff"/>
          <w:lang w:val="en-US" w:eastAsia="zh-CN"/>
        </w:rPr>
        <w:suppressLineNumbers w:val="0"/>
      </w:pPr>
      <w:r>
        <w:rPr>
          <w:rFonts w:hint="eastAsia" w:ascii="宋体" w:hAnsi="宋体" w:eastAsia="宋体" w:cs="宋体"/>
          <w:b/>
          <w:bCs/>
          <w:color w:val="auto"/>
          <w:sz w:val="21"/>
          <w:szCs w:val="21"/>
          <w:highlight w:val="none"/>
          <w:shd w:val="clear" w:color="auto" w:fill="ffffff"/>
          <w:lang w:val="en-US" w:eastAsia="zh-CN"/>
        </w:rPr>
        <w:t xml:space="preserve">2、现场驻场人员要求：</w:t>
      </w:r>
      <w:r>
        <w:rPr>
          <w:rFonts w:hint="eastAsia" w:ascii="宋体" w:hAnsi="宋体" w:eastAsia="宋体" w:cs="宋体"/>
          <w:color w:val="auto"/>
          <w:sz w:val="21"/>
          <w:szCs w:val="21"/>
        </w:rPr>
        <w:t xml:space="preserve">常驻实施2人，产研阶段性（调研和需求确认阶段）开发驻场1人以上，国家定量测评准备阶段实施驻场3人以上、开发驻场2人以上。现场测评准备阶段实施驻场3人以上。</w:t>
      </w:r>
      <w:r/>
    </w:p>
    <w:p>
      <w:pPr>
        <w:pStyle w:val="711"/>
        <w:ind w:firstLine="420"/>
        <w:jc w:val="both"/>
        <w:keepLines w:val="0"/>
        <w:keepNext w:val="0"/>
        <w:pageBreakBefore w:val="0"/>
        <w:spacing w:beforeAutospacing="0" w:afterAutospacing="0" w:line="34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b/>
          <w:bCs/>
          <w:color w:val="auto"/>
          <w:sz w:val="21"/>
          <w:szCs w:val="21"/>
          <w:highlight w:val="none"/>
          <w:shd w:val="clear" w:color="auto" w:fill="ffffff"/>
          <w:lang w:val="en-US" w:eastAsia="zh-CN"/>
        </w:rPr>
        <w:t xml:space="preserve">质保</w:t>
      </w:r>
      <w:r>
        <w:rPr>
          <w:rFonts w:hint="eastAsia" w:ascii="宋体" w:hAnsi="宋体" w:eastAsia="宋体" w:cs="宋体"/>
          <w:b/>
          <w:bCs/>
          <w:color w:val="auto"/>
          <w:sz w:val="21"/>
          <w:szCs w:val="21"/>
          <w:highlight w:val="none"/>
          <w:shd w:val="clear" w:color="auto" w:fill="ffffff"/>
        </w:rPr>
        <w:t xml:space="preserve">期</w:t>
      </w:r>
      <w:r>
        <w:rPr>
          <w:rFonts w:hint="eastAsia" w:ascii="宋体" w:hAnsi="宋体" w:eastAsia="宋体" w:cs="宋体"/>
          <w:b/>
          <w:bCs/>
          <w:color w:val="auto"/>
          <w:sz w:val="21"/>
          <w:szCs w:val="21"/>
          <w:highlight w:val="none"/>
          <w:shd w:val="clear" w:color="auto" w:fill="ffffff"/>
          <w:lang w:eastAsia="zh-CN"/>
        </w:rPr>
        <w:t xml:space="preserve">：</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 xml:space="preserve">年</w:t>
      </w:r>
      <w:r>
        <w:rPr>
          <w:rFonts w:hint="eastAsia" w:ascii="宋体" w:hAnsi="宋体" w:eastAsia="宋体" w:cs="宋体"/>
          <w:color w:val="auto"/>
          <w:sz w:val="21"/>
          <w:szCs w:val="21"/>
          <w:highlight w:val="none"/>
        </w:rPr>
        <w:t xml:space="preserve">。（自交货验收合格之日起计）</w:t>
      </w:r>
      <w:r>
        <w:rPr>
          <w:rFonts w:hint="eastAsia" w:ascii="宋体" w:hAnsi="宋体" w:eastAsia="宋体" w:cs="宋体"/>
          <w:color w:val="auto"/>
          <w:sz w:val="21"/>
          <w:szCs w:val="21"/>
          <w:highlight w:val="none"/>
          <w:lang w:eastAsia="zh-CN"/>
        </w:rPr>
        <w:t xml:space="preserve">。</w:t>
      </w:r>
      <w:r/>
    </w:p>
    <w:p>
      <w:pPr>
        <w:pStyle w:val="711"/>
        <w:ind w:firstLine="422"/>
        <w:jc w:val="both"/>
        <w:keepLines w:val="0"/>
        <w:keepNext w:val="0"/>
        <w:pageBreakBefore w:val="0"/>
        <w:spacing w:beforeAutospacing="0" w:afterAutospacing="0" w:line="340" w:lineRule="exac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4、一致性要求：</w:t>
      </w:r>
      <w:r/>
    </w:p>
    <w:p>
      <w:pPr>
        <w:pStyle w:val="711"/>
        <w:ind w:firstLine="420"/>
        <w:jc w:val="both"/>
        <w:keepLines w:val="0"/>
        <w:keepNext w:val="0"/>
        <w:pageBreakBefore w:val="0"/>
        <w:spacing w:beforeAutospacing="0" w:afterAutospacing="0" w:line="340" w:lineRule="exact"/>
        <w:rPr>
          <w:rFonts w:hint="eastAsia" w:ascii="宋体" w:hAnsi="宋体" w:eastAsia="宋体" w:cs="宋体"/>
          <w:b w:val="0"/>
          <w:bCs w:val="0"/>
          <w:color w:val="auto"/>
          <w:sz w:val="21"/>
          <w:szCs w:val="21"/>
          <w:lang w:val="en-US" w:eastAsia="zh-CN"/>
        </w:rPr>
      </w:pPr>
      <w:r>
        <w:rPr>
          <w:rFonts w:hint="eastAsia" w:ascii="宋体" w:hAnsi="宋体" w:eastAsia="宋体" w:cs="宋体"/>
          <w:color w:val="auto"/>
          <w:sz w:val="21"/>
          <w:szCs w:val="21"/>
          <w:lang w:val="en-US" w:eastAsia="zh-CN"/>
        </w:rPr>
        <w:t xml:space="preserve">（1）需基于亭湖平台的现有建设成果进行建设，如果评估需要重新建设，至少应包括数据资源中心、平台集成门户、平台基础管理、平台基础服务、数据采集交换、数据治理管理、数据质量控制、健康服务总线、数据资源管理等，</w:t>
      </w:r>
      <w:r>
        <w:rPr>
          <w:rFonts w:hint="eastAsia" w:ascii="宋体" w:hAnsi="宋体" w:eastAsia="宋体" w:cs="宋体"/>
          <w:b w:val="0"/>
          <w:bCs w:val="0"/>
          <w:color w:val="auto"/>
          <w:sz w:val="21"/>
          <w:szCs w:val="21"/>
          <w:lang w:val="en-US" w:eastAsia="zh-CN"/>
        </w:rPr>
        <w:t xml:space="preserve">投标时须提供响应的承诺函并加盖供应商公章。</w:t>
      </w:r>
      <w:r/>
    </w:p>
    <w:p>
      <w:pPr>
        <w:pStyle w:val="711"/>
        <w:ind w:firstLine="420"/>
        <w:jc w:val="both"/>
        <w:keepLines w:val="0"/>
        <w:keepNext w:val="0"/>
        <w:pageBreakBefore w:val="0"/>
        <w:spacing w:beforeAutospacing="0" w:afterAutospacing="0" w:line="34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（2）如果评估需要重新建设，则需要在合同签订后10个工作日内完成历史数据迁移，以保障项目后续工作的顺利开展，投标时须提供响应的承诺函并加盖供应商公章。</w:t>
      </w:r>
      <w:r/>
    </w:p>
    <w:p>
      <w:pPr>
        <w:pStyle w:val="711"/>
        <w:ind w:firstLine="420"/>
        <w:jc w:val="both"/>
        <w:keepLines w:val="0"/>
        <w:keepNext w:val="0"/>
        <w:pageBreakBefore w:val="0"/>
        <w:spacing w:beforeAutospacing="0" w:afterAutospacing="0" w:line="3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rPr>
          <w:rFonts w:hint="eastAsia" w:ascii="宋体" w:hAnsi="宋体" w:eastAsia="宋体" w:cs="宋体"/>
          <w:b/>
          <w:bCs/>
          <w:color w:val="auto"/>
          <w:sz w:val="21"/>
          <w:szCs w:val="21"/>
          <w:lang w:val="en-US" w:eastAsia="zh-CN"/>
        </w:rPr>
        <w:t xml:space="preserve">涉及上述相关费用均已包含在本次投标人的投标报价中，采购人不另行支付。</w:t>
      </w:r>
      <w:r/>
    </w:p>
    <w:p>
      <w:pPr>
        <w:pStyle w:val="711"/>
        <w:jc w:val="both"/>
        <w:keepLines w:val="0"/>
        <w:keepNext w:val="0"/>
        <w:pageBreakBefore w:val="0"/>
        <w:spacing w:beforeAutospacing="0" w:afterAutospacing="0" w:line="340" w:lineRule="exact"/>
        <w:widowControl w:val="off"/>
        <w:rPr>
          <w:rFonts w:hint="eastAsia" w:ascii="宋体" w:hAnsi="宋体" w:eastAsia="宋体" w:cs="宋体"/>
          <w:b/>
          <w:bCs/>
          <w:color w:val="auto"/>
          <w:sz w:val="24"/>
          <w:szCs w:val="24"/>
          <w:lang w:eastAsia="zh-CN"/>
        </w:rPr>
      </w:pPr>
      <w:r/>
      <w:bookmarkStart w:id="193" w:name="_Toc120614281"/>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、现场演示</w:t>
      </w:r>
      <w:r/>
    </w:p>
    <w:p>
      <w:pPr>
        <w:pStyle w:val="711"/>
        <w:ind w:firstLine="480"/>
        <w:jc w:val="both"/>
        <w:keepLines w:val="0"/>
        <w:keepNext w:val="0"/>
        <w:pageBreakBefore w:val="0"/>
        <w:spacing w:beforeAutospacing="0" w:afterAutospacing="0" w:line="3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（1）投标人演示人员和设备需在评标前到达盐城市</w:t>
      </w:r>
      <w:r>
        <w:rPr>
          <w:rFonts w:hint="eastAsia" w:ascii="宋体" w:hAnsi="宋体" w:eastAsia="宋体" w:cs="宋体"/>
          <w:color w:val="auto"/>
          <w:sz w:val="21"/>
          <w:szCs w:val="21"/>
          <w:lang w:eastAsia="zh-CN"/>
        </w:rPr>
        <w:t xml:space="preserve">亭湖区</w:t>
      </w:r>
      <w:r>
        <w:rPr>
          <w:rFonts w:hint="eastAsia" w:ascii="宋体" w:hAnsi="宋体" w:eastAsia="宋体" w:cs="宋体"/>
          <w:color w:val="auto"/>
          <w:sz w:val="21"/>
          <w:szCs w:val="21"/>
        </w:rPr>
        <w:t xml:space="preserve">公共资源交易中心四楼等候区。按照苏采云系统安排的顺序进行现场演示，演示需按照招标文件的规定和评标委员会的要求进行，时间不超过</w:t>
      </w:r>
      <w:r>
        <w:rPr>
          <w:rFonts w:hint="eastAsia" w:ascii="宋体" w:hAnsi="宋体" w:eastAsia="宋体" w:cs="宋体"/>
          <w:color w:val="auto"/>
          <w:sz w:val="21"/>
          <w:szCs w:val="21"/>
          <w:u w:val="single"/>
          <w:lang w:val="en-US" w:eastAsia="zh-CN"/>
        </w:rPr>
        <w:t xml:space="preserve">25</w:t>
      </w:r>
      <w:r>
        <w:rPr>
          <w:rFonts w:hint="eastAsia" w:ascii="宋体" w:hAnsi="宋体" w:eastAsia="宋体" w:cs="宋体"/>
          <w:color w:val="auto"/>
          <w:sz w:val="21"/>
          <w:szCs w:val="21"/>
        </w:rPr>
        <w:t xml:space="preserve">分钟</w:t>
      </w:r>
      <w:r>
        <w:rPr>
          <w:rFonts w:hint="eastAsia" w:ascii="宋体" w:hAnsi="宋体" w:eastAsia="宋体" w:cs="宋体"/>
          <w:color w:val="auto"/>
          <w:sz w:val="21"/>
          <w:szCs w:val="21"/>
          <w:lang w:eastAsia="zh-CN"/>
        </w:rPr>
        <w:t xml:space="preserve">。演示</w:t>
      </w:r>
      <w:r>
        <w:rPr>
          <w:rFonts w:hint="eastAsia" w:ascii="宋体" w:hAnsi="宋体" w:eastAsia="宋体" w:cs="宋体"/>
          <w:color w:val="auto"/>
          <w:sz w:val="21"/>
          <w:szCs w:val="21"/>
        </w:rPr>
        <w:t xml:space="preserve">所需设备由投标人自备。</w:t>
      </w:r>
      <w:r/>
    </w:p>
    <w:p>
      <w:pPr>
        <w:pStyle w:val="711"/>
        <w:ind w:firstLine="480"/>
        <w:jc w:val="both"/>
        <w:keepLines w:val="0"/>
        <w:keepNext w:val="0"/>
        <w:pageBreakBefore w:val="0"/>
        <w:spacing w:beforeAutospacing="0" w:afterAutospacing="0" w:line="3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演示内容如下：</w:t>
      </w:r>
      <w:r/>
    </w:p>
    <w:p>
      <w:pPr>
        <w:pStyle w:val="711"/>
        <w:ind w:firstLine="480"/>
        <w:jc w:val="both"/>
        <w:keepLines w:val="0"/>
        <w:keepNext w:val="0"/>
        <w:pageBreakBefore w:val="0"/>
        <w:spacing w:beforeAutospacing="0" w:afterAutospacing="0" w:line="340" w:lineRule="exact"/>
        <w:widowControl w:val="off"/>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rPr>
        <w:t xml:space="preserve">①</w:t>
      </w:r>
      <w:r>
        <w:rPr>
          <w:rFonts w:hint="eastAsia" w:ascii="宋体" w:hAnsi="宋体" w:eastAsia="宋体" w:cs="宋体"/>
          <w:color w:val="auto"/>
          <w:sz w:val="21"/>
          <w:szCs w:val="21"/>
          <w:lang w:val="en-US" w:eastAsia="zh-CN"/>
        </w:rPr>
        <w:t xml:space="preserve">慢病管理（医养结合）中心</w:t>
      </w:r>
      <w:r/>
    </w:p>
    <w:p>
      <w:pPr>
        <w:pStyle w:val="711"/>
        <w:ind w:firstLine="480"/>
        <w:jc w:val="both"/>
        <w:keepLines w:val="0"/>
        <w:keepNext w:val="0"/>
        <w:pageBreakBefore w:val="0"/>
        <w:spacing w:beforeAutospacing="0" w:afterAutospacing="0" w:line="340" w:lineRule="exact"/>
        <w:widowControl w:val="off"/>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rPr>
        <w:t xml:space="preserve">②</w:t>
      </w:r>
      <w:r>
        <w:rPr>
          <w:rFonts w:hint="eastAsia" w:ascii="宋体" w:hAnsi="宋体" w:eastAsia="宋体" w:cs="宋体"/>
          <w:color w:val="auto"/>
          <w:sz w:val="21"/>
          <w:szCs w:val="21"/>
          <w:lang w:eastAsia="zh-CN"/>
        </w:rPr>
        <w:t xml:space="preserve">区域质控中心</w:t>
      </w:r>
      <w:r/>
    </w:p>
    <w:p>
      <w:pPr>
        <w:pStyle w:val="711"/>
        <w:ind w:firstLine="480"/>
        <w:jc w:val="both"/>
        <w:keepLines w:val="0"/>
        <w:keepNext w:val="0"/>
        <w:pageBreakBefore w:val="0"/>
        <w:spacing w:beforeAutospacing="0" w:afterAutospacing="0" w:line="3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③</w:t>
      </w:r>
      <w:r>
        <w:rPr>
          <w:rFonts w:hint="eastAsia" w:ascii="宋体" w:hAnsi="宋体" w:eastAsia="宋体" w:cs="宋体"/>
          <w:color w:val="auto"/>
          <w:sz w:val="21"/>
          <w:szCs w:val="21"/>
          <w:lang w:val="en-US" w:eastAsia="zh-CN"/>
        </w:rPr>
        <w:t xml:space="preserve">“十张网”大屏</w:t>
      </w:r>
      <w:r/>
    </w:p>
    <w:p>
      <w:pPr>
        <w:pStyle w:val="711"/>
        <w:ind w:firstLine="480"/>
        <w:jc w:val="both"/>
        <w:keepLines w:val="0"/>
        <w:keepNext w:val="0"/>
        <w:pageBreakBefore w:val="0"/>
        <w:spacing w:beforeAutospacing="0" w:afterAutospacing="0" w:line="340" w:lineRule="exac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④防火墙管理系统</w:t>
      </w:r>
      <w:r/>
    </w:p>
    <w:p>
      <w:pPr>
        <w:pStyle w:val="711"/>
        <w:ind w:firstLine="480"/>
        <w:jc w:val="both"/>
        <w:keepLines w:val="0"/>
        <w:keepNext w:val="0"/>
        <w:pageBreakBefore w:val="0"/>
        <w:spacing w:beforeAutospacing="0" w:afterAutospacing="0" w:line="340" w:lineRule="exac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⑤</w:t>
      </w:r>
      <w:r>
        <w:rPr>
          <w:rFonts w:hint="eastAsia" w:ascii="宋体" w:hAnsi="宋体" w:eastAsia="宋体" w:cs="宋体"/>
          <w:color w:val="auto"/>
          <w:sz w:val="21"/>
          <w:szCs w:val="21"/>
          <w:lang w:val="en-US" w:eastAsia="zh-CN"/>
        </w:rPr>
        <w:t xml:space="preserve">终端安全管理系统</w:t>
      </w:r>
      <w:r/>
    </w:p>
    <w:p>
      <w:pPr>
        <w:pStyle w:val="711"/>
        <w:ind w:firstLine="210"/>
        <w:jc w:val="both"/>
        <w:keepLines w:val="0"/>
        <w:keepNext w:val="0"/>
        <w:pageBreakBefore w:val="0"/>
        <w:spacing w:beforeAutospacing="0" w:afterAutospacing="0" w:line="3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（2）投标人需在“法人授权书”中注明进行现场演示的人员姓名及身份证号，不接受非注明的人员进入评审现场进行演示。投标人进入评审现场的人员应出示有效身份证件。</w:t>
      </w:r>
      <w:r/>
    </w:p>
    <w:p>
      <w:pPr>
        <w:pStyle w:val="683"/>
        <w:ind w:left="0" w:right="0" w:firstLine="0"/>
        <w:jc w:val="both"/>
        <w:keepLines w:val="0"/>
        <w:keepNext w:val="0"/>
        <w:pageBreakBefore w:val="0"/>
        <w:spacing w:before="0" w:beforeAutospacing="0" w:after="0" w:afterAutospacing="0" w:line="360" w:lineRule="exact"/>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四、采购标的对应的中小企业划分标准所属行业一览表</w:t>
      </w:r>
      <w:r/>
    </w:p>
    <w:tbl>
      <w:tblPr>
        <w:tblStyle w:val="692"/>
        <w:tblW w:w="4998"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1022"/>
        <w:gridCol w:w="4027"/>
        <w:gridCol w:w="3490"/>
      </w:tblGrid>
      <w:tr>
        <w:trPr>
          <w:jc w:val="center"/>
          <w:tblCellSpacing w:w="0" w:type="dxa"/>
          <w:trHeight w:val="455"/>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pStyle w:val="711"/>
              <w:keepLines w:val="0"/>
              <w:keepNext w:val="0"/>
              <w:pageBreakBefore w:val="0"/>
              <w:spacing w:beforeAutospacing="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57" w:type="pct"/>
            <w:vAlign w:val="center"/>
            <w:textDirection w:val="lrTb"/>
            <w:noWrap w:val="false"/>
          </w:tcPr>
          <w:p>
            <w:pPr>
              <w:pStyle w:val="711"/>
              <w:jc w:val="center"/>
              <w:keepLines w:val="0"/>
              <w:keepNext w:val="0"/>
              <w:pageBreakBefore w:val="0"/>
              <w:spacing w:beforeAutospacing="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pStyle w:val="711"/>
              <w:jc w:val="center"/>
              <w:keepLines w:val="0"/>
              <w:keepNext w:val="0"/>
              <w:pageBreakBefore w:val="0"/>
              <w:spacing w:beforeAutospacing="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对应中小企业划分标准所属行业</w:t>
            </w:r>
            <w:r/>
          </w:p>
        </w:tc>
      </w:tr>
      <w:tr>
        <w:trPr>
          <w:jc w:val="center"/>
          <w:tblCellSpacing w:w="0" w:type="dxa"/>
          <w:trHeight w:val="505"/>
        </w:trPr>
        <w:tc>
          <w:tcPr>
            <w:shd w:val="clear" w:color="auto" w:fill="auto"/>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pStyle w:val="711"/>
              <w:jc w:val="center"/>
              <w:keepLines w:val="0"/>
              <w:keepNext w:val="0"/>
              <w:pageBreakBefore w:val="0"/>
              <w:spacing w:beforeAutospacing="0" w:afterAutospacing="0" w:line="36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57" w:type="pct"/>
            <w:vAlign w:val="center"/>
            <w:textDirection w:val="lrTb"/>
            <w:noWrap w:val="false"/>
          </w:tcPr>
          <w:p>
            <w:pPr>
              <w:pStyle w:val="711"/>
              <w:jc w:val="center"/>
              <w:keepLines w:val="0"/>
              <w:keepNext w:val="0"/>
              <w:pageBreakBefore w:val="0"/>
              <w:spacing w:beforeAutospacing="0" w:afterAutospacing="0" w:line="360" w:lineRule="exact"/>
              <w:rPr>
                <w:rFonts w:hint="eastAsia" w:ascii="宋体" w:hAnsi="宋体" w:eastAsia="宋体" w:cs="宋体"/>
                <w:sz w:val="21"/>
                <w:szCs w:val="21"/>
              </w:rPr>
            </w:pPr>
            <w:r>
              <w:rPr>
                <w:rFonts w:hint="eastAsia" w:ascii="宋体" w:hAnsi="宋体" w:eastAsia="宋体" w:cs="宋体"/>
                <w:sz w:val="21"/>
                <w:szCs w:val="21"/>
                <w:shd w:val="clear" w:color="auto" w:fill="ffffff"/>
                <w:lang w:eastAsia="zh-CN"/>
              </w:rPr>
              <w:t xml:space="preserve">亭湖区数字化医共体“十张网”（十大中心）信息化建设二期项目</w:t>
            </w:r>
            <w:r>
              <w:rPr>
                <w:rFonts w:hint="eastAsia" w:ascii="宋体" w:hAnsi="宋体" w:eastAsia="宋体" w:cs="宋体"/>
                <w:sz w:val="21"/>
                <w:szCs w:val="21"/>
                <w:shd w:val="clear" w:color="auto" w:fill="ffffff"/>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pStyle w:val="711"/>
              <w:jc w:val="center"/>
              <w:keepLines w:val="0"/>
              <w:keepNext w:val="0"/>
              <w:pageBreakBefore w:val="0"/>
              <w:spacing w:beforeAutospacing="0" w:afterAutospacing="0" w:line="360" w:lineRule="exac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软件和信息技术服务业</w:t>
            </w:r>
            <w:r>
              <w:rPr>
                <w:rFonts w:hint="eastAsia" w:ascii="宋体" w:hAnsi="宋体" w:eastAsia="宋体" w:cs="宋体"/>
                <w:sz w:val="21"/>
                <w:szCs w:val="21"/>
              </w:rPr>
              <w:t xml:space="preserve"> </w:t>
            </w:r>
            <w:r/>
          </w:p>
        </w:tc>
      </w:tr>
    </w:tbl>
    <w:p>
      <w:pPr>
        <w:pStyle w:val="711"/>
        <w:jc w:val="center"/>
        <w:keepNext/>
        <w:spacing w:beforeAutospacing="0" w:afterAutospacing="0"/>
        <w:rPr>
          <w:rFonts w:hint="eastAsia" w:ascii="宋体" w:hAnsi="宋体" w:eastAsia="宋体" w:cs="宋体"/>
          <w:sz w:val="22"/>
          <w:szCs w:val="22"/>
        </w:rPr>
      </w:pPr>
      <w:r>
        <w:rPr>
          <w:rFonts w:hint="eastAsia" w:ascii="宋体" w:hAnsi="宋体" w:eastAsia="宋体" w:cs="宋体"/>
          <w:b/>
          <w:color w:val="000000"/>
          <w:sz w:val="40"/>
          <w:szCs w:val="40"/>
          <w:highlight w:val="none"/>
        </w:rPr>
      </w:r>
      <w:r>
        <w:rPr>
          <w:rFonts w:hint="eastAsia" w:ascii="宋体" w:hAnsi="宋体" w:eastAsia="宋体" w:cs="宋体"/>
          <w:b/>
          <w:color w:val="000000"/>
          <w:sz w:val="40"/>
          <w:szCs w:val="40"/>
          <w:highlight w:val="none"/>
        </w:rPr>
      </w:r>
      <w:r/>
    </w:p>
    <w:p>
      <w:pPr>
        <w:pStyle w:val="711"/>
        <w:jc w:val="center"/>
        <w:keepNext/>
        <w:spacing w:beforeAutospacing="0" w:afterAutospacing="0"/>
        <w:rPr>
          <w:rFonts w:hint="eastAsia" w:ascii="宋体" w:hAnsi="宋体" w:eastAsia="宋体" w:cs="宋体"/>
          <w:b/>
          <w:bCs/>
          <w:color w:val="000000"/>
          <w:sz w:val="40"/>
          <w:szCs w:val="40"/>
          <w:highlight w:val="none"/>
        </w:rPr>
      </w:pPr>
      <w:r>
        <w:rPr>
          <w:rFonts w:hint="eastAsia" w:ascii="宋体" w:hAnsi="宋体" w:eastAsia="宋体" w:cs="宋体"/>
          <w:b/>
          <w:color w:val="000000"/>
          <w:sz w:val="40"/>
          <w:szCs w:val="40"/>
          <w:highlight w:val="none"/>
        </w:rPr>
      </w:r>
      <w:r>
        <w:rPr>
          <w:rFonts w:hint="eastAsia" w:ascii="宋体" w:hAnsi="宋体" w:eastAsia="宋体" w:cs="宋体"/>
          <w:b/>
          <w:color w:val="000000"/>
          <w:sz w:val="40"/>
          <w:szCs w:val="40"/>
          <w:highlight w:val="none"/>
        </w:rPr>
      </w:r>
      <w:r/>
    </w:p>
    <w:p>
      <w:pPr>
        <w:pStyle w:val="711"/>
        <w:jc w:val="center"/>
        <w:keepNext/>
        <w:spacing w:beforeAutospacing="0" w:afterAutospacing="0"/>
        <w:rPr>
          <w:rFonts w:hint="eastAsia" w:ascii="宋体" w:hAnsi="宋体" w:eastAsia="宋体" w:cs="宋体"/>
          <w:b/>
          <w:bCs/>
          <w:color w:val="000000"/>
          <w:sz w:val="40"/>
          <w:szCs w:val="40"/>
          <w:highlight w:val="none"/>
        </w:rPr>
      </w:pPr>
      <w:r>
        <w:rPr>
          <w:rFonts w:hint="eastAsia" w:ascii="宋体" w:hAnsi="宋体" w:eastAsia="宋体" w:cs="宋体"/>
          <w:b/>
          <w:color w:val="000000"/>
          <w:sz w:val="40"/>
          <w:szCs w:val="40"/>
          <w:highlight w:val="none"/>
        </w:rPr>
      </w:r>
      <w:r>
        <w:rPr>
          <w:rFonts w:hint="eastAsia" w:ascii="宋体" w:hAnsi="宋体" w:eastAsia="宋体" w:cs="宋体"/>
          <w:b/>
          <w:color w:val="000000"/>
          <w:sz w:val="40"/>
          <w:szCs w:val="40"/>
          <w:highlight w:val="none"/>
        </w:rPr>
      </w:r>
      <w:r/>
    </w:p>
    <w:p>
      <w:pPr>
        <w:pStyle w:val="711"/>
        <w:jc w:val="center"/>
        <w:keepNext/>
        <w:spacing w:beforeAutospacing="0" w:afterAutospacing="0"/>
        <w:rPr>
          <w:rFonts w:hint="eastAsia" w:ascii="宋体" w:hAnsi="宋体" w:eastAsia="宋体" w:cs="宋体"/>
          <w:b/>
          <w:bCs/>
          <w:color w:val="000000"/>
          <w:sz w:val="40"/>
          <w:szCs w:val="40"/>
          <w:highlight w:val="none"/>
        </w:rPr>
      </w:pPr>
      <w:r>
        <w:rPr>
          <w:rFonts w:hint="eastAsia" w:ascii="宋体" w:hAnsi="宋体" w:eastAsia="宋体" w:cs="宋体"/>
          <w:b/>
          <w:color w:val="000000"/>
          <w:sz w:val="40"/>
          <w:szCs w:val="40"/>
          <w:highlight w:val="none"/>
        </w:rPr>
      </w:r>
      <w:r>
        <w:rPr>
          <w:rFonts w:hint="eastAsia" w:ascii="宋体" w:hAnsi="宋体" w:eastAsia="宋体" w:cs="宋体"/>
          <w:b/>
          <w:color w:val="000000"/>
          <w:sz w:val="40"/>
          <w:szCs w:val="40"/>
          <w:highlight w:val="none"/>
        </w:rPr>
      </w:r>
      <w:r/>
    </w:p>
    <w:p>
      <w:pPr>
        <w:pStyle w:val="711"/>
        <w:jc w:val="center"/>
        <w:keepNext/>
        <w:spacing w:beforeAutospacing="0" w:afterAutospacing="0"/>
        <w:rPr>
          <w:rFonts w:hint="eastAsia" w:ascii="宋体" w:hAnsi="宋体" w:eastAsia="宋体" w:cs="宋体"/>
          <w:b/>
          <w:bCs/>
          <w:color w:val="000000"/>
          <w:sz w:val="40"/>
          <w:szCs w:val="40"/>
          <w:highlight w:val="none"/>
        </w:rPr>
      </w:pPr>
      <w:r>
        <w:rPr>
          <w:rFonts w:hint="eastAsia" w:ascii="宋体" w:hAnsi="宋体" w:eastAsia="宋体" w:cs="宋体"/>
          <w:b/>
          <w:color w:val="000000"/>
          <w:sz w:val="40"/>
          <w:szCs w:val="40"/>
          <w:highlight w:val="none"/>
        </w:rPr>
      </w:r>
      <w:r>
        <w:rPr>
          <w:rFonts w:hint="eastAsia" w:ascii="宋体" w:hAnsi="宋体" w:eastAsia="宋体" w:cs="宋体"/>
          <w:b/>
          <w:color w:val="000000"/>
          <w:sz w:val="40"/>
          <w:szCs w:val="40"/>
          <w:highlight w:val="none"/>
        </w:rPr>
      </w:r>
      <w:r/>
    </w:p>
    <w:p>
      <w:pPr>
        <w:pStyle w:val="711"/>
        <w:jc w:val="center"/>
        <w:keepNext/>
        <w:spacing w:beforeAutospacing="0" w:afterAutospacing="0"/>
        <w:rPr>
          <w:rFonts w:hint="eastAsia" w:ascii="宋体" w:hAnsi="宋体" w:eastAsia="宋体" w:cs="宋体"/>
          <w:b/>
          <w:bCs/>
          <w:color w:val="000000"/>
          <w:sz w:val="40"/>
          <w:szCs w:val="40"/>
          <w:highlight w:val="none"/>
        </w:rPr>
      </w:pPr>
      <w:r>
        <w:rPr>
          <w:rFonts w:hint="eastAsia" w:ascii="宋体" w:hAnsi="宋体" w:eastAsia="宋体" w:cs="宋体"/>
          <w:b/>
          <w:color w:val="000000"/>
          <w:sz w:val="40"/>
          <w:szCs w:val="40"/>
          <w:highlight w:val="none"/>
        </w:rPr>
      </w:r>
      <w:r>
        <w:rPr>
          <w:rFonts w:hint="eastAsia" w:ascii="宋体" w:hAnsi="宋体" w:eastAsia="宋体" w:cs="宋体"/>
          <w:b/>
          <w:color w:val="000000"/>
          <w:sz w:val="40"/>
          <w:szCs w:val="40"/>
          <w:highlight w:val="none"/>
        </w:rPr>
      </w:r>
      <w:r/>
    </w:p>
    <w:p>
      <w:pPr>
        <w:pStyle w:val="711"/>
        <w:jc w:val="center"/>
        <w:keepNext/>
        <w:spacing w:beforeAutospacing="0" w:afterAutospacing="0"/>
        <w:rPr>
          <w:rFonts w:hint="eastAsia" w:ascii="宋体" w:hAnsi="宋体" w:eastAsia="宋体" w:cs="宋体"/>
          <w:b/>
          <w:bCs/>
          <w:color w:val="000000"/>
          <w:sz w:val="40"/>
          <w:szCs w:val="40"/>
          <w:highlight w:val="none"/>
        </w:rPr>
      </w:pPr>
      <w:r>
        <w:rPr>
          <w:rFonts w:hint="eastAsia" w:ascii="宋体" w:hAnsi="宋体" w:eastAsia="宋体" w:cs="宋体"/>
          <w:b/>
          <w:color w:val="000000"/>
          <w:sz w:val="40"/>
          <w:szCs w:val="40"/>
          <w:highlight w:val="none"/>
        </w:rPr>
      </w:r>
      <w:r>
        <w:rPr>
          <w:rFonts w:hint="eastAsia" w:ascii="宋体" w:hAnsi="宋体" w:eastAsia="宋体" w:cs="宋体"/>
          <w:b/>
          <w:color w:val="000000"/>
          <w:sz w:val="40"/>
          <w:szCs w:val="40"/>
          <w:highlight w:val="none"/>
        </w:rPr>
      </w:r>
      <w:r/>
    </w:p>
    <w:p>
      <w:pPr>
        <w:pStyle w:val="711"/>
        <w:jc w:val="center"/>
        <w:keepNext/>
        <w:spacing w:beforeAutospacing="0" w:afterAutospacing="0"/>
        <w:rPr>
          <w:rFonts w:hint="eastAsia" w:ascii="宋体" w:hAnsi="宋体" w:eastAsia="宋体" w:cs="宋体"/>
          <w:b/>
          <w:bCs/>
          <w:color w:val="000000"/>
          <w:sz w:val="40"/>
          <w:szCs w:val="40"/>
          <w:highlight w:val="none"/>
        </w:rPr>
      </w:pPr>
      <w:r>
        <w:rPr>
          <w:rFonts w:hint="eastAsia" w:ascii="宋体" w:hAnsi="宋体" w:eastAsia="宋体" w:cs="宋体"/>
          <w:b/>
          <w:color w:val="000000"/>
          <w:sz w:val="40"/>
          <w:szCs w:val="40"/>
          <w:highlight w:val="none"/>
        </w:rPr>
      </w:r>
      <w:r>
        <w:rPr>
          <w:rFonts w:hint="eastAsia" w:ascii="宋体" w:hAnsi="宋体" w:eastAsia="宋体" w:cs="宋体"/>
          <w:b/>
          <w:color w:val="000000"/>
          <w:sz w:val="40"/>
          <w:szCs w:val="40"/>
          <w:highlight w:val="none"/>
        </w:rPr>
      </w:r>
      <w:r/>
    </w:p>
    <w:p>
      <w:pPr>
        <w:pStyle w:val="711"/>
        <w:jc w:val="center"/>
        <w:keepNext/>
        <w:spacing w:beforeAutospacing="0" w:afterAutospacing="0"/>
        <w:rPr>
          <w:rFonts w:hint="eastAsia" w:ascii="宋体" w:hAnsi="宋体" w:eastAsia="宋体" w:cs="宋体"/>
          <w:b/>
          <w:bCs/>
          <w:color w:val="000000"/>
          <w:sz w:val="40"/>
          <w:szCs w:val="40"/>
          <w:highlight w:val="none"/>
        </w:rPr>
      </w:pPr>
      <w:r>
        <w:rPr>
          <w:rFonts w:hint="eastAsia" w:ascii="宋体" w:hAnsi="宋体" w:eastAsia="宋体" w:cs="宋体"/>
          <w:b/>
          <w:color w:val="000000"/>
          <w:sz w:val="40"/>
          <w:szCs w:val="40"/>
          <w:highlight w:val="none"/>
        </w:rPr>
      </w:r>
      <w:r>
        <w:rPr>
          <w:rFonts w:hint="eastAsia" w:ascii="宋体" w:hAnsi="宋体" w:eastAsia="宋体" w:cs="宋体"/>
          <w:b/>
          <w:color w:val="000000"/>
          <w:sz w:val="40"/>
          <w:szCs w:val="40"/>
          <w:highlight w:val="none"/>
        </w:rPr>
      </w:r>
      <w:r/>
    </w:p>
    <w:p>
      <w:pPr>
        <w:pStyle w:val="711"/>
        <w:jc w:val="center"/>
        <w:keepNext/>
        <w:spacing w:beforeAutospacing="0" w:afterAutospacing="0"/>
        <w:rPr>
          <w:rFonts w:hint="eastAsia" w:ascii="宋体" w:hAnsi="宋体" w:eastAsia="宋体" w:cs="宋体"/>
          <w:b/>
          <w:bCs/>
          <w:color w:val="000000"/>
          <w:sz w:val="40"/>
          <w:szCs w:val="40"/>
          <w:highlight w:val="none"/>
        </w:rPr>
      </w:pPr>
      <w:r>
        <w:rPr>
          <w:rFonts w:hint="eastAsia" w:ascii="宋体" w:hAnsi="宋体" w:eastAsia="宋体" w:cs="宋体"/>
          <w:b/>
          <w:color w:val="000000"/>
          <w:sz w:val="40"/>
          <w:szCs w:val="40"/>
          <w:highlight w:val="none"/>
        </w:rPr>
      </w:r>
      <w:r>
        <w:rPr>
          <w:rFonts w:hint="eastAsia" w:ascii="宋体" w:hAnsi="宋体" w:eastAsia="宋体" w:cs="宋体"/>
          <w:b/>
          <w:color w:val="000000"/>
          <w:sz w:val="40"/>
          <w:szCs w:val="40"/>
          <w:highlight w:val="none"/>
        </w:rPr>
      </w:r>
      <w:r/>
    </w:p>
    <w:p>
      <w:pPr>
        <w:pStyle w:val="711"/>
        <w:jc w:val="center"/>
        <w:keepNext/>
        <w:spacing w:beforeAutospacing="0" w:afterAutospacing="0"/>
        <w:rPr>
          <w:rFonts w:hint="eastAsia" w:ascii="宋体" w:hAnsi="宋体" w:eastAsia="宋体" w:cs="宋体"/>
          <w:b/>
          <w:bCs/>
          <w:color w:val="000000"/>
          <w:sz w:val="40"/>
          <w:szCs w:val="40"/>
          <w:highlight w:val="none"/>
        </w:rPr>
      </w:pPr>
      <w:r>
        <w:rPr>
          <w:rFonts w:hint="eastAsia" w:ascii="宋体" w:hAnsi="宋体" w:eastAsia="宋体" w:cs="宋体"/>
          <w:b/>
          <w:color w:val="000000"/>
          <w:sz w:val="40"/>
          <w:szCs w:val="40"/>
          <w:highlight w:val="none"/>
        </w:rPr>
      </w:r>
      <w:r>
        <w:rPr>
          <w:rFonts w:hint="eastAsia" w:ascii="宋体" w:hAnsi="宋体" w:eastAsia="宋体" w:cs="宋体"/>
          <w:b/>
          <w:color w:val="000000"/>
          <w:sz w:val="40"/>
          <w:szCs w:val="40"/>
          <w:highlight w:val="none"/>
        </w:rPr>
      </w:r>
      <w:r/>
    </w:p>
    <w:p>
      <w:pPr>
        <w:pStyle w:val="711"/>
        <w:jc w:val="center"/>
        <w:keepNext/>
        <w:spacing w:beforeAutospacing="0" w:afterAutospacing="0"/>
        <w:rPr>
          <w:rFonts w:hint="eastAsia" w:ascii="宋体" w:hAnsi="宋体" w:eastAsia="宋体" w:cs="宋体"/>
          <w:b/>
          <w:bCs/>
          <w:color w:val="000000"/>
          <w:sz w:val="40"/>
          <w:szCs w:val="40"/>
          <w:highlight w:val="none"/>
        </w:rPr>
      </w:pPr>
      <w:r>
        <w:rPr>
          <w:rFonts w:hint="eastAsia" w:ascii="宋体" w:hAnsi="宋体" w:eastAsia="宋体" w:cs="宋体"/>
          <w:b/>
          <w:color w:val="000000"/>
          <w:sz w:val="40"/>
          <w:szCs w:val="40"/>
          <w:highlight w:val="none"/>
        </w:rPr>
      </w:r>
      <w:r>
        <w:rPr>
          <w:rFonts w:hint="eastAsia" w:ascii="宋体" w:hAnsi="宋体" w:eastAsia="宋体" w:cs="宋体"/>
          <w:b/>
          <w:color w:val="000000"/>
          <w:sz w:val="40"/>
          <w:szCs w:val="40"/>
          <w:highlight w:val="none"/>
        </w:rPr>
      </w:r>
      <w:r/>
    </w:p>
    <w:p>
      <w:pPr>
        <w:pStyle w:val="711"/>
        <w:jc w:val="center"/>
        <w:keepNext/>
        <w:spacing w:beforeAutospacing="0" w:afterAutospacing="0"/>
        <w:rPr>
          <w:rFonts w:hint="eastAsia" w:ascii="宋体" w:hAnsi="宋体" w:eastAsia="宋体" w:cs="宋体"/>
          <w:b/>
          <w:bCs/>
          <w:color w:val="000000"/>
          <w:sz w:val="40"/>
          <w:szCs w:val="40"/>
          <w:highlight w:val="none"/>
        </w:rPr>
      </w:pPr>
      <w:r>
        <w:rPr>
          <w:rFonts w:hint="eastAsia" w:ascii="宋体" w:hAnsi="宋体" w:eastAsia="宋体" w:cs="宋体"/>
          <w:b/>
          <w:color w:val="000000"/>
          <w:sz w:val="40"/>
          <w:szCs w:val="40"/>
          <w:highlight w:val="none"/>
        </w:rPr>
      </w:r>
      <w:r>
        <w:rPr>
          <w:rFonts w:hint="eastAsia" w:ascii="宋体" w:hAnsi="宋体" w:eastAsia="宋体" w:cs="宋体"/>
          <w:b/>
          <w:color w:val="000000"/>
          <w:sz w:val="40"/>
          <w:szCs w:val="40"/>
          <w:highlight w:val="none"/>
        </w:rPr>
      </w:r>
      <w:r/>
    </w:p>
    <w:p>
      <w:pPr>
        <w:pStyle w:val="711"/>
        <w:jc w:val="center"/>
        <w:keepNext/>
        <w:spacing w:beforeAutospacing="0" w:afterAutospacing="0"/>
        <w:rPr>
          <w:rFonts w:hint="eastAsia" w:ascii="宋体" w:hAnsi="宋体" w:eastAsia="宋体" w:cs="宋体"/>
          <w:b/>
          <w:bCs/>
          <w:color w:val="000000"/>
          <w:sz w:val="40"/>
          <w:szCs w:val="40"/>
          <w:highlight w:val="none"/>
        </w:rPr>
      </w:pPr>
      <w:r>
        <w:rPr>
          <w:rFonts w:hint="eastAsia" w:ascii="宋体" w:hAnsi="宋体" w:eastAsia="宋体" w:cs="宋体"/>
          <w:b/>
          <w:color w:val="000000"/>
          <w:sz w:val="40"/>
          <w:szCs w:val="40"/>
          <w:highlight w:val="none"/>
        </w:rPr>
      </w:r>
      <w:r>
        <w:rPr>
          <w:rFonts w:hint="eastAsia" w:ascii="宋体" w:hAnsi="宋体" w:eastAsia="宋体" w:cs="宋体"/>
          <w:b/>
          <w:color w:val="000000"/>
          <w:sz w:val="40"/>
          <w:szCs w:val="40"/>
          <w:highlight w:val="none"/>
        </w:rPr>
      </w:r>
      <w:r/>
    </w:p>
    <w:p>
      <w:pPr>
        <w:pStyle w:val="711"/>
        <w:jc w:val="center"/>
        <w:keepNext/>
        <w:spacing w:beforeAutospacing="0" w:afterAutospacing="0"/>
        <w:rPr>
          <w:rFonts w:hint="eastAsia" w:ascii="宋体" w:hAnsi="宋体" w:eastAsia="宋体" w:cs="宋体"/>
          <w:b/>
          <w:bCs/>
          <w:color w:val="000000"/>
          <w:sz w:val="40"/>
          <w:szCs w:val="40"/>
          <w:highlight w:val="none"/>
        </w:rPr>
      </w:pPr>
      <w:r>
        <w:rPr>
          <w:rFonts w:hint="eastAsia" w:ascii="宋体" w:hAnsi="宋体" w:eastAsia="宋体" w:cs="宋体"/>
          <w:b/>
          <w:color w:val="000000"/>
          <w:sz w:val="40"/>
          <w:szCs w:val="40"/>
          <w:highlight w:val="none"/>
        </w:rPr>
      </w:r>
      <w:r>
        <w:rPr>
          <w:rFonts w:hint="eastAsia" w:ascii="宋体" w:hAnsi="宋体" w:eastAsia="宋体" w:cs="宋体"/>
          <w:b/>
          <w:color w:val="000000"/>
          <w:sz w:val="40"/>
          <w:szCs w:val="40"/>
          <w:highlight w:val="none"/>
        </w:rPr>
      </w:r>
      <w:r/>
    </w:p>
    <w:p>
      <w:pPr>
        <w:pStyle w:val="711"/>
        <w:jc w:val="center"/>
        <w:keepNext/>
        <w:spacing w:beforeAutospacing="0" w:afterAutospacing="0"/>
        <w:rPr>
          <w:rFonts w:hint="eastAsia" w:ascii="宋体" w:hAnsi="宋体" w:eastAsia="宋体" w:cs="宋体"/>
          <w:b/>
          <w:bCs/>
          <w:color w:val="000000"/>
          <w:sz w:val="40"/>
          <w:szCs w:val="40"/>
          <w:highlight w:val="none"/>
        </w:rPr>
      </w:pPr>
      <w:r>
        <w:rPr>
          <w:rFonts w:hint="eastAsia" w:ascii="宋体" w:hAnsi="宋体" w:eastAsia="宋体" w:cs="宋体"/>
          <w:b/>
          <w:color w:val="000000"/>
          <w:sz w:val="40"/>
          <w:szCs w:val="40"/>
          <w:highlight w:val="none"/>
        </w:rPr>
      </w:r>
      <w:r>
        <w:rPr>
          <w:rFonts w:hint="eastAsia" w:ascii="宋体" w:hAnsi="宋体" w:eastAsia="宋体" w:cs="宋体"/>
          <w:b/>
          <w:color w:val="000000"/>
          <w:sz w:val="40"/>
          <w:szCs w:val="40"/>
          <w:highlight w:val="none"/>
        </w:rPr>
      </w:r>
      <w:r/>
    </w:p>
    <w:p>
      <w:pPr>
        <w:pStyle w:val="711"/>
        <w:jc w:val="center"/>
        <w:keepNext/>
        <w:spacing w:beforeAutospacing="0" w:afterAutospacing="0"/>
        <w:rPr>
          <w:rFonts w:hint="eastAsia" w:ascii="宋体" w:hAnsi="宋体" w:eastAsia="宋体" w:cs="宋体"/>
          <w:b/>
          <w:bCs/>
          <w:color w:val="000000"/>
          <w:sz w:val="40"/>
          <w:szCs w:val="40"/>
          <w:highlight w:val="none"/>
        </w:rPr>
      </w:pPr>
      <w:r>
        <w:rPr>
          <w:rFonts w:hint="eastAsia" w:ascii="宋体" w:hAnsi="宋体" w:eastAsia="宋体" w:cs="宋体"/>
          <w:b/>
          <w:color w:val="000000"/>
          <w:sz w:val="40"/>
          <w:szCs w:val="40"/>
          <w:highlight w:val="none"/>
        </w:rPr>
      </w:r>
      <w:r>
        <w:rPr>
          <w:rFonts w:hint="eastAsia" w:ascii="宋体" w:hAnsi="宋体" w:eastAsia="宋体" w:cs="宋体"/>
          <w:b/>
          <w:color w:val="000000"/>
          <w:sz w:val="40"/>
          <w:szCs w:val="40"/>
          <w:highlight w:val="none"/>
        </w:rPr>
      </w:r>
      <w:r/>
    </w:p>
    <w:p>
      <w:pPr>
        <w:pStyle w:val="711"/>
        <w:jc w:val="center"/>
        <w:keepNext/>
        <w:spacing w:beforeAutospacing="0" w:afterAutospacing="0"/>
        <w:rPr>
          <w:rFonts w:hint="eastAsia" w:ascii="宋体" w:hAnsi="宋体" w:eastAsia="宋体" w:cs="宋体"/>
          <w:b/>
          <w:bCs/>
          <w:color w:val="000000"/>
          <w:sz w:val="40"/>
          <w:szCs w:val="40"/>
          <w:highlight w:val="none"/>
        </w:rPr>
      </w:pPr>
      <w:r>
        <w:rPr>
          <w:rFonts w:hint="eastAsia" w:ascii="宋体" w:hAnsi="宋体" w:eastAsia="宋体" w:cs="宋体"/>
          <w:b/>
          <w:color w:val="000000"/>
          <w:sz w:val="40"/>
          <w:szCs w:val="40"/>
          <w:highlight w:val="none"/>
        </w:rPr>
      </w:r>
      <w:r>
        <w:rPr>
          <w:rFonts w:hint="eastAsia" w:ascii="宋体" w:hAnsi="宋体" w:eastAsia="宋体" w:cs="宋体"/>
          <w:b/>
          <w:color w:val="000000"/>
          <w:sz w:val="40"/>
          <w:szCs w:val="40"/>
          <w:highlight w:val="none"/>
        </w:rPr>
      </w:r>
      <w:r/>
    </w:p>
    <w:p>
      <w:pPr>
        <w:pStyle w:val="711"/>
        <w:jc w:val="center"/>
        <w:keepNext/>
        <w:spacing w:beforeAutospacing="0" w:afterAutospacing="0"/>
        <w:rPr>
          <w:rFonts w:hint="eastAsia" w:ascii="宋体" w:hAnsi="宋体" w:eastAsia="宋体" w:cs="宋体"/>
          <w:b/>
          <w:bCs/>
          <w:color w:val="000000"/>
          <w:sz w:val="40"/>
          <w:szCs w:val="40"/>
          <w:highlight w:val="none"/>
        </w:rPr>
      </w:pPr>
      <w:r>
        <w:rPr>
          <w:rFonts w:hint="eastAsia" w:ascii="宋体" w:hAnsi="宋体" w:eastAsia="宋体" w:cs="宋体"/>
          <w:b/>
          <w:color w:val="000000"/>
          <w:sz w:val="40"/>
          <w:szCs w:val="40"/>
          <w:highlight w:val="none"/>
        </w:rPr>
      </w:r>
      <w:r>
        <w:rPr>
          <w:rFonts w:hint="eastAsia" w:ascii="宋体" w:hAnsi="宋体" w:eastAsia="宋体" w:cs="宋体"/>
          <w:b/>
          <w:color w:val="000000"/>
          <w:sz w:val="40"/>
          <w:szCs w:val="40"/>
          <w:highlight w:val="none"/>
        </w:rPr>
      </w:r>
      <w:r/>
    </w:p>
    <w:p>
      <w:pPr>
        <w:pStyle w:val="711"/>
        <w:jc w:val="center"/>
        <w:keepNext/>
        <w:spacing w:beforeAutospacing="0" w:afterAutospacing="0"/>
        <w:rPr>
          <w:rFonts w:hint="eastAsia" w:ascii="宋体" w:hAnsi="宋体" w:eastAsia="宋体" w:cs="宋体"/>
          <w:b/>
          <w:bCs/>
          <w:color w:val="000000"/>
          <w:sz w:val="40"/>
          <w:szCs w:val="40"/>
          <w:highlight w:val="none"/>
        </w:rPr>
      </w:pPr>
      <w:r>
        <w:rPr>
          <w:rFonts w:hint="eastAsia" w:ascii="宋体" w:hAnsi="宋体" w:eastAsia="宋体" w:cs="宋体"/>
          <w:b/>
          <w:color w:val="000000"/>
          <w:sz w:val="40"/>
          <w:szCs w:val="40"/>
          <w:highlight w:val="none"/>
        </w:rPr>
      </w:r>
      <w:r>
        <w:rPr>
          <w:rFonts w:hint="eastAsia" w:ascii="宋体" w:hAnsi="宋体" w:eastAsia="宋体" w:cs="宋体"/>
          <w:b/>
          <w:color w:val="000000"/>
          <w:sz w:val="40"/>
          <w:szCs w:val="40"/>
          <w:highlight w:val="none"/>
        </w:rPr>
      </w:r>
      <w:r/>
    </w:p>
    <w:p>
      <w:pPr>
        <w:pStyle w:val="711"/>
        <w:jc w:val="center"/>
        <w:keepNext/>
        <w:spacing w:beforeAutospacing="0" w:afterAutospacing="0"/>
        <w:rPr>
          <w:rFonts w:hint="eastAsia" w:ascii="宋体" w:hAnsi="宋体" w:eastAsia="宋体" w:cs="宋体"/>
          <w:b/>
          <w:bCs/>
          <w:color w:val="000000"/>
          <w:sz w:val="40"/>
          <w:szCs w:val="40"/>
          <w:highlight w:val="none"/>
        </w:rPr>
      </w:pPr>
      <w:r>
        <w:rPr>
          <w:rFonts w:hint="eastAsia" w:ascii="宋体" w:hAnsi="宋体" w:eastAsia="宋体" w:cs="宋体"/>
          <w:b/>
          <w:color w:val="000000"/>
          <w:sz w:val="40"/>
          <w:szCs w:val="40"/>
          <w:highlight w:val="none"/>
        </w:rPr>
      </w:r>
      <w:r>
        <w:rPr>
          <w:rFonts w:hint="eastAsia" w:ascii="宋体" w:hAnsi="宋体" w:eastAsia="宋体" w:cs="宋体"/>
          <w:b/>
          <w:color w:val="000000"/>
          <w:sz w:val="40"/>
          <w:szCs w:val="40"/>
          <w:highlight w:val="none"/>
        </w:rPr>
      </w:r>
      <w:r/>
    </w:p>
    <w:p>
      <w:pPr>
        <w:pStyle w:val="711"/>
        <w:jc w:val="center"/>
        <w:keepNext/>
        <w:spacing w:beforeAutospacing="0" w:afterAutospacing="0"/>
        <w:rPr>
          <w:rFonts w:hint="eastAsia" w:ascii="宋体" w:hAnsi="宋体" w:eastAsia="宋体" w:cs="宋体"/>
          <w:b/>
          <w:bCs/>
          <w:color w:val="000000"/>
          <w:sz w:val="40"/>
          <w:szCs w:val="40"/>
          <w:highlight w:val="none"/>
        </w:rPr>
      </w:pPr>
      <w:r>
        <w:rPr>
          <w:rFonts w:hint="eastAsia" w:ascii="宋体" w:hAnsi="宋体" w:eastAsia="宋体" w:cs="宋体"/>
          <w:b/>
          <w:color w:val="000000"/>
          <w:sz w:val="40"/>
          <w:szCs w:val="40"/>
          <w:highlight w:val="none"/>
        </w:rPr>
      </w:r>
      <w:r>
        <w:rPr>
          <w:rFonts w:hint="eastAsia" w:ascii="宋体" w:hAnsi="宋体" w:eastAsia="宋体" w:cs="宋体"/>
          <w:b/>
          <w:color w:val="000000"/>
          <w:sz w:val="40"/>
          <w:szCs w:val="40"/>
          <w:highlight w:val="none"/>
        </w:rPr>
      </w:r>
      <w:r/>
    </w:p>
    <w:p>
      <w:pPr>
        <w:pStyle w:val="711"/>
        <w:jc w:val="center"/>
        <w:keepNext/>
        <w:spacing w:beforeAutospacing="0" w:afterAutospacing="0"/>
        <w:rPr>
          <w:rFonts w:hint="eastAsia" w:ascii="宋体" w:hAnsi="宋体" w:eastAsia="宋体" w:cs="宋体"/>
          <w:b/>
          <w:bCs/>
          <w:color w:val="000000"/>
          <w:sz w:val="40"/>
          <w:szCs w:val="40"/>
          <w:highlight w:val="none"/>
        </w:rPr>
      </w:pPr>
      <w:r>
        <w:rPr>
          <w:rFonts w:hint="eastAsia" w:ascii="宋体" w:hAnsi="宋体" w:eastAsia="宋体" w:cs="宋体"/>
          <w:b/>
          <w:color w:val="000000"/>
          <w:sz w:val="40"/>
          <w:szCs w:val="40"/>
          <w:highlight w:val="none"/>
        </w:rPr>
      </w:r>
      <w:r>
        <w:rPr>
          <w:rFonts w:hint="eastAsia" w:ascii="宋体" w:hAnsi="宋体" w:eastAsia="宋体" w:cs="宋体"/>
          <w:b/>
          <w:color w:val="000000"/>
          <w:sz w:val="40"/>
          <w:szCs w:val="40"/>
          <w:highlight w:val="none"/>
        </w:rPr>
      </w:r>
      <w:r/>
    </w:p>
    <w:p>
      <w:pPr>
        <w:pStyle w:val="711"/>
        <w:jc w:val="center"/>
        <w:keepNext/>
        <w:spacing w:beforeAutospacing="0" w:afterAutospacing="0"/>
        <w:rPr>
          <w:rFonts w:hint="eastAsia" w:ascii="宋体" w:hAnsi="宋体" w:eastAsia="宋体" w:cs="宋体"/>
          <w:b/>
          <w:bCs/>
          <w:color w:val="000000"/>
          <w:sz w:val="40"/>
          <w:szCs w:val="40"/>
          <w:highlight w:val="none"/>
        </w:rPr>
      </w:pPr>
      <w:r>
        <w:rPr>
          <w:rFonts w:hint="eastAsia" w:ascii="宋体" w:hAnsi="宋体" w:eastAsia="宋体" w:cs="宋体"/>
          <w:b/>
          <w:color w:val="000000"/>
          <w:sz w:val="40"/>
          <w:szCs w:val="40"/>
          <w:highlight w:val="none"/>
        </w:rPr>
      </w:r>
      <w:r>
        <w:rPr>
          <w:rFonts w:hint="eastAsia" w:ascii="宋体" w:hAnsi="宋体" w:eastAsia="宋体" w:cs="宋体"/>
          <w:b/>
          <w:color w:val="000000"/>
          <w:sz w:val="40"/>
          <w:szCs w:val="40"/>
          <w:highlight w:val="none"/>
        </w:rPr>
      </w:r>
      <w:r/>
    </w:p>
    <w:p>
      <w:pPr>
        <w:pStyle w:val="711"/>
        <w:jc w:val="center"/>
        <w:keepNext/>
        <w:spacing w:beforeAutospacing="0" w:afterAutospacing="0"/>
        <w:rPr>
          <w:rFonts w:hint="eastAsia" w:ascii="宋体" w:hAnsi="宋体" w:eastAsia="宋体" w:cs="宋体"/>
          <w:b/>
          <w:bCs/>
          <w:color w:val="000000"/>
          <w:sz w:val="40"/>
          <w:szCs w:val="40"/>
          <w:highlight w:val="none"/>
        </w:rPr>
      </w:pPr>
      <w:r>
        <w:rPr>
          <w:rFonts w:hint="eastAsia" w:ascii="宋体" w:hAnsi="宋体" w:eastAsia="宋体" w:cs="宋体"/>
          <w:b/>
          <w:color w:val="000000"/>
          <w:sz w:val="40"/>
          <w:szCs w:val="40"/>
          <w:highlight w:val="none"/>
        </w:rPr>
      </w:r>
      <w:r>
        <w:rPr>
          <w:rFonts w:hint="eastAsia" w:ascii="宋体" w:hAnsi="宋体" w:eastAsia="宋体" w:cs="宋体"/>
          <w:b/>
          <w:color w:val="000000"/>
          <w:sz w:val="40"/>
          <w:szCs w:val="40"/>
          <w:highlight w:val="none"/>
        </w:rPr>
      </w:r>
      <w:r/>
    </w:p>
    <w:p>
      <w:pPr>
        <w:pStyle w:val="711"/>
        <w:jc w:val="center"/>
        <w:keepNext/>
        <w:spacing w:beforeAutospacing="0" w:afterAutospacing="0"/>
        <w:rPr>
          <w:rFonts w:hint="eastAsia" w:ascii="宋体" w:hAnsi="宋体" w:eastAsia="宋体" w:cs="宋体"/>
          <w:b/>
          <w:bCs/>
          <w:color w:val="000000"/>
          <w:sz w:val="40"/>
          <w:szCs w:val="40"/>
          <w:highlight w:val="none"/>
        </w:rPr>
      </w:pPr>
      <w:r>
        <w:rPr>
          <w:rFonts w:hint="eastAsia" w:ascii="宋体" w:hAnsi="宋体" w:eastAsia="宋体" w:cs="宋体"/>
          <w:b/>
          <w:color w:val="000000"/>
          <w:sz w:val="40"/>
          <w:szCs w:val="40"/>
          <w:highlight w:val="none"/>
        </w:rPr>
      </w:r>
      <w:r>
        <w:rPr>
          <w:rFonts w:hint="eastAsia" w:ascii="宋体" w:hAnsi="宋体" w:eastAsia="宋体" w:cs="宋体"/>
          <w:b/>
          <w:color w:val="000000"/>
          <w:sz w:val="40"/>
          <w:szCs w:val="40"/>
          <w:highlight w:val="none"/>
        </w:rPr>
      </w:r>
      <w:r/>
    </w:p>
    <w:p>
      <w:pPr>
        <w:pStyle w:val="711"/>
        <w:jc w:val="center"/>
        <w:keepNext/>
        <w:spacing w:beforeAutospacing="0" w:afterAutospacing="0"/>
        <w:rPr>
          <w:rFonts w:hint="eastAsia" w:ascii="宋体" w:hAnsi="宋体" w:eastAsia="宋体" w:cs="宋体"/>
          <w:b/>
          <w:bCs/>
          <w:color w:val="000000"/>
          <w:sz w:val="40"/>
          <w:szCs w:val="40"/>
          <w:highlight w:val="none"/>
        </w:rPr>
      </w:pPr>
      <w:r>
        <w:rPr>
          <w:rFonts w:hint="eastAsia" w:ascii="宋体" w:hAnsi="宋体" w:eastAsia="宋体" w:cs="宋体"/>
          <w:b/>
          <w:color w:val="000000"/>
          <w:sz w:val="40"/>
          <w:szCs w:val="40"/>
          <w:highlight w:val="none"/>
        </w:rPr>
      </w:r>
      <w:r>
        <w:rPr>
          <w:rFonts w:hint="eastAsia" w:ascii="宋体" w:hAnsi="宋体" w:eastAsia="宋体" w:cs="宋体"/>
          <w:b/>
          <w:color w:val="000000"/>
          <w:sz w:val="40"/>
          <w:szCs w:val="40"/>
          <w:highlight w:val="none"/>
        </w:rPr>
      </w:r>
      <w:r/>
    </w:p>
    <w:p>
      <w:pPr>
        <w:pStyle w:val="711"/>
        <w:jc w:val="center"/>
        <w:keepNext/>
        <w:spacing w:beforeAutospacing="0" w:afterAutospacing="0"/>
        <w:rPr>
          <w:rFonts w:hint="eastAsia" w:ascii="宋体" w:hAnsi="宋体" w:eastAsia="宋体" w:cs="宋体"/>
          <w:b/>
          <w:bCs/>
          <w:color w:val="000000"/>
          <w:sz w:val="40"/>
          <w:szCs w:val="40"/>
          <w:highlight w:val="none"/>
        </w:rPr>
      </w:pPr>
      <w:r>
        <w:rPr>
          <w:rFonts w:hint="eastAsia" w:ascii="宋体" w:hAnsi="宋体" w:eastAsia="宋体" w:cs="宋体"/>
          <w:color w:val="000000"/>
          <w:sz w:val="40"/>
          <w:szCs w:val="40"/>
        </w:rPr>
        <w:t xml:space="preserve">第五章  </w:t>
      </w:r>
      <w:r>
        <w:rPr>
          <w:rFonts w:hint="eastAsia" w:ascii="宋体" w:hAnsi="宋体" w:eastAsia="宋体" w:cs="宋体"/>
          <w:b/>
          <w:color w:val="000000"/>
          <w:sz w:val="40"/>
          <w:szCs w:val="40"/>
        </w:rPr>
        <w:t xml:space="preserve">评标方法与评标标准</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ind w:firstLine="440"/>
        <w:keepLines w:val="0"/>
        <w:keepNext w:val="0"/>
        <w:pageBreakBefore w:val="0"/>
        <w:spacing w:beforeAutospacing="0" w:afterAutospacing="0" w:line="360" w:lineRule="exac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711"/>
        <w:ind w:firstLine="441"/>
        <w:keepLines w:val="0"/>
        <w:keepNext w:val="0"/>
        <w:pageBreakBefore w:val="0"/>
        <w:spacing w:beforeAutospacing="0" w:afterAutospacing="0" w:line="360" w:lineRule="exact"/>
        <w:widowControl w:val="off"/>
        <w:rPr>
          <w:rFonts w:hint="eastAsia" w:ascii="宋体" w:hAnsi="宋体" w:eastAsia="宋体" w:cs="宋体"/>
          <w:sz w:val="21"/>
          <w:szCs w:val="21"/>
        </w:rPr>
      </w:pPr>
      <w:r>
        <w:rPr>
          <w:rFonts w:hint="eastAsia" w:ascii="宋体" w:hAnsi="宋体" w:eastAsia="宋体" w:cs="宋体"/>
          <w:b/>
          <w:color w:val="000000"/>
          <w:sz w:val="21"/>
          <w:szCs w:val="21"/>
        </w:rPr>
        <w:t xml:space="preserve">政府采购政策功能落实</w:t>
      </w:r>
      <w:r/>
    </w:p>
    <w:p>
      <w:pPr>
        <w:pStyle w:val="711"/>
        <w:ind w:firstLine="480"/>
        <w:keepLines w:val="0"/>
        <w:keepNext w:val="0"/>
        <w:pageBreakBefore w:val="0"/>
        <w:spacing w:beforeAutospacing="0" w:afterAutospacing="0" w:line="360" w:lineRule="exac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1、小微型企业价格扣除</w:t>
      </w:r>
      <w:r/>
    </w:p>
    <w:p>
      <w:pPr>
        <w:pStyle w:val="876"/>
        <w:ind w:firstLine="315"/>
        <w:keepLines w:val="0"/>
        <w:keepNext w:val="0"/>
        <w:pageBreakBefore w:val="0"/>
        <w:spacing w:before="0" w:after="0"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（1）本项目若不专门面向中小企业采购，对</w:t>
      </w:r>
      <w:r>
        <w:rPr>
          <w:rFonts w:hint="eastAsia" w:ascii="宋体" w:hAnsi="宋体" w:eastAsia="宋体" w:cs="宋体"/>
          <w:sz w:val="21"/>
          <w:szCs w:val="21"/>
          <w:lang w:val="en-US" w:eastAsia="zh-CN"/>
        </w:rPr>
        <w:t xml:space="preserve">符合规定的</w:t>
      </w:r>
      <w:r>
        <w:rPr>
          <w:rFonts w:hint="eastAsia" w:ascii="宋体" w:hAnsi="宋体" w:eastAsia="宋体" w:cs="宋体"/>
          <w:sz w:val="21"/>
          <w:szCs w:val="21"/>
        </w:rPr>
        <w:t xml:space="preserve">小型和微型企业</w:t>
      </w:r>
      <w:r>
        <w:rPr>
          <w:rFonts w:hint="eastAsia" w:ascii="宋体" w:hAnsi="宋体" w:eastAsia="宋体" w:cs="宋体"/>
          <w:sz w:val="21"/>
          <w:szCs w:val="21"/>
          <w:lang w:val="en-US" w:eastAsia="zh-CN"/>
        </w:rPr>
        <w:t xml:space="preserve">报价</w:t>
      </w:r>
      <w:r>
        <w:rPr>
          <w:rFonts w:hint="eastAsia" w:ascii="宋体" w:hAnsi="宋体" w:eastAsia="宋体" w:cs="宋体"/>
          <w:sz w:val="21"/>
          <w:szCs w:val="21"/>
        </w:rPr>
        <w:t xml:space="preserve">给予20%的扣除价格，用扣除后的价格参与评审；若专门面向中小企业采购，不再对小型和微型企业</w:t>
      </w:r>
      <w:r>
        <w:rPr>
          <w:rFonts w:hint="eastAsia" w:ascii="宋体" w:hAnsi="宋体" w:eastAsia="宋体" w:cs="宋体"/>
          <w:sz w:val="21"/>
          <w:szCs w:val="21"/>
          <w:lang w:val="en-US" w:eastAsia="zh-CN"/>
        </w:rPr>
        <w:t xml:space="preserve">报价</w:t>
      </w:r>
      <w:r>
        <w:rPr>
          <w:rFonts w:hint="eastAsia" w:ascii="宋体" w:hAnsi="宋体" w:eastAsia="宋体" w:cs="宋体"/>
          <w:sz w:val="21"/>
          <w:szCs w:val="21"/>
        </w:rPr>
        <w:t xml:space="preserve">给予价格扣除。</w:t>
      </w:r>
      <w:r/>
    </w:p>
    <w:p>
      <w:pPr>
        <w:pStyle w:val="711"/>
        <w:ind w:firstLine="360"/>
        <w:keepLines w:val="0"/>
        <w:keepNext w:val="0"/>
        <w:pageBreakBefore w:val="0"/>
        <w:spacing w:beforeAutospacing="0" w:afterAutospacing="0" w:line="360" w:lineRule="exac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（2）供应商需按照采购文件的要求提供相应的《小微企业声明函》。</w:t>
      </w:r>
      <w:r/>
    </w:p>
    <w:p>
      <w:pPr>
        <w:pStyle w:val="711"/>
        <w:ind w:firstLine="360"/>
        <w:keepLines w:val="0"/>
        <w:keepNext w:val="0"/>
        <w:pageBreakBefore w:val="0"/>
        <w:spacing w:beforeAutospacing="0" w:afterAutospacing="0" w:line="360" w:lineRule="exac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（3）企业标准请参照《关于印发中小企业划型标准规定的通知》（工信部联企业[2011]300号）文件规定自行填写。</w:t>
      </w:r>
      <w:r/>
    </w:p>
    <w:p>
      <w:pPr>
        <w:pStyle w:val="711"/>
        <w:ind w:firstLine="480"/>
        <w:keepLines w:val="0"/>
        <w:keepNext w:val="0"/>
        <w:pageBreakBefore w:val="0"/>
        <w:spacing w:beforeAutospacing="0" w:afterAutospacing="0" w:line="36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rPr>
        <w:t xml:space="preserve">2、残疾人福利单位价格扣</w:t>
      </w:r>
      <w:r>
        <w:rPr>
          <w:rFonts w:hint="eastAsia" w:ascii="宋体" w:hAnsi="宋体" w:eastAsia="宋体" w:cs="宋体"/>
          <w:color w:val="000000"/>
          <w:sz w:val="21"/>
          <w:szCs w:val="21"/>
          <w:highlight w:val="none"/>
        </w:rPr>
        <w:t xml:space="preserve">除</w:t>
      </w:r>
      <w:r/>
    </w:p>
    <w:p>
      <w:pPr>
        <w:pStyle w:val="711"/>
        <w:ind w:left="120" w:firstLine="360"/>
        <w:keepLines w:val="0"/>
        <w:keepNext w:val="0"/>
        <w:pageBreakBefore w:val="0"/>
        <w:spacing w:beforeAutospacing="0" w:afterAutospacing="0" w:line="360" w:lineRule="exact"/>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（1）本项目对残疾人福利性单位视同小型、微型企业，给予</w:t>
      </w:r>
      <w:r>
        <w:rPr>
          <w:rFonts w:hint="eastAsia" w:ascii="宋体" w:hAnsi="宋体" w:eastAsia="宋体" w:cs="宋体"/>
          <w:color w:val="000000"/>
          <w:sz w:val="21"/>
          <w:szCs w:val="21"/>
          <w:highlight w:val="none"/>
          <w:u w:val="single"/>
        </w:rPr>
        <w:t xml:space="preserve">20%</w:t>
      </w:r>
      <w:r>
        <w:rPr>
          <w:rFonts w:hint="eastAsia" w:ascii="宋体" w:hAnsi="宋体" w:eastAsia="宋体" w:cs="宋体"/>
          <w:color w:val="000000"/>
          <w:sz w:val="21"/>
          <w:szCs w:val="21"/>
          <w:highlight w:val="none"/>
          <w:u w:val="single"/>
          <w:lang w:eastAsia="zh-CN"/>
        </w:rPr>
        <w:t xml:space="preserve">的价格扣除。</w:t>
      </w:r>
      <w:r/>
    </w:p>
    <w:p>
      <w:pPr>
        <w:pStyle w:val="711"/>
        <w:ind w:left="120" w:firstLine="360"/>
        <w:keepLines w:val="0"/>
        <w:keepNext w:val="0"/>
        <w:pageBreakBefore w:val="0"/>
        <w:spacing w:beforeAutospacing="0" w:afterAutospacing="0" w:line="36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（2）残疾人福利单位需按照采购文件的要求提供《残疾人福利性单位声明函》。</w:t>
      </w:r>
      <w:r/>
    </w:p>
    <w:p>
      <w:pPr>
        <w:pStyle w:val="711"/>
        <w:ind w:left="120" w:firstLine="360"/>
        <w:keepLines w:val="0"/>
        <w:keepNext w:val="0"/>
        <w:pageBreakBefore w:val="0"/>
        <w:spacing w:beforeAutospacing="0" w:afterAutospacing="0" w:line="36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（3）残疾人福利单位标准请参照《关于促进残疾人就业政府采购政策的通知》（财库〔2017〕141号）。</w:t>
      </w:r>
      <w:r/>
    </w:p>
    <w:p>
      <w:pPr>
        <w:pStyle w:val="711"/>
        <w:ind w:firstLine="480"/>
        <w:keepLines w:val="0"/>
        <w:keepNext w:val="0"/>
        <w:pageBreakBefore w:val="0"/>
        <w:spacing w:beforeAutospacing="0" w:afterAutospacing="0" w:line="36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3、监狱和戒毒企业价格扣除</w:t>
      </w:r>
      <w:r/>
    </w:p>
    <w:p>
      <w:pPr>
        <w:pStyle w:val="711"/>
        <w:ind w:left="120" w:firstLine="360"/>
        <w:keepLines w:val="0"/>
        <w:keepNext w:val="0"/>
        <w:pageBreakBefore w:val="0"/>
        <w:spacing w:beforeAutospacing="0" w:afterAutospacing="0" w:line="36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（1）本项目对监狱和戒毒企业（简称监狱企业）视同小型、微型企业，给予</w:t>
      </w:r>
      <w:r>
        <w:rPr>
          <w:rFonts w:hint="eastAsia" w:ascii="宋体" w:hAnsi="宋体" w:eastAsia="宋体" w:cs="宋体"/>
          <w:color w:val="000000"/>
          <w:sz w:val="21"/>
          <w:szCs w:val="21"/>
          <w:highlight w:val="none"/>
          <w:u w:val="single"/>
        </w:rPr>
        <w:t xml:space="preserve">20%</w:t>
      </w:r>
      <w:r>
        <w:rPr>
          <w:rFonts w:hint="eastAsia" w:ascii="宋体" w:hAnsi="宋体" w:eastAsia="宋体" w:cs="宋体"/>
          <w:color w:val="000000"/>
          <w:sz w:val="21"/>
          <w:szCs w:val="21"/>
          <w:highlight w:val="none"/>
          <w:u w:val="single"/>
          <w:lang w:eastAsia="zh-CN"/>
        </w:rPr>
        <w:t xml:space="preserve">的价格扣除。</w:t>
      </w:r>
      <w:r/>
    </w:p>
    <w:p>
      <w:pPr>
        <w:pStyle w:val="711"/>
        <w:ind w:firstLine="480"/>
        <w:keepLines w:val="0"/>
        <w:keepNext w:val="0"/>
        <w:pageBreakBefore w:val="0"/>
        <w:spacing w:beforeAutospacing="0" w:afterAutospacing="0" w:line="36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11"/>
        <w:ind w:firstLine="480"/>
        <w:keepLines w:val="0"/>
        <w:keepNext w:val="0"/>
        <w:pageBreakBefore w:val="0"/>
        <w:spacing w:beforeAutospacing="0" w:afterAutospacing="0" w:line="36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（3）监狱企业标准请参照《关于政府采购支持监狱企业发展有关问题的通知》（财库[2014]68号）。</w:t>
      </w:r>
      <w:r/>
    </w:p>
    <w:p>
      <w:pPr>
        <w:pStyle w:val="711"/>
        <w:ind w:firstLine="480"/>
        <w:keepLines w:val="0"/>
        <w:keepNext w:val="0"/>
        <w:pageBreakBefore w:val="0"/>
        <w:spacing w:beforeAutospacing="0" w:afterAutospacing="0" w:line="36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4、残疾人福利单位、监狱企业属于小型、微型企业的，不重复享受政策。</w:t>
      </w:r>
      <w:r/>
    </w:p>
    <w:p>
      <w:pPr>
        <w:pStyle w:val="711"/>
        <w:ind w:firstLine="480"/>
        <w:keepLines w:val="0"/>
        <w:keepNext w:val="0"/>
        <w:pageBreakBefore w:val="0"/>
        <w:spacing w:beforeAutospacing="0" w:afterAutospacing="0"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1"/>
          <w:szCs w:val="21"/>
          <w:highlight w:val="none"/>
          <w:u w:val="single"/>
        </w:rPr>
        <w:t xml:space="preserve">6%</w:t>
      </w:r>
      <w:r>
        <w:rPr>
          <w:rFonts w:hint="eastAsia" w:ascii="宋体" w:hAnsi="宋体" w:eastAsia="宋体" w:cs="宋体"/>
          <w:color w:val="000000"/>
          <w:sz w:val="21"/>
          <w:szCs w:val="21"/>
          <w:highlight w:val="none"/>
        </w:rPr>
        <w:t xml:space="preserve">的价格扣除，用扣除后的价格参与评审。</w:t>
      </w:r>
      <w:r/>
    </w:p>
    <w:p>
      <w:pPr>
        <w:pStyle w:val="711"/>
        <w:ind w:left="120" w:firstLine="360"/>
        <w:keepLines w:val="0"/>
        <w:keepNext w:val="0"/>
        <w:pageBreakBefore w:val="0"/>
        <w:spacing w:beforeAutospacing="0" w:afterAutospacing="0" w:line="360" w:lineRule="exact"/>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6、联合体各方均为小型、微型企业（残疾人福利单位、监狱企业）的，联合体享受</w:t>
      </w:r>
      <w:r>
        <w:rPr>
          <w:rFonts w:hint="eastAsia" w:ascii="宋体" w:hAnsi="宋体" w:eastAsia="宋体" w:cs="宋体"/>
          <w:color w:val="000000"/>
          <w:sz w:val="21"/>
          <w:szCs w:val="21"/>
          <w:highlight w:val="none"/>
          <w:u w:val="single"/>
        </w:rPr>
        <w:t xml:space="preserve">20%</w:t>
      </w:r>
      <w:r>
        <w:rPr>
          <w:rFonts w:hint="eastAsia" w:ascii="宋体" w:hAnsi="宋体" w:eastAsia="宋体" w:cs="宋体"/>
          <w:color w:val="000000"/>
          <w:sz w:val="21"/>
          <w:szCs w:val="21"/>
          <w:highlight w:val="none"/>
          <w:u w:val="single"/>
          <w:lang w:eastAsia="zh-CN"/>
        </w:rPr>
        <w:t xml:space="preserve">的价格扣除。</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其他条件相同情况下，应当优先采购节能产品、环境标志产品。</w:t>
      </w:r>
      <w:r/>
    </w:p>
    <w:p>
      <w:pPr>
        <w:pStyle w:val="711"/>
        <w:ind w:firstLine="420"/>
        <w:keepLines w:val="0"/>
        <w:keepNext w:val="0"/>
        <w:pageBreakBefore w:val="0"/>
        <w:spacing w:beforeAutospacing="0" w:afterAutospacing="0" w:line="360" w:lineRule="exact"/>
        <w:widowControl w:val="off"/>
        <w:rPr>
          <w:rFonts w:hint="eastAsia" w:ascii="宋体" w:hAnsi="宋体" w:eastAsia="宋体" w:cs="宋体"/>
          <w:b/>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、根据《江苏省政府采购信用管理暂行办法》的规定，供应商信用评价结果为三星的扣2分，评价结果为二星的扣3分，评价结果为一星的扣4分。</w:t>
      </w:r>
      <w:r/>
    </w:p>
    <w:p>
      <w:pPr>
        <w:pStyle w:val="711"/>
        <w:ind w:firstLine="422"/>
        <w:keepLines w:val="0"/>
        <w:keepNext w:val="0"/>
        <w:pageBreakBefore w:val="0"/>
        <w:spacing w:beforeAutospacing="0" w:afterAutospacing="0" w:line="36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评标方法与评标标准</w:t>
      </w:r>
      <w:r/>
    </w:p>
    <w:p>
      <w:pPr>
        <w:rPr>
          <w:rFonts w:hint="eastAsia"/>
        </w:rPr>
      </w:pPr>
      <w:r>
        <w:rPr>
          <w:rFonts w:hint="eastAsia" w:ascii="宋体" w:hAnsi="宋体" w:eastAsia="宋体" w:cs="宋体"/>
          <w:sz w:val="21"/>
          <w:szCs w:val="21"/>
        </w:rPr>
        <w:t xml:space="preserve">评标时，评标委员会各成员独立对每个投标人的投标文件进行评价，并汇总每个投标人的得分。</w:t>
      </w:r>
      <w:r>
        <w:rPr>
          <w:rFonts w:hint="eastAsia" w:ascii="宋体" w:hAnsi="宋体" w:eastAsia="宋体" w:cs="宋体"/>
          <w:bCs/>
          <w:sz w:val="21"/>
          <w:szCs w:val="21"/>
        </w:rPr>
        <w:t xml:space="preserve">本项目评分总分值为100分。</w:t>
      </w:r>
      <w:r/>
    </w:p>
    <w:tbl>
      <w:tblPr>
        <w:tblStyle w:val="692"/>
        <w:tblW w:w="5502" w:type="pct"/>
        <w:tblInd w:w="-5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9"/>
        <w:gridCol w:w="987"/>
        <w:gridCol w:w="1025"/>
        <w:gridCol w:w="6817"/>
      </w:tblGrid>
      <w:tr>
        <w:trPr>
          <w:trHeight w:val="633"/>
        </w:trPr>
        <w:tc>
          <w:tcPr>
            <w:tcW w:w="293"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tcW w:w="526"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评分项</w:t>
            </w:r>
            <w:r/>
          </w:p>
        </w:tc>
        <w:tc>
          <w:tcPr>
            <w:tcW w:w="546"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评分因素</w:t>
            </w:r>
            <w:r/>
          </w:p>
        </w:tc>
        <w:tc>
          <w:tcPr>
            <w:tcW w:w="3633"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评 分 细 则</w:t>
            </w:r>
            <w:r/>
          </w:p>
        </w:tc>
      </w:tr>
      <w:tr>
        <w:trPr>
          <w:trHeight w:val="1232"/>
        </w:trPr>
        <w:tc>
          <w:tcPr>
            <w:tcW w:w="29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98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价格部分（</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p>
        </w:tc>
        <w:tc>
          <w:tcPr>
            <w:tcW w:w="102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投标报价评审（</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p>
        </w:tc>
        <w:tc>
          <w:tcPr>
            <w:tcW w:w="6817"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评标基准价：满足招标文件要求且投标价格最低的投标报价为评标基准价，其价格分为</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p>
          <w:p>
            <w:pPr>
              <w:ind w:firstLine="0"/>
              <w:jc w:val="both"/>
              <w:keepLines w:val="0"/>
              <w:keepNext w:val="0"/>
              <w:pageBreakBefore w:val="0"/>
              <w:spacing w:line="360" w:lineRule="exac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其他投标人的价格分统一按照下列公式计算（小数点后保留两位）：</w:t>
            </w:r>
            <w:r/>
          </w:p>
          <w:p>
            <w:pPr>
              <w:ind w:firstLine="0"/>
              <w:jc w:val="both"/>
              <w:keepLines w:val="0"/>
              <w:keepNext w:val="0"/>
              <w:pageBreakBefore w:val="0"/>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投标报价得分=(评标基准价／投标报价)×</w:t>
            </w:r>
            <w:r>
              <w:rPr>
                <w:rFonts w:hint="eastAsia" w:ascii="宋体" w:hAnsi="宋体" w:eastAsia="宋体" w:cs="宋体"/>
                <w:color w:val="auto"/>
                <w:sz w:val="21"/>
                <w:szCs w:val="21"/>
                <w:highlight w:val="none"/>
                <w:lang w:val="en-US" w:eastAsia="zh-CN" w:bidi="ar"/>
              </w:rPr>
              <w:t xml:space="preserve">10</w:t>
            </w:r>
            <w:r/>
          </w:p>
        </w:tc>
      </w:tr>
      <w:tr>
        <w:trPr>
          <w:trHeight w:val="90"/>
        </w:trPr>
        <w:tc>
          <w:tcPr>
            <w:tcW w:w="293" w:type="pct"/>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W w:w="987" w:type="dxa"/>
            <w:vAlign w:val="center"/>
            <w:vMerge w:val="restart"/>
            <w:textDirection w:val="lrTb"/>
            <w:noWrap w:val="false"/>
          </w:tcPr>
          <w:p>
            <w:pPr>
              <w:ind w:firstLine="0"/>
              <w:jc w:val="both"/>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商务部分（</w:t>
            </w:r>
            <w:r>
              <w:rPr>
                <w:rFonts w:hint="eastAsia" w:ascii="宋体" w:hAnsi="宋体" w:eastAsia="宋体" w:cs="宋体"/>
                <w:color w:val="auto"/>
                <w:sz w:val="21"/>
                <w:szCs w:val="21"/>
                <w:highlight w:val="none"/>
                <w:lang w:val="en-US" w:eastAsia="zh-CN" w:bidi="ar"/>
              </w:rPr>
              <w:t xml:space="preserve">24</w:t>
            </w:r>
            <w:r>
              <w:rPr>
                <w:rFonts w:hint="eastAsia" w:ascii="宋体" w:hAnsi="宋体" w:eastAsia="宋体" w:cs="宋体"/>
                <w:color w:val="auto"/>
                <w:sz w:val="21"/>
                <w:szCs w:val="21"/>
                <w:highlight w:val="none"/>
                <w:lang w:bidi="ar"/>
              </w:rPr>
              <w:t xml:space="preserve">分）</w:t>
            </w:r>
            <w:r/>
          </w:p>
        </w:tc>
        <w:tc>
          <w:tcPr>
            <w:tcW w:w="1025"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企业实力评审（</w:t>
            </w:r>
            <w:r>
              <w:rPr>
                <w:rFonts w:hint="eastAsia" w:ascii="宋体" w:hAnsi="宋体" w:eastAsia="宋体" w:cs="宋体"/>
                <w:color w:val="auto"/>
                <w:sz w:val="21"/>
                <w:szCs w:val="21"/>
                <w:highlight w:val="none"/>
                <w:lang w:val="en-US" w:eastAsia="zh-CN" w:bidi="ar"/>
              </w:rPr>
              <w:t xml:space="preserve">11</w:t>
            </w:r>
            <w:r>
              <w:rPr>
                <w:rFonts w:hint="eastAsia" w:ascii="宋体" w:hAnsi="宋体" w:eastAsia="宋体" w:cs="宋体"/>
                <w:color w:val="auto"/>
                <w:sz w:val="21"/>
                <w:szCs w:val="21"/>
                <w:highlight w:val="none"/>
                <w:lang w:bidi="ar"/>
              </w:rPr>
              <w:t xml:space="preserve">分）</w:t>
            </w:r>
            <w:r/>
          </w:p>
        </w:tc>
        <w:tc>
          <w:tcPr>
            <w:tcW w:w="6817"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1、投标人具有质量管理体系标准认证、职业安全健康管理体系认证、环境管理体系认证证书、培训管理体系认证证书的，每提供一个证书得1分，最多得4分。</w:t>
            </w:r>
            <w:r/>
          </w:p>
          <w:p>
            <w:pPr>
              <w:ind w:firstLine="0"/>
              <w:jc w:val="both"/>
              <w:keepLines w:val="0"/>
              <w:keepNext w:val="0"/>
              <w:pageBreakBefore w:val="0"/>
              <w:spacing w:line="36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备注：须提供证书原件彩色扫描件加盖投标人公章，否则不得分。</w:t>
            </w:r>
            <w:r/>
          </w:p>
          <w:p>
            <w:pPr>
              <w:ind w:firstLine="0"/>
              <w:jc w:val="both"/>
              <w:keepLines w:val="0"/>
              <w:keepNext w:val="0"/>
              <w:pageBreakBefore w:val="0"/>
              <w:spacing w:line="36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2、投标人具备大数据安全管理体系认证证书得1分；投标人具有大数据服务安全能力评价认证证书得1分，不提供不得分；本项最高得2分。</w:t>
            </w:r>
            <w:r/>
          </w:p>
          <w:p>
            <w:pPr>
              <w:ind w:firstLine="0"/>
              <w:jc w:val="both"/>
              <w:keepLines w:val="0"/>
              <w:keepNext w:val="0"/>
              <w:pageBreakBefore w:val="0"/>
              <w:spacing w:line="36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备注：须提供证书原件彩色扫描件加盖投标人公章，否则不得分。</w:t>
            </w:r>
            <w:r/>
          </w:p>
          <w:p>
            <w:pPr>
              <w:ind w:firstLine="0"/>
              <w:jc w:val="both"/>
              <w:keepLines w:val="0"/>
              <w:keepNext w:val="0"/>
              <w:pageBreakBefore w:val="0"/>
              <w:spacing w:line="36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3、具有服务质量评价管理体系认证证书的得1分，未提供不得分。</w:t>
            </w:r>
            <w:r/>
          </w:p>
          <w:p>
            <w:pPr>
              <w:ind w:firstLine="0"/>
              <w:jc w:val="both"/>
              <w:keepLines w:val="0"/>
              <w:keepNext w:val="0"/>
              <w:pageBreakBefore w:val="0"/>
              <w:spacing w:line="36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备注：须提供证书原件彩色扫描件加盖投标人公章，否则不得分。</w:t>
            </w:r>
            <w:r/>
          </w:p>
          <w:p>
            <w:pPr>
              <w:ind w:firstLine="0"/>
              <w:jc w:val="both"/>
              <w:keepLines w:val="0"/>
              <w:keepNext w:val="0"/>
              <w:pageBreakBefore w:val="0"/>
              <w:spacing w:line="36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4、投标人具有信息系统业务安全服务资质认证证书的得1分，未提供不得分。</w:t>
            </w:r>
            <w:r/>
          </w:p>
          <w:p>
            <w:pPr>
              <w:ind w:firstLine="0"/>
              <w:jc w:val="both"/>
              <w:keepLines w:val="0"/>
              <w:keepNext w:val="0"/>
              <w:pageBreakBefore w:val="0"/>
              <w:spacing w:line="36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备注：须提供证书原件彩色扫描件加盖投标人公章，否则不得分。</w:t>
            </w:r>
            <w:r/>
          </w:p>
          <w:p>
            <w:pPr>
              <w:ind w:firstLine="0"/>
              <w:jc w:val="both"/>
              <w:keepLines w:val="0"/>
              <w:keepNext w:val="0"/>
              <w:pageBreakBefore w:val="0"/>
              <w:spacing w:line="36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投标人具有项目及后期扩展相关的含有以下</w:t>
            </w:r>
            <w:r>
              <w:rPr>
                <w:rFonts w:hint="eastAsia" w:ascii="宋体" w:hAnsi="宋体" w:eastAsia="宋体" w:cs="宋体"/>
                <w:color w:val="auto"/>
                <w:sz w:val="21"/>
                <w:szCs w:val="21"/>
                <w:highlight w:val="none"/>
                <w:lang w:val="en-US" w:eastAsia="zh-CN" w:bidi="ar"/>
              </w:rPr>
              <w:t xml:space="preserve">字样或类似字样</w:t>
            </w:r>
            <w:r>
              <w:rPr>
                <w:rFonts w:hint="eastAsia" w:ascii="宋体" w:hAnsi="宋体" w:eastAsia="宋体" w:cs="宋体"/>
                <w:color w:val="auto"/>
                <w:sz w:val="21"/>
                <w:szCs w:val="21"/>
                <w:highlight w:val="none"/>
                <w:lang w:bidi="ar"/>
              </w:rPr>
              <w:t xml:space="preserve">的国家级相关部门颁发的计算机软件著作权证书：“慢病管理”，</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医疗随访</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互联网医院</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每提供一个软件著作权登记证书的得</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分，最多得</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备注：</w:t>
            </w:r>
            <w:r>
              <w:rPr>
                <w:rFonts w:hint="eastAsia" w:ascii="宋体" w:hAnsi="宋体" w:eastAsia="宋体" w:cs="宋体"/>
                <w:color w:val="auto"/>
                <w:sz w:val="21"/>
                <w:szCs w:val="21"/>
                <w:highlight w:val="none"/>
                <w:lang w:bidi="ar"/>
              </w:rPr>
              <w:t xml:space="preserve">软件著作权证书获得时间须早于招标公告时间，提供证书</w:t>
            </w:r>
            <w:r>
              <w:rPr>
                <w:rFonts w:hint="eastAsia" w:ascii="宋体" w:hAnsi="宋体" w:eastAsia="宋体" w:cs="宋体"/>
                <w:color w:val="auto"/>
                <w:sz w:val="21"/>
                <w:szCs w:val="21"/>
                <w:highlight w:val="none"/>
                <w:lang w:val="en-US" w:eastAsia="zh-CN" w:bidi="ar"/>
              </w:rPr>
              <w:t xml:space="preserve">原件彩色扫描件</w:t>
            </w:r>
            <w:r>
              <w:rPr>
                <w:rFonts w:hint="eastAsia" w:ascii="宋体" w:hAnsi="宋体" w:eastAsia="宋体" w:cs="宋体"/>
                <w:color w:val="auto"/>
                <w:sz w:val="21"/>
                <w:szCs w:val="21"/>
                <w:highlight w:val="none"/>
                <w:lang w:bidi="ar"/>
              </w:rPr>
              <w:t xml:space="preserve">加盖</w:t>
            </w:r>
            <w:r>
              <w:rPr>
                <w:rFonts w:hint="eastAsia" w:ascii="宋体" w:hAnsi="宋体" w:eastAsia="宋体" w:cs="宋体"/>
                <w:color w:val="auto"/>
                <w:sz w:val="21"/>
                <w:szCs w:val="21"/>
                <w:highlight w:val="none"/>
                <w:lang w:val="en-US" w:eastAsia="zh-CN" w:bidi="ar"/>
              </w:rPr>
              <w:t xml:space="preserve">投标人</w:t>
            </w:r>
            <w:r>
              <w:rPr>
                <w:rFonts w:hint="eastAsia" w:ascii="宋体" w:hAnsi="宋体" w:eastAsia="宋体" w:cs="宋体"/>
                <w:color w:val="auto"/>
                <w:sz w:val="21"/>
                <w:szCs w:val="21"/>
                <w:highlight w:val="none"/>
                <w:lang w:bidi="ar"/>
              </w:rPr>
              <w:t xml:space="preserve">公章</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否则不得分</w:t>
            </w:r>
            <w:r>
              <w:rPr>
                <w:rFonts w:hint="eastAsia" w:ascii="宋体" w:hAnsi="宋体" w:eastAsia="宋体" w:cs="宋体"/>
                <w:color w:val="auto"/>
                <w:sz w:val="21"/>
                <w:szCs w:val="21"/>
                <w:highlight w:val="none"/>
                <w:lang w:eastAsia="zh-CN" w:bidi="ar"/>
              </w:rPr>
              <w:t xml:space="preserve">。</w:t>
            </w:r>
            <w:r/>
          </w:p>
        </w:tc>
      </w:tr>
      <w:tr>
        <w:trPr>
          <w:trHeight w:val="3123"/>
        </w:trPr>
        <w:tc>
          <w:tcPr>
            <w:tcW w:w="293" w:type="pct"/>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87" w:type="dxa"/>
            <w:vAlign w:val="center"/>
            <w:vMerge w:val="continue"/>
            <w:textDirection w:val="lrTb"/>
            <w:noWrap w:val="false"/>
          </w:tcPr>
          <w:p>
            <w:pPr>
              <w:ind w:firstLine="0"/>
              <w:jc w:val="both"/>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1025"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项目成员资格评审（</w:t>
            </w: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分）</w:t>
            </w:r>
            <w:r/>
          </w:p>
        </w:tc>
        <w:tc>
          <w:tcPr>
            <w:tcW w:w="6817"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1、投标人拟派本项目的项目负责人（1人）具备</w:t>
            </w:r>
            <w:r>
              <w:rPr>
                <w:rFonts w:hint="eastAsia" w:ascii="宋体" w:hAnsi="宋体" w:eastAsia="宋体" w:cs="宋体"/>
                <w:color w:val="auto"/>
                <w:sz w:val="21"/>
                <w:szCs w:val="21"/>
                <w:highlight w:val="none"/>
                <w:lang w:val="en-US" w:eastAsia="zh-CN" w:bidi="ar"/>
              </w:rPr>
              <w:t xml:space="preserve">系统架构设计师证书、系统规划与管理师证书、CISAW信息安全保障人员证书、</w:t>
            </w:r>
            <w:r>
              <w:rPr>
                <w:rFonts w:hint="eastAsia" w:ascii="宋体" w:hAnsi="宋体" w:eastAsia="宋体" w:cs="宋体"/>
                <w:color w:val="auto"/>
                <w:sz w:val="21"/>
                <w:szCs w:val="21"/>
                <w:highlight w:val="none"/>
                <w:lang w:bidi="ar"/>
              </w:rPr>
              <w:t xml:space="preserve">注册信息安全专业人员（CISP)</w:t>
            </w:r>
            <w:r>
              <w:rPr>
                <w:rFonts w:hint="eastAsia" w:ascii="宋体" w:hAnsi="宋体" w:eastAsia="宋体" w:cs="宋体"/>
                <w:color w:val="auto"/>
                <w:sz w:val="21"/>
                <w:szCs w:val="21"/>
                <w:highlight w:val="none"/>
                <w:lang w:val="en-US" w:eastAsia="zh-CN" w:bidi="ar"/>
              </w:rPr>
              <w:t xml:space="preserve">证书</w:t>
            </w:r>
            <w:r>
              <w:rPr>
                <w:rFonts w:hint="eastAsia" w:ascii="宋体" w:hAnsi="宋体" w:eastAsia="宋体" w:cs="宋体"/>
                <w:color w:val="auto"/>
                <w:sz w:val="21"/>
                <w:szCs w:val="21"/>
                <w:highlight w:val="none"/>
                <w:lang w:bidi="ar"/>
              </w:rPr>
              <w:t xml:space="preserve">，具备一项得</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分，最高得</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分。</w:t>
            </w:r>
            <w:r/>
          </w:p>
          <w:p>
            <w:pPr>
              <w:ind w:firstLine="0"/>
              <w:jc w:val="both"/>
              <w:keepLines w:val="0"/>
              <w:keepNext w:val="0"/>
              <w:pageBreakBefore w:val="0"/>
              <w:spacing w:line="360" w:lineRule="exac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2、投标人为本项目配备的实施人员(不含项目负责人)包含软件设计师1人、网络规划设计师1人、网络</w:t>
            </w:r>
            <w:r>
              <w:rPr>
                <w:rFonts w:hint="eastAsia" w:ascii="宋体" w:hAnsi="宋体" w:eastAsia="宋体" w:cs="宋体"/>
                <w:color w:val="auto"/>
                <w:sz w:val="21"/>
                <w:szCs w:val="21"/>
                <w:highlight w:val="none"/>
                <w:lang w:val="en-US" w:eastAsia="zh-CN" w:bidi="ar"/>
              </w:rPr>
              <w:t xml:space="preserve">安全能力认证（网络安全技术I级及以上）证书</w:t>
            </w:r>
            <w:r>
              <w:rPr>
                <w:rFonts w:hint="eastAsia" w:ascii="宋体" w:hAnsi="宋体" w:eastAsia="宋体" w:cs="宋体"/>
                <w:color w:val="auto"/>
                <w:sz w:val="21"/>
                <w:szCs w:val="21"/>
                <w:highlight w:val="none"/>
                <w:lang w:bidi="ar"/>
              </w:rPr>
              <w:t xml:space="preserve">1人、系统分析师1人、系统架构设计师1人，一人多证按一证计算，不重复计算，具备一个得</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分，最高得</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w:t>
            </w:r>
            <w:r/>
          </w:p>
          <w:p>
            <w:pPr>
              <w:ind w:firstLine="0"/>
              <w:jc w:val="both"/>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以上人员材料需</w:t>
            </w:r>
            <w:r>
              <w:rPr>
                <w:rFonts w:hint="eastAsia" w:ascii="宋体" w:hAnsi="宋体" w:eastAsia="宋体" w:cs="宋体"/>
                <w:color w:val="auto"/>
                <w:sz w:val="21"/>
                <w:szCs w:val="21"/>
                <w:highlight w:val="none"/>
                <w:lang w:bidi="ar"/>
              </w:rPr>
              <w:t xml:space="preserve">提供证书原件的扫描件及加盖投标人公章的相应人员近</w:t>
            </w:r>
            <w:r>
              <w:rPr>
                <w:rFonts w:hint="eastAsia" w:ascii="宋体" w:hAnsi="宋体" w:eastAsia="宋体" w:cs="宋体"/>
                <w:color w:val="auto"/>
                <w:sz w:val="21"/>
                <w:szCs w:val="21"/>
                <w:highlight w:val="none"/>
                <w:lang w:val="en-US" w:eastAsia="zh-CN" w:bidi="ar"/>
              </w:rPr>
              <w:t xml:space="preserve">一年内任意一</w:t>
            </w:r>
            <w:r>
              <w:rPr>
                <w:rFonts w:hint="eastAsia" w:ascii="宋体" w:hAnsi="宋体" w:eastAsia="宋体" w:cs="宋体"/>
                <w:color w:val="auto"/>
                <w:sz w:val="21"/>
                <w:szCs w:val="21"/>
                <w:highlight w:val="none"/>
                <w:lang w:bidi="ar"/>
              </w:rPr>
              <w:t xml:space="preserve">个月在本单位（需与投标人名称相同）缴纳养老保险的</w:t>
            </w:r>
            <w:r>
              <w:rPr>
                <w:rFonts w:hint="eastAsia" w:ascii="宋体" w:hAnsi="宋体" w:eastAsia="宋体" w:cs="宋体"/>
                <w:color w:val="auto"/>
                <w:sz w:val="21"/>
                <w:szCs w:val="21"/>
                <w:highlight w:val="none"/>
                <w:lang w:val="en-US" w:eastAsia="zh-CN" w:bidi="ar"/>
              </w:rPr>
              <w:t xml:space="preserve">材料</w:t>
            </w:r>
            <w:r>
              <w:rPr>
                <w:rFonts w:hint="eastAsia" w:ascii="宋体" w:hAnsi="宋体" w:eastAsia="宋体" w:cs="宋体"/>
                <w:color w:val="auto"/>
                <w:sz w:val="21"/>
                <w:szCs w:val="21"/>
                <w:highlight w:val="none"/>
                <w:lang w:bidi="ar"/>
              </w:rPr>
              <w:t xml:space="preserve">扫描件，否则不得分]</w:t>
            </w:r>
            <w:r/>
          </w:p>
        </w:tc>
      </w:tr>
      <w:tr>
        <w:trPr>
          <w:trHeight w:val="90"/>
        </w:trPr>
        <w:tc>
          <w:tcPr>
            <w:tcW w:w="293" w:type="pct"/>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87" w:type="dxa"/>
            <w:vAlign w:val="center"/>
            <w:vMerge w:val="continue"/>
            <w:textDirection w:val="lrTb"/>
            <w:noWrap w:val="false"/>
          </w:tcPr>
          <w:p>
            <w:pPr>
              <w:ind w:firstLine="0"/>
              <w:jc w:val="both"/>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1025"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所供货物评审</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4分</w:t>
            </w:r>
            <w:r>
              <w:rPr>
                <w:rFonts w:hint="eastAsia" w:ascii="宋体" w:hAnsi="宋体" w:eastAsia="宋体" w:cs="宋体"/>
                <w:color w:val="auto"/>
                <w:sz w:val="21"/>
                <w:szCs w:val="21"/>
                <w:highlight w:val="none"/>
                <w:lang w:eastAsia="zh-CN" w:bidi="ar"/>
              </w:rPr>
              <w:t xml:space="preserve">）</w:t>
            </w:r>
            <w:r/>
          </w:p>
        </w:tc>
        <w:tc>
          <w:tcPr>
            <w:tcW w:w="6817" w:type="dxa"/>
            <w:vAlign w:val="center"/>
            <w:textDirection w:val="lrTb"/>
            <w:noWrap w:val="false"/>
          </w:tcPr>
          <w:p>
            <w:pPr>
              <w:ind w:firstLine="0"/>
              <w:jc w:val="both"/>
              <w:keepLines w:val="0"/>
              <w:keepNext w:val="0"/>
              <w:pageBreakBefore w:val="0"/>
              <w:spacing w:line="36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为保证所投安全产品制造商威胁检测技术能力，要求生产厂商具有中国信息安全测评中心、公安部信息安全产品检测中心、国家版权局、中国软件评测中心之中任意一家机构出具关于“未知威胁检测”的证书或测试报告，提供证书扫描件或测试报告扫描件并加盖投标人公章得2分，不提供不得分。</w:t>
            </w:r>
            <w:r/>
          </w:p>
          <w:p>
            <w:pPr>
              <w:ind w:firstLine="0"/>
              <w:jc w:val="both"/>
              <w:keepLines w:val="0"/>
              <w:keepNext w:val="0"/>
              <w:pageBreakBefore w:val="0"/>
              <w:spacing w:line="36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为保证所投安全产品制造商具备勒索病毒检测与防御技术，要求生产厂商具有公安部计算机信息系统安全产品质量监督检验中心、中国信息安全测评中心、中华人民共和国国家版权局、公安部信息安全产品检测中心之中任意一家检测机构出具关于“勒索病毒”的证书或检测报告证明功能有效性，提供有效证书扫描件并加盖投标人公章可得2分，不提供不得分。</w:t>
            </w:r>
            <w:r/>
          </w:p>
          <w:p>
            <w:pPr>
              <w:ind w:firstLine="0"/>
              <w:jc w:val="both"/>
              <w:keepLines w:val="0"/>
              <w:keepNext w:val="0"/>
              <w:pageBreakBefore w:val="0"/>
              <w:spacing w:line="36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
                <w:bCs/>
                <w:color w:val="auto"/>
                <w:sz w:val="21"/>
                <w:szCs w:val="21"/>
                <w:highlight w:val="none"/>
                <w:lang w:bidi="ar"/>
              </w:rPr>
              <w:t xml:space="preserve">[以上各项证明材料在中标后签订合同前提供证明原件]</w:t>
            </w:r>
            <w:r/>
          </w:p>
        </w:tc>
      </w:tr>
      <w:tr>
        <w:trPr>
          <w:trHeight w:val="639"/>
        </w:trPr>
        <w:tc>
          <w:tcPr>
            <w:tcW w:w="293" w:type="pct"/>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0000ff"/>
                <w:sz w:val="21"/>
                <w:szCs w:val="21"/>
                <w:highlight w:val="none"/>
              </w:rPr>
            </w:pPr>
            <w:r>
              <w:rPr>
                <w:rFonts w:hint="eastAsia" w:ascii="宋体" w:hAnsi="宋体" w:eastAsia="宋体" w:cs="宋体"/>
                <w:color w:val="auto"/>
                <w:sz w:val="21"/>
                <w:szCs w:val="21"/>
                <w:highlight w:val="none"/>
                <w:lang w:bidi="ar"/>
              </w:rPr>
              <w:t xml:space="preserve">3</w:t>
            </w:r>
            <w:r/>
          </w:p>
        </w:tc>
        <w:tc>
          <w:tcPr>
            <w:tcW w:w="987"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0000ff"/>
                <w:sz w:val="21"/>
                <w:szCs w:val="21"/>
                <w:highlight w:val="none"/>
              </w:rPr>
            </w:pPr>
            <w:r>
              <w:rPr>
                <w:rFonts w:hint="eastAsia" w:ascii="宋体" w:hAnsi="宋体" w:eastAsia="宋体" w:cs="宋体"/>
                <w:color w:val="auto"/>
                <w:sz w:val="21"/>
                <w:szCs w:val="21"/>
                <w:highlight w:val="none"/>
                <w:lang w:val="en-US" w:eastAsia="zh-CN" w:bidi="ar"/>
              </w:rPr>
              <w:t xml:space="preserve">技术</w:t>
            </w:r>
            <w:r>
              <w:rPr>
                <w:rFonts w:hint="eastAsia" w:ascii="宋体" w:hAnsi="宋体" w:eastAsia="宋体" w:cs="宋体"/>
                <w:color w:val="auto"/>
                <w:sz w:val="21"/>
                <w:szCs w:val="21"/>
                <w:highlight w:val="none"/>
                <w:lang w:bidi="ar"/>
              </w:rPr>
              <w:t xml:space="preserve">部分（</w:t>
            </w:r>
            <w:r>
              <w:rPr>
                <w:rFonts w:hint="eastAsia" w:ascii="宋体" w:hAnsi="宋体" w:eastAsia="宋体" w:cs="宋体"/>
                <w:color w:val="auto"/>
                <w:sz w:val="21"/>
                <w:szCs w:val="21"/>
                <w:highlight w:val="none"/>
                <w:lang w:val="en-US" w:eastAsia="zh-CN" w:bidi="ar"/>
              </w:rPr>
              <w:t xml:space="preserve">46</w:t>
            </w:r>
            <w:r>
              <w:rPr>
                <w:rFonts w:hint="eastAsia" w:ascii="宋体" w:hAnsi="宋体" w:eastAsia="宋体" w:cs="宋体"/>
                <w:color w:val="auto"/>
                <w:sz w:val="21"/>
                <w:szCs w:val="21"/>
                <w:highlight w:val="none"/>
                <w:lang w:bidi="ar"/>
              </w:rPr>
              <w:t xml:space="preserve">分）</w:t>
            </w:r>
            <w:r/>
          </w:p>
        </w:tc>
        <w:tc>
          <w:tcPr>
            <w:tcW w:w="1025"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技术</w:t>
            </w:r>
            <w:r>
              <w:rPr>
                <w:rFonts w:hint="eastAsia" w:ascii="宋体" w:hAnsi="宋体" w:eastAsia="宋体" w:cs="宋体"/>
                <w:color w:val="auto"/>
                <w:sz w:val="21"/>
                <w:szCs w:val="21"/>
                <w:highlight w:val="none"/>
                <w:lang w:val="en-US" w:eastAsia="zh-CN" w:bidi="ar"/>
              </w:rPr>
              <w:t xml:space="preserve">参数</w:t>
            </w:r>
            <w:r>
              <w:rPr>
                <w:rFonts w:hint="eastAsia" w:ascii="宋体" w:hAnsi="宋体" w:eastAsia="宋体" w:cs="宋体"/>
                <w:color w:val="auto"/>
                <w:sz w:val="21"/>
                <w:szCs w:val="21"/>
                <w:highlight w:val="none"/>
                <w:lang w:bidi="ar"/>
              </w:rPr>
              <w:t xml:space="preserve">评审（</w:t>
            </w:r>
            <w:r>
              <w:rPr>
                <w:rFonts w:hint="eastAsia" w:ascii="宋体" w:hAnsi="宋体" w:eastAsia="宋体" w:cs="宋体"/>
                <w:color w:val="auto"/>
                <w:sz w:val="21"/>
                <w:szCs w:val="21"/>
                <w:highlight w:val="none"/>
                <w:lang w:val="en-US" w:eastAsia="zh-CN" w:bidi="ar"/>
              </w:rPr>
              <w:t xml:space="preserve">32</w:t>
            </w:r>
            <w:r>
              <w:rPr>
                <w:rFonts w:hint="eastAsia" w:ascii="宋体" w:hAnsi="宋体" w:eastAsia="宋体" w:cs="宋体"/>
                <w:color w:val="auto"/>
                <w:sz w:val="21"/>
                <w:szCs w:val="21"/>
                <w:highlight w:val="none"/>
                <w:lang w:bidi="ar"/>
              </w:rPr>
              <w:t xml:space="preserve">分）</w:t>
            </w:r>
            <w:r/>
          </w:p>
        </w:tc>
        <w:tc>
          <w:tcPr>
            <w:tcW w:w="6817" w:type="dxa"/>
            <w:vAlign w:val="center"/>
            <w:textDirection w:val="lrTb"/>
            <w:noWrap w:val="false"/>
          </w:tcPr>
          <w:p>
            <w:pPr>
              <w:pStyle w:val="870"/>
              <w:ind w:left="0" w:firstLine="0"/>
              <w:keepLines w:val="0"/>
              <w:keepNext w:val="0"/>
              <w:pageBreakBefore w:val="0"/>
              <w:spacing w:before="0" w:after="0"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投标人所投投标产品技术规格要求满足招标文件全部参数说明要求的，得32分。</w:t>
            </w:r>
            <w:r/>
          </w:p>
          <w:p>
            <w:pPr>
              <w:pStyle w:val="870"/>
              <w:ind w:left="0" w:firstLine="0"/>
              <w:keepLines w:val="0"/>
              <w:keepNext w:val="0"/>
              <w:pageBreakBefore w:val="0"/>
              <w:spacing w:before="0" w:after="0"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其中“详细功能参数”中标注“▲”部分为重要技术参数，标注“▲”参数每有一项负偏离的扣1分，扣完为止。</w:t>
            </w:r>
            <w:r/>
          </w:p>
          <w:p>
            <w:pPr>
              <w:pStyle w:val="870"/>
              <w:ind w:left="0" w:firstLine="0"/>
              <w:keepLines w:val="0"/>
              <w:keepNext w:val="0"/>
              <w:pageBreakBefore w:val="0"/>
              <w:spacing w:before="0" w:after="0"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注：1、打“▲”的重要技术参数以招标文件第四章项目需求中要求提供的证明材料为准，且需在投标文件《技术参数响应及偏离表》中清楚标注每一证明材料对应项页码，以便评委审核，未提供或提供不符合招标文件技术参数要求的，视为负偏离。</w:t>
            </w:r>
            <w:r/>
          </w:p>
          <w:p>
            <w:pPr>
              <w:pStyle w:val="870"/>
              <w:ind w:left="0" w:firstLine="0"/>
              <w:keepLines w:val="0"/>
              <w:keepNext w:val="0"/>
              <w:pageBreakBefore w:val="0"/>
              <w:spacing w:before="0" w:after="0"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2、各投标人须保证所填写参数的真实性并对所填参数负责，中标后如发现产品实际参数与填写参数不符合将取消中标资格，终止合同并没收履约保证金，对采购人造成损失的则赔偿相应损失。</w:t>
            </w:r>
            <w:r/>
          </w:p>
        </w:tc>
      </w:tr>
      <w:tr>
        <w:trPr>
          <w:trHeight w:val="639"/>
        </w:trPr>
        <w:tc>
          <w:tcPr>
            <w:tcW w:w="293" w:type="pct"/>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987"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W w:w="1025"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sz w:val="21"/>
                <w:szCs w:val="21"/>
                <w:highlight w:val="none"/>
                <w:lang w:bidi="ar"/>
              </w:rPr>
              <w:t xml:space="preserve">技术方案评审（</w:t>
            </w:r>
            <w:r>
              <w:rPr>
                <w:rFonts w:hint="eastAsia" w:ascii="宋体" w:hAnsi="宋体" w:eastAsia="宋体" w:cs="宋体"/>
                <w:sz w:val="21"/>
                <w:szCs w:val="21"/>
                <w:highlight w:val="none"/>
                <w:lang w:val="en-US" w:eastAsia="zh-CN" w:bidi="ar"/>
              </w:rPr>
              <w:t xml:space="preserve">14</w:t>
            </w:r>
            <w:r>
              <w:rPr>
                <w:rFonts w:hint="eastAsia" w:ascii="宋体" w:hAnsi="宋体" w:eastAsia="宋体" w:cs="宋体"/>
                <w:sz w:val="21"/>
                <w:szCs w:val="21"/>
                <w:highlight w:val="none"/>
                <w:lang w:bidi="ar"/>
              </w:rPr>
              <w:t xml:space="preserve">分）</w:t>
            </w:r>
            <w:r/>
          </w:p>
        </w:tc>
        <w:tc>
          <w:tcPr>
            <w:tcW w:w="6817" w:type="dxa"/>
            <w:vAlign w:val="center"/>
            <w:textDirection w:val="lrTb"/>
            <w:noWrap w:val="false"/>
          </w:tcPr>
          <w:p>
            <w:pPr>
              <w:numPr>
                <w:ilvl w:val="0"/>
                <w:numId w:val="6"/>
              </w:numPr>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状分析（4分）：投标人了解亭湖区卫生信息化现状，在现有信息系统基础上进行升级，能够对本①项目背景及用户现状；②目前系统建设情况；③系统运行情况有充分认识和理解；④能准确阐述现有信息化现状和国家区域互联互通四级甲等测评之间的差异分析，分析科学深入。</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以上方案内容完整得 4 分，每有一内容缺失的扣 1 分；每有一处存在缺陷（缺陷是指不适用于本项目，表述前后不一致或内容矛盾，语句有歧义，仅有框架或标题，涉及的规范及标准错误，套用其他项目内容 等任意一种情形）的扣 0.5 分，直至该项分值 1 分扣完为止，不提供不得分。</w:t>
            </w:r>
            <w:r/>
          </w:p>
          <w:p>
            <w:pPr>
              <w:numPr>
                <w:ilvl w:val="0"/>
                <w:numId w:val="6"/>
              </w:numPr>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项目管理方案（4分）：根据投标人提供的项目管理方案进行打分，①项目人力资源管理；②项目进度跟踪管理、良好的进度控制；③质量保障措施、风险控制管理；④信息安全管理措施、文档管理措施。</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以上方案内容完整得 4 分，每有一内容缺失的扣 1 分；每有一处存在缺陷（缺陷是指不适用于本项目，表述前后不一致或内容矛盾，语句有歧义，仅有框架或标题，涉及的规范及标准错误，套用其他项目内容 等任意一种情形）的扣 0.5 分，直至该项分值 1 分扣完为止，不提供不得分。</w:t>
            </w:r>
            <w:r/>
          </w:p>
          <w:p>
            <w:pPr>
              <w:numPr>
                <w:ilvl w:val="0"/>
                <w:numId w:val="6"/>
              </w:numPr>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实施方案（2分）：根据投标人提供的项目实施方案进行打分，①项目组织计划</w:t>
            </w:r>
            <w:r>
              <w:rPr>
                <w:rFonts w:ascii="Arial" w:hAnsi="Arial" w:eastAsia="Arial" w:cs="Arial"/>
                <w:color w:val="000000"/>
                <w:sz w:val="21"/>
              </w:rPr>
              <w:t xml:space="preserve">；</w:t>
            </w:r>
            <w:r>
              <w:rPr>
                <w:rFonts w:ascii="SimSun" w:hAnsi="SimSun" w:eastAsia="SimSun" w:cs="SimSun"/>
                <w:color w:val="000000"/>
                <w:sz w:val="21"/>
              </w:rPr>
              <w:t xml:space="preserve">②项目实施过程质量保证措施。</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以上方案内容完整得 2 分，每有一内容缺失的扣 1 分；每有一处存在缺陷（缺陷是指不适用于本项目，表述前后不一致或内容矛盾，语句有歧义，仅有框架或标题，涉及的规范及标准错误，套用其他项目内容 等任意一种情形）的扣 0.5 分，直至该项分值 1 分扣完为止，不提供不得分。</w:t>
            </w:r>
            <w:r/>
          </w:p>
          <w:p>
            <w:pPr>
              <w:numPr>
                <w:ilvl w:val="0"/>
                <w:numId w:val="6"/>
              </w:numPr>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培训方案（2分）：根据投标人提供的项目培训方案进行打分①培训目标及效果；②培训计划；③培训师资力量；④培训内容。</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以上方案内容完整得 2 分，每有一内容缺失的扣0.5 分；每有一处存在缺陷（缺陷是指不适用于本项目，表述前后不一致或内容矛盾，语句有歧义，仅有框架或标题，涉及的规范及标准错误，套用其他项目内容 等任意一种情形）的扣0.25 分，直至该项分值0.5 分扣完为止，不提供不得分。</w:t>
            </w:r>
            <w:r/>
          </w:p>
          <w:p>
            <w:pPr>
              <w:numPr>
                <w:ilvl w:val="0"/>
                <w:numId w:val="6"/>
              </w:numPr>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售后服务方案（2分）：根据投标人提供的项目售后服务方案进行打分①服务方式、服务组织体系②售后服务管理制度③售后服务保障措施、售后服务应急响应措施④省内售后服务组织架构情况。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以上方案内容完整得 2 分，每有一内容缺失的扣0.5 分；每有一处存在缺陷（缺陷是指不适用于本项目，表述前后不一致或内容矛盾，语句有歧义，仅有框架或标题，涉及的规范及标准错误，套用其他项目内容 等任意一种情形）的扣0.25 分，直至该项分值0.5 分扣完为止，不提供不得分。</w:t>
            </w:r>
            <w:r>
              <w:rPr>
                <w:sz w:val="21"/>
              </w:rPr>
            </w:r>
            <w:r/>
          </w:p>
        </w:tc>
      </w:tr>
      <w:tr>
        <w:trPr>
          <w:trHeight w:val="3092"/>
        </w:trPr>
        <w:tc>
          <w:tcPr>
            <w:tcW w:w="29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p>
        </w:tc>
        <w:tc>
          <w:tcPr>
            <w:tcW w:w="98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演示部分（20分）</w:t>
            </w:r>
            <w:r/>
          </w:p>
        </w:tc>
        <w:tc>
          <w:tcPr>
            <w:tcW w:w="1025" w:type="dxa"/>
            <w:vAlign w:val="center"/>
            <w:textDirection w:val="lrTb"/>
            <w:noWrap w:val="false"/>
          </w:tcPr>
          <w:p>
            <w:pPr>
              <w:keepLines w:val="0"/>
              <w:keepNext w:val="0"/>
              <w:pageBreakBefore w:val="0"/>
              <w:spacing w:line="360" w:lineRule="exact"/>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功能演示（20分）</w:t>
            </w:r>
            <w:r/>
          </w:p>
        </w:tc>
        <w:tc>
          <w:tcPr>
            <w:tcW w:w="6817" w:type="dxa"/>
            <w:vAlign w:val="center"/>
            <w:textDirection w:val="lrTb"/>
            <w:noWrap w:val="false"/>
          </w:tcPr>
          <w:p>
            <w:pPr>
              <w:pStyle w:val="870"/>
              <w:ind w:left="0" w:firstLine="0"/>
              <w:keepLines w:val="0"/>
              <w:keepNext w:val="0"/>
              <w:pageBreakBefore w:val="0"/>
              <w:spacing w:before="0" w:after="0" w:line="360" w:lineRule="exac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bidi="ar"/>
              </w:rPr>
              <w:t xml:space="preserve">为满足项目建设要求，需对</w:t>
            </w:r>
            <w:r>
              <w:rPr>
                <w:rFonts w:hint="eastAsia" w:ascii="宋体" w:hAnsi="宋体" w:eastAsia="宋体" w:cs="宋体"/>
                <w:sz w:val="21"/>
                <w:szCs w:val="21"/>
                <w:highlight w:val="none"/>
                <w:lang w:bidi="ar"/>
              </w:rPr>
              <w:t xml:space="preserve">以下功能进行演示，评标委员会根据讲解与系统演示情况综合评审，演示时间得不超过</w:t>
            </w:r>
            <w:r>
              <w:rPr>
                <w:rFonts w:hint="eastAsia" w:ascii="宋体" w:hAnsi="宋体" w:eastAsia="宋体" w:cs="宋体"/>
                <w:sz w:val="21"/>
                <w:szCs w:val="21"/>
                <w:highlight w:val="none"/>
                <w:lang w:val="en-US" w:eastAsia="zh-CN" w:bidi="ar"/>
              </w:rPr>
              <w:t xml:space="preserve">25</w:t>
            </w:r>
            <w:r>
              <w:rPr>
                <w:rFonts w:hint="eastAsia" w:ascii="宋体" w:hAnsi="宋体" w:eastAsia="宋体" w:cs="宋体"/>
                <w:sz w:val="21"/>
                <w:szCs w:val="21"/>
                <w:highlight w:val="none"/>
                <w:lang w:bidi="ar"/>
              </w:rPr>
              <w:t xml:space="preserve">分钟。演示内容必须针对</w:t>
            </w:r>
            <w:r>
              <w:rPr>
                <w:rFonts w:hint="eastAsia" w:ascii="宋体" w:hAnsi="宋体" w:eastAsia="宋体" w:cs="宋体"/>
                <w:sz w:val="21"/>
                <w:szCs w:val="21"/>
                <w:highlight w:val="none"/>
                <w:lang w:val="en-US" w:eastAsia="zh-CN" w:bidi="ar"/>
              </w:rPr>
              <w:t xml:space="preserve">该</w:t>
            </w:r>
            <w:r>
              <w:rPr>
                <w:rFonts w:hint="eastAsia" w:ascii="宋体" w:hAnsi="宋体" w:eastAsia="宋体" w:cs="宋体"/>
                <w:sz w:val="21"/>
                <w:szCs w:val="21"/>
                <w:highlight w:val="none"/>
                <w:lang w:bidi="ar"/>
              </w:rPr>
              <w:t xml:space="preserve">项目实际情况进行</w:t>
            </w:r>
            <w:r>
              <w:rPr>
                <w:rFonts w:hint="eastAsia" w:ascii="宋体" w:hAnsi="宋体" w:eastAsia="宋体" w:cs="宋体"/>
                <w:sz w:val="21"/>
                <w:szCs w:val="21"/>
                <w:highlight w:val="none"/>
                <w:lang w:val="en-US" w:eastAsia="zh-CN" w:bidi="ar"/>
              </w:rPr>
              <w:t xml:space="preserve">现场</w:t>
            </w:r>
            <w:r>
              <w:rPr>
                <w:rFonts w:hint="eastAsia" w:ascii="宋体" w:hAnsi="宋体" w:eastAsia="宋体" w:cs="宋体"/>
                <w:sz w:val="21"/>
                <w:szCs w:val="21"/>
                <w:highlight w:val="none"/>
                <w:lang w:bidi="ar"/>
              </w:rPr>
              <w:t xml:space="preserve">针对性演示（注：投标人须自行携带演示所需的设备</w:t>
            </w:r>
            <w:r>
              <w:rPr>
                <w:rFonts w:hint="eastAsia" w:ascii="宋体" w:hAnsi="宋体" w:eastAsia="宋体" w:cs="宋体"/>
                <w:sz w:val="21"/>
                <w:szCs w:val="21"/>
                <w:highlight w:val="none"/>
                <w:lang w:val="en-US" w:eastAsia="zh-CN" w:bidi="ar"/>
              </w:rPr>
              <w:t xml:space="preserve">到评标现场</w:t>
            </w:r>
            <w:r>
              <w:rPr>
                <w:rFonts w:hint="eastAsia" w:ascii="宋体" w:hAnsi="宋体" w:eastAsia="宋体" w:cs="宋体"/>
                <w:sz w:val="21"/>
                <w:szCs w:val="21"/>
                <w:highlight w:val="none"/>
                <w:lang w:bidi="ar"/>
              </w:rPr>
              <w:t xml:space="preserve">对以下共计</w:t>
            </w:r>
            <w:r>
              <w:rPr>
                <w:rFonts w:hint="eastAsia" w:ascii="宋体" w:hAnsi="宋体" w:eastAsia="宋体" w:cs="宋体"/>
                <w:sz w:val="21"/>
                <w:szCs w:val="21"/>
                <w:highlight w:val="none"/>
                <w:lang w:val="en-US" w:eastAsia="zh-CN" w:bidi="ar"/>
              </w:rPr>
              <w:t xml:space="preserve">5</w:t>
            </w:r>
            <w:r>
              <w:rPr>
                <w:rFonts w:hint="eastAsia" w:ascii="宋体" w:hAnsi="宋体" w:eastAsia="宋体" w:cs="宋体"/>
                <w:sz w:val="21"/>
                <w:szCs w:val="21"/>
                <w:highlight w:val="none"/>
                <w:lang w:bidi="ar"/>
              </w:rPr>
              <w:t xml:space="preserve">项功能进行真实同类系统产品演示，未演示或未针对该项功能演示</w:t>
            </w:r>
            <w:r>
              <w:rPr>
                <w:rFonts w:hint="eastAsia" w:ascii="宋体" w:hAnsi="宋体" w:eastAsia="宋体" w:cs="宋体"/>
                <w:color w:val="auto"/>
                <w:sz w:val="21"/>
                <w:szCs w:val="21"/>
                <w:highlight w:val="none"/>
                <w:lang w:bidi="ar"/>
              </w:rPr>
              <w:t xml:space="preserve">或</w:t>
            </w:r>
            <w:r>
              <w:rPr>
                <w:rFonts w:hint="eastAsia" w:ascii="宋体" w:hAnsi="宋体" w:eastAsia="宋体" w:cs="宋体"/>
                <w:color w:val="auto"/>
                <w:sz w:val="21"/>
                <w:szCs w:val="21"/>
                <w:highlight w:val="none"/>
                <w:lang w:val="en-US" w:eastAsia="zh-CN" w:bidi="ar"/>
              </w:rPr>
              <w:t xml:space="preserve">视频、</w:t>
            </w:r>
            <w:r>
              <w:rPr>
                <w:rFonts w:hint="eastAsia" w:ascii="宋体" w:hAnsi="宋体" w:eastAsia="宋体" w:cs="宋体"/>
                <w:color w:val="auto"/>
                <w:sz w:val="21"/>
                <w:szCs w:val="21"/>
                <w:highlight w:val="none"/>
                <w:lang w:bidi="ar"/>
              </w:rPr>
              <w:t xml:space="preserve">PPT、Demo演示</w:t>
            </w:r>
            <w:r>
              <w:rPr>
                <w:rFonts w:hint="eastAsia" w:ascii="宋体" w:hAnsi="宋体" w:eastAsia="宋体" w:cs="宋体"/>
                <w:sz w:val="21"/>
                <w:szCs w:val="21"/>
                <w:highlight w:val="none"/>
                <w:lang w:bidi="ar"/>
              </w:rPr>
              <w:t xml:space="preserve">等其他形式的演示该项不得分）。</w:t>
            </w:r>
            <w:r/>
          </w:p>
          <w:p>
            <w:pPr>
              <w:pStyle w:val="870"/>
              <w:ind w:left="0" w:firstLine="0"/>
              <w:keepLines w:val="0"/>
              <w:keepNext w:val="0"/>
              <w:pageBreakBefore w:val="0"/>
              <w:spacing w:before="0" w:after="0" w:line="360" w:lineRule="exact"/>
              <w:widowControl/>
              <w:rPr>
                <w:rFonts w:hint="eastAsia" w:ascii="宋体" w:hAnsi="宋体" w:eastAsia="宋体" w:cs="宋体"/>
                <w:b/>
                <w:bCs/>
                <w:sz w:val="21"/>
                <w:szCs w:val="21"/>
                <w:highlight w:val="none"/>
                <w:lang w:val="en-US" w:eastAsia="zh-CN" w:bidi="ar"/>
              </w:rPr>
            </w:pPr>
            <w:r>
              <w:rPr>
                <w:rFonts w:hint="eastAsia" w:ascii="宋体" w:hAnsi="宋体" w:eastAsia="宋体" w:cs="宋体"/>
                <w:b/>
                <w:bCs/>
                <w:sz w:val="21"/>
                <w:szCs w:val="21"/>
                <w:highlight w:val="none"/>
                <w:lang w:val="en-US" w:eastAsia="zh-CN" w:bidi="ar"/>
              </w:rPr>
              <w:t xml:space="preserve">1、慢病管理（医养结合）中心（5分）：</w:t>
            </w:r>
            <w:r/>
          </w:p>
          <w:p>
            <w:pPr>
              <w:pStyle w:val="870"/>
              <w:ind w:left="0" w:firstLine="0"/>
              <w:keepLines w:val="0"/>
              <w:keepNext w:val="0"/>
              <w:pageBreakBefore w:val="0"/>
              <w:spacing w:before="0" w:after="0" w:line="360" w:lineRule="exac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基于全民健康信息平台，构建疾病筛查服务，包括上消化道肿瘤、前列腺肿瘤、肺结节、宫颈癌、乳腺癌筛查以及高血压、糖尿病靶器官筛查。(完全符合得</w:t>
            </w: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lang w:bidi="ar"/>
              </w:rPr>
              <w:t xml:space="preserve">分，否则不得分。)通过数据共享，将平台的筛查结果推送至健康随访服务中心，生成筛查队列供医护查看所需管理目标人群，可通过医疗机构、评估状态等进行查询。(完全符合得</w:t>
            </w: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lang w:bidi="ar"/>
              </w:rPr>
              <w:t xml:space="preserve">分，否则不得分。)</w:t>
            </w:r>
            <w:r/>
          </w:p>
          <w:p>
            <w:pPr>
              <w:pStyle w:val="870"/>
              <w:numPr>
                <w:ilvl w:val="0"/>
                <w:numId w:val="3"/>
              </w:numPr>
              <w:ind w:left="0" w:firstLine="0"/>
              <w:keepLines w:val="0"/>
              <w:keepNext w:val="0"/>
              <w:pageBreakBefore w:val="0"/>
              <w:spacing w:before="0" w:after="0" w:line="360" w:lineRule="exac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eastAsia="zh-CN" w:bidi="ar"/>
              </w:rPr>
              <w:t xml:space="preserve">提供待随访列表供医护查看所需随访人群，可通过医疗机构、随访任务等进行查询。列表除展示居民基本信息外，支持查看具体随访任务及随访截止日期。可在此为居民提供随访服务，随访信息支持暂存。(完全符合得</w:t>
            </w: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lang w:eastAsia="zh-CN" w:bidi="ar"/>
              </w:rPr>
              <w:t xml:space="preserve">分，否则不得分。)针对高糖慢病患者，在健康随访中心完成随访后，数据自动推送至基本公卫系统生成随访记录。基本公卫系统中完成随访后，支持自动核销健康随访中心随访任务，避免数据重复录入。(完全符合得</w:t>
            </w: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lang w:eastAsia="zh-CN" w:bidi="ar"/>
              </w:rPr>
              <w:t xml:space="preserve">分，否则不得分。)</w:t>
            </w:r>
            <w:r/>
          </w:p>
          <w:p>
            <w:pPr>
              <w:pStyle w:val="870"/>
              <w:ind w:left="0" w:firstLine="0"/>
              <w:keepLines w:val="0"/>
              <w:keepNext w:val="0"/>
              <w:pageBreakBefore w:val="0"/>
              <w:spacing w:before="0" w:after="0" w:line="360" w:lineRule="exac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3</w:t>
            </w:r>
            <w:r>
              <w:rPr>
                <w:rFonts w:hint="eastAsia" w:ascii="宋体" w:hAnsi="宋体" w:eastAsia="宋体" w:cs="宋体"/>
                <w:sz w:val="21"/>
                <w:szCs w:val="21"/>
                <w:highlight w:val="none"/>
                <w:lang w:eastAsia="zh-CN" w:bidi="ar"/>
              </w:rPr>
              <w:t xml:space="preserve">）以居民为服务中心，需提供居民主页，整合居民基本信息、筛查记录、随访记录、健教处方、体征趋势信息。其中，随访记录可按照随访类型查看历次随访记录及其详情。体征趋势可按照图表及表格模式进行查看。(完全符合得</w:t>
            </w: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lang w:eastAsia="zh-CN" w:bidi="ar"/>
              </w:rPr>
              <w:t xml:space="preserve">分，否则不得分。)</w:t>
            </w:r>
            <w:r/>
          </w:p>
          <w:p>
            <w:pPr>
              <w:pStyle w:val="870"/>
              <w:ind w:left="0" w:firstLine="0"/>
              <w:keepLines w:val="0"/>
              <w:keepNext w:val="0"/>
              <w:pageBreakBefore w:val="0"/>
              <w:spacing w:before="0" w:after="0" w:line="360" w:lineRule="exact"/>
              <w:widowControl/>
              <w:rPr>
                <w:rFonts w:hint="eastAsia" w:ascii="宋体" w:hAnsi="宋体" w:eastAsia="宋体" w:cs="宋体"/>
                <w:b/>
                <w:bCs/>
                <w:sz w:val="21"/>
                <w:szCs w:val="21"/>
                <w:highlight w:val="none"/>
                <w:lang w:eastAsia="zh-CN" w:bidi="ar"/>
              </w:rPr>
            </w:pPr>
            <w:r>
              <w:rPr>
                <w:rFonts w:hint="eastAsia" w:ascii="宋体" w:hAnsi="宋体" w:eastAsia="宋体" w:cs="宋体"/>
                <w:b/>
                <w:bCs/>
                <w:sz w:val="21"/>
                <w:szCs w:val="21"/>
                <w:highlight w:val="none"/>
                <w:lang w:val="en-US" w:eastAsia="zh-CN" w:bidi="ar"/>
              </w:rPr>
              <w:t xml:space="preserve">2、</w:t>
            </w:r>
            <w:r>
              <w:rPr>
                <w:rFonts w:hint="eastAsia" w:ascii="宋体" w:hAnsi="宋体" w:eastAsia="宋体" w:cs="宋体"/>
                <w:b/>
                <w:bCs/>
                <w:sz w:val="21"/>
                <w:szCs w:val="21"/>
                <w:highlight w:val="none"/>
                <w:lang w:eastAsia="zh-CN" w:bidi="ar"/>
              </w:rPr>
              <w:t xml:space="preserve">区域质控中心（</w:t>
            </w:r>
            <w:r>
              <w:rPr>
                <w:rFonts w:hint="eastAsia" w:ascii="宋体" w:hAnsi="宋体" w:eastAsia="宋体" w:cs="宋体"/>
                <w:b/>
                <w:bCs/>
                <w:sz w:val="21"/>
                <w:szCs w:val="21"/>
                <w:highlight w:val="none"/>
                <w:lang w:val="en-US" w:eastAsia="zh-CN" w:bidi="ar"/>
              </w:rPr>
              <w:t xml:space="preserve">3分</w:t>
            </w:r>
            <w:r>
              <w:rPr>
                <w:rFonts w:hint="eastAsia" w:ascii="宋体" w:hAnsi="宋体" w:eastAsia="宋体" w:cs="宋体"/>
                <w:b/>
                <w:bCs/>
                <w:sz w:val="21"/>
                <w:szCs w:val="21"/>
                <w:highlight w:val="none"/>
                <w:lang w:eastAsia="zh-CN" w:bidi="ar"/>
              </w:rPr>
              <w:t xml:space="preserve">）：</w:t>
            </w:r>
            <w:r/>
          </w:p>
          <w:p>
            <w:pPr>
              <w:pStyle w:val="870"/>
              <w:ind w:left="0" w:firstLine="0"/>
              <w:keepLines w:val="0"/>
              <w:keepNext w:val="0"/>
              <w:pageBreakBefore w:val="0"/>
              <w:spacing w:before="0" w:after="0" w:line="360" w:lineRule="exac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电子病历模板配置：提供可视化电子病历模板配置功能，通过内置电子病历模板库和段落库支持快速配置电子病历模板。 (完全符合得</w:t>
            </w: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bidi="ar"/>
              </w:rPr>
              <w:t xml:space="preserve">分，否则不得分。)</w:t>
            </w:r>
            <w:r/>
          </w:p>
          <w:p>
            <w:pPr>
              <w:pStyle w:val="870"/>
              <w:ind w:left="0" w:firstLine="0"/>
              <w:keepLines w:val="0"/>
              <w:keepNext w:val="0"/>
              <w:pageBreakBefore w:val="0"/>
              <w:spacing w:before="0" w:after="0" w:line="360" w:lineRule="exac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电子病历质控报告：可将评分质控明细对应至电子病历模板上，便于医生快速查找错误，并可人工评估，修改质控结果。(完全符合得</w:t>
            </w: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lang w:bidi="ar"/>
              </w:rPr>
              <w:t xml:space="preserve">分，否则不得分。)</w:t>
            </w:r>
            <w:r/>
          </w:p>
          <w:p>
            <w:pPr>
              <w:pStyle w:val="870"/>
              <w:ind w:left="0" w:firstLine="0"/>
              <w:keepLines w:val="0"/>
              <w:keepNext w:val="0"/>
              <w:pageBreakBefore w:val="0"/>
              <w:spacing w:before="0" w:after="0" w:line="360" w:lineRule="exact"/>
              <w:widowControl/>
              <w:rPr>
                <w:rFonts w:hint="eastAsia" w:ascii="宋体" w:hAnsi="宋体" w:eastAsia="宋体" w:cs="宋体"/>
                <w:b/>
                <w:bCs/>
                <w:sz w:val="21"/>
                <w:szCs w:val="21"/>
                <w:highlight w:val="none"/>
                <w:lang w:val="en-US" w:eastAsia="zh-CN" w:bidi="ar"/>
              </w:rPr>
            </w:pPr>
            <w:r>
              <w:rPr>
                <w:rFonts w:hint="eastAsia" w:ascii="宋体" w:hAnsi="宋体" w:eastAsia="宋体" w:cs="宋体"/>
                <w:b/>
                <w:bCs/>
                <w:sz w:val="21"/>
                <w:szCs w:val="21"/>
                <w:highlight w:val="none"/>
                <w:lang w:val="en-US" w:eastAsia="zh-CN" w:bidi="ar"/>
              </w:rPr>
              <w:t xml:space="preserve">3、“十张网”大屏（4分）</w:t>
            </w:r>
            <w:r/>
          </w:p>
          <w:p>
            <w:pPr>
              <w:keepLines w:val="0"/>
              <w:keepNext w:val="0"/>
              <w:pageBreakBefore w:val="0"/>
              <w:spacing w:line="360" w:lineRule="exact"/>
              <w:widowControl/>
              <w:rPr>
                <w:rFonts w:hint="eastAsia" w:ascii="宋体" w:hAnsi="宋体" w:eastAsia="宋体" w:cs="宋体"/>
                <w:b w:val="0"/>
                <w:bCs w:val="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 xml:space="preserve">（1）可视化综管大屏基础配置：支持大屏的尺寸、名称、背景、颜色等配置，并可以选择多种组件，包括图表类、辅助类、交互类、主图类、3D类、组合类等组件种类功能。(完全符合得1分，否则不得分。)可对组件内容进行配置，包括基本属性、主题包、图表属性等内容，可以调整图表的尺寸、位置、角度、透明度、颜色、背景色、边框、文字、内容间距、显示效果等内容。(完全符合得1分，否则不得分。)</w:t>
            </w:r>
            <w:r/>
          </w:p>
          <w:p>
            <w:pPr>
              <w:keepLines w:val="0"/>
              <w:keepNext w:val="0"/>
              <w:pageBreakBefore w:val="0"/>
              <w:spacing w:line="360" w:lineRule="exact"/>
              <w:widowControl/>
              <w:rPr>
                <w:rFonts w:hint="eastAsia" w:ascii="宋体" w:hAnsi="宋体" w:eastAsia="宋体" w:cs="宋体"/>
                <w:b w:val="0"/>
                <w:bCs w:val="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 xml:space="preserve">（2）视化综管大屏数据配置：需持对组件进行数据配置，可以对数据源进行选择，可同后台数据库直接调用数据模型，支持内部数据库、外部数据库、内部API、外部API、静态数据、智能分析等模型类型，也可通过模型名称进行搜索引用。(完全符合得1分，否则不得分。)可支持数据处理支持单个、多个、逐个、统一的转换方式，支持强制转换开启，以及数据千分位、小数位等配置。支持智能处理模式，可对数据进行加工和补齐。(完全符合得1分，否则不得分。)</w:t>
            </w:r>
            <w:r/>
          </w:p>
          <w:p>
            <w:pPr>
              <w:keepLines w:val="0"/>
              <w:keepNext w:val="0"/>
              <w:pageBreakBefore w:val="0"/>
              <w:spacing w:line="360" w:lineRule="exact"/>
              <w:widowControl/>
              <w:rPr>
                <w:rFonts w:hint="eastAsia" w:ascii="宋体" w:hAnsi="宋体" w:eastAsia="宋体" w:cs="宋体"/>
                <w:b/>
                <w:bCs/>
                <w:sz w:val="21"/>
                <w:szCs w:val="21"/>
                <w:highlight w:val="none"/>
                <w:lang w:val="en-US" w:eastAsia="zh-CN" w:bidi="ar"/>
              </w:rPr>
            </w:pPr>
            <w:r>
              <w:rPr>
                <w:rFonts w:hint="eastAsia" w:ascii="宋体" w:hAnsi="宋体" w:eastAsia="宋体" w:cs="宋体"/>
                <w:b/>
                <w:bCs/>
                <w:sz w:val="21"/>
                <w:szCs w:val="21"/>
                <w:highlight w:val="none"/>
                <w:lang w:val="en-US" w:eastAsia="zh-CN" w:bidi="ar"/>
              </w:rPr>
              <w:t xml:space="preserve">4、防火墙管理系统（5分）</w:t>
            </w:r>
            <w:r/>
          </w:p>
          <w:p>
            <w:pPr>
              <w:keepLines w:val="0"/>
              <w:keepNext w:val="0"/>
              <w:pageBreakBefore w:val="0"/>
              <w:spacing w:line="360" w:lineRule="exact"/>
              <w:widowControl/>
              <w:rPr>
                <w:rFonts w:hint="eastAsia" w:ascii="宋体" w:hAnsi="宋体" w:eastAsia="宋体" w:cs="宋体"/>
                <w:b w:val="0"/>
                <w:bCs w:val="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 xml:space="preserve">（1）本次所投防火墙支持勒索</w:t>
            </w:r>
            <w:r>
              <w:rPr>
                <w:rFonts w:hint="default" w:ascii="宋体" w:hAnsi="宋体" w:eastAsia="宋体" w:cs="宋体"/>
                <w:b w:val="0"/>
                <w:bCs w:val="0"/>
                <w:sz w:val="21"/>
                <w:szCs w:val="21"/>
                <w:highlight w:val="none"/>
                <w:lang w:val="en-US" w:eastAsia="zh-CN" w:bidi="ar"/>
              </w:rPr>
              <w:t xml:space="preserve">病毒检测与防御功能</w:t>
            </w:r>
            <w:r>
              <w:rPr>
                <w:rFonts w:hint="eastAsia" w:ascii="宋体" w:hAnsi="宋体" w:eastAsia="宋体" w:cs="宋体"/>
                <w:b w:val="0"/>
                <w:bCs w:val="0"/>
                <w:sz w:val="21"/>
                <w:szCs w:val="21"/>
                <w:highlight w:val="none"/>
                <w:lang w:val="en-US" w:eastAsia="zh-CN" w:bidi="ar"/>
              </w:rPr>
              <w:t xml:space="preserve">，具备针对勒索的专项防护功能栏，包括但不限于风险业务展示、暴露面管理、弱口令及受感染与被勒索攻击业务详情。(完全符合得2分，否则不得分。）同时可针对不同业务防护对象自动化生成防护策略。(完全符合得1分，否则不得分。）</w:t>
            </w:r>
            <w:r/>
          </w:p>
          <w:p>
            <w:pPr>
              <w:keepLines w:val="0"/>
              <w:keepNext w:val="0"/>
              <w:pageBreakBefore w:val="0"/>
              <w:spacing w:line="360" w:lineRule="exact"/>
              <w:widowControl/>
              <w:rPr>
                <w:rFonts w:hint="eastAsia" w:ascii="宋体" w:hAnsi="宋体" w:eastAsia="宋体" w:cs="宋体"/>
                <w:b w:val="0"/>
                <w:bCs w:val="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 xml:space="preserve">（2）本次所投防火墙支持主动诱捕功能，通过伪装业务诱捕内外网的攻击行为，并联合云蜜罐获取黑客指纹信息，并自动封锁高危IP，可设置封锁时长。(完全符合得2分，否则不得分。)</w:t>
            </w:r>
            <w:r/>
          </w:p>
          <w:p>
            <w:pPr>
              <w:keepLines w:val="0"/>
              <w:keepNext w:val="0"/>
              <w:pageBreakBefore w:val="0"/>
              <w:spacing w:line="360" w:lineRule="exact"/>
              <w:widowControl/>
              <w:rPr>
                <w:rFonts w:hint="eastAsia" w:ascii="宋体" w:hAnsi="宋体" w:eastAsia="宋体" w:cs="宋体"/>
                <w:b/>
                <w:bCs/>
                <w:sz w:val="21"/>
                <w:szCs w:val="21"/>
                <w:highlight w:val="none"/>
                <w:lang w:val="en-US" w:eastAsia="zh-CN" w:bidi="ar"/>
              </w:rPr>
            </w:pPr>
            <w:r>
              <w:rPr>
                <w:rFonts w:hint="eastAsia" w:ascii="宋体" w:hAnsi="宋体" w:eastAsia="宋体" w:cs="宋体"/>
                <w:b/>
                <w:bCs/>
                <w:sz w:val="21"/>
                <w:szCs w:val="21"/>
                <w:highlight w:val="none"/>
                <w:lang w:val="en-US" w:eastAsia="zh-CN" w:bidi="ar"/>
              </w:rPr>
              <w:t xml:space="preserve">5、终端安全管理系统（3分）</w:t>
            </w:r>
            <w:r/>
          </w:p>
          <w:p>
            <w:pPr>
              <w:keepLines w:val="0"/>
              <w:keepNext w:val="0"/>
              <w:pageBreakBefore w:val="0"/>
              <w:spacing w:line="360" w:lineRule="exact"/>
              <w:widowControl/>
              <w:rPr>
                <w:rFonts w:hint="eastAsia" w:ascii="宋体" w:hAnsi="宋体" w:eastAsia="宋体" w:cs="宋体"/>
                <w:b w:val="0"/>
                <w:bCs w:val="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 xml:space="preserve">本次所投终端安全管理系统具备强力专杀工具云端下发通道，支持在管理端批量下发强力专杀工具到内网各终端快速响应终端威胁。(完全符合得3分，否则不得分。)</w:t>
            </w:r>
            <w:r/>
          </w:p>
          <w:p>
            <w:pPr>
              <w:keepLines w:val="0"/>
              <w:keepNext w:val="0"/>
              <w:pageBreakBefore w:val="0"/>
              <w:spacing w:line="360" w:lineRule="exact"/>
              <w:widowControl/>
              <w:rPr>
                <w:rFonts w:hint="eastAsia" w:ascii="宋体" w:hAnsi="宋体" w:eastAsia="宋体" w:cs="宋体"/>
                <w:b w:val="0"/>
                <w:bCs w:val="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 xml:space="preserve">注：</w:t>
            </w:r>
            <w:r/>
          </w:p>
          <w:p>
            <w:pPr>
              <w:ind w:firstLine="420"/>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、投标人须授权现场演示人员（不得超过</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名）到评标现场参与功能演示评审，投标人演示人员和设备需在评标前到达盐城市</w:t>
            </w:r>
            <w:r>
              <w:rPr>
                <w:rFonts w:hint="eastAsia" w:ascii="宋体" w:hAnsi="宋体" w:eastAsia="宋体" w:cs="宋体"/>
                <w:color w:val="auto"/>
                <w:sz w:val="21"/>
                <w:szCs w:val="21"/>
                <w:highlight w:val="none"/>
                <w:lang w:eastAsia="zh-CN"/>
              </w:rPr>
              <w:t xml:space="preserve">亭湖区</w:t>
            </w:r>
            <w:r>
              <w:rPr>
                <w:rFonts w:hint="eastAsia" w:ascii="宋体" w:hAnsi="宋体" w:eastAsia="宋体" w:cs="宋体"/>
                <w:color w:val="auto"/>
                <w:sz w:val="21"/>
                <w:szCs w:val="21"/>
                <w:highlight w:val="none"/>
              </w:rPr>
              <w:t xml:space="preserve">公共资源交易中心四楼等候区。按照苏采云系统安排的顺序进行现场演示，演示需按照招标文件的规定和评标委员会的要求进行，时间不超过</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分钟</w:t>
            </w:r>
            <w:r>
              <w:rPr>
                <w:rFonts w:hint="eastAsia" w:ascii="宋体" w:hAnsi="宋体" w:eastAsia="宋体" w:cs="宋体"/>
                <w:color w:val="auto"/>
                <w:sz w:val="21"/>
                <w:szCs w:val="21"/>
                <w:highlight w:val="none"/>
                <w:lang w:eastAsia="zh-CN"/>
              </w:rPr>
              <w:t xml:space="preserve">，演示相关设备由投标人自行携带。</w:t>
            </w:r>
            <w:r/>
          </w:p>
          <w:p>
            <w:pPr>
              <w:ind w:firstLine="420"/>
              <w:keepLines w:val="0"/>
              <w:keepNext w:val="0"/>
              <w:pageBreakBefore w:val="0"/>
              <w:spacing w:line="360" w:lineRule="exact"/>
              <w:widowControl/>
              <w:rPr>
                <w:rFonts w:hint="eastAsia" w:ascii="宋体" w:hAnsi="宋体" w:eastAsia="宋体" w:cs="宋体"/>
                <w:sz w:val="21"/>
                <w:szCs w:val="21"/>
                <w:highlight w:val="none"/>
                <w:lang w:bidi="ar"/>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投标人需在“法人授权书”中注明进行现场演示的人员姓名及身份证号，不接受非注明的人员进入评审现场进行演示。投标人进入评审现场的人员应出示有效身份证件。</w:t>
            </w:r>
            <w:r/>
          </w:p>
        </w:tc>
      </w:tr>
    </w:tbl>
    <w:p>
      <w:pPr>
        <w:ind w:firstLine="47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r/>
    </w:p>
    <w:p>
      <w:pPr>
        <w:ind w:firstLine="47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r/>
    </w:p>
    <w:p>
      <w:pPr>
        <w:ind w:firstLine="47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r/>
    </w:p>
    <w:p>
      <w:pPr>
        <w:ind w:firstLine="47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r/>
    </w:p>
    <w:p>
      <w:pPr>
        <w:ind w:firstLine="47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r/>
    </w:p>
    <w:p>
      <w:pPr>
        <w:ind w:firstLine="47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r/>
    </w:p>
    <w:p>
      <w:pPr>
        <w:ind w:firstLine="47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r/>
    </w:p>
    <w:p>
      <w:pPr>
        <w:ind w:firstLine="47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r/>
    </w:p>
    <w:p>
      <w:pPr>
        <w:ind w:firstLine="47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r/>
    </w:p>
    <w:p>
      <w:pPr>
        <w:ind w:firstLine="47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r/>
    </w:p>
    <w:p>
      <w:pPr>
        <w:ind w:firstLine="47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r/>
    </w:p>
    <w:p>
      <w:pPr>
        <w:ind w:firstLine="47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r/>
    </w:p>
    <w:p>
      <w:pPr>
        <w:ind w:firstLine="47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r/>
    </w:p>
    <w:p>
      <w:pPr>
        <w:ind w:firstLine="47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r/>
    </w:p>
    <w:p>
      <w:pPr>
        <w:ind w:firstLine="47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p>
    <w:p>
      <w:pPr>
        <w:pStyle w:val="711"/>
        <w:jc w:val="both"/>
        <w:spacing w:beforeAutospacing="0" w:afterAutospacing="0"/>
        <w:tabs>
          <w:tab w:val="left" w:pos="2935" w:leader="none"/>
        </w:tabs>
        <w:rPr>
          <w:rFonts w:hint="eastAsia" w:ascii="宋体" w:hAnsi="宋体" w:eastAsia="宋体" w:cs="宋体"/>
          <w:color w:val="000000"/>
          <w:sz w:val="40"/>
          <w:szCs w:val="40"/>
        </w:rPr>
      </w:pPr>
      <w:r>
        <w:rPr>
          <w:rFonts w:hint="eastAsia" w:ascii="宋体" w:hAnsi="宋体" w:eastAsia="宋体" w:cs="宋体"/>
          <w:color w:val="000000"/>
          <w:sz w:val="21"/>
          <w:szCs w:val="21"/>
        </w:rPr>
        <w:t xml:space="preserve">  </w:t>
      </w:r>
      <w:r>
        <w:tab/>
      </w:r>
      <w:r/>
    </w:p>
    <w:p>
      <w:pPr>
        <w:pStyle w:val="711"/>
        <w:jc w:val="center"/>
        <w:keepNext/>
        <w:spacing w:beforeAutospacing="0" w:afterAutospacing="0"/>
        <w:rPr>
          <w:rFonts w:hint="eastAsia" w:ascii="宋体" w:hAnsi="宋体" w:eastAsia="宋体" w:cs="宋体"/>
          <w:color w:val="000000"/>
          <w:sz w:val="40"/>
          <w:szCs w:val="40"/>
          <w:highlight w:val="none"/>
        </w:rPr>
      </w:pPr>
      <w:r>
        <w:rPr>
          <w:rFonts w:hint="eastAsia" w:ascii="宋体" w:hAnsi="宋体" w:eastAsia="宋体" w:cs="宋体"/>
          <w:color w:val="000000"/>
          <w:sz w:val="40"/>
          <w:szCs w:val="40"/>
          <w:highlight w:val="none"/>
        </w:rPr>
      </w:r>
      <w:r>
        <w:rPr>
          <w:rFonts w:hint="eastAsia" w:ascii="宋体" w:hAnsi="宋体" w:eastAsia="宋体" w:cs="宋体"/>
          <w:color w:val="000000"/>
          <w:sz w:val="40"/>
          <w:szCs w:val="40"/>
          <w:highlight w:val="none"/>
        </w:rPr>
      </w:r>
      <w:r/>
    </w:p>
    <w:p>
      <w:pPr>
        <w:pStyle w:val="711"/>
        <w:jc w:val="center"/>
        <w:keepNext/>
        <w:spacing w:beforeAutospacing="0" w:afterAutospacing="0"/>
        <w:rPr>
          <w:rFonts w:hint="eastAsia" w:ascii="宋体" w:hAnsi="宋体" w:eastAsia="宋体" w:cs="宋体"/>
          <w:color w:val="000000"/>
          <w:sz w:val="40"/>
          <w:szCs w:val="40"/>
          <w:highlight w:val="none"/>
        </w:rPr>
      </w:pPr>
      <w:r>
        <w:rPr>
          <w:rFonts w:hint="eastAsia" w:ascii="宋体" w:hAnsi="宋体" w:eastAsia="宋体" w:cs="宋体"/>
          <w:color w:val="000000"/>
          <w:sz w:val="40"/>
          <w:szCs w:val="40"/>
        </w:rPr>
        <w:t xml:space="preserve">第六章  投标文件格式 </w:t>
      </w:r>
      <w:r/>
    </w:p>
    <w:p>
      <w:pPr>
        <w:pStyle w:val="711"/>
        <w:jc w:val="center"/>
        <w:spacing w:beforeAutospacing="0" w:afterAutospacing="0"/>
        <w:rPr>
          <w:rFonts w:hint="eastAsia" w:ascii="宋体" w:hAnsi="宋体" w:eastAsia="宋体" w:cs="宋体"/>
          <w:sz w:val="22"/>
          <w:szCs w:val="22"/>
        </w:rPr>
      </w:pPr>
      <w:r/>
      <w:bookmarkStart w:id="194" w:name="_Hlt26955039"/>
      <w:r/>
      <w:bookmarkEnd w:id="194"/>
      <w:r/>
      <w:bookmarkStart w:id="195" w:name="_Hlt26671244"/>
      <w:r/>
      <w:bookmarkEnd w:id="195"/>
      <w:r/>
      <w:bookmarkStart w:id="196" w:name="_Toc26554094"/>
      <w:r/>
      <w:bookmarkEnd w:id="196"/>
      <w:r/>
      <w:bookmarkStart w:id="197" w:name="_Toc120614282"/>
      <w:r/>
      <w:bookmarkStart w:id="198" w:name="_Toc49090576"/>
      <w:r>
        <w:rPr>
          <w:rFonts w:hint="eastAsia" w:ascii="宋体" w:hAnsi="宋体" w:eastAsia="宋体" w:cs="宋体"/>
          <w:b/>
          <w:color w:val="000000"/>
          <w:sz w:val="56"/>
          <w:szCs w:val="56"/>
        </w:rPr>
        <w:t xml:space="preserve">投  标  文  件</w:t>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rPr>
          <w:rFonts w:hint="eastAsia" w:ascii="宋体" w:hAnsi="宋体" w:eastAsia="宋体" w:cs="宋体"/>
          <w:sz w:val="22"/>
          <w:szCs w:val="22"/>
          <w:highlight w:val="none"/>
        </w:rPr>
      </w:pPr>
      <w:r>
        <w:rPr>
          <w:rFonts w:hint="eastAsia" w:ascii="宋体" w:hAnsi="宋体" w:eastAsia="宋体" w:cs="宋体"/>
          <w:sz w:val="28"/>
          <w:szCs w:val="28"/>
          <w:highlight w:val="none"/>
          <w:lang w:val="en-US" w:eastAsia="zh-CN"/>
        </w:rPr>
        <w:t xml:space="preserve"> </w:t>
      </w:r>
      <w:r>
        <w:rPr>
          <w:rFonts w:hint="eastAsia" w:ascii="宋体" w:hAnsi="宋体" w:eastAsia="宋体" w:cs="宋体"/>
          <w:sz w:val="22"/>
          <w:szCs w:val="22"/>
          <w:highlight w:val="none"/>
        </w:rPr>
        <w:t xml:space="preserve"> </w:t>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b/>
          <w:color w:val="000000"/>
          <w:sz w:val="32"/>
          <w:szCs w:val="32"/>
        </w:rPr>
        <w:t xml:space="preserve">项目 名 称：</w:t>
      </w:r>
      <w:r>
        <w:rPr>
          <w:rFonts w:hint="eastAsia" w:ascii="宋体" w:hAnsi="宋体" w:eastAsia="宋体" w:cs="宋体"/>
          <w:b/>
          <w:color w:val="000000"/>
          <w:sz w:val="32"/>
          <w:szCs w:val="32"/>
          <w:u w:val="single"/>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b/>
          <w:color w:val="000000"/>
          <w:sz w:val="32"/>
          <w:szCs w:val="32"/>
        </w:rPr>
        <w:t xml:space="preserve">项目 编 号：</w:t>
      </w:r>
      <w:r>
        <w:rPr>
          <w:rFonts w:hint="eastAsia" w:ascii="宋体" w:hAnsi="宋体" w:eastAsia="宋体" w:cs="宋体"/>
          <w:b/>
          <w:color w:val="000000"/>
          <w:sz w:val="32"/>
          <w:szCs w:val="32"/>
          <w:u w:val="single"/>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b/>
          <w:color w:val="000000"/>
          <w:sz w:val="32"/>
          <w:szCs w:val="32"/>
        </w:rPr>
        <w:t xml:space="preserve">投标人名称 ：</w:t>
      </w:r>
      <w:r>
        <w:rPr>
          <w:rFonts w:hint="eastAsia" w:ascii="宋体" w:hAnsi="宋体" w:eastAsia="宋体" w:cs="宋体"/>
          <w:b/>
          <w:color w:val="000000"/>
          <w:sz w:val="32"/>
          <w:szCs w:val="32"/>
          <w:u w:val="single"/>
        </w:rPr>
        <w:t xml:space="preserve">（加盖CA电子公章）       </w:t>
      </w:r>
      <w:r>
        <w:rPr>
          <w:rFonts w:hint="eastAsia" w:ascii="宋体" w:hAnsi="宋体" w:eastAsia="宋体" w:cs="宋体"/>
          <w:b/>
          <w:color w:val="000000"/>
          <w:sz w:val="32"/>
          <w:szCs w:val="32"/>
          <w:u w:val="single"/>
          <w:lang w:val="en-US" w:eastAsia="zh-CN"/>
        </w:rPr>
        <w:t xml:space="preserve"> </w:t>
      </w:r>
      <w:r>
        <w:rPr>
          <w:rFonts w:hint="eastAsia" w:ascii="宋体" w:hAnsi="宋体" w:eastAsia="宋体" w:cs="宋体"/>
          <w:b/>
          <w:color w:val="000000"/>
          <w:sz w:val="32"/>
          <w:szCs w:val="32"/>
          <w:u w:val="single"/>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b/>
          <w:color w:val="000000"/>
          <w:sz w:val="32"/>
          <w:szCs w:val="32"/>
        </w:rPr>
        <w:t xml:space="preserve">日   期 ：</w:t>
      </w:r>
      <w:r>
        <w:rPr>
          <w:rFonts w:hint="eastAsia" w:ascii="宋体" w:hAnsi="宋体" w:eastAsia="宋体" w:cs="宋体"/>
          <w:b/>
          <w:color w:val="000000"/>
          <w:sz w:val="32"/>
          <w:szCs w:val="32"/>
          <w:u w:val="single"/>
        </w:rPr>
        <w:t xml:space="preserve">                    </w:t>
      </w:r>
      <w:r>
        <w:rPr>
          <w:rFonts w:hint="eastAsia" w:ascii="宋体" w:hAnsi="宋体" w:eastAsia="宋体" w:cs="宋体"/>
          <w:b/>
          <w:color w:val="000000"/>
          <w:sz w:val="32"/>
          <w:szCs w:val="32"/>
          <w:u w:val="single"/>
          <w:lang w:val="en-US" w:eastAsia="zh-CN"/>
        </w:rPr>
        <w:t xml:space="preserve"> </w:t>
      </w:r>
      <w:r>
        <w:rPr>
          <w:rFonts w:hint="eastAsia" w:ascii="宋体" w:hAnsi="宋体" w:eastAsia="宋体" w:cs="宋体"/>
          <w:b/>
          <w:color w:val="000000"/>
          <w:sz w:val="32"/>
          <w:szCs w:val="32"/>
          <w:u w:val="single"/>
        </w:rPr>
        <w:t xml:space="preserve"> </w:t>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line="0" w:lineRule="atLeast"/>
        <w:rPr>
          <w:rFonts w:hint="eastAsia" w:ascii="宋体" w:hAnsi="宋体" w:eastAsia="宋体" w:cs="宋体"/>
          <w:b/>
          <w:color w:val="000000"/>
          <w:sz w:val="32"/>
          <w:szCs w:val="32"/>
          <w:u w:val="single"/>
        </w:rPr>
      </w:pPr>
      <w:r>
        <w:rPr>
          <w:rFonts w:hint="eastAsia" w:ascii="宋体" w:hAnsi="宋体" w:eastAsia="宋体" w:cs="宋体"/>
          <w:b/>
          <w:color w:val="000000"/>
          <w:sz w:val="32"/>
          <w:szCs w:val="32"/>
          <w:u w:val="single"/>
        </w:rPr>
      </w:r>
      <w:r/>
    </w:p>
    <w:p>
      <w:pPr>
        <w:pStyle w:val="711"/>
        <w:jc w:val="center"/>
        <w:spacing w:beforeAutospacing="0" w:afterAutospacing="0" w:line="0" w:lineRule="atLeast"/>
        <w:rPr>
          <w:rFonts w:hint="eastAsia" w:ascii="宋体" w:hAnsi="宋体" w:eastAsia="宋体" w:cs="宋体"/>
          <w:b/>
          <w:color w:val="000000"/>
          <w:sz w:val="32"/>
          <w:szCs w:val="32"/>
          <w:u w:val="single"/>
        </w:rPr>
      </w:pPr>
      <w:r>
        <w:rPr>
          <w:rFonts w:hint="eastAsia" w:ascii="宋体" w:hAnsi="宋体" w:eastAsia="宋体" w:cs="宋体"/>
          <w:b/>
          <w:color w:val="000000"/>
          <w:sz w:val="32"/>
          <w:szCs w:val="32"/>
          <w:u w:val="single"/>
        </w:rPr>
      </w:r>
      <w:r/>
    </w:p>
    <w:p>
      <w:pPr>
        <w:pStyle w:val="711"/>
        <w:jc w:val="center"/>
        <w:spacing w:beforeAutospacing="0" w:afterAutospacing="0" w:line="0" w:lineRule="atLeast"/>
        <w:rPr>
          <w:rFonts w:hint="eastAsia" w:ascii="宋体" w:hAnsi="宋体" w:eastAsia="宋体" w:cs="宋体"/>
          <w:b/>
          <w:color w:val="000000"/>
          <w:sz w:val="32"/>
          <w:szCs w:val="32"/>
          <w:u w:val="single"/>
        </w:rPr>
      </w:pPr>
      <w:r>
        <w:rPr>
          <w:rFonts w:hint="eastAsia" w:ascii="宋体" w:hAnsi="宋体" w:eastAsia="宋体" w:cs="宋体"/>
          <w:b/>
          <w:color w:val="000000"/>
          <w:sz w:val="32"/>
          <w:szCs w:val="32"/>
          <w:u w:val="single"/>
        </w:rPr>
      </w:r>
      <w:r/>
    </w:p>
    <w:p>
      <w:pPr>
        <w:pStyle w:val="711"/>
        <w:jc w:val="center"/>
        <w:spacing w:beforeAutospacing="0" w:afterAutospacing="0" w:line="0" w:lineRule="atLeast"/>
        <w:rPr>
          <w:rFonts w:hint="eastAsia" w:ascii="宋体" w:hAnsi="宋体" w:eastAsia="宋体" w:cs="宋体"/>
          <w:b/>
          <w:color w:val="000000"/>
          <w:sz w:val="32"/>
          <w:szCs w:val="32"/>
          <w:u w:val="single"/>
        </w:rPr>
      </w:pPr>
      <w:r>
        <w:rPr>
          <w:rFonts w:hint="eastAsia" w:ascii="宋体" w:hAnsi="宋体" w:eastAsia="宋体" w:cs="宋体"/>
          <w:b/>
          <w:color w:val="000000"/>
          <w:sz w:val="32"/>
          <w:szCs w:val="32"/>
          <w:u w:val="single"/>
        </w:rPr>
      </w:r>
      <w:r/>
    </w:p>
    <w:p>
      <w:pPr>
        <w:pStyle w:val="711"/>
        <w:jc w:val="center"/>
        <w:spacing w:beforeAutospacing="0" w:afterAutospacing="0" w:line="0" w:lineRule="atLeast"/>
        <w:rPr>
          <w:rFonts w:hint="eastAsia" w:ascii="宋体" w:hAnsi="宋体" w:eastAsia="宋体" w:cs="宋体"/>
          <w:b/>
          <w:color w:val="000000"/>
          <w:sz w:val="32"/>
          <w:szCs w:val="32"/>
          <w:u w:val="single"/>
        </w:rPr>
      </w:pPr>
      <w:r>
        <w:rPr>
          <w:rFonts w:hint="eastAsia" w:ascii="宋体" w:hAnsi="宋体" w:eastAsia="宋体" w:cs="宋体"/>
          <w:b/>
          <w:color w:val="000000"/>
          <w:sz w:val="32"/>
          <w:szCs w:val="32"/>
          <w:u w:val="single"/>
        </w:rPr>
      </w:r>
      <w:r/>
    </w:p>
    <w:p>
      <w:pPr>
        <w:pStyle w:val="711"/>
        <w:jc w:val="center"/>
        <w:spacing w:beforeAutospacing="0" w:afterAutospacing="0" w:line="0" w:lineRule="atLeast"/>
        <w:rPr>
          <w:rFonts w:hint="eastAsia" w:ascii="宋体" w:hAnsi="宋体" w:eastAsia="宋体" w:cs="宋体"/>
          <w:b/>
          <w:color w:val="000000"/>
          <w:sz w:val="32"/>
          <w:szCs w:val="32"/>
          <w:u w:val="single"/>
        </w:rPr>
      </w:pPr>
      <w:r>
        <w:rPr>
          <w:rFonts w:hint="eastAsia" w:ascii="宋体" w:hAnsi="宋体" w:eastAsia="宋体" w:cs="宋体"/>
          <w:b/>
          <w:color w:val="000000"/>
          <w:sz w:val="32"/>
          <w:szCs w:val="32"/>
          <w:u w:val="single"/>
        </w:rPr>
      </w:r>
      <w:r/>
    </w:p>
    <w:p>
      <w:pPr>
        <w:pStyle w:val="711"/>
        <w:jc w:val="center"/>
        <w:spacing w:beforeAutospacing="0" w:afterAutospacing="0" w:line="0" w:lineRule="atLeast"/>
        <w:rPr>
          <w:rFonts w:hint="eastAsia" w:ascii="宋体" w:hAnsi="宋体" w:eastAsia="宋体" w:cs="宋体"/>
          <w:b/>
          <w:color w:val="000000"/>
          <w:sz w:val="32"/>
          <w:szCs w:val="32"/>
          <w:u w:val="single"/>
        </w:rPr>
      </w:pPr>
      <w:r>
        <w:rPr>
          <w:rFonts w:hint="eastAsia" w:ascii="宋体" w:hAnsi="宋体" w:eastAsia="宋体" w:cs="宋体"/>
          <w:b/>
          <w:color w:val="000000"/>
          <w:sz w:val="32"/>
          <w:szCs w:val="32"/>
          <w:u w:val="single"/>
        </w:rPr>
      </w:r>
      <w:r/>
    </w:p>
    <w:p>
      <w:pPr>
        <w:pStyle w:val="711"/>
        <w:jc w:val="center"/>
        <w:spacing w:beforeAutospacing="0" w:afterAutospacing="0" w:line="0" w:lineRule="atLeast"/>
        <w:rPr>
          <w:rFonts w:hint="eastAsia" w:ascii="宋体" w:hAnsi="宋体" w:eastAsia="宋体" w:cs="宋体"/>
          <w:b/>
          <w:color w:val="000000"/>
          <w:sz w:val="32"/>
          <w:szCs w:val="32"/>
          <w:u w:val="single"/>
        </w:rPr>
      </w:pPr>
      <w:r>
        <w:rPr>
          <w:rFonts w:hint="eastAsia" w:ascii="宋体" w:hAnsi="宋体" w:eastAsia="宋体" w:cs="宋体"/>
          <w:b/>
          <w:color w:val="000000"/>
          <w:sz w:val="32"/>
          <w:szCs w:val="32"/>
          <w:u w:val="single"/>
        </w:rPr>
      </w:r>
      <w:r/>
    </w:p>
    <w:p>
      <w:pPr>
        <w:pStyle w:val="711"/>
        <w:jc w:val="center"/>
        <w:spacing w:beforeAutospacing="0" w:afterAutospacing="0" w:line="0" w:lineRule="atLeast"/>
        <w:rPr>
          <w:rFonts w:hint="eastAsia" w:ascii="宋体" w:hAnsi="宋体" w:eastAsia="宋体" w:cs="宋体"/>
          <w:b/>
          <w:color w:val="000000"/>
          <w:sz w:val="32"/>
          <w:szCs w:val="32"/>
          <w:u w:val="single"/>
        </w:rPr>
      </w:pPr>
      <w:r>
        <w:rPr>
          <w:rFonts w:hint="eastAsia" w:ascii="宋体" w:hAnsi="宋体" w:eastAsia="宋体" w:cs="宋体"/>
          <w:b/>
          <w:color w:val="000000"/>
          <w:sz w:val="32"/>
          <w:szCs w:val="32"/>
          <w:u w:val="single"/>
        </w:rPr>
      </w:r>
      <w:r/>
    </w:p>
    <w:p>
      <w:pPr>
        <w:pStyle w:val="711"/>
        <w:jc w:val="center"/>
        <w:spacing w:beforeAutospacing="0" w:afterAutospacing="0" w:line="0" w:lineRule="atLeast"/>
        <w:rPr>
          <w:rFonts w:hint="eastAsia" w:ascii="宋体" w:hAnsi="宋体" w:eastAsia="宋体" w:cs="宋体"/>
          <w:b/>
          <w:color w:val="000000"/>
          <w:sz w:val="32"/>
          <w:szCs w:val="32"/>
          <w:u w:val="single"/>
        </w:rPr>
      </w:pPr>
      <w:r>
        <w:rPr>
          <w:rFonts w:hint="eastAsia" w:ascii="宋体" w:hAnsi="宋体" w:eastAsia="宋体" w:cs="宋体"/>
          <w:b/>
          <w:color w:val="000000"/>
          <w:sz w:val="32"/>
          <w:szCs w:val="32"/>
          <w:u w:val="single"/>
        </w:rPr>
      </w:r>
      <w:r/>
    </w:p>
    <w:p>
      <w:pPr>
        <w:pStyle w:val="711"/>
        <w:jc w:val="center"/>
        <w:spacing w:beforeAutospacing="0" w:afterAutospacing="0" w:line="0" w:lineRule="atLeast"/>
        <w:rPr>
          <w:rFonts w:hint="eastAsia" w:ascii="宋体" w:hAnsi="宋体" w:eastAsia="宋体" w:cs="宋体"/>
          <w:b/>
          <w:color w:val="000000"/>
          <w:sz w:val="32"/>
          <w:szCs w:val="32"/>
          <w:u w:val="single"/>
        </w:rPr>
      </w:pPr>
      <w:r>
        <w:rPr>
          <w:rFonts w:hint="eastAsia" w:ascii="宋体" w:hAnsi="宋体" w:eastAsia="宋体" w:cs="宋体"/>
          <w:b/>
          <w:color w:val="000000"/>
          <w:sz w:val="32"/>
          <w:szCs w:val="32"/>
          <w:u w:val="single"/>
        </w:rPr>
      </w:r>
      <w:r/>
    </w:p>
    <w:p>
      <w:pPr>
        <w:pStyle w:val="711"/>
        <w:jc w:val="center"/>
        <w:spacing w:beforeAutospacing="0" w:afterAutospacing="0" w:line="0" w:lineRule="atLeast"/>
        <w:rPr>
          <w:rFonts w:hint="eastAsia" w:ascii="宋体" w:hAnsi="宋体" w:eastAsia="宋体" w:cs="宋体"/>
          <w:b/>
          <w:color w:val="000000"/>
          <w:sz w:val="32"/>
          <w:szCs w:val="32"/>
          <w:u w:val="single"/>
        </w:rPr>
      </w:pPr>
      <w:r>
        <w:rPr>
          <w:rFonts w:hint="eastAsia" w:ascii="宋体" w:hAnsi="宋体" w:eastAsia="宋体" w:cs="宋体"/>
          <w:b/>
          <w:color w:val="000000"/>
          <w:sz w:val="32"/>
          <w:szCs w:val="32"/>
          <w:u w:val="single"/>
        </w:rPr>
      </w:r>
      <w:r/>
    </w:p>
    <w:p>
      <w:pPr>
        <w:pStyle w:val="711"/>
        <w:jc w:val="center"/>
        <w:spacing w:beforeAutospacing="0" w:afterAutospacing="0" w:line="0" w:lineRule="atLeas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11"/>
        <w:jc w:val="center"/>
        <w:spacing w:beforeAutospacing="0" w:afterAutospacing="0" w:line="0" w:lineRule="atLeas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11"/>
        <w:jc w:val="center"/>
        <w:spacing w:beforeAutospacing="0" w:afterAutospacing="0" w:line="0" w:lineRule="atLeas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11"/>
        <w:jc w:val="center"/>
        <w:spacing w:beforeAutospacing="0" w:afterAutospacing="0" w:line="0" w:lineRule="atLeas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11"/>
        <w:jc w:val="center"/>
        <w:spacing w:beforeAutospacing="0" w:afterAutospacing="0" w:line="0" w:lineRule="atLeas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b/>
          <w:color w:val="000000"/>
          <w:sz w:val="28"/>
          <w:szCs w:val="28"/>
          <w:highlight w:val="none"/>
        </w:rPr>
      </w:r>
      <w:r>
        <w:rPr>
          <w:rFonts w:hint="eastAsia" w:ascii="宋体" w:hAnsi="宋体" w:eastAsia="宋体" w:cs="宋体"/>
          <w:b/>
          <w:color w:val="000000"/>
          <w:sz w:val="28"/>
          <w:szCs w:val="28"/>
          <w:highlight w:val="none"/>
        </w:rPr>
      </w:r>
      <w:r/>
    </w:p>
    <w:p>
      <w:pPr>
        <w:pStyle w:val="711"/>
        <w:jc w:val="center"/>
        <w:spacing w:beforeAutospacing="0" w:afterAutospacing="0" w:line="0" w:lineRule="atLeast"/>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rPr>
        <w:t xml:space="preserve">投标文件目录</w:t>
      </w:r>
      <w:r/>
    </w:p>
    <w:p>
      <w:pPr>
        <w:pStyle w:val="711"/>
        <w:jc w:val="center"/>
        <w:spacing w:beforeAutospacing="0" w:afterAutospacing="0"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w:t>
      </w:r>
      <w:r/>
    </w:p>
    <w:p>
      <w:pPr>
        <w:pStyle w:val="711"/>
        <w:ind w:left="480"/>
        <w:jc w:val="both"/>
        <w:spacing w:beforeAutospacing="0" w:afterAutospacing="0"/>
        <w:rPr>
          <w:rFonts w:hint="eastAsia" w:ascii="宋体" w:hAnsi="宋体" w:eastAsia="宋体" w:cs="宋体"/>
          <w:i/>
          <w:color w:val="000000"/>
          <w:sz w:val="22"/>
          <w:szCs w:val="22"/>
          <w:highlight w:val="none"/>
          <w:u w:val="single"/>
        </w:rPr>
      </w:pPr>
      <w:r>
        <w:rPr>
          <w:rFonts w:hint="eastAsia" w:ascii="宋体" w:hAnsi="宋体" w:eastAsia="宋体" w:cs="宋体"/>
          <w:i/>
          <w:color w:val="000000"/>
          <w:sz w:val="22"/>
          <w:szCs w:val="22"/>
          <w:highlight w:val="none"/>
          <w:u w:val="single"/>
        </w:rPr>
        <w:t xml:space="preserve">一、法人或者其他组织的营业执照等证明文件，自然人的身份证明</w:t>
      </w:r>
      <w:r/>
    </w:p>
    <w:p>
      <w:pPr>
        <w:ind w:firstLine="440"/>
        <w:jc w:val="left"/>
        <w:tabs>
          <w:tab w:val="left" w:pos="1331" w:leader="none"/>
        </w:tabs>
        <w:rPr>
          <w:rFonts w:hint="eastAsia" w:ascii="宋体" w:hAnsi="宋体" w:eastAsia="宋体" w:cs="宋体"/>
          <w:i/>
          <w:color w:val="000000"/>
          <w:sz w:val="22"/>
          <w:szCs w:val="22"/>
          <w:highlight w:val="none"/>
          <w:u w:val="single"/>
          <w:lang w:val="en-US" w:eastAsia="zh-CN" w:bidi="ar-SA"/>
        </w:rPr>
      </w:pPr>
      <w:r>
        <w:rPr>
          <w:rFonts w:hint="eastAsia" w:ascii="宋体" w:hAnsi="宋体" w:eastAsia="宋体" w:cs="宋体"/>
          <w:i/>
          <w:color w:val="000000"/>
          <w:sz w:val="22"/>
          <w:szCs w:val="22"/>
          <w:highlight w:val="none"/>
          <w:u w:val="single"/>
          <w:lang w:val="en-US" w:eastAsia="zh-CN" w:bidi="ar-SA"/>
        </w:rPr>
        <w:t xml:space="preserve">二、上一年度的财务状况报表（至少提供资产负债表、利润表、现金流量表，</w:t>
      </w:r>
      <w:r/>
    </w:p>
    <w:p>
      <w:pPr>
        <w:pStyle w:val="711"/>
        <w:ind w:left="480"/>
        <w:jc w:val="both"/>
        <w:spacing w:beforeAutospacing="0" w:afterAutospacing="0"/>
        <w:rPr>
          <w:rFonts w:hint="eastAsia" w:ascii="宋体" w:hAnsi="宋体" w:eastAsia="宋体" w:cs="宋体"/>
          <w:i/>
          <w:color w:val="000000"/>
          <w:sz w:val="22"/>
          <w:szCs w:val="22"/>
          <w:highlight w:val="none"/>
          <w:u w:val="single"/>
          <w:lang w:val="en-US" w:eastAsia="zh-CN" w:bidi="ar-SA"/>
        </w:rPr>
      </w:pPr>
      <w:r>
        <w:rPr>
          <w:rFonts w:hint="eastAsia" w:ascii="宋体" w:hAnsi="宋体" w:eastAsia="宋体" w:cs="宋体"/>
          <w:i/>
          <w:color w:val="000000"/>
          <w:sz w:val="22"/>
          <w:szCs w:val="22"/>
          <w:highlight w:val="none"/>
          <w:u w:val="single"/>
          <w:lang w:val="en-US" w:eastAsia="zh-CN" w:bidi="ar-SA"/>
        </w:rPr>
        <w:t xml:space="preserve">投标人成立不满一年无需提供）</w:t>
      </w:r>
      <w:r/>
    </w:p>
    <w:p>
      <w:pPr>
        <w:pStyle w:val="711"/>
        <w:ind w:left="480"/>
        <w:jc w:val="both"/>
        <w:spacing w:beforeAutospacing="0" w:afterAutospacing="0"/>
        <w:rPr>
          <w:rFonts w:hint="eastAsia" w:ascii="宋体" w:hAnsi="宋体" w:eastAsia="宋体" w:cs="宋体"/>
          <w:i/>
          <w:color w:val="000000"/>
          <w:sz w:val="22"/>
          <w:szCs w:val="22"/>
          <w:highlight w:val="none"/>
          <w:u w:val="single"/>
        </w:rPr>
      </w:pPr>
      <w:r>
        <w:rPr>
          <w:rFonts w:hint="eastAsia" w:ascii="宋体" w:hAnsi="宋体" w:eastAsia="宋体" w:cs="宋体"/>
          <w:i/>
          <w:color w:val="000000"/>
          <w:sz w:val="22"/>
          <w:szCs w:val="22"/>
          <w:highlight w:val="none"/>
          <w:u w:val="single"/>
          <w:lang w:val="en-US" w:eastAsia="zh-CN"/>
        </w:rPr>
        <w:t xml:space="preserve">三</w:t>
      </w:r>
      <w:r>
        <w:rPr>
          <w:rFonts w:hint="eastAsia" w:ascii="宋体" w:hAnsi="宋体" w:eastAsia="宋体" w:cs="宋体"/>
          <w:i/>
          <w:color w:val="000000"/>
          <w:sz w:val="22"/>
          <w:szCs w:val="22"/>
          <w:highlight w:val="none"/>
          <w:u w:val="single"/>
        </w:rPr>
        <w:t xml:space="preserve">、具备履行合同所必需的设备和专业技术能力的书面声明</w:t>
      </w:r>
      <w:r/>
    </w:p>
    <w:p>
      <w:pPr>
        <w:pStyle w:val="711"/>
        <w:ind w:left="480"/>
        <w:jc w:val="both"/>
        <w:spacing w:beforeAutospacing="0" w:afterAutospacing="0"/>
        <w:rPr>
          <w:rFonts w:hint="eastAsia" w:ascii="宋体" w:hAnsi="宋体" w:eastAsia="宋体" w:cs="宋体"/>
          <w:i/>
          <w:color w:val="000000"/>
          <w:sz w:val="22"/>
          <w:szCs w:val="22"/>
          <w:highlight w:val="none"/>
          <w:u w:val="single"/>
        </w:rPr>
      </w:pPr>
      <w:r>
        <w:rPr>
          <w:rFonts w:hint="eastAsia" w:ascii="宋体" w:hAnsi="宋体" w:eastAsia="宋体" w:cs="宋体"/>
          <w:i/>
          <w:color w:val="000000"/>
          <w:sz w:val="22"/>
          <w:szCs w:val="22"/>
          <w:highlight w:val="none"/>
          <w:u w:val="single"/>
          <w:lang w:val="en-US" w:eastAsia="zh-CN"/>
        </w:rPr>
        <w:t xml:space="preserve">四</w:t>
      </w:r>
      <w:r>
        <w:rPr>
          <w:rFonts w:hint="eastAsia" w:ascii="宋体" w:hAnsi="宋体" w:eastAsia="宋体" w:cs="宋体"/>
          <w:i/>
          <w:color w:val="000000"/>
          <w:sz w:val="22"/>
          <w:szCs w:val="22"/>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11"/>
        <w:ind w:left="480"/>
        <w:jc w:val="both"/>
        <w:spacing w:beforeAutospacing="0" w:afterAutospacing="0"/>
        <w:rPr>
          <w:rFonts w:hint="eastAsia" w:ascii="宋体" w:hAnsi="宋体" w:eastAsia="宋体" w:cs="宋体"/>
          <w:i/>
          <w:color w:val="000000"/>
          <w:sz w:val="22"/>
          <w:szCs w:val="22"/>
          <w:highlight w:val="none"/>
          <w:u w:val="single"/>
        </w:rPr>
      </w:pPr>
      <w:r>
        <w:rPr>
          <w:rFonts w:hint="eastAsia" w:ascii="宋体" w:hAnsi="宋体" w:eastAsia="宋体" w:cs="宋体"/>
          <w:i/>
          <w:color w:val="000000"/>
          <w:sz w:val="22"/>
          <w:szCs w:val="22"/>
          <w:highlight w:val="none"/>
          <w:u w:val="single"/>
        </w:rPr>
        <w:t xml:space="preserve">五、参加政府采购活动前 3 年内在经营活动中没有重大违法记录的书面声明</w:t>
      </w:r>
      <w:r/>
    </w:p>
    <w:p>
      <w:pPr>
        <w:pStyle w:val="711"/>
        <w:ind w:left="480"/>
        <w:jc w:val="both"/>
        <w:spacing w:beforeAutospacing="0" w:afterAutospacing="0"/>
        <w:rPr>
          <w:rFonts w:hint="eastAsia" w:ascii="宋体" w:hAnsi="宋体" w:eastAsia="宋体" w:cs="宋体"/>
          <w:i/>
          <w:color w:val="000000"/>
          <w:sz w:val="22"/>
          <w:szCs w:val="22"/>
          <w:highlight w:val="none"/>
          <w:u w:val="single"/>
        </w:rPr>
      </w:pPr>
      <w:r>
        <w:rPr>
          <w:rFonts w:hint="eastAsia" w:ascii="宋体" w:hAnsi="宋体" w:eastAsia="宋体" w:cs="宋体"/>
          <w:i/>
          <w:color w:val="000000"/>
          <w:sz w:val="22"/>
          <w:szCs w:val="22"/>
          <w:highlight w:val="none"/>
          <w:u w:val="single"/>
        </w:rPr>
        <w:t xml:space="preserve">六、特定资格要求的证明文件（如果本项目设置特定资格要求，则需要提供）</w:t>
      </w:r>
      <w:r/>
    </w:p>
    <w:p>
      <w:pPr>
        <w:pStyle w:val="711"/>
        <w:ind w:left="480"/>
        <w:jc w:val="both"/>
        <w:spacing w:beforeAutospacing="0" w:afterAutospacing="0"/>
        <w:rPr>
          <w:rFonts w:hint="eastAsia" w:ascii="宋体" w:hAnsi="宋体" w:eastAsia="宋体" w:cs="宋体"/>
          <w:i/>
          <w:color w:val="000000"/>
          <w:sz w:val="22"/>
          <w:szCs w:val="22"/>
          <w:highlight w:val="none"/>
          <w:u w:val="single"/>
        </w:rPr>
      </w:pPr>
      <w:r>
        <w:rPr>
          <w:rFonts w:hint="eastAsia" w:ascii="宋体" w:hAnsi="宋体" w:eastAsia="宋体" w:cs="宋体"/>
          <w:i/>
          <w:color w:val="000000"/>
          <w:sz w:val="22"/>
          <w:szCs w:val="22"/>
          <w:highlight w:val="none"/>
          <w:u w:val="single"/>
        </w:rPr>
        <w:t xml:space="preserve">七、法人授权书</w:t>
      </w:r>
      <w:r/>
    </w:p>
    <w:p>
      <w:pPr>
        <w:pStyle w:val="711"/>
        <w:ind w:left="480"/>
        <w:jc w:val="both"/>
        <w:spacing w:beforeAutospacing="0" w:afterAutospacing="0"/>
        <w:rPr>
          <w:rFonts w:hint="eastAsia" w:ascii="宋体" w:hAnsi="宋体" w:eastAsia="宋体" w:cs="宋体"/>
          <w:i/>
          <w:color w:val="000000"/>
          <w:sz w:val="22"/>
          <w:szCs w:val="22"/>
          <w:u w:val="single"/>
        </w:rPr>
      </w:pPr>
      <w:r>
        <w:rPr>
          <w:rFonts w:hint="eastAsia" w:ascii="宋体" w:hAnsi="宋体" w:eastAsia="宋体" w:cs="宋体"/>
          <w:i/>
          <w:color w:val="000000"/>
          <w:sz w:val="22"/>
          <w:szCs w:val="22"/>
          <w:u w:val="single"/>
        </w:rPr>
        <w:t xml:space="preserve">八、投标函</w:t>
      </w:r>
      <w:r/>
    </w:p>
    <w:p>
      <w:pPr>
        <w:pStyle w:val="711"/>
        <w:ind w:firstLine="480"/>
        <w:jc w:val="both"/>
        <w:spacing w:beforeAutospacing="0" w:afterAutospacing="0" w:line="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九、小微企业声明函</w:t>
      </w:r>
      <w:r/>
    </w:p>
    <w:p>
      <w:pPr>
        <w:pStyle w:val="711"/>
        <w:ind w:firstLine="480"/>
        <w:jc w:val="both"/>
        <w:spacing w:beforeAutospacing="0" w:afterAutospacing="0" w:line="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十、残疾人福利性单位声明函</w:t>
      </w:r>
      <w:r/>
    </w:p>
    <w:p>
      <w:pPr>
        <w:pStyle w:val="711"/>
        <w:ind w:firstLine="480"/>
        <w:jc w:val="both"/>
        <w:spacing w:beforeAutospacing="0" w:afterAutospacing="0" w:line="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十一、联合体协议</w:t>
      </w:r>
      <w:r/>
    </w:p>
    <w:p>
      <w:pPr>
        <w:pStyle w:val="711"/>
        <w:ind w:firstLine="480"/>
        <w:jc w:val="both"/>
        <w:spacing w:beforeAutospacing="0" w:afterAutospacing="0" w:line="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十二、投标分项报价表</w:t>
      </w:r>
      <w:r/>
    </w:p>
    <w:p>
      <w:pPr>
        <w:pStyle w:val="711"/>
        <w:ind w:firstLine="480"/>
        <w:jc w:val="both"/>
        <w:spacing w:beforeAutospacing="0" w:afterAutospacing="0" w:line="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十三、技术要求响应及偏离表</w:t>
      </w:r>
      <w:r/>
    </w:p>
    <w:p>
      <w:pPr>
        <w:pStyle w:val="711"/>
        <w:ind w:firstLine="480"/>
        <w:jc w:val="both"/>
        <w:spacing w:beforeAutospacing="0" w:afterAutospacing="0" w:line="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十四、商务要求响应及偏离表</w:t>
      </w:r>
      <w:r/>
    </w:p>
    <w:p>
      <w:pPr>
        <w:pStyle w:val="711"/>
        <w:ind w:left="480"/>
        <w:jc w:val="both"/>
        <w:spacing w:beforeAutospacing="0" w:afterAutospacing="0"/>
        <w:rPr>
          <w:rFonts w:hint="eastAsia" w:ascii="宋体" w:hAnsi="宋体" w:eastAsia="宋体" w:cs="宋体"/>
          <w:i/>
          <w:color w:val="000000"/>
          <w:sz w:val="22"/>
          <w:szCs w:val="22"/>
          <w:u w:val="single"/>
        </w:rPr>
      </w:pPr>
      <w:r>
        <w:rPr>
          <w:rFonts w:hint="eastAsia" w:ascii="宋体" w:hAnsi="宋体" w:eastAsia="宋体" w:cs="宋体"/>
          <w:i/>
          <w:color w:val="000000"/>
          <w:sz w:val="22"/>
          <w:szCs w:val="22"/>
          <w:u w:val="single"/>
        </w:rPr>
        <w:t xml:space="preserve">十五、开标一览表</w:t>
      </w:r>
      <w:r/>
    </w:p>
    <w:p>
      <w:pPr>
        <w:ind w:firstLine="440"/>
        <w:spacing w:before="50" w:after="50"/>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十六、技术方案</w:t>
      </w:r>
      <w:r/>
    </w:p>
    <w:p>
      <w:pPr>
        <w:pStyle w:val="711"/>
        <w:ind w:firstLine="480"/>
        <w:jc w:val="both"/>
        <w:spacing w:beforeAutospacing="0" w:afterAutospacing="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十七、盐城市</w:t>
      </w:r>
      <w:r>
        <w:rPr>
          <w:rFonts w:hint="eastAsia" w:ascii="宋体" w:hAnsi="宋体" w:eastAsia="宋体" w:cs="宋体"/>
          <w:color w:val="000000"/>
          <w:sz w:val="22"/>
          <w:szCs w:val="22"/>
          <w:highlight w:val="none"/>
          <w:lang w:eastAsia="zh-CN"/>
        </w:rPr>
        <w:t xml:space="preserve">亭湖区</w:t>
      </w:r>
      <w:r>
        <w:rPr>
          <w:rFonts w:hint="eastAsia" w:ascii="宋体" w:hAnsi="宋体" w:eastAsia="宋体" w:cs="宋体"/>
          <w:color w:val="000000"/>
          <w:sz w:val="22"/>
          <w:szCs w:val="22"/>
          <w:highlight w:val="none"/>
        </w:rPr>
        <w:t xml:space="preserve">政府采购事前信用承诺书</w:t>
      </w:r>
      <w:r/>
    </w:p>
    <w:p>
      <w:pPr>
        <w:pStyle w:val="711"/>
        <w:ind w:firstLine="480"/>
        <w:jc w:val="both"/>
        <w:spacing w:beforeAutospacing="0" w:afterAutospacing="0" w:line="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r>
      <w:r/>
    </w:p>
    <w:p>
      <w:pPr>
        <w:pStyle w:val="711"/>
        <w:ind w:firstLine="480"/>
        <w:jc w:val="both"/>
        <w:spacing w:beforeAutospacing="0" w:afterAutospacing="0" w:line="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i/>
          <w:color w:val="000000"/>
          <w:sz w:val="28"/>
          <w:szCs w:val="28"/>
          <w:u w:val="single"/>
        </w:rPr>
      </w:pPr>
      <w:r>
        <w:rPr>
          <w:rFonts w:hint="eastAsia" w:ascii="宋体" w:hAnsi="宋体" w:eastAsia="宋体" w:cs="宋体"/>
          <w:i/>
          <w:color w:val="000000"/>
          <w:sz w:val="28"/>
          <w:szCs w:val="28"/>
          <w:u w:val="single"/>
        </w:rPr>
      </w:r>
      <w:r/>
    </w:p>
    <w:p>
      <w:pPr>
        <w:pStyle w:val="711"/>
        <w:jc w:val="both"/>
        <w:spacing w:beforeAutospacing="0" w:afterAutospacing="0"/>
        <w:rPr>
          <w:rFonts w:hint="eastAsia" w:ascii="宋体" w:hAnsi="宋体" w:eastAsia="宋体" w:cs="宋体"/>
          <w:i/>
          <w:color w:val="000000"/>
          <w:sz w:val="28"/>
          <w:szCs w:val="28"/>
          <w:u w:val="single"/>
        </w:rPr>
      </w:pPr>
      <w:r>
        <w:rPr>
          <w:rFonts w:hint="eastAsia" w:ascii="宋体" w:hAnsi="宋体" w:eastAsia="宋体" w:cs="宋体"/>
          <w:i/>
          <w:color w:val="000000"/>
          <w:sz w:val="28"/>
          <w:szCs w:val="28"/>
          <w:u w:val="single"/>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i/>
          <w:color w:val="000000"/>
          <w:sz w:val="28"/>
          <w:szCs w:val="28"/>
          <w:u w:val="single"/>
        </w:rPr>
        <w:t xml:space="preserve">一、法人或者其他组织的营业执照等证明文件，自然人的身份证明</w:t>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highlight w:val="red"/>
        </w:rPr>
      </w:pPr>
      <w:r>
        <w:rPr>
          <w:rFonts w:hint="eastAsia" w:ascii="宋体" w:hAnsi="宋体" w:eastAsia="宋体" w:cs="宋体"/>
          <w:i/>
          <w:color w:val="000000"/>
          <w:sz w:val="28"/>
          <w:szCs w:val="28"/>
          <w:u w:val="single"/>
        </w:rPr>
        <w:t xml:space="preserve">二、上一年度的财务状况报</w:t>
      </w:r>
      <w:r>
        <w:rPr>
          <w:rFonts w:hint="eastAsia" w:ascii="宋体" w:hAnsi="宋体" w:eastAsia="宋体" w:cs="宋体"/>
          <w:i/>
          <w:color w:val="000000"/>
          <w:sz w:val="28"/>
          <w:szCs w:val="28"/>
          <w:highlight w:val="none"/>
          <w:u w:val="single"/>
        </w:rPr>
        <w:t xml:space="preserve">表</w:t>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投标人成立不满一年不需提供</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i/>
          <w:color w:val="000000"/>
          <w:sz w:val="28"/>
          <w:szCs w:val="28"/>
          <w:u w:val="single"/>
          <w:lang w:val="en-US" w:eastAsia="zh-CN"/>
        </w:rPr>
        <w:t xml:space="preserve">三</w:t>
      </w:r>
      <w:r>
        <w:rPr>
          <w:rFonts w:hint="eastAsia" w:ascii="宋体" w:hAnsi="宋体" w:eastAsia="宋体" w:cs="宋体"/>
          <w:i/>
          <w:color w:val="000000"/>
          <w:sz w:val="28"/>
          <w:szCs w:val="28"/>
          <w:u w:val="single"/>
        </w:rPr>
        <w:t xml:space="preserve">、具备履行合同所必需的设备和专业技术能力的书面声明</w:t>
      </w:r>
      <w:r/>
    </w:p>
    <w:p>
      <w:pPr>
        <w:pStyle w:val="711"/>
        <w:ind w:firstLine="492"/>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我单位郑重声明：我单位具备履行本项采购合同所必需的设备和专业技术能力，为履行本项采购合同我公司具备如下主要设备和主要专业技术能力：</w:t>
      </w:r>
      <w:r/>
    </w:p>
    <w:p>
      <w:pPr>
        <w:pStyle w:val="711"/>
        <w:ind w:firstLine="492"/>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主要设备有：</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pStyle w:val="711"/>
        <w:jc w:val="both"/>
        <w:spacing w:beforeAutospacing="0" w:afterAutospacing="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主要专业技术能力有：</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i/>
          <w:color w:val="000000"/>
          <w:sz w:val="28"/>
          <w:szCs w:val="28"/>
          <w:u w:val="single"/>
          <w:lang w:val="en-US" w:eastAsia="zh-CN"/>
        </w:rPr>
        <w:t xml:space="preserve">四</w:t>
      </w:r>
      <w:r>
        <w:rPr>
          <w:rFonts w:hint="eastAsia" w:ascii="宋体" w:hAnsi="宋体" w:eastAsia="宋体" w:cs="宋体"/>
          <w:i/>
          <w:color w:val="000000"/>
          <w:sz w:val="28"/>
          <w:szCs w:val="28"/>
          <w:u w:val="single"/>
        </w:rPr>
        <w:t xml:space="preserve">、依法缴纳税收和社会保障资金的相关材料</w:t>
      </w:r>
      <w:r/>
    </w:p>
    <w:p>
      <w:pPr>
        <w:pStyle w:val="711"/>
        <w:ind w:firstLine="480"/>
        <w:jc w:val="both"/>
        <w:spacing w:beforeAutospacing="0" w:afterAutospacing="0"/>
        <w:rPr>
          <w:rFonts w:hint="eastAsia" w:ascii="宋体" w:hAnsi="宋体" w:eastAsia="宋体" w:cs="宋体"/>
          <w:sz w:val="22"/>
          <w:szCs w:val="22"/>
        </w:rPr>
      </w:pPr>
      <w:r/>
      <w:bookmarkStart w:id="199" w:name="_Toc120614284"/>
      <w:r>
        <w:rPr>
          <w:rFonts w:hint="eastAsia" w:ascii="宋体" w:hAnsi="宋体" w:eastAsia="宋体" w:cs="宋体"/>
          <w:color w:val="000000"/>
          <w:sz w:val="22"/>
          <w:szCs w:val="22"/>
        </w:rPr>
        <w:t xml:space="preserve">提供提交投标文件截止时间前一年内至少一个月依法缴纳税收及缴纳社会保障资金的证明材料。投标人依法享受缓缴、免缴税收、社会保障资金的提供证明材料。</w:t>
      </w:r>
      <w:bookmarkEnd w:id="199"/>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i/>
          <w:color w:val="000000"/>
          <w:sz w:val="28"/>
          <w:szCs w:val="28"/>
          <w:u w:val="single"/>
        </w:rPr>
        <w:t xml:space="preserve">五、参加政府采购活动前 3 年内在经营活动中没有重大违法记录的书面声明</w:t>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b/>
          <w:color w:val="000000"/>
          <w:sz w:val="40"/>
          <w:szCs w:val="40"/>
        </w:rPr>
        <w:t xml:space="preserve">       声  明</w:t>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b/>
          <w:color w:val="000000"/>
          <w:sz w:val="22"/>
          <w:szCs w:val="22"/>
        </w:rPr>
        <w:t xml:space="preserve">    </w:t>
      </w:r>
      <w:r>
        <w:rPr>
          <w:rFonts w:hint="eastAsia" w:ascii="宋体" w:hAnsi="宋体" w:eastAsia="宋体" w:cs="宋体"/>
          <w:color w:val="000000"/>
          <w:sz w:val="22"/>
          <w:szCs w:val="22"/>
        </w:rPr>
        <w:t xml:space="preserve">我单位郑重声明：参加本次政府采购活动前 3 年内，我单位在经营活动中没有因违法经营受到刑事处罚或者责令停产停业、吊销许可证或者执照、较大数额罚款等行政处罚。</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i/>
          <w:color w:val="000000"/>
          <w:sz w:val="28"/>
          <w:szCs w:val="28"/>
          <w:u w:val="single"/>
        </w:rPr>
        <w:t xml:space="preserve">六、特定资格要求的证明文件</w:t>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    如果本项目申请人的特定资格要求中要求提供的，必须提供。</w:t>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i/>
          <w:color w:val="000000"/>
          <w:sz w:val="28"/>
          <w:szCs w:val="28"/>
          <w:u w:val="single"/>
        </w:rPr>
        <w:t xml:space="preserve">七、法人授权书</w:t>
      </w:r>
      <w:r/>
    </w:p>
    <w:p>
      <w:pPr>
        <w:pStyle w:val="711"/>
        <w:ind w:firstLine="480"/>
        <w:jc w:val="both"/>
        <w:keepLines w:val="0"/>
        <w:keepNext w:val="0"/>
        <w:pageBreakBefore w:val="0"/>
        <w:spacing w:beforeAutospacing="0" w:afterAutospacing="0" w:line="440" w:lineRule="exact"/>
        <w:widowControl w:val="off"/>
        <w:tabs>
          <w:tab w:val="left" w:pos="360" w:leader="none"/>
        </w:tabs>
        <w:rPr>
          <w:rFonts w:hint="eastAsia" w:ascii="宋体" w:hAnsi="宋体" w:eastAsia="宋体" w:cs="宋体"/>
          <w:sz w:val="22"/>
          <w:szCs w:val="22"/>
        </w:rPr>
      </w:pPr>
      <w:r>
        <w:rPr>
          <w:rFonts w:hint="eastAsia" w:ascii="宋体" w:hAnsi="宋体" w:eastAsia="宋体" w:cs="宋体"/>
          <w:color w:val="000000"/>
          <w:sz w:val="22"/>
          <w:szCs w:val="22"/>
        </w:rPr>
        <w:t xml:space="preserve">本授权书声明：____________（投标人名称）授权________________（被授权人的姓名）为我方就JSZC-</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号项目采购活动的合法代理人，以本单位名义全权处理一切与该项目采购有关的事务。</w:t>
      </w:r>
      <w:r/>
    </w:p>
    <w:p>
      <w:pPr>
        <w:pStyle w:val="711"/>
        <w:ind w:firstLine="440"/>
        <w:jc w:val="both"/>
        <w:keepLines w:val="0"/>
        <w:keepNext w:val="0"/>
        <w:pageBreakBefore w:val="0"/>
        <w:spacing w:beforeAutospacing="0" w:afterAutospacing="0" w:line="440" w:lineRule="exact"/>
        <w:widowControl w:val="off"/>
        <w:tabs>
          <w:tab w:val="left" w:pos="360" w:leader="none"/>
        </w:tabs>
        <w:rPr>
          <w:rFonts w:hint="eastAsia" w:ascii="宋体" w:hAnsi="宋体" w:eastAsia="宋体" w:cs="宋体"/>
          <w:sz w:val="22"/>
          <w:szCs w:val="22"/>
        </w:rPr>
      </w:pPr>
      <w:r>
        <w:rPr>
          <w:rFonts w:hint="eastAsia" w:ascii="宋体" w:hAnsi="宋体" w:eastAsia="宋体" w:cs="宋体"/>
          <w:color w:val="000000"/>
          <w:sz w:val="22"/>
          <w:szCs w:val="22"/>
        </w:rPr>
        <w:t xml:space="preserve">本授权书于______年____月____日起生效，特此声明。</w:t>
      </w:r>
      <w:r/>
    </w:p>
    <w:p>
      <w:pPr>
        <w:pStyle w:val="711"/>
        <w:ind w:firstLine="440"/>
        <w:jc w:val="left"/>
        <w:keepLines w:val="0"/>
        <w:keepNext w:val="0"/>
        <w:pageBreakBefore w:val="0"/>
        <w:spacing w:beforeAutospacing="0" w:afterAutospacing="0" w:line="440" w:lineRule="exact"/>
        <w:widowControl w:val="off"/>
        <w:tabs>
          <w:tab w:val="left" w:pos="360" w:leader="none"/>
        </w:tabs>
        <w:rPr>
          <w:rFonts w:hint="eastAsia" w:ascii="宋体" w:hAnsi="宋体" w:eastAsia="宋体" w:cs="宋体"/>
          <w:color w:val="000000"/>
          <w:sz w:val="22"/>
          <w:szCs w:val="22"/>
          <w:u w:val="single"/>
        </w:rPr>
      </w:pPr>
      <w:r>
        <w:rPr>
          <w:rFonts w:hint="eastAsia" w:ascii="宋体" w:hAnsi="宋体" w:eastAsia="宋体" w:cs="宋体"/>
          <w:color w:val="000000"/>
          <w:sz w:val="22"/>
          <w:szCs w:val="22"/>
        </w:rPr>
        <w:t xml:space="preserve">被授权人身份证号码：</w:t>
      </w:r>
      <w:r>
        <w:rPr>
          <w:rFonts w:hint="eastAsia" w:ascii="宋体" w:hAnsi="宋体" w:eastAsia="宋体" w:cs="宋体"/>
          <w:color w:val="000000"/>
          <w:sz w:val="22"/>
          <w:szCs w:val="22"/>
          <w:u w:val="single"/>
        </w:rPr>
        <w:t xml:space="preserve">              </w:t>
      </w:r>
      <w:r/>
    </w:p>
    <w:p>
      <w:pPr>
        <w:pStyle w:val="711"/>
        <w:ind w:firstLine="440"/>
        <w:jc w:val="left"/>
        <w:keepLines w:val="0"/>
        <w:keepNext w:val="0"/>
        <w:pageBreakBefore w:val="0"/>
        <w:spacing w:beforeAutospacing="0" w:afterAutospacing="0" w:line="440" w:lineRule="exact"/>
        <w:widowControl w:val="off"/>
        <w:tabs>
          <w:tab w:val="left" w:pos="360" w:leader="none"/>
        </w:tabs>
        <w:rPr>
          <w:rFonts w:hint="eastAsia" w:ascii="宋体" w:hAnsi="宋体" w:eastAsia="宋体" w:cs="宋体"/>
          <w:sz w:val="22"/>
          <w:szCs w:val="22"/>
        </w:rPr>
      </w:pPr>
      <w:r>
        <w:rPr>
          <w:rFonts w:hint="eastAsia" w:ascii="宋体" w:hAnsi="宋体" w:eastAsia="宋体" w:cs="宋体"/>
          <w:color w:val="000000"/>
          <w:sz w:val="22"/>
          <w:szCs w:val="22"/>
        </w:rPr>
        <w:t xml:space="preserve">被授权人联系电话：（手机）</w:t>
      </w:r>
      <w:r>
        <w:rPr>
          <w:rFonts w:hint="eastAsia" w:ascii="宋体" w:hAnsi="宋体" w:eastAsia="宋体" w:cs="宋体"/>
          <w:color w:val="000000"/>
          <w:sz w:val="22"/>
          <w:szCs w:val="22"/>
          <w:u w:val="single"/>
        </w:rPr>
        <w:t xml:space="preserve">            </w:t>
      </w:r>
      <w:r/>
    </w:p>
    <w:p>
      <w:pPr>
        <w:pStyle w:val="711"/>
        <w:ind w:firstLine="440"/>
        <w:jc w:val="both"/>
        <w:keepLines w:val="0"/>
        <w:keepNext w:val="0"/>
        <w:pageBreakBefore w:val="0"/>
        <w:spacing w:beforeAutospacing="0" w:afterAutospacing="0" w:line="440" w:lineRule="exact"/>
        <w:widowControl w:val="off"/>
        <w:tabs>
          <w:tab w:val="left" w:pos="360" w:leader="none"/>
        </w:tabs>
        <w:rPr>
          <w:rFonts w:hint="eastAsia" w:ascii="宋体" w:hAnsi="宋体" w:eastAsia="宋体" w:cs="宋体"/>
          <w:sz w:val="22"/>
          <w:szCs w:val="22"/>
        </w:rPr>
      </w:pPr>
      <w:r>
        <w:rPr>
          <w:rFonts w:hint="eastAsia" w:ascii="宋体" w:hAnsi="宋体" w:eastAsia="宋体" w:cs="宋体"/>
          <w:color w:val="000000"/>
          <w:sz w:val="22"/>
          <w:szCs w:val="22"/>
        </w:rPr>
        <w:t xml:space="preserve">授权单位名称：</w:t>
      </w:r>
      <w:r>
        <w:rPr>
          <w:rFonts w:hint="eastAsia" w:ascii="宋体" w:hAnsi="宋体" w:eastAsia="宋体" w:cs="宋体"/>
          <w:color w:val="000000"/>
          <w:sz w:val="22"/>
          <w:szCs w:val="22"/>
          <w:u w:val="single"/>
        </w:rPr>
        <w:t xml:space="preserve">（加盖CA电子公章）</w:t>
      </w:r>
      <w:r/>
    </w:p>
    <w:p>
      <w:pPr>
        <w:pStyle w:val="711"/>
        <w:ind w:firstLine="440"/>
        <w:jc w:val="left"/>
        <w:keepLines w:val="0"/>
        <w:keepNext w:val="0"/>
        <w:pageBreakBefore w:val="0"/>
        <w:spacing w:beforeAutospacing="0" w:afterAutospacing="0" w:line="440" w:lineRule="exact"/>
        <w:widowControl w:val="off"/>
        <w:tabs>
          <w:tab w:val="left" w:pos="360" w:leader="none"/>
        </w:tabs>
        <w:rPr>
          <w:rFonts w:hint="eastAsia" w:ascii="宋体" w:hAnsi="宋体" w:eastAsia="宋体" w:cs="宋体"/>
          <w:sz w:val="22"/>
          <w:szCs w:val="22"/>
        </w:rPr>
      </w:pPr>
      <w:r>
        <w:rPr>
          <w:rFonts w:hint="eastAsia" w:ascii="宋体" w:hAnsi="宋体" w:eastAsia="宋体" w:cs="宋体"/>
          <w:color w:val="000000"/>
          <w:sz w:val="22"/>
          <w:szCs w:val="22"/>
        </w:rPr>
        <w:t xml:space="preserve">单位地址：</w:t>
      </w:r>
      <w:r>
        <w:rPr>
          <w:rFonts w:hint="eastAsia" w:ascii="宋体" w:hAnsi="宋体" w:eastAsia="宋体" w:cs="宋体"/>
          <w:color w:val="000000"/>
          <w:sz w:val="22"/>
          <w:szCs w:val="22"/>
          <w:u w:val="single"/>
        </w:rPr>
        <w:t xml:space="preserve">             </w:t>
      </w:r>
      <w:r/>
    </w:p>
    <w:p>
      <w:pPr>
        <w:pStyle w:val="711"/>
        <w:ind w:firstLine="440"/>
        <w:jc w:val="both"/>
        <w:keepLines w:val="0"/>
        <w:keepNext w:val="0"/>
        <w:pageBreakBefore w:val="0"/>
        <w:spacing w:beforeAutospacing="0" w:afterAutospacing="0" w:line="440" w:lineRule="exact"/>
        <w:widowControl w:val="off"/>
        <w:rPr>
          <w:rFonts w:hint="eastAsia" w:ascii="宋体" w:hAnsi="宋体" w:eastAsia="宋体" w:cs="宋体"/>
          <w:sz w:val="22"/>
          <w:szCs w:val="22"/>
        </w:rPr>
      </w:pPr>
      <w:r>
        <w:rPr>
          <w:rFonts w:hint="eastAsia" w:ascii="宋体" w:hAnsi="宋体" w:eastAsia="宋体" w:cs="宋体"/>
          <w:color w:val="000000"/>
          <w:sz w:val="22"/>
          <w:szCs w:val="22"/>
        </w:rPr>
        <w:t xml:space="preserve">日期：</w:t>
      </w:r>
      <w:bookmarkStart w:id="200" w:name="_Hlt26671380"/>
      <w:r/>
      <w:bookmarkStart w:id="201" w:name="_格式3__银行出具的资信证明"/>
      <w:r/>
      <w:bookmarkStart w:id="202" w:name="_Hlt26955070"/>
      <w:r>
        <w:rPr>
          <w:rFonts w:hint="eastAsia" w:ascii="宋体" w:hAnsi="宋体" w:eastAsia="宋体" w:cs="宋体"/>
          <w:color w:val="000000"/>
          <w:sz w:val="22"/>
          <w:szCs w:val="22"/>
          <w:u w:val="single"/>
        </w:rPr>
        <w:t xml:space="preserve">              </w:t>
      </w:r>
      <w:r/>
    </w:p>
    <w:p>
      <w:pPr>
        <w:pStyle w:val="711"/>
        <w:jc w:val="both"/>
        <w:spacing w:beforeAutospacing="0" w:afterAutospacing="0"/>
        <w:rPr>
          <w:rFonts w:hint="eastAsia" w:ascii="宋体" w:hAnsi="宋体" w:eastAsia="宋体" w:cs="宋体"/>
          <w:sz w:val="22"/>
          <w:szCs w:val="22"/>
          <w:highlight w:val="cyan"/>
        </w:rPr>
      </w:pPr>
      <w:r>
        <w:rPr>
          <w:rFonts w:hint="eastAsia" w:ascii="宋体" w:hAnsi="宋体" w:eastAsia="宋体" w:cs="宋体"/>
          <w:sz w:val="22"/>
          <w:szCs w:val="22"/>
        </w:rPr>
        <w:t xml:space="preserve">  </w:t>
      </w:r>
      <w:r/>
    </w:p>
    <w:p>
      <w:pPr>
        <w:pStyle w:val="711"/>
        <w:ind w:firstLine="360"/>
        <w:jc w:val="both"/>
        <w:spacing w:beforeAutospacing="0" w:afterAutospacing="0" w:line="0" w:lineRule="atLeast"/>
        <w:rPr>
          <w:rFonts w:hint="eastAsia" w:ascii="宋体" w:hAnsi="宋体" w:eastAsia="宋体" w:cs="宋体"/>
          <w:sz w:val="22"/>
          <w:szCs w:val="22"/>
          <w:highlight w:val="white"/>
        </w:rPr>
      </w:pPr>
      <w:r>
        <w:rPr>
          <w:rFonts w:hint="eastAsia" w:ascii="宋体" w:hAnsi="宋体" w:eastAsia="宋体" w:cs="宋体"/>
          <w:color w:val="000000"/>
          <w:sz w:val="22"/>
          <w:szCs w:val="22"/>
          <w:highlight w:val="white"/>
          <w:shd w:val="clear" w:color="auto" w:fill="ffff00"/>
        </w:rPr>
        <w:t xml:space="preserve">备注 我公司（单位）委托进行现场演示的人员为</w:t>
      </w:r>
      <w:r>
        <w:rPr>
          <w:rFonts w:hint="eastAsia" w:ascii="宋体" w:hAnsi="宋体" w:eastAsia="宋体" w:cs="宋体"/>
          <w:color w:val="000000"/>
          <w:sz w:val="22"/>
          <w:szCs w:val="22"/>
          <w:highlight w:val="white"/>
        </w:rPr>
        <w:t xml:space="preserve"> </w:t>
      </w:r>
      <w:r>
        <w:rPr>
          <w:rFonts w:hint="eastAsia" w:ascii="宋体" w:hAnsi="宋体" w:eastAsia="宋体" w:cs="宋体"/>
          <w:color w:val="000000"/>
          <w:sz w:val="22"/>
          <w:szCs w:val="22"/>
          <w:highlight w:val="white"/>
          <w:u w:val="single"/>
          <w:shd w:val="clear" w:color="auto" w:fill="ffff00"/>
        </w:rPr>
        <w:t xml:space="preserve">（人员姓名）</w:t>
      </w:r>
      <w:r>
        <w:rPr>
          <w:rFonts w:hint="eastAsia" w:ascii="宋体" w:hAnsi="宋体" w:eastAsia="宋体" w:cs="宋体"/>
          <w:color w:val="000000"/>
          <w:sz w:val="22"/>
          <w:szCs w:val="22"/>
          <w:highlight w:val="white"/>
          <w:shd w:val="clear" w:color="auto" w:fill="ffff00"/>
        </w:rPr>
        <w:t xml:space="preserve">，身份证号</w:t>
      </w:r>
      <w:r>
        <w:rPr>
          <w:rFonts w:hint="eastAsia" w:ascii="宋体" w:hAnsi="宋体" w:eastAsia="宋体" w:cs="宋体"/>
          <w:color w:val="000000"/>
          <w:sz w:val="22"/>
          <w:szCs w:val="22"/>
          <w:highlight w:val="white"/>
          <w:u w:val="single"/>
          <w:shd w:val="clear" w:color="auto" w:fill="ffff00"/>
        </w:rPr>
        <w:t xml:space="preserve">          </w:t>
      </w:r>
      <w:r>
        <w:rPr>
          <w:rFonts w:hint="eastAsia" w:ascii="宋体" w:hAnsi="宋体" w:eastAsia="宋体" w:cs="宋体"/>
          <w:color w:val="000000"/>
          <w:sz w:val="22"/>
          <w:szCs w:val="22"/>
          <w:highlight w:val="white"/>
          <w:shd w:val="clear" w:color="auto" w:fill="ffff00"/>
        </w:rPr>
        <w:t xml:space="preserve">。</w:t>
      </w:r>
      <w:r>
        <w:rPr>
          <w:highlight w:val="white"/>
        </w:rPr>
      </w:r>
      <w:r/>
    </w:p>
    <w:p>
      <w:pPr>
        <w:pStyle w:val="711"/>
        <w:jc w:val="both"/>
        <w:spacing w:beforeAutospacing="0" w:afterAutospacing="0" w:line="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white"/>
          <w:shd w:val="clear" w:color="auto" w:fill="ffff00"/>
        </w:rPr>
        <w:t xml:space="preserve">        ……</w:t>
      </w:r>
      <w:r>
        <w:rPr>
          <w:highlight w:val="white"/>
        </w:rPr>
      </w:r>
      <w:r/>
    </w:p>
    <w:p>
      <w:pPr>
        <w:pStyle w:val="711"/>
        <w:jc w:val="both"/>
        <w:spacing w:beforeAutospacing="0" w:afterAutospacing="0" w:line="0" w:lineRule="atLeast"/>
        <w:rPr>
          <w:rFonts w:hint="eastAsia" w:ascii="宋体" w:hAnsi="宋体" w:eastAsia="宋体" w:cs="宋体"/>
          <w:sz w:val="22"/>
          <w:szCs w:val="22"/>
          <w:highlight w:val="white"/>
        </w:rPr>
      </w:pPr>
      <w:r>
        <w:rPr>
          <w:rFonts w:hint="eastAsia" w:ascii="宋体" w:hAnsi="宋体" w:eastAsia="宋体" w:cs="宋体"/>
          <w:sz w:val="22"/>
          <w:szCs w:val="22"/>
          <w:highlight w:val="white"/>
        </w:rPr>
      </w:r>
      <w:r>
        <w:rPr>
          <w:rFonts w:hint="eastAsia" w:ascii="宋体" w:hAnsi="宋体" w:eastAsia="宋体" w:cs="宋体"/>
          <w:sz w:val="22"/>
          <w:szCs w:val="22"/>
          <w:highlight w:val="white"/>
        </w:rPr>
      </w:r>
      <w:r/>
    </w:p>
    <w:p>
      <w:pPr>
        <w:pStyle w:val="711"/>
        <w:jc w:val="both"/>
        <w:spacing w:beforeAutospacing="0" w:afterAutospacing="0" w:line="0" w:lineRule="atLeast"/>
        <w:rPr>
          <w:rFonts w:hint="eastAsia" w:ascii="宋体" w:hAnsi="宋体" w:eastAsia="宋体" w:cs="宋体"/>
          <w:sz w:val="22"/>
          <w:szCs w:val="22"/>
          <w:highlight w:val="white"/>
        </w:rPr>
      </w:pPr>
      <w:r>
        <w:rPr>
          <w:rFonts w:hint="eastAsia" w:ascii="宋体" w:hAnsi="宋体" w:eastAsia="宋体" w:cs="宋体"/>
          <w:sz w:val="22"/>
          <w:szCs w:val="22"/>
          <w:highlight w:val="white"/>
        </w:rPr>
      </w:r>
      <w:r>
        <w:rPr>
          <w:rFonts w:hint="eastAsia" w:ascii="宋体" w:hAnsi="宋体" w:eastAsia="宋体" w:cs="宋体"/>
          <w:sz w:val="22"/>
          <w:szCs w:val="22"/>
          <w:highlight w:val="white"/>
        </w:rPr>
      </w:r>
      <w:r/>
    </w:p>
    <w:p>
      <w:pPr>
        <w:pStyle w:val="711"/>
        <w:jc w:val="both"/>
        <w:spacing w:beforeAutospacing="0" w:afterAutospacing="0" w:line="0" w:lineRule="atLeast"/>
        <w:rPr>
          <w:rFonts w:hint="eastAsia" w:ascii="宋体" w:hAnsi="宋体" w:eastAsia="宋体" w:cs="宋体"/>
          <w:sz w:val="22"/>
          <w:szCs w:val="22"/>
          <w:highlight w:val="white"/>
        </w:rPr>
      </w:pPr>
      <w:r>
        <w:rPr>
          <w:rFonts w:hint="eastAsia" w:ascii="宋体" w:hAnsi="宋体" w:eastAsia="宋体" w:cs="宋体"/>
          <w:sz w:val="22"/>
          <w:szCs w:val="22"/>
          <w:highlight w:val="white"/>
        </w:rPr>
      </w:r>
      <w:r>
        <w:rPr>
          <w:rFonts w:hint="eastAsia" w:ascii="宋体" w:hAnsi="宋体" w:eastAsia="宋体" w:cs="宋体"/>
          <w:sz w:val="22"/>
          <w:szCs w:val="22"/>
          <w:highlight w:val="white"/>
        </w:rPr>
      </w:r>
      <w:r/>
    </w:p>
    <w:p>
      <w:pPr>
        <w:pStyle w:val="711"/>
        <w:jc w:val="both"/>
        <w:spacing w:beforeAutospacing="0" w:afterAutospacing="0" w:line="0" w:lineRule="atLeast"/>
        <w:rPr>
          <w:rFonts w:hint="eastAsia" w:ascii="宋体" w:hAnsi="宋体" w:eastAsia="宋体" w:cs="宋体"/>
          <w:sz w:val="22"/>
          <w:szCs w:val="22"/>
          <w:highlight w:val="white"/>
        </w:rPr>
      </w:pPr>
      <w:r>
        <w:rPr>
          <w:rFonts w:hint="eastAsia" w:ascii="宋体" w:hAnsi="宋体" w:eastAsia="宋体" w:cs="宋体"/>
          <w:color w:val="000000"/>
          <w:sz w:val="22"/>
          <w:szCs w:val="22"/>
          <w:highlight w:val="white"/>
          <w:shd w:val="clear" w:color="auto" w:fill="ffff00"/>
        </w:rPr>
      </w:r>
      <w:r>
        <w:rPr>
          <w:rFonts w:hint="eastAsia" w:ascii="宋体" w:hAnsi="宋体" w:eastAsia="宋体" w:cs="宋体"/>
          <w:color w:val="000000"/>
          <w:sz w:val="22"/>
          <w:szCs w:val="22"/>
          <w:highlight w:val="white"/>
          <w:shd w:val="clear" w:color="auto" w:fill="ffff00"/>
        </w:rPr>
      </w:r>
      <w:r/>
    </w:p>
    <w:p>
      <w:pPr>
        <w:pStyle w:val="711"/>
        <w:ind w:firstLine="0"/>
        <w:jc w:val="center"/>
        <w:keepLines/>
        <w:keepNext/>
        <w:spacing w:before="260" w:beforeAutospacing="0" w:after="260" w:afterAutospacing="0" w:line="415" w:lineRule="auto"/>
        <w:tabs>
          <w:tab w:val="left" w:pos="2335" w:leader="none"/>
        </w:tabs>
        <w:rPr>
          <w:rFonts w:hint="eastAsia" w:ascii="宋体" w:hAnsi="宋体" w:eastAsia="宋体" w:cs="宋体"/>
          <w:b/>
          <w:bCs/>
          <w:color w:val="000000"/>
          <w:sz w:val="28"/>
          <w:szCs w:val="28"/>
          <w:highlight w:val="none"/>
        </w:rPr>
      </w:pPr>
      <w:r>
        <w:rPr>
          <w:rFonts w:hint="eastAsia" w:ascii="宋体" w:hAnsi="宋体" w:eastAsia="宋体" w:cs="宋体"/>
          <w:sz w:val="22"/>
          <w:szCs w:val="22"/>
        </w:rPr>
        <w:t xml:space="preserve"> </w:t>
      </w:r>
      <w:r>
        <w:rPr>
          <w:rFonts w:hint="eastAsia" w:ascii="宋体" w:hAnsi="宋体" w:eastAsia="宋体" w:cs="宋体"/>
          <w:b/>
          <w:color w:val="000000"/>
          <w:sz w:val="22"/>
          <w:szCs w:val="22"/>
        </w:rPr>
        <w:t xml:space="preserve"> </w:t>
      </w:r>
      <w:r>
        <w:rPr>
          <w:rFonts w:hint="eastAsia" w:ascii="宋体" w:hAnsi="宋体" w:eastAsia="宋体" w:cs="宋体"/>
          <w:b/>
          <w:color w:val="000000"/>
          <w:sz w:val="28"/>
          <w:szCs w:val="28"/>
        </w:rPr>
        <w:t xml:space="preserve">八、投标函</w:t>
      </w:r>
      <w:r>
        <w:tab/>
      </w:r>
      <w:r/>
    </w:p>
    <w:p>
      <w:pPr>
        <w:pStyle w:val="711"/>
        <w:spacing w:beforeAutospacing="0" w:afterAutospacing="0" w:line="0" w:lineRule="atLeas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rPr>
        <w:t xml:space="preserve">致：</w:t>
      </w:r>
      <w:r>
        <w:rPr>
          <w:rFonts w:hint="eastAsia" w:ascii="宋体" w:hAnsi="宋体" w:eastAsia="宋体" w:cs="宋体"/>
          <w:color w:val="000000"/>
          <w:sz w:val="22"/>
          <w:szCs w:val="22"/>
          <w:highlight w:val="none"/>
        </w:rPr>
        <w:t xml:space="preserve">盐城市亭湖区</w:t>
      </w:r>
      <w:r>
        <w:rPr>
          <w:rFonts w:hint="eastAsia" w:ascii="宋体" w:hAnsi="宋体" w:eastAsia="宋体" w:cs="宋体"/>
          <w:color w:val="000000"/>
          <w:sz w:val="22"/>
          <w:szCs w:val="22"/>
          <w:highlight w:val="none"/>
          <w:lang w:eastAsia="zh-CN"/>
        </w:rPr>
        <w:t xml:space="preserve">公共资源交易中心</w:t>
      </w:r>
      <w:r/>
    </w:p>
    <w:p>
      <w:pPr>
        <w:pStyle w:val="711"/>
        <w:ind w:firstLine="480"/>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根据贵方</w:t>
      </w:r>
      <w:r>
        <w:rPr>
          <w:rFonts w:hint="eastAsia" w:ascii="宋体" w:hAnsi="宋体" w:eastAsia="宋体" w:cs="宋体"/>
          <w:color w:val="ff0000"/>
          <w:sz w:val="22"/>
          <w:szCs w:val="22"/>
        </w:rPr>
        <w:t xml:space="preserve">的</w:t>
      </w:r>
      <w:r>
        <w:rPr>
          <w:rFonts w:hint="eastAsia" w:ascii="宋体" w:hAnsi="宋体" w:eastAsia="宋体" w:cs="宋体"/>
          <w:color w:val="ff0000"/>
          <w:sz w:val="22"/>
          <w:szCs w:val="22"/>
          <w:lang w:val="en-US" w:eastAsia="zh-CN"/>
        </w:rPr>
        <w:t xml:space="preserve">        </w:t>
      </w:r>
      <w:r>
        <w:rPr>
          <w:rFonts w:hint="eastAsia" w:ascii="宋体" w:hAnsi="宋体" w:eastAsia="宋体" w:cs="宋体"/>
          <w:color w:val="ff0000"/>
          <w:sz w:val="22"/>
          <w:szCs w:val="22"/>
        </w:rPr>
        <w:t xml:space="preserve">号</w:t>
      </w:r>
      <w:r>
        <w:rPr>
          <w:rFonts w:hint="eastAsia" w:ascii="宋体" w:hAnsi="宋体" w:eastAsia="宋体" w:cs="宋体"/>
          <w:color w:val="000000"/>
          <w:sz w:val="22"/>
          <w:szCs w:val="22"/>
        </w:rPr>
        <w:t xml:space="preserve">招标文件，正式授权下述签字人______(姓名)代表我方______________（投标人的名称），全权处理本次项目投标的有关事宜。</w:t>
      </w:r>
      <w:r/>
    </w:p>
    <w:p>
      <w:pPr>
        <w:pStyle w:val="711"/>
        <w:ind w:firstLine="480"/>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据此函，__________签字人兹宣布同意如下：</w:t>
      </w:r>
      <w:r/>
    </w:p>
    <w:p>
      <w:pPr>
        <w:pStyle w:val="711"/>
        <w:ind w:firstLine="480"/>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1.按招标文件规定的各项要求，向买方提供所需服务（包含与服务相关的货物）。</w:t>
      </w:r>
      <w:r/>
    </w:p>
    <w:p>
      <w:pPr>
        <w:pStyle w:val="711"/>
        <w:ind w:firstLine="480"/>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2.我们完全理解贵方不一定将合同授予最低报价的投标人。</w:t>
      </w:r>
      <w:r/>
    </w:p>
    <w:p>
      <w:pPr>
        <w:pStyle w:val="711"/>
        <w:ind w:firstLine="480"/>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3.我们已详细审核全部招标文件及其有效补充文件，我们知道必须放弃提出含糊不清或误解问题的权利。</w:t>
      </w:r>
      <w:r/>
    </w:p>
    <w:p>
      <w:pPr>
        <w:pStyle w:val="711"/>
        <w:ind w:firstLine="480"/>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4.我们同意从规定的开标日期起遵循本投标文件，并在规定的投标有效期期满之前均具有约束力。</w:t>
      </w:r>
      <w:r/>
    </w:p>
    <w:p>
      <w:pPr>
        <w:pStyle w:val="711"/>
        <w:ind w:firstLine="480"/>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5.同意向贵方提供贵方可能另外要求的与投标有关的任何证据或资料，并保证我方已提供和将要提供的文件是真实的、准确的。</w:t>
      </w:r>
      <w:r/>
    </w:p>
    <w:p>
      <w:pPr>
        <w:pStyle w:val="711"/>
        <w:ind w:firstLine="480"/>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6.一旦我方中标,我方将根据招标文件的规定，严格履行合同的责任和义务,并保证在招标文件规定的时间完成项目，交付买方验收、使用。</w:t>
      </w:r>
      <w:r/>
    </w:p>
    <w:p>
      <w:pPr>
        <w:pStyle w:val="711"/>
        <w:ind w:firstLine="480"/>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7.与本投标有关的正式通讯地址为：</w:t>
      </w:r>
      <w:r/>
    </w:p>
    <w:p>
      <w:pPr>
        <w:pStyle w:val="711"/>
        <w:ind w:left="420" w:firstLine="480"/>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地          址：</w:t>
      </w:r>
      <w:r/>
    </w:p>
    <w:p>
      <w:pPr>
        <w:pStyle w:val="711"/>
        <w:ind w:left="420" w:firstLine="480"/>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邮          编：</w:t>
      </w:r>
      <w:r/>
    </w:p>
    <w:p>
      <w:pPr>
        <w:pStyle w:val="711"/>
        <w:ind w:left="420" w:firstLine="480"/>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电          话：</w:t>
      </w:r>
      <w:r/>
    </w:p>
    <w:p>
      <w:pPr>
        <w:pStyle w:val="711"/>
        <w:ind w:left="420" w:firstLine="480"/>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传          真：</w:t>
      </w:r>
      <w:r/>
    </w:p>
    <w:p>
      <w:pPr>
        <w:pStyle w:val="711"/>
        <w:ind w:left="420" w:firstLine="480"/>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投标人开户行：</w:t>
      </w:r>
      <w:r/>
    </w:p>
    <w:p>
      <w:pPr>
        <w:pStyle w:val="711"/>
        <w:ind w:left="420" w:firstLine="480"/>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账          号： </w:t>
      </w:r>
      <w:r/>
    </w:p>
    <w:p>
      <w:pPr>
        <w:pStyle w:val="711"/>
        <w:ind w:left="420" w:firstLine="480"/>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日           期：________年____月____日</w:t>
      </w:r>
      <w:r/>
    </w:p>
    <w:p>
      <w:pPr>
        <w:pStyle w:val="711"/>
        <w:ind w:firstLine="240"/>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ind w:firstLine="240"/>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ind w:firstLine="240"/>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ind w:firstLine="240"/>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ind w:firstLine="240"/>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ind w:firstLine="240"/>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240"/>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240"/>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240"/>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240"/>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240"/>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240"/>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240"/>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240"/>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240"/>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240"/>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240"/>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240"/>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240"/>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ind w:firstLine="240"/>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line="0" w:lineRule="atLeas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11"/>
        <w:jc w:val="center"/>
        <w:spacing w:beforeAutospacing="0" w:afterAutospacing="0" w:line="0" w:lineRule="atLeas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b/>
          <w:color w:val="000000"/>
          <w:sz w:val="28"/>
          <w:szCs w:val="28"/>
        </w:rPr>
        <w:t xml:space="preserve">九、小微企业声明函（服务）</w:t>
      </w:r>
      <w:r/>
    </w:p>
    <w:p>
      <w:pPr>
        <w:pStyle w:val="711"/>
        <w:ind w:firstLine="36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本公司（联合体）郑重声明，根</w:t>
      </w:r>
      <w:r>
        <w:rPr>
          <w:rFonts w:hint="eastAsia" w:ascii="宋体" w:hAnsi="宋体" w:eastAsia="宋体" w:cs="宋体"/>
          <w:color w:val="000000"/>
          <w:sz w:val="22"/>
          <w:szCs w:val="22"/>
          <w:highlight w:val="none"/>
        </w:rPr>
        <w:t xml:space="preserve">据《政府采购促进中小企业发展管理办法》(财库[2020]46号)的规定，本公司（联合体）参加亭湖区公共资源交易中心组织的采购编号为</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t xml:space="preserve">（项目名称）</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的采购活动，服务全部由符合政策</w:t>
      </w:r>
      <w:r>
        <w:rPr>
          <w:rFonts w:hint="eastAsia" w:ascii="宋体" w:hAnsi="宋体" w:eastAsia="宋体" w:cs="宋体"/>
          <w:color w:val="000000"/>
          <w:sz w:val="22"/>
          <w:szCs w:val="22"/>
        </w:rPr>
        <w:t xml:space="preserve">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11"/>
        <w:ind w:firstLine="36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u w:val="single"/>
        </w:rPr>
        <w:t xml:space="preserve">（标的名称）</w:t>
      </w:r>
      <w:r>
        <w:rPr>
          <w:rFonts w:hint="eastAsia" w:ascii="宋体" w:hAnsi="宋体" w:eastAsia="宋体" w:cs="宋体"/>
          <w:i/>
          <w:color w:val="000000"/>
          <w:sz w:val="22"/>
          <w:szCs w:val="22"/>
        </w:rPr>
        <w:t xml:space="preserve">，</w:t>
      </w:r>
      <w:r>
        <w:rPr>
          <w:rFonts w:hint="eastAsia" w:ascii="宋体" w:hAnsi="宋体" w:eastAsia="宋体" w:cs="宋体"/>
          <w:color w:val="000000"/>
          <w:sz w:val="22"/>
          <w:szCs w:val="22"/>
        </w:rPr>
        <w:t xml:space="preserve">属于</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行业；承接企业为</w:t>
      </w:r>
      <w:r>
        <w:rPr>
          <w:rFonts w:hint="eastAsia" w:ascii="宋体" w:hAnsi="宋体" w:eastAsia="宋体" w:cs="宋体"/>
          <w:color w:val="000000"/>
          <w:sz w:val="22"/>
          <w:szCs w:val="22"/>
          <w:u w:val="single"/>
        </w:rPr>
        <w:t xml:space="preserve">（企业名称）</w:t>
      </w:r>
      <w:r>
        <w:rPr>
          <w:rFonts w:hint="eastAsia" w:ascii="宋体" w:hAnsi="宋体" w:eastAsia="宋体" w:cs="宋体"/>
          <w:color w:val="000000"/>
          <w:sz w:val="22"/>
          <w:szCs w:val="22"/>
        </w:rPr>
        <w:t xml:space="preserve">，从业人员</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人，营业收入为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万元，资产总额为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万元</w:t>
      </w:r>
      <w:r>
        <w:rPr>
          <w:rFonts w:hint="eastAsia" w:ascii="宋体" w:hAnsi="宋体" w:eastAsia="宋体" w:cs="宋体"/>
          <w:color w:val="000000"/>
          <w:sz w:val="22"/>
          <w:szCs w:val="22"/>
          <w:vertAlign w:val="superscript"/>
        </w:rPr>
        <w:t xml:space="preserve">1</w:t>
      </w:r>
      <w:r>
        <w:rPr>
          <w:rFonts w:hint="eastAsia" w:ascii="宋体" w:hAnsi="宋体" w:eastAsia="宋体" w:cs="宋体"/>
          <w:color w:val="000000"/>
          <w:sz w:val="22"/>
          <w:szCs w:val="22"/>
        </w:rPr>
        <w:t xml:space="preserve">，属于</w:t>
      </w:r>
      <w:r>
        <w:rPr>
          <w:rFonts w:hint="eastAsia" w:ascii="宋体" w:hAnsi="宋体" w:eastAsia="宋体" w:cs="宋体"/>
          <w:color w:val="000000"/>
          <w:sz w:val="22"/>
          <w:szCs w:val="22"/>
          <w:u w:val="single"/>
        </w:rPr>
        <w:t xml:space="preserve">（小型企业、微型企业）；</w:t>
      </w:r>
      <w:r/>
    </w:p>
    <w:p>
      <w:pPr>
        <w:pStyle w:val="711"/>
        <w:ind w:firstLine="36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u w:val="single"/>
        </w:rPr>
        <w:t xml:space="preserve">（标的名称）</w:t>
      </w:r>
      <w:r>
        <w:rPr>
          <w:rFonts w:hint="eastAsia" w:ascii="宋体" w:hAnsi="宋体" w:eastAsia="宋体" w:cs="宋体"/>
          <w:i/>
          <w:color w:val="000000"/>
          <w:sz w:val="22"/>
          <w:szCs w:val="22"/>
        </w:rPr>
        <w:t xml:space="preserve">，</w:t>
      </w:r>
      <w:r>
        <w:rPr>
          <w:rFonts w:hint="eastAsia" w:ascii="宋体" w:hAnsi="宋体" w:eastAsia="宋体" w:cs="宋体"/>
          <w:color w:val="000000"/>
          <w:sz w:val="22"/>
          <w:szCs w:val="22"/>
        </w:rPr>
        <w:t xml:space="preserve">属于</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行业；承接企业为</w:t>
      </w:r>
      <w:r>
        <w:rPr>
          <w:rFonts w:hint="eastAsia" w:ascii="宋体" w:hAnsi="宋体" w:eastAsia="宋体" w:cs="宋体"/>
          <w:color w:val="000000"/>
          <w:sz w:val="22"/>
          <w:szCs w:val="22"/>
          <w:u w:val="single"/>
        </w:rPr>
        <w:t xml:space="preserve">（企业名称）</w:t>
      </w:r>
      <w:r>
        <w:rPr>
          <w:rFonts w:hint="eastAsia" w:ascii="宋体" w:hAnsi="宋体" w:eastAsia="宋体" w:cs="宋体"/>
          <w:color w:val="000000"/>
          <w:sz w:val="22"/>
          <w:szCs w:val="22"/>
        </w:rPr>
        <w:t xml:space="preserve">，从业人员</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人，营业收入为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万元，资产总额为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万元</w:t>
      </w:r>
      <w:r>
        <w:rPr>
          <w:rFonts w:hint="eastAsia" w:ascii="宋体" w:hAnsi="宋体" w:eastAsia="宋体" w:cs="宋体"/>
          <w:color w:val="000000"/>
          <w:sz w:val="22"/>
          <w:szCs w:val="22"/>
          <w:vertAlign w:val="superscript"/>
        </w:rPr>
        <w:t xml:space="preserve">1</w:t>
      </w:r>
      <w:r>
        <w:rPr>
          <w:rFonts w:hint="eastAsia" w:ascii="宋体" w:hAnsi="宋体" w:eastAsia="宋体" w:cs="宋体"/>
          <w:color w:val="000000"/>
          <w:sz w:val="22"/>
          <w:szCs w:val="22"/>
        </w:rPr>
        <w:t xml:space="preserve">，属于</w:t>
      </w:r>
      <w:r>
        <w:rPr>
          <w:rFonts w:hint="eastAsia" w:ascii="宋体" w:hAnsi="宋体" w:eastAsia="宋体" w:cs="宋体"/>
          <w:color w:val="000000"/>
          <w:sz w:val="22"/>
          <w:szCs w:val="22"/>
          <w:u w:val="single"/>
        </w:rPr>
        <w:t xml:space="preserve">（小型企业、微型企业）；</w:t>
      </w:r>
      <w:r/>
    </w:p>
    <w:p>
      <w:pPr>
        <w:pStyle w:val="711"/>
        <w:ind w:firstLine="36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w:t>
      </w:r>
      <w:r/>
    </w:p>
    <w:p>
      <w:pPr>
        <w:pStyle w:val="711"/>
        <w:ind w:firstLine="36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以上企业，不属于大企业的分支机构，不存在控股股东为大企业的情形，也不存在与大企业的负责人为同一人的情形。</w:t>
      </w:r>
      <w:r/>
    </w:p>
    <w:p>
      <w:pPr>
        <w:pStyle w:val="711"/>
        <w:ind w:firstLine="36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本企业对上述声明内容的真实性负责。如有虚假，将依法承担相应责任</w:t>
      </w:r>
      <w:r/>
    </w:p>
    <w:p>
      <w:pPr>
        <w:pStyle w:val="711"/>
        <w:ind w:right="72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ind w:right="180" w:firstLine="360"/>
        <w:jc w:val="right"/>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企业名称（加盖CA电子公章）：</w:t>
      </w:r>
      <w:r/>
    </w:p>
    <w:p>
      <w:pPr>
        <w:pStyle w:val="711"/>
        <w:ind w:right="480" w:firstLine="540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日  期：</w:t>
      </w:r>
      <w:r/>
    </w:p>
    <w:p>
      <w:pPr>
        <w:pStyle w:val="711"/>
        <w:ind w:firstLine="24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备注1：从业人员、营业收入、资产总额填报上一年度数据，无上一年度数据的新成立企业可不填报。</w:t>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备注2：供应商如不提供此声明函，价格将不做相应扣除。</w:t>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b/>
          <w:color w:val="000000"/>
          <w:sz w:val="28"/>
          <w:szCs w:val="28"/>
        </w:rPr>
        <w:br w:type="page" w:clear="all"/>
      </w:r>
      <w:r>
        <w:rPr>
          <w:rFonts w:hint="eastAsia" w:ascii="宋体" w:hAnsi="宋体" w:eastAsia="宋体" w:cs="宋体"/>
          <w:b/>
          <w:color w:val="000000"/>
          <w:sz w:val="28"/>
          <w:szCs w:val="28"/>
        </w:rPr>
        <w:t xml:space="preserve"> 十、残疾人福利性单位声明函</w:t>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项目</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采购活动由本单位提供服务。</w:t>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本单位对上述声明的真实性负责。如有虚假，将依法承担相应责任。</w:t>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ind w:firstLine="480"/>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（备注：1、供应商如不提供此声明函，价格将不做相应扣除。2、中标人为残疾人福利单位的，此声明函将随中标结果同时公告，接受社会监督）</w:t>
      </w:r>
      <w:r/>
    </w:p>
    <w:p>
      <w:pPr>
        <w:pStyle w:val="711"/>
        <w:ind w:firstLine="624"/>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ind w:right="1560" w:firstLine="624"/>
        <w:jc w:val="center"/>
        <w:spacing w:beforeAutospacing="0" w:afterAutospacing="0" w:line="0" w:lineRule="atLeast"/>
        <w:tabs>
          <w:tab w:val="left" w:pos="4864" w:leader="none"/>
        </w:tabs>
        <w:rPr>
          <w:rFonts w:hint="eastAsia" w:ascii="宋体" w:hAnsi="宋体" w:eastAsia="宋体" w:cs="宋体"/>
          <w:sz w:val="22"/>
          <w:szCs w:val="22"/>
        </w:rPr>
      </w:pPr>
      <w:r>
        <w:rPr>
          <w:rFonts w:hint="eastAsia" w:ascii="宋体" w:hAnsi="宋体" w:eastAsia="宋体" w:cs="宋体"/>
          <w:color w:val="000000"/>
          <w:sz w:val="28"/>
          <w:szCs w:val="28"/>
        </w:rPr>
        <w:t xml:space="preserve">             </w:t>
      </w:r>
      <w:r>
        <w:rPr>
          <w:rFonts w:hint="eastAsia" w:ascii="宋体" w:hAnsi="宋体" w:eastAsia="宋体" w:cs="宋体"/>
          <w:color w:val="000000"/>
          <w:sz w:val="22"/>
          <w:szCs w:val="22"/>
        </w:rPr>
        <w:t xml:space="preserve">          供应商全称（加盖CA电子公章）：</w:t>
      </w:r>
      <w:r/>
    </w:p>
    <w:p>
      <w:pPr>
        <w:pStyle w:val="711"/>
        <w:ind w:right="1560" w:firstLine="480"/>
        <w:jc w:val="center"/>
        <w:spacing w:beforeAutospacing="0" w:afterAutospacing="0" w:line="0" w:lineRule="atLeast"/>
        <w:tabs>
          <w:tab w:val="left" w:pos="4864" w:leader="none"/>
        </w:tabs>
        <w:rPr>
          <w:rFonts w:hint="eastAsia" w:ascii="宋体" w:hAnsi="宋体" w:eastAsia="宋体" w:cs="宋体"/>
          <w:sz w:val="22"/>
          <w:szCs w:val="22"/>
        </w:rPr>
      </w:pPr>
      <w:r>
        <w:rPr>
          <w:rFonts w:hint="eastAsia" w:ascii="宋体" w:hAnsi="宋体" w:eastAsia="宋体" w:cs="宋体"/>
          <w:color w:val="000000"/>
          <w:sz w:val="22"/>
          <w:szCs w:val="22"/>
        </w:rPr>
        <w:t xml:space="preserve">        日  期：</w:t>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b/>
          <w:color w:val="000000"/>
          <w:sz w:val="28"/>
          <w:szCs w:val="28"/>
        </w:rPr>
        <w:t xml:space="preserve">十一、联合体协议（参考格式）</w:t>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（联合体中各供应商全称）在此达成以下协议：</w:t>
      </w:r>
      <w:r/>
    </w:p>
    <w:p>
      <w:pPr>
        <w:pStyle w:val="711"/>
        <w:ind w:firstLine="645"/>
        <w:jc w:val="both"/>
        <w:spacing w:beforeAutospacing="0" w:afterAutospacing="0" w:line="0" w:lineRule="atLeast"/>
        <w:rPr>
          <w:rFonts w:hint="eastAsia" w:ascii="宋体" w:hAnsi="宋体" w:eastAsia="宋体" w:cs="宋体"/>
          <w:sz w:val="22"/>
          <w:szCs w:val="22"/>
          <w:highlight w:val="none"/>
        </w:rPr>
      </w:pPr>
      <w:r>
        <w:rPr>
          <w:rFonts w:hint="eastAsia" w:ascii="宋体" w:hAnsi="宋体" w:eastAsia="宋体" w:cs="宋体"/>
          <w:color w:val="000000"/>
          <w:sz w:val="22"/>
          <w:szCs w:val="22"/>
        </w:rPr>
        <w:t xml:space="preserve">1、我们</w:t>
      </w:r>
      <w:r>
        <w:rPr>
          <w:rFonts w:hint="eastAsia" w:ascii="宋体" w:hAnsi="宋体" w:eastAsia="宋体" w:cs="宋体"/>
          <w:color w:val="000000"/>
          <w:sz w:val="22"/>
          <w:szCs w:val="22"/>
          <w:u w:val="single"/>
        </w:rPr>
        <w:t xml:space="preserve"> （供应商1</w:t>
      </w:r>
      <w:r>
        <w:rPr>
          <w:rFonts w:hint="eastAsia" w:ascii="宋体" w:hAnsi="宋体" w:eastAsia="宋体" w:cs="宋体"/>
          <w:color w:val="000000"/>
          <w:sz w:val="22"/>
          <w:szCs w:val="22"/>
          <w:highlight w:val="none"/>
          <w:u w:val="single"/>
        </w:rPr>
        <w:t xml:space="preserve">），（供应商2） ，……</w:t>
      </w:r>
      <w:r>
        <w:rPr>
          <w:rFonts w:hint="eastAsia" w:ascii="宋体" w:hAnsi="宋体" w:eastAsia="宋体" w:cs="宋体"/>
          <w:color w:val="000000"/>
          <w:sz w:val="22"/>
          <w:szCs w:val="22"/>
          <w:highlight w:val="none"/>
        </w:rPr>
        <w:t xml:space="preserve">自愿组成联合体，参加亭湖区公共资源交易中心组织的采购编号为</w:t>
      </w:r>
      <w:r>
        <w:rPr>
          <w:rFonts w:hint="eastAsia" w:ascii="宋体" w:hAnsi="宋体" w:eastAsia="宋体" w:cs="宋体"/>
          <w:color w:val="000000"/>
          <w:sz w:val="22"/>
          <w:szCs w:val="22"/>
          <w:highlight w:val="none"/>
          <w:u w:val="single"/>
        </w:rPr>
        <w:t xml:space="preserve">（编号全称），（项目全称）</w:t>
      </w:r>
      <w:r>
        <w:rPr>
          <w:rFonts w:hint="eastAsia" w:ascii="宋体" w:hAnsi="宋体" w:eastAsia="宋体" w:cs="宋体"/>
          <w:color w:val="000000"/>
          <w:sz w:val="22"/>
          <w:szCs w:val="22"/>
          <w:highlight w:val="none"/>
        </w:rPr>
        <w:t xml:space="preserve">项目（分包号：**）的政府采购活动，我联合体指定</w:t>
      </w:r>
      <w:r>
        <w:rPr>
          <w:rFonts w:hint="eastAsia" w:ascii="宋体" w:hAnsi="宋体" w:eastAsia="宋体" w:cs="宋体"/>
          <w:color w:val="000000"/>
          <w:sz w:val="22"/>
          <w:szCs w:val="22"/>
          <w:highlight w:val="none"/>
          <w:u w:val="single"/>
        </w:rPr>
        <w:t xml:space="preserve">（供应商*）</w:t>
      </w:r>
      <w:r>
        <w:rPr>
          <w:rFonts w:hint="eastAsia" w:ascii="宋体" w:hAnsi="宋体" w:eastAsia="宋体" w:cs="宋体"/>
          <w:color w:val="000000"/>
          <w:sz w:val="22"/>
          <w:szCs w:val="22"/>
          <w:highlight w:val="none"/>
        </w:rPr>
        <w:t xml:space="preserve">为牵头单位（牵头单位必须为联合体成员）。</w:t>
      </w:r>
      <w:r/>
    </w:p>
    <w:p>
      <w:pPr>
        <w:pStyle w:val="711"/>
        <w:ind w:firstLine="645"/>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highlight w:val="none"/>
        </w:rPr>
        <w:t xml:space="preserve">2、若我们联合中标、成交，（供应商单位1全称）实施项目中（工作内容）部分工作，并承担相应的责任。（供应商单位2全称）实施项目中（工作内</w:t>
      </w:r>
      <w:r>
        <w:rPr>
          <w:rFonts w:hint="eastAsia" w:ascii="宋体" w:hAnsi="宋体" w:eastAsia="宋体" w:cs="宋体"/>
          <w:color w:val="000000"/>
          <w:sz w:val="22"/>
          <w:szCs w:val="22"/>
        </w:rPr>
        <w:t xml:space="preserve">容）部分工作，并承担相应的责任……。（注：联合体中各供应商都应明示所承担的工作和相应的责任）。</w:t>
      </w:r>
      <w:r/>
    </w:p>
    <w:p>
      <w:pPr>
        <w:pStyle w:val="711"/>
        <w:ind w:firstLine="645"/>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3、其中</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（小型、微型企业/残疾人福利性单位/监狱企业全称）为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pStyle w:val="711"/>
        <w:ind w:firstLine="645"/>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ind w:firstLine="645"/>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备注：本招标文件中要求加盖CA电子签章的地方，仅需加盖牵头单位的CA电子签章。</w:t>
      </w:r>
      <w:r/>
    </w:p>
    <w:p>
      <w:pPr>
        <w:pStyle w:val="711"/>
        <w:ind w:firstLine="645"/>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                               </w:t>
      </w:r>
      <w:r/>
    </w:p>
    <w:p>
      <w:pPr>
        <w:pStyle w:val="711"/>
        <w:ind w:firstLine="645"/>
        <w:jc w:val="right"/>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联合体中各供应商全称（公章）：     </w:t>
      </w:r>
      <w:r/>
    </w:p>
    <w:p>
      <w:pPr>
        <w:pStyle w:val="711"/>
        <w:ind w:firstLine="645"/>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  日期：</w:t>
      </w:r>
      <w:r/>
    </w:p>
    <w:p>
      <w:pPr>
        <w:pStyle w:val="711"/>
        <w:ind w:firstLine="645"/>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b/>
          <w:color w:val="000000"/>
          <w:sz w:val="28"/>
          <w:szCs w:val="28"/>
        </w:rPr>
        <w:t xml:space="preserve">十二、投标分项报价表</w:t>
      </w:r>
      <w:r/>
    </w:p>
    <w:tbl>
      <w:tblPr>
        <w:tblStyle w:val="692"/>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分项</w:t>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分项</w:t>
            </w:r>
            <w:r/>
          </w:p>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11"/>
              <w:jc w:val="center"/>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sz w:val="22"/>
                <w:szCs w:val="22"/>
              </w:rPr>
              <w:t xml:space="preserve"> </w:t>
            </w:r>
            <w:r/>
          </w:p>
        </w:tc>
      </w:tr>
    </w:tbl>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color w:val="000000"/>
          <w:sz w:val="22"/>
          <w:szCs w:val="22"/>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center"/>
        <w:spacing w:beforeAutospacing="0" w:afterAutospacing="0"/>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11"/>
        <w:jc w:val="center"/>
        <w:spacing w:beforeAutospacing="0" w:afterAutospacing="0"/>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b/>
          <w:color w:val="000000"/>
          <w:sz w:val="28"/>
          <w:szCs w:val="28"/>
        </w:rPr>
        <w:t xml:space="preserve">十三、技术要求响应及偏离表</w:t>
      </w:r>
      <w:r/>
    </w:p>
    <w:tbl>
      <w:tblPr>
        <w:tblStyle w:val="69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color w:val="000000"/>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color w:val="000000"/>
                <w:sz w:val="22"/>
                <w:szCs w:val="22"/>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color w:val="000000"/>
                <w:sz w:val="22"/>
                <w:szCs w:val="22"/>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color w:val="000000"/>
                <w:sz w:val="22"/>
                <w:szCs w:val="22"/>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color w:val="000000"/>
                <w:sz w:val="22"/>
                <w:szCs w:val="22"/>
              </w:rPr>
              <w:t xml:space="preserve">证明</w:t>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color w:val="000000"/>
                <w:sz w:val="22"/>
                <w:szCs w:val="22"/>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color w:val="000000"/>
                <w:sz w:val="22"/>
                <w:szCs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r>
    </w:tbl>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color w:val="000000"/>
          <w:sz w:val="22"/>
          <w:szCs w:val="22"/>
        </w:rPr>
        <w:t xml:space="preserve">注： 行数不够，可自行添加。</w:t>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rPr>
          <w:rFonts w:hint="eastAsia" w:ascii="宋体" w:hAnsi="宋体" w:eastAsia="宋体" w:cs="宋体"/>
          <w:b/>
          <w:color w:val="000000"/>
          <w:sz w:val="28"/>
          <w:szCs w:val="28"/>
        </w:rPr>
      </w:pPr>
      <w:r/>
      <w:bookmarkStart w:id="203" w:name="_Hlt26955054"/>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b/>
          <w:color w:val="000000"/>
          <w:sz w:val="28"/>
          <w:szCs w:val="28"/>
        </w:rPr>
        <w:t xml:space="preserve">十四、商务要求响应及偏离表</w:t>
      </w:r>
      <w:r/>
    </w:p>
    <w:tbl>
      <w:tblPr>
        <w:tblStyle w:val="69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bookmarkStart w:id="204" w:name="_Hlt26671343"/>
            <w:r/>
            <w:bookmarkStart w:id="205" w:name="_Hlt26955056"/>
            <w:r/>
            <w:bookmarkStart w:id="206" w:name="_Hlt26782999"/>
            <w:r/>
            <w:bookmarkStart w:id="207" w:name="_Hlt26671372"/>
            <w:r/>
            <w:bookmarkStart w:id="208" w:name="_Hlt26955064"/>
            <w:r/>
            <w:bookmarkStart w:id="209" w:name="_Hlt26609391"/>
            <w:r/>
            <w:bookmarkStart w:id="210" w:name="_Hlt26580838"/>
            <w:r/>
            <w:bookmarkStart w:id="211" w:name="_Hlt24879081"/>
            <w:r>
              <w:rPr>
                <w:rFonts w:hint="eastAsia" w:ascii="宋体" w:hAnsi="宋体" w:eastAsia="宋体" w:cs="宋体"/>
                <w:color w:val="000000"/>
                <w:sz w:val="22"/>
                <w:szCs w:val="22"/>
              </w:rPr>
              <w:t xml:space="preserve">序号</w:t>
            </w:r>
            <w:bookmarkEnd w:id="204"/>
            <w:r/>
            <w:bookmarkEnd w:id="205"/>
            <w:r/>
            <w:bookmarkEnd w:id="206"/>
            <w:r/>
            <w:bookmarkEnd w:id="207"/>
            <w:r/>
            <w:bookmarkEnd w:id="208"/>
            <w:r/>
            <w:bookmarkEnd w:id="209"/>
            <w:r/>
            <w:bookmarkEnd w:id="210"/>
            <w:r/>
            <w:bookmarkEnd w:id="211"/>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color w:val="000000"/>
                <w:sz w:val="22"/>
                <w:szCs w:val="22"/>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color w:val="000000"/>
                <w:sz w:val="22"/>
                <w:szCs w:val="22"/>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color w:val="000000"/>
                <w:sz w:val="22"/>
                <w:szCs w:val="22"/>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color w:val="000000"/>
                <w:sz w:val="22"/>
                <w:szCs w:val="22"/>
              </w:rPr>
              <w:t xml:space="preserve">证明</w:t>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color w:val="000000"/>
                <w:sz w:val="22"/>
                <w:szCs w:val="22"/>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tc>
      </w:tr>
    </w:tbl>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color w:val="000000"/>
          <w:sz w:val="22"/>
          <w:szCs w:val="22"/>
        </w:rPr>
        <w:t xml:space="preserve">注： 行数不够，可自行添加。</w:t>
      </w:r>
      <w:r/>
    </w:p>
    <w:p>
      <w:pPr>
        <w:pStyle w:val="711"/>
        <w:jc w:val="both"/>
        <w:spacing w:beforeAutospacing="0" w:afterAutospacing="0" w:line="480" w:lineRule="auto"/>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line="480" w:lineRule="auto"/>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center"/>
        <w:spacing w:beforeAutospacing="0" w:afterAutospacing="0"/>
        <w:rPr>
          <w:rFonts w:hint="eastAsia" w:ascii="宋体" w:hAnsi="宋体" w:eastAsia="宋体" w:cs="宋体"/>
          <w:sz w:val="22"/>
          <w:szCs w:val="22"/>
        </w:rPr>
      </w:pPr>
      <w:r/>
      <w:bookmarkStart w:id="212" w:name="_Hlt26955066"/>
      <w:r/>
      <w:bookmarkStart w:id="213" w:name="_Hlt26671374"/>
      <w:r/>
      <w:bookmarkStart w:id="214" w:name="_Toc462564146"/>
      <w:r/>
      <w:bookmarkStart w:id="215" w:name="_Hlt26609389"/>
      <w:r/>
      <w:bookmarkStart w:id="216" w:name="_格式2__法定代表人授权书"/>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pStyle w:val="711"/>
        <w:ind w:firstLine="2530"/>
        <w:jc w:val="both"/>
        <w:spacing w:beforeAutospacing="0" w:afterAutospacing="0"/>
        <w:rPr>
          <w:rFonts w:hint="eastAsia" w:ascii="宋体" w:hAnsi="宋体" w:eastAsia="宋体" w:cs="宋体"/>
          <w:b/>
          <w:i/>
          <w:color w:val="000000"/>
          <w:sz w:val="28"/>
          <w:szCs w:val="28"/>
          <w:u w:val="single"/>
        </w:rPr>
      </w:pPr>
      <w:r>
        <w:rPr>
          <w:rFonts w:hint="eastAsia" w:ascii="宋体" w:hAnsi="宋体" w:eastAsia="宋体" w:cs="宋体"/>
          <w:b/>
          <w:i/>
          <w:color w:val="000000"/>
          <w:sz w:val="28"/>
          <w:szCs w:val="28"/>
          <w:u w:val="single"/>
        </w:rPr>
      </w:r>
      <w:r/>
    </w:p>
    <w:p>
      <w:pPr>
        <w:pStyle w:val="711"/>
        <w:ind w:firstLine="2530"/>
        <w:jc w:val="both"/>
        <w:spacing w:beforeAutospacing="0" w:afterAutospacing="0"/>
        <w:rPr>
          <w:rFonts w:hint="eastAsia" w:ascii="宋体" w:hAnsi="宋体" w:eastAsia="宋体" w:cs="宋体"/>
          <w:b/>
          <w:i/>
          <w:color w:val="000000"/>
          <w:sz w:val="28"/>
          <w:szCs w:val="28"/>
          <w:u w:val="single"/>
        </w:rPr>
      </w:pPr>
      <w:r>
        <w:rPr>
          <w:rFonts w:hint="eastAsia" w:ascii="宋体" w:hAnsi="宋体" w:eastAsia="宋体" w:cs="宋体"/>
          <w:b/>
          <w:i/>
          <w:color w:val="000000"/>
          <w:sz w:val="28"/>
          <w:szCs w:val="28"/>
          <w:u w:val="single"/>
        </w:rPr>
      </w:r>
      <w:r/>
    </w:p>
    <w:p>
      <w:pPr>
        <w:pStyle w:val="711"/>
        <w:ind w:firstLine="2530"/>
        <w:jc w:val="both"/>
        <w:spacing w:beforeAutospacing="0" w:afterAutospacing="0"/>
        <w:rPr>
          <w:rFonts w:hint="eastAsia" w:ascii="宋体" w:hAnsi="宋体" w:eastAsia="宋体" w:cs="宋体"/>
          <w:b/>
          <w:i/>
          <w:color w:val="000000"/>
          <w:sz w:val="28"/>
          <w:szCs w:val="28"/>
          <w:u w:val="single"/>
        </w:rPr>
      </w:pPr>
      <w:r>
        <w:rPr>
          <w:rFonts w:hint="eastAsia" w:ascii="宋体" w:hAnsi="宋体" w:eastAsia="宋体" w:cs="宋体"/>
          <w:b/>
          <w:i/>
          <w:color w:val="000000"/>
          <w:sz w:val="28"/>
          <w:szCs w:val="28"/>
          <w:u w:val="single"/>
        </w:rPr>
      </w:r>
      <w:r/>
    </w:p>
    <w:p>
      <w:pPr>
        <w:pStyle w:val="711"/>
        <w:ind w:firstLine="2530"/>
        <w:jc w:val="both"/>
        <w:spacing w:beforeAutospacing="0" w:afterAutospacing="0"/>
        <w:rPr>
          <w:rFonts w:hint="eastAsia" w:ascii="宋体" w:hAnsi="宋体" w:eastAsia="宋体" w:cs="宋体"/>
          <w:sz w:val="22"/>
          <w:szCs w:val="22"/>
        </w:rPr>
      </w:pPr>
      <w:r>
        <w:rPr>
          <w:rFonts w:hint="eastAsia" w:ascii="宋体" w:hAnsi="宋体" w:eastAsia="宋体" w:cs="宋体"/>
          <w:b/>
          <w:i/>
          <w:color w:val="000000"/>
          <w:sz w:val="28"/>
          <w:szCs w:val="28"/>
          <w:u w:val="single"/>
        </w:rPr>
        <w:t xml:space="preserve">十五、开标一览表</w:t>
      </w:r>
      <w:r/>
    </w:p>
    <w:p>
      <w:pPr>
        <w:pStyle w:val="711"/>
        <w:ind w:firstLine="480"/>
        <w:jc w:val="both"/>
        <w:spacing w:beforeAutospacing="0" w:afterAutospacing="0"/>
        <w:rPr>
          <w:rFonts w:hint="eastAsia" w:ascii="宋体" w:hAnsi="宋体" w:eastAsia="宋体" w:cs="宋体"/>
          <w:sz w:val="22"/>
          <w:szCs w:val="22"/>
        </w:rPr>
      </w:pPr>
      <w:r>
        <w:rPr>
          <w:rFonts w:hint="eastAsia" w:ascii="宋体" w:hAnsi="宋体" w:eastAsia="宋体" w:cs="宋体"/>
          <w:color w:val="000000"/>
          <w:sz w:val="22"/>
          <w:szCs w:val="22"/>
        </w:rPr>
        <w:t xml:space="preserve">投标人全称（加盖CA电子签章）：</w:t>
      </w:r>
      <w:r/>
    </w:p>
    <w:p>
      <w:pPr>
        <w:pStyle w:val="711"/>
        <w:ind w:firstLine="480"/>
        <w:jc w:val="both"/>
        <w:spacing w:beforeAutospacing="0" w:afterAutospacing="0"/>
        <w:rPr>
          <w:rFonts w:hint="eastAsia" w:ascii="宋体" w:hAnsi="宋体" w:eastAsia="宋体" w:cs="宋体"/>
          <w:color w:val="000000"/>
          <w:sz w:val="22"/>
          <w:szCs w:val="22"/>
        </w:rPr>
      </w:pPr>
      <w:r>
        <w:rPr>
          <w:rFonts w:hint="eastAsia" w:ascii="宋体" w:hAnsi="宋体" w:eastAsia="宋体" w:cs="宋体"/>
          <w:color w:val="000000"/>
          <w:sz w:val="22"/>
          <w:szCs w:val="22"/>
        </w:rPr>
      </w:r>
      <w:r/>
    </w:p>
    <w:p>
      <w:pPr>
        <w:pStyle w:val="711"/>
        <w:ind w:firstLine="480"/>
        <w:jc w:val="both"/>
        <w:spacing w:beforeAutospacing="0" w:afterAutospacing="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项目名称：</w:t>
      </w:r>
      <w:r/>
    </w:p>
    <w:p>
      <w:pPr>
        <w:pStyle w:val="711"/>
        <w:ind w:firstLine="480"/>
        <w:jc w:val="both"/>
        <w:spacing w:beforeAutospacing="0" w:afterAutospacing="0"/>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招标编号：</w:t>
      </w:r>
      <w:r/>
    </w:p>
    <w:p>
      <w:pPr>
        <w:pStyle w:val="711"/>
        <w:jc w:val="both"/>
        <w:keepLines/>
        <w:keepNext w:val="0"/>
        <w:pageBreakBefore w:val="0"/>
        <w:spacing w:beforeAutospacing="0" w:afterAutospacing="0"/>
        <w:widowControl/>
        <w:rPr>
          <w:rFonts w:hint="eastAsia" w:ascii="宋体" w:hAnsi="宋体" w:eastAsia="宋体" w:cs="宋体"/>
          <w:sz w:val="22"/>
          <w:szCs w:val="22"/>
        </w:rPr>
      </w:pPr>
      <w:r>
        <w:rPr>
          <w:rFonts w:hint="eastAsia" w:ascii="宋体" w:hAnsi="宋体" w:eastAsia="宋体" w:cs="宋体"/>
          <w:color w:val="000000"/>
          <w:sz w:val="22"/>
          <w:szCs w:val="22"/>
        </w:rPr>
        <w:t xml:space="preserve">                   </w:t>
      </w:r>
      <w:r/>
    </w:p>
    <w:tbl>
      <w:tblPr>
        <w:tblStyle w:val="692"/>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  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11"/>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小写：</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 （人民币：</w:t>
            </w:r>
            <w:r>
              <w:rPr>
                <w:rFonts w:hint="eastAsia" w:ascii="宋体" w:hAnsi="宋体" w:eastAsia="宋体" w:cs="宋体"/>
                <w:color w:val="000000"/>
                <w:sz w:val="22"/>
                <w:szCs w:val="22"/>
                <w:u w:val="single"/>
                <w:lang w:val="en-US" w:eastAsia="zh-CN"/>
              </w:rPr>
              <w:t xml:space="preserve">     </w:t>
            </w:r>
            <w:r>
              <w:rPr>
                <w:rFonts w:hint="eastAsia" w:ascii="宋体" w:hAnsi="宋体" w:eastAsia="宋体" w:cs="宋体"/>
                <w:color w:val="000000"/>
                <w:sz w:val="22"/>
                <w:szCs w:val="22"/>
                <w:u w:val="single"/>
              </w:rPr>
              <w:t xml:space="preserve">元</w:t>
            </w:r>
            <w:r>
              <w:rPr>
                <w:rFonts w:hint="eastAsia" w:ascii="宋体" w:hAnsi="宋体" w:eastAsia="宋体" w:cs="宋体"/>
                <w:color w:val="000000"/>
                <w:sz w:val="22"/>
                <w:szCs w:val="22"/>
              </w:rPr>
              <w:t xml:space="preserve">）</w:t>
            </w:r>
            <w:r/>
          </w:p>
        </w:tc>
      </w:tr>
    </w:tbl>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ind w:firstLine="480"/>
        <w:jc w:val="both"/>
        <w:spacing w:beforeAutospacing="0" w:afterAutospacing="0"/>
        <w:rPr>
          <w:rFonts w:hint="eastAsia" w:ascii="宋体" w:hAnsi="宋体" w:eastAsia="宋体" w:cs="宋体"/>
          <w:sz w:val="22"/>
          <w:szCs w:val="22"/>
        </w:rPr>
      </w:pPr>
      <w:r>
        <w:rPr>
          <w:rFonts w:hint="eastAsia" w:ascii="宋体" w:hAnsi="宋体" w:eastAsia="宋体" w:cs="宋体"/>
          <w:color w:val="000000"/>
          <w:sz w:val="22"/>
          <w:szCs w:val="22"/>
        </w:rPr>
        <w:t xml:space="preserve">                                              日期：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年</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月</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日</w:t>
      </w:r>
      <w:r/>
    </w:p>
    <w:p>
      <w:pPr>
        <w:pStyle w:val="711"/>
        <w:ind w:firstLine="480"/>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pStyle w:val="711"/>
        <w:jc w:val="both"/>
        <w:spacing w:beforeAutospacing="0" w:afterAutospacing="0" w:line="0" w:lineRule="atLeast"/>
        <w:rPr>
          <w:rFonts w:hint="eastAsia" w:ascii="宋体" w:hAnsi="宋体" w:eastAsia="宋体" w:cs="宋体"/>
          <w:sz w:val="22"/>
          <w:szCs w:val="22"/>
        </w:rPr>
      </w:pPr>
      <w:r>
        <w:rPr>
          <w:rFonts w:hint="eastAsia" w:ascii="宋体" w:hAnsi="宋体" w:eastAsia="宋体" w:cs="宋体"/>
          <w:color w:val="000000"/>
          <w:sz w:val="22"/>
          <w:szCs w:val="22"/>
        </w:rPr>
        <w:t xml:space="preserve">                                           </w:t>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jc w:val="center"/>
        <w:spacing w:before="50" w:after="50"/>
        <w:widowControl/>
        <w:rPr>
          <w:rFonts w:hint="eastAsia" w:ascii="宋体" w:hAnsi="宋体" w:eastAsia="宋体" w:cs="宋体"/>
          <w:sz w:val="20"/>
          <w:szCs w:val="22"/>
        </w:rPr>
      </w:pPr>
      <w:r>
        <w:rPr>
          <w:rFonts w:hint="eastAsia" w:ascii="宋体" w:hAnsi="宋体" w:eastAsia="宋体" w:cs="宋体"/>
          <w:sz w:val="20"/>
          <w:szCs w:val="22"/>
        </w:rPr>
        <w:tab/>
      </w:r>
      <w:r/>
    </w:p>
    <w:p>
      <w:pPr>
        <w:jc w:val="center"/>
        <w:spacing w:before="50" w:after="50"/>
        <w:widowControl/>
        <w:rPr>
          <w:rFonts w:hint="eastAsia" w:ascii="宋体" w:hAnsi="宋体" w:eastAsia="宋体" w:cs="宋体"/>
          <w:sz w:val="20"/>
          <w:szCs w:val="22"/>
        </w:rPr>
      </w:pPr>
      <w:r>
        <w:rPr>
          <w:rFonts w:hint="eastAsia" w:ascii="宋体" w:hAnsi="宋体" w:eastAsia="宋体" w:cs="宋体"/>
          <w:sz w:val="20"/>
          <w:szCs w:val="22"/>
        </w:rPr>
      </w:r>
      <w:r/>
    </w:p>
    <w:p>
      <w:pPr>
        <w:jc w:val="center"/>
        <w:spacing w:before="50" w:after="50"/>
        <w:widowControl/>
        <w:rPr>
          <w:rFonts w:hint="eastAsia" w:ascii="宋体" w:hAnsi="宋体" w:eastAsia="宋体" w:cs="宋体"/>
          <w:sz w:val="20"/>
          <w:szCs w:val="22"/>
        </w:rPr>
      </w:pPr>
      <w:r>
        <w:rPr>
          <w:rFonts w:hint="eastAsia" w:ascii="宋体" w:hAnsi="宋体" w:eastAsia="宋体" w:cs="宋体"/>
          <w:sz w:val="20"/>
          <w:szCs w:val="22"/>
        </w:rPr>
      </w:r>
      <w:r/>
    </w:p>
    <w:p>
      <w:pPr>
        <w:jc w:val="center"/>
        <w:spacing w:before="50" w:after="50"/>
        <w:widowControl/>
        <w:rPr>
          <w:rFonts w:hint="eastAsia" w:ascii="宋体" w:hAnsi="宋体" w:eastAsia="宋体" w:cs="宋体"/>
          <w:sz w:val="20"/>
          <w:szCs w:val="22"/>
        </w:rPr>
      </w:pPr>
      <w:r>
        <w:rPr>
          <w:rFonts w:hint="eastAsia" w:ascii="宋体" w:hAnsi="宋体" w:eastAsia="宋体" w:cs="宋体"/>
          <w:sz w:val="20"/>
          <w:szCs w:val="22"/>
        </w:rPr>
      </w:r>
      <w:r/>
    </w:p>
    <w:p>
      <w:pPr>
        <w:jc w:val="center"/>
        <w:spacing w:before="50" w:after="50"/>
        <w:widowControl/>
        <w:rPr>
          <w:rFonts w:hint="eastAsia" w:ascii="宋体" w:hAnsi="宋体" w:eastAsia="宋体" w:cs="宋体"/>
          <w:sz w:val="20"/>
          <w:szCs w:val="22"/>
        </w:rPr>
      </w:pPr>
      <w:r>
        <w:rPr>
          <w:rFonts w:hint="eastAsia" w:ascii="宋体" w:hAnsi="宋体" w:eastAsia="宋体" w:cs="宋体"/>
          <w:sz w:val="20"/>
          <w:szCs w:val="22"/>
        </w:rPr>
      </w:r>
      <w:r/>
    </w:p>
    <w:p>
      <w:pPr>
        <w:jc w:val="center"/>
        <w:spacing w:before="50" w:after="50"/>
        <w:widowControl/>
        <w:rPr>
          <w:rFonts w:hint="eastAsia" w:ascii="宋体" w:hAnsi="宋体" w:eastAsia="宋体" w:cs="宋体"/>
          <w:sz w:val="20"/>
          <w:szCs w:val="22"/>
        </w:rPr>
      </w:pPr>
      <w:r>
        <w:rPr>
          <w:rFonts w:hint="eastAsia" w:ascii="宋体" w:hAnsi="宋体" w:eastAsia="宋体" w:cs="宋体"/>
          <w:sz w:val="20"/>
          <w:szCs w:val="22"/>
        </w:rPr>
      </w:r>
      <w:r/>
    </w:p>
    <w:p>
      <w:pPr>
        <w:jc w:val="center"/>
        <w:spacing w:before="50" w:after="50"/>
        <w:widowControl/>
        <w:rPr>
          <w:rFonts w:hint="eastAsia" w:ascii="宋体" w:hAnsi="宋体" w:eastAsia="宋体" w:cs="宋体"/>
          <w:sz w:val="20"/>
          <w:szCs w:val="22"/>
        </w:rPr>
      </w:pPr>
      <w:r>
        <w:rPr>
          <w:rFonts w:hint="eastAsia" w:ascii="宋体" w:hAnsi="宋体" w:eastAsia="宋体" w:cs="宋体"/>
          <w:sz w:val="20"/>
          <w:szCs w:val="22"/>
        </w:rPr>
      </w:r>
      <w:r/>
    </w:p>
    <w:p>
      <w:pPr>
        <w:jc w:val="center"/>
        <w:spacing w:before="50" w:after="50"/>
        <w:widowControl/>
        <w:rPr>
          <w:rFonts w:hint="eastAsia" w:ascii="宋体" w:hAnsi="宋体" w:eastAsia="宋体" w:cs="宋体"/>
          <w:sz w:val="20"/>
          <w:szCs w:val="22"/>
        </w:rPr>
      </w:pPr>
      <w:r>
        <w:rPr>
          <w:rFonts w:hint="eastAsia" w:ascii="宋体" w:hAnsi="宋体" w:eastAsia="宋体" w:cs="宋体"/>
          <w:sz w:val="20"/>
          <w:szCs w:val="22"/>
        </w:rPr>
      </w:r>
      <w:r/>
    </w:p>
    <w:p>
      <w:pPr>
        <w:jc w:val="center"/>
        <w:spacing w:before="50" w:after="50"/>
        <w:widowControl/>
        <w:rPr>
          <w:rFonts w:hint="eastAsia" w:ascii="宋体" w:hAnsi="宋体" w:eastAsia="宋体" w:cs="宋体"/>
          <w:sz w:val="20"/>
          <w:szCs w:val="22"/>
        </w:rPr>
      </w:pPr>
      <w:r>
        <w:rPr>
          <w:rFonts w:hint="eastAsia" w:ascii="宋体" w:hAnsi="宋体" w:eastAsia="宋体" w:cs="宋体"/>
          <w:sz w:val="20"/>
          <w:szCs w:val="22"/>
        </w:rPr>
      </w:r>
      <w:r/>
    </w:p>
    <w:p>
      <w:pPr>
        <w:jc w:val="center"/>
        <w:spacing w:before="50" w:after="50"/>
        <w:widowControl/>
        <w:rPr>
          <w:rFonts w:hint="eastAsia" w:ascii="宋体" w:hAnsi="宋体" w:eastAsia="宋体" w:cs="宋体"/>
          <w:sz w:val="20"/>
          <w:szCs w:val="22"/>
        </w:rPr>
      </w:pPr>
      <w:r>
        <w:rPr>
          <w:rFonts w:hint="eastAsia" w:ascii="宋体" w:hAnsi="宋体" w:eastAsia="宋体" w:cs="宋体"/>
          <w:sz w:val="20"/>
          <w:szCs w:val="22"/>
        </w:rPr>
      </w:r>
      <w:r/>
    </w:p>
    <w:p>
      <w:pPr>
        <w:jc w:val="center"/>
        <w:spacing w:before="50" w:after="50"/>
        <w:widowControl/>
        <w:rPr>
          <w:rFonts w:hint="eastAsia" w:ascii="宋体" w:hAnsi="宋体" w:eastAsia="宋体" w:cs="宋体"/>
          <w:sz w:val="20"/>
          <w:szCs w:val="22"/>
        </w:rPr>
      </w:pPr>
      <w:r>
        <w:rPr>
          <w:rFonts w:hint="eastAsia" w:ascii="宋体" w:hAnsi="宋体" w:eastAsia="宋体" w:cs="宋体"/>
          <w:sz w:val="20"/>
          <w:szCs w:val="22"/>
        </w:rPr>
      </w:r>
      <w:r/>
    </w:p>
    <w:p>
      <w:pPr>
        <w:jc w:val="center"/>
        <w:spacing w:before="50" w:after="50"/>
        <w:widowControl/>
        <w:rPr>
          <w:rFonts w:hint="eastAsia" w:ascii="宋体" w:hAnsi="宋体" w:eastAsia="宋体" w:cs="宋体"/>
          <w:sz w:val="20"/>
          <w:szCs w:val="22"/>
        </w:rPr>
      </w:pPr>
      <w:r>
        <w:rPr>
          <w:rFonts w:hint="eastAsia" w:ascii="宋体" w:hAnsi="宋体" w:eastAsia="宋体" w:cs="宋体"/>
          <w:sz w:val="20"/>
          <w:szCs w:val="22"/>
        </w:rPr>
      </w:r>
      <w:r/>
    </w:p>
    <w:p>
      <w:pPr>
        <w:jc w:val="center"/>
        <w:spacing w:before="50" w:after="50"/>
        <w:widowControl/>
        <w:rPr>
          <w:rFonts w:hint="eastAsia" w:ascii="宋体" w:hAnsi="宋体" w:eastAsia="宋体" w:cs="宋体"/>
          <w:sz w:val="20"/>
          <w:szCs w:val="22"/>
        </w:rPr>
      </w:pPr>
      <w:r>
        <w:rPr>
          <w:rFonts w:hint="eastAsia" w:ascii="宋体" w:hAnsi="宋体" w:eastAsia="宋体" w:cs="宋体"/>
          <w:sz w:val="20"/>
          <w:szCs w:val="22"/>
        </w:rPr>
      </w:r>
      <w:r/>
    </w:p>
    <w:p>
      <w:pPr>
        <w:jc w:val="center"/>
        <w:spacing w:before="50" w:after="50"/>
        <w:widowControl/>
        <w:rPr>
          <w:rFonts w:hint="eastAsia" w:ascii="宋体" w:hAnsi="宋体" w:eastAsia="宋体" w:cs="宋体"/>
          <w:sz w:val="20"/>
          <w:szCs w:val="22"/>
        </w:rPr>
      </w:pPr>
      <w:r>
        <w:rPr>
          <w:rFonts w:hint="eastAsia" w:ascii="宋体" w:hAnsi="宋体" w:eastAsia="宋体" w:cs="宋体"/>
          <w:sz w:val="20"/>
          <w:szCs w:val="22"/>
        </w:rPr>
      </w:r>
      <w:r/>
    </w:p>
    <w:p>
      <w:pPr>
        <w:jc w:val="center"/>
        <w:spacing w:before="50" w:after="50"/>
        <w:widowControl/>
        <w:rPr>
          <w:rFonts w:hint="eastAsia" w:ascii="宋体" w:hAnsi="宋体" w:eastAsia="宋体" w:cs="宋体"/>
          <w:sz w:val="20"/>
          <w:szCs w:val="22"/>
        </w:rPr>
      </w:pPr>
      <w:r>
        <w:rPr>
          <w:rFonts w:hint="eastAsia" w:ascii="宋体" w:hAnsi="宋体" w:eastAsia="宋体" w:cs="宋体"/>
          <w:sz w:val="20"/>
          <w:szCs w:val="22"/>
        </w:rPr>
      </w:r>
      <w:r/>
    </w:p>
    <w:p>
      <w:pPr>
        <w:jc w:val="center"/>
        <w:spacing w:before="50" w:after="50"/>
        <w:widowControl/>
        <w:rPr>
          <w:rFonts w:hint="eastAsia" w:ascii="宋体" w:hAnsi="宋体" w:eastAsia="宋体" w:cs="宋体"/>
          <w:sz w:val="20"/>
          <w:szCs w:val="22"/>
        </w:rPr>
      </w:pPr>
      <w:r>
        <w:rPr>
          <w:rFonts w:hint="eastAsia" w:ascii="宋体" w:hAnsi="宋体" w:eastAsia="宋体" w:cs="宋体"/>
          <w:sz w:val="20"/>
          <w:szCs w:val="22"/>
        </w:rPr>
      </w:r>
      <w:r/>
    </w:p>
    <w:p>
      <w:pPr>
        <w:jc w:val="center"/>
        <w:spacing w:before="50" w:after="50"/>
        <w:widowControl/>
        <w:rPr>
          <w:rFonts w:hint="eastAsia" w:ascii="宋体" w:hAnsi="宋体" w:eastAsia="宋体" w:cs="宋体"/>
          <w:sz w:val="20"/>
          <w:szCs w:val="22"/>
        </w:rPr>
      </w:pPr>
      <w:r>
        <w:rPr>
          <w:rFonts w:hint="eastAsia" w:ascii="宋体" w:hAnsi="宋体" w:eastAsia="宋体" w:cs="宋体"/>
          <w:sz w:val="20"/>
          <w:szCs w:val="22"/>
        </w:rPr>
      </w:r>
      <w:r/>
    </w:p>
    <w:p>
      <w:pPr>
        <w:jc w:val="center"/>
        <w:spacing w:before="50" w:after="50"/>
        <w:widowControl/>
        <w:rPr>
          <w:rFonts w:hint="eastAsia" w:ascii="宋体" w:hAnsi="宋体" w:eastAsia="宋体" w:cs="宋体"/>
          <w:sz w:val="20"/>
          <w:szCs w:val="22"/>
        </w:rPr>
      </w:pPr>
      <w:r>
        <w:rPr>
          <w:rFonts w:hint="eastAsia" w:ascii="宋体" w:hAnsi="宋体" w:eastAsia="宋体" w:cs="宋体"/>
          <w:sz w:val="20"/>
          <w:szCs w:val="22"/>
        </w:rPr>
      </w:r>
      <w:r/>
    </w:p>
    <w:p>
      <w:pPr>
        <w:jc w:val="center"/>
        <w:spacing w:before="50" w:after="50"/>
        <w:widowControl/>
        <w:rPr>
          <w:rFonts w:hint="eastAsia" w:ascii="宋体" w:hAnsi="宋体" w:eastAsia="宋体" w:cs="宋体"/>
          <w:sz w:val="20"/>
          <w:szCs w:val="22"/>
        </w:rPr>
      </w:pPr>
      <w:r>
        <w:rPr>
          <w:rFonts w:hint="eastAsia" w:ascii="宋体" w:hAnsi="宋体" w:eastAsia="宋体" w:cs="宋体"/>
          <w:sz w:val="20"/>
          <w:szCs w:val="22"/>
        </w:rPr>
      </w:r>
      <w:r/>
    </w:p>
    <w:p>
      <w:pPr>
        <w:jc w:val="center"/>
        <w:spacing w:before="50" w:after="50"/>
        <w:widowControl/>
        <w:rPr>
          <w:rFonts w:hint="eastAsia" w:ascii="宋体" w:hAnsi="宋体" w:eastAsia="宋体" w:cs="宋体"/>
          <w:sz w:val="20"/>
          <w:szCs w:val="22"/>
        </w:rPr>
      </w:pPr>
      <w:r>
        <w:rPr>
          <w:rFonts w:hint="eastAsia" w:ascii="宋体" w:hAnsi="宋体" w:eastAsia="宋体" w:cs="宋体"/>
          <w:sz w:val="20"/>
          <w:szCs w:val="22"/>
        </w:rPr>
      </w:r>
      <w:r/>
    </w:p>
    <w:p>
      <w:pPr>
        <w:jc w:val="center"/>
        <w:spacing w:before="50" w:after="50"/>
        <w:widowControl/>
        <w:rPr>
          <w:rFonts w:hint="eastAsia" w:ascii="宋体" w:hAnsi="宋体" w:eastAsia="宋体" w:cs="宋体"/>
          <w:sz w:val="20"/>
          <w:szCs w:val="22"/>
        </w:rPr>
      </w:pPr>
      <w:r>
        <w:rPr>
          <w:rFonts w:hint="eastAsia" w:ascii="宋体" w:hAnsi="宋体" w:eastAsia="宋体" w:cs="宋体"/>
          <w:sz w:val="20"/>
          <w:szCs w:val="22"/>
        </w:rPr>
      </w:r>
      <w:r/>
    </w:p>
    <w:p>
      <w:pPr>
        <w:jc w:val="center"/>
        <w:spacing w:before="50" w:after="50"/>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before="50" w:after="50"/>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before="50" w:after="50"/>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before="50" w:after="50"/>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before="50" w:after="50"/>
        <w:widowControl/>
        <w:rPr>
          <w:rFonts w:hint="eastAsia" w:ascii="宋体" w:hAnsi="宋体" w:eastAsia="宋体" w:cs="宋体"/>
          <w:sz w:val="22"/>
          <w:szCs w:val="22"/>
        </w:rPr>
      </w:pPr>
      <w:r>
        <w:rPr>
          <w:rFonts w:hint="eastAsia" w:ascii="宋体" w:hAnsi="宋体" w:eastAsia="宋体" w:cs="宋体"/>
          <w:color w:val="000000"/>
          <w:sz w:val="28"/>
          <w:szCs w:val="28"/>
          <w:highlight w:val="none"/>
        </w:rPr>
      </w:r>
      <w:r>
        <w:rPr>
          <w:rFonts w:hint="eastAsia" w:ascii="宋体" w:hAnsi="宋体" w:eastAsia="宋体" w:cs="宋体"/>
          <w:color w:val="000000"/>
          <w:sz w:val="28"/>
          <w:szCs w:val="28"/>
          <w:highlight w:val="none"/>
        </w:rPr>
      </w:r>
      <w:r/>
    </w:p>
    <w:p>
      <w:pPr>
        <w:jc w:val="center"/>
        <w:spacing w:before="50" w:after="50"/>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rPr>
          <w:rFonts w:hint="eastAsia" w:ascii="宋体" w:hAnsi="宋体" w:eastAsia="宋体" w:cs="宋体"/>
          <w:color w:val="000000"/>
          <w:sz w:val="28"/>
          <w:szCs w:val="28"/>
          <w:highlight w:val="none"/>
        </w:rPr>
      </w:r>
      <w:r/>
    </w:p>
    <w:p>
      <w:pPr>
        <w:jc w:val="center"/>
        <w:spacing w:before="50" w:after="50"/>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rPr>
          <w:rFonts w:hint="eastAsia" w:ascii="宋体" w:hAnsi="宋体" w:eastAsia="宋体" w:cs="宋体"/>
          <w:color w:val="000000"/>
          <w:sz w:val="28"/>
          <w:szCs w:val="28"/>
          <w:highlight w:val="none"/>
        </w:rPr>
      </w:r>
      <w:r/>
    </w:p>
    <w:p>
      <w:pPr>
        <w:jc w:val="center"/>
        <w:spacing w:before="50" w:after="50"/>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rPr>
        <w:t xml:space="preserve">十六、技术方案</w:t>
      </w:r>
      <w:r/>
    </w:p>
    <w:p>
      <w:pPr>
        <w:pStyle w:val="711"/>
        <w:jc w:val="both"/>
        <w:spacing w:beforeAutospacing="0" w:afterAutospacing="0"/>
        <w:tabs>
          <w:tab w:val="left" w:pos="2160" w:leader="none"/>
        </w:tabs>
        <w:rPr>
          <w:rFonts w:hint="eastAsia" w:ascii="宋体" w:hAnsi="宋体" w:eastAsia="宋体" w:cs="宋体"/>
          <w:sz w:val="22"/>
          <w:szCs w:val="22"/>
        </w:rPr>
      </w:pPr>
      <w:r>
        <w:rPr>
          <w:rFonts w:hint="eastAsia" w:ascii="宋体" w:hAnsi="宋体" w:eastAsia="宋体" w:cs="宋体"/>
          <w:sz w:val="22"/>
          <w:szCs w:val="22"/>
        </w:rPr>
      </w:r>
      <w:r/>
    </w:p>
    <w:p>
      <w:pPr>
        <w:ind w:firstLine="1600"/>
        <w:spacing w:line="499"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600"/>
        <w:spacing w:line="499"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600"/>
        <w:spacing w:line="499"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600"/>
        <w:spacing w:line="499"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600"/>
        <w:spacing w:line="499"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600"/>
        <w:spacing w:line="499"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600"/>
        <w:spacing w:line="499"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600"/>
        <w:spacing w:line="499"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600"/>
        <w:spacing w:line="499"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600"/>
        <w:spacing w:line="499"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600"/>
        <w:spacing w:line="499"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600"/>
        <w:spacing w:line="499"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600"/>
        <w:spacing w:line="499"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600"/>
        <w:spacing w:line="499"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600"/>
        <w:spacing w:line="499"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600"/>
        <w:spacing w:line="499"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600"/>
        <w:spacing w:line="499"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600"/>
        <w:spacing w:line="499"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600"/>
        <w:spacing w:line="499"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600"/>
        <w:spacing w:line="499"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600"/>
        <w:spacing w:line="499"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600"/>
        <w:spacing w:line="499"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600"/>
        <w:spacing w:line="499"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600"/>
        <w:spacing w:line="499"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0"/>
        <w:spacing w:line="499" w:lineRule="atLeas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line="499" w:lineRule="atLeast"/>
        <w:widowControl/>
        <w:rPr>
          <w:rFonts w:hint="eastAsia" w:ascii="宋体" w:hAnsi="宋体" w:eastAsia="宋体" w:cs="宋体"/>
          <w:sz w:val="22"/>
          <w:szCs w:val="22"/>
        </w:rPr>
      </w:pPr>
      <w:r>
        <w:rPr>
          <w:rFonts w:hint="eastAsia" w:ascii="宋体" w:hAnsi="宋体" w:eastAsia="宋体" w:cs="宋体"/>
          <w:color w:val="000000"/>
          <w:sz w:val="28"/>
          <w:szCs w:val="28"/>
        </w:rPr>
        <w:t xml:space="preserve">十七、盐城市</w:t>
      </w:r>
      <w:r>
        <w:rPr>
          <w:rFonts w:hint="eastAsia" w:ascii="宋体" w:hAnsi="宋体" w:eastAsia="宋体" w:cs="宋体"/>
          <w:color w:val="000000"/>
          <w:sz w:val="28"/>
          <w:szCs w:val="28"/>
          <w:lang w:eastAsia="zh-CN"/>
        </w:rPr>
        <w:t xml:space="preserve">亭湖区</w:t>
      </w:r>
      <w:r>
        <w:rPr>
          <w:rFonts w:hint="eastAsia" w:ascii="宋体" w:hAnsi="宋体" w:eastAsia="宋体" w:cs="宋体"/>
          <w:color w:val="000000"/>
          <w:sz w:val="28"/>
          <w:szCs w:val="28"/>
        </w:rPr>
        <w:t xml:space="preserve">政府采购事前信用承诺书</w:t>
      </w:r>
      <w:r/>
    </w:p>
    <w:p>
      <w:pPr>
        <w:ind w:firstLine="640"/>
        <w:jc w:val="left"/>
        <w:spacing w:line="499" w:lineRule="atLeast"/>
        <w:widowControl/>
        <w:rPr>
          <w:rFonts w:hint="eastAsia" w:ascii="宋体" w:hAnsi="宋体" w:eastAsia="宋体" w:cs="宋体"/>
          <w:sz w:val="22"/>
          <w:szCs w:val="22"/>
        </w:rPr>
      </w:pPr>
      <w:r>
        <w:rPr>
          <w:rFonts w:hint="eastAsia" w:ascii="宋体" w:hAnsi="宋体" w:eastAsia="宋体" w:cs="宋体"/>
          <w:color w:val="000000"/>
          <w:sz w:val="28"/>
          <w:szCs w:val="28"/>
        </w:rPr>
        <w:t xml:space="preserve"> </w:t>
      </w:r>
      <w:r/>
    </w:p>
    <w:p>
      <w:pPr>
        <w:ind w:firstLine="480"/>
        <w:jc w:val="left"/>
        <w:spacing w:line="499" w:lineRule="atLeast"/>
        <w:widowControl/>
        <w:rPr>
          <w:rFonts w:hint="eastAsia" w:ascii="宋体" w:hAnsi="宋体" w:eastAsia="宋体" w:cs="宋体"/>
          <w:sz w:val="22"/>
          <w:szCs w:val="22"/>
        </w:rPr>
      </w:pPr>
      <w:r>
        <w:rPr>
          <w:rFonts w:hint="eastAsia" w:ascii="宋体" w:hAnsi="宋体" w:eastAsia="宋体" w:cs="宋体"/>
          <w:color w:val="000000"/>
          <w:sz w:val="22"/>
          <w:szCs w:val="22"/>
        </w:rPr>
        <w:t xml:space="preserve">为营造我区公开、公平、公正、诚实守信的政府采购交易环境，树立诚信守法的投标人形象，本人代表本单位作出以下承诺：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2"/>
          <w:szCs w:val="22"/>
        </w:rPr>
      </w:pPr>
      <w:r>
        <w:rPr>
          <w:rFonts w:hint="eastAsia" w:ascii="宋体" w:hAnsi="宋体" w:eastAsia="宋体" w:cs="宋体"/>
          <w:color w:val="000000"/>
          <w:sz w:val="22"/>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2"/>
          <w:szCs w:val="22"/>
        </w:rPr>
      </w:pPr>
      <w:r>
        <w:rPr>
          <w:rFonts w:hint="eastAsia" w:ascii="宋体" w:hAnsi="宋体" w:eastAsia="宋体" w:cs="宋体"/>
          <w:color w:val="000000"/>
          <w:sz w:val="22"/>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2"/>
          <w:szCs w:val="22"/>
        </w:rPr>
      </w:pPr>
      <w:r>
        <w:rPr>
          <w:rFonts w:hint="eastAsia" w:ascii="宋体" w:hAnsi="宋体" w:eastAsia="宋体" w:cs="宋体"/>
          <w:color w:val="000000"/>
          <w:sz w:val="22"/>
          <w:szCs w:val="22"/>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2"/>
          <w:szCs w:val="22"/>
        </w:rPr>
      </w:pPr>
      <w:r>
        <w:rPr>
          <w:rFonts w:hint="eastAsia" w:ascii="宋体" w:hAnsi="宋体" w:eastAsia="宋体" w:cs="宋体"/>
          <w:color w:val="000000"/>
          <w:sz w:val="22"/>
          <w:szCs w:val="22"/>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eastAsia="宋体" w:cs="宋体"/>
          <w:sz w:val="22"/>
          <w:szCs w:val="22"/>
        </w:rPr>
      </w:pPr>
      <w:r>
        <w:rPr>
          <w:rFonts w:hint="eastAsia" w:ascii="宋体" w:hAnsi="宋体" w:eastAsia="宋体" w:cs="宋体"/>
          <w:color w:val="000000"/>
          <w:sz w:val="22"/>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2"/>
          <w:szCs w:val="22"/>
        </w:rPr>
      </w:pPr>
      <w:r>
        <w:rPr>
          <w:rFonts w:hint="eastAsia" w:ascii="宋体" w:hAnsi="宋体" w:eastAsia="宋体" w:cs="宋体"/>
          <w:color w:val="000000"/>
          <w:sz w:val="22"/>
          <w:szCs w:val="22"/>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2"/>
          <w:szCs w:val="22"/>
        </w:rPr>
      </w:pPr>
      <w:r>
        <w:rPr>
          <w:rFonts w:hint="eastAsia" w:ascii="宋体" w:hAnsi="宋体" w:eastAsia="宋体" w:cs="宋体"/>
          <w:color w:val="000000"/>
          <w:sz w:val="22"/>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2"/>
          <w:szCs w:val="22"/>
        </w:rPr>
      </w:pPr>
      <w:r>
        <w:rPr>
          <w:rFonts w:hint="eastAsia" w:ascii="宋体" w:hAnsi="宋体" w:eastAsia="宋体" w:cs="宋体"/>
          <w:color w:val="000000"/>
          <w:sz w:val="22"/>
          <w:szCs w:val="22"/>
        </w:rPr>
        <w:t xml:space="preserve">   （八）本人已认真阅读了上述承诺，并向本单位员工作了宣传教育。</w:t>
      </w:r>
      <w:r/>
    </w:p>
    <w:p>
      <w:pPr>
        <w:jc w:val="left"/>
        <w:spacing w:line="499" w:lineRule="atLeast"/>
        <w:widowControl/>
        <w:rPr>
          <w:rFonts w:hint="eastAsia" w:ascii="宋体" w:hAnsi="宋体" w:eastAsia="宋体" w:cs="宋体"/>
          <w:sz w:val="22"/>
          <w:szCs w:val="22"/>
        </w:rPr>
      </w:pPr>
      <w:r>
        <w:rPr>
          <w:rFonts w:hint="eastAsia" w:ascii="宋体" w:hAnsi="宋体" w:eastAsia="宋体" w:cs="宋体"/>
          <w:color w:val="000000"/>
          <w:sz w:val="22"/>
          <w:szCs w:val="22"/>
        </w:rPr>
        <w:t xml:space="preserve">                  法定代表人（签字或盖章）：</w:t>
      </w:r>
      <w:r/>
    </w:p>
    <w:p>
      <w:pPr>
        <w:jc w:val="center"/>
        <w:spacing w:line="499" w:lineRule="atLeast"/>
        <w:widowControl/>
        <w:rPr>
          <w:rFonts w:hint="eastAsia" w:ascii="宋体" w:hAnsi="宋体" w:eastAsia="宋体" w:cs="宋体"/>
          <w:sz w:val="22"/>
          <w:szCs w:val="22"/>
        </w:rPr>
      </w:pPr>
      <w:r>
        <w:rPr>
          <w:rFonts w:hint="eastAsia" w:ascii="宋体" w:hAnsi="宋体" w:eastAsia="宋体" w:cs="宋体"/>
          <w:color w:val="000000"/>
          <w:sz w:val="22"/>
          <w:szCs w:val="22"/>
        </w:rPr>
        <w:t xml:space="preserve">                   单位名称（盖章）：</w:t>
      </w:r>
      <w:r/>
    </w:p>
    <w:p>
      <w:pPr>
        <w:jc w:val="center"/>
        <w:spacing w:line="499" w:lineRule="atLeast"/>
        <w:widowControl/>
        <w:rPr>
          <w:rFonts w:hint="eastAsia" w:ascii="宋体" w:hAnsi="宋体" w:eastAsia="宋体" w:cs="宋体"/>
          <w:sz w:val="22"/>
          <w:szCs w:val="22"/>
        </w:rPr>
      </w:pPr>
      <w:r>
        <w:rPr>
          <w:rFonts w:hint="eastAsia" w:ascii="宋体" w:hAnsi="宋体" w:eastAsia="宋体" w:cs="宋体"/>
          <w:color w:val="000000"/>
          <w:sz w:val="22"/>
          <w:szCs w:val="22"/>
        </w:rPr>
        <w:t xml:space="preserve">                      年月日</w:t>
      </w:r>
      <w:bookmarkEnd w:id="40"/>
      <w:r/>
      <w:bookmarkEnd w:id="75"/>
      <w:r/>
      <w:bookmarkEnd w:id="76"/>
      <w:r/>
      <w:bookmarkEnd w:id="77"/>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7"/>
      <w:r/>
      <w:bookmarkEnd w:id="108"/>
      <w:r/>
      <w:bookmarkEnd w:id="109"/>
      <w:r/>
      <w:bookmarkEnd w:id="114"/>
      <w:r/>
      <w:bookmarkEnd w:id="115"/>
      <w:r/>
      <w:bookmarkEnd w:id="122"/>
      <w:r/>
      <w:bookmarkEnd w:id="192"/>
      <w:r/>
      <w:bookmarkEnd w:id="193"/>
      <w:r/>
      <w:bookmarkEnd w:id="197"/>
      <w:r/>
      <w:bookmarkEnd w:id="198"/>
      <w:r/>
      <w:bookmarkEnd w:id="200"/>
      <w:r/>
      <w:bookmarkEnd w:id="201"/>
      <w:r/>
      <w:bookmarkEnd w:id="202"/>
      <w:r/>
      <w:bookmarkEnd w:id="203"/>
      <w:r/>
      <w:bookmarkEnd w:id="212"/>
      <w:r/>
      <w:bookmarkEnd w:id="213"/>
      <w:r/>
      <w:bookmarkEnd w:id="214"/>
      <w:r/>
      <w:bookmarkEnd w:id="215"/>
      <w:r/>
      <w:bookmarkEnd w:id="216"/>
      <w:r/>
      <w:r/>
    </w:p>
    <w:p>
      <w:pPr>
        <w:pStyle w:val="711"/>
        <w:jc w:val="center"/>
        <w:spacing w:beforeAutospacing="0" w:afterAutospacing="0"/>
        <w:rPr>
          <w:rFonts w:hint="eastAsia" w:ascii="宋体" w:hAnsi="宋体" w:eastAsia="宋体" w:cs="宋体"/>
          <w:sz w:val="22"/>
          <w:szCs w:val="22"/>
        </w:rPr>
      </w:pPr>
      <w:r>
        <w:rPr>
          <w:rFonts w:hint="eastAsia" w:ascii="宋体" w:hAnsi="宋体" w:eastAsia="宋体" w:cs="宋体"/>
          <w:sz w:val="22"/>
          <w:szCs w:val="22"/>
        </w:rPr>
      </w:r>
      <w:r/>
    </w:p>
    <w:p>
      <w:pPr>
        <w:rPr>
          <w:rFonts w:hint="eastAsia" w:ascii="宋体" w:hAnsi="宋体" w:eastAsia="宋体" w:cs="宋体"/>
          <w:sz w:val="20"/>
          <w:szCs w:val="22"/>
        </w:rPr>
      </w:pPr>
      <w:r>
        <w:rPr>
          <w:rFonts w:hint="eastAsia" w:ascii="宋体" w:hAnsi="宋体" w:eastAsia="宋体" w:cs="宋体"/>
          <w:sz w:val="20"/>
          <w:szCs w:val="22"/>
        </w:rPr>
      </w:r>
      <w:r/>
    </w:p>
    <w:p>
      <w:pPr>
        <w:rPr>
          <w:rFonts w:hint="eastAsia" w:ascii="宋体" w:hAnsi="宋体" w:eastAsia="宋体" w:cs="宋体"/>
          <w:sz w:val="20"/>
          <w:szCs w:val="22"/>
        </w:rPr>
      </w:pPr>
      <w:r>
        <w:rPr>
          <w:rFonts w:hint="eastAsia" w:ascii="宋体" w:hAnsi="宋体" w:eastAsia="宋体" w:cs="宋体"/>
          <w:sz w:val="20"/>
          <w:szCs w:val="22"/>
        </w:rPr>
      </w:r>
      <w:r/>
    </w:p>
    <w:p>
      <w:pPr>
        <w:pStyle w:val="711"/>
        <w:jc w:val="center"/>
        <w:spacing w:beforeAutospacing="0" w:afterAutospacing="0"/>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质疑函范本</w:t>
      </w:r>
      <w:r/>
    </w:p>
    <w:p>
      <w:pPr>
        <w:pStyle w:val="711"/>
        <w:jc w:val="both"/>
        <w:keepLines w:val="0"/>
        <w:keepNext w:val="0"/>
        <w:pageBreakBefore w:val="0"/>
        <w:spacing w:beforeAutospacing="0" w:afterAutospacing="0" w:line="360" w:lineRule="exact"/>
        <w:rPr>
          <w:rFonts w:hint="eastAsia" w:ascii="宋体" w:hAnsi="宋体" w:eastAsia="宋体" w:cs="宋体"/>
          <w:sz w:val="22"/>
          <w:szCs w:val="22"/>
        </w:rPr>
      </w:pPr>
      <w:r>
        <w:rPr>
          <w:rFonts w:hint="eastAsia" w:ascii="宋体" w:hAnsi="宋体" w:eastAsia="宋体" w:cs="宋体"/>
          <w:color w:val="000000"/>
          <w:sz w:val="22"/>
          <w:szCs w:val="22"/>
        </w:rPr>
        <w:t xml:space="preserve">一、质疑供应商基本信息</w:t>
      </w:r>
      <w:r/>
    </w:p>
    <w:p>
      <w:pPr>
        <w:pStyle w:val="711"/>
        <w:jc w:val="both"/>
        <w:keepLines w:val="0"/>
        <w:keepNext w:val="0"/>
        <w:pageBreakBefore w:val="0"/>
        <w:spacing w:beforeAutospacing="0" w:afterAutospacing="0" w:line="360" w:lineRule="exact"/>
        <w:rPr>
          <w:rFonts w:hint="eastAsia" w:ascii="宋体" w:hAnsi="宋体" w:eastAsia="宋体" w:cs="宋体"/>
          <w:sz w:val="22"/>
          <w:szCs w:val="22"/>
        </w:rPr>
      </w:pPr>
      <w:r>
        <w:rPr>
          <w:rFonts w:hint="eastAsia" w:ascii="宋体" w:hAnsi="宋体" w:eastAsia="宋体" w:cs="宋体"/>
          <w:color w:val="000000"/>
          <w:sz w:val="22"/>
          <w:szCs w:val="22"/>
        </w:rPr>
        <w:t xml:space="preserve">质疑供应商：</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pStyle w:val="711"/>
        <w:jc w:val="both"/>
        <w:keepLines w:val="0"/>
        <w:keepNext w:val="0"/>
        <w:pageBreakBefore w:val="0"/>
        <w:spacing w:beforeAutospacing="0" w:afterAutospacing="0" w:line="360" w:lineRule="exact"/>
        <w:rPr>
          <w:rFonts w:hint="eastAsia" w:ascii="宋体" w:hAnsi="宋体" w:eastAsia="宋体" w:cs="宋体"/>
          <w:color w:val="000000"/>
          <w:sz w:val="22"/>
          <w:szCs w:val="22"/>
          <w:u w:val="single"/>
        </w:rPr>
      </w:pPr>
      <w:r>
        <w:rPr>
          <w:rFonts w:hint="eastAsia" w:ascii="宋体" w:hAnsi="宋体" w:eastAsia="宋体" w:cs="宋体"/>
          <w:color w:val="000000"/>
          <w:sz w:val="22"/>
          <w:szCs w:val="22"/>
        </w:rPr>
        <w:t xml:space="preserve">地址：</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pStyle w:val="711"/>
        <w:jc w:val="both"/>
        <w:keepLines w:val="0"/>
        <w:keepNext w:val="0"/>
        <w:pageBreakBefore w:val="0"/>
        <w:spacing w:beforeAutospacing="0" w:afterAutospacing="0" w:line="360" w:lineRule="exact"/>
        <w:rPr>
          <w:rFonts w:hint="eastAsia" w:ascii="宋体" w:hAnsi="宋体" w:eastAsia="宋体" w:cs="宋体"/>
          <w:sz w:val="22"/>
          <w:szCs w:val="22"/>
        </w:rPr>
      </w:pPr>
      <w:r>
        <w:rPr>
          <w:rFonts w:hint="eastAsia" w:ascii="宋体" w:hAnsi="宋体" w:eastAsia="宋体" w:cs="宋体"/>
          <w:color w:val="000000"/>
          <w:sz w:val="22"/>
          <w:szCs w:val="22"/>
        </w:rPr>
        <w:t xml:space="preserve">邮编：</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pStyle w:val="711"/>
        <w:jc w:val="both"/>
        <w:keepLines w:val="0"/>
        <w:keepNext w:val="0"/>
        <w:pageBreakBefore w:val="0"/>
        <w:spacing w:beforeAutospacing="0" w:afterAutospacing="0" w:line="360" w:lineRule="exact"/>
        <w:rPr>
          <w:rFonts w:hint="eastAsia" w:ascii="宋体" w:hAnsi="宋体" w:eastAsia="宋体" w:cs="宋体"/>
          <w:color w:val="000000"/>
          <w:sz w:val="22"/>
          <w:szCs w:val="22"/>
          <w:u w:val="single"/>
        </w:rPr>
      </w:pPr>
      <w:r>
        <w:rPr>
          <w:rFonts w:hint="eastAsia" w:ascii="宋体" w:hAnsi="宋体" w:eastAsia="宋体" w:cs="宋体"/>
          <w:color w:val="000000"/>
          <w:sz w:val="22"/>
          <w:szCs w:val="22"/>
        </w:rPr>
        <w:t xml:space="preserve">联系人：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pStyle w:val="711"/>
        <w:jc w:val="both"/>
        <w:keepLines w:val="0"/>
        <w:keepNext w:val="0"/>
        <w:pageBreakBefore w:val="0"/>
        <w:spacing w:beforeAutospacing="0" w:afterAutospacing="0" w:line="360" w:lineRule="exact"/>
        <w:rPr>
          <w:rFonts w:hint="eastAsia" w:ascii="宋体" w:hAnsi="宋体" w:eastAsia="宋体" w:cs="宋体"/>
          <w:sz w:val="22"/>
          <w:szCs w:val="22"/>
        </w:rPr>
      </w:pPr>
      <w:r>
        <w:rPr>
          <w:rFonts w:hint="eastAsia" w:ascii="宋体" w:hAnsi="宋体" w:eastAsia="宋体" w:cs="宋体"/>
          <w:color w:val="000000"/>
          <w:sz w:val="22"/>
          <w:szCs w:val="22"/>
        </w:rPr>
        <w:t xml:space="preserve">联系电话：</w:t>
      </w:r>
      <w:r>
        <w:rPr>
          <w:rFonts w:hint="eastAsia" w:ascii="宋体" w:hAnsi="宋体" w:eastAsia="宋体" w:cs="宋体"/>
          <w:color w:val="000000"/>
          <w:sz w:val="22"/>
          <w:szCs w:val="22"/>
          <w:u w:val="single"/>
        </w:rPr>
        <w:t xml:space="preserve">                                           </w:t>
      </w:r>
      <w:r/>
    </w:p>
    <w:p>
      <w:pPr>
        <w:pStyle w:val="711"/>
        <w:jc w:val="both"/>
        <w:keepLines w:val="0"/>
        <w:keepNext w:val="0"/>
        <w:pageBreakBefore w:val="0"/>
        <w:spacing w:beforeAutospacing="0" w:afterAutospacing="0" w:line="360" w:lineRule="exact"/>
        <w:rPr>
          <w:rFonts w:hint="eastAsia" w:ascii="宋体" w:hAnsi="宋体" w:eastAsia="宋体" w:cs="宋体"/>
          <w:sz w:val="22"/>
          <w:szCs w:val="22"/>
        </w:rPr>
      </w:pPr>
      <w:r>
        <w:rPr>
          <w:rFonts w:hint="eastAsia" w:ascii="宋体" w:hAnsi="宋体" w:eastAsia="宋体" w:cs="宋体"/>
          <w:color w:val="000000"/>
          <w:sz w:val="22"/>
          <w:szCs w:val="22"/>
        </w:rPr>
        <w:t xml:space="preserve">授权代表：</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pStyle w:val="711"/>
        <w:jc w:val="both"/>
        <w:keepLines w:val="0"/>
        <w:keepNext w:val="0"/>
        <w:pageBreakBefore w:val="0"/>
        <w:spacing w:beforeAutospacing="0" w:afterAutospacing="0" w:line="360" w:lineRule="exact"/>
        <w:rPr>
          <w:rFonts w:hint="eastAsia" w:ascii="宋体" w:hAnsi="宋体" w:eastAsia="宋体" w:cs="宋体"/>
          <w:sz w:val="22"/>
          <w:szCs w:val="22"/>
        </w:rPr>
      </w:pPr>
      <w:r>
        <w:rPr>
          <w:rFonts w:hint="eastAsia" w:ascii="宋体" w:hAnsi="宋体" w:eastAsia="宋体" w:cs="宋体"/>
          <w:color w:val="000000"/>
          <w:sz w:val="22"/>
          <w:szCs w:val="22"/>
        </w:rPr>
        <w:t xml:space="preserve">联系电话：</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pStyle w:val="711"/>
        <w:jc w:val="both"/>
        <w:keepLines w:val="0"/>
        <w:keepNext w:val="0"/>
        <w:pageBreakBefore w:val="0"/>
        <w:spacing w:beforeAutospacing="0" w:afterAutospacing="0" w:line="360" w:lineRule="exact"/>
        <w:rPr>
          <w:rFonts w:hint="eastAsia" w:ascii="宋体" w:hAnsi="宋体" w:eastAsia="宋体" w:cs="宋体"/>
          <w:color w:val="000000"/>
          <w:sz w:val="22"/>
          <w:szCs w:val="22"/>
          <w:u w:val="single"/>
        </w:rPr>
      </w:pPr>
      <w:r>
        <w:rPr>
          <w:rFonts w:hint="eastAsia" w:ascii="宋体" w:hAnsi="宋体" w:eastAsia="宋体" w:cs="宋体"/>
          <w:color w:val="000000"/>
          <w:sz w:val="22"/>
          <w:szCs w:val="22"/>
        </w:rPr>
        <w:t xml:space="preserve">地址：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pStyle w:val="711"/>
        <w:jc w:val="both"/>
        <w:keepLines w:val="0"/>
        <w:keepNext w:val="0"/>
        <w:pageBreakBefore w:val="0"/>
        <w:spacing w:beforeAutospacing="0" w:afterAutospacing="0" w:line="360" w:lineRule="exact"/>
        <w:rPr>
          <w:rFonts w:hint="eastAsia" w:ascii="宋体" w:hAnsi="宋体" w:eastAsia="宋体" w:cs="宋体"/>
          <w:sz w:val="22"/>
          <w:szCs w:val="22"/>
        </w:rPr>
      </w:pPr>
      <w:r>
        <w:rPr>
          <w:rFonts w:hint="eastAsia" w:ascii="宋体" w:hAnsi="宋体" w:eastAsia="宋体" w:cs="宋体"/>
          <w:color w:val="000000"/>
          <w:sz w:val="22"/>
          <w:szCs w:val="22"/>
        </w:rPr>
        <w:t xml:space="preserve">邮编：</w:t>
      </w:r>
      <w:r>
        <w:rPr>
          <w:rFonts w:hint="eastAsia" w:ascii="宋体" w:hAnsi="宋体" w:eastAsia="宋体" w:cs="宋体"/>
          <w:color w:val="000000"/>
          <w:sz w:val="22"/>
          <w:szCs w:val="22"/>
          <w:u w:val="single"/>
        </w:rPr>
        <w:t xml:space="preserve">                                </w:t>
      </w:r>
      <w:r/>
    </w:p>
    <w:p>
      <w:pPr>
        <w:pStyle w:val="711"/>
        <w:jc w:val="both"/>
        <w:keepLines w:val="0"/>
        <w:keepNext w:val="0"/>
        <w:pageBreakBefore w:val="0"/>
        <w:spacing w:beforeAutospacing="0" w:afterAutospacing="0" w:line="360" w:lineRule="exact"/>
        <w:rPr>
          <w:rFonts w:hint="eastAsia" w:ascii="宋体" w:hAnsi="宋体" w:eastAsia="宋体" w:cs="宋体"/>
          <w:sz w:val="22"/>
          <w:szCs w:val="22"/>
        </w:rPr>
      </w:pPr>
      <w:r>
        <w:rPr>
          <w:rFonts w:hint="eastAsia" w:ascii="宋体" w:hAnsi="宋体" w:eastAsia="宋体" w:cs="宋体"/>
          <w:color w:val="000000"/>
          <w:sz w:val="22"/>
          <w:szCs w:val="22"/>
        </w:rPr>
        <w:t xml:space="preserve">二、质疑项目基本情况</w:t>
      </w:r>
      <w:r/>
    </w:p>
    <w:p>
      <w:pPr>
        <w:pStyle w:val="711"/>
        <w:jc w:val="both"/>
        <w:keepLines w:val="0"/>
        <w:keepNext w:val="0"/>
        <w:pageBreakBefore w:val="0"/>
        <w:spacing w:beforeAutospacing="0" w:afterAutospacing="0" w:line="360" w:lineRule="exact"/>
        <w:rPr>
          <w:rFonts w:hint="eastAsia" w:ascii="宋体" w:hAnsi="宋体" w:eastAsia="宋体" w:cs="宋体"/>
          <w:sz w:val="22"/>
          <w:szCs w:val="22"/>
        </w:rPr>
      </w:pPr>
      <w:r>
        <w:rPr>
          <w:rFonts w:hint="eastAsia" w:ascii="宋体" w:hAnsi="宋体" w:eastAsia="宋体" w:cs="宋体"/>
          <w:color w:val="000000"/>
          <w:sz w:val="22"/>
          <w:szCs w:val="22"/>
        </w:rPr>
        <w:t xml:space="preserve">质疑项目的名称：</w:t>
      </w:r>
      <w:r>
        <w:rPr>
          <w:rFonts w:hint="eastAsia" w:ascii="宋体" w:hAnsi="宋体" w:eastAsia="宋体" w:cs="宋体"/>
          <w:color w:val="000000"/>
          <w:sz w:val="22"/>
          <w:szCs w:val="22"/>
          <w:u w:val="single"/>
        </w:rPr>
        <w:t xml:space="preserve">                            </w:t>
      </w:r>
      <w:r/>
    </w:p>
    <w:p>
      <w:pPr>
        <w:pStyle w:val="711"/>
        <w:jc w:val="both"/>
        <w:keepLines w:val="0"/>
        <w:keepNext w:val="0"/>
        <w:pageBreakBefore w:val="0"/>
        <w:spacing w:beforeAutospacing="0" w:afterAutospacing="0" w:line="360" w:lineRule="exact"/>
        <w:rPr>
          <w:rFonts w:hint="eastAsia" w:ascii="宋体" w:hAnsi="宋体" w:eastAsia="宋体" w:cs="宋体"/>
          <w:color w:val="000000"/>
          <w:sz w:val="22"/>
          <w:szCs w:val="22"/>
          <w:u w:val="single"/>
        </w:rPr>
      </w:pPr>
      <w:r>
        <w:rPr>
          <w:rFonts w:hint="eastAsia" w:ascii="宋体" w:hAnsi="宋体" w:eastAsia="宋体" w:cs="宋体"/>
          <w:color w:val="000000"/>
          <w:sz w:val="22"/>
          <w:szCs w:val="22"/>
        </w:rPr>
        <w:t xml:space="preserve">质疑项目的编号：</w:t>
      </w:r>
      <w:r>
        <w:rPr>
          <w:rFonts w:hint="eastAsia" w:ascii="宋体" w:hAnsi="宋体" w:eastAsia="宋体" w:cs="宋体"/>
          <w:color w:val="000000"/>
          <w:sz w:val="22"/>
          <w:szCs w:val="22"/>
          <w:u w:val="single"/>
        </w:rPr>
        <w:t xml:space="preserve">                          </w:t>
      </w:r>
      <w:r/>
    </w:p>
    <w:p>
      <w:pPr>
        <w:pStyle w:val="711"/>
        <w:jc w:val="both"/>
        <w:keepLines w:val="0"/>
        <w:keepNext w:val="0"/>
        <w:pageBreakBefore w:val="0"/>
        <w:spacing w:beforeAutospacing="0" w:afterAutospacing="0" w:line="360" w:lineRule="exact"/>
        <w:rPr>
          <w:rFonts w:hint="eastAsia" w:ascii="宋体" w:hAnsi="宋体" w:eastAsia="宋体" w:cs="宋体"/>
          <w:sz w:val="22"/>
          <w:szCs w:val="22"/>
        </w:rPr>
      </w:pPr>
      <w:r>
        <w:rPr>
          <w:rFonts w:hint="eastAsia" w:ascii="宋体" w:hAnsi="宋体" w:eastAsia="宋体" w:cs="宋体"/>
          <w:color w:val="000000"/>
          <w:sz w:val="22"/>
          <w:szCs w:val="22"/>
        </w:rPr>
        <w:t xml:space="preserve">包号：</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pStyle w:val="711"/>
        <w:jc w:val="both"/>
        <w:keepLines w:val="0"/>
        <w:keepNext w:val="0"/>
        <w:pageBreakBefore w:val="0"/>
        <w:spacing w:beforeAutospacing="0" w:afterAutospacing="0" w:line="360" w:lineRule="exact"/>
        <w:rPr>
          <w:rFonts w:hint="eastAsia" w:ascii="宋体" w:hAnsi="宋体" w:eastAsia="宋体" w:cs="宋体"/>
          <w:sz w:val="22"/>
          <w:szCs w:val="22"/>
        </w:rPr>
      </w:pPr>
      <w:r>
        <w:rPr>
          <w:rFonts w:hint="eastAsia" w:ascii="宋体" w:hAnsi="宋体" w:eastAsia="宋体" w:cs="宋体"/>
          <w:color w:val="000000"/>
          <w:sz w:val="22"/>
          <w:szCs w:val="22"/>
        </w:rPr>
        <w:t xml:space="preserve">采购人名称：</w:t>
      </w:r>
      <w:r>
        <w:rPr>
          <w:rFonts w:hint="eastAsia" w:ascii="宋体" w:hAnsi="宋体" w:eastAsia="宋体" w:cs="宋体"/>
          <w:color w:val="000000"/>
          <w:sz w:val="22"/>
          <w:szCs w:val="22"/>
          <w:u w:val="single"/>
        </w:rPr>
        <w:t xml:space="preserve">                            </w:t>
      </w:r>
      <w:r/>
    </w:p>
    <w:p>
      <w:pPr>
        <w:pStyle w:val="711"/>
        <w:jc w:val="both"/>
        <w:keepLines w:val="0"/>
        <w:keepNext w:val="0"/>
        <w:pageBreakBefore w:val="0"/>
        <w:spacing w:beforeAutospacing="0" w:afterAutospacing="0" w:line="360" w:lineRule="exact"/>
        <w:rPr>
          <w:rFonts w:hint="eastAsia" w:ascii="宋体" w:hAnsi="宋体" w:eastAsia="宋体" w:cs="宋体"/>
          <w:sz w:val="22"/>
          <w:szCs w:val="22"/>
        </w:rPr>
      </w:pPr>
      <w:r>
        <w:rPr>
          <w:rFonts w:hint="eastAsia" w:ascii="宋体" w:hAnsi="宋体" w:eastAsia="宋体" w:cs="宋体"/>
          <w:color w:val="000000"/>
          <w:sz w:val="22"/>
          <w:szCs w:val="22"/>
        </w:rPr>
        <w:t xml:space="preserve">采购文件获取日期：</w:t>
      </w:r>
      <w:r>
        <w:rPr>
          <w:rFonts w:hint="eastAsia" w:ascii="宋体" w:hAnsi="宋体" w:eastAsia="宋体" w:cs="宋体"/>
          <w:color w:val="000000"/>
          <w:sz w:val="22"/>
          <w:szCs w:val="22"/>
          <w:u w:val="single"/>
        </w:rPr>
        <w:t xml:space="preserve">                             </w:t>
      </w:r>
      <w:r/>
    </w:p>
    <w:p>
      <w:pPr>
        <w:pStyle w:val="711"/>
        <w:jc w:val="both"/>
        <w:keepLines w:val="0"/>
        <w:keepNext w:val="0"/>
        <w:pageBreakBefore w:val="0"/>
        <w:spacing w:beforeAutospacing="0" w:afterAutospacing="0" w:line="360" w:lineRule="exact"/>
        <w:rPr>
          <w:rFonts w:hint="eastAsia" w:ascii="宋体" w:hAnsi="宋体" w:eastAsia="宋体" w:cs="宋体"/>
          <w:sz w:val="22"/>
          <w:szCs w:val="22"/>
        </w:rPr>
      </w:pPr>
      <w:r>
        <w:rPr>
          <w:rFonts w:hint="eastAsia" w:ascii="宋体" w:hAnsi="宋体" w:eastAsia="宋体" w:cs="宋体"/>
          <w:color w:val="000000"/>
          <w:sz w:val="22"/>
          <w:szCs w:val="22"/>
        </w:rPr>
        <w:t xml:space="preserve">三、质疑事项具体内容</w:t>
      </w:r>
      <w:r/>
    </w:p>
    <w:p>
      <w:pPr>
        <w:pStyle w:val="711"/>
        <w:jc w:val="both"/>
        <w:keepLines w:val="0"/>
        <w:keepNext w:val="0"/>
        <w:pageBreakBefore w:val="0"/>
        <w:spacing w:beforeAutospacing="0" w:afterAutospacing="0" w:line="360" w:lineRule="exact"/>
        <w:rPr>
          <w:rFonts w:hint="eastAsia" w:ascii="宋体" w:hAnsi="宋体" w:eastAsia="宋体" w:cs="宋体"/>
          <w:sz w:val="22"/>
          <w:szCs w:val="22"/>
        </w:rPr>
      </w:pPr>
      <w:r>
        <w:rPr>
          <w:rFonts w:hint="eastAsia" w:ascii="宋体" w:hAnsi="宋体" w:eastAsia="宋体" w:cs="宋体"/>
          <w:color w:val="000000"/>
          <w:sz w:val="22"/>
          <w:szCs w:val="22"/>
        </w:rPr>
        <w:t xml:space="preserve">质疑事项1：</w:t>
      </w:r>
      <w:r>
        <w:rPr>
          <w:rFonts w:hint="eastAsia" w:ascii="宋体" w:hAnsi="宋体" w:eastAsia="宋体" w:cs="宋体"/>
          <w:color w:val="000000"/>
          <w:sz w:val="22"/>
          <w:szCs w:val="22"/>
          <w:u w:val="single"/>
        </w:rPr>
        <w:t xml:space="preserve">                             </w:t>
      </w:r>
      <w:r/>
    </w:p>
    <w:p>
      <w:pPr>
        <w:pStyle w:val="711"/>
        <w:keepLines w:val="0"/>
        <w:keepNext w:val="0"/>
        <w:pageBreakBefore w:val="0"/>
        <w:spacing w:beforeAutospacing="0" w:afterAutospacing="0" w:line="360" w:lineRule="exact"/>
        <w:rPr>
          <w:rFonts w:hint="eastAsia" w:ascii="宋体" w:hAnsi="宋体" w:eastAsia="宋体" w:cs="宋体"/>
          <w:sz w:val="22"/>
          <w:szCs w:val="22"/>
        </w:rPr>
      </w:pPr>
      <w:r>
        <w:rPr>
          <w:rFonts w:hint="eastAsia" w:ascii="宋体" w:hAnsi="宋体" w:eastAsia="宋体" w:cs="宋体"/>
          <w:color w:val="000000"/>
          <w:sz w:val="22"/>
          <w:szCs w:val="22"/>
        </w:rPr>
        <w:t xml:space="preserve">事实依据：</w:t>
      </w:r>
      <w:r>
        <w:rPr>
          <w:rFonts w:hint="eastAsia" w:ascii="宋体" w:hAnsi="宋体" w:eastAsia="宋体" w:cs="宋体"/>
          <w:color w:val="000000"/>
          <w:sz w:val="22"/>
          <w:szCs w:val="22"/>
          <w:u w:val="single"/>
        </w:rPr>
        <w:t xml:space="preserve">                                                   </w:t>
      </w:r>
      <w:r/>
    </w:p>
    <w:p>
      <w:pPr>
        <w:pStyle w:val="711"/>
        <w:jc w:val="both"/>
        <w:keepLines w:val="0"/>
        <w:keepNext w:val="0"/>
        <w:pageBreakBefore w:val="0"/>
        <w:spacing w:beforeAutospacing="0" w:afterAutospacing="0" w:line="360" w:lineRule="exact"/>
        <w:rPr>
          <w:rFonts w:hint="eastAsia" w:ascii="宋体" w:hAnsi="宋体" w:eastAsia="宋体" w:cs="宋体"/>
          <w:sz w:val="22"/>
          <w:szCs w:val="22"/>
        </w:rPr>
      </w:pPr>
      <w:r>
        <w:rPr>
          <w:rFonts w:hint="eastAsia" w:ascii="宋体" w:hAnsi="宋体" w:eastAsia="宋体" w:cs="宋体"/>
          <w:color w:val="000000"/>
          <w:sz w:val="22"/>
          <w:szCs w:val="22"/>
        </w:rPr>
        <w:t xml:space="preserve">法律依据：</w:t>
      </w:r>
      <w:r>
        <w:rPr>
          <w:rFonts w:hint="eastAsia" w:ascii="宋体" w:hAnsi="宋体" w:eastAsia="宋体" w:cs="宋体"/>
          <w:color w:val="000000"/>
          <w:sz w:val="22"/>
          <w:szCs w:val="22"/>
          <w:u w:val="single"/>
        </w:rPr>
        <w:t xml:space="preserve">                                                    </w:t>
      </w:r>
      <w:r/>
    </w:p>
    <w:p>
      <w:pPr>
        <w:pStyle w:val="711"/>
        <w:jc w:val="both"/>
        <w:keepLines w:val="0"/>
        <w:keepNext w:val="0"/>
        <w:pageBreakBefore w:val="0"/>
        <w:spacing w:beforeAutospacing="0" w:afterAutospacing="0" w:line="360" w:lineRule="exact"/>
        <w:rPr>
          <w:rFonts w:hint="eastAsia" w:ascii="宋体" w:hAnsi="宋体" w:eastAsia="宋体" w:cs="宋体"/>
          <w:sz w:val="22"/>
          <w:szCs w:val="22"/>
        </w:rPr>
      </w:pPr>
      <w:r>
        <w:rPr>
          <w:rFonts w:hint="eastAsia" w:ascii="宋体" w:hAnsi="宋体" w:eastAsia="宋体" w:cs="宋体"/>
          <w:color w:val="000000"/>
          <w:sz w:val="22"/>
          <w:szCs w:val="22"/>
        </w:rPr>
        <w:t xml:space="preserve">质疑事项2</w:t>
      </w:r>
      <w:r/>
    </w:p>
    <w:p>
      <w:pPr>
        <w:pStyle w:val="711"/>
        <w:jc w:val="both"/>
        <w:keepLines w:val="0"/>
        <w:keepNext w:val="0"/>
        <w:pageBreakBefore w:val="0"/>
        <w:spacing w:beforeAutospacing="0" w:afterAutospacing="0" w:line="360" w:lineRule="exact"/>
        <w:rPr>
          <w:rFonts w:hint="eastAsia" w:ascii="宋体" w:hAnsi="宋体" w:eastAsia="宋体" w:cs="宋体"/>
          <w:sz w:val="22"/>
          <w:szCs w:val="22"/>
        </w:rPr>
      </w:pPr>
      <w:r>
        <w:rPr>
          <w:rFonts w:hint="eastAsia" w:ascii="宋体" w:hAnsi="宋体" w:eastAsia="宋体" w:cs="宋体"/>
          <w:color w:val="000000"/>
          <w:sz w:val="22"/>
          <w:szCs w:val="22"/>
        </w:rPr>
        <w:t xml:space="preserve">……</w:t>
      </w:r>
      <w:r/>
    </w:p>
    <w:p>
      <w:pPr>
        <w:pStyle w:val="711"/>
        <w:jc w:val="both"/>
        <w:keepLines w:val="0"/>
        <w:keepNext w:val="0"/>
        <w:pageBreakBefore w:val="0"/>
        <w:spacing w:beforeAutospacing="0" w:afterAutospacing="0" w:line="360" w:lineRule="exact"/>
        <w:rPr>
          <w:rFonts w:hint="eastAsia" w:ascii="宋体" w:hAnsi="宋体" w:eastAsia="宋体" w:cs="宋体"/>
          <w:sz w:val="22"/>
          <w:szCs w:val="22"/>
        </w:rPr>
      </w:pPr>
      <w:r>
        <w:rPr>
          <w:rFonts w:hint="eastAsia" w:ascii="宋体" w:hAnsi="宋体" w:eastAsia="宋体" w:cs="宋体"/>
          <w:color w:val="000000"/>
          <w:sz w:val="22"/>
          <w:szCs w:val="22"/>
        </w:rPr>
        <w:t xml:space="preserve">四、与质疑事项相关的质疑请求</w:t>
      </w:r>
      <w:r/>
    </w:p>
    <w:p>
      <w:pPr>
        <w:pStyle w:val="711"/>
        <w:jc w:val="both"/>
        <w:keepLines w:val="0"/>
        <w:keepNext w:val="0"/>
        <w:pageBreakBefore w:val="0"/>
        <w:spacing w:beforeAutospacing="0" w:afterAutospacing="0" w:line="360" w:lineRule="exact"/>
        <w:rPr>
          <w:rFonts w:hint="eastAsia" w:ascii="宋体" w:hAnsi="宋体" w:eastAsia="宋体" w:cs="宋体"/>
          <w:sz w:val="22"/>
          <w:szCs w:val="22"/>
        </w:rPr>
      </w:pPr>
      <w:r>
        <w:rPr>
          <w:rFonts w:hint="eastAsia" w:ascii="宋体" w:hAnsi="宋体" w:eastAsia="宋体" w:cs="宋体"/>
          <w:color w:val="000000"/>
          <w:sz w:val="22"/>
          <w:szCs w:val="22"/>
        </w:rPr>
        <w:t xml:space="preserve">请求：</w:t>
      </w:r>
      <w:r>
        <w:rPr>
          <w:rFonts w:hint="eastAsia" w:ascii="宋体" w:hAnsi="宋体" w:eastAsia="宋体" w:cs="宋体"/>
          <w:color w:val="000000"/>
          <w:sz w:val="22"/>
          <w:szCs w:val="22"/>
          <w:u w:val="single"/>
        </w:rPr>
        <w:t xml:space="preserve">                                                          </w:t>
      </w:r>
      <w:r/>
    </w:p>
    <w:p>
      <w:pPr>
        <w:pStyle w:val="711"/>
        <w:jc w:val="both"/>
        <w:keepLines w:val="0"/>
        <w:keepNext w:val="0"/>
        <w:pageBreakBefore w:val="0"/>
        <w:spacing w:beforeAutospacing="0" w:afterAutospacing="0" w:line="360" w:lineRule="exact"/>
        <w:rPr>
          <w:rFonts w:hint="eastAsia" w:ascii="宋体" w:hAnsi="宋体" w:eastAsia="宋体" w:cs="宋体"/>
          <w:sz w:val="22"/>
          <w:szCs w:val="22"/>
        </w:rPr>
      </w:pPr>
      <w:r>
        <w:rPr>
          <w:rFonts w:hint="eastAsia" w:ascii="宋体" w:hAnsi="宋体" w:eastAsia="宋体" w:cs="宋体"/>
          <w:color w:val="000000"/>
          <w:sz w:val="22"/>
          <w:szCs w:val="22"/>
        </w:rPr>
        <w:t xml:space="preserve">签字(签章)：                 公章：               日期：    </w:t>
      </w:r>
      <w:r/>
    </w:p>
    <w:p>
      <w:pPr>
        <w:pStyle w:val="711"/>
        <w:jc w:val="both"/>
        <w:keepLines w:val="0"/>
        <w:keepNext w:val="0"/>
        <w:pageBreakBefore w:val="0"/>
        <w:spacing w:beforeAutospacing="0" w:afterAutospacing="0" w:line="360" w:lineRule="exact"/>
        <w:rPr>
          <w:rFonts w:hint="eastAsia" w:ascii="宋体" w:hAnsi="宋体" w:eastAsia="宋体" w:cs="宋体"/>
          <w:sz w:val="22"/>
          <w:szCs w:val="22"/>
        </w:rPr>
      </w:pPr>
      <w:r>
        <w:rPr>
          <w:rFonts w:hint="eastAsia" w:ascii="宋体" w:hAnsi="宋体" w:eastAsia="宋体" w:cs="宋体"/>
          <w:b/>
          <w:color w:val="000000"/>
          <w:sz w:val="22"/>
          <w:szCs w:val="22"/>
        </w:rPr>
        <w:t xml:space="preserve">质疑函制作说明：</w:t>
      </w:r>
      <w:r/>
    </w:p>
    <w:p>
      <w:pPr>
        <w:pStyle w:val="711"/>
        <w:ind w:firstLine="480"/>
        <w:keepLines w:val="0"/>
        <w:keepNext w:val="0"/>
        <w:pageBreakBefore w:val="0"/>
        <w:spacing w:beforeAutospacing="0" w:afterAutospacing="0" w:line="360" w:lineRule="exact"/>
        <w:widowControl/>
        <w:rPr>
          <w:rFonts w:hint="eastAsia" w:ascii="宋体" w:hAnsi="宋体" w:eastAsia="宋体" w:cs="宋体"/>
          <w:sz w:val="22"/>
          <w:szCs w:val="22"/>
        </w:rPr>
      </w:pPr>
      <w:r>
        <w:rPr>
          <w:rFonts w:hint="eastAsia" w:ascii="宋体" w:hAnsi="宋体" w:eastAsia="宋体" w:cs="宋体"/>
          <w:color w:val="000000"/>
          <w:sz w:val="22"/>
          <w:szCs w:val="22"/>
        </w:rPr>
        <w:t xml:space="preserve">1.供应商提出质疑时，应提交质疑函和必要的证明材料。</w:t>
      </w:r>
      <w:r/>
    </w:p>
    <w:p>
      <w:pPr>
        <w:pStyle w:val="711"/>
        <w:ind w:firstLine="480"/>
        <w:keepLines w:val="0"/>
        <w:keepNext w:val="0"/>
        <w:pageBreakBefore w:val="0"/>
        <w:spacing w:beforeAutospacing="0" w:afterAutospacing="0" w:line="360" w:lineRule="exact"/>
        <w:widowControl/>
        <w:rPr>
          <w:rFonts w:hint="eastAsia" w:ascii="宋体" w:hAnsi="宋体" w:eastAsia="宋体" w:cs="宋体"/>
          <w:sz w:val="22"/>
          <w:szCs w:val="22"/>
        </w:rPr>
      </w:pPr>
      <w:r>
        <w:rPr>
          <w:rFonts w:hint="eastAsia" w:ascii="宋体" w:hAnsi="宋体" w:eastAsia="宋体" w:cs="宋体"/>
          <w:color w:val="000000"/>
          <w:sz w:val="22"/>
          <w:szCs w:val="2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1"/>
        <w:ind w:firstLine="480"/>
        <w:keepLines w:val="0"/>
        <w:keepNext w:val="0"/>
        <w:pageBreakBefore w:val="0"/>
        <w:spacing w:beforeAutospacing="0" w:afterAutospacing="0" w:line="360" w:lineRule="exact"/>
        <w:widowControl/>
        <w:rPr>
          <w:rFonts w:hint="eastAsia" w:ascii="宋体" w:hAnsi="宋体" w:eastAsia="宋体" w:cs="宋体"/>
          <w:sz w:val="22"/>
          <w:szCs w:val="22"/>
        </w:rPr>
      </w:pPr>
      <w:r>
        <w:rPr>
          <w:rFonts w:hint="eastAsia" w:ascii="宋体" w:hAnsi="宋体" w:eastAsia="宋体" w:cs="宋体"/>
          <w:color w:val="000000"/>
          <w:sz w:val="22"/>
          <w:szCs w:val="22"/>
        </w:rPr>
        <w:t xml:space="preserve">3.质疑供应商若对项目的某一分包进行质疑，质疑函中应列明具体分包号。</w:t>
      </w:r>
      <w:r/>
    </w:p>
    <w:p>
      <w:pPr>
        <w:pStyle w:val="711"/>
        <w:ind w:firstLine="480"/>
        <w:keepLines w:val="0"/>
        <w:keepNext w:val="0"/>
        <w:pageBreakBefore w:val="0"/>
        <w:spacing w:beforeAutospacing="0" w:afterAutospacing="0" w:line="360" w:lineRule="exact"/>
        <w:widowControl/>
        <w:rPr>
          <w:rFonts w:hint="eastAsia" w:ascii="宋体" w:hAnsi="宋体" w:eastAsia="宋体" w:cs="宋体"/>
          <w:sz w:val="22"/>
          <w:szCs w:val="22"/>
        </w:rPr>
      </w:pPr>
      <w:r>
        <w:rPr>
          <w:rFonts w:hint="eastAsia" w:ascii="宋体" w:hAnsi="宋体" w:eastAsia="宋体" w:cs="宋体"/>
          <w:color w:val="000000"/>
          <w:sz w:val="22"/>
          <w:szCs w:val="22"/>
        </w:rPr>
        <w:t xml:space="preserve">4.质疑函的质疑事项应具体、明确，并有必要的事实依据和法律依据。</w:t>
      </w:r>
      <w:r/>
    </w:p>
    <w:p>
      <w:pPr>
        <w:pStyle w:val="711"/>
        <w:ind w:firstLine="480"/>
        <w:keepLines w:val="0"/>
        <w:keepNext w:val="0"/>
        <w:pageBreakBefore w:val="0"/>
        <w:spacing w:beforeAutospacing="0" w:afterAutospacing="0" w:line="360" w:lineRule="exact"/>
        <w:widowControl/>
        <w:rPr>
          <w:rFonts w:hint="eastAsia" w:ascii="宋体" w:hAnsi="宋体" w:eastAsia="宋体" w:cs="宋体"/>
          <w:sz w:val="22"/>
          <w:szCs w:val="22"/>
        </w:rPr>
      </w:pPr>
      <w:r>
        <w:rPr>
          <w:rFonts w:hint="eastAsia" w:ascii="宋体" w:hAnsi="宋体" w:eastAsia="宋体" w:cs="宋体"/>
          <w:color w:val="000000"/>
          <w:sz w:val="22"/>
          <w:szCs w:val="22"/>
        </w:rPr>
        <w:t xml:space="preserve">5.质疑函的质疑请求应与质疑事项相关。</w:t>
      </w:r>
      <w:r/>
    </w:p>
    <w:p>
      <w:pPr>
        <w:pStyle w:val="711"/>
        <w:ind w:firstLine="480"/>
        <w:keepLines w:val="0"/>
        <w:keepNext w:val="0"/>
        <w:pageBreakBefore w:val="0"/>
        <w:spacing w:beforeAutospacing="0" w:afterAutospacing="0" w:line="360" w:lineRule="exact"/>
        <w:widowControl/>
        <w:rPr>
          <w:rFonts w:hint="eastAsia" w:ascii="宋体" w:hAnsi="宋体" w:eastAsia="宋体" w:cs="宋体"/>
          <w:sz w:val="22"/>
          <w:szCs w:val="22"/>
        </w:rPr>
      </w:pPr>
      <w:r>
        <w:rPr>
          <w:rFonts w:hint="eastAsia" w:ascii="宋体" w:hAnsi="宋体" w:eastAsia="宋体" w:cs="宋体"/>
          <w:color w:val="000000"/>
          <w:sz w:val="22"/>
          <w:szCs w:val="22"/>
        </w:rPr>
        <w:t xml:space="preserve">6.质疑供应商为自然人的，质疑函应由本人签字；质疑供应商为法人或者其他组织的，质疑函应由法定代表人、主要负责人，或者其授权代表签字或者盖章，并加盖公章。</w:t>
      </w:r>
      <w:r/>
    </w:p>
    <w:p>
      <w:pPr>
        <w:pStyle w:val="711"/>
        <w:ind w:firstLine="420"/>
        <w:jc w:val="both"/>
        <w:spacing w:beforeAutospacing="0" w:afterAutospacing="0"/>
        <w:rPr>
          <w:rFonts w:hint="eastAsia" w:ascii="宋体" w:hAnsi="宋体" w:eastAsia="宋体" w:cs="宋体"/>
          <w:sz w:val="22"/>
          <w:szCs w:val="22"/>
        </w:rPr>
      </w:pPr>
      <w:r>
        <w:rPr>
          <w:rFonts w:hint="eastAsia" w:ascii="宋体" w:hAnsi="宋体" w:eastAsia="宋体" w:cs="宋体"/>
          <w:sz w:val="22"/>
          <w:szCs w:val="22"/>
        </w:rPr>
        <w:t xml:space="preserve"> </w:t>
      </w:r>
      <w:r/>
    </w:p>
    <w:p>
      <w:pPr>
        <w:rPr>
          <w:rFonts w:hint="eastAsia" w:ascii="宋体" w:hAnsi="宋体" w:eastAsia="宋体" w:cs="宋体"/>
          <w:sz w:val="20"/>
          <w:szCs w:val="22"/>
        </w:rPr>
      </w:pPr>
      <w:r>
        <w:rPr>
          <w:rFonts w:hint="eastAsia" w:ascii="宋体" w:hAnsi="宋体" w:eastAsia="宋体" w:cs="宋体"/>
          <w:sz w:val="20"/>
          <w:szCs w:val="22"/>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Garamond">
    <w:panose1 w:val="02020404030301010803"/>
  </w:font>
  <w:font w:name="等线">
    <w:panose1 w:val="02010600030101010101"/>
  </w:font>
  <w:font w:name="Calibri">
    <w:panose1 w:val="020F0502020204030204"/>
  </w:font>
  <w:font w:name="幼圆">
    <w:panose1 w:val="02010509060101010101"/>
  </w:font>
  <w:font w:name="仿宋_GB2312">
    <w:panose1 w:val="02010609060101010101"/>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next w:val="693"/>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82">
    <w:name w:val="Heading 1"/>
    <w:basedOn w:val="681"/>
    <w:next w:val="681"/>
    <w:link w:val="720"/>
    <w:uiPriority w:val="9"/>
    <w:qFormat/>
    <w:pPr>
      <w:keepLines/>
      <w:keepNext/>
      <w:spacing w:before="480" w:after="200"/>
      <w:outlineLvl w:val="0"/>
    </w:pPr>
    <w:rPr>
      <w:rFonts w:ascii="Arial" w:hAnsi="Arial" w:eastAsia="Arial" w:cs="Arial"/>
      <w:sz w:val="40"/>
      <w:szCs w:val="40"/>
    </w:rPr>
  </w:style>
  <w:style w:type="paragraph" w:styleId="683">
    <w:name w:val="Heading 2"/>
    <w:basedOn w:val="681"/>
    <w:next w:val="68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84">
    <w:name w:val="Heading 3"/>
    <w:basedOn w:val="681"/>
    <w:next w:val="681"/>
    <w:link w:val="879"/>
    <w:uiPriority w:val="9"/>
    <w:unhideWhenUsed/>
    <w:qFormat/>
    <w:pPr>
      <w:keepLines/>
      <w:keepNext/>
      <w:spacing w:before="320" w:after="200"/>
      <w:outlineLvl w:val="2"/>
    </w:pPr>
    <w:rPr>
      <w:rFonts w:ascii="Arial" w:hAnsi="Arial" w:eastAsia="Arial" w:cs="Arial"/>
      <w:sz w:val="30"/>
      <w:szCs w:val="30"/>
    </w:rPr>
  </w:style>
  <w:style w:type="paragraph" w:styleId="685">
    <w:name w:val="Heading 4"/>
    <w:basedOn w:val="681"/>
    <w:next w:val="681"/>
    <w:link w:val="723"/>
    <w:uiPriority w:val="9"/>
    <w:unhideWhenUsed/>
    <w:qFormat/>
    <w:pPr>
      <w:keepLines/>
      <w:keepNext/>
      <w:spacing w:before="320" w:after="200"/>
      <w:outlineLvl w:val="3"/>
    </w:pPr>
    <w:rPr>
      <w:rFonts w:ascii="Arial" w:hAnsi="Arial" w:eastAsia="Arial" w:cs="Arial"/>
      <w:b/>
      <w:bCs/>
      <w:sz w:val="26"/>
      <w:szCs w:val="26"/>
    </w:rPr>
  </w:style>
  <w:style w:type="paragraph" w:styleId="686">
    <w:name w:val="Heading 5"/>
    <w:basedOn w:val="681"/>
    <w:next w:val="681"/>
    <w:uiPriority w:val="9"/>
    <w:unhideWhenUsed/>
    <w:qFormat/>
    <w:pPr>
      <w:keepLines/>
      <w:keepNext/>
      <w:spacing w:before="320" w:after="200"/>
      <w:outlineLvl w:val="4"/>
    </w:pPr>
    <w:rPr>
      <w:rFonts w:ascii="Arial" w:hAnsi="Arial" w:eastAsia="Arial" w:cs="Arial"/>
      <w:b/>
      <w:bCs/>
      <w:sz w:val="24"/>
      <w:szCs w:val="24"/>
    </w:rPr>
  </w:style>
  <w:style w:type="paragraph" w:styleId="687">
    <w:name w:val="Heading 6"/>
    <w:basedOn w:val="681"/>
    <w:next w:val="681"/>
    <w:link w:val="725"/>
    <w:uiPriority w:val="9"/>
    <w:unhideWhenUsed/>
    <w:qFormat/>
    <w:pPr>
      <w:keepLines/>
      <w:keepNext/>
      <w:spacing w:before="320" w:after="200"/>
      <w:outlineLvl w:val="5"/>
    </w:pPr>
    <w:rPr>
      <w:rFonts w:ascii="Arial" w:hAnsi="Arial" w:eastAsia="Arial" w:cs="Arial"/>
      <w:b/>
      <w:bCs/>
      <w:sz w:val="22"/>
      <w:szCs w:val="22"/>
    </w:rPr>
  </w:style>
  <w:style w:type="paragraph" w:styleId="688">
    <w:name w:val="Heading 7"/>
    <w:basedOn w:val="681"/>
    <w:next w:val="681"/>
    <w:link w:val="726"/>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681"/>
    <w:next w:val="681"/>
    <w:link w:val="727"/>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681"/>
    <w:next w:val="681"/>
    <w:link w:val="728"/>
    <w:uiPriority w:val="9"/>
    <w:unhideWhenUsed/>
    <w:qFormat/>
    <w:pPr>
      <w:keepLines/>
      <w:keepNext/>
      <w:spacing w:before="320" w:after="200"/>
      <w:outlineLvl w:val="8"/>
    </w:pPr>
    <w:rPr>
      <w:rFonts w:ascii="Arial" w:hAnsi="Arial" w:eastAsia="Arial" w:cs="Arial"/>
      <w:i/>
      <w:iCs/>
      <w:sz w:val="21"/>
      <w:szCs w:val="21"/>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customStyle="1">
    <w:name w:val="段"/>
    <w:next w:val="681"/>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694">
    <w:name w:val="toc 7"/>
    <w:basedOn w:val="681"/>
    <w:next w:val="681"/>
    <w:uiPriority w:val="39"/>
    <w:unhideWhenUsed/>
    <w:qFormat/>
    <w:pPr>
      <w:ind w:left="1701" w:right="0" w:firstLine="0"/>
      <w:spacing w:after="57"/>
    </w:pPr>
  </w:style>
  <w:style w:type="paragraph" w:styleId="695">
    <w:name w:val="Caption"/>
    <w:basedOn w:val="681"/>
    <w:next w:val="68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6">
    <w:name w:val="toc 5"/>
    <w:basedOn w:val="681"/>
    <w:next w:val="681"/>
    <w:uiPriority w:val="39"/>
    <w:unhideWhenUsed/>
    <w:qFormat/>
    <w:pPr>
      <w:ind w:left="1134" w:right="0" w:firstLine="0"/>
      <w:spacing w:after="57"/>
    </w:pPr>
  </w:style>
  <w:style w:type="paragraph" w:styleId="697">
    <w:name w:val="toc 3"/>
    <w:basedOn w:val="681"/>
    <w:next w:val="681"/>
    <w:uiPriority w:val="39"/>
    <w:unhideWhenUsed/>
    <w:qFormat/>
    <w:pPr>
      <w:ind w:left="567" w:right="0" w:firstLine="0"/>
      <w:spacing w:after="57"/>
    </w:pPr>
  </w:style>
  <w:style w:type="paragraph" w:styleId="698">
    <w:name w:val="Plain Text"/>
    <w:basedOn w:val="681"/>
    <w:uiPriority w:val="0"/>
    <w:qFormat/>
    <w:rPr>
      <w:rFonts w:ascii="宋体" w:hAnsi="Courier New"/>
      <w:sz w:val="28"/>
    </w:rPr>
  </w:style>
  <w:style w:type="paragraph" w:styleId="699">
    <w:name w:val="toc 8"/>
    <w:basedOn w:val="681"/>
    <w:next w:val="681"/>
    <w:uiPriority w:val="39"/>
    <w:unhideWhenUsed/>
    <w:qFormat/>
    <w:pPr>
      <w:ind w:left="1984" w:right="0" w:firstLine="0"/>
      <w:spacing w:after="57"/>
    </w:pPr>
  </w:style>
  <w:style w:type="paragraph" w:styleId="700">
    <w:name w:val="endnote text"/>
    <w:basedOn w:val="681"/>
    <w:link w:val="865"/>
    <w:uiPriority w:val="99"/>
    <w:semiHidden/>
    <w:unhideWhenUsed/>
    <w:qFormat/>
    <w:pPr>
      <w:spacing w:after="0" w:line="240" w:lineRule="auto"/>
    </w:pPr>
    <w:rPr>
      <w:sz w:val="20"/>
    </w:rPr>
  </w:style>
  <w:style w:type="paragraph" w:styleId="701">
    <w:name w:val="Footer"/>
    <w:basedOn w:val="681"/>
    <w:link w:val="868"/>
    <w:uiPriority w:val="0"/>
    <w:qFormat/>
    <w:pPr>
      <w:jc w:val="left"/>
      <w:tabs>
        <w:tab w:val="center" w:pos="4153" w:leader="none"/>
        <w:tab w:val="right" w:pos="8306" w:leader="none"/>
      </w:tabs>
    </w:pPr>
    <w:rPr>
      <w:sz w:val="18"/>
      <w:szCs w:val="18"/>
    </w:rPr>
  </w:style>
  <w:style w:type="paragraph" w:styleId="702">
    <w:name w:val="Header"/>
    <w:basedOn w:val="681"/>
    <w:link w:val="867"/>
    <w:uiPriority w:val="0"/>
    <w:qFormat/>
    <w:pPr>
      <w:jc w:val="center"/>
      <w:tabs>
        <w:tab w:val="center" w:pos="4153" w:leader="none"/>
        <w:tab w:val="right" w:pos="8306" w:leader="none"/>
      </w:tabs>
      <w:pBdr>
        <w:bottom w:val="single" w:color="auto" w:sz="6" w:space="1"/>
      </w:pBdr>
    </w:pPr>
    <w:rPr>
      <w:sz w:val="18"/>
      <w:szCs w:val="18"/>
    </w:rPr>
  </w:style>
  <w:style w:type="paragraph" w:styleId="703">
    <w:name w:val="toc 1"/>
    <w:basedOn w:val="681"/>
    <w:next w:val="681"/>
    <w:uiPriority w:val="39"/>
    <w:unhideWhenUsed/>
    <w:qFormat/>
    <w:pPr>
      <w:ind w:left="0" w:right="0" w:firstLine="0"/>
      <w:spacing w:after="57"/>
    </w:pPr>
  </w:style>
  <w:style w:type="paragraph" w:styleId="704">
    <w:name w:val="toc 4"/>
    <w:basedOn w:val="681"/>
    <w:next w:val="681"/>
    <w:uiPriority w:val="39"/>
    <w:unhideWhenUsed/>
    <w:qFormat/>
    <w:pPr>
      <w:ind w:left="850" w:right="0" w:firstLine="0"/>
      <w:spacing w:after="57"/>
    </w:pPr>
  </w:style>
  <w:style w:type="paragraph" w:styleId="705">
    <w:name w:val="Subtitle"/>
    <w:basedOn w:val="681"/>
    <w:next w:val="681"/>
    <w:link w:val="731"/>
    <w:uiPriority w:val="11"/>
    <w:qFormat/>
    <w:pPr>
      <w:spacing w:before="200" w:after="200"/>
    </w:pPr>
    <w:rPr>
      <w:sz w:val="24"/>
      <w:szCs w:val="24"/>
    </w:rPr>
  </w:style>
  <w:style w:type="paragraph" w:styleId="706">
    <w:name w:val="footnote text"/>
    <w:basedOn w:val="681"/>
    <w:link w:val="864"/>
    <w:uiPriority w:val="99"/>
    <w:semiHidden/>
    <w:unhideWhenUsed/>
    <w:qFormat/>
    <w:pPr>
      <w:spacing w:after="40" w:line="240" w:lineRule="auto"/>
    </w:pPr>
    <w:rPr>
      <w:sz w:val="18"/>
    </w:rPr>
  </w:style>
  <w:style w:type="paragraph" w:styleId="707">
    <w:name w:val="toc 6"/>
    <w:basedOn w:val="681"/>
    <w:next w:val="681"/>
    <w:uiPriority w:val="39"/>
    <w:unhideWhenUsed/>
    <w:qFormat/>
    <w:pPr>
      <w:ind w:left="1417" w:right="0" w:firstLine="0"/>
      <w:spacing w:after="57"/>
    </w:pPr>
  </w:style>
  <w:style w:type="paragraph" w:styleId="708">
    <w:name w:val="table of figures"/>
    <w:basedOn w:val="681"/>
    <w:next w:val="681"/>
    <w:uiPriority w:val="99"/>
    <w:unhideWhenUsed/>
    <w:qFormat/>
    <w:pPr>
      <w:spacing w:after="0" w:afterAutospacing="0"/>
    </w:pPr>
  </w:style>
  <w:style w:type="paragraph" w:styleId="709">
    <w:name w:val="toc 2"/>
    <w:basedOn w:val="681"/>
    <w:next w:val="681"/>
    <w:uiPriority w:val="39"/>
    <w:unhideWhenUsed/>
    <w:qFormat/>
    <w:pPr>
      <w:ind w:left="283" w:right="0" w:firstLine="0"/>
      <w:spacing w:after="57"/>
    </w:pPr>
  </w:style>
  <w:style w:type="paragraph" w:styleId="710">
    <w:name w:val="toc 9"/>
    <w:basedOn w:val="681"/>
    <w:next w:val="681"/>
    <w:uiPriority w:val="39"/>
    <w:unhideWhenUsed/>
    <w:qFormat/>
    <w:pPr>
      <w:ind w:left="2268" w:right="0" w:firstLine="0"/>
      <w:spacing w:after="57"/>
    </w:pPr>
  </w:style>
  <w:style w:type="paragraph" w:styleId="711">
    <w:name w:val="Normal (Web)"/>
    <w:basedOn w:val="681"/>
    <w:uiPriority w:val="0"/>
    <w:qFormat/>
    <w:pPr>
      <w:jc w:val="left"/>
      <w:spacing w:beforeAutospacing="1" w:afterAutospacing="1"/>
    </w:pPr>
    <w:rPr>
      <w:rFonts w:cs="Times New Roman"/>
      <w:sz w:val="24"/>
    </w:rPr>
  </w:style>
  <w:style w:type="paragraph" w:styleId="712">
    <w:name w:val="Title"/>
    <w:basedOn w:val="681"/>
    <w:next w:val="681"/>
    <w:link w:val="730"/>
    <w:uiPriority w:val="10"/>
    <w:qFormat/>
    <w:pPr>
      <w:contextualSpacing/>
      <w:spacing w:before="300" w:after="200"/>
    </w:pPr>
    <w:rPr>
      <w:sz w:val="48"/>
      <w:szCs w:val="48"/>
    </w:rPr>
  </w:style>
  <w:style w:type="paragraph" w:styleId="713">
    <w:name w:val="Body Text First Indent"/>
    <w:basedOn w:val="681"/>
    <w:next w:val="707"/>
    <w:uiPriority w:val="99"/>
    <w:qFormat/>
    <w:pPr>
      <w:ind w:firstLine="200"/>
      <w:spacing w:line="360" w:lineRule="auto"/>
    </w:pPr>
  </w:style>
  <w:style w:type="table" w:styleId="714">
    <w:name w:val="Table Grid"/>
    <w:basedOn w:val="69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endnote reference"/>
    <w:basedOn w:val="691"/>
    <w:uiPriority w:val="99"/>
    <w:semiHidden/>
    <w:unhideWhenUsed/>
    <w:qFormat/>
    <w:rPr>
      <w:vertAlign w:val="superscript"/>
    </w:rPr>
  </w:style>
  <w:style w:type="character" w:styleId="716">
    <w:name w:val="Hyperlink"/>
    <w:basedOn w:val="691"/>
    <w:uiPriority w:val="0"/>
    <w:qFormat/>
    <w:rPr>
      <w:color w:val="0000ff"/>
      <w:u w:val="single"/>
    </w:rPr>
  </w:style>
  <w:style w:type="character" w:styleId="717">
    <w:name w:val="footnote reference"/>
    <w:basedOn w:val="691"/>
    <w:uiPriority w:val="99"/>
    <w:unhideWhenUsed/>
    <w:qFormat/>
    <w:rPr>
      <w:vertAlign w:val="superscript"/>
    </w:rPr>
  </w:style>
  <w:style w:type="paragraph" w:styleId="718"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719" w:customStyle="1">
    <w:name w:val="TOC 71"/>
    <w:next w:val="681"/>
    <w:uiPriority w:val="0"/>
    <w:qFormat/>
    <w:pPr>
      <w:ind w:left="2550"/>
      <w:jc w:val="both"/>
    </w:pPr>
    <w:rPr>
      <w:rFonts w:hint="default" w:ascii="Times New Roman" w:hAnsi="Times New Roman" w:eastAsia="宋体" w:cs="Times New Roman"/>
      <w:sz w:val="21"/>
      <w:szCs w:val="22"/>
      <w:lang w:val="en-US" w:eastAsia="zh-CN" w:bidi="ar-SA"/>
    </w:rPr>
  </w:style>
  <w:style w:type="character" w:styleId="720" w:customStyle="1">
    <w:name w:val="Heading 1 Char"/>
    <w:basedOn w:val="691"/>
    <w:link w:val="682"/>
    <w:uiPriority w:val="9"/>
    <w:qFormat/>
    <w:rPr>
      <w:rFonts w:ascii="Arial" w:hAnsi="Arial" w:eastAsia="Arial" w:cs="Arial"/>
      <w:sz w:val="40"/>
      <w:szCs w:val="40"/>
    </w:rPr>
  </w:style>
  <w:style w:type="character" w:styleId="721" w:customStyle="1">
    <w:name w:val="Heading 2 Char"/>
    <w:basedOn w:val="691"/>
    <w:uiPriority w:val="9"/>
    <w:qFormat/>
    <w:rPr>
      <w:rFonts w:ascii="Arial" w:hAnsi="Arial" w:eastAsia="Arial" w:cs="Arial"/>
      <w:sz w:val="34"/>
    </w:rPr>
  </w:style>
  <w:style w:type="character" w:styleId="722" w:customStyle="1">
    <w:name w:val="Heading 3 Char"/>
    <w:basedOn w:val="691"/>
    <w:uiPriority w:val="9"/>
    <w:qFormat/>
    <w:rPr>
      <w:rFonts w:ascii="Arial" w:hAnsi="Arial" w:eastAsia="Arial" w:cs="Arial"/>
      <w:sz w:val="30"/>
      <w:szCs w:val="30"/>
    </w:rPr>
  </w:style>
  <w:style w:type="character" w:styleId="723" w:customStyle="1">
    <w:name w:val="Heading 4 Char"/>
    <w:basedOn w:val="691"/>
    <w:link w:val="685"/>
    <w:uiPriority w:val="9"/>
    <w:qFormat/>
    <w:rPr>
      <w:rFonts w:ascii="Arial" w:hAnsi="Arial" w:eastAsia="Arial" w:cs="Arial"/>
      <w:b/>
      <w:bCs/>
      <w:sz w:val="26"/>
      <w:szCs w:val="26"/>
    </w:rPr>
  </w:style>
  <w:style w:type="character" w:styleId="724" w:customStyle="1">
    <w:name w:val="Heading 5 Char"/>
    <w:basedOn w:val="691"/>
    <w:uiPriority w:val="9"/>
    <w:qFormat/>
    <w:rPr>
      <w:rFonts w:ascii="Arial" w:hAnsi="Arial" w:eastAsia="Arial" w:cs="Arial"/>
      <w:b/>
      <w:bCs/>
      <w:sz w:val="24"/>
      <w:szCs w:val="24"/>
    </w:rPr>
  </w:style>
  <w:style w:type="character" w:styleId="725" w:customStyle="1">
    <w:name w:val="Heading 6 Char"/>
    <w:basedOn w:val="691"/>
    <w:link w:val="687"/>
    <w:uiPriority w:val="9"/>
    <w:qFormat/>
    <w:rPr>
      <w:rFonts w:ascii="Arial" w:hAnsi="Arial" w:eastAsia="Arial" w:cs="Arial"/>
      <w:b/>
      <w:bCs/>
      <w:sz w:val="22"/>
      <w:szCs w:val="22"/>
    </w:rPr>
  </w:style>
  <w:style w:type="character" w:styleId="726" w:customStyle="1">
    <w:name w:val="Heading 7 Char"/>
    <w:basedOn w:val="691"/>
    <w:link w:val="688"/>
    <w:uiPriority w:val="9"/>
    <w:qFormat/>
    <w:rPr>
      <w:rFonts w:ascii="Arial" w:hAnsi="Arial" w:eastAsia="Arial" w:cs="Arial"/>
      <w:b/>
      <w:bCs/>
      <w:i/>
      <w:iCs/>
      <w:sz w:val="22"/>
      <w:szCs w:val="22"/>
    </w:rPr>
  </w:style>
  <w:style w:type="character" w:styleId="727" w:customStyle="1">
    <w:name w:val="Heading 8 Char"/>
    <w:basedOn w:val="691"/>
    <w:link w:val="689"/>
    <w:uiPriority w:val="9"/>
    <w:qFormat/>
    <w:rPr>
      <w:rFonts w:ascii="Arial" w:hAnsi="Arial" w:eastAsia="Arial" w:cs="Arial"/>
      <w:i/>
      <w:iCs/>
      <w:sz w:val="22"/>
      <w:szCs w:val="22"/>
    </w:rPr>
  </w:style>
  <w:style w:type="character" w:styleId="728" w:customStyle="1">
    <w:name w:val="Heading 9 Char"/>
    <w:basedOn w:val="691"/>
    <w:link w:val="690"/>
    <w:uiPriority w:val="9"/>
    <w:qFormat/>
    <w:rPr>
      <w:rFonts w:ascii="Arial" w:hAnsi="Arial" w:eastAsia="Arial" w:cs="Arial"/>
      <w:i/>
      <w:iCs/>
      <w:sz w:val="21"/>
      <w:szCs w:val="21"/>
    </w:rPr>
  </w:style>
  <w:style w:type="paragraph" w:styleId="729">
    <w:name w:val="No Spacing"/>
    <w:uiPriority w:val="1"/>
    <w:qFormat/>
    <w:pPr>
      <w:spacing w:before="0" w:after="0" w:line="240" w:lineRule="auto"/>
    </w:pPr>
    <w:rPr>
      <w:rFonts w:hint="default" w:ascii="Times New Roman" w:hAnsi="Times New Roman" w:eastAsia="宋体" w:cs="Times New Roman"/>
    </w:rPr>
  </w:style>
  <w:style w:type="character" w:styleId="730" w:customStyle="1">
    <w:name w:val="Title Char"/>
    <w:basedOn w:val="691"/>
    <w:link w:val="712"/>
    <w:uiPriority w:val="10"/>
    <w:qFormat/>
    <w:rPr>
      <w:sz w:val="48"/>
      <w:szCs w:val="48"/>
    </w:rPr>
  </w:style>
  <w:style w:type="character" w:styleId="731" w:customStyle="1">
    <w:name w:val="Subtitle Char"/>
    <w:basedOn w:val="691"/>
    <w:link w:val="705"/>
    <w:uiPriority w:val="11"/>
    <w:qFormat/>
    <w:rPr>
      <w:sz w:val="24"/>
      <w:szCs w:val="24"/>
    </w:rPr>
  </w:style>
  <w:style w:type="paragraph" w:styleId="732">
    <w:name w:val="Quote"/>
    <w:basedOn w:val="681"/>
    <w:next w:val="681"/>
    <w:link w:val="733"/>
    <w:uiPriority w:val="29"/>
    <w:qFormat/>
    <w:pPr>
      <w:ind w:left="720" w:right="720"/>
    </w:pPr>
    <w:rPr>
      <w:i/>
    </w:rPr>
  </w:style>
  <w:style w:type="character" w:styleId="733" w:customStyle="1">
    <w:name w:val="Quote Char"/>
    <w:link w:val="732"/>
    <w:uiPriority w:val="29"/>
    <w:qFormat/>
    <w:rPr>
      <w:i/>
    </w:rPr>
  </w:style>
  <w:style w:type="paragraph" w:styleId="734">
    <w:name w:val="Intense Quote"/>
    <w:basedOn w:val="681"/>
    <w:next w:val="681"/>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customStyle="1">
    <w:name w:val="Intense Quote Char"/>
    <w:link w:val="734"/>
    <w:uiPriority w:val="30"/>
    <w:qFormat/>
    <w:rPr>
      <w:i/>
    </w:rPr>
  </w:style>
  <w:style w:type="character" w:styleId="736" w:customStyle="1">
    <w:name w:val="Header Char"/>
    <w:basedOn w:val="691"/>
    <w:uiPriority w:val="99"/>
    <w:qFormat/>
  </w:style>
  <w:style w:type="character" w:styleId="737" w:customStyle="1">
    <w:name w:val="Footer Char"/>
    <w:basedOn w:val="691"/>
    <w:uiPriority w:val="99"/>
    <w:qFormat/>
  </w:style>
  <w:style w:type="character" w:styleId="738" w:customStyle="1">
    <w:name w:val="Caption Char"/>
    <w:uiPriority w:val="99"/>
    <w:qFormat/>
  </w:style>
  <w:style w:type="table" w:styleId="739" w:customStyle="1">
    <w:name w:val="Table Grid Light"/>
    <w:basedOn w:val="6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0" w:customStyle="1">
    <w:name w:val="Plain Table 1"/>
    <w:basedOn w:val="6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basedOn w:val="6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basedOn w:val="6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1"/>
    <w:basedOn w:val="69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2"/>
    <w:basedOn w:val="69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3"/>
    <w:basedOn w:val="69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4"/>
    <w:basedOn w:val="69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5"/>
    <w:basedOn w:val="69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6"/>
    <w:basedOn w:val="69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2" w:customStyle="1">
    <w:name w:val="Grid Table 2"/>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2 - Accent 1"/>
    <w:basedOn w:val="69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4" w:customStyle="1">
    <w:name w:val="Grid Table 2 - Accent 2"/>
    <w:basedOn w:val="69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5" w:customStyle="1">
    <w:name w:val="Grid Table 2 - Accent 3"/>
    <w:basedOn w:val="69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6" w:customStyle="1">
    <w:name w:val="Grid Table 2 - Accent 4"/>
    <w:basedOn w:val="69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7" w:customStyle="1">
    <w:name w:val="Grid Table 2 - Accent 5"/>
    <w:basedOn w:val="69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8" w:customStyle="1">
    <w:name w:val="Grid Table 2 - Accent 6"/>
    <w:basedOn w:val="69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9" w:customStyle="1">
    <w:name w:val="Grid Table 3"/>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1"/>
    <w:basedOn w:val="69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2"/>
    <w:basedOn w:val="69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3"/>
    <w:basedOn w:val="69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4"/>
    <w:basedOn w:val="69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5"/>
    <w:basedOn w:val="69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6"/>
    <w:basedOn w:val="69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basedOn w:val="6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4 - Accent 1"/>
    <w:basedOn w:val="69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8" w:customStyle="1">
    <w:name w:val="Grid Table 4 - Accent 2"/>
    <w:basedOn w:val="69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9" w:customStyle="1">
    <w:name w:val="Grid Table 4 - Accent 3"/>
    <w:basedOn w:val="69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0" w:customStyle="1">
    <w:name w:val="Grid Table 4 - Accent 4"/>
    <w:basedOn w:val="69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1" w:customStyle="1">
    <w:name w:val="Grid Table 4 - Accent 5"/>
    <w:basedOn w:val="69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2" w:customStyle="1">
    <w:name w:val="Grid Table 4 - Accent 6"/>
    <w:basedOn w:val="69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3" w:customStyle="1">
    <w:name w:val="Grid Table 5 Dark"/>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5 Dark- Accent 1"/>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5" w:customStyle="1">
    <w:name w:val="Grid Table 5 Dark - Accent 2"/>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6" w:customStyle="1">
    <w:name w:val="Grid Table 5 Dark - Accent 3"/>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7" w:customStyle="1">
    <w:name w:val="Grid Table 5 Dark- Accent 4"/>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8" w:customStyle="1">
    <w:name w:val="Grid Table 5 Dark - Accent 5"/>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9" w:customStyle="1">
    <w:name w:val="Grid Table 5 Dark - Accent 6"/>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0" w:customStyle="1">
    <w:name w:val="Grid Table 6 Colorful"/>
    <w:basedOn w:val="6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6 Colorful - Accent 1"/>
    <w:basedOn w:val="69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2" w:customStyle="1">
    <w:name w:val="Grid Table 6 Colorful - Accent 2"/>
    <w:basedOn w:val="69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3" w:customStyle="1">
    <w:name w:val="Grid Table 6 Colorful - Accent 3"/>
    <w:basedOn w:val="69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4" w:customStyle="1">
    <w:name w:val="Grid Table 6 Colorful - Accent 4"/>
    <w:basedOn w:val="69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5" w:customStyle="1">
    <w:name w:val="Grid Table 6 Colorful - Accent 5"/>
    <w:basedOn w:val="69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6" w:customStyle="1">
    <w:name w:val="Grid Table 6 Colorful - Accent 6"/>
    <w:basedOn w:val="69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7" w:customStyle="1">
    <w:name w:val="Grid Table 7 Colorful"/>
    <w:basedOn w:val="6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Grid Table 7 Colorful - Accent 1"/>
    <w:basedOn w:val="69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89" w:customStyle="1">
    <w:name w:val="Grid Table 7 Colorful - Accent 2"/>
    <w:basedOn w:val="69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0" w:customStyle="1">
    <w:name w:val="Grid Table 7 Colorful - Accent 3"/>
    <w:basedOn w:val="69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1" w:customStyle="1">
    <w:name w:val="Grid Table 7 Colorful - Accent 4"/>
    <w:basedOn w:val="69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2" w:customStyle="1">
    <w:name w:val="Grid Table 7 Colorful - Accent 5"/>
    <w:basedOn w:val="69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3" w:customStyle="1">
    <w:name w:val="Grid Table 7 Colorful - Accent 6"/>
    <w:basedOn w:val="69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4" w:customStyle="1">
    <w:name w:val="List Table 1 Light"/>
    <w:basedOn w:val="6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1 Light - Accent 1"/>
    <w:basedOn w:val="69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6" w:customStyle="1">
    <w:name w:val="List Table 1 Light - Accent 2"/>
    <w:basedOn w:val="69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7" w:customStyle="1">
    <w:name w:val="List Table 1 Light - Accent 3"/>
    <w:basedOn w:val="69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8" w:customStyle="1">
    <w:name w:val="List Table 1 Light - Accent 4"/>
    <w:basedOn w:val="69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9" w:customStyle="1">
    <w:name w:val="List Table 1 Light - Accent 5"/>
    <w:basedOn w:val="69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0" w:customStyle="1">
    <w:name w:val="List Table 1 Light - Accent 6"/>
    <w:basedOn w:val="69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1" w:customStyle="1">
    <w:name w:val="List Table 2"/>
    <w:basedOn w:val="6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2 - Accent 1"/>
    <w:basedOn w:val="69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3" w:customStyle="1">
    <w:name w:val="List Table 2 - Accent 2"/>
    <w:basedOn w:val="69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4" w:customStyle="1">
    <w:name w:val="List Table 2 - Accent 3"/>
    <w:basedOn w:val="69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5" w:customStyle="1">
    <w:name w:val="List Table 2 - Accent 4"/>
    <w:basedOn w:val="69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6" w:customStyle="1">
    <w:name w:val="List Table 2 - Accent 5"/>
    <w:basedOn w:val="69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7" w:customStyle="1">
    <w:name w:val="List Table 2 - Accent 6"/>
    <w:basedOn w:val="69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8" w:customStyle="1">
    <w:name w:val="List Table 3"/>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3 - Accent 1"/>
    <w:basedOn w:val="69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0" w:customStyle="1">
    <w:name w:val="List Table 3 - Accent 2"/>
    <w:basedOn w:val="69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1" w:customStyle="1">
    <w:name w:val="List Table 3 - Accent 3"/>
    <w:basedOn w:val="69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2" w:customStyle="1">
    <w:name w:val="List Table 3 - Accent 4"/>
    <w:basedOn w:val="69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3" w:customStyle="1">
    <w:name w:val="List Table 3 - Accent 5"/>
    <w:basedOn w:val="69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4" w:customStyle="1">
    <w:name w:val="List Table 3 - Accent 6"/>
    <w:basedOn w:val="69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5" w:customStyle="1">
    <w:name w:val="List Table 4"/>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 Accent 1"/>
    <w:basedOn w:val="69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7" w:customStyle="1">
    <w:name w:val="List Table 4 - Accent 2"/>
    <w:basedOn w:val="69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8" w:customStyle="1">
    <w:name w:val="List Table 4 - Accent 3"/>
    <w:basedOn w:val="69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9" w:customStyle="1">
    <w:name w:val="List Table 4 - Accent 4"/>
    <w:basedOn w:val="69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0" w:customStyle="1">
    <w:name w:val="List Table 4 - Accent 5"/>
    <w:basedOn w:val="69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1" w:customStyle="1">
    <w:name w:val="List Table 4 - Accent 6"/>
    <w:basedOn w:val="69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2" w:customStyle="1">
    <w:name w:val="List Table 5 Dark"/>
    <w:basedOn w:val="6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1"/>
    <w:basedOn w:val="69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2"/>
    <w:basedOn w:val="69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3"/>
    <w:basedOn w:val="69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4"/>
    <w:basedOn w:val="69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5"/>
    <w:basedOn w:val="69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6"/>
    <w:basedOn w:val="69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6 Colorful"/>
    <w:basedOn w:val="6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List Table 6 Colorful - Accent 1"/>
    <w:basedOn w:val="69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1" w:customStyle="1">
    <w:name w:val="List Table 6 Colorful - Accent 2"/>
    <w:basedOn w:val="69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2" w:customStyle="1">
    <w:name w:val="List Table 6 Colorful - Accent 3"/>
    <w:basedOn w:val="69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3" w:customStyle="1">
    <w:name w:val="List Table 6 Colorful - Accent 4"/>
    <w:basedOn w:val="69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4" w:customStyle="1">
    <w:name w:val="List Table 6 Colorful - Accent 5"/>
    <w:basedOn w:val="692"/>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5" w:customStyle="1">
    <w:name w:val="List Table 6 Colorful - Accent 6"/>
    <w:basedOn w:val="69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6" w:customStyle="1">
    <w:name w:val="List Table 7 Colorful"/>
    <w:basedOn w:val="69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7 Colorful - Accent 1"/>
    <w:basedOn w:val="692"/>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8" w:customStyle="1">
    <w:name w:val="List Table 7 Colorful - Accent 2"/>
    <w:basedOn w:val="69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9" w:customStyle="1">
    <w:name w:val="List Table 7 Colorful - Accent 3"/>
    <w:basedOn w:val="69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0" w:customStyle="1">
    <w:name w:val="List Table 7 Colorful - Accent 4"/>
    <w:basedOn w:val="69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1" w:customStyle="1">
    <w:name w:val="List Table 7 Colorful - Accent 5"/>
    <w:basedOn w:val="692"/>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2" w:customStyle="1">
    <w:name w:val="List Table 7 Colorful - Accent 6"/>
    <w:basedOn w:val="69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3" w:customStyle="1">
    <w:name w:val="Lined - Accent"/>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Lined - Accent 1"/>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5" w:customStyle="1">
    <w:name w:val="Lined - Accent 2"/>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6" w:customStyle="1">
    <w:name w:val="Lined - Accent 3"/>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7" w:customStyle="1">
    <w:name w:val="Lined - Accent 4"/>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8" w:customStyle="1">
    <w:name w:val="Lined - Accent 5"/>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9" w:customStyle="1">
    <w:name w:val="Lined - Accent 6"/>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0" w:customStyle="1">
    <w:name w:val="Bordered &amp; Lined - Accent"/>
    <w:basedOn w:val="69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Bordered &amp; Lined - Accent 1"/>
    <w:basedOn w:val="69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2" w:customStyle="1">
    <w:name w:val="Bordered &amp; Lined - Accent 2"/>
    <w:basedOn w:val="69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3" w:customStyle="1">
    <w:name w:val="Bordered &amp; Lined - Accent 3"/>
    <w:basedOn w:val="69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4" w:customStyle="1">
    <w:name w:val="Bordered &amp; Lined - Accent 4"/>
    <w:basedOn w:val="69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5" w:customStyle="1">
    <w:name w:val="Bordered &amp; Lined - Accent 5"/>
    <w:basedOn w:val="69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6" w:customStyle="1">
    <w:name w:val="Bordered &amp; Lined - Accent 6"/>
    <w:basedOn w:val="69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7" w:customStyle="1">
    <w:name w:val="Bordered"/>
    <w:basedOn w:val="69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8" w:customStyle="1">
    <w:name w:val="Bordered - Accent 1"/>
    <w:basedOn w:val="69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9" w:customStyle="1">
    <w:name w:val="Bordered - Accent 2"/>
    <w:basedOn w:val="69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0" w:customStyle="1">
    <w:name w:val="Bordered - Accent 3"/>
    <w:basedOn w:val="69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1" w:customStyle="1">
    <w:name w:val="Bordered - Accent 4"/>
    <w:basedOn w:val="69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2" w:customStyle="1">
    <w:name w:val="Bordered - Accent 5"/>
    <w:basedOn w:val="69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3" w:customStyle="1">
    <w:name w:val="Bordered - Accent 6"/>
    <w:basedOn w:val="69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4" w:customStyle="1">
    <w:name w:val="Footnote Text Char"/>
    <w:link w:val="706"/>
    <w:uiPriority w:val="99"/>
    <w:qFormat/>
    <w:rPr>
      <w:sz w:val="18"/>
    </w:rPr>
  </w:style>
  <w:style w:type="character" w:styleId="865" w:customStyle="1">
    <w:name w:val="Endnote Text Char"/>
    <w:link w:val="700"/>
    <w:uiPriority w:val="99"/>
    <w:qFormat/>
    <w:rPr>
      <w:sz w:val="20"/>
    </w:rPr>
  </w:style>
  <w:style w:type="paragraph" w:styleId="866" w:customStyle="1">
    <w:name w:val="TOC Heading"/>
    <w:uiPriority w:val="39"/>
    <w:unhideWhenUsed/>
    <w:qFormat/>
    <w:rPr>
      <w:rFonts w:hint="default" w:ascii="Times New Roman" w:hAnsi="Times New Roman" w:eastAsia="宋体" w:cs="Times New Roman"/>
    </w:rPr>
  </w:style>
  <w:style w:type="character" w:styleId="867" w:customStyle="1">
    <w:name w:val="页眉 Char"/>
    <w:basedOn w:val="691"/>
    <w:link w:val="702"/>
    <w:uiPriority w:val="0"/>
    <w:qFormat/>
    <w:rPr>
      <w:rFonts w:asciiTheme="minorHAnsi" w:hAnsiTheme="minorHAnsi" w:eastAsiaTheme="minorEastAsia" w:cstheme="minorBidi"/>
      <w:sz w:val="18"/>
      <w:szCs w:val="18"/>
    </w:rPr>
  </w:style>
  <w:style w:type="character" w:styleId="868" w:customStyle="1">
    <w:name w:val="页脚 Char"/>
    <w:basedOn w:val="691"/>
    <w:link w:val="701"/>
    <w:uiPriority w:val="0"/>
    <w:qFormat/>
    <w:rPr>
      <w:rFonts w:asciiTheme="minorHAnsi" w:hAnsiTheme="minorHAnsi" w:eastAsiaTheme="minorEastAsia" w:cstheme="minorBidi"/>
      <w:sz w:val="18"/>
      <w:szCs w:val="18"/>
    </w:rPr>
  </w:style>
  <w:style w:type="paragraph" w:styleId="869"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0" w:customStyle="1">
    <w:name w:val="正文1"/>
    <w:uiPriority w:val="99"/>
    <w:qFormat/>
    <w:pPr>
      <w:ind w:firstLine="200"/>
      <w:spacing w:before="120" w:after="120" w:line="180" w:lineRule="auto"/>
    </w:pPr>
    <w:rPr>
      <w:rFonts w:hint="default" w:ascii="Times New Roman" w:hAnsi="Times New Roman" w:eastAsia="宋体" w:cs="Calibri"/>
      <w:sz w:val="21"/>
      <w:szCs w:val="21"/>
    </w:rPr>
  </w:style>
  <w:style w:type="character" w:styleId="871" w:customStyle="1">
    <w:name w:val="font21"/>
    <w:basedOn w:val="691"/>
    <w:uiPriority w:val="0"/>
    <w:qFormat/>
    <w:rPr>
      <w:rFonts w:hint="default" w:ascii="等线" w:hAnsi="等线" w:eastAsia="等线" w:cs="等线"/>
      <w:color w:val="000000"/>
      <w:sz w:val="18"/>
      <w:szCs w:val="18"/>
      <w:u w:val="none"/>
    </w:rPr>
  </w:style>
  <w:style w:type="character" w:styleId="872" w:customStyle="1">
    <w:name w:val="font91"/>
    <w:basedOn w:val="691"/>
    <w:uiPriority w:val="0"/>
    <w:qFormat/>
    <w:rPr>
      <w:rFonts w:hint="default" w:ascii="等线" w:hAnsi="等线" w:eastAsia="等线" w:cs="等线"/>
      <w:b/>
      <w:bCs/>
      <w:i/>
      <w:iCs/>
      <w:color w:val="000000"/>
      <w:sz w:val="18"/>
      <w:szCs w:val="18"/>
      <w:u w:val="none"/>
    </w:rPr>
  </w:style>
  <w:style w:type="paragraph" w:styleId="873">
    <w:name w:val="List Paragraph"/>
    <w:basedOn w:val="681"/>
    <w:uiPriority w:val="0"/>
    <w:qFormat/>
    <w:pPr>
      <w:ind w:firstLine="420"/>
    </w:pPr>
    <w:rPr>
      <w:sz w:val="21"/>
    </w:rPr>
  </w:style>
  <w:style w:type="paragraph" w:styleId="874" w:customStyle="1">
    <w:name w:val="普通(网站)1"/>
    <w:basedOn w:val="681"/>
    <w:uiPriority w:val="0"/>
    <w:qFormat/>
    <w:pPr>
      <w:jc w:val="left"/>
      <w:spacing w:beforeAutospacing="1" w:afterAutospacing="1"/>
    </w:pPr>
    <w:rPr>
      <w:rFonts w:cs="Times New Roman"/>
      <w:sz w:val="24"/>
    </w:rPr>
  </w:style>
  <w:style w:type="character" w:styleId="875" w:customStyle="1">
    <w:name w:val="NormalCharacter"/>
    <w:uiPriority w:val="0"/>
    <w:qFormat/>
    <w:rPr>
      <w:sz w:val="21"/>
      <w:szCs w:val="22"/>
      <w:lang w:val="en-US" w:eastAsia="zh-CN" w:bidi="ar-SA"/>
    </w:rPr>
  </w:style>
  <w:style w:type="paragraph" w:styleId="876" w:customStyle="1">
    <w:name w:val="普通正文"/>
    <w:basedOn w:val="681"/>
    <w:uiPriority w:val="0"/>
    <w:qFormat/>
    <w:pPr>
      <w:ind w:firstLine="480"/>
      <w:jc w:val="left"/>
      <w:spacing w:before="120" w:after="120" w:line="360" w:lineRule="auto"/>
    </w:pPr>
    <w:rPr>
      <w:rFonts w:ascii="Arial" w:hAnsi="Arial" w:eastAsia="等线" w:cs="Arial"/>
      <w:sz w:val="24"/>
      <w:szCs w:val="24"/>
    </w:rPr>
  </w:style>
  <w:style w:type="paragraph" w:styleId="877" w:customStyle="1">
    <w:name w:val="文本块1"/>
    <w:basedOn w:val="681"/>
    <w:uiPriority w:val="99"/>
    <w:qFormat/>
    <w:pPr>
      <w:ind w:left="560" w:right="-512"/>
    </w:pPr>
    <w:rPr>
      <w:rFonts w:ascii="幼圆" w:eastAsia="幼圆" w:cs="Garamond"/>
      <w:sz w:val="24"/>
    </w:rPr>
  </w:style>
  <w:style w:type="character" w:styleId="878" w:customStyle="1">
    <w:name w:val="font11"/>
    <w:basedOn w:val="691"/>
    <w:uiPriority w:val="0"/>
    <w:qFormat/>
    <w:rPr>
      <w:rFonts w:hint="eastAsia" w:ascii="宋体" w:hAnsi="宋体" w:eastAsia="宋体" w:cs="宋体"/>
      <w:color w:val="000000"/>
      <w:sz w:val="24"/>
      <w:szCs w:val="24"/>
      <w:u w:val="none"/>
    </w:rPr>
  </w:style>
  <w:style w:type="character" w:styleId="879" w:customStyle="1">
    <w:name w:val="标题 3 Char"/>
    <w:link w:val="684"/>
    <w:uiPriority w:val="0"/>
    <w:qFormat/>
    <w:rPr>
      <w:rFonts w:ascii="Arial" w:hAnsi="Arial" w:eastAsia="Arial" w:cs="Arial"/>
      <w:sz w:val="30"/>
      <w:szCs w:val="30"/>
    </w:rPr>
  </w:style>
  <w:style w:type="numbering" w:styleId="8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陈鹏山</cp:lastModifiedBy>
  <cp:revision>278</cp:revision>
  <dcterms:created xsi:type="dcterms:W3CDTF">2014-10-29T12:08:00Z</dcterms:created>
  <dcterms:modified xsi:type="dcterms:W3CDTF">2024-12-11T09:10:55Z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70F396D3445E472BBF0487C90BC69665</vt:lpwstr>
  </property>
</Properties>
</file>