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pPr>
      <w:bookmarkStart w:id="2" w:name="_GoBack"/>
      <w:bookmarkEnd w:id="2"/>
      <w:r>
        <w:rPr>
          <w:rFonts w:hint="eastAsia" w:ascii="仿宋" w:hAnsi="仿宋" w:eastAsia="仿宋" w:cs="仿宋"/>
        </w:rPr>
        <w:t>附件四</w:t>
      </w:r>
    </w:p>
    <w:p>
      <w:pPr>
        <w:spacing w:line="360" w:lineRule="auto"/>
        <w:jc w:val="center"/>
      </w:pPr>
      <w:r>
        <w:rPr>
          <w:rFonts w:hint="eastAsia" w:ascii="仿宋" w:hAnsi="仿宋" w:eastAsia="仿宋" w:cs="仿宋"/>
          <w:b/>
          <w:sz w:val="32"/>
          <w:szCs w:val="32"/>
        </w:rPr>
        <w:t>项目安全协议书</w:t>
      </w:r>
    </w:p>
    <w:p>
      <w:pPr>
        <w:shd w:val="clear" w:color="auto" w:fill="FFFFFF"/>
        <w:spacing w:after="150" w:line="500" w:lineRule="exact"/>
        <w:ind w:firstLine="480"/>
      </w:pPr>
      <w:r>
        <w:rPr>
          <w:rFonts w:hint="eastAsia" w:ascii="仿宋" w:hAnsi="仿宋" w:eastAsia="仿宋" w:cs="宋体"/>
          <w:color w:val="333333"/>
          <w:sz w:val="26"/>
        </w:rPr>
        <w:t>甲方：</w:t>
      </w:r>
      <w:r>
        <w:rPr>
          <w:rFonts w:hint="eastAsia" w:ascii="仿宋" w:hAnsi="仿宋" w:eastAsia="仿宋" w:cs="仿宋"/>
          <w:sz w:val="26"/>
        </w:rPr>
        <w:t>苏州工业园区综合行政执法局</w:t>
      </w:r>
    </w:p>
    <w:p>
      <w:pPr>
        <w:shd w:val="clear" w:color="auto" w:fill="FFFFFF"/>
        <w:spacing w:after="150" w:line="500" w:lineRule="exact"/>
        <w:ind w:firstLine="480"/>
      </w:pPr>
      <w:r>
        <w:rPr>
          <w:rFonts w:hint="eastAsia" w:ascii="仿宋" w:hAnsi="仿宋" w:eastAsia="仿宋" w:cs="宋体"/>
          <w:color w:val="333333"/>
          <w:sz w:val="26"/>
        </w:rPr>
        <w:t>乙方:</w:t>
      </w:r>
      <w:r>
        <w:rPr>
          <w:rFonts w:hint="eastAsia" w:ascii="仿宋" w:hAnsi="仿宋" w:eastAsia="仿宋" w:cs="仿宋"/>
          <w:sz w:val="26"/>
        </w:rPr>
        <w:t xml:space="preserve"> </w:t>
      </w:r>
    </w:p>
    <w:p>
      <w:pPr>
        <w:shd w:val="clear" w:color="auto" w:fill="FFFFFF"/>
        <w:spacing w:line="500" w:lineRule="exact"/>
        <w:ind w:firstLine="480"/>
      </w:pPr>
      <w:r>
        <w:rPr>
          <w:rFonts w:hint="eastAsia" w:ascii="仿宋" w:hAnsi="仿宋" w:eastAsia="仿宋" w:cs="宋体"/>
          <w:color w:val="333333"/>
          <w:sz w:val="26"/>
        </w:rPr>
        <w:t>为贯彻国家安全生产法律、法规、条例、规章以及“安全第一，预防为主，综合治理”的安全生产方针，明确甲乙双方的安全生产管理目标及责任，确保项目安全，杜绝安全事故发生，双方本着平等、自愿、公平和诚实信用的原则协商一致，同意在签订项目合同时，签订《项目安全协议书》连同有关专业作业规范指导意见书（视同专业安全责任清单），作为甲乙双方承发包合同附件。</w:t>
      </w:r>
    </w:p>
    <w:p>
      <w:pPr>
        <w:shd w:val="clear" w:color="auto" w:fill="FFFFFF"/>
        <w:spacing w:after="150" w:line="500" w:lineRule="exact"/>
        <w:ind w:firstLine="482"/>
      </w:pPr>
      <w:r>
        <w:rPr>
          <w:rFonts w:hint="eastAsia" w:ascii="仿宋" w:hAnsi="仿宋" w:eastAsia="仿宋" w:cs="宋体"/>
          <w:b/>
          <w:bCs/>
          <w:color w:val="333333"/>
          <w:sz w:val="26"/>
        </w:rPr>
        <w:t>一、项目名称：</w:t>
      </w:r>
      <w:r>
        <w:rPr>
          <w:rFonts w:hint="eastAsia" w:ascii="仿宋" w:hAnsi="仿宋" w:eastAsia="仿宋" w:cs="仿宋"/>
          <w:u w:val="single"/>
        </w:rPr>
        <w:t>___                                  _</w:t>
      </w:r>
    </w:p>
    <w:p>
      <w:pPr>
        <w:shd w:val="clear" w:color="auto" w:fill="FFFFFF"/>
        <w:spacing w:after="150" w:line="500" w:lineRule="exact"/>
        <w:ind w:firstLine="482"/>
      </w:pPr>
      <w:r>
        <w:rPr>
          <w:rFonts w:hint="eastAsia" w:ascii="仿宋" w:hAnsi="仿宋" w:eastAsia="仿宋" w:cs="宋体"/>
          <w:b/>
          <w:bCs/>
          <w:color w:val="333333"/>
          <w:sz w:val="26"/>
        </w:rPr>
        <w:t>二、项目概况：</w:t>
      </w:r>
      <w:r>
        <w:rPr>
          <w:rFonts w:hint="eastAsia" w:ascii="仿宋" w:hAnsi="仿宋" w:eastAsia="仿宋" w:cs="宋体"/>
          <w:bCs/>
          <w:color w:val="333333"/>
          <w:sz w:val="26"/>
        </w:rPr>
        <w:t>见甲乙双方承发包合同。</w:t>
      </w:r>
    </w:p>
    <w:p>
      <w:pPr>
        <w:shd w:val="clear" w:color="auto" w:fill="FFFFFF"/>
        <w:spacing w:after="150" w:line="500" w:lineRule="exact"/>
        <w:ind w:firstLine="482"/>
      </w:pPr>
      <w:r>
        <w:rPr>
          <w:rFonts w:hint="eastAsia" w:ascii="仿宋" w:hAnsi="仿宋" w:eastAsia="仿宋" w:cs="宋体"/>
          <w:b/>
          <w:bCs/>
          <w:sz w:val="26"/>
        </w:rPr>
        <w:t>三、安全生产目标：</w:t>
      </w:r>
      <w:r>
        <w:rPr>
          <w:rFonts w:hint="eastAsia" w:ascii="仿宋" w:hAnsi="仿宋" w:eastAsia="仿宋" w:cs="宋体"/>
          <w:bCs/>
          <w:sz w:val="26"/>
        </w:rPr>
        <w:t>安全生产无事故</w:t>
      </w:r>
    </w:p>
    <w:p>
      <w:pPr>
        <w:shd w:val="clear" w:color="auto" w:fill="FFFFFF"/>
        <w:spacing w:after="150" w:line="500" w:lineRule="exact"/>
        <w:ind w:firstLine="482"/>
      </w:pPr>
      <w:r>
        <w:rPr>
          <w:rStyle w:val="14"/>
          <w:rFonts w:hint="eastAsia" w:ascii="仿宋" w:hAnsi="仿宋" w:eastAsia="仿宋" w:cs="仿宋"/>
          <w:sz w:val="26"/>
        </w:rPr>
        <w:t>四、 项目现场管理人员</w:t>
      </w:r>
    </w:p>
    <w:p>
      <w:pPr>
        <w:shd w:val="clear" w:color="auto" w:fill="FFFFFF"/>
        <w:spacing w:after="150" w:line="500" w:lineRule="exact"/>
        <w:ind w:firstLine="480"/>
      </w:pPr>
      <w:r>
        <w:rPr>
          <w:rFonts w:hint="eastAsia" w:ascii="仿宋" w:hAnsi="仿宋" w:eastAsia="仿宋" w:cs="仿宋"/>
          <w:sz w:val="26"/>
        </w:rPr>
        <w:t>为保证项目安全管理与明确安全责任，现场管理人员明确如下：</w:t>
      </w:r>
    </w:p>
    <w:p>
      <w:pPr>
        <w:shd w:val="clear" w:color="auto" w:fill="FFFFFF"/>
        <w:spacing w:line="500" w:lineRule="exact"/>
        <w:ind w:firstLine="480"/>
      </w:pPr>
      <w:r>
        <w:rPr>
          <w:rFonts w:hint="eastAsia" w:ascii="仿宋" w:hAnsi="仿宋" w:eastAsia="仿宋" w:cs="仿宋"/>
        </w:rPr>
        <w:t>1．甲方人员：</w:t>
      </w:r>
      <w:r>
        <w:rPr>
          <w:rFonts w:hint="eastAsia" w:ascii="仿宋" w:hAnsi="仿宋" w:eastAsia="仿宋" w:cs="仿宋"/>
          <w:u w:val="single"/>
        </w:rPr>
        <w:t xml:space="preserve">       </w:t>
      </w:r>
    </w:p>
    <w:p>
      <w:pPr>
        <w:shd w:val="clear" w:color="auto" w:fill="FFFFFF"/>
        <w:spacing w:line="500" w:lineRule="exact"/>
        <w:ind w:firstLine="480"/>
      </w:pPr>
      <w:r>
        <w:rPr>
          <w:rFonts w:hint="eastAsia" w:ascii="仿宋" w:hAnsi="仿宋" w:eastAsia="仿宋" w:cs="仿宋"/>
        </w:rPr>
        <w:t>联系方式：</w:t>
      </w:r>
      <w:r>
        <w:rPr>
          <w:rFonts w:hint="eastAsia" w:ascii="仿宋" w:hAnsi="仿宋" w:eastAsia="仿宋" w:cs="仿宋"/>
          <w:u w:val="single"/>
        </w:rPr>
        <w:t>___      _</w:t>
      </w:r>
    </w:p>
    <w:p>
      <w:pPr>
        <w:shd w:val="clear" w:color="auto" w:fill="FFFFFF"/>
        <w:spacing w:line="500" w:lineRule="exact"/>
        <w:ind w:firstLine="480"/>
      </w:pPr>
      <w:r>
        <w:rPr>
          <w:rFonts w:hint="eastAsia" w:ascii="仿宋" w:hAnsi="仿宋" w:eastAsia="仿宋" w:cs="仿宋"/>
        </w:rPr>
        <w:t>2．乙方人员：</w:t>
      </w:r>
      <w:r>
        <w:rPr>
          <w:rFonts w:hint="eastAsia" w:ascii="仿宋" w:hAnsi="仿宋" w:eastAsia="仿宋" w:cs="仿宋"/>
          <w:u w:val="single"/>
        </w:rPr>
        <w:t xml:space="preserve">        (项目经理)           (安全员)</w:t>
      </w:r>
    </w:p>
    <w:p>
      <w:pPr>
        <w:shd w:val="clear" w:color="auto" w:fill="FFFFFF"/>
        <w:spacing w:line="500" w:lineRule="exact"/>
        <w:ind w:firstLine="480"/>
      </w:pPr>
      <w:r>
        <w:rPr>
          <w:rFonts w:hint="eastAsia" w:ascii="仿宋" w:hAnsi="仿宋" w:eastAsia="仿宋" w:cs="仿宋"/>
        </w:rPr>
        <w:t>联系方式：</w:t>
      </w:r>
      <w:r>
        <w:rPr>
          <w:rFonts w:hint="eastAsia" w:ascii="仿宋" w:hAnsi="仿宋" w:eastAsia="仿宋" w:cs="仿宋"/>
          <w:u w:val="single"/>
        </w:rPr>
        <w:t>__</w:t>
      </w:r>
      <w:r>
        <w:rPr>
          <w:rFonts w:ascii="仿宋" w:hAnsi="仿宋" w:eastAsia="仿宋" w:cs="仿宋"/>
          <w:u w:val="single"/>
        </w:rPr>
        <w:t xml:space="preserve"> </w:t>
      </w:r>
      <w:r>
        <w:rPr>
          <w:rFonts w:hint="eastAsia" w:ascii="仿宋" w:hAnsi="仿宋" w:eastAsia="仿宋" w:cs="仿宋"/>
          <w:u w:val="single"/>
        </w:rPr>
        <w:t xml:space="preserve">        _                            </w:t>
      </w:r>
    </w:p>
    <w:p>
      <w:pPr>
        <w:shd w:val="clear" w:color="auto" w:fill="FFFFFF"/>
        <w:spacing w:after="150" w:line="500" w:lineRule="exact"/>
        <w:ind w:firstLine="482"/>
      </w:pPr>
      <w:r>
        <w:rPr>
          <w:rStyle w:val="14"/>
          <w:rFonts w:hint="eastAsia" w:ascii="仿宋" w:hAnsi="仿宋" w:eastAsia="仿宋" w:cs="仿宋"/>
          <w:sz w:val="26"/>
        </w:rPr>
        <w:t>五、甲方安全责任</w:t>
      </w:r>
    </w:p>
    <w:p>
      <w:pPr>
        <w:spacing w:line="500" w:lineRule="exact"/>
        <w:ind w:firstLine="480"/>
      </w:pPr>
      <w:r>
        <w:rPr>
          <w:rFonts w:hint="eastAsia" w:ascii="仿宋" w:hAnsi="仿宋" w:eastAsia="仿宋" w:cs="宋体"/>
          <w:sz w:val="26"/>
        </w:rPr>
        <w:t>1．甲方（或委托监理单位）有权检查乙方项目实施的安全及文明现场管理工作。</w:t>
      </w:r>
    </w:p>
    <w:p>
      <w:pPr>
        <w:shd w:val="clear" w:color="auto" w:fill="FFFFFF"/>
        <w:spacing w:line="500" w:lineRule="exact"/>
        <w:ind w:firstLine="496"/>
      </w:pPr>
      <w:r>
        <w:rPr>
          <w:rFonts w:ascii="仿宋" w:hAnsi="仿宋" w:eastAsia="仿宋" w:cs="仿宋"/>
          <w:spacing w:val="4"/>
        </w:rPr>
        <w:t>2</w:t>
      </w:r>
      <w:r>
        <w:rPr>
          <w:rFonts w:hint="eastAsia" w:ascii="仿宋" w:hAnsi="仿宋" w:eastAsia="仿宋" w:cs="仿宋"/>
          <w:spacing w:val="4"/>
        </w:rPr>
        <w:t>．甲方有权对乙方在项目中履行安全生产主体责任情况检查督促，对乙方在项目中不履行安全生产主体责任的有关事实、有关人员违章作业等行为进行制止、纠正并发出安全整改通知书、处罚通知书，直至清退出场，解除合同。</w:t>
      </w:r>
    </w:p>
    <w:p>
      <w:pPr>
        <w:shd w:val="clear" w:color="auto" w:fill="FFFFFF"/>
        <w:spacing w:after="150" w:line="500" w:lineRule="exact"/>
        <w:ind w:firstLine="480"/>
      </w:pPr>
      <w:r>
        <w:rPr>
          <w:rStyle w:val="14"/>
          <w:rFonts w:hint="eastAsia" w:ascii="仿宋" w:hAnsi="仿宋" w:eastAsia="仿宋" w:cs="仿宋"/>
          <w:sz w:val="26"/>
        </w:rPr>
        <w:t>六、乙方安全责任</w:t>
      </w:r>
    </w:p>
    <w:p>
      <w:pPr>
        <w:shd w:val="clear" w:color="auto" w:fill="FFFFFF"/>
        <w:spacing w:after="150" w:line="500" w:lineRule="exact"/>
        <w:ind w:firstLine="480"/>
      </w:pPr>
      <w:r>
        <w:rPr>
          <w:rFonts w:hint="eastAsia" w:ascii="仿宋" w:hAnsi="仿宋" w:eastAsia="仿宋" w:cs="仿宋"/>
        </w:rPr>
        <w:t>乙方作为项目的承包单位负有安全生产主体责任，对项目客体安全隐患导致的事故，以及所发生的任何人员、财产安全事故负有直接责任，并应承担全部经济赔偿责任、全部法律责任。</w:t>
      </w:r>
    </w:p>
    <w:p>
      <w:pPr>
        <w:shd w:val="clear" w:color="auto" w:fill="FFFFFF"/>
        <w:spacing w:after="150" w:line="500" w:lineRule="exact"/>
        <w:ind w:firstLine="480"/>
      </w:pPr>
      <w:r>
        <w:rPr>
          <w:rFonts w:hint="eastAsia" w:ascii="仿宋" w:hAnsi="仿宋" w:eastAsia="仿宋" w:cs="仿宋"/>
        </w:rPr>
        <w:t>乙方应切实履行以下安全保障义务责任：</w:t>
      </w:r>
    </w:p>
    <w:p>
      <w:pPr>
        <w:shd w:val="clear" w:color="auto" w:fill="FFFFFF"/>
        <w:spacing w:after="150" w:line="500" w:lineRule="exact"/>
        <w:ind w:firstLine="480"/>
      </w:pPr>
      <w:r>
        <w:rPr>
          <w:rFonts w:hint="eastAsia" w:ascii="仿宋" w:hAnsi="仿宋" w:eastAsia="仿宋" w:cs="仿宋"/>
        </w:rPr>
        <w:t>1．乙方所提供的项目要求的相关资质证明材料应真实、合法、有效。</w:t>
      </w:r>
    </w:p>
    <w:p>
      <w:pPr>
        <w:shd w:val="clear" w:color="auto" w:fill="FFFFFF"/>
        <w:spacing w:after="150" w:line="500" w:lineRule="exact"/>
        <w:ind w:firstLine="480"/>
      </w:pPr>
      <w:r>
        <w:rPr>
          <w:rFonts w:hint="eastAsia" w:ascii="仿宋" w:hAnsi="仿宋" w:eastAsia="仿宋" w:cs="仿宋"/>
        </w:rPr>
        <w:t>2．乙方必须严格执行《中华人民共和国安全生产法》、项目安全相关的国家有关法律法规，以及政府有关部门对项目有关的安全生产行政指令（一般以文件形式）。乙方还应遵守《作业规范指导意见书》有关规定。</w:t>
      </w:r>
    </w:p>
    <w:p>
      <w:pPr>
        <w:shd w:val="clear" w:color="auto" w:fill="FFFFFF"/>
        <w:spacing w:after="150" w:line="500" w:lineRule="exact"/>
        <w:ind w:firstLine="480"/>
      </w:pPr>
      <w:r>
        <w:rPr>
          <w:rFonts w:hint="eastAsia" w:ascii="仿宋" w:hAnsi="仿宋" w:eastAsia="仿宋" w:cs="仿宋"/>
        </w:rPr>
        <w:t>3.乙方必须制定相应的安全管理制度，建立安全生产管理小组，项目负责人为安全生产责任人。安全生产管理小组应根据项目大小确保每日有1-</w:t>
      </w:r>
      <w:r>
        <w:rPr>
          <w:rFonts w:ascii="仿宋" w:hAnsi="仿宋" w:eastAsia="仿宋" w:cs="仿宋"/>
        </w:rPr>
        <w:t>3</w:t>
      </w:r>
      <w:r>
        <w:rPr>
          <w:rFonts w:hint="eastAsia" w:ascii="仿宋" w:hAnsi="仿宋" w:eastAsia="仿宋" w:cs="仿宋"/>
        </w:rPr>
        <w:t>名安全管理人员巡视项目现场。</w:t>
      </w:r>
    </w:p>
    <w:p>
      <w:pPr>
        <w:shd w:val="clear" w:color="auto" w:fill="FFFFFF"/>
        <w:spacing w:after="150" w:line="500" w:lineRule="exact"/>
        <w:ind w:firstLine="480"/>
      </w:pPr>
      <w:r>
        <w:rPr>
          <w:rFonts w:hint="eastAsia" w:ascii="仿宋" w:hAnsi="仿宋" w:eastAsia="仿宋" w:cs="仿宋"/>
        </w:rPr>
        <w:t>4．乙方项目实施，应遵守国家和地方关于劳动安全，劳务用工法律法规及规章制度，保证项目用工的合法性。</w:t>
      </w:r>
    </w:p>
    <w:p>
      <w:pPr>
        <w:shd w:val="clear" w:color="auto" w:fill="FFFFFF"/>
        <w:spacing w:after="150" w:line="500" w:lineRule="exact"/>
        <w:ind w:firstLine="480"/>
      </w:pPr>
      <w:r>
        <w:rPr>
          <w:rFonts w:hint="eastAsia" w:ascii="仿宋" w:hAnsi="仿宋" w:eastAsia="仿宋" w:cs="仿宋"/>
        </w:rPr>
        <w:t>5.乙方必须按国家有关规定，购买足额的人身险、意外险、雇主责任险等保险，为项目人员配备足够数量的、合格有效的安全防护用品、安全用具。</w:t>
      </w:r>
    </w:p>
    <w:p>
      <w:pPr>
        <w:shd w:val="clear" w:color="auto" w:fill="FFFFFF"/>
        <w:spacing w:after="150" w:line="500" w:lineRule="exact"/>
        <w:ind w:firstLine="480"/>
      </w:pPr>
      <w:r>
        <w:rPr>
          <w:rFonts w:hint="eastAsia" w:ascii="仿宋" w:hAnsi="仿宋" w:eastAsia="仿宋" w:cs="仿宋"/>
        </w:rPr>
        <w:t>6．项目实施前，乙方须组织全体人员进行安全教育，未接受教育的，不得上岗作业。特种作业人员必须持有《中华人民共和国特种作业操作证》，且不超过国家法定退休年龄。</w:t>
      </w:r>
    </w:p>
    <w:p>
      <w:pPr>
        <w:shd w:val="clear" w:color="auto" w:fill="FFFFFF"/>
        <w:spacing w:after="150" w:line="500" w:lineRule="exact"/>
        <w:ind w:firstLine="480"/>
      </w:pPr>
      <w:r>
        <w:rPr>
          <w:rFonts w:hint="eastAsia" w:ascii="仿宋" w:hAnsi="仿宋" w:eastAsia="仿宋" w:cs="仿宋"/>
        </w:rPr>
        <w:t>7</w:t>
      </w:r>
      <w:r>
        <w:rPr>
          <w:rFonts w:ascii="仿宋" w:hAnsi="仿宋" w:eastAsia="仿宋" w:cs="仿宋"/>
        </w:rPr>
        <w:t xml:space="preserve">. </w:t>
      </w:r>
      <w:r>
        <w:rPr>
          <w:rFonts w:hint="eastAsia" w:ascii="仿宋" w:hAnsi="仿宋" w:eastAsia="仿宋" w:cs="仿宋"/>
        </w:rPr>
        <w:t>项目开始前，乙方应对项目安全情况摸底后向现场工作人员交底并形成书面记录，并按规定制定各类安全方案（措施）报甲方备案。</w:t>
      </w:r>
    </w:p>
    <w:p>
      <w:pPr>
        <w:shd w:val="clear" w:color="auto" w:fill="FFFFFF"/>
        <w:spacing w:after="150" w:line="500" w:lineRule="exact"/>
        <w:ind w:firstLine="480"/>
      </w:pPr>
      <w:r>
        <w:rPr>
          <w:rFonts w:ascii="仿宋" w:hAnsi="仿宋" w:eastAsia="仿宋" w:cs="仿宋"/>
        </w:rPr>
        <w:t>8</w:t>
      </w:r>
      <w:r>
        <w:rPr>
          <w:rFonts w:hint="eastAsia" w:ascii="仿宋" w:hAnsi="仿宋" w:eastAsia="仿宋" w:cs="仿宋"/>
        </w:rPr>
        <w:t>．乙方必须接受甲方（或委托的第三方单位）的监督、检查，对甲方提出的安全整改意见必须及时整改。</w:t>
      </w:r>
    </w:p>
    <w:p>
      <w:pPr>
        <w:shd w:val="clear" w:color="auto" w:fill="FFFFFF"/>
        <w:spacing w:after="150" w:line="500" w:lineRule="exact"/>
        <w:ind w:firstLine="480"/>
      </w:pPr>
      <w:r>
        <w:rPr>
          <w:rFonts w:ascii="仿宋" w:hAnsi="仿宋" w:eastAsia="仿宋" w:cs="仿宋"/>
        </w:rPr>
        <w:t>9</w:t>
      </w:r>
      <w:r>
        <w:rPr>
          <w:rFonts w:hint="eastAsia" w:ascii="仿宋" w:hAnsi="仿宋" w:eastAsia="仿宋" w:cs="仿宋"/>
        </w:rPr>
        <w:t>．乙方必须正确使用甲方提供各种设施设备（或有），采取安全防范措施，防止现场的安全防护设施，警示标志、材料、机械设备以及消防器材等被偷盗、挪用、破坏。若有失窃或被损坏的，负责及时补齐，若不补齐的，甲方对乙方加倍处罚。</w:t>
      </w:r>
    </w:p>
    <w:p>
      <w:pPr>
        <w:shd w:val="clear" w:color="auto" w:fill="FFFFFF"/>
        <w:spacing w:after="150" w:line="500" w:lineRule="exact"/>
        <w:ind w:firstLine="480"/>
      </w:pPr>
      <w:r>
        <w:rPr>
          <w:rFonts w:ascii="仿宋" w:hAnsi="仿宋" w:eastAsia="仿宋" w:cs="仿宋"/>
        </w:rPr>
        <w:t>10</w:t>
      </w:r>
      <w:r>
        <w:rPr>
          <w:rFonts w:hint="eastAsia" w:ascii="仿宋" w:hAnsi="仿宋" w:eastAsia="仿宋" w:cs="仿宋"/>
        </w:rPr>
        <w:t>．项目发生安全事件的，乙方须立即采取措施挽救生命，做好现场保护防范次生灾害发生，并立即向甲方报告；事发后，要立即组织成立安全事故（事件）应急处置工作组，积极做好处置工作，防止事态扩大引发舆情；要配合有关方面调查，未了结之前，工作组不解散；事故了结后，应将调查报告及乙方事故处理意见提交甲方备案。（四不放过原则）</w:t>
      </w:r>
    </w:p>
    <w:p>
      <w:pPr>
        <w:shd w:val="clear" w:color="auto" w:fill="FFFFFF"/>
        <w:spacing w:after="150" w:line="500" w:lineRule="exact"/>
        <w:ind w:firstLine="480"/>
      </w:pPr>
      <w:r>
        <w:rPr>
          <w:rFonts w:hint="eastAsia" w:ascii="仿宋" w:hAnsi="仿宋" w:eastAsia="仿宋" w:cs="仿宋"/>
        </w:rPr>
        <w:t>1</w:t>
      </w:r>
      <w:r>
        <w:rPr>
          <w:rFonts w:ascii="仿宋" w:hAnsi="仿宋" w:eastAsia="仿宋" w:cs="仿宋"/>
        </w:rPr>
        <w:t>1.</w:t>
      </w:r>
      <w:r>
        <w:rPr>
          <w:rFonts w:hint="eastAsia" w:ascii="仿宋" w:hAnsi="仿宋" w:eastAsia="仿宋" w:cs="仿宋"/>
        </w:rPr>
        <w:t>乙方应严格遵循、执行</w:t>
      </w:r>
      <w:r>
        <w:rPr>
          <w:rFonts w:hint="eastAsia" w:ascii="仿宋" w:hAnsi="仿宋" w:eastAsia="仿宋" w:cs="仿宋"/>
          <w:bCs/>
        </w:rPr>
        <w:t>对应项目的安全作业手册或安全作业标准或安全作业规范。乙方违反安全作业手册或安全作业标准或安全作业规范任一要求的，构成过错，属于违约，应承担违约赔偿责任。</w:t>
      </w:r>
    </w:p>
    <w:p>
      <w:pPr>
        <w:shd w:val="clear" w:color="auto" w:fill="FFFFFF"/>
        <w:spacing w:after="150" w:line="500" w:lineRule="exact"/>
        <w:ind w:firstLine="482"/>
      </w:pPr>
      <w:r>
        <w:rPr>
          <w:rFonts w:hint="eastAsia" w:ascii="仿宋" w:hAnsi="仿宋" w:eastAsia="仿宋" w:cs="仿宋"/>
          <w:b/>
        </w:rPr>
        <w:t>七、项目有关责任</w:t>
      </w:r>
    </w:p>
    <w:p>
      <w:pPr>
        <w:shd w:val="clear" w:color="auto" w:fill="FFFFFF"/>
        <w:spacing w:after="150" w:line="500" w:lineRule="exact"/>
        <w:ind w:firstLine="480"/>
      </w:pPr>
      <w:r>
        <w:rPr>
          <w:rFonts w:hint="eastAsia" w:ascii="仿宋" w:hAnsi="仿宋" w:eastAsia="仿宋" w:cs="仿宋"/>
        </w:rPr>
        <w:t>1．项目发生安全事故的，由乙方依法承担责任，并赔偿受害方（包括甲方）因此造成的人身和/或财产损失。</w:t>
      </w:r>
    </w:p>
    <w:p>
      <w:pPr>
        <w:shd w:val="clear" w:color="auto" w:fill="FFFFFF"/>
        <w:spacing w:after="150" w:line="500" w:lineRule="exact"/>
        <w:ind w:firstLine="480"/>
      </w:pPr>
      <w:r>
        <w:rPr>
          <w:rFonts w:hint="eastAsia" w:ascii="仿宋" w:hAnsi="仿宋" w:eastAsia="仿宋" w:cs="仿宋"/>
        </w:rPr>
        <w:t>2．发现乙方提供有关资料无效的，甲方有权解除合同，并由乙方承担由此造成的一切损失。</w:t>
      </w:r>
    </w:p>
    <w:p>
      <w:pPr>
        <w:shd w:val="clear" w:color="auto" w:fill="FFFFFF"/>
        <w:spacing w:after="150" w:line="500" w:lineRule="exact"/>
        <w:ind w:firstLine="480"/>
      </w:pPr>
      <w:r>
        <w:rPr>
          <w:rFonts w:hint="eastAsia" w:ascii="仿宋" w:hAnsi="仿宋" w:eastAsia="仿宋" w:cs="仿宋"/>
        </w:rPr>
        <w:t>3．发现乙方实施项目有违章行为的，甲方有权对乙方作出惩罚性扣款处理。发现乙方首起违章行为的，甲方扣款1000元；第二起违章行为的，甲方扣款2000元；第三起违章行为的，甲方扣款5000元。以后再有发现的，累计累算翻倍扣款。违章行为应以次计，而不论违章行为是否重复、相同或同类。</w:t>
      </w:r>
    </w:p>
    <w:p>
      <w:pPr>
        <w:shd w:val="clear" w:color="auto" w:fill="FFFFFF"/>
        <w:spacing w:after="150" w:line="500" w:lineRule="exact"/>
        <w:ind w:firstLine="482"/>
      </w:pPr>
      <w:r>
        <w:rPr>
          <w:rFonts w:hint="eastAsia" w:ascii="仿宋" w:hAnsi="仿宋" w:eastAsia="仿宋" w:cs="仿宋"/>
          <w:b/>
        </w:rPr>
        <w:t>八、经济赔偿责任</w:t>
      </w:r>
    </w:p>
    <w:p>
      <w:pPr>
        <w:shd w:val="clear" w:color="auto" w:fill="FFFFFF"/>
        <w:spacing w:after="150" w:line="500" w:lineRule="exact"/>
        <w:ind w:firstLine="480"/>
      </w:pPr>
      <w:r>
        <w:rPr>
          <w:rFonts w:hint="eastAsia" w:ascii="仿宋" w:hAnsi="仿宋" w:eastAsia="仿宋" w:cs="仿宋"/>
        </w:rPr>
        <w:t>1．乙方承担项目安全生产主体责任，项目发生事故的，由乙方承担全部经济赔偿责任。乙方在此承诺：乙方将确保甲方不因任何类型的安全事故而遭受任何损失；甲方若因安全事故而不得不对外支付或垫付或承担赔偿责任的，乙方应在接到甲方通知后3个工作日内按照甲方的支付或垫付或承担金额全额支付给甲方，逾期应按照同期L</w:t>
      </w:r>
      <w:r>
        <w:rPr>
          <w:rFonts w:ascii="仿宋" w:hAnsi="仿宋" w:eastAsia="仿宋" w:cs="仿宋"/>
        </w:rPr>
        <w:t>PR</w:t>
      </w:r>
      <w:r>
        <w:rPr>
          <w:rFonts w:hint="eastAsia" w:ascii="仿宋" w:hAnsi="仿宋" w:eastAsia="仿宋" w:cs="仿宋"/>
        </w:rPr>
        <w:t>的2倍向甲方支付违约金。</w:t>
      </w:r>
    </w:p>
    <w:p>
      <w:pPr>
        <w:shd w:val="clear" w:color="auto" w:fill="FFFFFF"/>
        <w:spacing w:after="150" w:line="500" w:lineRule="exact"/>
        <w:ind w:firstLine="480"/>
      </w:pPr>
      <w:r>
        <w:rPr>
          <w:rFonts w:hint="eastAsia" w:ascii="仿宋" w:hAnsi="仿宋" w:eastAsia="仿宋" w:cs="仿宋"/>
        </w:rPr>
        <w:t>2．为确保社会稳定，乙方负有经济赔偿兜底责任。</w:t>
      </w:r>
    </w:p>
    <w:p>
      <w:pPr>
        <w:shd w:val="clear" w:color="auto" w:fill="FFFFFF"/>
        <w:spacing w:after="150" w:line="500" w:lineRule="exact"/>
        <w:ind w:firstLine="506"/>
      </w:pPr>
      <w:r>
        <w:rPr>
          <w:rFonts w:hint="eastAsia" w:ascii="仿宋" w:hAnsi="仿宋" w:eastAsia="仿宋" w:cs="仿宋"/>
          <w:b/>
          <w:spacing w:val="6"/>
        </w:rPr>
        <w:t>九</w:t>
      </w:r>
      <w:r>
        <w:rPr>
          <w:rFonts w:hint="eastAsia" w:ascii="仿宋" w:hAnsi="仿宋" w:eastAsia="仿宋" w:cs="仿宋"/>
          <w:b/>
        </w:rPr>
        <w:t>、</w:t>
      </w:r>
      <w:r>
        <w:rPr>
          <w:rFonts w:hint="eastAsia" w:ascii="仿宋" w:hAnsi="仿宋" w:eastAsia="仿宋" w:cs="仿宋"/>
        </w:rPr>
        <w:t>协议订立地位于：</w:t>
      </w:r>
      <w:r>
        <w:rPr>
          <w:rFonts w:hint="eastAsia" w:ascii="仿宋" w:hAnsi="仿宋" w:eastAsia="仿宋" w:cs="仿宋"/>
          <w:u w:val="single"/>
        </w:rPr>
        <w:t>苏州工业园区</w:t>
      </w:r>
      <w:r>
        <w:rPr>
          <w:rFonts w:hint="eastAsia" w:ascii="仿宋" w:hAnsi="仿宋" w:eastAsia="仿宋" w:cs="仿宋"/>
        </w:rPr>
        <w:t>。</w:t>
      </w:r>
    </w:p>
    <w:p>
      <w:pPr>
        <w:shd w:val="clear" w:color="auto" w:fill="FFFFFF"/>
        <w:spacing w:after="150" w:line="500" w:lineRule="exact"/>
        <w:ind w:firstLine="482"/>
      </w:pPr>
      <w:r>
        <w:rPr>
          <w:rFonts w:hint="eastAsia" w:ascii="仿宋" w:hAnsi="仿宋" w:eastAsia="仿宋" w:cs="仿宋"/>
          <w:b/>
        </w:rPr>
        <w:t>十</w:t>
      </w:r>
      <w:r>
        <w:rPr>
          <w:rFonts w:hint="eastAsia" w:ascii="仿宋" w:hAnsi="仿宋" w:eastAsia="仿宋" w:cs="仿宋"/>
          <w:b/>
          <w:spacing w:val="6"/>
        </w:rPr>
        <w:t>、甲乙双方必须严格执行本协议，本协议法律效力独立于主合同。</w:t>
      </w:r>
      <w:r>
        <w:rPr>
          <w:rFonts w:hint="eastAsia" w:ascii="仿宋" w:hAnsi="仿宋" w:eastAsia="仿宋" w:cs="仿宋"/>
          <w:b/>
        </w:rPr>
        <w:t>本协议在履行过程中发生的争议，由双方当事人协商解决。协商不成的，甲乙双方均须向甲方所在地法院提起诉讼。</w:t>
      </w:r>
    </w:p>
    <w:p>
      <w:pPr>
        <w:shd w:val="clear" w:color="auto" w:fill="FFFFFF"/>
        <w:spacing w:after="150" w:line="500" w:lineRule="exact"/>
        <w:ind w:firstLine="482"/>
      </w:pPr>
      <w:r>
        <w:rPr>
          <w:rFonts w:hint="eastAsia" w:ascii="仿宋" w:hAnsi="仿宋" w:eastAsia="仿宋" w:cs="仿宋"/>
          <w:b/>
        </w:rPr>
        <w:t>十一、</w:t>
      </w:r>
      <w:r>
        <w:rPr>
          <w:rFonts w:hint="eastAsia" w:ascii="仿宋" w:hAnsi="仿宋" w:eastAsia="仿宋" w:cs="仿宋"/>
          <w:bCs/>
        </w:rPr>
        <w:t>本协议包括附件《承包单位安全生产主体责任清单（通用）》</w:t>
      </w:r>
      <w:r>
        <w:rPr>
          <w:rFonts w:hint="eastAsia" w:ascii="仿宋" w:hAnsi="仿宋" w:eastAsia="仿宋" w:cs="仿宋"/>
        </w:rPr>
        <w:t>本协议（含附件1）经双方法定代表人签字并加盖公章后生效。</w:t>
      </w:r>
    </w:p>
    <w:p>
      <w:pPr>
        <w:shd w:val="clear" w:color="auto" w:fill="FFFFFF"/>
        <w:spacing w:after="150" w:line="500" w:lineRule="exact"/>
        <w:ind w:firstLine="482"/>
      </w:pPr>
      <w:r>
        <w:rPr>
          <w:rFonts w:hint="eastAsia" w:ascii="仿宋" w:hAnsi="仿宋" w:eastAsia="仿宋" w:cs="仿宋"/>
          <w:b/>
        </w:rPr>
        <w:t>十二、</w:t>
      </w:r>
      <w:r>
        <w:rPr>
          <w:rFonts w:hint="eastAsia" w:ascii="仿宋" w:hAnsi="仿宋" w:eastAsia="仿宋" w:cs="仿宋"/>
        </w:rPr>
        <w:t>本协议一式</w:t>
      </w:r>
      <w:r>
        <w:rPr>
          <w:rFonts w:hint="eastAsia" w:ascii="仿宋" w:hAnsi="仿宋" w:eastAsia="仿宋" w:cs="仿宋"/>
          <w:u w:val="single"/>
        </w:rPr>
        <w:t xml:space="preserve">         </w:t>
      </w:r>
      <w:r>
        <w:rPr>
          <w:rFonts w:hint="eastAsia" w:ascii="仿宋" w:hAnsi="仿宋" w:eastAsia="仿宋" w:cs="仿宋"/>
        </w:rPr>
        <w:t>份，甲乙双方各执</w:t>
      </w:r>
      <w:r>
        <w:rPr>
          <w:rFonts w:hint="eastAsia" w:ascii="仿宋" w:hAnsi="仿宋" w:eastAsia="仿宋" w:cs="仿宋"/>
          <w:u w:val="single"/>
        </w:rPr>
        <w:t xml:space="preserve">____  </w:t>
      </w:r>
      <w:r>
        <w:rPr>
          <w:rFonts w:hint="eastAsia" w:ascii="仿宋" w:hAnsi="仿宋" w:eastAsia="仿宋" w:cs="仿宋"/>
        </w:rPr>
        <w:t>份。</w:t>
      </w:r>
    </w:p>
    <w:p>
      <w:pPr>
        <w:shd w:val="clear" w:color="auto" w:fill="FFFFFF"/>
        <w:spacing w:after="150" w:line="620" w:lineRule="exact"/>
        <w:ind w:firstLine="480"/>
        <w:rPr>
          <w:rFonts w:ascii="仿宋" w:hAnsi="仿宋" w:eastAsia="仿宋" w:cs="仿宋"/>
          <w:b/>
        </w:rPr>
      </w:pPr>
    </w:p>
    <w:p>
      <w:pPr>
        <w:shd w:val="clear" w:color="auto" w:fill="FFFFFF"/>
        <w:spacing w:after="150" w:line="620" w:lineRule="exact"/>
        <w:ind w:firstLine="480"/>
      </w:pPr>
      <w:r>
        <w:rPr>
          <w:rFonts w:hint="eastAsia" w:ascii="仿宋" w:hAnsi="仿宋" w:eastAsia="仿宋" w:cs="仿宋"/>
        </w:rPr>
        <w:t>甲方：（签章）</w:t>
      </w:r>
      <w:r>
        <w:rPr>
          <w:rFonts w:hint="eastAsia" w:ascii="仿宋" w:hAnsi="仿宋" w:eastAsia="仿宋" w:cs="仿宋"/>
          <w:u w:val="single"/>
        </w:rPr>
        <w:t>_________       __________</w:t>
      </w:r>
    </w:p>
    <w:p>
      <w:pPr>
        <w:shd w:val="clear" w:color="auto" w:fill="FFFFFF"/>
        <w:spacing w:after="150" w:line="620" w:lineRule="exact"/>
        <w:ind w:firstLine="480"/>
      </w:pPr>
      <w:r>
        <w:rPr>
          <w:rFonts w:hint="eastAsia" w:ascii="仿宋" w:hAnsi="仿宋" w:eastAsia="仿宋" w:cs="仿宋"/>
        </w:rPr>
        <w:t xml:space="preserve">法定代表人   </w:t>
      </w:r>
      <w:r>
        <w:rPr>
          <w:rFonts w:hint="eastAsia" w:ascii="仿宋" w:hAnsi="仿宋" w:eastAsia="仿宋" w:cs="仿宋"/>
          <w:u w:val="single"/>
        </w:rPr>
        <w:t>_________       __________</w:t>
      </w:r>
    </w:p>
    <w:p>
      <w:pPr>
        <w:shd w:val="clear" w:color="auto" w:fill="FFFFFF"/>
        <w:spacing w:after="150" w:line="620" w:lineRule="exact"/>
        <w:ind w:firstLine="480"/>
        <w:rPr>
          <w:rFonts w:ascii="仿宋" w:hAnsi="仿宋" w:eastAsia="仿宋" w:cs="仿宋"/>
        </w:rPr>
      </w:pPr>
    </w:p>
    <w:p>
      <w:pPr>
        <w:pStyle w:val="5"/>
        <w:snapToGrid w:val="0"/>
      </w:pPr>
      <w:r>
        <w:rPr>
          <w:rFonts w:hint="eastAsia" w:ascii="仿宋" w:hAnsi="仿宋" w:eastAsia="仿宋" w:cs="仿宋"/>
        </w:rPr>
        <w:t>乙方：（签章）</w:t>
      </w:r>
      <w:r>
        <w:rPr>
          <w:rFonts w:hint="eastAsia" w:ascii="仿宋" w:hAnsi="仿宋" w:eastAsia="仿宋" w:cs="仿宋"/>
          <w:u w:val="single"/>
        </w:rPr>
        <w:t xml:space="preserve">                          </w:t>
      </w:r>
    </w:p>
    <w:p>
      <w:pPr>
        <w:pStyle w:val="6"/>
        <w:ind w:left="0"/>
        <w:rPr>
          <w:rFonts w:ascii="仿宋" w:hAnsi="仿宋" w:eastAsia="仿宋" w:cs="仿宋"/>
          <w:u w:val="single"/>
        </w:rPr>
      </w:pPr>
    </w:p>
    <w:p>
      <w:pPr>
        <w:pStyle w:val="6"/>
        <w:ind w:left="0" w:firstLine="420"/>
      </w:pPr>
      <w:r>
        <w:rPr>
          <w:rFonts w:hint="eastAsia" w:ascii="仿宋" w:hAnsi="仿宋" w:eastAsia="仿宋" w:cs="仿宋"/>
        </w:rPr>
        <w:t xml:space="preserve">法定代表人   </w:t>
      </w:r>
      <w:r>
        <w:rPr>
          <w:rFonts w:hint="eastAsia" w:ascii="仿宋" w:hAnsi="仿宋" w:eastAsia="仿宋" w:cs="仿宋"/>
          <w:u w:val="single"/>
        </w:rPr>
        <w:t>_________       __________</w:t>
      </w:r>
    </w:p>
    <w:p>
      <w:pPr>
        <w:spacing w:line="360" w:lineRule="auto"/>
        <w:rPr>
          <w:rFonts w:ascii="仿宋" w:hAnsi="仿宋" w:eastAsia="仿宋" w:cs="仿宋"/>
          <w:szCs w:val="21"/>
        </w:rPr>
      </w:pPr>
    </w:p>
    <w:p>
      <w:pPr>
        <w:pStyle w:val="5"/>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pageBreakBefore/>
        <w:spacing w:line="360" w:lineRule="auto"/>
        <w:jc w:val="center"/>
      </w:pPr>
      <w:r>
        <w:rPr>
          <w:rFonts w:hint="eastAsia" w:ascii="仿宋" w:hAnsi="仿宋" w:eastAsia="仿宋" w:cs="仿宋"/>
          <w:b/>
          <w:sz w:val="32"/>
          <w:szCs w:val="32"/>
        </w:rPr>
        <w:t>项目安全协议书附件：承包单位安全生产主体责任清单（通用）</w:t>
      </w:r>
    </w:p>
    <w:p>
      <w:pPr>
        <w:spacing w:line="620" w:lineRule="exact"/>
        <w:ind w:firstLine="560"/>
        <w:jc w:val="center"/>
        <w:rPr>
          <w:rFonts w:ascii="仿宋" w:hAnsi="仿宋" w:eastAsia="仿宋" w:cs="仿宋"/>
          <w:b/>
          <w:sz w:val="28"/>
          <w:szCs w:val="28"/>
        </w:rPr>
      </w:pPr>
    </w:p>
    <w:p>
      <w:pPr>
        <w:ind w:firstLine="480"/>
      </w:pPr>
      <w:r>
        <w:rPr>
          <w:rFonts w:hint="eastAsia" w:ascii="仿宋" w:hAnsi="仿宋" w:eastAsia="仿宋" w:cs="仿宋"/>
          <w:sz w:val="26"/>
        </w:rPr>
        <w:t>注：本主体责任清单项下的“生产”为广义，包括且不限于责任主体的各类生产、经营、建设、施工、作业等活动。</w:t>
      </w:r>
    </w:p>
    <w:tbl>
      <w:tblPr>
        <w:tblStyle w:val="12"/>
        <w:tblW w:w="0" w:type="auto"/>
        <w:tblInd w:w="-9" w:type="dxa"/>
        <w:tblLayout w:type="fixed"/>
        <w:tblCellMar>
          <w:top w:w="0" w:type="dxa"/>
          <w:left w:w="108" w:type="dxa"/>
          <w:bottom w:w="0" w:type="dxa"/>
          <w:right w:w="108" w:type="dxa"/>
        </w:tblCellMar>
      </w:tblPr>
      <w:tblGrid>
        <w:gridCol w:w="1056"/>
        <w:gridCol w:w="672"/>
        <w:gridCol w:w="1916"/>
        <w:gridCol w:w="5623"/>
      </w:tblGrid>
      <w:tr>
        <w:tblPrEx>
          <w:tblCellMar>
            <w:top w:w="0" w:type="dxa"/>
            <w:left w:w="108" w:type="dxa"/>
            <w:bottom w:w="0" w:type="dxa"/>
            <w:right w:w="108" w:type="dxa"/>
          </w:tblCellMar>
        </w:tblPrEx>
        <w:trPr>
          <w:trHeight w:val="318" w:hRule="atLeast"/>
        </w:trPr>
        <w:tc>
          <w:tcPr>
            <w:tcW w:w="105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000000"/>
                <w:szCs w:val="21"/>
              </w:rPr>
              <w:t>责任类别</w:t>
            </w:r>
          </w:p>
        </w:tc>
        <w:tc>
          <w:tcPr>
            <w:tcW w:w="672" w:type="dxa"/>
            <w:tcBorders>
              <w:top w:val="single" w:color="000000" w:sz="8" w:space="0"/>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000000"/>
                <w:szCs w:val="21"/>
              </w:rPr>
              <w:t>序号</w:t>
            </w:r>
          </w:p>
        </w:tc>
        <w:tc>
          <w:tcPr>
            <w:tcW w:w="1916" w:type="dxa"/>
            <w:tcBorders>
              <w:top w:val="single" w:color="000000" w:sz="8" w:space="0"/>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000000"/>
                <w:szCs w:val="21"/>
              </w:rPr>
              <w:t>责任要点</w:t>
            </w:r>
          </w:p>
        </w:tc>
        <w:tc>
          <w:tcPr>
            <w:tcW w:w="5623" w:type="dxa"/>
            <w:tcBorders>
              <w:top w:val="single" w:color="000000" w:sz="8" w:space="0"/>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000000"/>
                <w:szCs w:val="21"/>
              </w:rPr>
              <w:t>责任内容</w:t>
            </w:r>
          </w:p>
        </w:tc>
      </w:tr>
      <w:tr>
        <w:tblPrEx>
          <w:tblCellMar>
            <w:top w:w="0" w:type="dxa"/>
            <w:left w:w="108" w:type="dxa"/>
            <w:bottom w:w="0" w:type="dxa"/>
            <w:right w:w="108" w:type="dxa"/>
          </w:tblCellMar>
        </w:tblPrEx>
        <w:trPr>
          <w:trHeight w:val="1400" w:hRule="atLeast"/>
        </w:trPr>
        <w:tc>
          <w:tcPr>
            <w:tcW w:w="1056" w:type="dxa"/>
            <w:vMerge w:val="restart"/>
            <w:tcBorders>
              <w:left w:val="single" w:color="000000" w:sz="8" w:space="0"/>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000000"/>
                <w:szCs w:val="21"/>
              </w:rPr>
              <w:t>严格落实第一责任人责任</w:t>
            </w:r>
          </w:p>
        </w:tc>
        <w:tc>
          <w:tcPr>
            <w:tcW w:w="672" w:type="dxa"/>
            <w:tcBorders>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333333"/>
                <w:szCs w:val="21"/>
              </w:rPr>
              <w:t>1</w:t>
            </w:r>
          </w:p>
        </w:tc>
        <w:tc>
          <w:tcPr>
            <w:tcW w:w="1916" w:type="dxa"/>
            <w:tcBorders>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333333"/>
                <w:szCs w:val="21"/>
              </w:rPr>
              <w:t>承包单位法定代表人和实际控制人切实履行第一责任</w:t>
            </w:r>
          </w:p>
        </w:tc>
        <w:tc>
          <w:tcPr>
            <w:tcW w:w="5623" w:type="dxa"/>
            <w:tcBorders>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承包单位董事长、总经理等法定代表人和实际控制人是安全生产第一责任人，对本项目的安全生产工作全面负责，应亲自推动安全生产制度的建立，经常深入一线检查安全生产工作，监督安全生产制度落实，研究解决安全生产突出问题。</w:t>
            </w:r>
          </w:p>
        </w:tc>
      </w:tr>
      <w:tr>
        <w:tblPrEx>
          <w:tblCellMar>
            <w:top w:w="0" w:type="dxa"/>
            <w:left w:w="108" w:type="dxa"/>
            <w:bottom w:w="0" w:type="dxa"/>
            <w:right w:w="108" w:type="dxa"/>
          </w:tblCellMar>
        </w:tblPrEx>
        <w:trPr>
          <w:trHeight w:val="2031" w:hRule="atLeast"/>
        </w:trPr>
        <w:tc>
          <w:tcPr>
            <w:tcW w:w="1056" w:type="dxa"/>
            <w:vMerge w:val="continue"/>
            <w:tcBorders>
              <w:left w:val="single" w:color="000000" w:sz="8" w:space="0"/>
              <w:bottom w:val="single" w:color="000000" w:sz="8" w:space="0"/>
              <w:right w:val="single" w:color="000000" w:sz="8" w:space="0"/>
            </w:tcBorders>
            <w:shd w:val="clear" w:color="auto" w:fill="auto"/>
            <w:vAlign w:val="center"/>
          </w:tcPr>
          <w:p>
            <w:pPr>
              <w:snapToGrid w:val="0"/>
              <w:jc w:val="center"/>
              <w:rPr>
                <w:rFonts w:ascii="仿宋" w:hAnsi="仿宋" w:eastAsia="仿宋" w:cs="仿宋"/>
                <w:color w:val="000000"/>
                <w:szCs w:val="21"/>
              </w:rPr>
            </w:pPr>
          </w:p>
        </w:tc>
        <w:tc>
          <w:tcPr>
            <w:tcW w:w="672" w:type="dxa"/>
            <w:tcBorders>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333333"/>
                <w:szCs w:val="21"/>
              </w:rPr>
              <w:t>2</w:t>
            </w:r>
          </w:p>
        </w:tc>
        <w:tc>
          <w:tcPr>
            <w:tcW w:w="1916" w:type="dxa"/>
            <w:tcBorders>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坚持依法生产经营、建设施工等活动</w:t>
            </w:r>
          </w:p>
        </w:tc>
        <w:tc>
          <w:tcPr>
            <w:tcW w:w="5623" w:type="dxa"/>
            <w:tcBorders>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承包单位必须牢固树立法治观念，从事生产经营、建设施工等活动应依法取得安全生产相关证照和许可，符合法律法规、国家和地方标准或者行业标准规定的安全生产条件，及时主动获取并严格执行与安全生产相关的法律法规标准，依法健全完善安全生产规章规程和安全防范措施，严禁使用国家和政府行业主管部门明令淘汰的危及生产安全的设备及工艺，及时淘汰更新陈旧落后的设备及工艺。</w:t>
            </w:r>
          </w:p>
        </w:tc>
      </w:tr>
      <w:tr>
        <w:tblPrEx>
          <w:tblCellMar>
            <w:top w:w="0" w:type="dxa"/>
            <w:left w:w="108" w:type="dxa"/>
            <w:bottom w:w="0" w:type="dxa"/>
            <w:right w:w="108" w:type="dxa"/>
          </w:tblCellMar>
        </w:tblPrEx>
        <w:trPr>
          <w:trHeight w:val="2607" w:hRule="atLeast"/>
        </w:trPr>
        <w:tc>
          <w:tcPr>
            <w:tcW w:w="1056" w:type="dxa"/>
            <w:vMerge w:val="continue"/>
            <w:tcBorders>
              <w:left w:val="single" w:color="000000" w:sz="8" w:space="0"/>
              <w:bottom w:val="single" w:color="000000" w:sz="8" w:space="0"/>
              <w:right w:val="single" w:color="000000" w:sz="8" w:space="0"/>
            </w:tcBorders>
            <w:shd w:val="clear" w:color="auto" w:fill="auto"/>
            <w:vAlign w:val="center"/>
          </w:tcPr>
          <w:p>
            <w:pPr>
              <w:snapToGrid w:val="0"/>
              <w:jc w:val="center"/>
              <w:rPr>
                <w:rFonts w:ascii="仿宋" w:hAnsi="仿宋" w:eastAsia="仿宋" w:cs="仿宋"/>
                <w:color w:val="000000"/>
                <w:szCs w:val="21"/>
              </w:rPr>
            </w:pPr>
          </w:p>
        </w:tc>
        <w:tc>
          <w:tcPr>
            <w:tcW w:w="672" w:type="dxa"/>
            <w:tcBorders>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333333"/>
                <w:szCs w:val="21"/>
              </w:rPr>
              <w:t>3</w:t>
            </w:r>
          </w:p>
        </w:tc>
        <w:tc>
          <w:tcPr>
            <w:tcW w:w="1916" w:type="dxa"/>
            <w:tcBorders>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加强安全管理机构和人员配备</w:t>
            </w:r>
          </w:p>
        </w:tc>
        <w:tc>
          <w:tcPr>
            <w:tcW w:w="5623" w:type="dxa"/>
            <w:tcBorders>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承包单位应依法依规设置安全生产、建设施工等管理机构或者配备专（兼）职安全生产管理人员，企业主要负责人、分管安全生产负责人、安全总监、安全生产管理人员，应具备与本单位所从事的生产经营、建设施工等活动相适应的安全生产知识和管理能力。项目金额达到2000万元及以上的承包单位，或者，从业人员在100人及以上或年主营业务收入2000万元及以上的矿山、建筑、交通运输、危险化学品、金属冶炼等行业，以及粉尘涉爆、涉氨制冷、船舶修造等领域的承包单位应配备安全总监、注册安全工程师。</w:t>
            </w:r>
          </w:p>
        </w:tc>
      </w:tr>
      <w:tr>
        <w:tblPrEx>
          <w:tblCellMar>
            <w:top w:w="0" w:type="dxa"/>
            <w:left w:w="108" w:type="dxa"/>
            <w:bottom w:w="0" w:type="dxa"/>
            <w:right w:w="108" w:type="dxa"/>
          </w:tblCellMar>
        </w:tblPrEx>
        <w:trPr>
          <w:trHeight w:val="1455" w:hRule="atLeast"/>
        </w:trPr>
        <w:tc>
          <w:tcPr>
            <w:tcW w:w="1056" w:type="dxa"/>
            <w:vMerge w:val="continue"/>
            <w:tcBorders>
              <w:left w:val="single" w:color="000000" w:sz="8" w:space="0"/>
              <w:bottom w:val="single" w:color="000000" w:sz="8" w:space="0"/>
              <w:right w:val="single" w:color="000000" w:sz="8" w:space="0"/>
            </w:tcBorders>
            <w:shd w:val="clear" w:color="auto" w:fill="auto"/>
            <w:vAlign w:val="center"/>
          </w:tcPr>
          <w:p>
            <w:pPr>
              <w:snapToGrid w:val="0"/>
              <w:jc w:val="center"/>
              <w:rPr>
                <w:rFonts w:ascii="仿宋" w:hAnsi="仿宋" w:eastAsia="仿宋" w:cs="仿宋"/>
                <w:color w:val="000000"/>
                <w:szCs w:val="21"/>
              </w:rPr>
            </w:pPr>
          </w:p>
        </w:tc>
        <w:tc>
          <w:tcPr>
            <w:tcW w:w="672" w:type="dxa"/>
            <w:tcBorders>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333333"/>
                <w:szCs w:val="21"/>
              </w:rPr>
              <w:t>4</w:t>
            </w:r>
          </w:p>
        </w:tc>
        <w:tc>
          <w:tcPr>
            <w:tcW w:w="1916" w:type="dxa"/>
            <w:tcBorders>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加大安全生产经费投入</w:t>
            </w:r>
          </w:p>
        </w:tc>
        <w:tc>
          <w:tcPr>
            <w:tcW w:w="5623" w:type="dxa"/>
            <w:tcBorders>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承包单位应将本项目安全生产投入纳入计划和财务预算，足额提取并按规定使用安全生产费用，保障安全生产设备设施、风险辨识管控、隐患排查整治、设备维修保养、安全教育培训、劳动防护用品配备、保险、应急演练、事故救援等安全生产支出。</w:t>
            </w:r>
          </w:p>
        </w:tc>
      </w:tr>
      <w:tr>
        <w:tblPrEx>
          <w:tblCellMar>
            <w:top w:w="0" w:type="dxa"/>
            <w:left w:w="108" w:type="dxa"/>
            <w:bottom w:w="0" w:type="dxa"/>
            <w:right w:w="108" w:type="dxa"/>
          </w:tblCellMar>
        </w:tblPrEx>
        <w:trPr>
          <w:trHeight w:val="2031" w:hRule="atLeast"/>
        </w:trPr>
        <w:tc>
          <w:tcPr>
            <w:tcW w:w="1056" w:type="dxa"/>
            <w:vMerge w:val="continue"/>
            <w:tcBorders>
              <w:left w:val="single" w:color="000000" w:sz="8" w:space="0"/>
              <w:bottom w:val="single" w:color="000000" w:sz="8" w:space="0"/>
              <w:right w:val="single" w:color="000000" w:sz="8" w:space="0"/>
            </w:tcBorders>
            <w:shd w:val="clear" w:color="auto" w:fill="auto"/>
            <w:vAlign w:val="center"/>
          </w:tcPr>
          <w:p>
            <w:pPr>
              <w:snapToGrid w:val="0"/>
              <w:jc w:val="center"/>
              <w:rPr>
                <w:rFonts w:ascii="仿宋" w:hAnsi="仿宋" w:eastAsia="仿宋" w:cs="仿宋"/>
                <w:color w:val="000000"/>
                <w:szCs w:val="21"/>
              </w:rPr>
            </w:pPr>
          </w:p>
        </w:tc>
        <w:tc>
          <w:tcPr>
            <w:tcW w:w="672" w:type="dxa"/>
            <w:tcBorders>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333333"/>
                <w:szCs w:val="21"/>
              </w:rPr>
              <w:t>5</w:t>
            </w:r>
          </w:p>
        </w:tc>
        <w:tc>
          <w:tcPr>
            <w:tcW w:w="1916" w:type="dxa"/>
            <w:tcBorders>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开展安全生产标准化建设</w:t>
            </w:r>
          </w:p>
        </w:tc>
        <w:tc>
          <w:tcPr>
            <w:tcW w:w="5623" w:type="dxa"/>
            <w:tcBorders>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承包单位应按照法律法规和国家标准、行业标准，健全安全生产标准化工作体系和运行机制，积极开展以岗位达标、专业达标和标准化创建等为内容的安全生产标准化建设，建立完善本单位安全生产例会、例检、隐患排查治理等各项安全生产制度和操作规程，落实强制性安全生产标准规范，确保本项目安全生产环节和相关岗位工作符合法律、法规、标准、规程要求，实现安全行为规范化。</w:t>
            </w:r>
          </w:p>
        </w:tc>
      </w:tr>
      <w:tr>
        <w:tblPrEx>
          <w:tblCellMar>
            <w:top w:w="0" w:type="dxa"/>
            <w:left w:w="108" w:type="dxa"/>
            <w:bottom w:w="0" w:type="dxa"/>
            <w:right w:w="108" w:type="dxa"/>
          </w:tblCellMar>
        </w:tblPrEx>
        <w:trPr>
          <w:trHeight w:val="303" w:hRule="atLeast"/>
        </w:trPr>
        <w:tc>
          <w:tcPr>
            <w:tcW w:w="105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000000"/>
                <w:szCs w:val="21"/>
              </w:rPr>
              <w:t>责任类别</w:t>
            </w:r>
          </w:p>
        </w:tc>
        <w:tc>
          <w:tcPr>
            <w:tcW w:w="672" w:type="dxa"/>
            <w:tcBorders>
              <w:top w:val="single" w:color="000000" w:sz="8" w:space="0"/>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000000"/>
                <w:szCs w:val="21"/>
              </w:rPr>
              <w:t>序号</w:t>
            </w:r>
          </w:p>
        </w:tc>
        <w:tc>
          <w:tcPr>
            <w:tcW w:w="1916" w:type="dxa"/>
            <w:tcBorders>
              <w:top w:val="single" w:color="000000" w:sz="8" w:space="0"/>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000000"/>
                <w:szCs w:val="21"/>
              </w:rPr>
              <w:t>责任要点</w:t>
            </w:r>
          </w:p>
        </w:tc>
        <w:tc>
          <w:tcPr>
            <w:tcW w:w="5623" w:type="dxa"/>
            <w:tcBorders>
              <w:top w:val="single" w:color="000000" w:sz="8" w:space="0"/>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000000"/>
                <w:szCs w:val="21"/>
              </w:rPr>
              <w:t>责任内容</w:t>
            </w:r>
          </w:p>
        </w:tc>
      </w:tr>
      <w:tr>
        <w:tblPrEx>
          <w:tblCellMar>
            <w:top w:w="0" w:type="dxa"/>
            <w:left w:w="108" w:type="dxa"/>
            <w:bottom w:w="0" w:type="dxa"/>
            <w:right w:w="108" w:type="dxa"/>
          </w:tblCellMar>
        </w:tblPrEx>
        <w:trPr>
          <w:trHeight w:val="2031" w:hRule="atLeast"/>
        </w:trPr>
        <w:tc>
          <w:tcPr>
            <w:tcW w:w="1056" w:type="dxa"/>
            <w:vMerge w:val="restart"/>
            <w:tcBorders>
              <w:left w:val="single" w:color="000000" w:sz="8" w:space="0"/>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000000"/>
                <w:szCs w:val="21"/>
              </w:rPr>
              <w:t>严格落实全员岗位责任</w:t>
            </w:r>
          </w:p>
        </w:tc>
        <w:tc>
          <w:tcPr>
            <w:tcW w:w="672" w:type="dxa"/>
            <w:tcBorders>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333333"/>
                <w:szCs w:val="21"/>
              </w:rPr>
              <w:t>6</w:t>
            </w:r>
          </w:p>
        </w:tc>
        <w:tc>
          <w:tcPr>
            <w:tcW w:w="1916" w:type="dxa"/>
            <w:tcBorders>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建立健全全员安全生产责任制</w:t>
            </w:r>
          </w:p>
        </w:tc>
        <w:tc>
          <w:tcPr>
            <w:tcW w:w="5623" w:type="dxa"/>
            <w:tcBorders>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承包单位应根据项目各工作岗位的性质、特点和内容，明确各岗位的责任人员、责任范围、责任清单，制定从承包单位主要负责人到一线从业人员的安全生产职责，细化通俗易懂、便于操作的从业人员安全生产责任，实现承包单位安全生产责任全员全岗位全覆盖、安全生产责任全过程追溯。承包单位应加强安全文化建设，将安全文化阵地向一线班组和工作现场延伸，强化员工安全生产意识。</w:t>
            </w:r>
          </w:p>
        </w:tc>
      </w:tr>
      <w:tr>
        <w:tblPrEx>
          <w:tblCellMar>
            <w:top w:w="0" w:type="dxa"/>
            <w:left w:w="108" w:type="dxa"/>
            <w:bottom w:w="0" w:type="dxa"/>
            <w:right w:w="108" w:type="dxa"/>
          </w:tblCellMar>
        </w:tblPrEx>
        <w:trPr>
          <w:trHeight w:val="2895" w:hRule="atLeast"/>
        </w:trPr>
        <w:tc>
          <w:tcPr>
            <w:tcW w:w="1056" w:type="dxa"/>
            <w:vMerge w:val="continue"/>
            <w:tcBorders>
              <w:left w:val="single" w:color="000000" w:sz="8" w:space="0"/>
              <w:bottom w:val="single" w:color="000000" w:sz="8" w:space="0"/>
              <w:right w:val="single" w:color="000000" w:sz="8" w:space="0"/>
            </w:tcBorders>
            <w:shd w:val="clear" w:color="auto" w:fill="auto"/>
            <w:vAlign w:val="center"/>
          </w:tcPr>
          <w:p>
            <w:pPr>
              <w:snapToGrid w:val="0"/>
              <w:jc w:val="center"/>
              <w:rPr>
                <w:rFonts w:ascii="仿宋" w:hAnsi="仿宋" w:eastAsia="仿宋" w:cs="仿宋"/>
                <w:color w:val="000000"/>
                <w:szCs w:val="21"/>
              </w:rPr>
            </w:pPr>
          </w:p>
        </w:tc>
        <w:tc>
          <w:tcPr>
            <w:tcW w:w="672" w:type="dxa"/>
            <w:tcBorders>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333333"/>
                <w:szCs w:val="21"/>
              </w:rPr>
              <w:t>7</w:t>
            </w:r>
          </w:p>
        </w:tc>
        <w:tc>
          <w:tcPr>
            <w:tcW w:w="1916" w:type="dxa"/>
            <w:tcBorders>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开展安全生产教育培训</w:t>
            </w:r>
          </w:p>
        </w:tc>
        <w:tc>
          <w:tcPr>
            <w:tcW w:w="5623" w:type="dxa"/>
            <w:tcBorders>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承包单位应严格按照国家安全培训规定要求，采取“送出去学、请进来教”等形式，加强本项目从业人员的安全生产理论教学与实践技能培训，并记入教育培训考核档案。还应抓好在岗员工安全技能提升培训、新上岗员工安全技能培训、班组长安全技能提升培训等。通过经常性的教育培训，使本项目安全生产管理人员具备与岗位相适应的安全生产知识和管理能力，使特种作业人员具备特种岗位作业的专业技能，使安全管理人员具备一线岗位安全管理的知识和能力，使一线从业人员具备本岗位安全生产和应急处置的基本知识和安全操作技能。未经安全生产教育培训合格的从业人员，不得上岗作业。</w:t>
            </w:r>
          </w:p>
        </w:tc>
      </w:tr>
      <w:tr>
        <w:tblPrEx>
          <w:tblCellMar>
            <w:top w:w="0" w:type="dxa"/>
            <w:left w:w="108" w:type="dxa"/>
            <w:bottom w:w="0" w:type="dxa"/>
            <w:right w:w="108" w:type="dxa"/>
          </w:tblCellMar>
        </w:tblPrEx>
        <w:trPr>
          <w:trHeight w:val="303" w:hRule="atLeast"/>
        </w:trPr>
        <w:tc>
          <w:tcPr>
            <w:tcW w:w="105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000000"/>
                <w:szCs w:val="21"/>
              </w:rPr>
              <w:t>责任类别</w:t>
            </w:r>
          </w:p>
        </w:tc>
        <w:tc>
          <w:tcPr>
            <w:tcW w:w="67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000000"/>
                <w:szCs w:val="21"/>
              </w:rPr>
              <w:t>序号</w:t>
            </w:r>
          </w:p>
        </w:tc>
        <w:tc>
          <w:tcPr>
            <w:tcW w:w="19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000000"/>
                <w:szCs w:val="21"/>
              </w:rPr>
              <w:t>责任要点</w:t>
            </w:r>
          </w:p>
        </w:tc>
        <w:tc>
          <w:tcPr>
            <w:tcW w:w="562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000000"/>
                <w:szCs w:val="21"/>
              </w:rPr>
              <w:t>责任内容</w:t>
            </w:r>
          </w:p>
        </w:tc>
      </w:tr>
      <w:tr>
        <w:tblPrEx>
          <w:tblCellMar>
            <w:top w:w="0" w:type="dxa"/>
            <w:left w:w="108" w:type="dxa"/>
            <w:bottom w:w="0" w:type="dxa"/>
            <w:right w:w="108" w:type="dxa"/>
          </w:tblCellMar>
        </w:tblPrEx>
        <w:trPr>
          <w:trHeight w:val="1743" w:hRule="atLeast"/>
        </w:trPr>
        <w:tc>
          <w:tcPr>
            <w:tcW w:w="10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000000"/>
                <w:szCs w:val="21"/>
              </w:rPr>
              <w:t>严格落实安全防控责任</w:t>
            </w:r>
          </w:p>
        </w:tc>
        <w:tc>
          <w:tcPr>
            <w:tcW w:w="672" w:type="dxa"/>
            <w:tcBorders>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333333"/>
                <w:szCs w:val="21"/>
              </w:rPr>
              <w:t>8</w:t>
            </w:r>
          </w:p>
        </w:tc>
        <w:tc>
          <w:tcPr>
            <w:tcW w:w="1916" w:type="dxa"/>
            <w:tcBorders>
              <w:left w:val="single" w:color="000000" w:sz="8" w:space="0"/>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加强安全风险辨识管控</w:t>
            </w:r>
          </w:p>
        </w:tc>
        <w:tc>
          <w:tcPr>
            <w:tcW w:w="5623" w:type="dxa"/>
            <w:tcBorders>
              <w:left w:val="single" w:color="000000" w:sz="8" w:space="0"/>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承包单位应严格落实安全风险分级管控和主动报告制度，定期排查、全面辨识、动态更新、严格管控作业工艺、设施设备、作业环境、人员行为和管理体系等方面存在的安全风险，并依据事故发生概率和可能后果，按照有关标准评估确定风险等级，针对不同等级的安全风险制定相应安全管控措施，逐一明确具体的责任部门、责任人，确保风险可控。</w:t>
            </w:r>
          </w:p>
        </w:tc>
      </w:tr>
      <w:tr>
        <w:tblPrEx>
          <w:tblCellMar>
            <w:top w:w="0" w:type="dxa"/>
            <w:left w:w="108" w:type="dxa"/>
            <w:bottom w:w="0" w:type="dxa"/>
            <w:right w:w="108" w:type="dxa"/>
          </w:tblCellMar>
        </w:tblPrEx>
        <w:trPr>
          <w:trHeight w:val="2607" w:hRule="atLeast"/>
        </w:trPr>
        <w:tc>
          <w:tcPr>
            <w:tcW w:w="10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仿宋" w:hAnsi="仿宋" w:eastAsia="仿宋" w:cs="仿宋"/>
                <w:color w:val="000000"/>
                <w:szCs w:val="21"/>
              </w:rPr>
            </w:pPr>
          </w:p>
        </w:tc>
        <w:tc>
          <w:tcPr>
            <w:tcW w:w="672" w:type="dxa"/>
            <w:tcBorders>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333333"/>
                <w:szCs w:val="21"/>
              </w:rPr>
              <w:t>9</w:t>
            </w:r>
          </w:p>
        </w:tc>
        <w:tc>
          <w:tcPr>
            <w:tcW w:w="1916" w:type="dxa"/>
            <w:tcBorders>
              <w:left w:val="single" w:color="000000" w:sz="8" w:space="0"/>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加强事故隐患排查治理</w:t>
            </w:r>
          </w:p>
        </w:tc>
        <w:tc>
          <w:tcPr>
            <w:tcW w:w="5623" w:type="dxa"/>
            <w:tcBorders>
              <w:left w:val="single" w:color="000000" w:sz="8" w:space="0"/>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承包单位应牢固树立“隐患无处不在、成绩每天归零”的意识，视隐患为事故，建立全员参与、全岗位覆盖、全过程衔接的隐患排查机制和清单管理、动态更新、闭环整改的动态调整机制，持续组织开展事故隐患排查治理；对动态排查出来以及甲方通知整改的安全隐患，应逐条落实整改措施、责任、资金、时限和事故应急预案。完善举报奖励制度，发动并激励员工主动排查、发现举报事故隐患。自身安全管理力量不足的承包单位，应按照国家有关安全规范，定期组织专家或委托有资质的第三方安全技术服务机构开展安全检测和隐患排查治理。</w:t>
            </w:r>
          </w:p>
        </w:tc>
      </w:tr>
      <w:tr>
        <w:tblPrEx>
          <w:tblCellMar>
            <w:top w:w="0" w:type="dxa"/>
            <w:left w:w="108" w:type="dxa"/>
            <w:bottom w:w="0" w:type="dxa"/>
            <w:right w:w="108" w:type="dxa"/>
          </w:tblCellMar>
        </w:tblPrEx>
        <w:trPr>
          <w:trHeight w:val="3471" w:hRule="atLeast"/>
        </w:trPr>
        <w:tc>
          <w:tcPr>
            <w:tcW w:w="10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仿宋" w:hAnsi="仿宋" w:eastAsia="仿宋" w:cs="仿宋"/>
                <w:color w:val="000000"/>
                <w:szCs w:val="21"/>
              </w:rPr>
            </w:pPr>
          </w:p>
        </w:tc>
        <w:tc>
          <w:tcPr>
            <w:tcW w:w="672" w:type="dxa"/>
            <w:tcBorders>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333333"/>
                <w:szCs w:val="21"/>
              </w:rPr>
              <w:t>10</w:t>
            </w:r>
          </w:p>
        </w:tc>
        <w:tc>
          <w:tcPr>
            <w:tcW w:w="1916" w:type="dxa"/>
            <w:tcBorders>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加强各类危险源、危化品使用安全管理</w:t>
            </w:r>
          </w:p>
        </w:tc>
        <w:tc>
          <w:tcPr>
            <w:tcW w:w="5623" w:type="dxa"/>
            <w:tcBorders>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承包单位应对重大危险源、危化品使用进行登记和建档，采用先进技术手段对重大危险源实施现场动态监控，定期检测评估，制定应急预案，完善控制措施，按照有关规定建立健全安全监测监控系统并与负有安全生产监督管理职责的部门进行联网。对具有较大或以上危险因素的生产经营、建设施工等场所和有关设施设备，应建立运行、巡检、维修、保养的专项安全管理制度，安排专人负责管理，并设置明显的安全警示标志和事故应急处置卡，配备消防、防雷、通讯、照明等应急器材和设施，根据生产经营、建设施工等设施的承载负荷或者生产经营、建设施工等场所核定的人数控制人员进入。定期组织对安全设施设备进行体检式安全评估，确保始终处于安全可靠状态。</w:t>
            </w:r>
          </w:p>
        </w:tc>
      </w:tr>
      <w:tr>
        <w:tblPrEx>
          <w:tblCellMar>
            <w:top w:w="0" w:type="dxa"/>
            <w:left w:w="108" w:type="dxa"/>
            <w:bottom w:w="0" w:type="dxa"/>
            <w:right w:w="108" w:type="dxa"/>
          </w:tblCellMar>
        </w:tblPrEx>
        <w:trPr>
          <w:trHeight w:val="2031" w:hRule="atLeast"/>
        </w:trPr>
        <w:tc>
          <w:tcPr>
            <w:tcW w:w="10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仿宋" w:hAnsi="仿宋" w:eastAsia="仿宋" w:cs="仿宋"/>
                <w:color w:val="000000"/>
                <w:szCs w:val="21"/>
              </w:rPr>
            </w:pPr>
          </w:p>
        </w:tc>
        <w:tc>
          <w:tcPr>
            <w:tcW w:w="672" w:type="dxa"/>
            <w:tcBorders>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333333"/>
                <w:szCs w:val="21"/>
              </w:rPr>
              <w:t>11</w:t>
            </w:r>
          </w:p>
        </w:tc>
        <w:tc>
          <w:tcPr>
            <w:tcW w:w="1916" w:type="dxa"/>
            <w:tcBorders>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加强危险作业安全管理</w:t>
            </w:r>
          </w:p>
        </w:tc>
        <w:tc>
          <w:tcPr>
            <w:tcW w:w="5623" w:type="dxa"/>
            <w:tcBorders>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承包单位应加强对爆破、吊装、动火、进入受限空间、登高，设备大修、危险装置设备试生产、建筑物或者构筑物拆除、油罐清洗、临时用电、涂装、危险品装卸，以及涉及重大危险源、油气管道、临近高压输电线路等危险作业的安全管理，制定专项安全管理制度措施，安排专门人员进行现场安全管理，监督危险作业人员严格按照操作规程进行操作，及时采取措施排除事故隐患、纠正违规行为。现场管理人员不得擅离职守。</w:t>
            </w:r>
          </w:p>
        </w:tc>
      </w:tr>
      <w:tr>
        <w:tblPrEx>
          <w:tblCellMar>
            <w:top w:w="0" w:type="dxa"/>
            <w:left w:w="108" w:type="dxa"/>
            <w:bottom w:w="0" w:type="dxa"/>
            <w:right w:w="108" w:type="dxa"/>
          </w:tblCellMar>
        </w:tblPrEx>
        <w:trPr>
          <w:trHeight w:val="303" w:hRule="atLeast"/>
        </w:trPr>
        <w:tc>
          <w:tcPr>
            <w:tcW w:w="105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000000"/>
                <w:szCs w:val="21"/>
              </w:rPr>
              <w:t>责任类别</w:t>
            </w:r>
          </w:p>
        </w:tc>
        <w:tc>
          <w:tcPr>
            <w:tcW w:w="67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000000"/>
                <w:szCs w:val="21"/>
              </w:rPr>
              <w:t>序号</w:t>
            </w:r>
          </w:p>
        </w:tc>
        <w:tc>
          <w:tcPr>
            <w:tcW w:w="19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000000"/>
                <w:szCs w:val="21"/>
              </w:rPr>
              <w:t>责任要点</w:t>
            </w:r>
          </w:p>
        </w:tc>
        <w:tc>
          <w:tcPr>
            <w:tcW w:w="562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000000"/>
                <w:szCs w:val="21"/>
              </w:rPr>
              <w:t>责任内容</w:t>
            </w:r>
          </w:p>
        </w:tc>
      </w:tr>
      <w:tr>
        <w:tblPrEx>
          <w:tblCellMar>
            <w:top w:w="0" w:type="dxa"/>
            <w:left w:w="108" w:type="dxa"/>
            <w:bottom w:w="0" w:type="dxa"/>
            <w:right w:w="108" w:type="dxa"/>
          </w:tblCellMar>
        </w:tblPrEx>
        <w:trPr>
          <w:trHeight w:val="1167" w:hRule="atLeast"/>
        </w:trPr>
        <w:tc>
          <w:tcPr>
            <w:tcW w:w="10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000000"/>
                <w:szCs w:val="21"/>
              </w:rPr>
              <w:t>严格落实基础管理责任</w:t>
            </w:r>
          </w:p>
        </w:tc>
        <w:tc>
          <w:tcPr>
            <w:tcW w:w="672" w:type="dxa"/>
            <w:tcBorders>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333333"/>
                <w:szCs w:val="21"/>
              </w:rPr>
              <w:t>12</w:t>
            </w:r>
          </w:p>
        </w:tc>
        <w:tc>
          <w:tcPr>
            <w:tcW w:w="1916" w:type="dxa"/>
            <w:tcBorders>
              <w:left w:val="single" w:color="000000" w:sz="8" w:space="0"/>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认真执行安全生产“三同时”制度</w:t>
            </w:r>
          </w:p>
        </w:tc>
        <w:tc>
          <w:tcPr>
            <w:tcW w:w="5623" w:type="dxa"/>
            <w:tcBorders>
              <w:left w:val="single" w:color="000000" w:sz="8" w:space="0"/>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承包单位实施本项目相关的安全设施投资，应纳入项目预算。安全设施与项目实施方案应同时计划、同时设计（含评审）、同时投入使用。涉及高危作业的项目应依法进行安全评价，安全设施未经依法评审不得建设，未经验收合格不得投入使用。</w:t>
            </w:r>
          </w:p>
        </w:tc>
      </w:tr>
      <w:tr>
        <w:tblPrEx>
          <w:tblCellMar>
            <w:top w:w="0" w:type="dxa"/>
            <w:left w:w="108" w:type="dxa"/>
            <w:bottom w:w="0" w:type="dxa"/>
            <w:right w:w="108" w:type="dxa"/>
          </w:tblCellMar>
        </w:tblPrEx>
        <w:trPr>
          <w:trHeight w:val="1455" w:hRule="atLeast"/>
        </w:trPr>
        <w:tc>
          <w:tcPr>
            <w:tcW w:w="10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仿宋" w:hAnsi="仿宋" w:eastAsia="仿宋" w:cs="仿宋"/>
                <w:color w:val="000000"/>
                <w:szCs w:val="21"/>
              </w:rPr>
            </w:pPr>
          </w:p>
        </w:tc>
        <w:tc>
          <w:tcPr>
            <w:tcW w:w="672" w:type="dxa"/>
            <w:tcBorders>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333333"/>
                <w:szCs w:val="21"/>
              </w:rPr>
              <w:t>13</w:t>
            </w:r>
          </w:p>
        </w:tc>
        <w:tc>
          <w:tcPr>
            <w:tcW w:w="1916" w:type="dxa"/>
            <w:tcBorders>
              <w:left w:val="single" w:color="000000" w:sz="8" w:space="0"/>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加强从业人员安全防护管理</w:t>
            </w:r>
          </w:p>
        </w:tc>
        <w:tc>
          <w:tcPr>
            <w:tcW w:w="5623" w:type="dxa"/>
            <w:tcBorders>
              <w:left w:val="single" w:color="000000" w:sz="8" w:space="0"/>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承包单位应按规定开展从业人员身体健康检查，定期为从业人员无偿提供和更新符合国家标准或者行业标准的劳动防护用品，督促、教育从业人员正确佩戴、使用，并如实记录购买和发放劳动防护用品情况。劳动防护用品不得以货币或者其他物品替代。</w:t>
            </w:r>
          </w:p>
        </w:tc>
      </w:tr>
      <w:tr>
        <w:tblPrEx>
          <w:tblCellMar>
            <w:top w:w="0" w:type="dxa"/>
            <w:left w:w="108" w:type="dxa"/>
            <w:bottom w:w="0" w:type="dxa"/>
            <w:right w:w="108" w:type="dxa"/>
          </w:tblCellMar>
        </w:tblPrEx>
        <w:trPr>
          <w:trHeight w:val="2607" w:hRule="atLeast"/>
        </w:trPr>
        <w:tc>
          <w:tcPr>
            <w:tcW w:w="10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仿宋" w:hAnsi="仿宋" w:eastAsia="仿宋" w:cs="仿宋"/>
                <w:color w:val="000000"/>
                <w:szCs w:val="21"/>
              </w:rPr>
            </w:pPr>
          </w:p>
        </w:tc>
        <w:tc>
          <w:tcPr>
            <w:tcW w:w="672" w:type="dxa"/>
            <w:tcBorders>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333333"/>
                <w:szCs w:val="21"/>
              </w:rPr>
              <w:t>14</w:t>
            </w:r>
          </w:p>
        </w:tc>
        <w:tc>
          <w:tcPr>
            <w:tcW w:w="1916" w:type="dxa"/>
            <w:tcBorders>
              <w:left w:val="single" w:color="000000" w:sz="8" w:space="0"/>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加强外包等业务安全管理</w:t>
            </w:r>
          </w:p>
        </w:tc>
        <w:tc>
          <w:tcPr>
            <w:tcW w:w="5623" w:type="dxa"/>
            <w:tcBorders>
              <w:left w:val="single" w:color="000000" w:sz="8" w:space="0"/>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承包单位应依法分包，严格审查分包单位的资质，并对分包单位的安全生产经营、建设施工等活动的安全做出严格要求、并实施严格监管。承包单位委托其他具有专业资质的单位进行危险作业的，应在作业前与受托方签订安全生产经营和/或建设施工管理协议，告知其作业现场存在的危险因素和防范措施，明确各自的安全生产职责。应与该单位签订专门的安全生产管理协议，约定有关的安全生产管理事项。承包单位应对分包单位、分包人员造成的安全责任、人身损害责任、财产损害责任等承担连带责任。</w:t>
            </w:r>
          </w:p>
        </w:tc>
      </w:tr>
      <w:tr>
        <w:tblPrEx>
          <w:tblCellMar>
            <w:top w:w="0" w:type="dxa"/>
            <w:left w:w="108" w:type="dxa"/>
            <w:bottom w:w="0" w:type="dxa"/>
            <w:right w:w="108" w:type="dxa"/>
          </w:tblCellMar>
        </w:tblPrEx>
        <w:trPr>
          <w:trHeight w:val="879" w:hRule="atLeast"/>
        </w:trPr>
        <w:tc>
          <w:tcPr>
            <w:tcW w:w="10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仿宋" w:hAnsi="仿宋" w:eastAsia="仿宋" w:cs="仿宋"/>
                <w:color w:val="000000"/>
                <w:szCs w:val="21"/>
              </w:rPr>
            </w:pPr>
          </w:p>
        </w:tc>
        <w:tc>
          <w:tcPr>
            <w:tcW w:w="672" w:type="dxa"/>
            <w:tcBorders>
              <w:top w:val="single" w:color="000000" w:sz="8" w:space="0"/>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000000"/>
                <w:szCs w:val="21"/>
              </w:rPr>
              <w:t>15</w:t>
            </w:r>
          </w:p>
        </w:tc>
        <w:tc>
          <w:tcPr>
            <w:tcW w:w="1916" w:type="dxa"/>
            <w:tcBorders>
              <w:top w:val="single" w:color="000000" w:sz="8" w:space="0"/>
              <w:left w:val="single" w:color="000000" w:sz="8" w:space="0"/>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加强复工安全管理</w:t>
            </w:r>
          </w:p>
        </w:tc>
        <w:tc>
          <w:tcPr>
            <w:tcW w:w="5623" w:type="dxa"/>
            <w:tcBorders>
              <w:top w:val="single" w:color="000000" w:sz="8" w:space="0"/>
              <w:left w:val="single" w:color="000000" w:sz="8" w:space="0"/>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承包单位复工前，应严格按照国家及行业有关标准和规定，制定复工方案，组织对安全生产相关设备设施进行全面检查，确保安全方可复工使用。</w:t>
            </w:r>
          </w:p>
        </w:tc>
      </w:tr>
      <w:tr>
        <w:tblPrEx>
          <w:tblCellMar>
            <w:top w:w="0" w:type="dxa"/>
            <w:left w:w="108" w:type="dxa"/>
            <w:bottom w:w="0" w:type="dxa"/>
            <w:right w:w="108" w:type="dxa"/>
          </w:tblCellMar>
        </w:tblPrEx>
        <w:trPr>
          <w:trHeight w:val="2031" w:hRule="atLeast"/>
        </w:trPr>
        <w:tc>
          <w:tcPr>
            <w:tcW w:w="10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仿宋" w:hAnsi="仿宋" w:eastAsia="仿宋" w:cs="仿宋"/>
                <w:color w:val="000000"/>
                <w:szCs w:val="21"/>
              </w:rPr>
            </w:pPr>
          </w:p>
        </w:tc>
        <w:tc>
          <w:tcPr>
            <w:tcW w:w="672" w:type="dxa"/>
            <w:tcBorders>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333333"/>
                <w:szCs w:val="21"/>
              </w:rPr>
              <w:t>16</w:t>
            </w:r>
          </w:p>
        </w:tc>
        <w:tc>
          <w:tcPr>
            <w:tcW w:w="1916" w:type="dxa"/>
            <w:tcBorders>
              <w:left w:val="single" w:color="000000" w:sz="8" w:space="0"/>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强化应急救援能力建设</w:t>
            </w:r>
          </w:p>
        </w:tc>
        <w:tc>
          <w:tcPr>
            <w:tcW w:w="5623" w:type="dxa"/>
            <w:tcBorders>
              <w:left w:val="single" w:color="000000" w:sz="8" w:space="0"/>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承包单位应针对项目可能发生的生产安全事故特点及危害，制定相应的应急救援预案。建立专职或兼职人员组成的应急救援队伍，配备与项目实施风险等级相适应的应急救援器材、设备和装备等物资，定期组织应急救援实战演练和人员避险自救训练，使各级各类人员熟悉应急救援预案，熟记岗位职责和应急处置要点，熟练操作应急救援器材和设备、装备，提高现场应应急救援能力</w:t>
            </w:r>
          </w:p>
        </w:tc>
      </w:tr>
      <w:tr>
        <w:tblPrEx>
          <w:tblCellMar>
            <w:top w:w="0" w:type="dxa"/>
            <w:left w:w="108" w:type="dxa"/>
            <w:bottom w:w="0" w:type="dxa"/>
            <w:right w:w="108" w:type="dxa"/>
          </w:tblCellMar>
        </w:tblPrEx>
        <w:trPr>
          <w:trHeight w:val="1743" w:hRule="atLeast"/>
        </w:trPr>
        <w:tc>
          <w:tcPr>
            <w:tcW w:w="10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仿宋" w:hAnsi="仿宋" w:eastAsia="仿宋" w:cs="仿宋"/>
                <w:color w:val="000000"/>
                <w:szCs w:val="21"/>
              </w:rPr>
            </w:pPr>
          </w:p>
        </w:tc>
        <w:tc>
          <w:tcPr>
            <w:tcW w:w="672" w:type="dxa"/>
            <w:tcBorders>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333333"/>
                <w:szCs w:val="21"/>
              </w:rPr>
              <w:t>17</w:t>
            </w:r>
          </w:p>
        </w:tc>
        <w:tc>
          <w:tcPr>
            <w:tcW w:w="1916" w:type="dxa"/>
            <w:tcBorders>
              <w:left w:val="single" w:color="000000" w:sz="8" w:space="0"/>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严格事故报告和应急处置</w:t>
            </w:r>
          </w:p>
        </w:tc>
        <w:tc>
          <w:tcPr>
            <w:tcW w:w="5623" w:type="dxa"/>
            <w:tcBorders>
              <w:left w:val="single" w:color="000000" w:sz="8" w:space="0"/>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承包单位应严格遵守事故报告有关规定，按照报告时限、内容、方式、对象等要求，及时、完整、客观地向有关部门报告事故，不得瞒报、漏报、谎报、迟报。企业法定代表人、直接负责人和实际控制人应按规定第一时间到达事故现场，立即启动事故应急救援预案，积极采取有效措施组织抢救，防止事故扩大。</w:t>
            </w:r>
          </w:p>
        </w:tc>
      </w:tr>
      <w:tr>
        <w:tblPrEx>
          <w:tblCellMar>
            <w:top w:w="0" w:type="dxa"/>
            <w:left w:w="108" w:type="dxa"/>
            <w:bottom w:w="0" w:type="dxa"/>
            <w:right w:w="108" w:type="dxa"/>
          </w:tblCellMar>
        </w:tblPrEx>
        <w:trPr>
          <w:trHeight w:val="2031" w:hRule="atLeast"/>
        </w:trPr>
        <w:tc>
          <w:tcPr>
            <w:tcW w:w="10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仿宋" w:hAnsi="仿宋" w:eastAsia="仿宋" w:cs="仿宋"/>
                <w:color w:val="000000"/>
                <w:szCs w:val="21"/>
              </w:rPr>
            </w:pPr>
          </w:p>
        </w:tc>
        <w:tc>
          <w:tcPr>
            <w:tcW w:w="672" w:type="dxa"/>
            <w:tcBorders>
              <w:top w:val="single" w:color="000000" w:sz="8" w:space="0"/>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333333"/>
                <w:szCs w:val="21"/>
              </w:rPr>
              <w:t>18</w:t>
            </w:r>
          </w:p>
        </w:tc>
        <w:tc>
          <w:tcPr>
            <w:tcW w:w="1916" w:type="dxa"/>
            <w:tcBorders>
              <w:top w:val="single" w:color="000000" w:sz="8" w:space="0"/>
              <w:left w:val="single" w:color="000000" w:sz="8" w:space="0"/>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强化举一反三整改落实</w:t>
            </w:r>
          </w:p>
        </w:tc>
        <w:tc>
          <w:tcPr>
            <w:tcW w:w="5623" w:type="dxa"/>
            <w:tcBorders>
              <w:top w:val="single" w:color="000000" w:sz="8" w:space="0"/>
              <w:left w:val="single" w:color="000000" w:sz="8" w:space="0"/>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承包单位应主动配合有关部门对责任事故的调查处理，妥善做好事故善后工作，深刻吸取事故教训，按照事故调查报告全面落实整改措施，并接受监督检查。重视加强对轻微事故、未遂事故的调查处理及原因分析，研究落实预防改进措施，防范人员伤亡和有较大财产损失的事故发生。建立事故信息共享机制，针对同行业、本地区发生的典型事故，及时组织学习反思、警示教育和自查自纠，有效预防类似事故发生。</w:t>
            </w:r>
          </w:p>
        </w:tc>
      </w:tr>
      <w:tr>
        <w:tblPrEx>
          <w:tblCellMar>
            <w:top w:w="0" w:type="dxa"/>
            <w:left w:w="108" w:type="dxa"/>
            <w:bottom w:w="0" w:type="dxa"/>
            <w:right w:w="108" w:type="dxa"/>
          </w:tblCellMar>
        </w:tblPrEx>
        <w:trPr>
          <w:trHeight w:val="879" w:hRule="atLeast"/>
        </w:trPr>
        <w:tc>
          <w:tcPr>
            <w:tcW w:w="10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仿宋" w:hAnsi="仿宋" w:eastAsia="仿宋" w:cs="仿宋"/>
                <w:color w:val="000000"/>
                <w:szCs w:val="21"/>
              </w:rPr>
            </w:pPr>
          </w:p>
        </w:tc>
        <w:tc>
          <w:tcPr>
            <w:tcW w:w="672" w:type="dxa"/>
            <w:tcBorders>
              <w:bottom w:val="single" w:color="000000" w:sz="8" w:space="0"/>
              <w:right w:val="single" w:color="000000" w:sz="8" w:space="0"/>
            </w:tcBorders>
            <w:shd w:val="clear" w:color="auto" w:fill="auto"/>
            <w:vAlign w:val="center"/>
          </w:tcPr>
          <w:p>
            <w:pPr>
              <w:jc w:val="center"/>
              <w:textAlignment w:val="center"/>
            </w:pPr>
            <w:r>
              <w:rPr>
                <w:rFonts w:hint="eastAsia" w:ascii="仿宋" w:hAnsi="仿宋" w:eastAsia="仿宋" w:cs="仿宋"/>
                <w:color w:val="333333"/>
                <w:szCs w:val="21"/>
              </w:rPr>
              <w:t>19</w:t>
            </w:r>
          </w:p>
        </w:tc>
        <w:tc>
          <w:tcPr>
            <w:tcW w:w="1916" w:type="dxa"/>
            <w:tcBorders>
              <w:left w:val="single" w:color="000000" w:sz="8" w:space="0"/>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安全值班值守</w:t>
            </w:r>
          </w:p>
        </w:tc>
        <w:tc>
          <w:tcPr>
            <w:tcW w:w="5623" w:type="dxa"/>
            <w:tcBorders>
              <w:left w:val="single" w:color="000000" w:sz="8" w:space="0"/>
              <w:bottom w:val="single" w:color="000000" w:sz="8" w:space="0"/>
              <w:right w:val="single" w:color="000000" w:sz="8" w:space="0"/>
            </w:tcBorders>
            <w:shd w:val="clear" w:color="auto" w:fill="auto"/>
            <w:vAlign w:val="center"/>
          </w:tcPr>
          <w:p>
            <w:pPr>
              <w:textAlignment w:val="center"/>
            </w:pPr>
            <w:r>
              <w:rPr>
                <w:rFonts w:hint="eastAsia" w:ascii="仿宋" w:hAnsi="仿宋" w:eastAsia="仿宋" w:cs="仿宋"/>
                <w:color w:val="000000"/>
                <w:szCs w:val="21"/>
              </w:rPr>
              <w:t>承包单位应建立安全值班值守制度，确保项目安全值班值守。按甲方指令做好特殊时期（包括且不限于重大活动、特殊气象条件等）全天候安全相关值班值守。</w:t>
            </w:r>
          </w:p>
        </w:tc>
      </w:tr>
    </w:tbl>
    <w:p>
      <w:pPr>
        <w:spacing w:line="360" w:lineRule="auto"/>
        <w:jc w:val="center"/>
        <w:rPr>
          <w:rFonts w:ascii="仿宋" w:hAnsi="仿宋" w:eastAsia="仿宋" w:cs="宋体"/>
          <w:b/>
          <w:bCs/>
          <w:sz w:val="32"/>
          <w:szCs w:val="32"/>
          <w:lang w:val="zh-CN"/>
        </w:rPr>
      </w:pPr>
    </w:p>
    <w:p>
      <w:pPr>
        <w:pStyle w:val="23"/>
        <w:snapToGrid w:val="0"/>
        <w:jc w:val="center"/>
        <w:rPr>
          <w:rFonts w:ascii="仿宋" w:hAnsi="仿宋" w:eastAsia="仿宋"/>
          <w:b/>
          <w:bCs/>
          <w:sz w:val="44"/>
          <w:szCs w:val="44"/>
          <w:lang w:val="zh-CN"/>
        </w:rPr>
      </w:pPr>
    </w:p>
    <w:p>
      <w:pPr>
        <w:pStyle w:val="23"/>
        <w:snapToGrid w:val="0"/>
        <w:jc w:val="center"/>
        <w:rPr>
          <w:b/>
          <w:sz w:val="44"/>
          <w:szCs w:val="44"/>
        </w:rPr>
      </w:pPr>
    </w:p>
    <w:p>
      <w:pPr>
        <w:pStyle w:val="23"/>
        <w:snapToGrid w:val="0"/>
        <w:jc w:val="center"/>
        <w:rPr>
          <w:b/>
          <w:sz w:val="44"/>
          <w:szCs w:val="44"/>
        </w:rPr>
      </w:pPr>
    </w:p>
    <w:p>
      <w:pPr>
        <w:pStyle w:val="23"/>
        <w:snapToGrid w:val="0"/>
        <w:jc w:val="center"/>
        <w:rPr>
          <w:b/>
          <w:sz w:val="44"/>
          <w:szCs w:val="44"/>
        </w:rPr>
      </w:pPr>
    </w:p>
    <w:p>
      <w:pPr>
        <w:pStyle w:val="23"/>
        <w:snapToGrid w:val="0"/>
        <w:jc w:val="center"/>
        <w:rPr>
          <w:b/>
          <w:sz w:val="44"/>
          <w:szCs w:val="44"/>
        </w:rPr>
      </w:pPr>
    </w:p>
    <w:p>
      <w:pPr>
        <w:pStyle w:val="23"/>
        <w:snapToGrid w:val="0"/>
        <w:jc w:val="center"/>
        <w:rPr>
          <w:b/>
          <w:sz w:val="44"/>
          <w:szCs w:val="44"/>
        </w:rPr>
      </w:pPr>
    </w:p>
    <w:p>
      <w:pPr>
        <w:pStyle w:val="23"/>
        <w:snapToGrid w:val="0"/>
        <w:jc w:val="center"/>
        <w:rPr>
          <w:b/>
          <w:sz w:val="44"/>
          <w:szCs w:val="44"/>
        </w:rPr>
      </w:pPr>
    </w:p>
    <w:p>
      <w:pPr>
        <w:pStyle w:val="23"/>
        <w:snapToGrid w:val="0"/>
        <w:jc w:val="center"/>
      </w:pPr>
      <w:r>
        <w:rPr>
          <w:rFonts w:hint="eastAsia"/>
          <w:b/>
          <w:sz w:val="44"/>
          <w:szCs w:val="44"/>
        </w:rPr>
        <w:t>安全管理承诺书</w:t>
      </w:r>
    </w:p>
    <w:p>
      <w:pPr>
        <w:pStyle w:val="23"/>
        <w:snapToGrid w:val="0"/>
        <w:ind w:left="-178" w:firstLine="672"/>
      </w:pPr>
      <w:r>
        <w:rPr>
          <w:rFonts w:hint="eastAsia" w:cs="Arial"/>
          <w:color w:val="000000"/>
          <w:sz w:val="30"/>
          <w:szCs w:val="30"/>
        </w:rPr>
        <w:t>为进一步落实企业安全生产主体责任，防止和减少各类生产事故发生，确保本单位在园区市政服务集团城维项目上安全生产形势的稳定，现郑重承诺如下：</w:t>
      </w:r>
    </w:p>
    <w:p>
      <w:pPr>
        <w:pStyle w:val="23"/>
        <w:snapToGrid w:val="0"/>
        <w:ind w:left="-178" w:firstLine="672"/>
      </w:pPr>
      <w:r>
        <w:rPr>
          <w:rFonts w:hint="eastAsia" w:cs="Arial"/>
          <w:color w:val="000000"/>
          <w:sz w:val="30"/>
          <w:szCs w:val="30"/>
        </w:rPr>
        <w:t>一、严格执行《中华人民共和国安全生产法》等相关法律法规和规章制度，认真落实安全生产主体责任，进一步规范安全生产行为，依法进行生产经营活动。</w:t>
      </w:r>
    </w:p>
    <w:p>
      <w:pPr>
        <w:pStyle w:val="23"/>
        <w:snapToGrid w:val="0"/>
        <w:ind w:left="-178" w:firstLine="672"/>
      </w:pPr>
      <w:r>
        <w:rPr>
          <w:rFonts w:hint="eastAsia" w:cs="Arial"/>
          <w:color w:val="000000"/>
          <w:sz w:val="30"/>
          <w:szCs w:val="30"/>
        </w:rPr>
        <w:t>二、企业主要负责人是企业安全生产的第一责任人，项目负责人对项目安全生产工作全面负责。建立健全项目安全管理体系建设，并严格落实全员安全生产责任制。</w:t>
      </w:r>
    </w:p>
    <w:p>
      <w:pPr>
        <w:pStyle w:val="23"/>
        <w:snapToGrid w:val="0"/>
        <w:ind w:left="-178" w:firstLine="672"/>
      </w:pPr>
      <w:r>
        <w:rPr>
          <w:rFonts w:hint="eastAsia" w:cs="Arial"/>
          <w:color w:val="000000"/>
          <w:sz w:val="30"/>
          <w:szCs w:val="30"/>
        </w:rPr>
        <w:t>三、建立健全各项安全生产规章制度和操作规程。加强对动火作业、有限空间作业、高处作业、吊装作业、涉路安全作业等具有较高危险性作业的管理。</w:t>
      </w:r>
    </w:p>
    <w:p>
      <w:pPr>
        <w:pStyle w:val="23"/>
        <w:snapToGrid w:val="0"/>
        <w:ind w:left="-178" w:firstLine="672"/>
      </w:pPr>
      <w:r>
        <w:rPr>
          <w:rFonts w:hint="eastAsia" w:cs="Arial"/>
          <w:color w:val="000000"/>
          <w:sz w:val="30"/>
          <w:szCs w:val="30"/>
        </w:rPr>
        <w:t>四、建立并落实项目安全风险分级管控和隐患排查治理双重预防机制。做好各类安全检查工作，落实隐患整改闭环，完善台账资料。</w:t>
      </w:r>
    </w:p>
    <w:p>
      <w:pPr>
        <w:pStyle w:val="23"/>
        <w:snapToGrid w:val="0"/>
        <w:ind w:left="-178" w:firstLine="672"/>
      </w:pPr>
      <w:r>
        <w:rPr>
          <w:rFonts w:hint="eastAsia" w:cs="Arial"/>
          <w:color w:val="000000"/>
          <w:sz w:val="30"/>
          <w:szCs w:val="30"/>
        </w:rPr>
        <w:t>五、对项目人员按要求进行安全教育和培训，建立教育培训档案；项目经理、安全管理人员、特种作业人员，确保执证上岗；按规定配足专职安全管理人员。</w:t>
      </w:r>
    </w:p>
    <w:p>
      <w:pPr>
        <w:pStyle w:val="23"/>
        <w:snapToGrid w:val="0"/>
        <w:ind w:left="-178" w:firstLine="672"/>
      </w:pPr>
      <w:r>
        <w:rPr>
          <w:rFonts w:hint="eastAsia" w:cs="Arial"/>
          <w:color w:val="000000"/>
          <w:sz w:val="30"/>
          <w:szCs w:val="30"/>
        </w:rPr>
        <w:t>六、建立和完善城维项目应急救援预案。制定具有针对性、实用性的事故应急救援预案并定期组织演练，配备必要的应急器材；发生事故果断处置、妥善处置，防止事态扩大和蔓延，并按程序及时上报。</w:t>
      </w:r>
    </w:p>
    <w:p>
      <w:pPr>
        <w:pStyle w:val="23"/>
        <w:snapToGrid w:val="0"/>
        <w:ind w:left="-178" w:firstLine="672"/>
      </w:pPr>
      <w:r>
        <w:rPr>
          <w:rFonts w:hint="eastAsia" w:cs="Arial"/>
          <w:color w:val="000000"/>
          <w:sz w:val="30"/>
          <w:szCs w:val="30"/>
        </w:rPr>
        <w:t>七、认真做好城维作业各环节安全生产工作，确保在城维项目上不发生各类生产安全事故。</w:t>
      </w:r>
    </w:p>
    <w:p>
      <w:pPr>
        <w:pStyle w:val="23"/>
        <w:snapToGrid w:val="0"/>
        <w:ind w:left="-178" w:firstLine="672"/>
      </w:pPr>
      <w:r>
        <w:rPr>
          <w:rFonts w:hint="eastAsia" w:cs="Arial"/>
          <w:color w:val="000000"/>
          <w:sz w:val="30"/>
          <w:szCs w:val="30"/>
        </w:rPr>
        <w:t>八、不聘用超龄作业工人。</w:t>
      </w:r>
    </w:p>
    <w:p>
      <w:pPr>
        <w:pStyle w:val="23"/>
        <w:snapToGrid w:val="0"/>
        <w:ind w:left="-178" w:firstLine="672"/>
      </w:pPr>
      <w:r>
        <w:rPr>
          <w:rFonts w:hint="eastAsia" w:cs="Arial"/>
          <w:color w:val="000000"/>
          <w:sz w:val="30"/>
          <w:szCs w:val="30"/>
        </w:rPr>
        <w:t>九、如有违法违规行为的，承担相应法律责任，并接受相应惩处。</w:t>
      </w:r>
    </w:p>
    <w:p>
      <w:pPr>
        <w:pStyle w:val="23"/>
        <w:snapToGrid w:val="0"/>
        <w:ind w:left="-178" w:firstLine="972"/>
      </w:pPr>
      <w:r>
        <w:rPr>
          <w:rFonts w:hint="eastAsia" w:cs="Arial"/>
          <w:color w:val="000000"/>
          <w:sz w:val="30"/>
          <w:szCs w:val="30"/>
        </w:rPr>
        <w:t>此承诺书接受园区市政服务集团及社会监督。</w:t>
      </w:r>
    </w:p>
    <w:p>
      <w:pPr>
        <w:pStyle w:val="23"/>
        <w:snapToGrid w:val="0"/>
        <w:ind w:left="-178" w:firstLine="672"/>
        <w:rPr>
          <w:rFonts w:cs="Arial"/>
          <w:color w:val="000000"/>
          <w:sz w:val="30"/>
          <w:szCs w:val="30"/>
        </w:rPr>
      </w:pPr>
    </w:p>
    <w:p>
      <w:pPr>
        <w:pStyle w:val="23"/>
        <w:snapToGrid w:val="0"/>
        <w:ind w:left="-178" w:firstLine="3366"/>
      </w:pPr>
      <w:r>
        <w:rPr>
          <w:rFonts w:hint="eastAsia" w:cs="Arial"/>
          <w:color w:val="000000"/>
          <w:sz w:val="30"/>
          <w:szCs w:val="30"/>
        </w:rPr>
        <w:t>单位名称（公章）：</w:t>
      </w:r>
    </w:p>
    <w:p>
      <w:pPr>
        <w:pStyle w:val="23"/>
        <w:snapToGrid w:val="0"/>
        <w:ind w:left="-178" w:firstLine="672"/>
        <w:rPr>
          <w:rFonts w:cs="Arial"/>
          <w:color w:val="000000"/>
          <w:sz w:val="30"/>
          <w:szCs w:val="30"/>
        </w:rPr>
      </w:pPr>
    </w:p>
    <w:p>
      <w:pPr>
        <w:pStyle w:val="23"/>
        <w:snapToGrid w:val="0"/>
        <w:ind w:left="-178" w:firstLine="3366"/>
      </w:pPr>
      <w:r>
        <w:rPr>
          <w:rFonts w:hint="eastAsia" w:cs="Arial"/>
          <w:color w:val="000000"/>
          <w:sz w:val="30"/>
          <w:szCs w:val="30"/>
        </w:rPr>
        <w:t>承诺人（法定代表人签字）:</w:t>
      </w:r>
    </w:p>
    <w:p>
      <w:pPr>
        <w:pStyle w:val="23"/>
        <w:snapToGrid w:val="0"/>
        <w:ind w:left="-178" w:firstLine="672"/>
        <w:rPr>
          <w:rFonts w:cs="Arial"/>
          <w:color w:val="000000"/>
          <w:sz w:val="30"/>
          <w:szCs w:val="30"/>
        </w:rPr>
      </w:pPr>
    </w:p>
    <w:p>
      <w:pPr>
        <w:pStyle w:val="23"/>
        <w:snapToGrid w:val="0"/>
        <w:ind w:left="-178" w:firstLine="672"/>
      </w:pPr>
      <w:r>
        <w:rPr>
          <w:rFonts w:hint="eastAsia"/>
          <w:color w:val="000000"/>
          <w:sz w:val="30"/>
          <w:szCs w:val="30"/>
        </w:rPr>
        <w:t xml:space="preserve">                                  </w:t>
      </w:r>
      <w:r>
        <w:rPr>
          <w:rFonts w:hint="eastAsia" w:cs="Arial"/>
          <w:color w:val="000000"/>
          <w:sz w:val="30"/>
          <w:szCs w:val="30"/>
        </w:rPr>
        <w:t xml:space="preserve">年     月     日 </w:t>
      </w:r>
    </w:p>
    <w:p>
      <w:pPr>
        <w:spacing w:line="360" w:lineRule="auto"/>
        <w:rPr>
          <w:rFonts w:ascii="仿宋" w:hAnsi="仿宋" w:eastAsia="仿宋" w:cs="仿宋"/>
          <w:color w:val="000000"/>
          <w:sz w:val="30"/>
          <w:szCs w:val="30"/>
        </w:rPr>
      </w:pPr>
    </w:p>
    <w:p>
      <w:pPr>
        <w:spacing w:line="360" w:lineRule="auto"/>
        <w:rPr>
          <w:rFonts w:ascii="仿宋" w:hAnsi="仿宋" w:eastAsia="仿宋" w:cs="仿宋"/>
          <w:color w:val="000000"/>
          <w:sz w:val="30"/>
          <w:szCs w:val="30"/>
        </w:rPr>
      </w:pPr>
    </w:p>
    <w:p>
      <w:pPr>
        <w:spacing w:line="360" w:lineRule="auto"/>
        <w:rPr>
          <w:rFonts w:ascii="仿宋" w:hAnsi="仿宋" w:eastAsia="仿宋" w:cs="仿宋"/>
          <w:color w:val="000000"/>
          <w:sz w:val="30"/>
          <w:szCs w:val="30"/>
        </w:rPr>
      </w:pPr>
    </w:p>
    <w:p>
      <w:pPr>
        <w:spacing w:line="360" w:lineRule="auto"/>
        <w:rPr>
          <w:rFonts w:ascii="仿宋" w:hAnsi="仿宋" w:eastAsia="仿宋" w:cs="仿宋"/>
          <w:color w:val="000000"/>
          <w:sz w:val="30"/>
          <w:szCs w:val="30"/>
        </w:rPr>
      </w:pPr>
    </w:p>
    <w:p>
      <w:pPr>
        <w:spacing w:line="360" w:lineRule="auto"/>
        <w:rPr>
          <w:rFonts w:ascii="仿宋" w:hAnsi="仿宋" w:eastAsia="仿宋" w:cs="仿宋"/>
          <w:color w:val="000000"/>
          <w:sz w:val="30"/>
          <w:szCs w:val="30"/>
        </w:rPr>
      </w:pPr>
    </w:p>
    <w:p>
      <w:pPr>
        <w:spacing w:line="360" w:lineRule="auto"/>
        <w:rPr>
          <w:rFonts w:ascii="仿宋" w:hAnsi="仿宋" w:eastAsia="仿宋" w:cs="仿宋"/>
          <w:color w:val="000000"/>
          <w:sz w:val="30"/>
          <w:szCs w:val="30"/>
        </w:rPr>
      </w:pPr>
    </w:p>
    <w:p>
      <w:pPr>
        <w:spacing w:line="360" w:lineRule="auto"/>
        <w:rPr>
          <w:rFonts w:ascii="仿宋" w:hAnsi="仿宋" w:eastAsia="仿宋" w:cs="仿宋"/>
          <w:color w:val="000000"/>
          <w:sz w:val="30"/>
          <w:szCs w:val="30"/>
        </w:rPr>
      </w:pPr>
    </w:p>
    <w:p>
      <w:pPr>
        <w:spacing w:line="360" w:lineRule="auto"/>
        <w:rPr>
          <w:rFonts w:ascii="仿宋" w:hAnsi="仿宋" w:eastAsia="仿宋" w:cs="仿宋"/>
          <w:color w:val="000000"/>
          <w:sz w:val="30"/>
          <w:szCs w:val="30"/>
        </w:rPr>
      </w:pPr>
    </w:p>
    <w:p>
      <w:pPr>
        <w:spacing w:line="360" w:lineRule="auto"/>
        <w:rPr>
          <w:rFonts w:ascii="仿宋" w:hAnsi="仿宋" w:eastAsia="仿宋" w:cs="仿宋"/>
          <w:color w:val="000000"/>
          <w:sz w:val="30"/>
          <w:szCs w:val="30"/>
        </w:rPr>
      </w:pPr>
    </w:p>
    <w:p>
      <w:pPr>
        <w:spacing w:line="360" w:lineRule="auto"/>
        <w:rPr>
          <w:rFonts w:ascii="仿宋" w:hAnsi="仿宋" w:eastAsia="仿宋" w:cs="仿宋"/>
          <w:color w:val="000000"/>
          <w:sz w:val="30"/>
          <w:szCs w:val="30"/>
        </w:rPr>
      </w:pPr>
    </w:p>
    <w:p>
      <w:pPr>
        <w:spacing w:line="360" w:lineRule="auto"/>
        <w:rPr>
          <w:rFonts w:ascii="仿宋" w:hAnsi="仿宋" w:eastAsia="仿宋" w:cs="仿宋"/>
          <w:color w:val="000000"/>
          <w:sz w:val="30"/>
          <w:szCs w:val="30"/>
        </w:rPr>
      </w:pPr>
    </w:p>
    <w:p>
      <w:pPr>
        <w:spacing w:line="360" w:lineRule="auto"/>
        <w:rPr>
          <w:rFonts w:ascii="仿宋" w:hAnsi="仿宋" w:eastAsia="仿宋" w:cs="仿宋"/>
          <w:color w:val="000000"/>
          <w:sz w:val="30"/>
          <w:szCs w:val="30"/>
        </w:rPr>
      </w:pPr>
    </w:p>
    <w:p>
      <w:pPr>
        <w:spacing w:line="360" w:lineRule="auto"/>
        <w:rPr>
          <w:rFonts w:ascii="仿宋" w:hAnsi="仿宋" w:eastAsia="仿宋" w:cs="仿宋"/>
          <w:color w:val="000000"/>
          <w:sz w:val="30"/>
          <w:szCs w:val="30"/>
        </w:rPr>
      </w:pPr>
    </w:p>
    <w:p>
      <w:pPr>
        <w:spacing w:line="360" w:lineRule="auto"/>
        <w:rPr>
          <w:rFonts w:ascii="仿宋" w:hAnsi="仿宋" w:eastAsia="仿宋" w:cs="仿宋"/>
          <w:color w:val="000000"/>
          <w:sz w:val="30"/>
          <w:szCs w:val="30"/>
        </w:rPr>
      </w:pPr>
    </w:p>
    <w:p>
      <w:pPr>
        <w:spacing w:line="360" w:lineRule="auto"/>
        <w:rPr>
          <w:rFonts w:ascii="仿宋" w:hAnsi="仿宋" w:eastAsia="仿宋" w:cs="仿宋"/>
          <w:color w:val="000000"/>
          <w:sz w:val="30"/>
          <w:szCs w:val="30"/>
        </w:rPr>
        <w:sectPr>
          <w:pgSz w:w="11906" w:h="16838"/>
          <w:pgMar w:top="1440" w:right="1800" w:bottom="1440" w:left="1800" w:header="720" w:footer="720" w:gutter="0"/>
          <w:cols w:space="720" w:num="1"/>
          <w:docGrid w:type="lines" w:linePitch="312" w:charSpace="0"/>
        </w:sectPr>
      </w:pPr>
    </w:p>
    <w:tbl>
      <w:tblPr>
        <w:tblStyle w:val="12"/>
        <w:tblW w:w="14757" w:type="dxa"/>
        <w:tblInd w:w="93" w:type="dxa"/>
        <w:tblLayout w:type="autofit"/>
        <w:tblCellMar>
          <w:top w:w="0" w:type="dxa"/>
          <w:left w:w="108" w:type="dxa"/>
          <w:bottom w:w="0" w:type="dxa"/>
          <w:right w:w="108" w:type="dxa"/>
        </w:tblCellMar>
      </w:tblPr>
      <w:tblGrid>
        <w:gridCol w:w="866"/>
        <w:gridCol w:w="304"/>
        <w:gridCol w:w="972"/>
        <w:gridCol w:w="779"/>
        <w:gridCol w:w="6450"/>
        <w:gridCol w:w="534"/>
        <w:gridCol w:w="1167"/>
        <w:gridCol w:w="1053"/>
        <w:gridCol w:w="648"/>
        <w:gridCol w:w="1030"/>
        <w:gridCol w:w="954"/>
      </w:tblGrid>
      <w:tr>
        <w:tblPrEx>
          <w:tblCellMar>
            <w:top w:w="0" w:type="dxa"/>
            <w:left w:w="108" w:type="dxa"/>
            <w:bottom w:w="0" w:type="dxa"/>
            <w:right w:w="108" w:type="dxa"/>
          </w:tblCellMar>
        </w:tblPrEx>
        <w:trPr>
          <w:trHeight w:val="540" w:hRule="atLeast"/>
        </w:trPr>
        <w:tc>
          <w:tcPr>
            <w:tcW w:w="14757" w:type="dxa"/>
            <w:gridSpan w:val="11"/>
            <w:tcBorders>
              <w:top w:val="nil"/>
              <w:left w:val="nil"/>
              <w:bottom w:val="nil"/>
            </w:tcBorders>
            <w:shd w:val="clear" w:color="auto" w:fill="auto"/>
            <w:noWrap/>
            <w:vAlign w:val="center"/>
          </w:tcPr>
          <w:p>
            <w:pPr>
              <w:pStyle w:val="2"/>
              <w:numPr>
                <w:ilvl w:val="0"/>
                <w:numId w:val="0"/>
              </w:numPr>
              <w:spacing w:line="480" w:lineRule="auto"/>
              <w:jc w:val="center"/>
              <w:rPr>
                <w:rFonts w:ascii="宋体" w:hAnsi="宋体"/>
              </w:rPr>
            </w:pPr>
            <w:bookmarkStart w:id="0" w:name="_Toc150264337"/>
            <w:bookmarkStart w:id="1" w:name="_Toc150351678"/>
            <w:r>
              <w:rPr>
                <w:rFonts w:hint="eastAsia" w:ascii="仿宋" w:hAnsi="仿宋" w:eastAsia="仿宋"/>
                <w:sz w:val="32"/>
                <w:szCs w:val="32"/>
              </w:rPr>
              <w:t>安全检查考核表</w:t>
            </w:r>
            <w:bookmarkEnd w:id="0"/>
            <w:bookmarkEnd w:id="1"/>
          </w:p>
        </w:tc>
      </w:tr>
      <w:tr>
        <w:tblPrEx>
          <w:tblCellMar>
            <w:top w:w="0" w:type="dxa"/>
            <w:left w:w="108" w:type="dxa"/>
            <w:bottom w:w="0" w:type="dxa"/>
            <w:right w:w="108" w:type="dxa"/>
          </w:tblCellMar>
        </w:tblPrEx>
        <w:trPr>
          <w:trHeight w:val="499" w:hRule="atLeast"/>
        </w:trPr>
        <w:tc>
          <w:tcPr>
            <w:tcW w:w="2142" w:type="dxa"/>
            <w:gridSpan w:val="3"/>
            <w:tcBorders>
              <w:top w:val="nil"/>
              <w:left w:val="nil"/>
              <w:bottom w:val="single" w:color="auto" w:sz="4" w:space="0"/>
              <w:right w:val="nil"/>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标段名称：</w:t>
            </w:r>
          </w:p>
        </w:tc>
        <w:tc>
          <w:tcPr>
            <w:tcW w:w="7229" w:type="dxa"/>
            <w:gridSpan w:val="2"/>
            <w:tcBorders>
              <w:top w:val="nil"/>
              <w:left w:val="nil"/>
              <w:bottom w:val="single" w:color="auto" w:sz="4" w:space="0"/>
              <w:right w:val="nil"/>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c>
          <w:tcPr>
            <w:tcW w:w="1701" w:type="dxa"/>
            <w:gridSpan w:val="2"/>
            <w:tcBorders>
              <w:top w:val="nil"/>
              <w:left w:val="nil"/>
              <w:bottom w:val="single" w:color="auto" w:sz="4" w:space="0"/>
              <w:right w:val="nil"/>
            </w:tcBorders>
            <w:shd w:val="clear" w:color="auto" w:fill="auto"/>
            <w:noWrap/>
            <w:vAlign w:val="center"/>
          </w:tcPr>
          <w:p>
            <w:pPr>
              <w:widowControl/>
              <w:jc w:val="center"/>
              <w:rPr>
                <w:rFonts w:ascii="仿宋" w:hAnsi="仿宋" w:eastAsia="仿宋"/>
                <w:sz w:val="20"/>
                <w:szCs w:val="20"/>
              </w:rPr>
            </w:pPr>
            <w:r>
              <w:rPr>
                <w:rFonts w:hint="eastAsia" w:ascii="仿宋" w:hAnsi="仿宋" w:eastAsia="仿宋"/>
                <w:sz w:val="20"/>
                <w:szCs w:val="20"/>
              </w:rPr>
              <w:t>单位名称：</w:t>
            </w:r>
          </w:p>
        </w:tc>
        <w:tc>
          <w:tcPr>
            <w:tcW w:w="1701" w:type="dxa"/>
            <w:gridSpan w:val="2"/>
            <w:tcBorders>
              <w:top w:val="nil"/>
              <w:left w:val="nil"/>
              <w:bottom w:val="single" w:color="auto" w:sz="4" w:space="0"/>
              <w:right w:val="nil"/>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c>
          <w:tcPr>
            <w:tcW w:w="1984" w:type="dxa"/>
            <w:gridSpan w:val="2"/>
            <w:tcBorders>
              <w:top w:val="nil"/>
              <w:left w:val="nil"/>
              <w:bottom w:val="single" w:color="auto" w:sz="4" w:space="0"/>
              <w:right w:val="nil"/>
            </w:tcBorders>
            <w:shd w:val="clear" w:color="auto" w:fill="auto"/>
            <w:noWrap/>
            <w:vAlign w:val="center"/>
          </w:tcPr>
          <w:p>
            <w:pPr>
              <w:widowControl/>
              <w:jc w:val="center"/>
              <w:rPr>
                <w:rFonts w:ascii="仿宋" w:hAnsi="仿宋" w:eastAsia="仿宋"/>
                <w:sz w:val="20"/>
                <w:szCs w:val="20"/>
              </w:rPr>
            </w:pPr>
            <w:r>
              <w:rPr>
                <w:rFonts w:hint="eastAsia" w:ascii="仿宋" w:hAnsi="仿宋" w:eastAsia="仿宋"/>
                <w:sz w:val="20"/>
                <w:szCs w:val="20"/>
              </w:rPr>
              <w:t>年     月</w:t>
            </w:r>
          </w:p>
        </w:tc>
      </w:tr>
      <w:tr>
        <w:tblPrEx>
          <w:tblCellMar>
            <w:top w:w="0" w:type="dxa"/>
            <w:left w:w="108" w:type="dxa"/>
            <w:bottom w:w="0" w:type="dxa"/>
            <w:right w:w="108" w:type="dxa"/>
          </w:tblCellMar>
        </w:tblPrEx>
        <w:trPr>
          <w:trHeight w:val="28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序号</w:t>
            </w:r>
          </w:p>
        </w:tc>
        <w:tc>
          <w:tcPr>
            <w:tcW w:w="127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检查项目</w:t>
            </w:r>
          </w:p>
        </w:tc>
        <w:tc>
          <w:tcPr>
            <w:tcW w:w="722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检查内容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b/>
                <w:bCs/>
                <w:sz w:val="24"/>
                <w:szCs w:val="24"/>
              </w:rPr>
            </w:pPr>
            <w:r>
              <w:rPr>
                <w:rFonts w:hint="eastAsia" w:ascii="仿宋" w:hAnsi="仿宋" w:eastAsia="仿宋"/>
                <w:b/>
                <w:bCs/>
                <w:sz w:val="24"/>
                <w:szCs w:val="24"/>
              </w:rPr>
              <w:t>处罚标准</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处罚说明</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扣款金额</w:t>
            </w:r>
          </w:p>
        </w:tc>
      </w:tr>
      <w:tr>
        <w:tblPrEx>
          <w:tblCellMar>
            <w:top w:w="0" w:type="dxa"/>
            <w:left w:w="108" w:type="dxa"/>
            <w:bottom w:w="0" w:type="dxa"/>
            <w:right w:w="108" w:type="dxa"/>
          </w:tblCellMar>
        </w:tblPrEx>
        <w:trPr>
          <w:trHeight w:val="375" w:hRule="atLeast"/>
        </w:trPr>
        <w:tc>
          <w:tcPr>
            <w:tcW w:w="8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一</w:t>
            </w:r>
          </w:p>
        </w:tc>
        <w:tc>
          <w:tcPr>
            <w:tcW w:w="127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制度建设</w:t>
            </w: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未制定项目安全管理目标、全员安全生产责任制、考核制度</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1000元/项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37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未制定项目安全技术交底制度、各工种安全技术操作规程</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1000元/项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37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未制定项目安全生产教育制度、班前安全活动制度</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1000元/项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37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未制定项目安全检查、隐患排查治理制度</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1000元/项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37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未建立项目设备、车辆管理制度</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1000元/项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37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未制定项目动火等特殊作业安全管理制度</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1000元/项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37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未建立项目安全防护用品管理制度</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1000元/项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37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未建立项目安全生产费用管理制度</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1000元/项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37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未按规定编制项目安全事故应急救援预案和现场处置方案</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1000元/项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37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未建立项目事故报告与调查处理制度</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1000元/项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299" w:hRule="atLeast"/>
        </w:trPr>
        <w:tc>
          <w:tcPr>
            <w:tcW w:w="8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二</w:t>
            </w:r>
          </w:p>
        </w:tc>
        <w:tc>
          <w:tcPr>
            <w:tcW w:w="127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教育培训</w:t>
            </w: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未对进入新岗位或新进施工现场的作业人员（含临时作业人员）进行安全教育</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1000元/项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33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未开展年度安全教育培训，或教育培训学时达不到要求，或安全教育档案不全</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2000元/项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37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未开展班前安全活动或无班前安全活动记录</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1000元/项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375" w:hRule="atLeast"/>
        </w:trPr>
        <w:tc>
          <w:tcPr>
            <w:tcW w:w="8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三</w:t>
            </w:r>
          </w:p>
        </w:tc>
        <w:tc>
          <w:tcPr>
            <w:tcW w:w="127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现场管理</w:t>
            </w: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未按规定或合同约定设置安全管理机构或配备项目安全管理人员</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2000元/项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37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项目经理（主要负责人)、安全管理人员未持安全生产考核合格证</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2000元/项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37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未定期组织项目安全生产会议，或无记录的</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1000元/项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37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车辆或特种设备未按规定检验，或未定期进行检维修并记录</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1000元/项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37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未组织项目的安全风险辨识和评估，未进行风险动态管理</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2000元/项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37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项目专职安全员未进行日常安全检查</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1000元/项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37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未严格执行安全检查、隐患排查治理或无检查记录、无整改闭环记录</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2000元/项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540"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动火等危险性作业未执行有关管理制度，未报备业主或施工时无专职人员进行现场安全管理的</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2000元/项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430"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未就动火等特殊作业安全对现场管理人员、施工班组、作业人员交底并形成记录</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1000元/项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37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未按要求进行现场安全防护、安全条件验收，安全措施不到位的</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1000元/项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37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特种作业人员、特种设备操作人员未持证上岗</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2000元/项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503"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未向作业人员提供合格的安全防护用品或未按要求正确使用劳保防护用品</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1000元/项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37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未按规定储存、使用危化品的</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2000元/项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563" w:hRule="atLeast"/>
        </w:trPr>
        <w:tc>
          <w:tcPr>
            <w:tcW w:w="8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四</w:t>
            </w:r>
          </w:p>
        </w:tc>
        <w:tc>
          <w:tcPr>
            <w:tcW w:w="127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应急管理</w:t>
            </w: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未建立项目应急救援队伍，定期对应急物资、设备进行检查，定期开展预案演练</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2000元/项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37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事故、险情发生后未立即启动应急预案</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2000元/项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37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事故、险情发生后未按规定报告，未建立事故管理档案</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2000元/项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375" w:hRule="atLeast"/>
        </w:trPr>
        <w:tc>
          <w:tcPr>
            <w:tcW w:w="8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五</w:t>
            </w:r>
          </w:p>
        </w:tc>
        <w:tc>
          <w:tcPr>
            <w:tcW w:w="127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其他</w:t>
            </w: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上级或业主检查发现存在事故隐患的</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1000元/项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37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722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0"/>
                <w:szCs w:val="20"/>
              </w:rPr>
            </w:pPr>
            <w:r>
              <w:rPr>
                <w:rFonts w:hint="eastAsia" w:ascii="仿宋" w:hAnsi="仿宋" w:eastAsia="仿宋"/>
                <w:sz w:val="20"/>
                <w:szCs w:val="20"/>
              </w:rPr>
              <w:t>未按要求落实业主有关指令或安全管理事宜的</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1000元/项</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37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7229" w:type="dxa"/>
            <w:gridSpan w:val="2"/>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sz w:val="20"/>
                <w:szCs w:val="20"/>
              </w:rPr>
            </w:pPr>
            <w:r>
              <w:rPr>
                <w:rFonts w:hint="eastAsia" w:ascii="仿宋" w:hAnsi="仿宋" w:eastAsia="仿宋"/>
                <w:sz w:val="20"/>
                <w:szCs w:val="20"/>
              </w:rPr>
              <w:t>发生一般安全事故。</w:t>
            </w:r>
          </w:p>
        </w:tc>
        <w:tc>
          <w:tcPr>
            <w:tcW w:w="1701"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sz w:val="20"/>
                <w:szCs w:val="20"/>
              </w:rPr>
            </w:pPr>
            <w:r>
              <w:rPr>
                <w:rFonts w:hint="eastAsia" w:ascii="仿宋" w:hAnsi="仿宋" w:eastAsia="仿宋"/>
                <w:sz w:val="20"/>
                <w:szCs w:val="20"/>
              </w:rPr>
              <w:t>5000元/项</w:t>
            </w:r>
          </w:p>
        </w:tc>
        <w:tc>
          <w:tcPr>
            <w:tcW w:w="170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sz w:val="24"/>
                <w:szCs w:val="24"/>
              </w:rPr>
            </w:pPr>
            <w:r>
              <w:rPr>
                <w:rFonts w:hint="eastAsia" w:ascii="仿宋" w:hAnsi="仿宋" w:eastAsia="仿宋"/>
                <w:sz w:val="24"/>
                <w:szCs w:val="24"/>
              </w:rPr>
              <w:t>　</w:t>
            </w:r>
          </w:p>
        </w:tc>
        <w:tc>
          <w:tcPr>
            <w:tcW w:w="1984"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b/>
                <w:bCs/>
                <w:sz w:val="24"/>
                <w:szCs w:val="24"/>
              </w:rPr>
            </w:pPr>
            <w:r>
              <w:rPr>
                <w:rFonts w:hint="eastAsia" w:ascii="仿宋" w:hAnsi="仿宋" w:eastAsia="仿宋"/>
                <w:b/>
                <w:bCs/>
                <w:sz w:val="24"/>
                <w:szCs w:val="24"/>
              </w:rPr>
              <w:t>　</w:t>
            </w:r>
          </w:p>
        </w:tc>
      </w:tr>
      <w:tr>
        <w:tblPrEx>
          <w:tblCellMar>
            <w:top w:w="0" w:type="dxa"/>
            <w:left w:w="108" w:type="dxa"/>
            <w:bottom w:w="0" w:type="dxa"/>
            <w:right w:w="108" w:type="dxa"/>
          </w:tblCellMar>
        </w:tblPrEx>
        <w:trPr>
          <w:trHeight w:val="37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0"/>
                <w:szCs w:val="20"/>
              </w:rPr>
            </w:pPr>
          </w:p>
        </w:tc>
        <w:tc>
          <w:tcPr>
            <w:tcW w:w="7229" w:type="dxa"/>
            <w:gridSpan w:val="2"/>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sz w:val="20"/>
                <w:szCs w:val="20"/>
              </w:rPr>
            </w:pPr>
            <w:r>
              <w:rPr>
                <w:rFonts w:hint="eastAsia" w:ascii="仿宋" w:hAnsi="仿宋" w:eastAsia="仿宋"/>
                <w:sz w:val="20"/>
                <w:szCs w:val="20"/>
              </w:rPr>
              <w:t>发生重大安全事故，根据事故情况可累加扣款。</w:t>
            </w:r>
          </w:p>
        </w:tc>
        <w:tc>
          <w:tcPr>
            <w:tcW w:w="1701"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sz w:val="20"/>
                <w:szCs w:val="20"/>
              </w:rPr>
            </w:pPr>
            <w:r>
              <w:rPr>
                <w:rFonts w:hint="eastAsia" w:ascii="仿宋" w:hAnsi="仿宋" w:eastAsia="仿宋"/>
                <w:sz w:val="20"/>
                <w:szCs w:val="20"/>
              </w:rPr>
              <w:t>10000元/项</w:t>
            </w:r>
          </w:p>
        </w:tc>
        <w:tc>
          <w:tcPr>
            <w:tcW w:w="1701"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ascii="仿宋" w:hAnsi="仿宋" w:eastAsia="仿宋"/>
                <w:sz w:val="22"/>
              </w:rPr>
            </w:pPr>
            <w:r>
              <w:rPr>
                <w:rFonts w:hint="eastAsia" w:ascii="仿宋" w:hAnsi="仿宋" w:eastAsia="仿宋"/>
                <w:sz w:val="22"/>
              </w:rPr>
              <w:t>　</w:t>
            </w:r>
          </w:p>
        </w:tc>
        <w:tc>
          <w:tcPr>
            <w:tcW w:w="1984"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ascii="仿宋" w:hAnsi="仿宋" w:eastAsia="仿宋"/>
                <w:sz w:val="22"/>
              </w:rPr>
            </w:pPr>
            <w:r>
              <w:rPr>
                <w:rFonts w:hint="eastAsia" w:ascii="仿宋" w:hAnsi="仿宋" w:eastAsia="仿宋"/>
                <w:sz w:val="22"/>
              </w:rPr>
              <w:t>　</w:t>
            </w:r>
          </w:p>
        </w:tc>
      </w:tr>
      <w:tr>
        <w:tblPrEx>
          <w:tblCellMar>
            <w:top w:w="0" w:type="dxa"/>
            <w:left w:w="108" w:type="dxa"/>
            <w:bottom w:w="0" w:type="dxa"/>
            <w:right w:w="108" w:type="dxa"/>
          </w:tblCellMar>
        </w:tblPrEx>
        <w:trPr>
          <w:trHeight w:val="375" w:hRule="atLeast"/>
        </w:trPr>
        <w:tc>
          <w:tcPr>
            <w:tcW w:w="2142" w:type="dxa"/>
            <w:gridSpan w:val="3"/>
            <w:tcBorders>
              <w:top w:val="single" w:color="auto" w:sz="4" w:space="0"/>
              <w:left w:val="single" w:color="auto" w:sz="4" w:space="0"/>
              <w:bottom w:val="nil"/>
              <w:right w:val="single" w:color="auto" w:sz="4"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sz w:val="20"/>
                <w:szCs w:val="20"/>
              </w:rPr>
              <w:t>合计</w:t>
            </w:r>
          </w:p>
        </w:tc>
        <w:tc>
          <w:tcPr>
            <w:tcW w:w="7229" w:type="dxa"/>
            <w:gridSpan w:val="2"/>
            <w:tcBorders>
              <w:top w:val="nil"/>
              <w:left w:val="nil"/>
              <w:bottom w:val="nil"/>
              <w:right w:val="single" w:color="auto" w:sz="4" w:space="0"/>
            </w:tcBorders>
            <w:shd w:val="clear" w:color="auto" w:fill="auto"/>
            <w:noWrap/>
            <w:vAlign w:val="center"/>
          </w:tcPr>
          <w:p>
            <w:pPr>
              <w:widowControl/>
              <w:jc w:val="left"/>
              <w:rPr>
                <w:rFonts w:ascii="仿宋" w:hAnsi="仿宋" w:eastAsia="仿宋"/>
                <w:sz w:val="22"/>
              </w:rPr>
            </w:pPr>
            <w:r>
              <w:rPr>
                <w:rFonts w:hint="eastAsia" w:ascii="仿宋" w:hAnsi="仿宋" w:eastAsia="仿宋"/>
                <w:sz w:val="22"/>
              </w:rPr>
              <w:t>　</w:t>
            </w:r>
          </w:p>
        </w:tc>
        <w:tc>
          <w:tcPr>
            <w:tcW w:w="1701" w:type="dxa"/>
            <w:gridSpan w:val="2"/>
            <w:tcBorders>
              <w:top w:val="nil"/>
              <w:left w:val="nil"/>
              <w:bottom w:val="nil"/>
              <w:right w:val="single" w:color="auto" w:sz="4" w:space="0"/>
            </w:tcBorders>
            <w:shd w:val="clear" w:color="auto" w:fill="auto"/>
            <w:noWrap/>
            <w:vAlign w:val="center"/>
          </w:tcPr>
          <w:p>
            <w:pPr>
              <w:widowControl/>
              <w:jc w:val="left"/>
              <w:rPr>
                <w:rFonts w:ascii="仿宋" w:hAnsi="仿宋" w:eastAsia="仿宋"/>
                <w:sz w:val="22"/>
              </w:rPr>
            </w:pPr>
            <w:r>
              <w:rPr>
                <w:rFonts w:hint="eastAsia" w:ascii="仿宋" w:hAnsi="仿宋" w:eastAsia="仿宋"/>
                <w:sz w:val="22"/>
              </w:rPr>
              <w:t>　</w:t>
            </w:r>
          </w:p>
        </w:tc>
        <w:tc>
          <w:tcPr>
            <w:tcW w:w="1701" w:type="dxa"/>
            <w:gridSpan w:val="2"/>
            <w:tcBorders>
              <w:top w:val="nil"/>
              <w:left w:val="nil"/>
              <w:bottom w:val="nil"/>
              <w:right w:val="single" w:color="auto" w:sz="4" w:space="0"/>
            </w:tcBorders>
            <w:shd w:val="clear" w:color="auto" w:fill="auto"/>
            <w:noWrap/>
            <w:vAlign w:val="center"/>
          </w:tcPr>
          <w:p>
            <w:pPr>
              <w:widowControl/>
              <w:jc w:val="left"/>
              <w:rPr>
                <w:rFonts w:ascii="仿宋" w:hAnsi="仿宋" w:eastAsia="仿宋"/>
                <w:sz w:val="22"/>
              </w:rPr>
            </w:pPr>
            <w:r>
              <w:rPr>
                <w:rFonts w:hint="eastAsia" w:ascii="仿宋" w:hAnsi="仿宋" w:eastAsia="仿宋"/>
                <w:sz w:val="22"/>
              </w:rPr>
              <w:t>　</w:t>
            </w:r>
          </w:p>
        </w:tc>
        <w:tc>
          <w:tcPr>
            <w:tcW w:w="1984" w:type="dxa"/>
            <w:gridSpan w:val="2"/>
            <w:tcBorders>
              <w:top w:val="nil"/>
              <w:left w:val="nil"/>
              <w:bottom w:val="nil"/>
              <w:right w:val="single" w:color="auto" w:sz="4" w:space="0"/>
            </w:tcBorders>
            <w:shd w:val="clear" w:color="auto" w:fill="auto"/>
            <w:noWrap/>
            <w:vAlign w:val="center"/>
          </w:tcPr>
          <w:p>
            <w:pPr>
              <w:widowControl/>
              <w:jc w:val="left"/>
              <w:rPr>
                <w:rFonts w:ascii="仿宋" w:hAnsi="仿宋" w:eastAsia="仿宋"/>
                <w:sz w:val="22"/>
              </w:rPr>
            </w:pPr>
            <w:r>
              <w:rPr>
                <w:rFonts w:hint="eastAsia" w:ascii="仿宋" w:hAnsi="仿宋" w:eastAsia="仿宋"/>
                <w:sz w:val="22"/>
              </w:rPr>
              <w:t>　</w:t>
            </w:r>
          </w:p>
        </w:tc>
      </w:tr>
      <w:tr>
        <w:tblPrEx>
          <w:tblCellMar>
            <w:top w:w="0" w:type="dxa"/>
            <w:left w:w="108" w:type="dxa"/>
            <w:bottom w:w="0" w:type="dxa"/>
            <w:right w:w="108" w:type="dxa"/>
          </w:tblCellMar>
        </w:tblPrEx>
        <w:trPr>
          <w:trHeight w:val="270" w:hRule="atLeast"/>
        </w:trPr>
        <w:tc>
          <w:tcPr>
            <w:tcW w:w="14757" w:type="dxa"/>
            <w:gridSpan w:val="11"/>
            <w:tcBorders>
              <w:top w:val="single" w:color="auto" w:sz="4" w:space="0"/>
              <w:left w:val="nil"/>
              <w:bottom w:val="nil"/>
              <w:right w:val="nil"/>
            </w:tcBorders>
            <w:shd w:val="clear" w:color="auto" w:fill="auto"/>
            <w:noWrap/>
            <w:vAlign w:val="center"/>
          </w:tcPr>
          <w:p>
            <w:pPr>
              <w:widowControl/>
              <w:jc w:val="left"/>
              <w:rPr>
                <w:rFonts w:ascii="仿宋" w:hAnsi="仿宋" w:eastAsia="仿宋"/>
                <w:b/>
                <w:sz w:val="22"/>
              </w:rPr>
            </w:pPr>
            <w:r>
              <w:rPr>
                <w:rFonts w:hint="eastAsia" w:ascii="仿宋" w:hAnsi="仿宋" w:eastAsia="仿宋"/>
                <w:sz w:val="22"/>
              </w:rPr>
              <w:t xml:space="preserve">         </w:t>
            </w:r>
            <w:r>
              <w:rPr>
                <w:rFonts w:hint="eastAsia" w:ascii="仿宋" w:hAnsi="仿宋" w:eastAsia="仿宋"/>
                <w:b/>
                <w:sz w:val="22"/>
              </w:rPr>
              <w:t xml:space="preserve"> 被考核单位：                                 考核人：                          部门安全分管负责人：           </w:t>
            </w:r>
          </w:p>
        </w:tc>
      </w:tr>
      <w:tr>
        <w:tblPrEx>
          <w:tblCellMar>
            <w:top w:w="0" w:type="dxa"/>
            <w:left w:w="108" w:type="dxa"/>
            <w:bottom w:w="0" w:type="dxa"/>
            <w:right w:w="108" w:type="dxa"/>
          </w:tblCellMar>
        </w:tblPrEx>
        <w:trPr>
          <w:trHeight w:val="270" w:hRule="atLeast"/>
        </w:trPr>
        <w:tc>
          <w:tcPr>
            <w:tcW w:w="1170" w:type="dxa"/>
            <w:gridSpan w:val="2"/>
            <w:tcBorders>
              <w:top w:val="nil"/>
              <w:left w:val="nil"/>
              <w:bottom w:val="nil"/>
              <w:right w:val="nil"/>
            </w:tcBorders>
            <w:shd w:val="clear" w:color="auto" w:fill="auto"/>
            <w:noWrap/>
            <w:vAlign w:val="center"/>
          </w:tcPr>
          <w:p>
            <w:pPr>
              <w:widowControl/>
              <w:jc w:val="left"/>
              <w:rPr>
                <w:rFonts w:ascii="仿宋" w:hAnsi="仿宋" w:eastAsia="仿宋"/>
                <w:sz w:val="22"/>
              </w:rPr>
            </w:pPr>
          </w:p>
        </w:tc>
        <w:tc>
          <w:tcPr>
            <w:tcW w:w="1751" w:type="dxa"/>
            <w:gridSpan w:val="2"/>
            <w:tcBorders>
              <w:top w:val="nil"/>
              <w:left w:val="nil"/>
              <w:bottom w:val="nil"/>
              <w:right w:val="nil"/>
            </w:tcBorders>
            <w:shd w:val="clear" w:color="auto" w:fill="auto"/>
            <w:noWrap/>
            <w:vAlign w:val="center"/>
          </w:tcPr>
          <w:p>
            <w:pPr>
              <w:widowControl/>
              <w:jc w:val="left"/>
              <w:rPr>
                <w:rFonts w:ascii="仿宋" w:hAnsi="仿宋" w:eastAsia="仿宋"/>
                <w:sz w:val="22"/>
              </w:rPr>
            </w:pPr>
          </w:p>
        </w:tc>
        <w:tc>
          <w:tcPr>
            <w:tcW w:w="6984" w:type="dxa"/>
            <w:gridSpan w:val="2"/>
            <w:tcBorders>
              <w:top w:val="nil"/>
              <w:left w:val="nil"/>
              <w:bottom w:val="nil"/>
              <w:right w:val="nil"/>
            </w:tcBorders>
            <w:shd w:val="clear" w:color="auto" w:fill="auto"/>
            <w:noWrap/>
            <w:vAlign w:val="center"/>
          </w:tcPr>
          <w:p>
            <w:pPr>
              <w:widowControl/>
              <w:jc w:val="left"/>
              <w:rPr>
                <w:rFonts w:ascii="仿宋" w:hAnsi="仿宋" w:eastAsia="仿宋"/>
                <w:sz w:val="22"/>
              </w:rPr>
            </w:pPr>
          </w:p>
        </w:tc>
        <w:tc>
          <w:tcPr>
            <w:tcW w:w="2220" w:type="dxa"/>
            <w:gridSpan w:val="2"/>
            <w:tcBorders>
              <w:top w:val="nil"/>
              <w:left w:val="nil"/>
              <w:bottom w:val="nil"/>
              <w:right w:val="nil"/>
            </w:tcBorders>
            <w:shd w:val="clear" w:color="auto" w:fill="auto"/>
            <w:noWrap/>
            <w:vAlign w:val="center"/>
          </w:tcPr>
          <w:p>
            <w:pPr>
              <w:widowControl/>
              <w:jc w:val="left"/>
              <w:rPr>
                <w:rFonts w:ascii="仿宋" w:hAnsi="仿宋" w:eastAsia="仿宋"/>
                <w:sz w:val="22"/>
              </w:rPr>
            </w:pPr>
          </w:p>
        </w:tc>
        <w:tc>
          <w:tcPr>
            <w:tcW w:w="1678" w:type="dxa"/>
            <w:gridSpan w:val="2"/>
            <w:tcBorders>
              <w:top w:val="nil"/>
              <w:left w:val="nil"/>
              <w:bottom w:val="nil"/>
              <w:right w:val="nil"/>
            </w:tcBorders>
            <w:shd w:val="clear" w:color="auto" w:fill="auto"/>
            <w:noWrap/>
            <w:vAlign w:val="center"/>
          </w:tcPr>
          <w:p>
            <w:pPr>
              <w:widowControl/>
              <w:jc w:val="left"/>
              <w:rPr>
                <w:rFonts w:ascii="仿宋" w:hAnsi="仿宋" w:eastAsia="仿宋"/>
                <w:sz w:val="22"/>
              </w:rPr>
            </w:pPr>
          </w:p>
        </w:tc>
        <w:tc>
          <w:tcPr>
            <w:tcW w:w="954" w:type="dxa"/>
            <w:tcBorders>
              <w:top w:val="nil"/>
              <w:left w:val="nil"/>
              <w:bottom w:val="nil"/>
              <w:right w:val="nil"/>
            </w:tcBorders>
            <w:shd w:val="clear" w:color="auto" w:fill="auto"/>
            <w:noWrap/>
            <w:vAlign w:val="center"/>
          </w:tcPr>
          <w:p>
            <w:pPr>
              <w:widowControl/>
              <w:jc w:val="left"/>
              <w:rPr>
                <w:rFonts w:ascii="仿宋" w:hAnsi="仿宋" w:eastAsia="仿宋"/>
                <w:sz w:val="22"/>
              </w:rPr>
            </w:pPr>
          </w:p>
        </w:tc>
      </w:tr>
      <w:tr>
        <w:tblPrEx>
          <w:tblCellMar>
            <w:top w:w="0" w:type="dxa"/>
            <w:left w:w="108" w:type="dxa"/>
            <w:bottom w:w="0" w:type="dxa"/>
            <w:right w:w="108" w:type="dxa"/>
          </w:tblCellMar>
        </w:tblPrEx>
        <w:trPr>
          <w:trHeight w:val="270" w:hRule="atLeast"/>
        </w:trPr>
        <w:tc>
          <w:tcPr>
            <w:tcW w:w="1170" w:type="dxa"/>
            <w:gridSpan w:val="2"/>
            <w:tcBorders>
              <w:top w:val="nil"/>
              <w:left w:val="nil"/>
              <w:bottom w:val="nil"/>
              <w:right w:val="nil"/>
            </w:tcBorders>
            <w:shd w:val="clear" w:color="auto" w:fill="auto"/>
            <w:noWrap/>
            <w:vAlign w:val="center"/>
          </w:tcPr>
          <w:p>
            <w:pPr>
              <w:widowControl/>
              <w:jc w:val="left"/>
              <w:rPr>
                <w:rFonts w:ascii="仿宋" w:hAnsi="仿宋" w:eastAsia="仿宋"/>
                <w:b/>
                <w:bCs/>
                <w:sz w:val="22"/>
              </w:rPr>
            </w:pPr>
            <w:r>
              <w:rPr>
                <w:rFonts w:hint="eastAsia" w:ascii="仿宋" w:hAnsi="仿宋" w:eastAsia="仿宋"/>
                <w:b/>
                <w:bCs/>
                <w:sz w:val="22"/>
              </w:rPr>
              <w:t>备注：</w:t>
            </w:r>
          </w:p>
        </w:tc>
        <w:tc>
          <w:tcPr>
            <w:tcW w:w="8735" w:type="dxa"/>
            <w:gridSpan w:val="4"/>
            <w:tcBorders>
              <w:top w:val="nil"/>
              <w:left w:val="nil"/>
              <w:bottom w:val="nil"/>
              <w:right w:val="nil"/>
            </w:tcBorders>
            <w:shd w:val="clear" w:color="auto" w:fill="auto"/>
            <w:noWrap/>
            <w:vAlign w:val="center"/>
          </w:tcPr>
          <w:p>
            <w:pPr>
              <w:widowControl/>
              <w:jc w:val="left"/>
              <w:rPr>
                <w:rFonts w:ascii="仿宋" w:hAnsi="仿宋" w:eastAsia="仿宋"/>
                <w:b/>
                <w:bCs/>
                <w:sz w:val="22"/>
              </w:rPr>
            </w:pPr>
            <w:r>
              <w:rPr>
                <w:rFonts w:hint="eastAsia" w:ascii="仿宋" w:hAnsi="仿宋" w:eastAsia="仿宋"/>
                <w:b/>
                <w:bCs/>
                <w:sz w:val="22"/>
              </w:rPr>
              <w:t>1. 合同招标文件内已有处罚标准的，按原标准执行。</w:t>
            </w:r>
          </w:p>
        </w:tc>
        <w:tc>
          <w:tcPr>
            <w:tcW w:w="2220" w:type="dxa"/>
            <w:gridSpan w:val="2"/>
            <w:tcBorders>
              <w:top w:val="nil"/>
              <w:left w:val="nil"/>
              <w:bottom w:val="nil"/>
              <w:right w:val="nil"/>
            </w:tcBorders>
            <w:shd w:val="clear" w:color="auto" w:fill="auto"/>
            <w:noWrap/>
            <w:vAlign w:val="center"/>
          </w:tcPr>
          <w:p>
            <w:pPr>
              <w:widowControl/>
              <w:jc w:val="left"/>
              <w:rPr>
                <w:rFonts w:ascii="仿宋" w:hAnsi="仿宋" w:eastAsia="仿宋"/>
                <w:b/>
                <w:bCs/>
                <w:sz w:val="22"/>
              </w:rPr>
            </w:pPr>
          </w:p>
        </w:tc>
        <w:tc>
          <w:tcPr>
            <w:tcW w:w="1678" w:type="dxa"/>
            <w:gridSpan w:val="2"/>
            <w:tcBorders>
              <w:top w:val="nil"/>
              <w:left w:val="nil"/>
              <w:bottom w:val="nil"/>
              <w:right w:val="nil"/>
            </w:tcBorders>
            <w:shd w:val="clear" w:color="auto" w:fill="auto"/>
            <w:noWrap/>
            <w:vAlign w:val="center"/>
          </w:tcPr>
          <w:p>
            <w:pPr>
              <w:widowControl/>
              <w:jc w:val="left"/>
              <w:rPr>
                <w:rFonts w:ascii="仿宋" w:hAnsi="仿宋" w:eastAsia="仿宋"/>
                <w:b/>
                <w:bCs/>
                <w:sz w:val="22"/>
              </w:rPr>
            </w:pPr>
          </w:p>
        </w:tc>
        <w:tc>
          <w:tcPr>
            <w:tcW w:w="954" w:type="dxa"/>
            <w:tcBorders>
              <w:top w:val="nil"/>
              <w:left w:val="nil"/>
              <w:bottom w:val="nil"/>
              <w:right w:val="nil"/>
            </w:tcBorders>
            <w:shd w:val="clear" w:color="auto" w:fill="auto"/>
            <w:noWrap/>
            <w:vAlign w:val="center"/>
          </w:tcPr>
          <w:p>
            <w:pPr>
              <w:widowControl/>
              <w:jc w:val="left"/>
              <w:rPr>
                <w:rFonts w:ascii="仿宋" w:hAnsi="仿宋" w:eastAsia="仿宋"/>
                <w:sz w:val="22"/>
              </w:rPr>
            </w:pPr>
          </w:p>
        </w:tc>
      </w:tr>
    </w:tbl>
    <w:p>
      <w:pPr>
        <w:ind w:right="960"/>
        <w:rPr>
          <w:rFonts w:ascii="仿宋" w:hAnsi="仿宋" w:eastAsia="仿宋" w:cs="仿宋"/>
          <w:color w:val="000000"/>
          <w:sz w:val="30"/>
          <w:szCs w:val="30"/>
        </w:rPr>
      </w:pPr>
      <w:r>
        <w:rPr>
          <w:rFonts w:hint="eastAsia" w:ascii="仿宋" w:hAnsi="仿宋" w:eastAsia="仿宋"/>
          <w:sz w:val="24"/>
          <w:szCs w:val="24"/>
        </w:rPr>
        <w:t xml:space="preserve"> </w:t>
      </w:r>
    </w:p>
    <w:sectPr>
      <w:pgSz w:w="16838" w:h="11906" w:orient="landscape"/>
      <w:pgMar w:top="1134" w:right="1440" w:bottom="1800" w:left="144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iberation Sans">
    <w:altName w:val="Segoe Print"/>
    <w:panose1 w:val="020B0604020202020204"/>
    <w:charset w:val="00"/>
    <w:family w:val="swiss"/>
    <w:pitch w:val="default"/>
    <w:sig w:usb0="00000000" w:usb1="00000000" w:usb2="00000021" w:usb3="00000000" w:csb0="000001B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8E3"/>
    <w:rsid w:val="00193D2A"/>
    <w:rsid w:val="001C0229"/>
    <w:rsid w:val="001C4144"/>
    <w:rsid w:val="00254A6E"/>
    <w:rsid w:val="00445C5B"/>
    <w:rsid w:val="00522525"/>
    <w:rsid w:val="005977EC"/>
    <w:rsid w:val="0070274D"/>
    <w:rsid w:val="008B767D"/>
    <w:rsid w:val="00AE2302"/>
    <w:rsid w:val="00B34AB6"/>
    <w:rsid w:val="00B458E3"/>
    <w:rsid w:val="00BA3A0E"/>
    <w:rsid w:val="00CE30E8"/>
    <w:rsid w:val="00E9267C"/>
    <w:rsid w:val="00F349BE"/>
    <w:rsid w:val="00F85031"/>
    <w:rsid w:val="07D26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bCs/>
      <w:sz w:val="44"/>
      <w:szCs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caption"/>
    <w:basedOn w:val="1"/>
    <w:qFormat/>
    <w:uiPriority w:val="0"/>
    <w:pPr>
      <w:suppressLineNumbers/>
      <w:spacing w:before="120" w:after="120"/>
    </w:pPr>
    <w:rPr>
      <w:rFonts w:cs="Arial Unicode MS"/>
      <w:i/>
      <w:iCs/>
      <w:sz w:val="24"/>
      <w:szCs w:val="24"/>
    </w:rPr>
  </w:style>
  <w:style w:type="paragraph" w:styleId="4">
    <w:name w:val="Body Text"/>
    <w:basedOn w:val="1"/>
    <w:autoRedefine/>
    <w:qFormat/>
    <w:uiPriority w:val="0"/>
    <w:pPr>
      <w:spacing w:after="140" w:line="276" w:lineRule="auto"/>
    </w:pPr>
  </w:style>
  <w:style w:type="paragraph" w:styleId="5">
    <w:name w:val="Body Text Indent"/>
    <w:basedOn w:val="1"/>
    <w:next w:val="6"/>
    <w:autoRedefine/>
    <w:qFormat/>
    <w:uiPriority w:val="0"/>
    <w:pPr>
      <w:spacing w:line="360" w:lineRule="auto"/>
      <w:ind w:firstLine="425"/>
    </w:pPr>
    <w:rPr>
      <w:szCs w:val="24"/>
    </w:rPr>
  </w:style>
  <w:style w:type="paragraph" w:customStyle="1" w:styleId="6">
    <w:name w:val="目录 51"/>
    <w:next w:val="1"/>
    <w:uiPriority w:val="0"/>
    <w:pPr>
      <w:suppressAutoHyphens/>
      <w:ind w:left="1275"/>
      <w:jc w:val="both"/>
    </w:pPr>
    <w:rPr>
      <w:rFonts w:ascii="Times New Roman" w:hAnsi="Times New Roman" w:eastAsia="宋体" w:cs="Times New Roman"/>
      <w:sz w:val="21"/>
      <w:lang w:val="en-US" w:eastAsia="zh-CN" w:bidi="ar-SA"/>
    </w:rPr>
  </w:style>
  <w:style w:type="paragraph" w:styleId="7">
    <w:name w:val="footer"/>
    <w:basedOn w:val="1"/>
    <w:autoRedefine/>
    <w:qFormat/>
    <w:uiPriority w:val="0"/>
    <w:pPr>
      <w:snapToGrid w:val="0"/>
      <w:jc w:val="left"/>
    </w:pPr>
    <w:rPr>
      <w:sz w:val="18"/>
      <w:szCs w:val="18"/>
    </w:rPr>
  </w:style>
  <w:style w:type="paragraph" w:styleId="8">
    <w:name w:val="header"/>
    <w:basedOn w:val="1"/>
    <w:uiPriority w:val="0"/>
    <w:pPr>
      <w:pBdr>
        <w:top w:val="none" w:color="000000" w:sz="0" w:space="0"/>
        <w:left w:val="none" w:color="000000" w:sz="0" w:space="0"/>
        <w:bottom w:val="single" w:color="000000" w:sz="6" w:space="1"/>
        <w:right w:val="none" w:color="000000" w:sz="0" w:space="0"/>
      </w:pBdr>
      <w:snapToGrid w:val="0"/>
      <w:jc w:val="center"/>
    </w:pPr>
    <w:rPr>
      <w:sz w:val="18"/>
      <w:szCs w:val="18"/>
    </w:rPr>
  </w:style>
  <w:style w:type="paragraph" w:styleId="9">
    <w:name w:val="toc 1"/>
    <w:basedOn w:val="1"/>
    <w:next w:val="1"/>
    <w:uiPriority w:val="0"/>
    <w:pPr>
      <w:widowControl/>
      <w:spacing w:after="100" w:line="276" w:lineRule="auto"/>
      <w:jc w:val="left"/>
    </w:pPr>
    <w:rPr>
      <w:kern w:val="0"/>
      <w:sz w:val="22"/>
    </w:rPr>
  </w:style>
  <w:style w:type="paragraph" w:styleId="10">
    <w:name w:val="List"/>
    <w:basedOn w:val="4"/>
    <w:autoRedefine/>
    <w:qFormat/>
    <w:uiPriority w:val="0"/>
    <w:rPr>
      <w:rFonts w:cs="Arial Unicode MS"/>
    </w:rPr>
  </w:style>
  <w:style w:type="paragraph" w:styleId="11">
    <w:name w:val="toc 2"/>
    <w:basedOn w:val="1"/>
    <w:next w:val="1"/>
    <w:autoRedefine/>
    <w:qFormat/>
    <w:uiPriority w:val="0"/>
    <w:pPr>
      <w:widowControl/>
      <w:spacing w:after="100" w:line="276" w:lineRule="auto"/>
      <w:ind w:left="220"/>
      <w:jc w:val="left"/>
    </w:pPr>
    <w:rPr>
      <w:kern w:val="0"/>
      <w:sz w:val="22"/>
    </w:rPr>
  </w:style>
  <w:style w:type="character" w:styleId="14">
    <w:name w:val="Strong"/>
    <w:qFormat/>
    <w:uiPriority w:val="0"/>
    <w:rPr>
      <w:b/>
    </w:rPr>
  </w:style>
  <w:style w:type="character" w:customStyle="1" w:styleId="15">
    <w:name w:val="标题 1 Char"/>
    <w:basedOn w:val="13"/>
    <w:uiPriority w:val="0"/>
    <w:rPr>
      <w:b/>
      <w:bCs/>
      <w:kern w:val="2"/>
      <w:sz w:val="44"/>
      <w:szCs w:val="44"/>
    </w:rPr>
  </w:style>
  <w:style w:type="character" w:customStyle="1" w:styleId="16">
    <w:name w:val="页眉 Char"/>
    <w:basedOn w:val="13"/>
    <w:uiPriority w:val="0"/>
    <w:rPr>
      <w:sz w:val="18"/>
      <w:szCs w:val="18"/>
    </w:rPr>
  </w:style>
  <w:style w:type="character" w:customStyle="1" w:styleId="17">
    <w:name w:val="页脚 Char"/>
    <w:basedOn w:val="13"/>
    <w:uiPriority w:val="0"/>
    <w:rPr>
      <w:sz w:val="18"/>
      <w:szCs w:val="18"/>
    </w:rPr>
  </w:style>
  <w:style w:type="character" w:customStyle="1" w:styleId="18">
    <w:name w:val="正文文本缩进 Char"/>
    <w:basedOn w:val="13"/>
    <w:autoRedefine/>
    <w:qFormat/>
    <w:uiPriority w:val="0"/>
    <w:rPr>
      <w:szCs w:val="24"/>
    </w:rPr>
  </w:style>
  <w:style w:type="paragraph" w:customStyle="1" w:styleId="19">
    <w:name w:val="标题样式"/>
    <w:basedOn w:val="1"/>
    <w:next w:val="4"/>
    <w:autoRedefine/>
    <w:qFormat/>
    <w:uiPriority w:val="0"/>
    <w:pPr>
      <w:keepNext/>
      <w:spacing w:before="240" w:after="120"/>
    </w:pPr>
    <w:rPr>
      <w:rFonts w:ascii="Liberation Sans" w:hAnsi="Liberation Sans" w:eastAsia="微软雅黑" w:cs="Arial Unicode MS"/>
      <w:sz w:val="28"/>
      <w:szCs w:val="28"/>
    </w:rPr>
  </w:style>
  <w:style w:type="paragraph" w:customStyle="1" w:styleId="20">
    <w:name w:val="索引"/>
    <w:basedOn w:val="1"/>
    <w:uiPriority w:val="0"/>
    <w:pPr>
      <w:suppressLineNumbers/>
    </w:pPr>
    <w:rPr>
      <w:rFonts w:cs="Arial Unicode MS"/>
    </w:rPr>
  </w:style>
  <w:style w:type="paragraph" w:customStyle="1" w:styleId="21">
    <w:name w:val="TOC 标题1"/>
    <w:basedOn w:val="2"/>
    <w:next w:val="1"/>
    <w:autoRedefine/>
    <w:qFormat/>
    <w:uiPriority w:val="0"/>
    <w:pPr>
      <w:widowControl/>
      <w:numPr>
        <w:numId w:val="0"/>
      </w:numPr>
      <w:spacing w:before="480" w:after="0" w:line="276" w:lineRule="auto"/>
      <w:jc w:val="left"/>
    </w:pPr>
    <w:rPr>
      <w:rFonts w:ascii="Cambria" w:hAnsi="Cambria"/>
      <w:color w:val="366091"/>
      <w:kern w:val="0"/>
      <w:sz w:val="28"/>
      <w:szCs w:val="28"/>
    </w:rPr>
  </w:style>
  <w:style w:type="paragraph" w:customStyle="1" w:styleId="22">
    <w:name w:val="页眉与页脚"/>
    <w:basedOn w:val="1"/>
    <w:autoRedefine/>
    <w:qFormat/>
    <w:uiPriority w:val="0"/>
    <w:pPr>
      <w:suppressLineNumbers/>
      <w:tabs>
        <w:tab w:val="center" w:pos="4819"/>
        <w:tab w:val="right" w:pos="9638"/>
      </w:tabs>
    </w:pPr>
  </w:style>
  <w:style w:type="paragraph" w:customStyle="1" w:styleId="23">
    <w:name w:val="reader-word-layer reader-word-s1-6"/>
    <w:basedOn w:val="1"/>
    <w:autoRedefine/>
    <w:qFormat/>
    <w:uiPriority w:val="0"/>
    <w:pPr>
      <w:widowControl/>
      <w:spacing w:before="280" w:after="280"/>
      <w:jc w:val="left"/>
    </w:pPr>
    <w:rPr>
      <w:rFonts w:ascii="宋体" w:hAnsi="宋体" w:cs="宋体"/>
      <w:kern w:val="0"/>
      <w:sz w:val="24"/>
      <w:szCs w:val="24"/>
    </w:rPr>
  </w:style>
  <w:style w:type="paragraph" w:customStyle="1" w:styleId="24">
    <w:name w:val="表格内容"/>
    <w:basedOn w:val="1"/>
    <w:autoRedefine/>
    <w:qFormat/>
    <w:uiPriority w:val="0"/>
    <w:pPr>
      <w:suppressLineNumbers/>
    </w:pPr>
  </w:style>
  <w:style w:type="paragraph" w:customStyle="1" w:styleId="25">
    <w:name w:val="表格标题"/>
    <w:basedOn w:val="24"/>
    <w:uiPriority w:val="0"/>
    <w:pPr>
      <w:jc w:val="center"/>
    </w:pPr>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0614E-B7F6-4953-B920-0D042434D5E4}">
  <ds:schemaRefs/>
</ds:datastoreItem>
</file>

<file path=docProps/app.xml><?xml version="1.0" encoding="utf-8"?>
<Properties xmlns="http://schemas.openxmlformats.org/officeDocument/2006/extended-properties" xmlns:vt="http://schemas.openxmlformats.org/officeDocument/2006/docPropsVTypes">
  <Template>Normal</Template>
  <Pages>12</Pages>
  <Words>1241</Words>
  <Characters>7080</Characters>
  <Lines>59</Lines>
  <Paragraphs>16</Paragraphs>
  <TotalTime>9</TotalTime>
  <ScaleCrop>false</ScaleCrop>
  <LinksUpToDate>false</LinksUpToDate>
  <CharactersWithSpaces>8305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2023-09-13T02:36:00Z</dcterms:created>
  <dc:creator>user</dc:creator>
  <cp:lastModifiedBy>Administrator</cp:lastModifiedBy>
  <cp:lastPrinted>2113-01-01T00:00:00Z</cp:lastPrinted>
  <dcterms:modified xsi:type="dcterms:W3CDTF">2024-03-30T06:00:52Z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B255C424C508429B997BD9855CFC0534_13</vt:lpwstr>
  </property>
</Properties>
</file>