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spacing w:before="120" w:beforeAutospacing="0" w:after="120" w:afterAutospacing="0" w:line="360" w:lineRule="auto"/>
        <w:ind w:firstLine="2249"/>
        <w:jc w:val="both"/>
        <w:rPr>
          <w:rFonts w:ascii="Arial" w:hAnsi="Arial" w:cs="Arial"/>
          <w:b/>
          <w:color w:val="000000"/>
          <w:sz w:val="32"/>
          <w:szCs w:val="32"/>
          <w:highlight w:val="none"/>
        </w:rPr>
      </w:pPr>
      <w:r>
        <w:rPr>
          <w:highlight w:val="none"/>
        </w:rPr>
        <w:t> </w:t>
      </w:r>
    </w:p>
    <w:p>
      <w:pPr>
        <w:pStyle w:val="32"/>
        <w:spacing w:before="120" w:beforeAutospacing="0" w:after="120" w:afterAutospacing="0" w:line="360" w:lineRule="auto"/>
        <w:jc w:val="center"/>
        <w:rPr>
          <w:rFonts w:hint="eastAsia" w:ascii="Arial" w:hAnsi="Arial" w:cs="Arial"/>
          <w:b/>
          <w:color w:val="000000"/>
          <w:sz w:val="52"/>
          <w:szCs w:val="52"/>
          <w:highlight w:val="none"/>
        </w:rPr>
      </w:pPr>
    </w:p>
    <w:p>
      <w:pPr>
        <w:pStyle w:val="32"/>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56"/>
          <w:szCs w:val="56"/>
          <w:highlight w:val="none"/>
          <w:lang w:eastAsia="zh-CN"/>
        </w:rPr>
        <w:t>东台市精致城南片区微更新智慧停车项目（</w:t>
      </w:r>
      <w:r>
        <w:rPr>
          <w:rFonts w:hint="eastAsia" w:ascii="Arial" w:hAnsi="Arial" w:cs="Arial"/>
          <w:b/>
          <w:color w:val="000000"/>
          <w:sz w:val="56"/>
          <w:szCs w:val="56"/>
          <w:highlight w:val="none"/>
          <w:lang w:val="en-US" w:eastAsia="zh-CN"/>
        </w:rPr>
        <w:t>第二次</w:t>
      </w:r>
      <w:r>
        <w:rPr>
          <w:rFonts w:hint="eastAsia" w:ascii="Arial" w:hAnsi="Arial" w:cs="Arial"/>
          <w:b/>
          <w:color w:val="000000"/>
          <w:sz w:val="56"/>
          <w:szCs w:val="56"/>
          <w:highlight w:val="none"/>
          <w:lang w:eastAsia="zh-CN"/>
        </w:rPr>
        <w:t>）</w:t>
      </w:r>
    </w:p>
    <w:p>
      <w:pPr>
        <w:pStyle w:val="32"/>
        <w:spacing w:before="120" w:beforeAutospacing="0" w:after="120" w:afterAutospacing="0" w:line="360" w:lineRule="auto"/>
        <w:ind w:firstLine="2249"/>
        <w:jc w:val="both"/>
        <w:rPr>
          <w:rFonts w:ascii="Arial" w:hAnsi="Arial" w:cs="Arial"/>
          <w:b/>
          <w:color w:val="000000"/>
          <w:sz w:val="32"/>
          <w:szCs w:val="32"/>
          <w:highlight w:val="none"/>
        </w:rPr>
      </w:pPr>
    </w:p>
    <w:p>
      <w:pPr>
        <w:pStyle w:val="32"/>
        <w:spacing w:before="120" w:beforeAutospacing="0" w:after="120" w:afterAutospacing="0" w:line="360" w:lineRule="auto"/>
        <w:jc w:val="center"/>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84"/>
          <w:szCs w:val="84"/>
          <w:highlight w:val="none"/>
          <w:lang w:val="en-US" w:eastAsia="zh-CN"/>
        </w:rPr>
        <w:t>招标文件</w:t>
      </w:r>
    </w:p>
    <w:p>
      <w:pPr>
        <w:pStyle w:val="32"/>
        <w:spacing w:before="120" w:beforeAutospacing="0" w:after="120" w:afterAutospacing="0" w:line="360" w:lineRule="auto"/>
        <w:ind w:firstLine="2249"/>
        <w:jc w:val="both"/>
        <w:rPr>
          <w:rFonts w:ascii="Arial" w:hAnsi="Arial" w:cs="Arial"/>
          <w:b/>
          <w:color w:val="000000"/>
          <w:sz w:val="32"/>
          <w:szCs w:val="32"/>
          <w:highlight w:val="none"/>
        </w:rPr>
      </w:pPr>
    </w:p>
    <w:p>
      <w:pPr>
        <w:pStyle w:val="32"/>
        <w:spacing w:before="120" w:beforeAutospacing="0" w:after="120" w:afterAutospacing="0" w:line="360" w:lineRule="auto"/>
        <w:jc w:val="center"/>
        <w:rPr>
          <w:rFonts w:hint="eastAsia" w:ascii="Arial" w:hAnsi="Arial" w:cs="Arial" w:eastAsiaTheme="minorEastAsia"/>
          <w:b/>
          <w:color w:val="000000"/>
          <w:sz w:val="36"/>
          <w:szCs w:val="36"/>
          <w:highlight w:val="none"/>
          <w:lang w:eastAsia="zh-CN"/>
        </w:rPr>
      </w:pPr>
      <w:r>
        <w:rPr>
          <w:rFonts w:hint="eastAsia" w:ascii="Arial" w:hAnsi="Arial" w:cs="Arial"/>
          <w:b/>
          <w:color w:val="000000"/>
          <w:sz w:val="36"/>
          <w:szCs w:val="36"/>
          <w:highlight w:val="none"/>
        </w:rPr>
        <w:t>编号：</w:t>
      </w:r>
      <w:r>
        <w:rPr>
          <w:rFonts w:hint="eastAsia" w:ascii="Arial" w:hAnsi="Arial" w:cs="Arial"/>
          <w:b/>
          <w:color w:val="000000"/>
          <w:sz w:val="36"/>
          <w:szCs w:val="36"/>
          <w:highlight w:val="none"/>
          <w:lang w:eastAsia="zh-CN"/>
        </w:rPr>
        <w:t>JSZC-320981-JZCG-G2024-0044</w:t>
      </w:r>
    </w:p>
    <w:p>
      <w:pPr>
        <w:pStyle w:val="32"/>
        <w:spacing w:before="120" w:beforeAutospacing="0" w:after="120" w:afterAutospacing="0" w:line="360" w:lineRule="auto"/>
        <w:ind w:firstLine="2249"/>
        <w:jc w:val="both"/>
        <w:rPr>
          <w:rFonts w:ascii="Arial" w:hAnsi="Arial" w:cs="Arial"/>
          <w:b/>
          <w:color w:val="000000"/>
          <w:sz w:val="32"/>
          <w:szCs w:val="32"/>
          <w:highlight w:val="none"/>
        </w:rPr>
      </w:pPr>
      <w:r>
        <w:rPr>
          <w:rFonts w:ascii="Arial" w:hAnsi="Arial" w:cs="Arial"/>
          <w:b/>
          <w:color w:val="000000"/>
          <w:sz w:val="32"/>
          <w:szCs w:val="32"/>
          <w:highlight w:val="none"/>
        </w:rPr>
        <w:t> </w:t>
      </w:r>
    </w:p>
    <w:p>
      <w:pPr>
        <w:pStyle w:val="32"/>
        <w:spacing w:beforeAutospacing="0" w:afterAutospacing="0" w:line="360" w:lineRule="auto"/>
        <w:rPr>
          <w:highlight w:val="none"/>
        </w:rPr>
      </w:pPr>
      <w:r>
        <w:rPr>
          <w:highlight w:val="none"/>
        </w:rPr>
        <w:t> </w:t>
      </w:r>
    </w:p>
    <w:p>
      <w:pPr>
        <w:pStyle w:val="32"/>
        <w:spacing w:beforeAutospacing="0" w:afterAutospacing="0" w:line="360" w:lineRule="auto"/>
        <w:rPr>
          <w:highlight w:val="none"/>
        </w:rPr>
      </w:pPr>
      <w:r>
        <w:rPr>
          <w:highlight w:val="none"/>
        </w:rPr>
        <w:t> </w:t>
      </w:r>
    </w:p>
    <w:p>
      <w:pPr>
        <w:pStyle w:val="32"/>
        <w:spacing w:beforeAutospacing="0" w:afterAutospacing="0" w:line="360" w:lineRule="auto"/>
        <w:rPr>
          <w:highlight w:val="none"/>
        </w:rPr>
      </w:pPr>
      <w:r>
        <w:rPr>
          <w:highlight w:val="none"/>
        </w:rPr>
        <w:t> </w:t>
      </w:r>
    </w:p>
    <w:p>
      <w:pPr>
        <w:pStyle w:val="32"/>
        <w:spacing w:beforeAutospacing="0" w:afterAutospacing="0" w:line="360" w:lineRule="auto"/>
        <w:rPr>
          <w:highlight w:val="none"/>
        </w:rPr>
      </w:pPr>
    </w:p>
    <w:p>
      <w:pPr>
        <w:pStyle w:val="32"/>
        <w:spacing w:beforeAutospacing="0" w:afterAutospacing="0" w:line="360" w:lineRule="auto"/>
        <w:rPr>
          <w:highlight w:val="none"/>
        </w:rPr>
      </w:pPr>
    </w:p>
    <w:p>
      <w:pPr>
        <w:pStyle w:val="32"/>
        <w:spacing w:beforeAutospacing="0" w:afterAutospacing="0" w:line="360" w:lineRule="auto"/>
        <w:rPr>
          <w:highlight w:val="none"/>
        </w:rPr>
      </w:pPr>
    </w:p>
    <w:p>
      <w:pPr>
        <w:pStyle w:val="32"/>
        <w:spacing w:beforeAutospacing="0" w:afterAutospacing="0" w:line="360" w:lineRule="auto"/>
        <w:rPr>
          <w:highlight w:val="none"/>
        </w:rPr>
      </w:pPr>
      <w:r>
        <w:rPr>
          <w:highlight w:val="none"/>
        </w:rPr>
        <w:t> </w:t>
      </w:r>
    </w:p>
    <w:p>
      <w:pPr>
        <w:pStyle w:val="32"/>
        <w:spacing w:beforeAutospacing="0" w:afterAutospacing="0" w:line="360" w:lineRule="auto"/>
        <w:rPr>
          <w:highlight w:val="none"/>
        </w:rPr>
      </w:pPr>
      <w:r>
        <w:rPr>
          <w:highlight w:val="none"/>
        </w:rPr>
        <w:t> </w:t>
      </w:r>
    </w:p>
    <w:p>
      <w:pPr>
        <w:pStyle w:val="32"/>
        <w:spacing w:before="120" w:beforeAutospacing="0" w:after="120" w:afterAutospacing="0" w:line="360" w:lineRule="auto"/>
        <w:jc w:val="center"/>
        <w:rPr>
          <w:rFonts w:hint="default" w:ascii="Arial" w:hAnsi="Arial" w:cs="Arial" w:eastAsiaTheme="minorEastAsia"/>
          <w:b/>
          <w:color w:val="000000"/>
          <w:sz w:val="36"/>
          <w:szCs w:val="36"/>
          <w:highlight w:val="none"/>
          <w:lang w:val="en-US" w:eastAsia="zh-CN"/>
        </w:rPr>
      </w:pPr>
      <w:r>
        <w:rPr>
          <w:rFonts w:hint="eastAsia" w:ascii="Arial" w:hAnsi="Arial" w:cs="Arial"/>
          <w:b/>
          <w:color w:val="000000"/>
          <w:sz w:val="36"/>
          <w:szCs w:val="36"/>
          <w:highlight w:val="none"/>
          <w:lang w:val="en-US" w:eastAsia="zh-CN"/>
        </w:rPr>
        <w:t>东台市城市管理局</w:t>
      </w:r>
    </w:p>
    <w:p>
      <w:pPr>
        <w:pStyle w:val="32"/>
        <w:spacing w:before="120" w:beforeAutospacing="0" w:after="120" w:afterAutospacing="0" w:line="360" w:lineRule="auto"/>
        <w:jc w:val="center"/>
        <w:rPr>
          <w:rFonts w:hint="default" w:eastAsiaTheme="minorEastAsia"/>
          <w:highlight w:val="none"/>
          <w:u w:val="single"/>
          <w:lang w:val="en-US" w:eastAsia="zh-CN"/>
        </w:rPr>
      </w:pPr>
      <w:r>
        <w:rPr>
          <w:rFonts w:hint="eastAsia" w:ascii="Arial" w:hAnsi="Arial" w:cs="Arial"/>
          <w:b/>
          <w:color w:val="000000"/>
          <w:sz w:val="36"/>
          <w:szCs w:val="36"/>
          <w:highlight w:val="none"/>
          <w:u w:val="single"/>
          <w:lang w:val="en-US" w:eastAsia="zh-CN"/>
        </w:rPr>
        <w:t xml:space="preserve"> 2024 </w:t>
      </w:r>
      <w:r>
        <w:rPr>
          <w:rFonts w:ascii="Arial" w:hAnsi="Arial" w:cs="Arial"/>
          <w:b/>
          <w:color w:val="000000"/>
          <w:sz w:val="36"/>
          <w:szCs w:val="36"/>
          <w:highlight w:val="none"/>
        </w:rPr>
        <w:t>年</w:t>
      </w:r>
      <w:r>
        <w:rPr>
          <w:rFonts w:hint="eastAsia" w:ascii="Arial" w:hAnsi="Arial" w:cs="Arial"/>
          <w:b/>
          <w:color w:val="000000"/>
          <w:sz w:val="36"/>
          <w:szCs w:val="36"/>
          <w:highlight w:val="none"/>
          <w:u w:val="single"/>
          <w:lang w:val="en-US" w:eastAsia="zh-CN"/>
        </w:rPr>
        <w:t xml:space="preserve"> 9 </w:t>
      </w:r>
      <w:r>
        <w:rPr>
          <w:rFonts w:ascii="Arial" w:hAnsi="Arial" w:cs="Arial"/>
          <w:b/>
          <w:color w:val="000000"/>
          <w:sz w:val="36"/>
          <w:szCs w:val="36"/>
          <w:highlight w:val="none"/>
        </w:rPr>
        <w:t>月</w:t>
      </w:r>
      <w:r>
        <w:rPr>
          <w:rFonts w:hint="eastAsia" w:ascii="Arial" w:hAnsi="Arial" w:cs="Arial"/>
          <w:b/>
          <w:color w:val="000000"/>
          <w:sz w:val="36"/>
          <w:szCs w:val="36"/>
          <w:highlight w:val="none"/>
          <w:u w:val="single"/>
          <w:lang w:val="en-US" w:eastAsia="zh-CN"/>
        </w:rPr>
        <w:t xml:space="preserve"> 6 </w:t>
      </w:r>
      <w:r>
        <w:rPr>
          <w:rFonts w:hint="eastAsia" w:ascii="Arial" w:hAnsi="Arial" w:cs="Arial"/>
          <w:b/>
          <w:color w:val="000000"/>
          <w:sz w:val="36"/>
          <w:szCs w:val="36"/>
          <w:highlight w:val="none"/>
          <w:u w:val="none"/>
          <w:lang w:val="en-US" w:eastAsia="zh-CN"/>
        </w:rPr>
        <w:t>日</w:t>
      </w:r>
    </w:p>
    <w:p>
      <w:pPr>
        <w:pStyle w:val="32"/>
        <w:spacing w:beforeAutospacing="0" w:afterAutospacing="0" w:line="480" w:lineRule="auto"/>
        <w:jc w:val="center"/>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w:t>
      </w:r>
      <w:bookmarkStart w:id="0" w:name="_Toc20823272"/>
      <w:bookmarkStart w:id="1" w:name="_Toc513029200"/>
      <w:bookmarkStart w:id="2" w:name="_Toc120614210"/>
      <w:bookmarkStart w:id="3" w:name="_Toc479757206"/>
      <w:bookmarkStart w:id="4" w:name="_Toc16938516"/>
      <w:bookmarkStart w:id="5" w:name="_Toc523127445"/>
      <w:r>
        <w:rPr>
          <w:rFonts w:ascii="黑体" w:hAnsi="宋体" w:eastAsia="黑体" w:cs="黑体"/>
          <w:b/>
          <w:color w:val="000000"/>
          <w:sz w:val="44"/>
          <w:szCs w:val="44"/>
          <w:highlight w:val="none"/>
        </w:rPr>
        <w:t>总  目  录</w:t>
      </w:r>
      <w:bookmarkEnd w:id="0"/>
      <w:bookmarkEnd w:id="1"/>
      <w:bookmarkEnd w:id="2"/>
      <w:bookmarkEnd w:id="3"/>
      <w:bookmarkEnd w:id="4"/>
      <w:bookmarkEnd w:id="5"/>
    </w:p>
    <w:p>
      <w:pPr>
        <w:pStyle w:val="32"/>
        <w:spacing w:beforeAutospacing="0" w:afterAutospacing="0" w:line="480" w:lineRule="auto"/>
        <w:jc w:val="both"/>
        <w:rPr>
          <w:highlight w:val="none"/>
        </w:rPr>
      </w:pPr>
      <w:r>
        <w:rPr>
          <w:highlight w:val="none"/>
        </w:rPr>
        <w:t> </w:t>
      </w:r>
    </w:p>
    <w:p>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pPr>
        <w:pStyle w:val="32"/>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keepNext/>
        <w:spacing w:beforeAutospacing="0" w:afterAutospacing="0"/>
        <w:jc w:val="center"/>
        <w:rPr>
          <w:rFonts w:hint="default" w:eastAsia="黑体"/>
          <w:highlight w:val="none"/>
          <w:lang w:val="en-US" w:eastAsia="zh-CN"/>
        </w:rPr>
      </w:pPr>
      <w:bookmarkStart w:id="6" w:name="_Toc28359086"/>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pPr>
        <w:pStyle w:val="32"/>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440" w:lineRule="exact"/>
        <w:ind w:firstLine="482"/>
        <w:jc w:val="both"/>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项目概况</w:t>
      </w:r>
    </w:p>
    <w:p>
      <w:pPr>
        <w:pStyle w:val="32"/>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440" w:lineRule="exact"/>
        <w:ind w:firstLine="482"/>
        <w:jc w:val="both"/>
        <w:rPr>
          <w:rFonts w:hint="eastAsia" w:ascii="仿宋" w:hAnsi="仿宋" w:eastAsia="仿宋" w:cs="仿宋"/>
          <w:sz w:val="28"/>
          <w:szCs w:val="28"/>
          <w:highlight w:val="none"/>
        </w:rPr>
      </w:pPr>
      <w:r>
        <w:rPr>
          <w:rFonts w:hint="eastAsia" w:ascii="仿宋" w:hAnsi="仿宋" w:eastAsia="仿宋" w:cs="仿宋"/>
          <w:color w:val="000000"/>
          <w:sz w:val="28"/>
          <w:szCs w:val="28"/>
          <w:highlight w:val="none"/>
          <w:u w:val="single"/>
          <w:lang w:eastAsia="zh-CN"/>
        </w:rPr>
        <w:t>东台市精致城南片区微更新智慧停车项目（</w:t>
      </w:r>
      <w:r>
        <w:rPr>
          <w:rFonts w:hint="eastAsia" w:ascii="仿宋" w:hAnsi="仿宋" w:eastAsia="仿宋" w:cs="仿宋"/>
          <w:color w:val="000000"/>
          <w:sz w:val="28"/>
          <w:szCs w:val="28"/>
          <w:highlight w:val="none"/>
          <w:u w:val="single"/>
          <w:lang w:val="en-US" w:eastAsia="zh-CN"/>
        </w:rPr>
        <w:t>第二次</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rPr>
        <w:t>的潜在投标人可在</w:t>
      </w:r>
      <w:r>
        <w:rPr>
          <w:rFonts w:hint="eastAsia" w:ascii="仿宋" w:hAnsi="仿宋" w:eastAsia="仿宋" w:cs="仿宋"/>
          <w:color w:val="000000"/>
          <w:sz w:val="28"/>
          <w:szCs w:val="28"/>
          <w:highlight w:val="none"/>
          <w:u w:val="single"/>
        </w:rPr>
        <w:t>“</w:t>
      </w:r>
      <w:r>
        <w:rPr>
          <w:rFonts w:hint="eastAsia" w:ascii="仿宋" w:hAnsi="仿宋" w:eastAsia="仿宋" w:cs="仿宋"/>
          <w:color w:val="000000"/>
          <w:sz w:val="28"/>
          <w:szCs w:val="28"/>
          <w:highlight w:val="none"/>
          <w:u w:val="single"/>
          <w:lang w:val="en-US" w:eastAsia="zh-CN" w:bidi="ar-SA"/>
        </w:rPr>
        <w:t>中国政府采购网</w:t>
      </w:r>
      <w:r>
        <w:rPr>
          <w:rFonts w:hint="eastAsia" w:ascii="仿宋" w:hAnsi="仿宋" w:eastAsia="仿宋" w:cs="仿宋"/>
          <w:color w:val="000000"/>
          <w:sz w:val="28"/>
          <w:szCs w:val="28"/>
          <w:highlight w:val="none"/>
          <w:u w:val="single"/>
        </w:rPr>
        <w:t>”</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rPr>
        <w:t>“江苏政府采购网、盐城市政府采购网”</w:t>
      </w:r>
      <w:r>
        <w:rPr>
          <w:rFonts w:hint="eastAsia" w:ascii="仿宋" w:hAnsi="仿宋" w:eastAsia="仿宋" w:cs="仿宋"/>
          <w:color w:val="000000"/>
          <w:sz w:val="28"/>
          <w:szCs w:val="28"/>
          <w:highlight w:val="none"/>
          <w:lang w:val="en-US" w:eastAsia="zh-CN"/>
        </w:rPr>
        <w:t>获取</w:t>
      </w:r>
      <w:r>
        <w:rPr>
          <w:rFonts w:hint="eastAsia" w:ascii="仿宋" w:hAnsi="仿宋" w:eastAsia="仿宋" w:cs="仿宋"/>
          <w:color w:val="000000"/>
          <w:sz w:val="28"/>
          <w:szCs w:val="28"/>
          <w:highlight w:val="none"/>
        </w:rPr>
        <w:t>招标文件，并于</w:t>
      </w:r>
      <w:r>
        <w:rPr>
          <w:rFonts w:hint="eastAsia" w:ascii="仿宋" w:hAnsi="仿宋" w:eastAsia="仿宋" w:cs="仿宋"/>
          <w:color w:val="000000"/>
          <w:sz w:val="28"/>
          <w:szCs w:val="28"/>
          <w:highlight w:val="none"/>
          <w:u w:val="single"/>
          <w:lang w:val="en-US" w:eastAsia="zh-CN"/>
        </w:rPr>
        <w:t>2024</w:t>
      </w:r>
      <w:r>
        <w:rPr>
          <w:rFonts w:hint="eastAsia" w:ascii="仿宋" w:hAnsi="仿宋" w:eastAsia="仿宋" w:cs="仿宋"/>
          <w:color w:val="000000"/>
          <w:sz w:val="28"/>
          <w:szCs w:val="28"/>
          <w:highlight w:val="none"/>
          <w:u w:val="none"/>
        </w:rPr>
        <w:t>年</w:t>
      </w:r>
      <w:r>
        <w:rPr>
          <w:rFonts w:hint="eastAsia" w:ascii="仿宋" w:hAnsi="仿宋" w:eastAsia="仿宋" w:cs="仿宋"/>
          <w:color w:val="000000"/>
          <w:sz w:val="28"/>
          <w:szCs w:val="28"/>
          <w:highlight w:val="none"/>
          <w:u w:val="single"/>
        </w:rPr>
        <w:t>9</w:t>
      </w:r>
      <w:r>
        <w:rPr>
          <w:rFonts w:hint="eastAsia" w:ascii="仿宋" w:hAnsi="仿宋" w:eastAsia="仿宋" w:cs="仿宋"/>
          <w:color w:val="000000"/>
          <w:sz w:val="28"/>
          <w:szCs w:val="28"/>
          <w:highlight w:val="none"/>
          <w:u w:val="none"/>
        </w:rPr>
        <w:t>月</w:t>
      </w:r>
      <w:r>
        <w:rPr>
          <w:rFonts w:hint="eastAsia" w:ascii="仿宋" w:hAnsi="仿宋" w:eastAsia="仿宋" w:cs="仿宋"/>
          <w:color w:val="000000"/>
          <w:sz w:val="28"/>
          <w:szCs w:val="28"/>
          <w:highlight w:val="none"/>
          <w:u w:val="single"/>
          <w:lang w:val="en-US" w:eastAsia="zh-CN"/>
        </w:rPr>
        <w:t>30</w:t>
      </w:r>
      <w:r>
        <w:rPr>
          <w:rFonts w:hint="eastAsia" w:ascii="仿宋" w:hAnsi="仿宋" w:eastAsia="仿宋" w:cs="仿宋"/>
          <w:color w:val="000000"/>
          <w:sz w:val="28"/>
          <w:szCs w:val="28"/>
          <w:highlight w:val="none"/>
          <w:u w:val="none"/>
        </w:rPr>
        <w:t>日</w:t>
      </w:r>
      <w:r>
        <w:rPr>
          <w:rFonts w:hint="eastAsia" w:ascii="仿宋" w:hAnsi="仿宋" w:eastAsia="仿宋" w:cs="仿宋"/>
          <w:color w:val="000000"/>
          <w:sz w:val="28"/>
          <w:szCs w:val="28"/>
          <w:highlight w:val="none"/>
          <w:u w:val="single"/>
          <w:lang w:val="en-US" w:eastAsia="zh-CN"/>
        </w:rPr>
        <w:t>14</w:t>
      </w:r>
      <w:r>
        <w:rPr>
          <w:rFonts w:hint="eastAsia" w:ascii="仿宋" w:hAnsi="仿宋" w:eastAsia="仿宋" w:cs="仿宋"/>
          <w:color w:val="000000"/>
          <w:sz w:val="28"/>
          <w:szCs w:val="28"/>
          <w:highlight w:val="none"/>
          <w:u w:val="none"/>
        </w:rPr>
        <w:t>点</w:t>
      </w:r>
      <w:r>
        <w:rPr>
          <w:rFonts w:hint="eastAsia" w:ascii="仿宋" w:hAnsi="仿宋" w:eastAsia="仿宋" w:cs="仿宋"/>
          <w:color w:val="000000"/>
          <w:sz w:val="28"/>
          <w:szCs w:val="28"/>
          <w:highlight w:val="none"/>
          <w:u w:val="single"/>
          <w:lang w:val="en-US" w:eastAsia="zh-CN"/>
        </w:rPr>
        <w:t>30</w:t>
      </w:r>
      <w:r>
        <w:rPr>
          <w:rFonts w:hint="eastAsia" w:ascii="仿宋" w:hAnsi="仿宋" w:eastAsia="仿宋" w:cs="仿宋"/>
          <w:color w:val="000000"/>
          <w:sz w:val="28"/>
          <w:szCs w:val="28"/>
          <w:highlight w:val="none"/>
          <w:u w:val="none"/>
        </w:rPr>
        <w:t>分（</w:t>
      </w:r>
      <w:r>
        <w:rPr>
          <w:rFonts w:hint="eastAsia" w:ascii="仿宋" w:hAnsi="仿宋" w:eastAsia="仿宋" w:cs="仿宋"/>
          <w:color w:val="000000"/>
          <w:sz w:val="28"/>
          <w:szCs w:val="28"/>
          <w:highlight w:val="none"/>
        </w:rPr>
        <w:t>北京时间）前递交投标文件。</w:t>
      </w:r>
    </w:p>
    <w:p>
      <w:pPr>
        <w:pStyle w:val="32"/>
        <w:keepNext/>
        <w:keepLines/>
        <w:pageBreakBefore w:val="0"/>
        <w:spacing w:before="145" w:beforeAutospacing="0" w:after="145" w:afterAutospacing="0" w:line="440" w:lineRule="exact"/>
        <w:ind w:firstLine="498"/>
        <w:jc w:val="both"/>
        <w:rPr>
          <w:rFonts w:ascii="Times New Roman" w:hAnsi="Times New Roman" w:cs="Times New Roman"/>
          <w:b/>
          <w:color w:val="000000"/>
          <w:sz w:val="32"/>
          <w:szCs w:val="32"/>
          <w:highlight w:val="none"/>
        </w:rPr>
      </w:pPr>
      <w:bookmarkStart w:id="7" w:name="_Toc28359002"/>
      <w:bookmarkStart w:id="8" w:name="_Toc35393790"/>
      <w:bookmarkStart w:id="9" w:name="_Toc35393621"/>
      <w:bookmarkStart w:id="10" w:name="_Toc38985263"/>
      <w:bookmarkStart w:id="11" w:name="_Toc28359079"/>
      <w:bookmarkStart w:id="12" w:name="_Hlk24379207"/>
      <w:r>
        <w:rPr>
          <w:rFonts w:ascii="Times New Roman" w:hAnsi="Times New Roman" w:cs="Times New Roman"/>
          <w:b/>
          <w:color w:val="000000"/>
          <w:sz w:val="32"/>
          <w:szCs w:val="32"/>
          <w:highlight w:val="none"/>
        </w:rPr>
        <w:t>一、项目基本情况</w:t>
      </w:r>
      <w:bookmarkEnd w:id="7"/>
      <w:bookmarkEnd w:id="8"/>
      <w:bookmarkEnd w:id="9"/>
      <w:bookmarkEnd w:id="10"/>
      <w:bookmarkEnd w:id="11"/>
      <w:bookmarkEnd w:id="12"/>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1.项目编号：</w:t>
      </w:r>
      <w:r>
        <w:rPr>
          <w:rFonts w:hint="eastAsia" w:ascii="仿宋" w:hAnsi="仿宋" w:eastAsia="仿宋" w:cs="仿宋"/>
          <w:color w:val="000000"/>
          <w:sz w:val="28"/>
          <w:szCs w:val="28"/>
          <w:highlight w:val="none"/>
          <w:lang w:eastAsia="zh-CN"/>
        </w:rPr>
        <w:t>JSZC-320981-JZCG-G2024-0044</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2.项目名称：</w:t>
      </w:r>
      <w:r>
        <w:rPr>
          <w:rFonts w:hint="eastAsia" w:ascii="仿宋" w:hAnsi="仿宋" w:eastAsia="仿宋" w:cs="仿宋"/>
          <w:color w:val="000000"/>
          <w:sz w:val="28"/>
          <w:szCs w:val="28"/>
          <w:highlight w:val="none"/>
          <w:lang w:eastAsia="zh-CN"/>
        </w:rPr>
        <w:t>东台市精致城南片区微更新智慧停车项目</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采购方式：</w:t>
      </w:r>
      <w:r>
        <w:rPr>
          <w:rFonts w:hint="eastAsia" w:ascii="仿宋" w:hAnsi="仿宋" w:eastAsia="仿宋" w:cs="仿宋"/>
          <w:color w:val="000000"/>
          <w:sz w:val="28"/>
          <w:szCs w:val="28"/>
          <w:highlight w:val="none"/>
          <w:lang w:val="en-US" w:eastAsia="zh-CN"/>
        </w:rPr>
        <w:t>公开招标</w:t>
      </w:r>
    </w:p>
    <w:p>
      <w:pPr>
        <w:pStyle w:val="32"/>
        <w:pageBreakBefore w:val="0"/>
        <w:spacing w:beforeAutospacing="0" w:afterAutospacing="0" w:line="440" w:lineRule="exact"/>
        <w:ind w:firstLine="480"/>
        <w:jc w:val="both"/>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.预算金额：</w:t>
      </w:r>
      <w:r>
        <w:rPr>
          <w:rFonts w:hint="eastAsia" w:ascii="仿宋" w:hAnsi="仿宋" w:eastAsia="仿宋" w:cs="仿宋"/>
          <w:color w:val="000000"/>
          <w:sz w:val="28"/>
          <w:szCs w:val="28"/>
          <w:highlight w:val="none"/>
          <w:lang w:val="en-US" w:eastAsia="zh-CN"/>
        </w:rPr>
        <w:t>100万元</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5.</w:t>
      </w:r>
      <w:r>
        <w:rPr>
          <w:rFonts w:hint="eastAsia" w:ascii="仿宋" w:hAnsi="仿宋" w:eastAsia="仿宋" w:cs="仿宋"/>
          <w:color w:val="000000"/>
          <w:sz w:val="28"/>
          <w:szCs w:val="28"/>
          <w:highlight w:val="none"/>
        </w:rPr>
        <w:t>最高限价：</w:t>
      </w:r>
      <w:r>
        <w:rPr>
          <w:rFonts w:hint="eastAsia" w:ascii="仿宋" w:hAnsi="仿宋" w:eastAsia="仿宋" w:cs="仿宋"/>
          <w:color w:val="000000"/>
          <w:sz w:val="28"/>
          <w:szCs w:val="28"/>
          <w:highlight w:val="none"/>
          <w:lang w:val="en-US" w:eastAsia="zh-CN"/>
        </w:rPr>
        <w:t>100万元</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.采购需求（简介）：</w:t>
      </w:r>
    </w:p>
    <w:tbl>
      <w:tblPr>
        <w:tblStyle w:val="34"/>
        <w:tblW w:w="82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1"/>
        <w:gridCol w:w="1182"/>
        <w:gridCol w:w="4707"/>
        <w:gridCol w:w="802"/>
        <w:gridCol w:w="8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序号</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项目名称</w:t>
            </w: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建设项</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数量</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w:t>
            </w:r>
          </w:p>
        </w:tc>
        <w:tc>
          <w:tcPr>
            <w:tcW w:w="1182"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智慧停车-诱导发布系统及配套设施</w:t>
            </w: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◆智慧停车一级诱导发布系统（全点阵彩色交通诱导屏，含基坑开挖、地笼浇筑等）含市政规费（如有）</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1182"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智慧大屏配电箱口发送卡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3</w:t>
            </w:r>
          </w:p>
        </w:tc>
        <w:tc>
          <w:tcPr>
            <w:tcW w:w="1182"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智慧信息发布盒子</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w:t>
            </w:r>
          </w:p>
        </w:tc>
        <w:tc>
          <w:tcPr>
            <w:tcW w:w="1182"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智慧停车诱导发布系统-专用链路</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5</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5</w:t>
            </w:r>
          </w:p>
        </w:tc>
        <w:tc>
          <w:tcPr>
            <w:tcW w:w="1182"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绿化养护等费用</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6</w:t>
            </w:r>
          </w:p>
        </w:tc>
        <w:tc>
          <w:tcPr>
            <w:tcW w:w="1182"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社会停车场信息接入</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7</w:t>
            </w:r>
          </w:p>
        </w:tc>
        <w:tc>
          <w:tcPr>
            <w:tcW w:w="1182" w:type="dxa"/>
            <w:vMerge w:val="continue"/>
            <w:tcBorders>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15处（含本次）诱导数据巡查校准（日常运行过程中，对停车场剩余车位数据进行校准，每周对诱导发布的各停车场进行一次剩余车位数盘点校准以及二级诱导屏维保服务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5</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8</w:t>
            </w:r>
          </w:p>
        </w:tc>
        <w:tc>
          <w:tcPr>
            <w:tcW w:w="1182"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静态交通智慧停车设施维护服务</w:t>
            </w: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停车场及零星标车位服务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9</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停车场及零星标车位箭头服务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10</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车挡出新服务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1512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11</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新增车挡及补缺服务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120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12</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维修车挡服务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120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13</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更换反光标识服务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14</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Style w:val="193"/>
                <w:rFonts w:hint="eastAsia" w:ascii="仿宋" w:hAnsi="仿宋" w:eastAsia="仿宋" w:cs="仿宋"/>
                <w:sz w:val="24"/>
                <w:szCs w:val="24"/>
                <w:highlight w:val="none"/>
                <w:lang w:val="en-US" w:eastAsia="zh-CN" w:bidi="ar"/>
              </w:rPr>
              <w:t>拆障用工（每次2人）</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Style w:val="193"/>
                <w:rFonts w:hint="eastAsia" w:ascii="仿宋" w:hAnsi="仿宋" w:eastAsia="仿宋" w:cs="仿宋"/>
                <w:sz w:val="24"/>
                <w:szCs w:val="24"/>
                <w:highlight w:val="none"/>
                <w:lang w:val="en-US" w:eastAsia="zh-CN" w:bidi="ar"/>
              </w:rPr>
              <w:t>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15</w:t>
            </w:r>
          </w:p>
        </w:tc>
        <w:tc>
          <w:tcPr>
            <w:tcW w:w="1182"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Style w:val="193"/>
                <w:rFonts w:hint="eastAsia" w:ascii="仿宋" w:hAnsi="仿宋" w:eastAsia="仿宋" w:cs="仿宋"/>
                <w:sz w:val="24"/>
                <w:szCs w:val="24"/>
                <w:highlight w:val="none"/>
                <w:lang w:val="en-US" w:eastAsia="zh-CN" w:bidi="ar"/>
              </w:rPr>
              <w:t>拆障用车</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Style w:val="193"/>
                <w:rFonts w:hint="eastAsia" w:ascii="仿宋" w:hAnsi="仿宋" w:eastAsia="仿宋" w:cs="仿宋"/>
                <w:sz w:val="24"/>
                <w:szCs w:val="24"/>
                <w:highlight w:val="none"/>
                <w:lang w:val="en-US" w:eastAsia="zh-CN" w:bidi="ar"/>
              </w:rPr>
              <w:t>次</w:t>
            </w:r>
          </w:p>
        </w:tc>
      </w:tr>
    </w:tbl>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注：以上如标注“◆”的产品，则为核心产品。详细内容见本</w:t>
      </w:r>
      <w:r>
        <w:rPr>
          <w:rFonts w:hint="eastAsia" w:ascii="仿宋" w:hAnsi="仿宋" w:eastAsia="仿宋" w:cs="仿宋"/>
          <w:color w:val="000000"/>
          <w:sz w:val="28"/>
          <w:szCs w:val="28"/>
          <w:highlight w:val="none"/>
          <w:lang w:val="en-US" w:eastAsia="zh-CN"/>
        </w:rPr>
        <w:t>招标</w:t>
      </w:r>
      <w:r>
        <w:rPr>
          <w:rFonts w:hint="eastAsia" w:ascii="仿宋" w:hAnsi="仿宋" w:eastAsia="仿宋" w:cs="仿宋"/>
          <w:color w:val="000000"/>
          <w:sz w:val="28"/>
          <w:szCs w:val="28"/>
          <w:highlight w:val="none"/>
        </w:rPr>
        <w:t>文件第四章</w:t>
      </w:r>
      <w:r>
        <w:rPr>
          <w:rFonts w:hint="eastAsia" w:ascii="仿宋" w:hAnsi="仿宋" w:eastAsia="仿宋" w:cs="仿宋"/>
          <w:color w:val="000000"/>
          <w:sz w:val="28"/>
          <w:szCs w:val="28"/>
          <w:highlight w:val="none"/>
          <w:lang w:eastAsia="zh-CN"/>
        </w:rPr>
        <w:t>。</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bookmarkStart w:id="13" w:name="_Toc35393791"/>
      <w:bookmarkStart w:id="14" w:name="_Toc38985264"/>
      <w:bookmarkStart w:id="15" w:name="_Toc28359003"/>
      <w:bookmarkStart w:id="16" w:name="_Toc35393622"/>
      <w:bookmarkStart w:id="17" w:name="_Toc28359080"/>
      <w:r>
        <w:rPr>
          <w:rFonts w:hint="eastAsia" w:ascii="仿宋" w:hAnsi="仿宋" w:eastAsia="仿宋" w:cs="仿宋"/>
          <w:color w:val="000000"/>
          <w:sz w:val="28"/>
          <w:szCs w:val="28"/>
          <w:highlight w:val="none"/>
          <w:lang w:val="en-US" w:eastAsia="zh-CN"/>
        </w:rPr>
        <w:t>7</w:t>
      </w:r>
      <w:r>
        <w:rPr>
          <w:rFonts w:hint="eastAsia" w:ascii="仿宋" w:hAnsi="仿宋" w:eastAsia="仿宋" w:cs="仿宋"/>
          <w:color w:val="000000"/>
          <w:sz w:val="28"/>
          <w:szCs w:val="28"/>
          <w:highlight w:val="none"/>
        </w:rPr>
        <w:t>.合同履行期限：合同签订后</w:t>
      </w:r>
      <w:r>
        <w:rPr>
          <w:rFonts w:hint="eastAsia" w:ascii="仿宋" w:hAnsi="仿宋" w:eastAsia="仿宋" w:cs="仿宋"/>
          <w:color w:val="000000"/>
          <w:sz w:val="28"/>
          <w:szCs w:val="28"/>
          <w:highlight w:val="none"/>
          <w:lang w:val="en-US" w:eastAsia="zh-CN"/>
        </w:rPr>
        <w:t>智慧停车-诱导发布系统及配套设施9</w:t>
      </w:r>
      <w:r>
        <w:rPr>
          <w:rFonts w:hint="eastAsia" w:ascii="仿宋" w:hAnsi="仿宋" w:eastAsia="仿宋" w:cs="仿宋"/>
          <w:color w:val="000000"/>
          <w:sz w:val="28"/>
          <w:szCs w:val="28"/>
          <w:highlight w:val="none"/>
        </w:rPr>
        <w:t>0日内货物全部送达</w:t>
      </w:r>
      <w:r>
        <w:rPr>
          <w:rFonts w:hint="eastAsia" w:ascii="仿宋" w:hAnsi="仿宋" w:eastAsia="仿宋" w:cs="仿宋"/>
          <w:color w:val="000000"/>
          <w:sz w:val="28"/>
          <w:szCs w:val="28"/>
          <w:highlight w:val="none"/>
          <w:lang w:val="en-US" w:eastAsia="zh-CN"/>
        </w:rPr>
        <w:t>招标人</w:t>
      </w:r>
      <w:r>
        <w:rPr>
          <w:rFonts w:hint="eastAsia" w:ascii="仿宋" w:hAnsi="仿宋" w:eastAsia="仿宋" w:cs="仿宋"/>
          <w:color w:val="000000"/>
          <w:sz w:val="28"/>
          <w:szCs w:val="28"/>
          <w:highlight w:val="none"/>
        </w:rPr>
        <w:t>指定地点，并安装调试完毕</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静态交通智慧停车设施维护服务</w:t>
      </w:r>
      <w:r>
        <w:rPr>
          <w:rFonts w:hint="eastAsia" w:ascii="仿宋" w:hAnsi="仿宋" w:eastAsia="仿宋" w:cs="仿宋"/>
          <w:color w:val="000000"/>
          <w:sz w:val="28"/>
          <w:szCs w:val="28"/>
          <w:highlight w:val="none"/>
        </w:rPr>
        <w:t>具体</w:t>
      </w:r>
      <w:r>
        <w:rPr>
          <w:rFonts w:hint="eastAsia" w:ascii="仿宋" w:hAnsi="仿宋" w:eastAsia="仿宋" w:cs="仿宋"/>
          <w:color w:val="000000"/>
          <w:sz w:val="28"/>
          <w:szCs w:val="28"/>
          <w:highlight w:val="none"/>
          <w:lang w:val="en-US" w:eastAsia="zh-CN"/>
        </w:rPr>
        <w:t>完工</w:t>
      </w:r>
      <w:r>
        <w:rPr>
          <w:rFonts w:hint="eastAsia" w:ascii="仿宋" w:hAnsi="仿宋" w:eastAsia="仿宋" w:cs="仿宋"/>
          <w:color w:val="000000"/>
          <w:sz w:val="28"/>
          <w:szCs w:val="28"/>
          <w:highlight w:val="none"/>
        </w:rPr>
        <w:t>时间按招标人要求调整。</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8.</w:t>
      </w:r>
      <w:r>
        <w:rPr>
          <w:rFonts w:hint="eastAsia" w:ascii="仿宋" w:hAnsi="仿宋" w:eastAsia="仿宋" w:cs="仿宋"/>
          <w:color w:val="000000"/>
          <w:sz w:val="28"/>
          <w:szCs w:val="28"/>
          <w:highlight w:val="none"/>
        </w:rPr>
        <w:t>本项目不接受联合体参与</w:t>
      </w:r>
      <w:r>
        <w:rPr>
          <w:rFonts w:hint="eastAsia" w:ascii="仿宋" w:hAnsi="仿宋" w:eastAsia="仿宋" w:cs="仿宋"/>
          <w:color w:val="000000"/>
          <w:sz w:val="28"/>
          <w:szCs w:val="28"/>
          <w:highlight w:val="none"/>
          <w:lang w:val="en-US" w:eastAsia="zh-CN"/>
        </w:rPr>
        <w:t>投标。</w:t>
      </w:r>
    </w:p>
    <w:p>
      <w:pPr>
        <w:pStyle w:val="32"/>
        <w:keepNext/>
        <w:keepLines/>
        <w:pageBreakBefore w:val="0"/>
        <w:spacing w:before="145" w:beforeAutospacing="0" w:after="145" w:afterAutospacing="0" w:line="440" w:lineRule="exact"/>
        <w:ind w:firstLine="498"/>
        <w:jc w:val="both"/>
        <w:rPr>
          <w:highlight w:val="none"/>
        </w:rPr>
      </w:pPr>
      <w:r>
        <w:rPr>
          <w:rFonts w:ascii="Times New Roman" w:hAnsi="Times New Roman"/>
          <w:b/>
          <w:color w:val="000000"/>
          <w:sz w:val="32"/>
          <w:szCs w:val="32"/>
          <w:highlight w:val="none"/>
        </w:rPr>
        <w:t>二、申请人的资格要求：</w:t>
      </w:r>
      <w:bookmarkEnd w:id="13"/>
      <w:bookmarkEnd w:id="14"/>
      <w:bookmarkEnd w:id="15"/>
      <w:bookmarkEnd w:id="16"/>
      <w:bookmarkEnd w:id="17"/>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1.满足《中华人民共和国政府采购法》第二十二条规定，并提供下列材料：</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 法人或者其他组织的营业执照等证明文件，自然人的身份证明；</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w:t>
      </w:r>
      <w:r>
        <w:rPr>
          <w:rFonts w:hint="eastAsia" w:ascii="仿宋" w:hAnsi="仿宋" w:eastAsia="仿宋" w:cs="仿宋"/>
          <w:color w:val="000000"/>
          <w:sz w:val="28"/>
          <w:szCs w:val="28"/>
          <w:highlight w:val="none"/>
          <w:lang w:eastAsia="zh-CN"/>
        </w:rPr>
        <w:t>上一年度或上上年度的财务状况报表</w:t>
      </w:r>
      <w:r>
        <w:rPr>
          <w:rFonts w:hint="eastAsia" w:ascii="仿宋" w:hAnsi="仿宋" w:eastAsia="仿宋" w:cs="仿宋"/>
          <w:color w:val="000000"/>
          <w:sz w:val="28"/>
          <w:szCs w:val="28"/>
          <w:highlight w:val="none"/>
        </w:rPr>
        <w:t>（成立不满一年无需提供）；</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1.3</w:t>
      </w:r>
      <w:r>
        <w:rPr>
          <w:rFonts w:hint="eastAsia" w:ascii="仿宋" w:hAnsi="仿宋" w:eastAsia="仿宋" w:cs="仿宋"/>
          <w:color w:val="000000"/>
          <w:sz w:val="28"/>
          <w:szCs w:val="28"/>
          <w:highlight w:val="none"/>
        </w:rPr>
        <w:t>具备履行合同所必需的设备和专业技术能力的书面声明；</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.5参加政府采购活动前3年内在经营活动中没有重大违法记录的书面声明</w:t>
      </w:r>
      <w:r>
        <w:rPr>
          <w:rFonts w:hint="eastAsia" w:ascii="仿宋" w:hAnsi="仿宋" w:eastAsia="仿宋" w:cs="仿宋"/>
          <w:color w:val="000000"/>
          <w:sz w:val="28"/>
          <w:szCs w:val="28"/>
          <w:highlight w:val="none"/>
          <w:lang w:eastAsia="zh-CN"/>
        </w:rPr>
        <w:t>；</w:t>
      </w:r>
    </w:p>
    <w:p>
      <w:pPr>
        <w:pStyle w:val="32"/>
        <w:pageBreakBefore w:val="0"/>
        <w:spacing w:beforeAutospacing="0" w:afterAutospacing="0" w:line="440" w:lineRule="exact"/>
        <w:ind w:firstLine="480"/>
        <w:jc w:val="both"/>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1.6法律、行政法规规定的其他条件；</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1.7</w:t>
      </w:r>
      <w:r>
        <w:rPr>
          <w:rFonts w:hint="eastAsia" w:ascii="仿宋" w:hAnsi="仿宋" w:eastAsia="仿宋" w:cs="仿宋"/>
          <w:color w:val="000000"/>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仿宋" w:hAnsi="仿宋" w:eastAsia="仿宋" w:cs="仿宋"/>
          <w:color w:val="000000"/>
          <w:sz w:val="28"/>
          <w:szCs w:val="28"/>
          <w:highlight w:val="none"/>
          <w:lang w:eastAsia="zh-CN"/>
        </w:rPr>
        <w:t>；</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1.8</w:t>
      </w:r>
      <w:r>
        <w:rPr>
          <w:rFonts w:hint="eastAsia" w:ascii="仿宋" w:hAnsi="仿宋" w:eastAsia="仿宋" w:cs="仿宋"/>
          <w:color w:val="000000"/>
          <w:sz w:val="28"/>
          <w:szCs w:val="28"/>
          <w:highlight w:val="none"/>
        </w:rPr>
        <w:t>单位负责人为同一人或者存在直接控股、服务关系的不同供应商，不得参加同一合同项下的政府采购活动。</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val="en-US" w:eastAsia="zh-CN"/>
        </w:rPr>
        <w:t>.</w:t>
      </w:r>
      <w:r>
        <w:rPr>
          <w:rFonts w:hint="eastAsia" w:ascii="仿宋" w:hAnsi="仿宋" w:eastAsia="仿宋" w:cs="仿宋"/>
          <w:color w:val="000000"/>
          <w:sz w:val="28"/>
          <w:szCs w:val="28"/>
          <w:highlight w:val="none"/>
        </w:rPr>
        <w:t>落实政府采购政策需满足的资格要求：无</w:t>
      </w:r>
      <w:r>
        <w:rPr>
          <w:rFonts w:hint="eastAsia" w:ascii="仿宋" w:hAnsi="仿宋" w:eastAsia="仿宋" w:cs="仿宋"/>
          <w:color w:val="000000"/>
          <w:sz w:val="28"/>
          <w:szCs w:val="28"/>
          <w:highlight w:val="none"/>
          <w:lang w:eastAsia="zh-CN"/>
        </w:rPr>
        <w:t>。</w:t>
      </w:r>
    </w:p>
    <w:p>
      <w:pPr>
        <w:pStyle w:val="32"/>
        <w:pageBreakBefore w:val="0"/>
        <w:spacing w:beforeAutospacing="0" w:afterAutospacing="0" w:line="440" w:lineRule="exact"/>
        <w:ind w:firstLine="48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本项目的特定资格要求</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投标人如委托被授权人参与，则被授权人须为本单位正式职工并提供投标人为被授权人缴纳的社会养老保险证明</w:t>
      </w:r>
      <w:r>
        <w:rPr>
          <w:rFonts w:hint="eastAsia" w:ascii="仿宋" w:hAnsi="仿宋" w:eastAsia="仿宋" w:cs="仿宋"/>
          <w:color w:val="000000"/>
          <w:sz w:val="28"/>
          <w:szCs w:val="28"/>
          <w:highlight w:val="none"/>
          <w:lang w:eastAsia="zh-CN"/>
        </w:rPr>
        <w:t>。</w:t>
      </w:r>
    </w:p>
    <w:p>
      <w:pPr>
        <w:pStyle w:val="32"/>
        <w:keepNext/>
        <w:keepLines/>
        <w:pageBreakBefore w:val="0"/>
        <w:spacing w:before="145" w:beforeAutospacing="0" w:after="145" w:afterAutospacing="0" w:line="440" w:lineRule="exact"/>
        <w:ind w:firstLine="498"/>
        <w:jc w:val="both"/>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三、获取招标文件</w:t>
      </w:r>
    </w:p>
    <w:p>
      <w:pPr>
        <w:pageBreakBefore w:val="0"/>
        <w:widowControl/>
        <w:spacing w:line="440" w:lineRule="exact"/>
        <w:ind w:firstLine="480"/>
        <w:jc w:val="left"/>
        <w:rPr>
          <w:rFonts w:hint="eastAsia" w:ascii="仿宋" w:hAnsi="仿宋" w:eastAsia="仿宋" w:cs="仿宋"/>
          <w:color w:val="000000"/>
          <w:sz w:val="28"/>
          <w:szCs w:val="28"/>
          <w:highlight w:val="none"/>
          <w:lang w:val="en-US" w:eastAsia="zh-CN"/>
        </w:rPr>
      </w:pPr>
      <w:bookmarkStart w:id="18" w:name="_Toc35393624"/>
      <w:bookmarkStart w:id="19" w:name="_Toc38985266"/>
      <w:bookmarkStart w:id="20" w:name="_Toc35393793"/>
      <w:bookmarkStart w:id="21" w:name="_Toc28359005"/>
      <w:bookmarkStart w:id="22" w:name="_Toc28359082"/>
      <w:r>
        <w:rPr>
          <w:rFonts w:hint="eastAsia" w:ascii="仿宋" w:hAnsi="仿宋" w:eastAsia="仿宋" w:cs="仿宋"/>
          <w:color w:val="000000"/>
          <w:sz w:val="28"/>
          <w:szCs w:val="28"/>
          <w:highlight w:val="none"/>
          <w:lang w:val="en-US" w:eastAsia="zh-CN"/>
        </w:rPr>
        <w:t>1.时间：</w:t>
      </w:r>
      <w:bookmarkEnd w:id="18"/>
      <w:bookmarkEnd w:id="19"/>
      <w:bookmarkEnd w:id="20"/>
      <w:bookmarkEnd w:id="21"/>
      <w:bookmarkEnd w:id="22"/>
      <w:r>
        <w:rPr>
          <w:rFonts w:hint="eastAsia" w:ascii="仿宋" w:hAnsi="仿宋" w:eastAsia="仿宋" w:cs="仿宋"/>
          <w:color w:val="000000"/>
          <w:sz w:val="28"/>
          <w:szCs w:val="28"/>
          <w:highlight w:val="none"/>
          <w:lang w:val="en-US" w:eastAsia="zh-CN"/>
        </w:rPr>
        <w:t>2024年9月6日至2024年9月13</w:t>
      </w:r>
      <w:bookmarkStart w:id="201" w:name="_GoBack"/>
      <w:bookmarkEnd w:id="201"/>
      <w:r>
        <w:rPr>
          <w:rFonts w:hint="eastAsia" w:ascii="仿宋" w:hAnsi="仿宋" w:eastAsia="仿宋" w:cs="仿宋"/>
          <w:color w:val="000000"/>
          <w:sz w:val="28"/>
          <w:szCs w:val="28"/>
          <w:highlight w:val="none"/>
          <w:lang w:val="en-US" w:eastAsia="zh-CN"/>
        </w:rPr>
        <w:t>日（提供期限自本公告发布之日起不得少于5个工作日），每天上午00:00至12:00，下午12:00至23:59（北京时间，法定节假日除外 ）。</w:t>
      </w:r>
    </w:p>
    <w:p>
      <w:pPr>
        <w:pageBreakBefore w:val="0"/>
        <w:widowControl/>
        <w:spacing w:line="440" w:lineRule="exact"/>
        <w:ind w:firstLine="48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2.地点：中国政府采购网、江苏政府采购网、盐城市政府采购网</w:t>
      </w:r>
    </w:p>
    <w:p>
      <w:pPr>
        <w:pageBreakBefore w:val="0"/>
        <w:widowControl/>
        <w:spacing w:line="440" w:lineRule="exact"/>
        <w:ind w:firstLine="48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3.方式：在“中国政府采购网”、“江苏政府采购网”、“盐城市政府采购网”自行免费下载招标文件。</w:t>
      </w:r>
    </w:p>
    <w:p>
      <w:pPr>
        <w:pageBreakBefore w:val="0"/>
        <w:widowControl/>
        <w:spacing w:line="440" w:lineRule="exact"/>
        <w:ind w:firstLine="48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4.售价：0元</w:t>
      </w:r>
    </w:p>
    <w:p>
      <w:pPr>
        <w:pStyle w:val="32"/>
        <w:keepNext/>
        <w:keepLines/>
        <w:pageBreakBefore w:val="0"/>
        <w:spacing w:before="145" w:beforeAutospacing="0" w:after="145" w:afterAutospacing="0" w:line="440" w:lineRule="exact"/>
        <w:ind w:firstLine="498"/>
        <w:jc w:val="both"/>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四、提交投标文件截止时间、开标时间和地点</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40"/>
        <w:jc w:val="both"/>
        <w:rPr>
          <w:rFonts w:hint="eastAsia" w:ascii="仿宋" w:hAnsi="仿宋" w:eastAsia="仿宋" w:cs="仿宋"/>
          <w:color w:val="000000"/>
          <w:sz w:val="28"/>
          <w:szCs w:val="28"/>
          <w:highlight w:val="none"/>
          <w:lang w:val="en-US" w:eastAsia="zh-CN" w:bidi="ar-SA"/>
        </w:rPr>
      </w:pPr>
      <w:bookmarkStart w:id="23" w:name="_Toc28359007"/>
      <w:bookmarkStart w:id="24" w:name="_Toc28359084"/>
      <w:bookmarkStart w:id="25" w:name="_Toc38985267"/>
      <w:bookmarkStart w:id="26" w:name="_Toc35393625"/>
      <w:bookmarkStart w:id="27" w:name="_Toc35393794"/>
      <w:r>
        <w:rPr>
          <w:rFonts w:hint="eastAsia" w:ascii="仿宋" w:hAnsi="仿宋" w:eastAsia="仿宋" w:cs="仿宋"/>
          <w:color w:val="000000"/>
          <w:sz w:val="28"/>
          <w:szCs w:val="28"/>
          <w:highlight w:val="none"/>
          <w:lang w:val="en-US" w:eastAsia="zh-CN" w:bidi="ar-SA"/>
        </w:rPr>
        <w:t>1.时间：2024年</w:t>
      </w:r>
      <w:r>
        <w:rPr>
          <w:rFonts w:hint="eastAsia" w:ascii="仿宋" w:hAnsi="仿宋" w:eastAsia="仿宋" w:cs="仿宋"/>
          <w:color w:val="000000"/>
          <w:sz w:val="28"/>
          <w:szCs w:val="28"/>
          <w:highlight w:val="none"/>
          <w:u w:val="single"/>
          <w:lang w:val="en-US" w:eastAsia="zh-CN" w:bidi="ar-SA"/>
        </w:rPr>
        <w:t xml:space="preserve"> 9 </w:t>
      </w:r>
      <w:r>
        <w:rPr>
          <w:rFonts w:hint="eastAsia" w:ascii="仿宋" w:hAnsi="仿宋" w:eastAsia="仿宋" w:cs="仿宋"/>
          <w:color w:val="000000"/>
          <w:sz w:val="28"/>
          <w:szCs w:val="28"/>
          <w:highlight w:val="none"/>
          <w:lang w:val="en-US" w:eastAsia="zh-CN" w:bidi="ar-SA"/>
        </w:rPr>
        <w:t>月</w:t>
      </w:r>
      <w:r>
        <w:rPr>
          <w:rFonts w:hint="eastAsia" w:ascii="仿宋" w:hAnsi="仿宋" w:eastAsia="仿宋" w:cs="仿宋"/>
          <w:color w:val="000000"/>
          <w:sz w:val="28"/>
          <w:szCs w:val="28"/>
          <w:highlight w:val="none"/>
          <w:u w:val="single"/>
          <w:lang w:val="en-US" w:eastAsia="zh-CN" w:bidi="ar-SA"/>
        </w:rPr>
        <w:t xml:space="preserve"> 30 </w:t>
      </w:r>
      <w:r>
        <w:rPr>
          <w:rFonts w:hint="eastAsia" w:ascii="仿宋" w:hAnsi="仿宋" w:eastAsia="仿宋" w:cs="仿宋"/>
          <w:color w:val="000000"/>
          <w:sz w:val="28"/>
          <w:szCs w:val="28"/>
          <w:highlight w:val="none"/>
          <w:lang w:val="en-US" w:eastAsia="zh-CN" w:bidi="ar-SA"/>
        </w:rPr>
        <w:t>日</w:t>
      </w:r>
      <w:r>
        <w:rPr>
          <w:rFonts w:hint="eastAsia" w:ascii="仿宋" w:hAnsi="仿宋" w:eastAsia="仿宋" w:cs="仿宋"/>
          <w:color w:val="000000"/>
          <w:sz w:val="28"/>
          <w:szCs w:val="28"/>
          <w:highlight w:val="none"/>
          <w:u w:val="single"/>
          <w:lang w:val="en-US" w:eastAsia="zh-CN" w:bidi="ar-SA"/>
        </w:rPr>
        <w:t xml:space="preserve"> 14 </w:t>
      </w:r>
      <w:r>
        <w:rPr>
          <w:rFonts w:hint="eastAsia" w:ascii="仿宋" w:hAnsi="仿宋" w:eastAsia="仿宋" w:cs="仿宋"/>
          <w:color w:val="000000"/>
          <w:sz w:val="28"/>
          <w:szCs w:val="28"/>
          <w:highlight w:val="none"/>
          <w:lang w:val="en-US" w:eastAsia="zh-CN" w:bidi="ar-SA"/>
        </w:rPr>
        <w:t>:</w:t>
      </w:r>
      <w:r>
        <w:rPr>
          <w:rFonts w:hint="eastAsia" w:ascii="仿宋" w:hAnsi="仿宋" w:eastAsia="仿宋" w:cs="仿宋"/>
          <w:color w:val="000000"/>
          <w:sz w:val="28"/>
          <w:szCs w:val="28"/>
          <w:highlight w:val="none"/>
          <w:u w:val="single"/>
          <w:lang w:val="en-US" w:eastAsia="zh-CN" w:bidi="ar-SA"/>
        </w:rPr>
        <w:t xml:space="preserve"> 30 </w:t>
      </w:r>
      <w:r>
        <w:rPr>
          <w:rFonts w:hint="eastAsia" w:ascii="仿宋" w:hAnsi="仿宋" w:eastAsia="仿宋" w:cs="仿宋"/>
          <w:color w:val="000000"/>
          <w:sz w:val="28"/>
          <w:szCs w:val="28"/>
          <w:highlight w:val="none"/>
          <w:lang w:val="en-US" w:eastAsia="zh-CN" w:bidi="ar-SA"/>
        </w:rPr>
        <w:t>（北京时间）</w:t>
      </w:r>
    </w:p>
    <w:p>
      <w:pPr>
        <w:pStyle w:val="32"/>
        <w:keepNext/>
        <w:keepLines/>
        <w:pageBreakBefore w:val="0"/>
        <w:spacing w:before="145" w:beforeAutospacing="0" w:after="145" w:afterAutospacing="0" w:line="440" w:lineRule="exact"/>
        <w:ind w:firstLine="560"/>
        <w:jc w:val="both"/>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2.地点：“苏采云”政府采购交易系统网上开标大厅。</w:t>
      </w:r>
    </w:p>
    <w:p>
      <w:pPr>
        <w:pStyle w:val="32"/>
        <w:keepNext/>
        <w:keepLines/>
        <w:pageBreakBefore w:val="0"/>
        <w:spacing w:before="145" w:beforeAutospacing="0" w:after="145" w:afterAutospacing="0" w:line="440" w:lineRule="exact"/>
        <w:ind w:firstLine="498"/>
        <w:jc w:val="both"/>
        <w:rPr>
          <w:highlight w:val="none"/>
        </w:rPr>
      </w:pPr>
      <w:r>
        <w:rPr>
          <w:rFonts w:ascii="Times New Roman" w:hAnsi="Times New Roman"/>
          <w:b/>
          <w:color w:val="000000"/>
          <w:sz w:val="32"/>
          <w:szCs w:val="32"/>
          <w:highlight w:val="none"/>
        </w:rPr>
        <w:t>五、公告期限</w:t>
      </w:r>
      <w:bookmarkEnd w:id="23"/>
      <w:bookmarkEnd w:id="24"/>
      <w:bookmarkEnd w:id="25"/>
      <w:bookmarkEnd w:id="26"/>
      <w:bookmarkEnd w:id="27"/>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bookmarkStart w:id="28" w:name="_Toc38985268"/>
      <w:bookmarkStart w:id="29" w:name="_Toc35393795"/>
      <w:bookmarkStart w:id="30" w:name="_Toc35393626"/>
      <w:r>
        <w:rPr>
          <w:rFonts w:hint="eastAsia" w:ascii="仿宋" w:hAnsi="仿宋" w:eastAsia="仿宋" w:cs="仿宋"/>
          <w:i w:val="0"/>
          <w:iCs w:val="0"/>
          <w:caps w:val="0"/>
          <w:color w:val="333333"/>
          <w:spacing w:val="0"/>
          <w:sz w:val="28"/>
          <w:szCs w:val="28"/>
          <w:highlight w:val="none"/>
          <w:shd w:val="clear" w:color="auto" w:fill="FFFFFF"/>
          <w:lang w:val="en-US" w:eastAsia="zh-CN"/>
        </w:rPr>
        <w:t>自本公告发布之日起5个工作日。</w:t>
      </w:r>
      <w:bookmarkEnd w:id="28"/>
      <w:bookmarkEnd w:id="29"/>
      <w:bookmarkEnd w:id="30"/>
    </w:p>
    <w:p>
      <w:pPr>
        <w:pStyle w:val="32"/>
        <w:keepNext/>
        <w:keepLines/>
        <w:pageBreakBefore w:val="0"/>
        <w:spacing w:before="145" w:beforeAutospacing="0" w:after="145" w:afterAutospacing="0" w:line="440" w:lineRule="exact"/>
        <w:ind w:firstLine="498"/>
        <w:jc w:val="both"/>
        <w:rPr>
          <w:highlight w:val="none"/>
        </w:rPr>
      </w:pPr>
      <w:r>
        <w:rPr>
          <w:rFonts w:ascii="Times New Roman" w:hAnsi="Times New Roman"/>
          <w:b/>
          <w:color w:val="000000"/>
          <w:sz w:val="32"/>
          <w:szCs w:val="32"/>
          <w:highlight w:val="none"/>
        </w:rPr>
        <w:t>六、其他补充事宜</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bookmarkStart w:id="31" w:name="_Toc28359018"/>
      <w:r>
        <w:rPr>
          <w:rFonts w:hint="eastAsia" w:ascii="仿宋" w:hAnsi="仿宋" w:eastAsia="仿宋" w:cs="仿宋"/>
          <w:i w:val="0"/>
          <w:iCs w:val="0"/>
          <w:caps w:val="0"/>
          <w:color w:val="333333"/>
          <w:spacing w:val="0"/>
          <w:sz w:val="28"/>
          <w:szCs w:val="28"/>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http://www.ccgp-jiangsu.gov.cn/jiangsu/zlxz/ee/ee3a4bc5a3454aa2b0d9312230633ce9.html。</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http://czj.yancheng.gov.cn/art/2023/9/14/art_2407_4057499.html。</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2.有关本次招标的事项若存在变动或修改，敬请及时关注采购人在“</w:t>
      </w:r>
      <w:r>
        <w:rPr>
          <w:rFonts w:hint="eastAsia" w:ascii="仿宋" w:hAnsi="仿宋" w:eastAsia="仿宋" w:cs="仿宋"/>
          <w:color w:val="000000"/>
          <w:sz w:val="28"/>
          <w:szCs w:val="28"/>
          <w:highlight w:val="none"/>
          <w:lang w:val="en-US" w:eastAsia="zh-CN" w:bidi="ar-SA"/>
        </w:rPr>
        <w:t>中国政府采购网</w:t>
      </w:r>
      <w:r>
        <w:rPr>
          <w:rFonts w:hint="eastAsia" w:ascii="仿宋" w:hAnsi="仿宋" w:eastAsia="仿宋" w:cs="仿宋"/>
          <w:i w:val="0"/>
          <w:iCs w:val="0"/>
          <w:caps w:val="0"/>
          <w:color w:val="333333"/>
          <w:spacing w:val="0"/>
          <w:sz w:val="28"/>
          <w:szCs w:val="28"/>
          <w:highlight w:val="none"/>
          <w:shd w:val="clear" w:color="auto" w:fill="FFFFFF"/>
          <w:lang w:val="en-US" w:eastAsia="zh-CN"/>
        </w:rPr>
        <w:t>”、“江苏政府采购网”、“盐城市政府采购网”发布的更正公告。</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3.本次招标不收取投标保证金，不收取质量保证金。</w:t>
      </w:r>
    </w:p>
    <w:p>
      <w:pPr>
        <w:spacing w:line="440" w:lineRule="exact"/>
        <w:ind w:firstLine="560"/>
        <w:jc w:val="left"/>
        <w:rPr>
          <w:rFonts w:hint="default" w:ascii="仿宋" w:hAnsi="仿宋" w:eastAsia="仿宋" w:cs="仿宋"/>
          <w:i w:val="0"/>
          <w:iCs w:val="0"/>
          <w:caps w:val="0"/>
          <w:color w:val="333333"/>
          <w:spacing w:val="0"/>
          <w:sz w:val="28"/>
          <w:szCs w:val="28"/>
          <w:highlight w:val="none"/>
          <w:shd w:val="clear" w:color="auto" w:fill="FFFFFF"/>
          <w:lang w:val="en-US" w:eastAsia="zh-CN" w:bidi="ar-SA"/>
        </w:rPr>
      </w:pPr>
      <w:r>
        <w:rPr>
          <w:rFonts w:hint="eastAsia" w:ascii="仿宋" w:hAnsi="仿宋" w:eastAsia="仿宋" w:cs="仿宋"/>
          <w:i w:val="0"/>
          <w:iCs w:val="0"/>
          <w:caps w:val="0"/>
          <w:color w:val="333333"/>
          <w:spacing w:val="0"/>
          <w:sz w:val="28"/>
          <w:szCs w:val="28"/>
          <w:highlight w:val="none"/>
          <w:shd w:val="clear" w:color="auto" w:fill="FFFFFF"/>
          <w:lang w:val="en-US" w:eastAsia="zh-CN" w:bidi="ar-SA"/>
        </w:rPr>
        <w:t>4.本项目（是/否）接受银行、保险、石油石化、电力、电信等行业的分支机构参与：是。【如接受，则分支机构的负责人视同为投标人法定代表人。除营业执照和“信用中国”外，分支机构可提供上、下级公司或总公司的资格证明文件（同一独立法人资格电信运营商及分支机构，不得同时参加本项目的投标）】。</w:t>
      </w:r>
    </w:p>
    <w:p>
      <w:pPr>
        <w:pStyle w:val="32"/>
        <w:keepNext/>
        <w:keepLines/>
        <w:pageBreakBefore w:val="0"/>
        <w:spacing w:before="145" w:beforeAutospacing="0" w:after="145" w:afterAutospacing="0" w:line="440" w:lineRule="exact"/>
        <w:ind w:firstLine="498"/>
        <w:jc w:val="both"/>
        <w:rPr>
          <w:rFonts w:hint="eastAsia" w:ascii="Times New Roman" w:hAnsi="Times New Roman" w:cs="Times New Roman" w:eastAsiaTheme="minorEastAsia"/>
          <w:b/>
          <w:bCs w:val="0"/>
          <w:color w:val="000000"/>
          <w:sz w:val="32"/>
          <w:szCs w:val="32"/>
          <w:highlight w:val="none"/>
          <w:lang w:val="en-US" w:eastAsia="zh-CN" w:bidi="ar-SA"/>
        </w:rPr>
      </w:pPr>
      <w:r>
        <w:rPr>
          <w:rFonts w:hint="eastAsia" w:ascii="Times New Roman" w:hAnsi="Times New Roman"/>
          <w:b/>
          <w:color w:val="000000"/>
          <w:sz w:val="32"/>
          <w:szCs w:val="32"/>
          <w:highlight w:val="none"/>
          <w:lang w:val="en-US" w:eastAsia="zh-CN"/>
        </w:rPr>
        <w:t>七</w:t>
      </w:r>
      <w:r>
        <w:rPr>
          <w:rFonts w:ascii="Times New Roman" w:hAnsi="Times New Roman"/>
          <w:b/>
          <w:color w:val="000000"/>
          <w:sz w:val="32"/>
          <w:szCs w:val="32"/>
          <w:highlight w:val="none"/>
        </w:rPr>
        <w:t>、</w:t>
      </w:r>
      <w:r>
        <w:rPr>
          <w:rFonts w:hint="eastAsia" w:ascii="Times New Roman" w:hAnsi="Times New Roman" w:cs="Times New Roman" w:eastAsiaTheme="minorEastAsia"/>
          <w:b/>
          <w:bCs w:val="0"/>
          <w:color w:val="000000"/>
          <w:sz w:val="32"/>
          <w:szCs w:val="32"/>
          <w:highlight w:val="none"/>
          <w:lang w:val="en-US" w:eastAsia="zh-CN" w:bidi="ar-SA"/>
        </w:rPr>
        <w:t>对本次招标提出询问，请按以下方式联系。</w:t>
      </w:r>
      <w:bookmarkEnd w:id="31"/>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1.采购人信息</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名    称： 东台市城市管理局  </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地    址： 东台市北海中路8号  </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  系人： 陈先生             </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联系方式：18052929135            </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2.采购代理机构信息</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default"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名    称：东台市公共资源交易中心</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地    址：东台市北海西路8号</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 系 人：王先生                     </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联系方式：</w:t>
      </w:r>
      <w:bookmarkStart w:id="32" w:name="_Toc28359087"/>
      <w:bookmarkStart w:id="33" w:name="_Toc28359010"/>
      <w:r>
        <w:rPr>
          <w:rFonts w:hint="eastAsia" w:ascii="仿宋" w:hAnsi="仿宋" w:eastAsia="仿宋" w:cs="仿宋"/>
          <w:i w:val="0"/>
          <w:iCs w:val="0"/>
          <w:caps w:val="0"/>
          <w:color w:val="333333"/>
          <w:spacing w:val="0"/>
          <w:sz w:val="28"/>
          <w:szCs w:val="28"/>
          <w:highlight w:val="none"/>
          <w:shd w:val="clear" w:color="auto" w:fill="FFFFFF"/>
          <w:lang w:val="en-US" w:eastAsia="zh-CN"/>
        </w:rPr>
        <w:t>13655111566       </w:t>
      </w:r>
      <w:bookmarkEnd w:id="32"/>
      <w:bookmarkEnd w:id="33"/>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            </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bookmarkStart w:id="34" w:name="_Toc28359021"/>
      <w:r>
        <w:rPr>
          <w:rFonts w:hint="eastAsia" w:ascii="仿宋" w:hAnsi="仿宋" w:eastAsia="仿宋" w:cs="仿宋"/>
          <w:i w:val="0"/>
          <w:iCs w:val="0"/>
          <w:caps w:val="0"/>
          <w:color w:val="333333"/>
          <w:spacing w:val="0"/>
          <w:sz w:val="28"/>
          <w:szCs w:val="28"/>
          <w:highlight w:val="none"/>
          <w:shd w:val="clear" w:color="auto" w:fill="FFFFFF"/>
          <w:lang w:val="en-US" w:eastAsia="zh-CN"/>
        </w:rPr>
        <w:t>3.</w:t>
      </w:r>
      <w:bookmarkEnd w:id="34"/>
      <w:r>
        <w:rPr>
          <w:rFonts w:hint="eastAsia" w:ascii="仿宋" w:hAnsi="仿宋" w:eastAsia="仿宋" w:cs="仿宋"/>
          <w:i w:val="0"/>
          <w:iCs w:val="0"/>
          <w:caps w:val="0"/>
          <w:color w:val="333333"/>
          <w:spacing w:val="0"/>
          <w:sz w:val="28"/>
          <w:szCs w:val="28"/>
          <w:highlight w:val="none"/>
          <w:shd w:val="clear" w:color="auto" w:fill="FFFFFF"/>
          <w:lang w:val="en-US" w:eastAsia="zh-CN"/>
        </w:rPr>
        <w:t>项目联系方式</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default"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项目联系人：陈先生、王先生</w:t>
      </w:r>
    </w:p>
    <w:p>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i w:val="0"/>
          <w:iCs w:val="0"/>
          <w:caps w:val="0"/>
          <w:color w:val="333333"/>
          <w:spacing w:val="0"/>
          <w:sz w:val="28"/>
          <w:szCs w:val="28"/>
          <w:highlight w:val="none"/>
          <w:shd w:val="clear" w:color="auto" w:fill="FFFFFF"/>
          <w:lang w:val="en-US" w:eastAsia="zh-CN"/>
        </w:rPr>
      </w:pPr>
      <w:r>
        <w:rPr>
          <w:rFonts w:hint="eastAsia" w:ascii="仿宋" w:hAnsi="仿宋" w:eastAsia="仿宋" w:cs="仿宋"/>
          <w:i w:val="0"/>
          <w:iCs w:val="0"/>
          <w:caps w:val="0"/>
          <w:color w:val="333333"/>
          <w:spacing w:val="0"/>
          <w:sz w:val="28"/>
          <w:szCs w:val="28"/>
          <w:highlight w:val="none"/>
          <w:shd w:val="clear" w:color="auto" w:fill="FFFFFF"/>
          <w:lang w:val="en-US" w:eastAsia="zh-CN"/>
        </w:rPr>
        <w:t>电　 　 话：18052929135、13655111566　　　　　　　　　　　　</w:t>
      </w:r>
    </w:p>
    <w:p>
      <w:pPr>
        <w:rPr>
          <w:highlight w:val="none"/>
        </w:rPr>
      </w:pPr>
      <w:r>
        <w:rPr>
          <w:highlight w:val="none"/>
        </w:rPr>
        <w:t> </w:t>
      </w:r>
    </w:p>
    <w:p>
      <w:pPr>
        <w:rPr>
          <w:rFonts w:hint="eastAsia" w:ascii="黑体" w:hAnsi="宋体" w:eastAsia="黑体" w:cs="黑体"/>
          <w:b/>
          <w:color w:val="000000"/>
          <w:sz w:val="44"/>
          <w:szCs w:val="44"/>
          <w:highlight w:val="none"/>
        </w:rPr>
      </w:pPr>
      <w:r>
        <w:rPr>
          <w:rFonts w:hint="eastAsia" w:ascii="宋体" w:hAnsi="宋体" w:eastAsia="宋体" w:cs="宋体"/>
          <w:color w:val="000000"/>
          <w:highlight w:val="none"/>
        </w:rPr>
        <w:br w:type="page" w:clear="all"/>
      </w:r>
      <w:bookmarkStart w:id="35" w:name="_Toc120614211"/>
    </w:p>
    <w:p>
      <w:pPr>
        <w:pStyle w:val="32"/>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5"/>
      <w:bookmarkStart w:id="36" w:name="_Toc513029202"/>
      <w:bookmarkStart w:id="37" w:name="_Toc20823274"/>
      <w:bookmarkStart w:id="38" w:name="_Toc120614213"/>
      <w:bookmarkStart w:id="39" w:name="_Toc16938518"/>
      <w:r>
        <w:rPr>
          <w:rFonts w:hint="eastAsia" w:ascii="黑体" w:hAnsi="宋体" w:eastAsia="黑体" w:cs="黑体"/>
          <w:b/>
          <w:color w:val="000000"/>
          <w:sz w:val="44"/>
          <w:szCs w:val="44"/>
          <w:highlight w:val="none"/>
        </w:rPr>
        <w:t>投标人须知</w:t>
      </w:r>
      <w:bookmarkEnd w:id="36"/>
      <w:bookmarkEnd w:id="37"/>
      <w:bookmarkEnd w:id="38"/>
      <w:bookmarkEnd w:id="39"/>
    </w:p>
    <w:p>
      <w:pPr>
        <w:pStyle w:val="32"/>
        <w:keepNext/>
        <w:keepLines/>
        <w:spacing w:before="145" w:beforeAutospacing="0" w:after="145" w:afterAutospacing="0" w:line="360" w:lineRule="auto"/>
        <w:ind w:firstLine="498"/>
        <w:jc w:val="both"/>
        <w:rPr>
          <w:highlight w:val="none"/>
        </w:rPr>
      </w:pPr>
      <w:bookmarkStart w:id="40" w:name="_Toc16938519"/>
      <w:bookmarkStart w:id="41" w:name="_Toc120614214"/>
      <w:bookmarkStart w:id="42" w:name="_Toc20823275"/>
      <w:bookmarkStart w:id="43" w:name="_Toc513029203"/>
      <w:r>
        <w:rPr>
          <w:rFonts w:ascii="Times New Roman" w:hAnsi="Times New Roman"/>
          <w:b/>
          <w:color w:val="000000"/>
          <w:sz w:val="32"/>
          <w:szCs w:val="32"/>
          <w:highlight w:val="none"/>
        </w:rPr>
        <w:t>一、总则</w:t>
      </w:r>
      <w:bookmarkEnd w:id="40"/>
      <w:bookmarkEnd w:id="41"/>
      <w:bookmarkEnd w:id="42"/>
      <w:bookmarkEnd w:id="43"/>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44" w:name="_Toc20823276"/>
      <w:bookmarkStart w:id="45" w:name="_Toc458694821"/>
      <w:bookmarkStart w:id="46" w:name="_Toc513029204"/>
      <w:bookmarkStart w:id="47" w:name="_Toc16938520"/>
      <w:bookmarkStart w:id="48" w:name="_Hlt16619475"/>
      <w:r>
        <w:rPr>
          <w:rFonts w:hint="eastAsia" w:ascii="宋体" w:hAnsi="宋体" w:eastAsia="宋体" w:cs="宋体"/>
          <w:color w:val="000000"/>
          <w:sz w:val="28"/>
          <w:szCs w:val="28"/>
          <w:highlight w:val="none"/>
        </w:rPr>
        <w:t>1</w:t>
      </w:r>
      <w:bookmarkEnd w:id="44"/>
      <w:r>
        <w:rPr>
          <w:rFonts w:hint="eastAsia" w:ascii="宋体" w:hAnsi="宋体" w:eastAsia="宋体" w:cs="宋体"/>
          <w:color w:val="000000"/>
          <w:sz w:val="28"/>
          <w:szCs w:val="28"/>
          <w:highlight w:val="none"/>
        </w:rPr>
        <w:t>、招标方式</w:t>
      </w:r>
      <w:bookmarkEnd w:id="45"/>
      <w:bookmarkEnd w:id="46"/>
      <w:bookmarkEnd w:id="47"/>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 本次招标采取公开招标方式，本招标文件仅适用于招标公告中所述项目。</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49" w:name="_Toc20823277"/>
      <w:bookmarkStart w:id="50" w:name="_Toc16938521"/>
      <w:bookmarkStart w:id="51" w:name="_Toc513029205"/>
      <w:r>
        <w:rPr>
          <w:rFonts w:hint="eastAsia" w:ascii="宋体" w:hAnsi="宋体" w:eastAsia="宋体" w:cs="宋体"/>
          <w:color w:val="000000"/>
          <w:sz w:val="28"/>
          <w:szCs w:val="28"/>
          <w:highlight w:val="none"/>
        </w:rPr>
        <w:t>2、合格的投标人</w:t>
      </w:r>
      <w:bookmarkEnd w:id="49"/>
      <w:bookmarkEnd w:id="50"/>
      <w:bookmarkEnd w:id="51"/>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满足招标公告中供应商的资格要求的规定。</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 满足本文件实质性要求和条件的规定。</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52" w:name="_Toc16938522"/>
      <w:bookmarkStart w:id="53" w:name="_Toc20823278"/>
      <w:bookmarkStart w:id="54" w:name="_Toc513029206"/>
      <w:r>
        <w:rPr>
          <w:rFonts w:hint="eastAsia" w:ascii="宋体" w:hAnsi="宋体" w:eastAsia="宋体" w:cs="宋体"/>
          <w:color w:val="000000"/>
          <w:sz w:val="28"/>
          <w:szCs w:val="28"/>
          <w:highlight w:val="none"/>
        </w:rPr>
        <w:t>3、适用法律</w:t>
      </w:r>
      <w:bookmarkEnd w:id="52"/>
      <w:bookmarkEnd w:id="53"/>
      <w:bookmarkEnd w:id="54"/>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 本次招标及由此产生的合同受中华人民共和国有关的法律法规制约和保护。</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55" w:name="_Toc513029207"/>
      <w:bookmarkStart w:id="56" w:name="_Toc16938523"/>
      <w:bookmarkStart w:id="57" w:name="_Toc20823279"/>
      <w:bookmarkStart w:id="58" w:name="_Toc462564067"/>
      <w:r>
        <w:rPr>
          <w:rFonts w:hint="eastAsia" w:ascii="宋体" w:hAnsi="宋体" w:eastAsia="宋体" w:cs="宋体"/>
          <w:color w:val="000000"/>
          <w:sz w:val="28"/>
          <w:szCs w:val="28"/>
          <w:highlight w:val="none"/>
        </w:rPr>
        <w:t>4、投标费用</w:t>
      </w:r>
      <w:bookmarkEnd w:id="55"/>
      <w:bookmarkEnd w:id="56"/>
      <w:bookmarkEnd w:id="57"/>
      <w:bookmarkEnd w:id="58"/>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4.1 投标人应自行承担所有与参加投标有关的费用，无论投标过程中的做法和结果如何，</w:t>
      </w:r>
      <w:r>
        <w:rPr>
          <w:rFonts w:hint="eastAsia" w:ascii="宋体" w:hAnsi="宋体" w:eastAsia="宋体" w:cs="宋体"/>
          <w:color w:val="000000"/>
          <w:sz w:val="28"/>
          <w:szCs w:val="28"/>
          <w:highlight w:val="none"/>
          <w:lang w:val="en-US" w:eastAsia="zh-CN"/>
        </w:rPr>
        <w:t>采购人及</w:t>
      </w:r>
      <w:r>
        <w:rPr>
          <w:rFonts w:hint="eastAsia" w:ascii="宋体" w:hAnsi="宋体" w:eastAsia="宋体" w:cs="宋体"/>
          <w:color w:val="000000"/>
          <w:sz w:val="28"/>
          <w:szCs w:val="28"/>
          <w:highlight w:val="none"/>
          <w:lang w:eastAsia="zh-CN"/>
        </w:rPr>
        <w:t>东台市公共资源交易中心</w:t>
      </w:r>
      <w:r>
        <w:rPr>
          <w:rFonts w:hint="eastAsia" w:ascii="宋体" w:hAnsi="宋体" w:eastAsia="宋体" w:cs="宋体"/>
          <w:color w:val="000000"/>
          <w:sz w:val="28"/>
          <w:szCs w:val="28"/>
          <w:highlight w:val="none"/>
        </w:rPr>
        <w:t>（以下简称采购中心）在任何情况下均无义务和责任承担这些费用。</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本次招标采购人和采购中心不收取标书工本费。</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5、招标文件的约束力</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5.1 投标人一旦参加本项目采购活动，即被认为接受了本招标文件的规定和约束。</w:t>
      </w:r>
    </w:p>
    <w:p>
      <w:pPr>
        <w:pStyle w:val="32"/>
        <w:keepNext/>
        <w:keepLines/>
        <w:spacing w:before="145" w:beforeAutospacing="0" w:after="145" w:afterAutospacing="0" w:line="360" w:lineRule="auto"/>
        <w:ind w:firstLine="498"/>
        <w:jc w:val="both"/>
        <w:rPr>
          <w:rFonts w:ascii="Times New Roman" w:hAnsi="Times New Roman" w:cs="Times New Roman"/>
          <w:b/>
          <w:color w:val="000000"/>
          <w:sz w:val="32"/>
          <w:szCs w:val="32"/>
          <w:highlight w:val="none"/>
        </w:rPr>
      </w:pPr>
      <w:bookmarkStart w:id="59" w:name="_Toc20823281"/>
      <w:bookmarkStart w:id="60" w:name="_Toc16938525"/>
      <w:bookmarkStart w:id="61" w:name="_Toc513029209"/>
      <w:bookmarkStart w:id="62" w:name="_Toc120614215"/>
      <w:r>
        <w:rPr>
          <w:rFonts w:ascii="Times New Roman" w:hAnsi="Times New Roman" w:cs="Times New Roman"/>
          <w:b/>
          <w:color w:val="000000"/>
          <w:sz w:val="32"/>
          <w:szCs w:val="32"/>
          <w:highlight w:val="none"/>
        </w:rPr>
        <w:t>二、招标文件</w:t>
      </w:r>
      <w:bookmarkEnd w:id="59"/>
      <w:bookmarkEnd w:id="60"/>
      <w:bookmarkEnd w:id="61"/>
      <w:bookmarkEnd w:id="62"/>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63" w:name="_Toc513029210"/>
      <w:bookmarkStart w:id="64" w:name="_Toc20823282"/>
      <w:bookmarkStart w:id="65" w:name="_Toc16938526"/>
      <w:r>
        <w:rPr>
          <w:rFonts w:hint="eastAsia" w:ascii="宋体" w:hAnsi="宋体" w:eastAsia="宋体" w:cs="宋体"/>
          <w:color w:val="000000"/>
          <w:sz w:val="28"/>
          <w:szCs w:val="28"/>
          <w:highlight w:val="none"/>
        </w:rPr>
        <w:t>6、招标文件构成</w:t>
      </w:r>
      <w:bookmarkEnd w:id="63"/>
      <w:bookmarkEnd w:id="64"/>
      <w:bookmarkEnd w:id="65"/>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6.1 招标文件由以下部分组成：</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（1）</w:t>
      </w:r>
      <w:r>
        <w:rPr>
          <w:rFonts w:hint="eastAsia" w:ascii="宋体" w:hAnsi="宋体" w:eastAsia="宋体" w:cs="宋体"/>
          <w:color w:val="000000"/>
          <w:sz w:val="28"/>
          <w:szCs w:val="28"/>
          <w:highlight w:val="none"/>
          <w:lang w:val="en-US" w:eastAsia="zh-CN"/>
        </w:rPr>
        <w:t>招标公告</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（2）投标人须知</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（3）合同文本</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（4）采购需求</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（5）评标方法与评标标准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（6）投标文件格式</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请仔细检查招标文件是否齐全，如有缺漏请立即与</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联系解决。</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66" w:name="_Toc20823283"/>
      <w:bookmarkStart w:id="67" w:name="_Toc513029211"/>
      <w:bookmarkStart w:id="68" w:name="_Toc16938527"/>
      <w:bookmarkStart w:id="69" w:name="_Toc462564070"/>
      <w:r>
        <w:rPr>
          <w:rFonts w:hint="eastAsia" w:ascii="宋体" w:hAnsi="宋体" w:eastAsia="宋体" w:cs="宋体"/>
          <w:color w:val="000000"/>
          <w:sz w:val="28"/>
          <w:szCs w:val="28"/>
          <w:highlight w:val="none"/>
        </w:rPr>
        <w:t>7、招标文件的澄清</w:t>
      </w:r>
      <w:bookmarkEnd w:id="66"/>
      <w:bookmarkEnd w:id="67"/>
      <w:bookmarkEnd w:id="68"/>
      <w:bookmarkEnd w:id="69"/>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7.1 任何要求对招标文件进行澄清的投标人，应在投标截止期十日前按招标公告中的通讯地址，以书面形式通知</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70" w:name="_Toc513029212"/>
      <w:bookmarkStart w:id="71" w:name="_Toc16938528"/>
      <w:bookmarkStart w:id="72" w:name="_Toc462564071"/>
      <w:bookmarkStart w:id="73" w:name="_Toc20823284"/>
      <w:r>
        <w:rPr>
          <w:rFonts w:hint="eastAsia" w:ascii="宋体" w:hAnsi="宋体" w:eastAsia="宋体" w:cs="宋体"/>
          <w:color w:val="000000"/>
          <w:sz w:val="28"/>
          <w:szCs w:val="28"/>
          <w:highlight w:val="none"/>
        </w:rPr>
        <w:t>8、招标文件的修改</w:t>
      </w:r>
      <w:bookmarkEnd w:id="70"/>
      <w:bookmarkEnd w:id="71"/>
      <w:bookmarkEnd w:id="72"/>
      <w:bookmarkEnd w:id="73"/>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8.1 在投标截止时间前，</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可以对招标文件进行修改。</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8.2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有权按照法定的要求推迟投标截止日期和开标日期。</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8.3 招标文件的修改将在</w:t>
      </w:r>
      <w:r>
        <w:rPr>
          <w:rFonts w:hint="eastAsia" w:ascii="宋体" w:hAnsi="宋体" w:eastAsia="宋体" w:cs="宋体"/>
          <w:color w:val="000000"/>
          <w:sz w:val="28"/>
          <w:szCs w:val="28"/>
          <w:highlight w:val="none"/>
          <w:lang w:val="en-US" w:eastAsia="zh-CN"/>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color w:val="000000"/>
          <w:sz w:val="28"/>
          <w:szCs w:val="28"/>
          <w:highlight w:val="none"/>
        </w:rPr>
        <w:t>公布，补充文件将作为招标文件的组成部分，并对投标人具有约束力。</w:t>
      </w:r>
    </w:p>
    <w:p>
      <w:pPr>
        <w:pStyle w:val="32"/>
        <w:keepNext/>
        <w:keepLines/>
        <w:spacing w:before="145" w:beforeAutospacing="0" w:after="145" w:afterAutospacing="0" w:line="360" w:lineRule="auto"/>
        <w:ind w:firstLine="482"/>
        <w:jc w:val="both"/>
        <w:rPr>
          <w:highlight w:val="none"/>
        </w:rPr>
      </w:pPr>
      <w:bookmarkStart w:id="74" w:name="_Toc513029213"/>
      <w:bookmarkStart w:id="75" w:name="_Toc16938529"/>
      <w:bookmarkStart w:id="76" w:name="_Toc120614216"/>
      <w:bookmarkStart w:id="77" w:name="_Toc462564072"/>
      <w:bookmarkStart w:id="78" w:name="_Toc20823285"/>
      <w:r>
        <w:rPr>
          <w:rFonts w:ascii="Times New Roman" w:hAnsi="Times New Roman"/>
          <w:b/>
          <w:color w:val="000000"/>
          <w:sz w:val="32"/>
          <w:szCs w:val="32"/>
          <w:highlight w:val="none"/>
        </w:rPr>
        <w:t>三、投标文件的编制</w:t>
      </w:r>
      <w:bookmarkEnd w:id="74"/>
      <w:bookmarkEnd w:id="75"/>
      <w:bookmarkEnd w:id="76"/>
      <w:bookmarkEnd w:id="77"/>
      <w:bookmarkEnd w:id="78"/>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79" w:name="_Toc462564073"/>
      <w:bookmarkStart w:id="80" w:name="_Toc20823286"/>
      <w:bookmarkStart w:id="81" w:name="_Toc513029214"/>
      <w:bookmarkStart w:id="82" w:name="_Toc16938530"/>
      <w:r>
        <w:rPr>
          <w:rFonts w:hint="eastAsia" w:ascii="宋体" w:hAnsi="宋体" w:eastAsia="宋体" w:cs="宋体"/>
          <w:color w:val="000000"/>
          <w:sz w:val="28"/>
          <w:szCs w:val="28"/>
          <w:highlight w:val="none"/>
        </w:rPr>
        <w:t>9、投标文件的语言及度量衡单位</w:t>
      </w:r>
      <w:bookmarkEnd w:id="79"/>
      <w:bookmarkEnd w:id="80"/>
      <w:bookmarkEnd w:id="81"/>
      <w:bookmarkEnd w:id="82"/>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9.1 投标人提交的投标文件以及投标人与采购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就有关投标的所有来往通知、函件和文件均应使用简体中文。</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9.2 除技术性能另有规定外，投标文件所使用的度量衡单位，均须采用国家法定计量单位。</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83" w:name="_Toc462564074"/>
      <w:bookmarkStart w:id="84" w:name="_Toc16938531"/>
      <w:bookmarkStart w:id="85" w:name="_Toc513029215"/>
      <w:bookmarkStart w:id="86" w:name="_Toc20823287"/>
      <w:r>
        <w:rPr>
          <w:rFonts w:hint="eastAsia" w:ascii="宋体" w:hAnsi="宋体" w:eastAsia="宋体" w:cs="宋体"/>
          <w:color w:val="000000"/>
          <w:sz w:val="28"/>
          <w:szCs w:val="28"/>
          <w:highlight w:val="none"/>
        </w:rPr>
        <w:t>10、投标文件构成</w:t>
      </w:r>
      <w:bookmarkEnd w:id="83"/>
      <w:bookmarkEnd w:id="84"/>
      <w:bookmarkEnd w:id="85"/>
      <w:bookmarkEnd w:id="86"/>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10.1 投标人编写的投标文件应包括资格证明文件、符合性证明文件、投标分项报价表、技术要求响应及偏离表、商务要求响应及偏离表、其他证明文件、投标函、开标一览表等部分。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10.2 如标书制作工具中格式和内容与</w:t>
      </w:r>
      <w:r>
        <w:rPr>
          <w:rFonts w:hint="eastAsia" w:ascii="宋体" w:hAnsi="宋体" w:eastAsia="宋体" w:cs="宋体"/>
          <w:color w:val="000000"/>
          <w:sz w:val="28"/>
          <w:szCs w:val="28"/>
          <w:highlight w:val="none"/>
          <w:lang w:val="en-US" w:eastAsia="zh-CN"/>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color w:val="000000"/>
          <w:sz w:val="28"/>
          <w:szCs w:val="28"/>
          <w:highlight w:val="none"/>
        </w:rPr>
        <w:t>发布的招标文件不一致，请以</w:t>
      </w:r>
      <w:r>
        <w:rPr>
          <w:rFonts w:hint="eastAsia" w:ascii="宋体" w:hAnsi="宋体" w:eastAsia="宋体" w:cs="宋体"/>
          <w:color w:val="000000"/>
          <w:sz w:val="28"/>
          <w:szCs w:val="28"/>
          <w:highlight w:val="none"/>
          <w:lang w:val="en-US" w:eastAsia="zh-CN"/>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color w:val="000000"/>
          <w:sz w:val="28"/>
          <w:szCs w:val="28"/>
          <w:highlight w:val="none"/>
        </w:rPr>
        <w:t>发布的招标文件为准。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87" w:name="_Toc49090507"/>
      <w:bookmarkStart w:id="88" w:name="_Toc49090509"/>
      <w:bookmarkStart w:id="89" w:name="_Toc14577355"/>
      <w:bookmarkStart w:id="90" w:name="_Toc14577354"/>
      <w:bookmarkStart w:id="91" w:name="_Toc49090508"/>
      <w:bookmarkStart w:id="92" w:name="_Toc513029219"/>
      <w:bookmarkStart w:id="93" w:name="_Toc14577357"/>
      <w:bookmarkStart w:id="94" w:name="_Toc513029216"/>
      <w:bookmarkStart w:id="95" w:name="_Hlt26668975"/>
      <w:bookmarkStart w:id="96" w:name="_Hlt26670360"/>
      <w:bookmarkStart w:id="97" w:name="_Hlt26954838"/>
      <w:r>
        <w:rPr>
          <w:rFonts w:hint="eastAsia" w:ascii="宋体" w:hAnsi="宋体" w:eastAsia="宋体" w:cs="宋体"/>
          <w:color w:val="000000"/>
          <w:sz w:val="28"/>
          <w:szCs w:val="28"/>
          <w:highlight w:val="none"/>
        </w:rPr>
        <w:t>11、证明投标人及投标标的符合招标文件规定的文件</w:t>
      </w:r>
      <w:bookmarkEnd w:id="87"/>
      <w:bookmarkEnd w:id="88"/>
      <w:bookmarkEnd w:id="89"/>
      <w:bookmarkEnd w:id="90"/>
      <w:bookmarkEnd w:id="91"/>
      <w:bookmarkEnd w:id="92"/>
      <w:bookmarkEnd w:id="93"/>
      <w:bookmarkEnd w:id="94"/>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11.1 投标人应按照招标文件要求提交证明文件，证明其及投标标的符合招标文件规定。</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11.2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招标文件对证明文件无明确形式要求的，证明文件可以以文字资料、图纸和数据等形式提交。</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12、投标分项报价表</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12.1 投标人应按照招标文件规定格式填报投标分项报价表。</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12.2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投标货币。投标文件中的单价和总价无特殊规定的采用人民币报价，以元为单位标注。招标文件中另有规定的按规定执行。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98" w:name="_Hlt26670482"/>
      <w:bookmarkStart w:id="99" w:name="_Hlt26954731"/>
      <w:bookmarkStart w:id="100" w:name="_Hlt26954848"/>
      <w:bookmarkStart w:id="101" w:name="_Hlt26954846"/>
      <w:bookmarkStart w:id="102" w:name="_Hlt26670486"/>
      <w:r>
        <w:rPr>
          <w:rFonts w:hint="eastAsia" w:ascii="宋体" w:hAnsi="宋体" w:eastAsia="宋体" w:cs="宋体"/>
          <w:color w:val="000000"/>
          <w:sz w:val="28"/>
          <w:szCs w:val="28"/>
          <w:highlight w:val="none"/>
        </w:rPr>
        <w:t>13、技术要求响应及偏离表、商务要求响应及偏离表</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13.1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投标人需对招标文件中的技术要求与商务要求逐项作出响应或偏离，并说明原因。</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13.2 投标人可在投标文件中提供认为需要的其他技术文件或说明。</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14、服务承诺、培训计划、人员安排及其他</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14.1 投标人需根据招标文件要求提供有关售后服务的管理制度，售后服务机构的分布情况，售后服务人员的数量、素质、技术水平及售后服务的反应能力等。</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14.2 投标人需根据招标文件要求提供培训计划。</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14.3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投标人需根据招标文件要求提供所投标的的主要组成部分、功能设计、实现思路及关键技术等。</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03" w:name="_Toc49090510"/>
      <w:bookmarkStart w:id="104" w:name="_Toc14577359"/>
      <w:r>
        <w:rPr>
          <w:rFonts w:hint="eastAsia" w:ascii="宋体" w:hAnsi="宋体" w:eastAsia="宋体" w:cs="宋体"/>
          <w:color w:val="000000"/>
          <w:sz w:val="28"/>
          <w:szCs w:val="28"/>
          <w:highlight w:val="none"/>
        </w:rPr>
        <w:t>15、投标函和开标一览表</w:t>
      </w:r>
      <w:bookmarkEnd w:id="103"/>
      <w:bookmarkEnd w:id="104"/>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15.1 投标人应按照招标文件中提供的格式完整、正确填写投标函、开标一览表。</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15.2 对于采用货币报价的项目，开标一览表中的投标总报价应与投标分项报价表中的投标总报价一致，如不一致，不作为无效投标处理，但评标时按开标一览表中价格为准。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05" w:name="_Toc49090511"/>
      <w:bookmarkStart w:id="106" w:name="_Toc14577360"/>
      <w:r>
        <w:rPr>
          <w:rFonts w:hint="eastAsia" w:ascii="宋体" w:hAnsi="宋体" w:eastAsia="宋体" w:cs="宋体"/>
          <w:color w:val="000000"/>
          <w:sz w:val="28"/>
          <w:szCs w:val="28"/>
          <w:highlight w:val="none"/>
        </w:rPr>
        <w:t>16、投标有效期</w:t>
      </w:r>
      <w:bookmarkEnd w:id="105"/>
      <w:bookmarkEnd w:id="106"/>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16.1投标有效期为开标之日后六十（60）天。投标有效期比规定短的将被视为未实质性响应招标文件而予以拒绝。</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17、投标有效期的延长</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17.1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在特殊情况下，</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的这一要求而放弃投标，同意延长投标有效期的投标人既不能要求也不允许修改其投标文件。受投标有效期约束的所有权利与义务均延长至新的有效期。</w:t>
      </w:r>
    </w:p>
    <w:p>
      <w:pPr>
        <w:pStyle w:val="32"/>
        <w:keepNext/>
        <w:keepLines/>
        <w:spacing w:before="145" w:beforeAutospacing="0" w:after="145" w:afterAutospacing="0" w:line="360" w:lineRule="auto"/>
        <w:jc w:val="both"/>
        <w:rPr>
          <w:highlight w:val="none"/>
        </w:rPr>
      </w:pPr>
      <w:bookmarkStart w:id="107" w:name="_Toc16938540"/>
      <w:bookmarkStart w:id="108" w:name="_Toc513029224"/>
      <w:bookmarkStart w:id="109" w:name="_Toc20823296"/>
      <w:bookmarkStart w:id="110" w:name="_Toc120614217"/>
      <w:bookmarkStart w:id="111" w:name="_Hlt26954739"/>
      <w:bookmarkStart w:id="112" w:name="_Hlt26954852"/>
      <w:r>
        <w:rPr>
          <w:rFonts w:ascii="Times New Roman" w:hAnsi="Times New Roman"/>
          <w:b/>
          <w:color w:val="000000"/>
          <w:sz w:val="32"/>
          <w:szCs w:val="32"/>
          <w:highlight w:val="none"/>
        </w:rPr>
        <w:t>四、投标文件的递交</w:t>
      </w:r>
      <w:bookmarkEnd w:id="107"/>
      <w:bookmarkEnd w:id="108"/>
      <w:bookmarkEnd w:id="109"/>
      <w:bookmarkEnd w:id="110"/>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13" w:name="_Toc462564084"/>
      <w:bookmarkStart w:id="114" w:name="_Toc513029225"/>
      <w:bookmarkStart w:id="115" w:name="_Toc20823297"/>
      <w:bookmarkStart w:id="116" w:name="_Toc16938541"/>
      <w:r>
        <w:rPr>
          <w:rFonts w:hint="eastAsia" w:ascii="宋体" w:hAnsi="宋体" w:eastAsia="宋体" w:cs="宋体"/>
          <w:color w:val="000000"/>
          <w:sz w:val="28"/>
          <w:szCs w:val="28"/>
          <w:highlight w:val="none"/>
        </w:rPr>
        <w:t>18、电子投标文件</w:t>
      </w:r>
      <w:bookmarkEnd w:id="113"/>
      <w:bookmarkEnd w:id="114"/>
      <w:bookmarkEnd w:id="115"/>
      <w:bookmarkEnd w:id="116"/>
      <w:r>
        <w:rPr>
          <w:rFonts w:hint="eastAsia" w:ascii="宋体" w:hAnsi="宋体" w:eastAsia="宋体" w:cs="宋体"/>
          <w:color w:val="000000"/>
          <w:sz w:val="28"/>
          <w:szCs w:val="28"/>
          <w:highlight w:val="none"/>
        </w:rPr>
        <w:t>的递交</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18.1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投标人应当按照《操作手册》规定，在投标截止时间前制作并上传电子投标</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文件。</w:t>
      </w:r>
      <w:bookmarkStart w:id="117" w:name="_Toc16938542"/>
      <w:bookmarkEnd w:id="117"/>
      <w:bookmarkStart w:id="118" w:name="_Toc20823298"/>
      <w:bookmarkEnd w:id="118"/>
      <w:bookmarkStart w:id="119" w:name="_Toc513029226"/>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19、投标截止日期</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19.1 投标人上传电子投标文件的时间不得迟于招标公告中规定的投标截止时间。</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投标人应充分考虑到网络环境、网络带宽等风险因素，如因投标人自身原因造成的电子投标文件上传不成功的按照本招标文件第二章第27.1.2条规定做无效投标处理。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19.2 </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可以按照规定，通过修改招标文件酌情延长投标截止日期，在此情况下，投标人的所有权利和义务以及投标人受制的截止日期均应以延长后新的截止日期为准。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20" w:name="_Toc16938543"/>
      <w:bookmarkStart w:id="121" w:name="_Toc513029227"/>
      <w:bookmarkStart w:id="122" w:name="_Toc20823299"/>
      <w:r>
        <w:rPr>
          <w:rFonts w:hint="eastAsia" w:ascii="宋体" w:hAnsi="宋体" w:eastAsia="宋体" w:cs="宋体"/>
          <w:color w:val="000000"/>
          <w:sz w:val="28"/>
          <w:szCs w:val="28"/>
          <w:highlight w:val="none"/>
        </w:rPr>
        <w:t>20、投标文件</w:t>
      </w:r>
      <w:bookmarkEnd w:id="120"/>
      <w:bookmarkEnd w:id="121"/>
      <w:bookmarkEnd w:id="122"/>
      <w:r>
        <w:rPr>
          <w:rFonts w:hint="eastAsia" w:ascii="宋体" w:hAnsi="宋体" w:eastAsia="宋体" w:cs="宋体"/>
          <w:color w:val="000000"/>
          <w:sz w:val="28"/>
          <w:szCs w:val="28"/>
          <w:highlight w:val="none"/>
        </w:rPr>
        <w:t>的拒收</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20.1 </w:t>
      </w:r>
      <w:r>
        <w:rPr>
          <w:rFonts w:hint="eastAsia" w:ascii="宋体" w:hAnsi="宋体" w:eastAsia="宋体" w:cs="宋体"/>
          <w:color w:val="000000"/>
          <w:sz w:val="28"/>
          <w:szCs w:val="28"/>
          <w:highlight w:val="none"/>
          <w:lang w:val="en-US" w:eastAsia="zh-CN"/>
        </w:rPr>
        <w:t>采购人</w:t>
      </w:r>
      <w:r>
        <w:rPr>
          <w:rFonts w:hint="eastAsia" w:ascii="宋体" w:hAnsi="宋体" w:eastAsia="宋体" w:cs="宋体"/>
          <w:color w:val="000000"/>
          <w:sz w:val="28"/>
          <w:szCs w:val="28"/>
          <w:highlight w:val="none"/>
        </w:rPr>
        <w:t>拒绝接收在其规定的投标截止时间后上传的任何投标文件。</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23" w:name="_Toc513029228"/>
      <w:bookmarkStart w:id="124" w:name="_Toc16938544"/>
      <w:bookmarkStart w:id="125" w:name="_Toc20823300"/>
      <w:r>
        <w:rPr>
          <w:rFonts w:hint="eastAsia" w:ascii="宋体" w:hAnsi="宋体" w:eastAsia="宋体" w:cs="宋体"/>
          <w:color w:val="000000"/>
          <w:sz w:val="28"/>
          <w:szCs w:val="28"/>
          <w:highlight w:val="none"/>
        </w:rPr>
        <w:t>21、投标文件的撤回和修改</w:t>
      </w:r>
      <w:bookmarkEnd w:id="123"/>
      <w:bookmarkEnd w:id="124"/>
      <w:bookmarkEnd w:id="125"/>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21.1 投标文件的撤回</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21.1.1 电子投标文件的撤回</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投标人可在投标截止时间前，撤回其电子投标文件，具体操作方法见《操作手册》。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21.1.2 投标人撤回电子投标文件，则认为其不再参与本项目投标活动。</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21.2 投标文件的修改</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21.2.1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投标人可在投标截止时间前，对其电子投标文件进行修改，具体操作方法见《操作手册》。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21.2.2 在投标截止时间之后，投标人不得对其电子投标文件作任何修改。</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21.3 在投标截止时间至招标文件中规定的投标有效期满之间的这段时间内，投标人不得撤回其投标。</w:t>
      </w:r>
    </w:p>
    <w:p>
      <w:pPr>
        <w:pStyle w:val="32"/>
        <w:keepNext/>
        <w:keepLines/>
        <w:spacing w:before="145" w:beforeAutospacing="0" w:after="145" w:afterAutospacing="0" w:line="360" w:lineRule="auto"/>
        <w:ind w:firstLine="482"/>
        <w:jc w:val="both"/>
        <w:rPr>
          <w:highlight w:val="none"/>
        </w:rPr>
      </w:pPr>
      <w:bookmarkStart w:id="126" w:name="_Toc20823301"/>
      <w:bookmarkStart w:id="127" w:name="_Toc513029229"/>
      <w:bookmarkStart w:id="128" w:name="_Toc16938545"/>
      <w:bookmarkStart w:id="129" w:name="_Toc120614218"/>
      <w:r>
        <w:rPr>
          <w:rFonts w:ascii="Times New Roman" w:hAnsi="Times New Roman"/>
          <w:b/>
          <w:color w:val="000000"/>
          <w:sz w:val="32"/>
          <w:szCs w:val="32"/>
          <w:highlight w:val="none"/>
        </w:rPr>
        <w:t>五、开标与评标</w:t>
      </w:r>
      <w:bookmarkEnd w:id="126"/>
      <w:bookmarkEnd w:id="127"/>
      <w:bookmarkEnd w:id="128"/>
      <w:bookmarkEnd w:id="129"/>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30" w:name="_Toc16938546"/>
      <w:bookmarkStart w:id="131" w:name="_Toc513029230"/>
      <w:bookmarkStart w:id="132" w:name="_Toc20823302"/>
      <w:r>
        <w:rPr>
          <w:rFonts w:hint="eastAsia" w:ascii="宋体" w:hAnsi="宋体" w:eastAsia="宋体" w:cs="宋体"/>
          <w:color w:val="000000"/>
          <w:sz w:val="28"/>
          <w:szCs w:val="28"/>
          <w:highlight w:val="none"/>
        </w:rPr>
        <w:t>22、开标</w:t>
      </w:r>
      <w:bookmarkEnd w:id="130"/>
      <w:bookmarkEnd w:id="131"/>
      <w:bookmarkEnd w:id="132"/>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22.1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将在招标公告中规定的时间和地点组织公开开标。投标人应当按照《操作手册》规定，参加开标活动和在苏采云系统规定的时间内对投标文件进行解密。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开标仪式由采购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组织。苏采云系统将自动对项目进行开标，并宣布各投标人名称和投标价格。</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投标人在开标过程中涉及到的投标文件解密、开标结果确认等工作，应按照《操作手册》规定执行。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22.4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投标人如果对开标过程和开标记录有疑义，应当根据《操作手册》规定提出，如 苏采云系统中《开标记录表》宣布后5分钟内未提出的，视同认可开标结果。</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33" w:name="_Toc16938547"/>
      <w:bookmarkStart w:id="134" w:name="_Toc20823303"/>
      <w:bookmarkStart w:id="135" w:name="_Toc513029231"/>
      <w:r>
        <w:rPr>
          <w:rFonts w:hint="eastAsia" w:ascii="宋体" w:hAnsi="宋体" w:eastAsia="宋体" w:cs="宋体"/>
          <w:color w:val="000000"/>
          <w:sz w:val="28"/>
          <w:szCs w:val="28"/>
          <w:highlight w:val="none"/>
        </w:rPr>
        <w:t>23、评标委员会</w:t>
      </w:r>
      <w:bookmarkEnd w:id="133"/>
      <w:bookmarkEnd w:id="134"/>
      <w:bookmarkEnd w:id="135"/>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23.1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开标后，采购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将立即组织评标委员会（以下简称评委会）进行评标。</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23.2 评委会由采购人代表和有关技术、经济等方面的专家组成，且人员构成符合政府采购有关规定。</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23.3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评委会独立工作，负责评审所有投标文件并确定中标侯选人。</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24．评标过程的保密与公正</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24.1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凡是与审查、澄清、评价和比较投标的有关资料以及授标建议等，采购人</w:t>
      </w:r>
      <w:r>
        <w:rPr>
          <w:rFonts w:hint="eastAsia" w:ascii="宋体" w:hAnsi="宋体" w:eastAsia="宋体" w:cs="宋体"/>
          <w:color w:val="000000"/>
          <w:sz w:val="28"/>
          <w:szCs w:val="28"/>
          <w:highlight w:val="none"/>
          <w:lang w:val="en-US" w:eastAsia="zh-CN"/>
        </w:rPr>
        <w:t>及</w:t>
      </w:r>
      <w:r>
        <w:rPr>
          <w:rFonts w:hint="eastAsia" w:ascii="宋体" w:hAnsi="宋体" w:eastAsia="宋体" w:cs="宋体"/>
          <w:color w:val="000000"/>
          <w:sz w:val="28"/>
          <w:szCs w:val="28"/>
          <w:highlight w:val="none"/>
        </w:rPr>
        <w:t>评委不得向投标人或与评标无关的其他人员透露。</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24.2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在评标过程中，投标人不得以任何行为影响评标过程，否则其投标文件将被作为无效投标文件。</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24.3 评标委员会不向未中标的投标人解释未中标原因，也不公布评标过程中的相关细节。</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24.4 采用综合评分法的项目，未中标的投标人可于中标结果公告期限届满之日起通过苏采云系统查看自己的评审得分及排序情况。</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36" w:name="_Toc513029232"/>
      <w:bookmarkStart w:id="137" w:name="_Toc16938548"/>
      <w:bookmarkStart w:id="138" w:name="_Toc20823304"/>
      <w:r>
        <w:rPr>
          <w:rFonts w:hint="eastAsia" w:ascii="宋体" w:hAnsi="宋体" w:eastAsia="宋体" w:cs="宋体"/>
          <w:color w:val="000000"/>
          <w:sz w:val="28"/>
          <w:szCs w:val="28"/>
          <w:highlight w:val="none"/>
        </w:rPr>
        <w:t>25．投标文件的澄清</w:t>
      </w:r>
      <w:bookmarkEnd w:id="136"/>
      <w:bookmarkEnd w:id="137"/>
      <w:bookmarkEnd w:id="138"/>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39" w:name="_Toc513029233"/>
      <w:bookmarkStart w:id="140" w:name="_Toc16938549"/>
      <w:bookmarkStart w:id="141" w:name="_Toc20823305"/>
      <w:r>
        <w:rPr>
          <w:rFonts w:hint="eastAsia" w:ascii="宋体" w:hAnsi="宋体" w:eastAsia="宋体" w:cs="宋体"/>
          <w:color w:val="000000"/>
          <w:sz w:val="28"/>
          <w:szCs w:val="28"/>
          <w:highlight w:val="none"/>
        </w:rPr>
        <w:t>25.1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评标期间，评委会对投标文件中含义不明确、同类问题表述不一致或者有明显文字和计算错误的内容 ，有权要求投标人作出必要的澄清、说明或者补正。</w:t>
      </w:r>
      <w:bookmarkEnd w:id="139"/>
      <w:bookmarkEnd w:id="140"/>
      <w:bookmarkEnd w:id="141"/>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投标人的澄清、说明或者补正不得超出投标文件的范围或者改变投标文件的实质性内容。</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评标委员会并非对每个投标人都做澄清要求。</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25.3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接到评委会澄清、说明和补正要求的投标人如未按规定做出澄清、说明和补正，其风险由投标人自行承担。</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26、对投标文件的初审</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投标文件初审分为资格审查和符合性审查。</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26.1.1 资格审查：依据法律法规和招标文件的规定，由采购人对投标文件中的资格证明文件进行审查。资格审查的结论，采购人以书面形式向评委会进行反馈。</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采购人在进行资格性审查的同时，将在“信用中国”网站（www.creditchina.gov.cn）查询投标人的信用记录，以确定投标人是否具备投标资格,查询结果留存并归档。</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26.1.2 符合性审查：依据招标文件的规定，由评委会从投标文件的有效性、完整性和对招标文件的响应程度进行审查，以确定是否对招标文件的实质性要求作出响应。</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26.1.3 未通过资格审查或符合性审查的投标人，将在苏采云系统中告知未通过资格审查或符合性审查的原因，评审结束后，将不再告知未通过资格审查或符合性审查的原因。</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在详细评标之前，评委会将首先审查每份投标文件是否实质性响应了招标文件的要求。实质性响应的投标应该是与招标文件要求的全部条款、条件和规格相符，没有重大偏离或保留的投标。</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如果投标文件实质上没有响应招标文件的要求，评委会将予以拒绝，投标人不得通过修改或撤销不合要求的偏离或保留而使其投标成为实质性响应的投标。</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评委会将对确定为实质性响应的投标进行进一步审核，看其是否有计算上或累加上的算术错误，修正错误的原则如下：</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（1）投标文件中开标一览表内容与投标文件中相应内容不一致的，以开标一览表为准。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（2）大写金额和小写金额不一致的，以大写金额为准。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（3）单价金额小数点或者百分比有明显错位的，以开标一览表的总价为准，并修改单价。</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（4）总价金额与按单价汇总金额不一致的，以单价金额计算结果为准。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同时出现两种以上错误的，按照前款规定的顺序修正。</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26.5</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评委会将按上述修正错误的方法调整投标文件中的投标报价，并通过苏采云系统告知投标人，调整后的价格应对投标人具有约束力。如果投标人不接受修正后的价格，则其投标将被拒绝。</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42" w:name="_Toc20823306"/>
      <w:bookmarkStart w:id="143" w:name="_Toc513029234"/>
      <w:bookmarkStart w:id="144" w:name="_Toc16938550"/>
      <w:r>
        <w:rPr>
          <w:rFonts w:hint="eastAsia" w:ascii="宋体" w:hAnsi="宋体" w:eastAsia="宋体" w:cs="宋体"/>
          <w:color w:val="000000"/>
          <w:sz w:val="28"/>
          <w:szCs w:val="28"/>
          <w:highlight w:val="none"/>
        </w:rPr>
        <w:t>26.6</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非单一产品采购项目，招标文件中将载明其中的核心产品。多家投标人提供的核心产品品牌相同的，按前两款规定处理。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26.7</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投标人在开、评标全过程中应保持通讯畅通，及时登录苏采云系统查阅、答复相关信息，并安排专人与评标委员会联系。</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27、无效投标条款和废标条款</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45" w:name="_Toc16938551"/>
      <w:bookmarkStart w:id="146" w:name="_Toc513029235"/>
      <w:bookmarkStart w:id="147" w:name="_Toc20823307"/>
      <w:r>
        <w:rPr>
          <w:rFonts w:hint="eastAsia" w:ascii="宋体" w:hAnsi="宋体" w:eastAsia="宋体" w:cs="宋体"/>
          <w:color w:val="000000"/>
          <w:sz w:val="28"/>
          <w:szCs w:val="28"/>
          <w:highlight w:val="none"/>
        </w:rPr>
        <w:t>27.1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无效投标条款</w:t>
      </w:r>
      <w:bookmarkEnd w:id="145"/>
      <w:bookmarkEnd w:id="146"/>
      <w:bookmarkEnd w:id="147"/>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27.1.1 投标人在苏采云系统规定的时间内未成功解密电子投标文件的。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27.1.2 投标人未按照招标文件要求上传电子投标文件的。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同一投标人提交两个（含两个）以上不同的投标报价的。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投标人不具备招标文件中规定资格要求的。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27.1.5</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投标人的报价超过了采购预算或最高限价的。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27.1.6</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未通过符合性审查的。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27.1.7</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不符合招标文件中规定的实质性要求和条件的（本招标文件中斜体且有下划线部分为实质性要求和条件）。</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27.1.9</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投标文件含有采购人不能接受的附加条件的。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27.1.10</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27.1.12 投标文件未按照招标文件要求加盖CA电子公章的。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27.1.13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其他法律、法规及本招标文件规定的属无效投标的情形。</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27.2废标条款</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27.2.1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符合专业条件的供应商或者对招标文件作实质响应的供应商不足三家的。27.2.2出现影响采购公正的违法、违规行为的。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27.2.</w:t>
      </w:r>
      <w:r>
        <w:rPr>
          <w:rFonts w:hint="eastAsia" w:ascii="宋体" w:hAnsi="宋体" w:eastAsia="宋体" w:cs="宋体"/>
          <w:color w:val="000000"/>
          <w:sz w:val="28"/>
          <w:szCs w:val="28"/>
          <w:highlight w:val="none"/>
          <w:lang w:val="en-US" w:eastAsia="zh-CN"/>
        </w:rPr>
        <w:t xml:space="preserve">2 </w:t>
      </w:r>
      <w:r>
        <w:rPr>
          <w:rFonts w:hint="eastAsia" w:ascii="宋体" w:hAnsi="宋体" w:eastAsia="宋体" w:cs="宋体"/>
          <w:color w:val="000000"/>
          <w:sz w:val="28"/>
          <w:szCs w:val="28"/>
          <w:highlight w:val="none"/>
        </w:rPr>
        <w:t>因重大变故，采购任务取消的。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27.2.</w:t>
      </w:r>
      <w:r>
        <w:rPr>
          <w:rFonts w:hint="eastAsia" w:ascii="宋体" w:hAnsi="宋体" w:eastAsia="宋体" w:cs="宋体"/>
          <w:color w:val="000000"/>
          <w:sz w:val="28"/>
          <w:szCs w:val="28"/>
          <w:highlight w:val="none"/>
          <w:lang w:val="en-US" w:eastAsia="zh-CN"/>
        </w:rPr>
        <w:t>3</w:t>
      </w:r>
      <w:r>
        <w:rPr>
          <w:rFonts w:hint="eastAsia" w:ascii="宋体" w:hAnsi="宋体" w:eastAsia="宋体" w:cs="宋体"/>
          <w:color w:val="000000"/>
          <w:sz w:val="28"/>
          <w:szCs w:val="28"/>
          <w:highlight w:val="none"/>
        </w:rPr>
        <w:t>评标委员会认定招标文件存在歧义、重大缺陷导致评审工作无法进行。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27.2.</w:t>
      </w:r>
      <w:r>
        <w:rPr>
          <w:rFonts w:hint="eastAsia" w:ascii="宋体" w:hAnsi="宋体" w:eastAsia="宋体" w:cs="宋体"/>
          <w:color w:val="000000"/>
          <w:sz w:val="28"/>
          <w:szCs w:val="28"/>
          <w:highlight w:val="none"/>
          <w:lang w:val="en-US" w:eastAsia="zh-CN"/>
        </w:rPr>
        <w:t>4</w:t>
      </w:r>
      <w:r>
        <w:rPr>
          <w:rFonts w:hint="eastAsia" w:ascii="宋体" w:hAnsi="宋体" w:eastAsia="宋体" w:cs="宋体"/>
          <w:color w:val="000000"/>
          <w:sz w:val="28"/>
          <w:szCs w:val="28"/>
          <w:highlight w:val="none"/>
        </w:rPr>
        <w:t xml:space="preserve"> 因苏采云系统系统故障原因造成开标不成功的。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27.3 投标截止时间结束后参加投标的供应商不足三家的处理：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27.3.1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如出现投标截止时间结束后参加投标的供应商或者在评标期间对招标文件做出实质响应的供应商不足三家情况，按政府采购相关规定执行。</w:t>
      </w:r>
    </w:p>
    <w:p>
      <w:pPr>
        <w:pStyle w:val="32"/>
        <w:keepNext/>
        <w:keepLines/>
        <w:spacing w:before="145" w:beforeAutospacing="0" w:after="145" w:afterAutospacing="0" w:line="360" w:lineRule="auto"/>
        <w:ind w:firstLine="482"/>
        <w:jc w:val="both"/>
        <w:rPr>
          <w:highlight w:val="none"/>
        </w:rPr>
      </w:pPr>
      <w:bookmarkStart w:id="148" w:name="_Toc120614219"/>
      <w:r>
        <w:rPr>
          <w:rFonts w:ascii="Times New Roman" w:hAnsi="Times New Roman"/>
          <w:b/>
          <w:color w:val="000000"/>
          <w:sz w:val="32"/>
          <w:szCs w:val="32"/>
          <w:highlight w:val="none"/>
        </w:rPr>
        <w:t>六、定标</w:t>
      </w:r>
      <w:bookmarkEnd w:id="148"/>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49" w:name="_Toc20823310"/>
      <w:bookmarkStart w:id="150" w:name="_Toc513029238"/>
      <w:bookmarkStart w:id="151" w:name="_Toc16938554"/>
      <w:r>
        <w:rPr>
          <w:rFonts w:hint="eastAsia" w:ascii="宋体" w:hAnsi="宋体" w:eastAsia="宋体" w:cs="宋体"/>
          <w:color w:val="000000"/>
          <w:sz w:val="28"/>
          <w:szCs w:val="28"/>
          <w:highlight w:val="none"/>
        </w:rPr>
        <w:t>28、</w:t>
      </w:r>
      <w:bookmarkEnd w:id="149"/>
      <w:r>
        <w:rPr>
          <w:rFonts w:hint="eastAsia" w:ascii="宋体" w:hAnsi="宋体" w:eastAsia="宋体" w:cs="宋体"/>
          <w:color w:val="000000"/>
          <w:sz w:val="28"/>
          <w:szCs w:val="28"/>
          <w:highlight w:val="none"/>
        </w:rPr>
        <w:t>确定</w:t>
      </w:r>
      <w:bookmarkEnd w:id="150"/>
      <w:bookmarkEnd w:id="151"/>
      <w:r>
        <w:rPr>
          <w:rFonts w:hint="eastAsia" w:ascii="宋体" w:hAnsi="宋体" w:eastAsia="宋体" w:cs="宋体"/>
          <w:color w:val="000000"/>
          <w:sz w:val="28"/>
          <w:szCs w:val="28"/>
          <w:highlight w:val="none"/>
        </w:rPr>
        <w:t>中标单位</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中标候选人的选取原则和数量见招标文件第五章规定。 </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28.2 采购人应根据评委会推荐的中标候选人确定中标人。</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28.3 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将在</w:t>
      </w:r>
      <w:r>
        <w:rPr>
          <w:rFonts w:hint="eastAsia" w:ascii="宋体" w:hAnsi="宋体" w:eastAsia="宋体" w:cs="宋体"/>
          <w:color w:val="000000"/>
          <w:sz w:val="28"/>
          <w:szCs w:val="28"/>
          <w:highlight w:val="none"/>
          <w:lang w:val="en-US" w:eastAsia="zh-CN"/>
        </w:rPr>
        <w:t>中国政府采购网”、</w:t>
      </w:r>
      <w:r>
        <w:rPr>
          <w:rFonts w:hint="eastAsia" w:ascii="宋体" w:hAnsi="宋体" w:eastAsia="宋体" w:cs="宋体"/>
          <w:color w:val="000000"/>
          <w:sz w:val="28"/>
          <w:szCs w:val="28"/>
          <w:highlight w:val="none"/>
        </w:rPr>
        <w:t>“江苏政府采购网”</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盐城市政府采购网”</w:t>
      </w:r>
      <w:r>
        <w:rPr>
          <w:rFonts w:hint="eastAsia" w:ascii="宋体" w:hAnsi="宋体" w:eastAsia="宋体" w:cs="宋体"/>
          <w:color w:val="000000"/>
          <w:sz w:val="28"/>
          <w:szCs w:val="28"/>
          <w:highlight w:val="none"/>
        </w:rPr>
        <w:t>发布中标公告，公告期限为1个工作日。</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若有充分证据证明，中标人出现下列情况之一的，一经查实，将被取消中标资格：</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28.4.1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提供虚假材料谋取中标的。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28.4.2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向采购人行贿或者提供其他不正当利益的。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28.4.3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属于本文件规定的无效条件，但在评标过程中又未被评委会发现的。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28.4.4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与采购人或者其他供应商恶意串通的。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28.4.5</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采取不正当手段诋毁、排挤其他供应商的。</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52" w:name="_Toc200451960"/>
      <w:r>
        <w:rPr>
          <w:rFonts w:hint="eastAsia" w:ascii="宋体" w:hAnsi="宋体" w:eastAsia="宋体" w:cs="宋体"/>
          <w:color w:val="000000"/>
          <w:sz w:val="28"/>
          <w:szCs w:val="28"/>
          <w:highlight w:val="none"/>
        </w:rPr>
        <w:t>28.5</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有下列情形之一的，视为投标人串通投标，投标无效：</w:t>
      </w:r>
      <w:bookmarkEnd w:id="152"/>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28.5.1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不同投标人的投标文件由同一单位或者个人编制；</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28.5.2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不同投标人委托同一单位或者个人办理投标事宜；</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28.5.3 不同投标人的投标文件载明的项目管理成员或者联系人员为同一人；</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28.5.4</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不同投标人的投标文件异常一致或者投标报价呈规律性差异；</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29、质疑处理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29.1 提出质疑的供应商应当是参与所质疑项目采购活动的供应商。潜在供应商依法获取其可质疑的采购文件的，可以对采购文件提出质疑。</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p>
    <w:p>
      <w:pPr>
        <w:pStyle w:val="32"/>
        <w:keepNext/>
        <w:keepLines/>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29.2.1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对可以质疑的采购文件提出质疑的，为收到采购文件之日或者采购文件公告期限届满之日；</w:t>
      </w:r>
    </w:p>
    <w:p>
      <w:pPr>
        <w:pStyle w:val="32"/>
        <w:keepNext/>
        <w:keepLines/>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29.2.2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对采购过程提出质疑的，为各采购程序环节结束之日；</w:t>
      </w:r>
    </w:p>
    <w:p>
      <w:pPr>
        <w:pStyle w:val="32"/>
        <w:keepNext/>
        <w:keepLines/>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29.2.3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对中标或者成交结果提出质疑的，为中标或者成交结果公告期限届满之日。</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29.3</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提出，由采购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负责答复。</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采购人只接收以纸质原件形式送达的质疑,采购人不接受未填写快递运单的快件。质疑接收地址及联系电话详见招标公告。</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29.5 以下情形的质疑不予受理</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29.5.1 内容不符合《政府采购质疑和投诉办法》第十二条规定的质疑。</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29.5.2 超出政府采购法定期限的质疑。</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29.5.3 以传真、电子邮件等方式递交的非原件形式的质疑。</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29.5.4 未参加投标活动的供应商或在投标活动中自身权益未受到损害的供应商所提出的质疑。</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29.5.5</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供应商组成联合体参加投标，联合体中任何一方或多方未按要求签字、盖章、加盖公章的质疑。</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29.6</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供应商提出书面质疑必须有理、有据，不得捏造事实、提供虚假材料进行恶意质疑。否则，一经查实，采购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有权依据政府采购的有关规定，报请政府采购监管部门对该供应商进行相应的行政处罚和记录该供应商的失信信息。</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30、中标通知书</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30.l</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中标结果确定后，采购</w:t>
      </w:r>
      <w:r>
        <w:rPr>
          <w:rFonts w:hint="eastAsia" w:ascii="宋体" w:hAnsi="宋体" w:eastAsia="宋体" w:cs="宋体"/>
          <w:color w:val="000000"/>
          <w:sz w:val="28"/>
          <w:szCs w:val="28"/>
          <w:highlight w:val="none"/>
          <w:lang w:val="en-US" w:eastAsia="zh-CN"/>
        </w:rPr>
        <w:t>人</w:t>
      </w:r>
      <w:r>
        <w:rPr>
          <w:rFonts w:hint="eastAsia" w:ascii="宋体" w:hAnsi="宋体" w:eastAsia="宋体" w:cs="宋体"/>
          <w:color w:val="000000"/>
          <w:sz w:val="28"/>
          <w:szCs w:val="28"/>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30.2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中标通知书将是合同的一个组成部分。对采购人和中标供应商均具有法律效力。中标通知书发出后，采购人改变中标结果的，或者中标供应商放弃中标项目的，应当依法承担法律责任。</w:t>
      </w:r>
    </w:p>
    <w:p>
      <w:pPr>
        <w:pStyle w:val="32"/>
        <w:keepNext/>
        <w:keepLines/>
        <w:spacing w:before="145" w:beforeAutospacing="0" w:after="145" w:afterAutospacing="0" w:line="360" w:lineRule="auto"/>
        <w:jc w:val="both"/>
        <w:rPr>
          <w:highlight w:val="none"/>
        </w:rPr>
      </w:pPr>
      <w:bookmarkStart w:id="153" w:name="_Toc16938552"/>
      <w:bookmarkStart w:id="154" w:name="_Toc120614220"/>
      <w:bookmarkStart w:id="155" w:name="_Toc513029236"/>
      <w:bookmarkStart w:id="156" w:name="_Toc20823308"/>
      <w:r>
        <w:rPr>
          <w:rFonts w:ascii="Times New Roman" w:hAnsi="Times New Roman"/>
          <w:b/>
          <w:color w:val="000000"/>
          <w:sz w:val="32"/>
          <w:szCs w:val="32"/>
          <w:highlight w:val="none"/>
        </w:rPr>
        <w:t>七、授予合同</w:t>
      </w:r>
      <w:bookmarkEnd w:id="153"/>
      <w:bookmarkEnd w:id="154"/>
      <w:bookmarkEnd w:id="155"/>
      <w:bookmarkEnd w:id="156"/>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57" w:name="_Toc513029237"/>
      <w:bookmarkStart w:id="158" w:name="_Toc16938553"/>
      <w:bookmarkStart w:id="159" w:name="_Toc20823309"/>
      <w:r>
        <w:rPr>
          <w:rFonts w:hint="eastAsia" w:ascii="宋体" w:hAnsi="宋体" w:eastAsia="宋体" w:cs="宋体"/>
          <w:color w:val="000000"/>
          <w:sz w:val="28"/>
          <w:szCs w:val="28"/>
          <w:highlight w:val="none"/>
        </w:rPr>
        <w:t>31</w:t>
      </w:r>
      <w:r>
        <w:rPr>
          <w:rFonts w:hint="eastAsia" w:ascii="宋体" w:hAnsi="宋体" w:eastAsia="宋体" w:cs="宋体"/>
          <w:color w:val="000000"/>
          <w:sz w:val="28"/>
          <w:szCs w:val="28"/>
          <w:highlight w:val="none"/>
          <w:lang w:val="en-US" w:eastAsia="zh-CN"/>
        </w:rPr>
        <w:t>.</w:t>
      </w:r>
      <w:r>
        <w:rPr>
          <w:rFonts w:hint="eastAsia" w:ascii="宋体" w:hAnsi="宋体" w:eastAsia="宋体" w:cs="宋体"/>
          <w:color w:val="000000"/>
          <w:sz w:val="28"/>
          <w:szCs w:val="28"/>
          <w:highlight w:val="none"/>
        </w:rPr>
        <w:t>签订合同</w:t>
      </w:r>
      <w:bookmarkEnd w:id="157"/>
      <w:bookmarkEnd w:id="158"/>
      <w:bookmarkEnd w:id="159"/>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31.l</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中标人应当在中标通知书发出之日起三十日内，按照招标文件确定的事项与采购人签订政府采购合同。</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招标文件、中标人的投标文件及招标过程中有关澄清、承诺文件均应作为合同附件。</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（备注：项目经办人在发标前应与采购人商定是否允许中标人分包履行合同，确定后该备注删除）</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32、货物（包含与货物相关的服务）的追加</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32.1</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60" w:name="_Toc479757207"/>
      <w:bookmarkStart w:id="161" w:name="_Toc20823314"/>
      <w:bookmarkStart w:id="162" w:name="_Toc120614221"/>
      <w:bookmarkStart w:id="163" w:name="_Toc16938558"/>
      <w:bookmarkStart w:id="164" w:name="_Toc513029242"/>
      <w:r>
        <w:rPr>
          <w:rFonts w:hint="eastAsia" w:ascii="宋体" w:hAnsi="宋体" w:eastAsia="宋体" w:cs="宋体"/>
          <w:color w:val="000000"/>
          <w:sz w:val="28"/>
          <w:szCs w:val="28"/>
          <w:highlight w:val="none"/>
        </w:rPr>
        <w:t>33、政府采购履约资金扶持政策</w:t>
      </w:r>
      <w:bookmarkEnd w:id="160"/>
      <w:bookmarkEnd w:id="161"/>
      <w:bookmarkEnd w:id="162"/>
      <w:bookmarkEnd w:id="163"/>
      <w:bookmarkEnd w:id="164"/>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p>
    <w:p>
      <w:pPr>
        <w:pStyle w:val="32"/>
        <w:keepNext/>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第三章  合同文本</w:t>
      </w:r>
    </w:p>
    <w:p>
      <w:pPr>
        <w:pStyle w:val="32"/>
        <w:keepNext/>
        <w:keepLines/>
        <w:pageBreakBefore w:val="0"/>
        <w:widowControl w:val="0"/>
        <w:spacing w:beforeAutospacing="0" w:afterAutospacing="0" w:line="440" w:lineRule="exact"/>
        <w:ind w:firstLine="420"/>
        <w:jc w:val="both"/>
        <w:rPr>
          <w:rFonts w:hint="eastAsia" w:ascii="宋体" w:hAnsi="宋体" w:eastAsia="宋体" w:cs="宋体"/>
          <w:color w:val="000000"/>
          <w:sz w:val="28"/>
          <w:szCs w:val="28"/>
          <w:highlight w:val="none"/>
        </w:rPr>
      </w:pPr>
      <w:bookmarkStart w:id="165" w:name="_Toc16938559"/>
      <w:bookmarkStart w:id="166" w:name="_Toc20823315"/>
      <w:bookmarkStart w:id="167" w:name="_Toc513029243"/>
      <w:r>
        <w:rPr>
          <w:rFonts w:hint="eastAsia" w:ascii="宋体" w:hAnsi="宋体" w:eastAsia="宋体" w:cs="宋体"/>
          <w:color w:val="000000"/>
          <w:sz w:val="28"/>
          <w:szCs w:val="28"/>
          <w:highlight w:val="none"/>
        </w:rPr>
        <w:t>以下为中标后签定本项目合同的通用条款，中标人不得提出实质性的修改。</w:t>
      </w:r>
      <w:bookmarkEnd w:id="165"/>
      <w:bookmarkEnd w:id="166"/>
      <w:bookmarkEnd w:id="167"/>
    </w:p>
    <w:p>
      <w:pPr>
        <w:spacing w:line="480" w:lineRule="exact"/>
        <w:rPr>
          <w:rFonts w:hint="eastAsia" w:ascii="黑体" w:eastAsia="黑体"/>
          <w:sz w:val="28"/>
          <w:szCs w:val="28"/>
          <w:highlight w:val="none"/>
        </w:rPr>
      </w:pPr>
      <w:bookmarkStart w:id="168" w:name="_Toc479757211"/>
      <w:bookmarkStart w:id="169" w:name="_Hlt16619350"/>
      <w:bookmarkStart w:id="170" w:name="_Toc16938590"/>
      <w:bookmarkStart w:id="171" w:name="_Toc120614244"/>
      <w:bookmarkStart w:id="172" w:name="_Toc462564139"/>
      <w:bookmarkStart w:id="173" w:name="_Toc20823346"/>
      <w:bookmarkStart w:id="174" w:name="_Hlt16619369"/>
    </w:p>
    <w:p>
      <w:pPr>
        <w:spacing w:line="48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甲方</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（采购人）</w:t>
      </w:r>
    </w:p>
    <w:p>
      <w:pPr>
        <w:spacing w:line="48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乙方：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（中标人）</w:t>
      </w:r>
    </w:p>
    <w:p>
      <w:pPr>
        <w:spacing w:line="480" w:lineRule="exact"/>
        <w:rPr>
          <w:rFonts w:hint="eastAsia" w:ascii="宋体" w:hAnsi="宋体" w:eastAsia="宋体" w:cs="宋体"/>
          <w:color w:val="000000"/>
          <w:highlight w:val="none"/>
        </w:rPr>
      </w:pPr>
    </w:p>
    <w:p>
      <w:pPr>
        <w:keepNext w:val="0"/>
        <w:keepLines w:val="0"/>
        <w:pageBreakBefore w:val="0"/>
        <w:widowControl w:val="0"/>
        <w:spacing w:line="440" w:lineRule="exact"/>
        <w:ind w:firstLine="840"/>
        <w:rPr>
          <w:rFonts w:hint="eastAsia" w:ascii="宋体" w:hAnsi="宋体" w:eastAsia="宋体" w:cs="宋体"/>
          <w:sz w:val="28"/>
          <w:szCs w:val="28"/>
          <w:highlight w:val="none"/>
        </w:rPr>
      </w:pPr>
      <w:r>
        <w:rPr>
          <w:rFonts w:hint="eastAsia" w:ascii="宋体" w:hAnsi="宋体" w:eastAsia="宋体" w:cs="宋体"/>
          <w:sz w:val="28"/>
          <w:szCs w:val="28"/>
          <w:highlight w:val="none"/>
        </w:rPr>
        <w:t>甲方于</w:t>
      </w:r>
      <w:r>
        <w:rPr>
          <w:rFonts w:hint="eastAsia" w:ascii="宋体" w:hAnsi="宋体" w:eastAsia="宋体" w:cs="宋体"/>
          <w:sz w:val="28"/>
          <w:szCs w:val="28"/>
          <w:highlight w:val="none"/>
          <w:u w:val="single"/>
        </w:rPr>
        <w:t>202</w:t>
      </w:r>
      <w:r>
        <w:rPr>
          <w:rFonts w:hint="eastAsia" w:ascii="宋体" w:hAnsi="宋体" w:eastAsia="宋体" w:cs="宋体"/>
          <w:sz w:val="28"/>
          <w:szCs w:val="28"/>
          <w:highlight w:val="none"/>
          <w:u w:val="singl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午在东台市公共资源交易中心进行</w:t>
      </w:r>
      <w:r>
        <w:rPr>
          <w:rFonts w:hint="eastAsia" w:ascii="宋体" w:hAnsi="宋体" w:eastAsia="宋体" w:cs="宋体"/>
          <w:sz w:val="28"/>
          <w:szCs w:val="28"/>
          <w:highlight w:val="none"/>
          <w:u w:val="single"/>
        </w:rPr>
        <w:t>公开招标</w:t>
      </w:r>
      <w:r>
        <w:rPr>
          <w:rFonts w:hint="eastAsia" w:ascii="宋体" w:hAnsi="宋体" w:eastAsia="宋体" w:cs="宋体"/>
          <w:sz w:val="28"/>
          <w:szCs w:val="28"/>
          <w:highlight w:val="none"/>
        </w:rPr>
        <w:t>采购（招标文件编号：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），经综合评审，确定乙方为中标供应商，依据（或参照）《中华人民共和国政府采购法》《中华人民共和国民法典》及有关法律、法规。双方就有关事项协商一致，订立本合同。</w:t>
      </w:r>
    </w:p>
    <w:p>
      <w:pPr>
        <w:keepNext w:val="0"/>
        <w:keepLines w:val="0"/>
        <w:pageBreakBefore w:val="0"/>
        <w:widowControl w:val="0"/>
        <w:numPr>
          <w:ilvl w:val="0"/>
          <w:numId w:val="0"/>
        </w:numPr>
        <w:spacing w:line="440" w:lineRule="exact"/>
        <w:ind w:left="840" w:hanging="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一、</w:t>
      </w:r>
      <w:r>
        <w:rPr>
          <w:rFonts w:hint="eastAsia" w:ascii="宋体" w:hAnsi="宋体" w:eastAsia="宋体" w:cs="宋体"/>
          <w:sz w:val="28"/>
          <w:szCs w:val="28"/>
          <w:highlight w:val="none"/>
        </w:rPr>
        <w:t>合同价款及中标内容清单：</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1.合同总价人民币（大写）：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w:t>
      </w:r>
      <w:r>
        <w:rPr>
          <w:rFonts w:hint="eastAsia" w:ascii="宋体" w:hAnsi="宋体" w:eastAsia="宋体" w:cs="宋体"/>
          <w:sz w:val="28"/>
          <w:szCs w:val="28"/>
          <w:highlight w:val="none"/>
        </w:rPr>
        <w:t>），该价格包括交付使用前的一切费用。</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本合同执行中相关的一切税费均由乙方负担。</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.中标内容清单</w:t>
      </w:r>
    </w:p>
    <w:tbl>
      <w:tblPr>
        <w:tblStyle w:val="34"/>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952"/>
        <w:gridCol w:w="1368"/>
        <w:gridCol w:w="1095"/>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440"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货物名称</w:t>
            </w:r>
          </w:p>
        </w:tc>
        <w:tc>
          <w:tcPr>
            <w:tcW w:w="2952"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型　　　　　　号</w:t>
            </w:r>
          </w:p>
        </w:tc>
        <w:tc>
          <w:tcPr>
            <w:tcW w:w="1368"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数  量</w:t>
            </w:r>
          </w:p>
        </w:tc>
        <w:tc>
          <w:tcPr>
            <w:tcW w:w="1095"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单  价</w:t>
            </w:r>
          </w:p>
        </w:tc>
        <w:tc>
          <w:tcPr>
            <w:tcW w:w="1425"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合  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440"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2952"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1368"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1095" w:type="dxa"/>
            <w:noWrap w:val="0"/>
            <w:vAlign w:val="top"/>
          </w:tcPr>
          <w:p>
            <w:pPr>
              <w:keepNext w:val="0"/>
              <w:keepLines w:val="0"/>
              <w:pageBreakBefore w:val="0"/>
              <w:widowControl w:val="0"/>
              <w:spacing w:line="440" w:lineRule="exact"/>
              <w:rPr>
                <w:rFonts w:hint="eastAsia" w:ascii="宋体" w:hAnsi="宋体" w:eastAsia="宋体" w:cs="宋体"/>
                <w:sz w:val="28"/>
                <w:szCs w:val="28"/>
                <w:highlight w:val="none"/>
              </w:rPr>
            </w:pPr>
          </w:p>
        </w:tc>
        <w:tc>
          <w:tcPr>
            <w:tcW w:w="1425" w:type="dxa"/>
            <w:noWrap w:val="0"/>
            <w:vAlign w:val="top"/>
          </w:tcPr>
          <w:p>
            <w:pPr>
              <w:keepNext w:val="0"/>
              <w:keepLines w:val="0"/>
              <w:pageBreakBefore w:val="0"/>
              <w:widowControl w:val="0"/>
              <w:spacing w:line="440" w:lineRule="exact"/>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440" w:type="dxa"/>
            <w:noWrap w:val="0"/>
            <w:vAlign w:val="center"/>
          </w:tcPr>
          <w:p>
            <w:pPr>
              <w:pStyle w:val="23"/>
              <w:keepNext w:val="0"/>
              <w:keepLines w:val="0"/>
              <w:pageBreakBefore w:val="0"/>
              <w:widowControl w:val="0"/>
              <w:pBdr>
                <w:bottom w:val="none" w:color="auto" w:sz="0" w:space="0"/>
              </w:pBdr>
              <w:tabs>
                <w:tab w:val="clear" w:pos="4153"/>
                <w:tab w:val="clear" w:pos="8306"/>
              </w:tabs>
              <w:spacing w:line="440" w:lineRule="exact"/>
              <w:rPr>
                <w:rFonts w:hint="eastAsia" w:ascii="宋体" w:hAnsi="宋体" w:eastAsia="宋体" w:cs="宋体"/>
                <w:sz w:val="28"/>
                <w:szCs w:val="28"/>
                <w:highlight w:val="none"/>
              </w:rPr>
            </w:pPr>
          </w:p>
        </w:tc>
        <w:tc>
          <w:tcPr>
            <w:tcW w:w="2952" w:type="dxa"/>
            <w:noWrap w:val="0"/>
            <w:vAlign w:val="center"/>
          </w:tcPr>
          <w:p>
            <w:pPr>
              <w:pStyle w:val="23"/>
              <w:keepNext w:val="0"/>
              <w:keepLines w:val="0"/>
              <w:pageBreakBefore w:val="0"/>
              <w:widowControl w:val="0"/>
              <w:pBdr>
                <w:bottom w:val="none" w:color="auto" w:sz="0" w:space="0"/>
              </w:pBdr>
              <w:tabs>
                <w:tab w:val="clear" w:pos="4153"/>
                <w:tab w:val="clear" w:pos="8306"/>
              </w:tabs>
              <w:spacing w:line="440" w:lineRule="exact"/>
              <w:rPr>
                <w:rFonts w:hint="eastAsia" w:ascii="宋体" w:hAnsi="宋体" w:eastAsia="宋体" w:cs="宋体"/>
                <w:sz w:val="28"/>
                <w:szCs w:val="28"/>
                <w:highlight w:val="none"/>
              </w:rPr>
            </w:pPr>
          </w:p>
        </w:tc>
        <w:tc>
          <w:tcPr>
            <w:tcW w:w="1368"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1095" w:type="dxa"/>
            <w:noWrap w:val="0"/>
            <w:vAlign w:val="top"/>
          </w:tcPr>
          <w:p>
            <w:pPr>
              <w:keepNext w:val="0"/>
              <w:keepLines w:val="0"/>
              <w:pageBreakBefore w:val="0"/>
              <w:widowControl w:val="0"/>
              <w:spacing w:line="440" w:lineRule="exact"/>
              <w:rPr>
                <w:rFonts w:hint="eastAsia" w:ascii="宋体" w:hAnsi="宋体" w:eastAsia="宋体" w:cs="宋体"/>
                <w:sz w:val="28"/>
                <w:szCs w:val="28"/>
                <w:highlight w:val="none"/>
              </w:rPr>
            </w:pPr>
          </w:p>
        </w:tc>
        <w:tc>
          <w:tcPr>
            <w:tcW w:w="1425" w:type="dxa"/>
            <w:noWrap w:val="0"/>
            <w:vAlign w:val="top"/>
          </w:tcPr>
          <w:p>
            <w:pPr>
              <w:keepNext w:val="0"/>
              <w:keepLines w:val="0"/>
              <w:pageBreakBefore w:val="0"/>
              <w:widowControl w:val="0"/>
              <w:spacing w:line="440" w:lineRule="exact"/>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440"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2952"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1368" w:type="dxa"/>
            <w:noWrap w:val="0"/>
            <w:vAlign w:val="center"/>
          </w:tcPr>
          <w:p>
            <w:pPr>
              <w:keepNext w:val="0"/>
              <w:keepLines w:val="0"/>
              <w:pageBreakBefore w:val="0"/>
              <w:widowControl w:val="0"/>
              <w:spacing w:line="440" w:lineRule="exact"/>
              <w:jc w:val="center"/>
              <w:rPr>
                <w:rFonts w:hint="eastAsia" w:ascii="宋体" w:hAnsi="宋体" w:eastAsia="宋体" w:cs="宋体"/>
                <w:sz w:val="28"/>
                <w:szCs w:val="28"/>
                <w:highlight w:val="none"/>
              </w:rPr>
            </w:pPr>
          </w:p>
        </w:tc>
        <w:tc>
          <w:tcPr>
            <w:tcW w:w="1095" w:type="dxa"/>
            <w:noWrap w:val="0"/>
            <w:vAlign w:val="top"/>
          </w:tcPr>
          <w:p>
            <w:pPr>
              <w:keepNext w:val="0"/>
              <w:keepLines w:val="0"/>
              <w:pageBreakBefore w:val="0"/>
              <w:widowControl w:val="0"/>
              <w:spacing w:line="440" w:lineRule="exact"/>
              <w:rPr>
                <w:rFonts w:hint="eastAsia" w:ascii="宋体" w:hAnsi="宋体" w:eastAsia="宋体" w:cs="宋体"/>
                <w:sz w:val="28"/>
                <w:szCs w:val="28"/>
                <w:highlight w:val="none"/>
              </w:rPr>
            </w:pPr>
          </w:p>
        </w:tc>
        <w:tc>
          <w:tcPr>
            <w:tcW w:w="1425" w:type="dxa"/>
            <w:noWrap w:val="0"/>
            <w:vAlign w:val="top"/>
          </w:tcPr>
          <w:p>
            <w:pPr>
              <w:keepNext w:val="0"/>
              <w:keepLines w:val="0"/>
              <w:pageBreakBefore w:val="0"/>
              <w:widowControl w:val="0"/>
              <w:spacing w:line="440" w:lineRule="exact"/>
              <w:rPr>
                <w:rFonts w:hint="eastAsia" w:ascii="宋体" w:hAnsi="宋体" w:eastAsia="宋体" w:cs="宋体"/>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trPr>
        <w:tc>
          <w:tcPr>
            <w:tcW w:w="8280" w:type="dxa"/>
            <w:gridSpan w:val="5"/>
            <w:noWrap w:val="0"/>
            <w:vAlign w:val="center"/>
          </w:tcPr>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总价（大写）：</w:t>
            </w:r>
          </w:p>
        </w:tc>
      </w:tr>
    </w:tbl>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二、供货时间、地点及验收方法</w:t>
      </w:r>
    </w:p>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1.供货时间及地点</w:t>
      </w:r>
    </w:p>
    <w:p>
      <w:pPr>
        <w:keepNext w:val="0"/>
        <w:keepLines w:val="0"/>
        <w:pageBreakBefore w:val="0"/>
        <w:widowControl w:val="0"/>
        <w:spacing w:line="440" w:lineRule="exact"/>
        <w:ind w:firstLine="560"/>
        <w:rPr>
          <w:rFonts w:hint="eastAsia"/>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合同签订后</w:t>
      </w:r>
      <w:r>
        <w:rPr>
          <w:rFonts w:hint="eastAsia" w:ascii="宋体" w:hAnsi="宋体" w:eastAsia="宋体" w:cs="宋体"/>
          <w:sz w:val="28"/>
          <w:szCs w:val="28"/>
          <w:highlight w:val="none"/>
          <w:u w:val="single"/>
          <w:lang w:val="en-US" w:eastAsia="zh-CN"/>
        </w:rPr>
        <w:t>90</w:t>
      </w:r>
      <w:r>
        <w:rPr>
          <w:rFonts w:hint="eastAsia" w:ascii="宋体" w:hAnsi="宋体" w:eastAsia="宋体" w:cs="宋体"/>
          <w:sz w:val="28"/>
          <w:szCs w:val="28"/>
          <w:highlight w:val="none"/>
        </w:rPr>
        <w:t>日内</w:t>
      </w:r>
      <w:r>
        <w:rPr>
          <w:rFonts w:hint="eastAsia" w:ascii="宋体" w:hAnsi="宋体" w:eastAsia="宋体" w:cs="宋体"/>
          <w:sz w:val="28"/>
          <w:szCs w:val="28"/>
          <w:highlight w:val="none"/>
          <w:lang w:val="en-US" w:eastAsia="zh-CN"/>
        </w:rPr>
        <w:t>智慧停车-诱导发布系统及配套设施货物</w:t>
      </w:r>
      <w:r>
        <w:rPr>
          <w:rFonts w:hint="eastAsia" w:ascii="宋体" w:hAnsi="宋体" w:eastAsia="宋体" w:cs="宋体"/>
          <w:sz w:val="28"/>
          <w:szCs w:val="28"/>
          <w:highlight w:val="none"/>
        </w:rPr>
        <w:t>全部送达</w:t>
      </w:r>
      <w:r>
        <w:rPr>
          <w:rFonts w:hint="eastAsia" w:ascii="宋体" w:hAnsi="宋体" w:eastAsia="宋体" w:cs="宋体"/>
          <w:sz w:val="28"/>
          <w:szCs w:val="28"/>
          <w:highlight w:val="none"/>
          <w:u w:val="single"/>
        </w:rPr>
        <w:t>甲方指定地点</w:t>
      </w:r>
      <w:r>
        <w:rPr>
          <w:rFonts w:hint="eastAsia" w:ascii="宋体" w:hAnsi="宋体" w:eastAsia="宋体" w:cs="宋体"/>
          <w:sz w:val="28"/>
          <w:szCs w:val="28"/>
          <w:highlight w:val="none"/>
        </w:rPr>
        <w:t>，并安装调试完毕</w:t>
      </w:r>
      <w:r>
        <w:rPr>
          <w:rFonts w:hint="eastAsia" w:ascii="宋体" w:hAnsi="宋体" w:eastAsia="宋体" w:cs="宋体"/>
          <w:sz w:val="28"/>
          <w:szCs w:val="28"/>
          <w:highlight w:val="none"/>
          <w:lang w:val="en-US" w:eastAsia="zh-CN" w:bidi="ar-SA"/>
        </w:rPr>
        <w:t>。</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使用说明书、质量检验证明书、随配附件和工具以及清单一并附于货物内。</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乙方在货物发运手续办理完毕后24小时内或货到甲方48小时前通知甲方，以准备接货。</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货物在交付甲方前发生的风险均由乙方负责。</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货物在规定的交付期限内由乙方送达甲方指定的地点视为交付，乙方同时需通知甲方货物已送达。</w:t>
      </w:r>
    </w:p>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2.质量及验收方法</w:t>
      </w:r>
    </w:p>
    <w:p>
      <w:pPr>
        <w:keepNext w:val="0"/>
        <w:keepLines w:val="0"/>
        <w:pageBreakBefore w:val="0"/>
        <w:widowControl w:val="0"/>
        <w:spacing w:line="44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）甲方依法组织履约验收工作。</w:t>
      </w:r>
    </w:p>
    <w:p>
      <w:pPr>
        <w:keepNext w:val="0"/>
        <w:keepLines w:val="0"/>
        <w:pageBreakBefore w:val="0"/>
        <w:widowControl w:val="0"/>
        <w:spacing w:line="44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keepNext w:val="0"/>
        <w:keepLines w:val="0"/>
        <w:pageBreakBefore w:val="0"/>
        <w:widowControl w:val="0"/>
        <w:spacing w:line="44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）对于实际使用人和甲方分离的项目，甲方邀请实际使用人参与验收。</w:t>
      </w:r>
    </w:p>
    <w:p>
      <w:pPr>
        <w:keepNext w:val="0"/>
        <w:keepLines w:val="0"/>
        <w:pageBreakBefore w:val="0"/>
        <w:widowControl w:val="0"/>
        <w:spacing w:line="44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）如有必要，甲方邀请参加本项目的其他供应商或第三方专业机构及专家参与验收，相关意见将作为验收书的参考资料。</w:t>
      </w:r>
    </w:p>
    <w:p>
      <w:pPr>
        <w:keepNext w:val="0"/>
        <w:keepLines w:val="0"/>
        <w:pageBreakBefore w:val="0"/>
        <w:widowControl w:val="0"/>
        <w:spacing w:line="44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三、付款方式</w:t>
      </w:r>
    </w:p>
    <w:p>
      <w:pPr>
        <w:keepNext w:val="0"/>
        <w:keepLines w:val="0"/>
        <w:pageBreakBefore w:val="0"/>
        <w:widowControl w:val="0"/>
        <w:spacing w:line="440" w:lineRule="exact"/>
        <w:ind w:firstLine="420"/>
        <w:rPr>
          <w:rFonts w:hint="default"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1.智慧停车-诱导发布系统及配套设施部分（五年质保）：</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合同签订后支付30%的预付款。</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）根据采购内容实际完成数量，按分项支</w:t>
      </w:r>
      <w:r>
        <w:rPr>
          <w:rFonts w:hint="eastAsia" w:ascii="宋体" w:hAnsi="宋体" w:eastAsia="宋体" w:cs="宋体"/>
          <w:sz w:val="28"/>
          <w:szCs w:val="28"/>
          <w:highlight w:val="none"/>
        </w:rPr>
        <w:t>付</w:t>
      </w:r>
      <w:r>
        <w:rPr>
          <w:rFonts w:hint="eastAsia" w:ascii="宋体" w:hAnsi="宋体" w:eastAsia="宋体" w:cs="宋体"/>
          <w:sz w:val="28"/>
          <w:szCs w:val="28"/>
          <w:highlight w:val="none"/>
          <w:lang w:val="en-US" w:eastAsia="zh-CN"/>
        </w:rPr>
        <w:t>至</w:t>
      </w:r>
      <w:r>
        <w:rPr>
          <w:rFonts w:hint="eastAsia" w:ascii="宋体" w:hAnsi="宋体" w:eastAsia="宋体" w:cs="宋体"/>
          <w:sz w:val="28"/>
          <w:szCs w:val="28"/>
          <w:highlight w:val="none"/>
        </w:rPr>
        <w:t>已完成并验收合格工作量价款的50%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包含预付款</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竣工验收合格审计后支付至审定额的80%（审计期间不支付款项）</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剩余款项为审定额的</w:t>
      </w:r>
      <w:r>
        <w:rPr>
          <w:rFonts w:hint="eastAsia" w:ascii="宋体" w:hAnsi="宋体" w:eastAsia="宋体" w:cs="宋体"/>
          <w:sz w:val="28"/>
          <w:szCs w:val="28"/>
          <w:highlight w:val="none"/>
        </w:rPr>
        <w:t>20%从</w:t>
      </w:r>
      <w:r>
        <w:rPr>
          <w:rFonts w:hint="eastAsia" w:ascii="宋体" w:hAnsi="宋体" w:eastAsia="宋体" w:cs="宋体"/>
          <w:sz w:val="28"/>
          <w:szCs w:val="28"/>
          <w:highlight w:val="none"/>
          <w:lang w:val="en-US" w:eastAsia="zh-CN"/>
        </w:rPr>
        <w:t>审计完成</w:t>
      </w:r>
      <w:r>
        <w:rPr>
          <w:rFonts w:hint="eastAsia" w:ascii="宋体" w:hAnsi="宋体" w:eastAsia="宋体" w:cs="宋体"/>
          <w:sz w:val="28"/>
          <w:szCs w:val="28"/>
          <w:highlight w:val="none"/>
        </w:rPr>
        <w:t>之日起算满一年支付10%，满二年支付</w:t>
      </w:r>
      <w:r>
        <w:rPr>
          <w:rFonts w:hint="eastAsia" w:ascii="宋体" w:hAnsi="宋体" w:eastAsia="宋体" w:cs="宋体"/>
          <w:sz w:val="28"/>
          <w:szCs w:val="28"/>
          <w:highlight w:val="none"/>
          <w:lang w:val="en-US" w:eastAsia="zh-CN"/>
        </w:rPr>
        <w:t>审定额的</w:t>
      </w:r>
      <w:r>
        <w:rPr>
          <w:rFonts w:hint="eastAsia" w:ascii="宋体" w:hAnsi="宋体" w:eastAsia="宋体" w:cs="宋体"/>
          <w:sz w:val="28"/>
          <w:szCs w:val="28"/>
          <w:highlight w:val="none"/>
        </w:rPr>
        <w:t>5%，质保期满结清</w:t>
      </w:r>
      <w:r>
        <w:rPr>
          <w:rFonts w:hint="eastAsia" w:ascii="宋体" w:hAnsi="宋体" w:eastAsia="宋体" w:cs="宋体"/>
          <w:sz w:val="28"/>
          <w:szCs w:val="28"/>
          <w:highlight w:val="none"/>
          <w:lang w:val="en-US" w:eastAsia="zh-CN"/>
        </w:rPr>
        <w:t>全部审定额。</w:t>
      </w:r>
    </w:p>
    <w:p>
      <w:pPr>
        <w:keepNext w:val="0"/>
        <w:keepLines w:val="0"/>
        <w:pageBreakBefore w:val="0"/>
        <w:widowControl w:val="0"/>
        <w:spacing w:line="440" w:lineRule="exact"/>
        <w:ind w:firstLine="42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2.静态交通智慧停车设施维护服务部分（一年质保）：</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合同签订后支付30%的预付款。</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）根据采购内容实际完成数量，按分项支</w:t>
      </w:r>
      <w:r>
        <w:rPr>
          <w:rFonts w:hint="eastAsia" w:ascii="宋体" w:hAnsi="宋体" w:eastAsia="宋体" w:cs="宋体"/>
          <w:sz w:val="28"/>
          <w:szCs w:val="28"/>
          <w:highlight w:val="none"/>
        </w:rPr>
        <w:t>付</w:t>
      </w:r>
      <w:r>
        <w:rPr>
          <w:rFonts w:hint="eastAsia" w:ascii="宋体" w:hAnsi="宋体" w:eastAsia="宋体" w:cs="宋体"/>
          <w:sz w:val="28"/>
          <w:szCs w:val="28"/>
          <w:highlight w:val="none"/>
          <w:lang w:val="en-US" w:eastAsia="zh-CN"/>
        </w:rPr>
        <w:t>至</w:t>
      </w:r>
      <w:r>
        <w:rPr>
          <w:rFonts w:hint="eastAsia" w:ascii="宋体" w:hAnsi="宋体" w:eastAsia="宋体" w:cs="宋体"/>
          <w:sz w:val="28"/>
          <w:szCs w:val="28"/>
          <w:highlight w:val="none"/>
        </w:rPr>
        <w:t>已完成并验收合格工作量价款的50%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包含预付款</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竣工验收合格审计后支付至审定额的</w:t>
      </w:r>
      <w:r>
        <w:rPr>
          <w:rFonts w:hint="eastAsia" w:ascii="宋体" w:hAnsi="宋体" w:eastAsia="宋体" w:cs="宋体"/>
          <w:sz w:val="28"/>
          <w:szCs w:val="28"/>
          <w:highlight w:val="none"/>
          <w:lang w:val="en-US" w:eastAsia="zh-CN"/>
        </w:rPr>
        <w:t>95</w:t>
      </w:r>
      <w:r>
        <w:rPr>
          <w:rFonts w:hint="eastAsia" w:ascii="宋体" w:hAnsi="宋体" w:eastAsia="宋体" w:cs="宋体"/>
          <w:sz w:val="28"/>
          <w:szCs w:val="28"/>
          <w:highlight w:val="none"/>
        </w:rPr>
        <w:t>%（审计期间不支付款项）</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剩余款项为审定额的5</w:t>
      </w:r>
      <w:r>
        <w:rPr>
          <w:rFonts w:hint="eastAsia" w:ascii="宋体" w:hAnsi="宋体" w:eastAsia="宋体" w:cs="宋体"/>
          <w:sz w:val="28"/>
          <w:szCs w:val="28"/>
          <w:highlight w:val="none"/>
        </w:rPr>
        <w:t>%从</w:t>
      </w:r>
      <w:r>
        <w:rPr>
          <w:rFonts w:hint="eastAsia" w:ascii="宋体" w:hAnsi="宋体" w:eastAsia="宋体" w:cs="宋体"/>
          <w:sz w:val="28"/>
          <w:szCs w:val="28"/>
          <w:highlight w:val="none"/>
          <w:lang w:val="en-US" w:eastAsia="zh-CN"/>
        </w:rPr>
        <w:t>审计完成</w:t>
      </w:r>
      <w:r>
        <w:rPr>
          <w:rFonts w:hint="eastAsia" w:ascii="宋体" w:hAnsi="宋体" w:eastAsia="宋体" w:cs="宋体"/>
          <w:sz w:val="28"/>
          <w:szCs w:val="28"/>
          <w:highlight w:val="none"/>
        </w:rPr>
        <w:t>之日起算，质保期满结清</w:t>
      </w:r>
      <w:r>
        <w:rPr>
          <w:rFonts w:hint="eastAsia" w:ascii="宋体" w:hAnsi="宋体" w:eastAsia="宋体" w:cs="宋体"/>
          <w:sz w:val="28"/>
          <w:szCs w:val="28"/>
          <w:highlight w:val="none"/>
          <w:lang w:val="en-US" w:eastAsia="zh-CN"/>
        </w:rPr>
        <w:t>全部审定额。</w:t>
      </w:r>
    </w:p>
    <w:p>
      <w:pPr>
        <w:keepNext w:val="0"/>
        <w:keepLines w:val="0"/>
        <w:pageBreakBefore w:val="0"/>
        <w:widowControl w:val="0"/>
        <w:spacing w:line="440" w:lineRule="exact"/>
        <w:ind w:firstLine="42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在签订合同时，乙方明确表示无需预付款或者主动要求降低预付款比例的，甲方可不适用上述关于预付款的规定</w:t>
      </w:r>
      <w:r>
        <w:rPr>
          <w:rFonts w:hint="eastAsia" w:ascii="宋体" w:hAnsi="宋体" w:eastAsia="宋体" w:cs="宋体"/>
          <w:sz w:val="28"/>
          <w:szCs w:val="28"/>
          <w:highlight w:val="none"/>
          <w:lang w:eastAsia="zh-CN"/>
        </w:rPr>
        <w:t>。</w:t>
      </w:r>
    </w:p>
    <w:p>
      <w:pPr>
        <w:keepNext w:val="0"/>
        <w:keepLines w:val="0"/>
        <w:pageBreakBefore w:val="0"/>
        <w:widowControl w:val="0"/>
        <w:spacing w:line="440" w:lineRule="exact"/>
        <w:ind w:firstLine="42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结算款项时乙方须出具相应金额的有效票据</w:t>
      </w:r>
      <w:r>
        <w:rPr>
          <w:rFonts w:hint="eastAsia" w:ascii="宋体" w:hAnsi="宋体" w:eastAsia="宋体" w:cs="宋体"/>
          <w:sz w:val="28"/>
          <w:szCs w:val="28"/>
          <w:highlight w:val="none"/>
          <w:lang w:eastAsia="zh-CN"/>
        </w:rPr>
        <w:t>。</w:t>
      </w:r>
    </w:p>
    <w:p>
      <w:pPr>
        <w:keepNext w:val="0"/>
        <w:keepLines w:val="0"/>
        <w:pageBreakBefore w:val="0"/>
        <w:widowControl w:val="0"/>
        <w:spacing w:line="440" w:lineRule="exact"/>
        <w:ind w:firstLine="420"/>
        <w:rPr>
          <w:rFonts w:hint="eastAsia"/>
          <w:b/>
          <w:bCs/>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甲方原则上自收到发票后10个工作日内将资金支付到乙方账户。</w:t>
      </w:r>
    </w:p>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四、履约保证金及售后服务承诺</w:t>
      </w:r>
    </w:p>
    <w:p>
      <w:pPr>
        <w:keepNext w:val="0"/>
        <w:keepLines w:val="0"/>
        <w:pageBreakBefore w:val="0"/>
        <w:widowControl w:val="0"/>
        <w:spacing w:line="440" w:lineRule="exact"/>
        <w:ind w:left="-2" w:firstLine="317"/>
        <w:rPr>
          <w:rFonts w:hint="eastAsia" w:ascii="宋体" w:hAnsi="宋体" w:eastAsia="宋体" w:cs="宋体"/>
          <w:sz w:val="28"/>
          <w:szCs w:val="28"/>
          <w:highlight w:val="none"/>
        </w:rPr>
      </w:pPr>
      <w:r>
        <w:rPr>
          <w:rFonts w:hint="eastAsia" w:ascii="宋体" w:hAnsi="宋体" w:eastAsia="宋体" w:cs="宋体"/>
          <w:sz w:val="28"/>
          <w:szCs w:val="28"/>
          <w:highlight w:val="none"/>
        </w:rPr>
        <w:t>1.本合同的履约保证金数额为人民币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3</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万元，由乙方在合同签订</w:t>
      </w:r>
      <w:r>
        <w:rPr>
          <w:rFonts w:hint="eastAsia" w:ascii="宋体" w:hAnsi="宋体" w:eastAsia="宋体" w:cs="宋体"/>
          <w:sz w:val="28"/>
          <w:szCs w:val="28"/>
          <w:highlight w:val="none"/>
          <w:lang w:val="en-US" w:eastAsia="zh-CN"/>
        </w:rPr>
        <w:t>前</w:t>
      </w:r>
      <w:r>
        <w:rPr>
          <w:rFonts w:hint="eastAsia" w:ascii="宋体" w:hAnsi="宋体" w:eastAsia="宋体" w:cs="宋体"/>
          <w:sz w:val="28"/>
          <w:szCs w:val="28"/>
          <w:highlight w:val="none"/>
        </w:rPr>
        <w:t>向甲方提交，项目全部完成并验收合格后30日内无息退还至投标人缴纳履约保证金的账户。如为保函，在到期时自行失效。</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除不可抗力情况外，</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lang w:eastAsia="zh-CN"/>
        </w:rPr>
        <w:t>出现下列情形之一的，其履约保证金，</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lang w:eastAsia="zh-CN"/>
        </w:rPr>
        <w:t>将视情节决定不予退还或部分不予退还。</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（1）中标人无正当理由拒绝签订合同的，或者在签订合同时向采购人提出附加条件或者更改合同实质性内容要求的；</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（2）中标人不履行与采购人订立的合同的；</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（3）中标人所供货物或服务不符合招标文件规定要求的；</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（4）中标人采取欺骗、弄虚作假方式投标的或与其它投标人串通投标的；</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（5）中标人将合同内容转包、违法分包的；</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（6）中标人故意捏造事实或伪造证明材料，进行虚假恶意投诉或反映的。</w:t>
      </w:r>
    </w:p>
    <w:p>
      <w:pPr>
        <w:keepNext w:val="0"/>
        <w:keepLines w:val="0"/>
        <w:pageBreakBefore w:val="0"/>
        <w:widowControl w:val="0"/>
        <w:spacing w:line="440" w:lineRule="exact"/>
        <w:ind w:left="-2" w:firstLine="317"/>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3.逾期退还的违约责任：采购人逾期无故未退还履约保证金的，按全国银行间同业拆借中心贷款利率上浮20%后的利率支付超期资金占用费，但因供应商自身原因导致无法及时退还的除外。</w:t>
      </w:r>
    </w:p>
    <w:p>
      <w:pPr>
        <w:keepNext w:val="0"/>
        <w:keepLines w:val="0"/>
        <w:pageBreakBefore w:val="0"/>
        <w:widowControl w:val="0"/>
        <w:spacing w:line="440" w:lineRule="exact"/>
        <w:ind w:left="-2" w:firstLine="317"/>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p>
    <w:p>
      <w:pPr>
        <w:keepNext w:val="0"/>
        <w:keepLines w:val="0"/>
        <w:pageBreakBefore w:val="0"/>
        <w:widowControl w:val="0"/>
        <w:spacing w:line="440" w:lineRule="exact"/>
        <w:ind w:left="-2" w:firstLine="317"/>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p>
    <w:p>
      <w:pPr>
        <w:keepNext w:val="0"/>
        <w:keepLines w:val="0"/>
        <w:pageBreakBefore w:val="0"/>
        <w:widowControl w:val="0"/>
        <w:spacing w:line="440" w:lineRule="exact"/>
        <w:ind w:left="-2" w:firstLine="317"/>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.本项目</w:t>
      </w:r>
      <w:r>
        <w:rPr>
          <w:rFonts w:hint="eastAsia" w:ascii="宋体" w:hAnsi="宋体" w:eastAsia="宋体" w:cs="宋体"/>
          <w:sz w:val="28"/>
          <w:szCs w:val="28"/>
          <w:highlight w:val="none"/>
          <w:lang w:val="en-US" w:eastAsia="zh-CN"/>
        </w:rPr>
        <w:t>智慧停车-诱导发布系统及配套设施部分</w:t>
      </w:r>
      <w:r>
        <w:rPr>
          <w:rFonts w:hint="eastAsia" w:ascii="宋体" w:hAnsi="宋体" w:eastAsia="宋体" w:cs="宋体"/>
          <w:sz w:val="28"/>
          <w:szCs w:val="28"/>
          <w:highlight w:val="none"/>
        </w:rPr>
        <w:t>的质量保证期为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、静态交通智慧停车设施维护服务部分</w:t>
      </w:r>
      <w:r>
        <w:rPr>
          <w:rFonts w:hint="eastAsia" w:ascii="宋体" w:hAnsi="宋体" w:eastAsia="宋体" w:cs="宋体"/>
          <w:sz w:val="28"/>
          <w:szCs w:val="28"/>
          <w:highlight w:val="none"/>
        </w:rPr>
        <w:t>的质量保证期为</w:t>
      </w:r>
      <w:r>
        <w:rPr>
          <w:rFonts w:hint="eastAsia" w:ascii="宋体" w:hAnsi="宋体" w:eastAsia="宋体" w:cs="宋体"/>
          <w:sz w:val="28"/>
          <w:szCs w:val="28"/>
          <w:highlight w:val="none"/>
          <w:u w:val="single"/>
          <w:lang w:val="en-US" w:eastAsia="zh-CN"/>
        </w:rPr>
        <w:t>1</w:t>
      </w:r>
      <w:r>
        <w:rPr>
          <w:rFonts w:hint="eastAsia" w:ascii="宋体" w:hAnsi="宋体" w:eastAsia="宋体" w:cs="宋体"/>
          <w:sz w:val="28"/>
          <w:szCs w:val="28"/>
          <w:highlight w:val="none"/>
        </w:rPr>
        <w:t>年。在质保期内所供货物发生故障时，中标人须在</w:t>
      </w:r>
      <w:r>
        <w:rPr>
          <w:rFonts w:hint="eastAsia" w:ascii="宋体" w:hAnsi="宋体" w:eastAsia="宋体" w:cs="宋体"/>
          <w:sz w:val="28"/>
          <w:szCs w:val="28"/>
          <w:highlight w:val="none"/>
          <w:u w:val="single"/>
        </w:rPr>
        <w:t>2</w:t>
      </w:r>
      <w:r>
        <w:rPr>
          <w:rFonts w:hint="eastAsia" w:ascii="宋体" w:hAnsi="宋体" w:eastAsia="宋体" w:cs="宋体"/>
          <w:sz w:val="28"/>
          <w:szCs w:val="28"/>
          <w:highlight w:val="none"/>
        </w:rPr>
        <w:t>小时内到场维修，无法修复时，须在</w:t>
      </w:r>
      <w:r>
        <w:rPr>
          <w:rFonts w:hint="eastAsia" w:ascii="宋体" w:hAnsi="宋体" w:eastAsia="宋体" w:cs="宋体"/>
          <w:sz w:val="28"/>
          <w:szCs w:val="28"/>
          <w:highlight w:val="none"/>
          <w:u w:val="single"/>
        </w:rPr>
        <w:t>12</w:t>
      </w:r>
      <w:r>
        <w:rPr>
          <w:rFonts w:hint="eastAsia" w:ascii="宋体" w:hAnsi="宋体" w:eastAsia="宋体" w:cs="宋体"/>
          <w:sz w:val="28"/>
          <w:szCs w:val="28"/>
          <w:highlight w:val="none"/>
        </w:rPr>
        <w:t>小时内提供备用产品，否则甲方有权自行处理，其费用在乙方履约保证金中扣除。</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.所有货物免费送达甲方指定地点，货物的托运、安装及预装常用软件（如需要）等，均不需另行付费。</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.根据厂方的规定对所供货物进行保修，在质量保证期内，乙方不得收取任何费用；质量保证期满后，乙方对用户货物的维修，只收成本费，并提供终生技术服务。</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.如甲方使用不当造成货物的毁损，乙方有义务协助维修。</w:t>
      </w:r>
    </w:p>
    <w:p>
      <w:pPr>
        <w:keepNext w:val="0"/>
        <w:keepLines w:val="0"/>
        <w:pageBreakBefore w:val="0"/>
        <w:widowControl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五、违约责任</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甲方无故逾期验收和办理货款支付手续的，将按全国银行间同业拆借中心贷款利率</w:t>
      </w:r>
      <w:r>
        <w:rPr>
          <w:rFonts w:hint="eastAsia" w:ascii="宋体" w:hAnsi="宋体" w:eastAsia="宋体" w:cs="宋体"/>
          <w:sz w:val="28"/>
          <w:szCs w:val="28"/>
          <w:highlight w:val="none"/>
          <w:lang w:val="en-US" w:eastAsia="zh-CN"/>
        </w:rPr>
        <w:t>计算</w:t>
      </w:r>
      <w:r>
        <w:rPr>
          <w:rFonts w:hint="eastAsia" w:ascii="宋体" w:hAnsi="宋体" w:eastAsia="宋体" w:cs="宋体"/>
          <w:sz w:val="28"/>
          <w:szCs w:val="28"/>
          <w:highlight w:val="none"/>
        </w:rPr>
        <w:t>。</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.如果乙方没有按照合同规定的期限提交货物并安装完毕，甲方可要求乙方支付违约金。违约金按每天应交未交货物合同价的</w:t>
      </w:r>
      <w:r>
        <w:rPr>
          <w:rFonts w:hint="eastAsia" w:ascii="宋体" w:hAnsi="宋体" w:eastAsia="宋体" w:cs="宋体"/>
          <w:sz w:val="28"/>
          <w:szCs w:val="28"/>
          <w:highlight w:val="none"/>
          <w:u w:val="single"/>
        </w:rPr>
        <w:t>0.5%</w:t>
      </w:r>
      <w:r>
        <w:rPr>
          <w:rFonts w:hint="eastAsia" w:ascii="宋体" w:hAnsi="宋体" w:eastAsia="宋体" w:cs="宋体"/>
          <w:sz w:val="28"/>
          <w:szCs w:val="28"/>
          <w:highlight w:val="none"/>
        </w:rPr>
        <w:t>计收，但违约金的最高限额为应交未交货物合同价的</w:t>
      </w:r>
      <w:r>
        <w:rPr>
          <w:rFonts w:hint="eastAsia" w:ascii="宋体" w:hAnsi="宋体" w:eastAsia="宋体" w:cs="宋体"/>
          <w:sz w:val="28"/>
          <w:szCs w:val="28"/>
          <w:highlight w:val="none"/>
          <w:u w:val="single"/>
        </w:rPr>
        <w:t>5%</w:t>
      </w:r>
      <w:r>
        <w:rPr>
          <w:rFonts w:hint="eastAsia" w:ascii="宋体" w:hAnsi="宋体" w:eastAsia="宋体" w:cs="宋体"/>
          <w:sz w:val="28"/>
          <w:szCs w:val="28"/>
          <w:highlight w:val="none"/>
        </w:rPr>
        <w:t>，如果达到最高限额，甲方有权解除合同。</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.全部货物安装调试完毕后，甲方不在规定时间内验收，无特殊原因，视同验收合格。</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.项目负责人必须常驻现场，离开现场必须向甲方代表书面申请同意。未向甲方代表提出书面申请，或提出书面申请未能得到书面批准离开现场连续两天，或累计五天的，甲方保留行使如下措施的权利：</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（1）没收乙方的全部履约保证金；</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（2）立即中止合同，勒令乙方限期撤出施工人员、施工机械、原材料、成品及半成品；</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（3）拒绝乙方已完工程量的支付请求。</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项目负责人须为乙方在投标文件明确的项目负责人，不得更换，每月在场时间不得少于20天，每少一天按合同价款的2%计扣违约金</w:t>
      </w:r>
      <w:r>
        <w:rPr>
          <w:rFonts w:hint="eastAsia" w:ascii="宋体" w:hAnsi="宋体" w:eastAsia="宋体" w:cs="宋体"/>
          <w:sz w:val="28"/>
          <w:szCs w:val="28"/>
          <w:highlight w:val="none"/>
          <w:lang w:eastAsia="zh-CN"/>
        </w:rPr>
        <w:t>。</w:t>
      </w:r>
    </w:p>
    <w:p>
      <w:pPr>
        <w:keepNext w:val="0"/>
        <w:keepLines w:val="0"/>
        <w:pageBreakBefore w:val="0"/>
        <w:widowControl w:val="0"/>
        <w:spacing w:line="44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.乙方不得将合同标的转包给他人履行</w:t>
      </w:r>
      <w:r>
        <w:rPr>
          <w:rFonts w:hint="eastAsia" w:ascii="宋体" w:hAnsi="宋体" w:eastAsia="宋体" w:cs="宋体"/>
          <w:sz w:val="28"/>
          <w:szCs w:val="28"/>
          <w:highlight w:val="none"/>
          <w:lang w:eastAsia="zh-CN"/>
        </w:rPr>
        <w:t>，乙方如有转包或未经甲方同意的分包行为，甲方有权终止合同。</w:t>
      </w:r>
    </w:p>
    <w:p>
      <w:pPr>
        <w:keepNext w:val="0"/>
        <w:keepLines w:val="0"/>
        <w:pageBreakBefore w:val="0"/>
        <w:widowControl w:val="0"/>
        <w:spacing w:line="44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发生合同纠纷，先由甲乙双方协商解决，协商未果</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可甲方所在地人民法院提起诉讼</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甲方可按行政协议有关规定办理</w:t>
      </w:r>
      <w:r>
        <w:rPr>
          <w:rFonts w:hint="eastAsia" w:ascii="宋体" w:hAnsi="宋体" w:eastAsia="宋体" w:cs="宋体"/>
          <w:sz w:val="28"/>
          <w:szCs w:val="28"/>
          <w:highlight w:val="none"/>
        </w:rPr>
        <w:t>。</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六、知识产权</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乙方应保证甲方在使用、接受本合同货物（包含与货物相关的服务）或其任何一部分时不受第三方提出侵犯其专利权、版权、商标权和工业设计权等知识产权的起诉。一旦出现侵权，由乙方负全部责任。</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产权担保</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乙方保证所交付的货物（包含与货物相关的服务）的所有权完全属于乙方且无任何抵押、查封等产权瑕疵。</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八、</w:t>
      </w:r>
      <w:r>
        <w:rPr>
          <w:rFonts w:hint="eastAsia" w:ascii="宋体" w:hAnsi="宋体" w:eastAsia="宋体" w:cs="宋体"/>
          <w:sz w:val="28"/>
          <w:szCs w:val="28"/>
          <w:highlight w:val="none"/>
        </w:rPr>
        <w:t>不可抗力事件处理</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在合同有效期内，任何一方因不可抗力事件导致不能履行合同，则合同履行期可延长，其延长期与不可抗力影响期相同。</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不可抗力事件发生后，应立即通知对方，并寄送有关权威机构出具的证明。</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不可抗力事件延续120天以上，双方应通过友好协商，确定是否继续履行合同。</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九</w:t>
      </w:r>
      <w:r>
        <w:rPr>
          <w:rFonts w:hint="eastAsia" w:ascii="宋体" w:hAnsi="宋体" w:eastAsia="宋体" w:cs="宋体"/>
          <w:sz w:val="28"/>
          <w:szCs w:val="28"/>
          <w:highlight w:val="none"/>
        </w:rPr>
        <w:t>、本合同由下列文件共同构成：</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1.本合同书；</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2.中标通知书；</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3.招标人的招标文件及其补充（答疑）资料；</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t>4.中标供应商的投标文件及其补充（澄清）资料。</w:t>
      </w:r>
    </w:p>
    <w:p>
      <w:pPr>
        <w:keepNext w:val="0"/>
        <w:keepLines w:val="0"/>
        <w:pageBreakBefore w:val="0"/>
        <w:widowControl w:val="0"/>
        <w:spacing w:line="440" w:lineRule="exact"/>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十</w:t>
      </w:r>
      <w:r>
        <w:rPr>
          <w:rFonts w:hint="eastAsia" w:ascii="宋体" w:hAnsi="宋体" w:eastAsia="宋体" w:cs="宋体"/>
          <w:sz w:val="28"/>
          <w:szCs w:val="28"/>
          <w:highlight w:val="none"/>
        </w:rPr>
        <w:t>、本合同未尽事宜，由甲、乙双方依据招标文件、中标供应商的投标文件另行协商解决。</w:t>
      </w:r>
    </w:p>
    <w:p>
      <w:pPr>
        <w:keepNext w:val="0"/>
        <w:keepLines w:val="0"/>
        <w:pageBreakBefore w:val="0"/>
        <w:widowControl w:val="0"/>
        <w:spacing w:line="440" w:lineRule="exact"/>
        <w:ind w:firstLine="420"/>
        <w:rPr>
          <w:rFonts w:hint="eastAsia" w:ascii="宋体" w:hAnsi="宋体" w:eastAsia="宋体" w:cs="宋体"/>
          <w:b/>
          <w:bCs/>
          <w:sz w:val="28"/>
          <w:szCs w:val="28"/>
          <w:highlight w:val="none"/>
        </w:rPr>
      </w:pPr>
      <w:r>
        <w:rPr>
          <w:rFonts w:hint="eastAsia" w:ascii="宋体" w:hAnsi="宋体" w:eastAsia="宋体" w:cs="宋体"/>
          <w:sz w:val="28"/>
          <w:szCs w:val="28"/>
          <w:highlight w:val="none"/>
          <w:lang w:val="en-US" w:eastAsia="zh-CN"/>
        </w:rPr>
        <w:t>十一</w:t>
      </w:r>
      <w:r>
        <w:rPr>
          <w:rFonts w:hint="eastAsia" w:ascii="宋体" w:hAnsi="宋体" w:eastAsia="宋体" w:cs="宋体"/>
          <w:sz w:val="28"/>
          <w:szCs w:val="28"/>
          <w:highlight w:val="none"/>
        </w:rPr>
        <w:t>、本合同一式</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六 </w:t>
      </w:r>
      <w:r>
        <w:rPr>
          <w:rFonts w:hint="eastAsia" w:ascii="宋体" w:hAnsi="宋体" w:eastAsia="宋体" w:cs="宋体"/>
          <w:sz w:val="28"/>
          <w:szCs w:val="28"/>
          <w:highlight w:val="none"/>
        </w:rPr>
        <w:t>份，甲</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u w:val="single"/>
          <w:lang w:val="en-US" w:eastAsia="zh-CN"/>
        </w:rPr>
        <w:t>三</w:t>
      </w:r>
      <w:r>
        <w:rPr>
          <w:rFonts w:hint="eastAsia" w:ascii="宋体" w:hAnsi="宋体" w:eastAsia="宋体" w:cs="宋体"/>
          <w:sz w:val="28"/>
          <w:szCs w:val="28"/>
          <w:highlight w:val="none"/>
          <w:lang w:val="en-US" w:eastAsia="zh-CN"/>
        </w:rPr>
        <w:t>份</w:t>
      </w:r>
      <w:r>
        <w:rPr>
          <w:rFonts w:hint="eastAsia" w:ascii="宋体" w:hAnsi="宋体" w:eastAsia="宋体" w:cs="宋体"/>
          <w:sz w:val="28"/>
          <w:szCs w:val="28"/>
          <w:highlight w:val="none"/>
        </w:rPr>
        <w:t>、乙方</w:t>
      </w:r>
      <w:r>
        <w:rPr>
          <w:rFonts w:hint="eastAsia" w:ascii="宋体" w:hAnsi="宋体" w:eastAsia="宋体" w:cs="宋体"/>
          <w:sz w:val="28"/>
          <w:szCs w:val="28"/>
          <w:highlight w:val="none"/>
          <w:u w:val="single"/>
          <w:lang w:val="en-US" w:eastAsia="zh-CN"/>
        </w:rPr>
        <w:t>两</w:t>
      </w:r>
      <w:r>
        <w:rPr>
          <w:rFonts w:hint="eastAsia" w:ascii="宋体" w:hAnsi="宋体" w:eastAsia="宋体" w:cs="宋体"/>
          <w:sz w:val="28"/>
          <w:szCs w:val="28"/>
          <w:highlight w:val="none"/>
        </w:rPr>
        <w:t>份，其他分送相关部门。采购人应当自政府采购合同签订之日起2个工作日内，将政府采购合同的扫描件（PDF格式）传送政府采购交易执行系统实施网上备案，经东台市财政局审核后，网上公示。</w:t>
      </w:r>
    </w:p>
    <w:p>
      <w:pPr>
        <w:spacing w:line="360" w:lineRule="auto"/>
        <w:rPr>
          <w:rFonts w:hint="eastAsia" w:ascii="宋体" w:hAnsi="宋体" w:eastAsia="宋体" w:cs="宋体"/>
          <w:sz w:val="28"/>
          <w:szCs w:val="28"/>
          <w:highlight w:val="none"/>
        </w:rPr>
      </w:pPr>
    </w:p>
    <w:p>
      <w:pPr>
        <w:spacing w:line="360" w:lineRule="auto"/>
        <w:rPr>
          <w:rFonts w:hint="eastAsia" w:ascii="宋体" w:hAnsi="宋体" w:eastAsia="宋体" w:cs="宋体"/>
          <w:sz w:val="28"/>
          <w:szCs w:val="28"/>
          <w:highlight w:val="none"/>
        </w:rPr>
      </w:pPr>
    </w:p>
    <w:p>
      <w:pPr>
        <w:spacing w:line="360" w:lineRule="auto"/>
        <w:rPr>
          <w:rFonts w:hint="eastAsia" w:ascii="宋体" w:hAnsi="宋体" w:eastAsia="宋体" w:cs="宋体"/>
          <w:sz w:val="28"/>
          <w:szCs w:val="28"/>
          <w:highlight w:val="none"/>
        </w:rPr>
      </w:pPr>
    </w:p>
    <w:p>
      <w:pPr>
        <w:tabs>
          <w:tab w:val="left" w:pos="5250"/>
        </w:tabs>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甲方（盖章）　　　　　　　  乙方（盖章）</w:t>
      </w:r>
    </w:p>
    <w:p>
      <w:pPr>
        <w:spacing w:line="360" w:lineRule="auto"/>
        <w:rPr>
          <w:rFonts w:hint="eastAsia" w:ascii="宋体" w:hAnsi="宋体" w:eastAsia="宋体" w:cs="宋体"/>
          <w:sz w:val="28"/>
          <w:szCs w:val="28"/>
          <w:highlight w:val="none"/>
        </w:rPr>
      </w:pPr>
    </w:p>
    <w:p>
      <w:pPr>
        <w:spacing w:line="360" w:lineRule="auto"/>
        <w:rPr>
          <w:rFonts w:hint="eastAsia" w:ascii="宋体" w:hAnsi="宋体" w:eastAsia="宋体" w:cs="宋体"/>
          <w:sz w:val="28"/>
          <w:szCs w:val="28"/>
          <w:highlight w:val="none"/>
        </w:rPr>
      </w:pP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代表（签字）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代表（签字）　　　　　　　</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tab/>
      </w:r>
      <w:r>
        <w:rPr>
          <w:rFonts w:hint="eastAsia" w:ascii="宋体" w:hAnsi="宋体" w:eastAsia="宋体" w:cs="宋体"/>
          <w:sz w:val="28"/>
          <w:szCs w:val="28"/>
          <w:highlight w:val="none"/>
        </w:rPr>
        <w:t>　　</w:t>
      </w:r>
    </w:p>
    <w:p>
      <w:pPr>
        <w:jc w:val="righ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202</w:t>
      </w:r>
      <w:r>
        <w:rPr>
          <w:rFonts w:hint="eastAsia" w:ascii="宋体" w:hAnsi="宋体" w:eastAsia="宋体" w:cs="宋体"/>
          <w:sz w:val="28"/>
          <w:szCs w:val="28"/>
          <w:highlight w:val="none"/>
          <w:u w:val="single"/>
          <w:lang w:val="en-US" w:eastAsia="zh-CN"/>
        </w:rPr>
        <w:t>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pPr>
        <w:rPr>
          <w:sz w:val="28"/>
          <w:szCs w:val="28"/>
          <w:highlight w:val="none"/>
        </w:rPr>
      </w:pPr>
    </w:p>
    <w:p>
      <w:pPr>
        <w:pStyle w:val="32"/>
        <w:spacing w:before="120" w:beforeAutospacing="0" w:after="120" w:afterAutospacing="0" w:line="0" w:lineRule="atLeast"/>
        <w:jc w:val="center"/>
        <w:outlineLvl w:val="0"/>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outlineLvl w:val="0"/>
        <w:rPr>
          <w:highlight w:val="none"/>
        </w:rPr>
      </w:pPr>
      <w:r>
        <w:rPr>
          <w:rFonts w:hint="eastAsia" w:ascii="黑体" w:hAnsi="宋体" w:eastAsia="黑体" w:cs="黑体"/>
          <w:color w:val="000000"/>
          <w:sz w:val="44"/>
          <w:szCs w:val="44"/>
          <w:highlight w:val="none"/>
        </w:rPr>
        <w:t>第</w:t>
      </w:r>
      <w:bookmarkEnd w:id="168"/>
      <w:r>
        <w:rPr>
          <w:rFonts w:hint="eastAsia" w:ascii="黑体" w:hAnsi="宋体" w:eastAsia="黑体" w:cs="黑体"/>
          <w:color w:val="000000"/>
          <w:sz w:val="44"/>
          <w:szCs w:val="44"/>
          <w:highlight w:val="none"/>
        </w:rPr>
        <w:t>四章 采购需求</w:t>
      </w:r>
      <w:bookmarkEnd w:id="169"/>
      <w:bookmarkEnd w:id="170"/>
      <w:bookmarkEnd w:id="171"/>
      <w:bookmarkEnd w:id="172"/>
      <w:bookmarkEnd w:id="173"/>
    </w:p>
    <w:p>
      <w:pPr>
        <w:pStyle w:val="32"/>
        <w:spacing w:beforeAutospacing="0" w:afterAutospacing="0" w:line="0" w:lineRule="atLeast"/>
        <w:jc w:val="both"/>
        <w:rPr>
          <w:rFonts w:hint="eastAsia" w:ascii="宋体" w:hAnsi="宋体" w:eastAsia="宋体" w:cs="宋体"/>
          <w:sz w:val="28"/>
          <w:szCs w:val="28"/>
          <w:highlight w:val="none"/>
        </w:rPr>
      </w:pPr>
      <w:bookmarkStart w:id="175" w:name="_Toc49090575"/>
      <w:bookmarkStart w:id="176" w:name="_Toc26554093"/>
      <w:r>
        <w:rPr>
          <w:rFonts w:hint="eastAsia" w:ascii="宋体" w:hAnsi="宋体" w:eastAsia="宋体" w:cs="宋体"/>
          <w:color w:val="000000"/>
          <w:sz w:val="28"/>
          <w:szCs w:val="28"/>
          <w:highlight w:val="none"/>
        </w:rPr>
        <w:t>项目属性:货物类项目。</w:t>
      </w:r>
      <w:bookmarkEnd w:id="175"/>
      <w:bookmarkEnd w:id="176"/>
    </w:p>
    <w:p>
      <w:pPr>
        <w:pStyle w:val="32"/>
        <w:numPr>
          <w:ilvl w:val="0"/>
          <w:numId w:val="0"/>
        </w:numPr>
        <w:spacing w:beforeAutospacing="0" w:afterAutospacing="0"/>
        <w:ind w:firstLine="480"/>
        <w:jc w:val="both"/>
        <w:rPr>
          <w:rFonts w:hint="eastAsia" w:ascii="Arial" w:hAnsi="Arial" w:cs="Arial"/>
          <w:color w:val="000000"/>
          <w:sz w:val="28"/>
          <w:szCs w:val="28"/>
          <w:highlight w:val="none"/>
        </w:rPr>
      </w:pPr>
      <w:r>
        <w:rPr>
          <w:rFonts w:hint="eastAsia" w:ascii="Arial" w:hAnsi="Arial" w:cs="Arial" w:eastAsiaTheme="minorEastAsia"/>
          <w:color w:val="000000"/>
          <w:sz w:val="28"/>
          <w:szCs w:val="28"/>
          <w:highlight w:val="none"/>
          <w:lang w:val="en-US" w:eastAsia="zh-CN" w:bidi="ar-SA"/>
        </w:rPr>
        <w:t>1、</w:t>
      </w:r>
      <w:r>
        <w:rPr>
          <w:rFonts w:hint="eastAsia" w:ascii="Arial" w:hAnsi="Arial" w:cs="Arial"/>
          <w:color w:val="000000"/>
          <w:sz w:val="28"/>
          <w:szCs w:val="28"/>
          <w:highlight w:val="none"/>
        </w:rPr>
        <w:t>采购内容</w:t>
      </w:r>
    </w:p>
    <w:tbl>
      <w:tblPr>
        <w:tblStyle w:val="34"/>
        <w:tblW w:w="82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6"/>
        <w:gridCol w:w="1243"/>
        <w:gridCol w:w="4601"/>
        <w:gridCol w:w="802"/>
        <w:gridCol w:w="8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序号</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项目名称</w:t>
            </w: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建设项</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数量</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w:t>
            </w:r>
          </w:p>
        </w:tc>
        <w:tc>
          <w:tcPr>
            <w:tcW w:w="1243"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智慧停车-诱导发布系统及配套设施部分</w:t>
            </w: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◆智慧停车一级诱导发布系统（全点阵彩色交通诱导屏，含基坑开挖、地笼浇筑等）含市政规费（如有）。</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1243"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智慧大屏配电箱口发送卡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3</w:t>
            </w:r>
          </w:p>
        </w:tc>
        <w:tc>
          <w:tcPr>
            <w:tcW w:w="1243"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智慧信息发布盒子</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w:t>
            </w:r>
          </w:p>
        </w:tc>
        <w:tc>
          <w:tcPr>
            <w:tcW w:w="1243"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智慧停车诱导发布系统-专用链路</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5</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5</w:t>
            </w:r>
          </w:p>
        </w:tc>
        <w:tc>
          <w:tcPr>
            <w:tcW w:w="1243"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绿化养护等费用</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6</w:t>
            </w:r>
          </w:p>
        </w:tc>
        <w:tc>
          <w:tcPr>
            <w:tcW w:w="1243" w:type="dxa"/>
            <w:vMerge w:val="continue"/>
            <w:tcBorders>
              <w:left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社会停车场信息接入</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7</w:t>
            </w:r>
          </w:p>
        </w:tc>
        <w:tc>
          <w:tcPr>
            <w:tcW w:w="1243" w:type="dxa"/>
            <w:vMerge w:val="continue"/>
            <w:tcBorders>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15处（含本次）诱导数据巡查校准（日常运行过程中，对停车场剩余车位数据进行校准，每周对诱导发布的各停车场进行一次剩余车位数盘点校准以及二级诱导屏维保服务。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5</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8</w:t>
            </w:r>
          </w:p>
        </w:tc>
        <w:tc>
          <w:tcPr>
            <w:tcW w:w="124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静态交通智慧停车设施维护服务部分</w:t>
            </w: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停车场及零星标车位服务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9</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停车场及零星标车位箭头服务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10</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车挡出新服务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1512</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11</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新增车挡及补缺服务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120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12</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维修车挡服务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120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13</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更换反光标识服务</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400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sz w:val="24"/>
                <w:szCs w:val="24"/>
                <w:highlight w:val="none"/>
                <w:u w:val="none"/>
                <w:lang w:val="en-US" w:eastAsia="zh-CN" w:bidi="ar"/>
              </w:rPr>
              <w:t>14</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拆障用工（每次2人）</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Style w:val="193"/>
                <w:rFonts w:hint="eastAsia" w:ascii="仿宋" w:hAnsi="仿宋" w:eastAsia="仿宋" w:cs="仿宋"/>
                <w:sz w:val="24"/>
                <w:szCs w:val="24"/>
                <w:highlight w:val="none"/>
                <w:lang w:val="en-US" w:eastAsia="zh-CN" w:bidi="ar"/>
              </w:rPr>
              <w:t>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sz w:val="24"/>
                <w:szCs w:val="24"/>
                <w:highlight w:val="none"/>
                <w:u w:val="none"/>
                <w:lang w:val="en-US" w:eastAsia="zh-CN" w:bidi="ar"/>
              </w:rPr>
              <w:t>15</w:t>
            </w:r>
          </w:p>
        </w:tc>
        <w:tc>
          <w:tcPr>
            <w:tcW w:w="124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p>
        </w:tc>
        <w:tc>
          <w:tcPr>
            <w:tcW w:w="46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拆障用车</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bidi="ar"/>
              </w:rPr>
              <w:t>100</w:t>
            </w:r>
          </w:p>
        </w:tc>
        <w:tc>
          <w:tcPr>
            <w:tcW w:w="8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4"/>
                <w:szCs w:val="24"/>
                <w:highlight w:val="none"/>
                <w:u w:val="none"/>
              </w:rPr>
            </w:pPr>
            <w:r>
              <w:rPr>
                <w:rStyle w:val="193"/>
                <w:rFonts w:hint="eastAsia" w:ascii="仿宋" w:hAnsi="仿宋" w:eastAsia="仿宋" w:cs="仿宋"/>
                <w:sz w:val="24"/>
                <w:szCs w:val="24"/>
                <w:highlight w:val="none"/>
                <w:lang w:val="en-US" w:eastAsia="zh-CN" w:bidi="ar"/>
              </w:rPr>
              <w:t>次</w:t>
            </w:r>
          </w:p>
        </w:tc>
      </w:tr>
    </w:tbl>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注：以上如标注“◆”的产品，则为核心产品。</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项目为交钥匙工程：即所投价格包含项目实施的一切费用（含供货、安装、接电等），采购人不再支付其它任何费用，中标后除招标人需求发生变化外，原则上一律不做变更或签证。投标人要求选型合理经济、可扩展性强、兼容性好、性价比高的产品，投标时须充分考虑系统完整性、兼容性和互适性，以及相关配件辅材。</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投标人中标后，货物进场时必须提供符合技术参数要求的检测报告、设备参数等，并与招标参数进行逐项验证。若存在虚假应标的情况，招标人有权立即终止合同，并没收履约保证金，同时中标供应商前期已投入的费用将不予支付；硬件后台对接在现有系统平台接口开放的前提下，本项目的所有硬件与现有系统平台实现无缝对接。若接口未开放，导致停车诱导发布系统未能顺利对接，中标人在确保项目顺利推进的情况下有权采用智慧停车云平台中诱导发布系统模块作为替代方案（费用维持原状，不做增补），并对平台的功能使用负全部责任。</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现场踏勘联系人：陈峰，电话：18052929135。</w:t>
      </w:r>
    </w:p>
    <w:p>
      <w:pPr>
        <w:pStyle w:val="32"/>
        <w:keepNext/>
        <w:keepLines/>
        <w:pageBreakBefore w:val="0"/>
        <w:widowControl w:val="0"/>
        <w:numPr>
          <w:ilvl w:val="0"/>
          <w:numId w:val="0"/>
        </w:numPr>
        <w:spacing w:beforeAutospacing="0" w:afterAutospacing="0" w:line="440" w:lineRule="exact"/>
        <w:ind w:firstLine="420"/>
        <w:jc w:val="both"/>
        <w:rPr>
          <w:rFonts w:hint="eastAsia" w:ascii="Arial" w:hAnsi="Arial" w:cs="Arial"/>
          <w:color w:val="000000"/>
          <w:sz w:val="28"/>
          <w:szCs w:val="28"/>
          <w:highlight w:val="none"/>
          <w:lang w:val="en-US" w:eastAsia="zh-CN"/>
        </w:rPr>
      </w:pPr>
      <w:r>
        <w:rPr>
          <w:rFonts w:hint="eastAsia" w:ascii="Arial" w:hAnsi="Arial" w:cs="Arial" w:eastAsiaTheme="minorEastAsia"/>
          <w:color w:val="000000"/>
          <w:sz w:val="28"/>
          <w:szCs w:val="28"/>
          <w:highlight w:val="none"/>
          <w:lang w:val="en-US" w:eastAsia="zh-CN" w:bidi="ar-SA"/>
        </w:rPr>
        <w:t>2、</w:t>
      </w:r>
      <w:r>
        <w:rPr>
          <w:rFonts w:hint="eastAsia" w:ascii="Arial" w:hAnsi="Arial" w:cs="Arial"/>
          <w:color w:val="000000"/>
          <w:sz w:val="28"/>
          <w:szCs w:val="28"/>
          <w:highlight w:val="none"/>
          <w:lang w:val="en-US" w:eastAsia="zh-CN"/>
        </w:rPr>
        <w:t>技术要求</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技术要求是指对采购标的产品参数功能和质量要求，包括性能、材料、结构、外观、安全，或者服务内容和标准等。</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本期东台市精致城南片区微更新智慧停车项目主要建设基于智慧停车-诱导发布系统、静态交通智慧停车设施维护服务建设。</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（1）智慧停车一级诱导发布系统</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全彩LED诱导屏：屏体尺寸：3200mm*2400mm、管芯品牌：晶元、物理像素点间距：≤10mm；显示像素模块封装：采用双面灌胶密封封装技术、像素点颜色：1R1G1B、模组外壳：聚碳酸酯、最佳视距：动态距离210m；静态距离250m、可视角度：70°(H)/30°(V)、颜色：全彩色、显示模式控制：异步、白平衡亮度≥8000cd/㎡；刷新率≥4000 Hz；亮度均匀性≥97%；盲点率≤1/10000；使用寿命≥10 万小时；平均故障时间≥1 万小时；驱动方式：静态扫描，恒流、换帧频率：≥60帧/s、刷新频率：≥400Hz、白平衡亮度：≥8000cd/m2、控制方式：工业级控制器</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通信方式：以太网、RS232、RS485、工作环境温度：-20℃～+55℃环境湿度：98%±2%、工作电压：AC380V±7%、最大功耗：＜800W/m²、平均功耗：＜350W/m²、平均无故障时间：≥10000小时、寿命：≥100000小时、像素失控率：&lt;0.0001，连续失控点为0、防雷接地电阻：&lt;10Ω、工作接地电阻：&lt;4Ω、外壳与机箱：镀锌钢板，冷轧钢板的材料厚度大于1.50㎜，表面喷涂处理，机箱为全天候、全封闭、防雨型机箱，具有很到的密封性能、散热性能和防锈防腐蚀性能。工业级专用开关电源，转换效率高，经过负载测试设备严格测试、高性能恒流驱动IC，具有输出脚增益可调，片间和管脚间误差小（3%），稳定性高、采用进口母料注塑，采用特殊的防反光措施和添加剂，确保套件的强度、抗紫外能力、黑度、抗老化能力。接插件，焊接接触面牢靠，接触金属面抗氧化，多次插拔无接触不良现象、排线具有线径准确，加工准确，寿命长，耐侯性能优等特点、防护等级：显示单元模组防护达到IP68，箱体不低于IP66、数据通信与加密基于NTC/IP协议，支持AES高级加密标准。质量通过CCC与CE认证；</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电磁兼容性，具备强干扰环境下正常稳定工作能力，通过 CNAS 电磁兼容检测认证。防护等级：箱体不低于IP66;模组不低于IP68。</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经公安部交通安全产品质量监督检测中心检测通过，并具有公安部GA/T484-2018《LED道路交通诱导可变信息标志》。</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经国家及行业主管部门的相关标准、检测认定，取得LED全彩屏3C认证证书，通过中国强制认证（CCC认证）。</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数据通信与加密基于NTC/IP协议，支持AES高级加密标准。</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为保证系统整体兼容性，屏体及系统具有自主知识产权的控制系统软件、LED屏嵌入式控制软件、信息发布软件。</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针对大批量数据下发，具有采用分布式处理技术的自主知识产权。</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诱导屏控制器电路具备宽压输入功能，能适应电压波动的环境。</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投标人所选诱导屏厂商能够提供互联网公司（高德、百度、腾讯等地图）实时路况，停车服务，并且LED交通诱导屏能实时对接实时流量数据并在诱导屏上显示。</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诱导屏须兼容现有发布系统，</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控制板装有一、二级简体汉字字库，可以存储50条常用标志图形或常用信息，其中汉字大小有16*16，24*24点阵，字体有宋体、仿宋体、楷体、黑体、隶书。同时支持16*8，24*12点阵的英文字母及数字字库。显示内容：汉字、英文字母、数字符或图案有线通信模块、控制系统电源等设置在控制箱内，箱体内电源线需走线整齐，并有端子标识，布线应符合电气安装规范，电气安全性能符合GA/T484标准要求</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通讯接口可通过软件设置采用10/100M自适应以太网接口或采用串行接口（RS232接口或者RS485接口），本机可直接连接中心系统。</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应能接收监控计算机发来的信息，按不同方式显示指定的信息，时间表可精确到秒级。</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脱机运行：当和监控中心计算机通讯中断后，按照最后一次设置显示图案。控制板具有多种显示方式，可支持动画显示：多种方向移动显示、闪烁显示，移动速度、字间距和闪烁周期可调</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立柱：406*10*9750mm 镀锌圆管；底法兰：1000*1000*30mm 镀锌钢板，横臂法兰：470*370*20mm 镀锌钢板*3件，框架：矩形钢管250*200*10mm（长度11976mm）；矩形钢管250*100*8mm（长度5780mm）；方管30*30*3mm（长度14420mm）；地锚基础：定位法兰1000*1000*25mm镀锌钢板</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基础预埋件：基础混凝土C25,柱混凝土C25,混凝土垫层C10;钢筋:∅-HPB 235(fy=210N/mm ),∅-HRB 335(fy=300N/mm).基础部分钢筋保护层厚度50,施工过程中需保证预埋地脚螺、钢筋: 二级热轧螺纹钢，将接地扁铁与基础预埋件的钢筋焊接牢固。长*宽*深：2000*2000*2500mm</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（2）智慧大屏配电箱口发送卡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内置配电及控制系统，支持RJ45（网口）、WiFi AP连接，支持4G模块接入，支持远程开关屏，支持USB直连PC，支持65万像素点带载能力，最宽1920像素，最高1080像素，支持立体音频输出，支持U盘导入播放节目，板载亮度传感器接口，支持自动和定时的智能亮度调节，内存：1GB内置存储：板载32GB，用户可用28GB，输入电压：5V DC，额定电流：3A，峰值功耗：15W，工作温度：-40 ℃ ~ 80 ℃，工作湿度：0%~80% RH（无冷凝水）</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★投标人所投配电箱及发送卡需要LED大屏保持统一品牌。</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（3）智慧信息发布盒子</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系统支持基于TCP/IP网络结构下，B/S+C/S的混合结构的系统，控制连接显示设备，可以脱机独立工作以及联机在线工作，在服务器瘫痪或网络断开的情况下，不影响媒体显示端的播放和显示；</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★系统兼容多种操作系统，可支持Windows、Linux 及国产麒麟等不同的操作系统，具备C/S和B/S架构，支持通过浏览器对系统进行设备统一管理，支持同时管理不同分辨率、不同类型的显示屏系统、中央控制系统、拼控系统；实现对显示屏、拼控设备、播控主机、KVM坐席、PC主机、中控主机、LED控制卡、PLC配电柜的统一管控；（合同签订前提供带有CNAS 、CMA认证标识，由具备相应资质的检测机构出具的检测报告复印件加盖生产厂商公章）</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系统支持网页、客户端、APP（安卓、鸿蒙、IOS、windows）三端数据实时同步；WEB端、平板端、客户端均可以所见即所得的查看在线场景、离线场景的画面布局、场景的实时画面，以及信号的实时画面；（合同签订前提供带有CNAS 、CMA认证标识，由具备相应资质的检测机构出具的检测报告复印件加盖生产厂商公章）</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不依赖中控等第三方设备，支持对播控主机通过平台远程管控，包括同步、开机、关机、重启、升级播控主机程序，播控单屏支持关联播控设备、桌面、音频输出、LED控制卡组、配电柜；播控多屏支持可视化显示屏幕布局，支持2×2、3×3、1×3、3×1以及自定义M×N布局，可拖动主机关联指定屏幕，设置指定屏幕桌面以及大屏音频输出。（合同签订前提供带有CNAS 、CMA认证标识，由具备相应资质的检测机构出具的检测报告复印件加盖生产厂商公章）</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支持监控信号、拼控信号、坐席信号、PC信号的管理查询；可同步视频监控系统中的监控信号，设置是否直连取流。可对拼控信号设置分配权限，给不同的用户分配信号权限，同时支持设置信号分组，分组支持新增、重命名、删除、移动等操作；信号支持按名称模糊搜索。（合同签订前提供带有CNAS 、CMA认证标识，由具备相应资质的检测机构出具的检测报告复印件加盖生产厂商公章）</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支持创建多个展播主题，以及添加、删除、编辑展播主题，同时按名称模糊搜索。支持将不同屏幕的场景/页面任意组合，创建为一个展播主题，设置主题名称、配置全部画面按内容设置进行或者保持画面静止，内容播放方式从头开始或者保持当前状态，以及关联中控模式，实现中控的联动控制。支持设置将展播主题同步到平板控制端，平板控制端可根据配置的展播主题展示相关的屏幕与内容/场景，可实现针对不同的参观者，快速切换多屏幕的不同展示内容。（合同签订前提供带有CNAS 、CMA认证标识，由具备相应资质的检测机构出具的检测报告复印件加盖生产厂商公章）。</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（4）智慧停车诱导发布系统-专用链路</w:t>
      </w:r>
    </w:p>
    <w:p>
      <w:pPr>
        <w:keepNext w:val="0"/>
        <w:keepLines w:val="0"/>
        <w:pageBreakBefore w:val="0"/>
        <w:widowControl w:val="0"/>
        <w:spacing w:line="440" w:lineRule="exact"/>
        <w:ind w:firstLine="420"/>
        <w:rPr>
          <w:rFonts w:hint="eastAsia"/>
          <w:highlight w:val="none"/>
          <w:lang w:val="en-US" w:eastAsia="zh-CN"/>
        </w:rPr>
      </w:pPr>
      <w:r>
        <w:rPr>
          <w:rFonts w:hint="eastAsia" w:ascii="宋体" w:hAnsi="宋体" w:eastAsia="宋体" w:cs="宋体"/>
          <w:sz w:val="28"/>
          <w:szCs w:val="28"/>
          <w:highlight w:val="none"/>
          <w:lang w:val="en-US" w:eastAsia="zh-CN"/>
        </w:rPr>
        <w:t>智慧停车-专用链路不低于100M。即：G15沈海高速口西入城方向智慧停车一级诱导发布系统大屏至大数据中心智慧停车平台、谢家湾大桥东侧入城方向智慧停车一级诱导发布系统大屏至大数据中心智慧停车平台；中标人签订合同时需提供与本地运营商签订的为期5年专用链路建设协议书原件，如不能提供与本地运营商签订的专网建设协议书原件，采购人有权取消其中标资格。</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（5）停车场及零星标车位服务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停车场标车位，热熔标线，规格250×500cm、线宽15cm</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（6）停车场及零星标车位箭头服务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停车场标车位箭头，热熔标线，长100cm</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（7）车挡出新服务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市区车档出新，高级汽车漆、工程级反光标识</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（8）新增车挡及补缺服务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市区新增及补缺车档，φ75镀锌管，高级汽车漆，工程级反光标识</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（9）维修车挡服务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车档破损及时维修</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（10）更换反光标识服务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工程级反光膜VC打印8*60</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（11）拆障用工服务 </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拆除公共车位内设障及其他用工100次*2人</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（12）拆障用车服务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拆除公共车位内设障用车100次</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（13）社会停车场信息接入</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选取合适社会停车场进行软硬件系统改造接入停车平台，实现数据实时交互。</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（14）诱导屏维护</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对已建成诱导数据巡查校准（日常运行过程中，对停车场剩余车位数据进行校准，每周对诱导发布的各停车场进行一次剩余车位数盘点校准以及二级诱导屏维保服务）</w:t>
      </w:r>
    </w:p>
    <w:p>
      <w:pPr>
        <w:pStyle w:val="32"/>
        <w:numPr>
          <w:ilvl w:val="0"/>
          <w:numId w:val="0"/>
        </w:numPr>
        <w:spacing w:beforeAutospacing="0" w:afterAutospacing="0"/>
        <w:ind w:firstLine="480"/>
        <w:jc w:val="both"/>
        <w:rPr>
          <w:rFonts w:hint="eastAsia" w:ascii="Arial" w:hAnsi="Arial" w:cs="Arial" w:eastAsiaTheme="minorEastAsia"/>
          <w:color w:val="000000"/>
          <w:sz w:val="28"/>
          <w:szCs w:val="28"/>
          <w:highlight w:val="none"/>
          <w:lang w:val="en-US" w:eastAsia="zh-CN" w:bidi="ar-SA"/>
        </w:rPr>
      </w:pPr>
      <w:r>
        <w:rPr>
          <w:rFonts w:hint="eastAsia" w:ascii="Arial" w:hAnsi="Arial" w:cs="Arial" w:eastAsiaTheme="minorEastAsia"/>
          <w:color w:val="000000"/>
          <w:sz w:val="28"/>
          <w:szCs w:val="28"/>
          <w:highlight w:val="none"/>
          <w:lang w:val="en-US" w:eastAsia="zh-CN" w:bidi="ar-SA"/>
        </w:rPr>
        <w:t>3、商务要求</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3.1 履约期限</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1</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rPr>
        <w:t>合同签订后</w:t>
      </w:r>
      <w:r>
        <w:rPr>
          <w:rFonts w:hint="eastAsia" w:ascii="宋体" w:hAnsi="宋体" w:eastAsia="宋体" w:cs="宋体"/>
          <w:color w:val="000000"/>
          <w:sz w:val="28"/>
          <w:szCs w:val="28"/>
          <w:highlight w:val="none"/>
          <w:lang w:val="en-US" w:eastAsia="zh-CN"/>
        </w:rPr>
        <w:t>90</w:t>
      </w:r>
      <w:r>
        <w:rPr>
          <w:rFonts w:hint="eastAsia" w:ascii="宋体" w:hAnsi="宋体" w:eastAsia="宋体" w:cs="宋体"/>
          <w:color w:val="000000"/>
          <w:sz w:val="28"/>
          <w:szCs w:val="28"/>
          <w:highlight w:val="none"/>
        </w:rPr>
        <w:t>日内货物全部送达甲方指定地点，并安装调试完毕。</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lang w:eastAsia="zh-CN"/>
        </w:rPr>
        <w:t>）乙方在交货时，货物的品牌型号必须与投标报价单保持一致，必须保证品牌正宗，原始包装并附有合格证、产品安装使用说明书等相关资料。</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3.2 履约地点</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东台市</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3.3 付款方式</w:t>
      </w:r>
    </w:p>
    <w:p>
      <w:pPr>
        <w:keepNext w:val="0"/>
        <w:keepLines w:val="0"/>
        <w:pageBreakBefore w:val="0"/>
        <w:widowControl w:val="0"/>
        <w:spacing w:line="440" w:lineRule="exact"/>
        <w:ind w:firstLine="420"/>
        <w:rPr>
          <w:rFonts w:hint="default"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1.智慧停车-诱导发布系统及配套设施部分（五年质保）：</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合同签订后支付30%的预付款。</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）根据采购内容实际完成数量，按分项支</w:t>
      </w:r>
      <w:r>
        <w:rPr>
          <w:rFonts w:hint="eastAsia" w:ascii="宋体" w:hAnsi="宋体" w:eastAsia="宋体" w:cs="宋体"/>
          <w:sz w:val="28"/>
          <w:szCs w:val="28"/>
          <w:highlight w:val="none"/>
        </w:rPr>
        <w:t>付</w:t>
      </w:r>
      <w:r>
        <w:rPr>
          <w:rFonts w:hint="eastAsia" w:ascii="宋体" w:hAnsi="宋体" w:eastAsia="宋体" w:cs="宋体"/>
          <w:sz w:val="28"/>
          <w:szCs w:val="28"/>
          <w:highlight w:val="none"/>
          <w:lang w:val="en-US" w:eastAsia="zh-CN"/>
        </w:rPr>
        <w:t>至</w:t>
      </w:r>
      <w:r>
        <w:rPr>
          <w:rFonts w:hint="eastAsia" w:ascii="宋体" w:hAnsi="宋体" w:eastAsia="宋体" w:cs="宋体"/>
          <w:sz w:val="28"/>
          <w:szCs w:val="28"/>
          <w:highlight w:val="none"/>
        </w:rPr>
        <w:t>已完成并验收合格工作量价款的50%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包含预付款</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竣工验收合格审计后支付至审定额的80%（审计期间不支付款项）</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剩余款项为审定额的</w:t>
      </w:r>
      <w:r>
        <w:rPr>
          <w:rFonts w:hint="eastAsia" w:ascii="宋体" w:hAnsi="宋体" w:eastAsia="宋体" w:cs="宋体"/>
          <w:sz w:val="28"/>
          <w:szCs w:val="28"/>
          <w:highlight w:val="none"/>
        </w:rPr>
        <w:t>20%从</w:t>
      </w:r>
      <w:r>
        <w:rPr>
          <w:rFonts w:hint="eastAsia" w:ascii="宋体" w:hAnsi="宋体" w:eastAsia="宋体" w:cs="宋体"/>
          <w:sz w:val="28"/>
          <w:szCs w:val="28"/>
          <w:highlight w:val="none"/>
          <w:lang w:val="en-US" w:eastAsia="zh-CN"/>
        </w:rPr>
        <w:t>审计完成</w:t>
      </w:r>
      <w:r>
        <w:rPr>
          <w:rFonts w:hint="eastAsia" w:ascii="宋体" w:hAnsi="宋体" w:eastAsia="宋体" w:cs="宋体"/>
          <w:sz w:val="28"/>
          <w:szCs w:val="28"/>
          <w:highlight w:val="none"/>
        </w:rPr>
        <w:t>之日起算满一年支付10%，满二年支付</w:t>
      </w:r>
      <w:r>
        <w:rPr>
          <w:rFonts w:hint="eastAsia" w:ascii="宋体" w:hAnsi="宋体" w:eastAsia="宋体" w:cs="宋体"/>
          <w:sz w:val="28"/>
          <w:szCs w:val="28"/>
          <w:highlight w:val="none"/>
          <w:lang w:val="en-US" w:eastAsia="zh-CN"/>
        </w:rPr>
        <w:t>审定额的</w:t>
      </w:r>
      <w:r>
        <w:rPr>
          <w:rFonts w:hint="eastAsia" w:ascii="宋体" w:hAnsi="宋体" w:eastAsia="宋体" w:cs="宋体"/>
          <w:sz w:val="28"/>
          <w:szCs w:val="28"/>
          <w:highlight w:val="none"/>
        </w:rPr>
        <w:t>5%，质保期满结清</w:t>
      </w:r>
      <w:r>
        <w:rPr>
          <w:rFonts w:hint="eastAsia" w:ascii="宋体" w:hAnsi="宋体" w:eastAsia="宋体" w:cs="宋体"/>
          <w:sz w:val="28"/>
          <w:szCs w:val="28"/>
          <w:highlight w:val="none"/>
          <w:lang w:val="en-US" w:eastAsia="zh-CN"/>
        </w:rPr>
        <w:t>全部审定额。</w:t>
      </w:r>
    </w:p>
    <w:p>
      <w:pPr>
        <w:keepNext w:val="0"/>
        <w:keepLines w:val="0"/>
        <w:pageBreakBefore w:val="0"/>
        <w:widowControl w:val="0"/>
        <w:spacing w:line="440" w:lineRule="exact"/>
        <w:ind w:firstLine="420"/>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2.静态交通智慧停车设施维护服务部分（一年质保）：</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合同签订后支付30%的预付款。</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）根据采购内容实际完成数量，按分项支</w:t>
      </w:r>
      <w:r>
        <w:rPr>
          <w:rFonts w:hint="eastAsia" w:ascii="宋体" w:hAnsi="宋体" w:eastAsia="宋体" w:cs="宋体"/>
          <w:sz w:val="28"/>
          <w:szCs w:val="28"/>
          <w:highlight w:val="none"/>
        </w:rPr>
        <w:t>付</w:t>
      </w:r>
      <w:r>
        <w:rPr>
          <w:rFonts w:hint="eastAsia" w:ascii="宋体" w:hAnsi="宋体" w:eastAsia="宋体" w:cs="宋体"/>
          <w:sz w:val="28"/>
          <w:szCs w:val="28"/>
          <w:highlight w:val="none"/>
          <w:lang w:val="en-US" w:eastAsia="zh-CN"/>
        </w:rPr>
        <w:t>至</w:t>
      </w:r>
      <w:r>
        <w:rPr>
          <w:rFonts w:hint="eastAsia" w:ascii="宋体" w:hAnsi="宋体" w:eastAsia="宋体" w:cs="宋体"/>
          <w:sz w:val="28"/>
          <w:szCs w:val="28"/>
          <w:highlight w:val="none"/>
        </w:rPr>
        <w:t>已完成并验收合格工作量价款的50%</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包含预付款</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竣工验收合格审计后支付至审定额的</w:t>
      </w:r>
      <w:r>
        <w:rPr>
          <w:rFonts w:hint="eastAsia" w:ascii="宋体" w:hAnsi="宋体" w:eastAsia="宋体" w:cs="宋体"/>
          <w:sz w:val="28"/>
          <w:szCs w:val="28"/>
          <w:highlight w:val="none"/>
          <w:lang w:val="en-US" w:eastAsia="zh-CN"/>
        </w:rPr>
        <w:t>95</w:t>
      </w:r>
      <w:r>
        <w:rPr>
          <w:rFonts w:hint="eastAsia" w:ascii="宋体" w:hAnsi="宋体" w:eastAsia="宋体" w:cs="宋体"/>
          <w:sz w:val="28"/>
          <w:szCs w:val="28"/>
          <w:highlight w:val="none"/>
        </w:rPr>
        <w:t>%（审计期间不支付款项）</w:t>
      </w:r>
      <w:r>
        <w:rPr>
          <w:rFonts w:hint="eastAsia" w:ascii="宋体" w:hAnsi="宋体" w:eastAsia="宋体" w:cs="宋体"/>
          <w:sz w:val="28"/>
          <w:szCs w:val="28"/>
          <w:highlight w:val="none"/>
          <w:lang w:val="en-US" w:eastAsia="zh-CN"/>
        </w:rPr>
        <w:t>。</w:t>
      </w:r>
    </w:p>
    <w:p>
      <w:pPr>
        <w:keepNext w:val="0"/>
        <w:keepLines w:val="0"/>
        <w:pageBreakBefore w:val="0"/>
        <w:widowControl w:val="0"/>
        <w:spacing w:line="440" w:lineRule="exact"/>
        <w:ind w:firstLine="42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剩余款项为审定额的5</w:t>
      </w:r>
      <w:r>
        <w:rPr>
          <w:rFonts w:hint="eastAsia" w:ascii="宋体" w:hAnsi="宋体" w:eastAsia="宋体" w:cs="宋体"/>
          <w:sz w:val="28"/>
          <w:szCs w:val="28"/>
          <w:highlight w:val="none"/>
        </w:rPr>
        <w:t>%从</w:t>
      </w:r>
      <w:r>
        <w:rPr>
          <w:rFonts w:hint="eastAsia" w:ascii="宋体" w:hAnsi="宋体" w:eastAsia="宋体" w:cs="宋体"/>
          <w:sz w:val="28"/>
          <w:szCs w:val="28"/>
          <w:highlight w:val="none"/>
          <w:lang w:val="en-US" w:eastAsia="zh-CN"/>
        </w:rPr>
        <w:t>审计完成</w:t>
      </w:r>
      <w:r>
        <w:rPr>
          <w:rFonts w:hint="eastAsia" w:ascii="宋体" w:hAnsi="宋体" w:eastAsia="宋体" w:cs="宋体"/>
          <w:sz w:val="28"/>
          <w:szCs w:val="28"/>
          <w:highlight w:val="none"/>
        </w:rPr>
        <w:t>之日起算，质保期满结清</w:t>
      </w:r>
      <w:r>
        <w:rPr>
          <w:rFonts w:hint="eastAsia" w:ascii="宋体" w:hAnsi="宋体" w:eastAsia="宋体" w:cs="宋体"/>
          <w:sz w:val="28"/>
          <w:szCs w:val="28"/>
          <w:highlight w:val="none"/>
          <w:lang w:val="en-US" w:eastAsia="zh-CN"/>
        </w:rPr>
        <w:t>全部审定额。</w:t>
      </w:r>
    </w:p>
    <w:p>
      <w:pPr>
        <w:keepNext w:val="0"/>
        <w:keepLines w:val="0"/>
        <w:pageBreakBefore w:val="0"/>
        <w:widowControl w:val="0"/>
        <w:spacing w:line="440" w:lineRule="exact"/>
        <w:ind w:firstLine="42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在签订合同时，乙方明确表示无需预付款或者主动要求降低预付款比例的，甲方可不适用上述关于预付款的规定</w:t>
      </w:r>
      <w:r>
        <w:rPr>
          <w:rFonts w:hint="eastAsia" w:ascii="宋体" w:hAnsi="宋体" w:eastAsia="宋体" w:cs="宋体"/>
          <w:sz w:val="28"/>
          <w:szCs w:val="28"/>
          <w:highlight w:val="none"/>
          <w:lang w:eastAsia="zh-CN"/>
        </w:rPr>
        <w:t>。</w:t>
      </w:r>
    </w:p>
    <w:p>
      <w:pPr>
        <w:keepNext w:val="0"/>
        <w:keepLines w:val="0"/>
        <w:pageBreakBefore w:val="0"/>
        <w:widowControl w:val="0"/>
        <w:spacing w:line="440" w:lineRule="exact"/>
        <w:ind w:firstLine="42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结算款项时乙方须出具相应金额的有效票据</w:t>
      </w:r>
      <w:r>
        <w:rPr>
          <w:rFonts w:hint="eastAsia" w:ascii="宋体" w:hAnsi="宋体" w:eastAsia="宋体" w:cs="宋体"/>
          <w:sz w:val="28"/>
          <w:szCs w:val="28"/>
          <w:highlight w:val="none"/>
          <w:lang w:eastAsia="zh-CN"/>
        </w:rPr>
        <w:t>。</w:t>
      </w:r>
    </w:p>
    <w:p>
      <w:pPr>
        <w:keepNext w:val="0"/>
        <w:keepLines w:val="0"/>
        <w:pageBreakBefore w:val="0"/>
        <w:widowControl w:val="0"/>
        <w:spacing w:line="440" w:lineRule="exact"/>
        <w:ind w:firstLine="420"/>
        <w:rPr>
          <w:rFonts w:hint="eastAsia"/>
          <w:b/>
          <w:bCs/>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甲方原则上自收到发票后10个工作日内将资金支付到乙方账户。</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3.4 售后服务</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w:t>
      </w:r>
      <w:r>
        <w:rPr>
          <w:rFonts w:hint="eastAsia" w:ascii="宋体" w:hAnsi="宋体" w:eastAsia="宋体" w:cs="宋体"/>
          <w:sz w:val="28"/>
          <w:szCs w:val="28"/>
          <w:highlight w:val="none"/>
        </w:rPr>
        <w:t>本项目</w:t>
      </w:r>
      <w:r>
        <w:rPr>
          <w:rFonts w:hint="eastAsia" w:ascii="宋体" w:hAnsi="宋体" w:eastAsia="宋体" w:cs="宋体"/>
          <w:sz w:val="28"/>
          <w:szCs w:val="28"/>
          <w:highlight w:val="none"/>
          <w:lang w:val="en-US" w:eastAsia="zh-CN"/>
        </w:rPr>
        <w:t>智慧停车-诱导发布系统及配套设施部分</w:t>
      </w:r>
      <w:r>
        <w:rPr>
          <w:rFonts w:hint="eastAsia" w:ascii="宋体" w:hAnsi="宋体" w:eastAsia="宋体" w:cs="宋体"/>
          <w:sz w:val="28"/>
          <w:szCs w:val="28"/>
          <w:highlight w:val="none"/>
        </w:rPr>
        <w:t>的质量保证期为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、静态交通智慧停车设施维护服务部分</w:t>
      </w:r>
      <w:r>
        <w:rPr>
          <w:rFonts w:hint="eastAsia" w:ascii="宋体" w:hAnsi="宋体" w:eastAsia="宋体" w:cs="宋体"/>
          <w:sz w:val="28"/>
          <w:szCs w:val="28"/>
          <w:highlight w:val="none"/>
        </w:rPr>
        <w:t>的质量保证期为</w:t>
      </w:r>
      <w:r>
        <w:rPr>
          <w:rFonts w:hint="eastAsia" w:ascii="宋体" w:hAnsi="宋体" w:eastAsia="宋体" w:cs="宋体"/>
          <w:sz w:val="28"/>
          <w:szCs w:val="28"/>
          <w:highlight w:val="none"/>
          <w:u w:val="single"/>
          <w:lang w:val="en-US" w:eastAsia="zh-CN"/>
        </w:rPr>
        <w:t>1</w:t>
      </w:r>
      <w:r>
        <w:rPr>
          <w:rFonts w:hint="eastAsia" w:ascii="宋体" w:hAnsi="宋体" w:eastAsia="宋体" w:cs="宋体"/>
          <w:sz w:val="28"/>
          <w:szCs w:val="28"/>
          <w:highlight w:val="none"/>
        </w:rPr>
        <w:t>年</w:t>
      </w:r>
      <w:r>
        <w:rPr>
          <w:rFonts w:hint="eastAsia" w:ascii="宋体" w:hAnsi="宋体" w:eastAsia="宋体" w:cs="宋体"/>
          <w:color w:val="000000"/>
          <w:sz w:val="28"/>
          <w:szCs w:val="28"/>
          <w:highlight w:val="none"/>
          <w:lang w:val="en-US" w:eastAsia="zh-CN"/>
        </w:rPr>
        <w:t>。在质保期内所供货物发生故障时，中标人须在2小时内到场维修，无法修复时，须在12小时内提供备用产品，否则甲方有权自行处理，其费用在乙方履约保证金中扣除。</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（2）所有货物免费送达甲方指定地点，货物的托运、安装及预装常用软件（如需要）等，均不需另行付费。</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（3）根据厂方的规定对所供货物进行保修，在质量保证期内，乙方不得收取任何费用；质量保证期满后，乙方对用户货物的维修，只收成本费，并提供终生技术服务。</w:t>
      </w:r>
    </w:p>
    <w:p>
      <w:pPr>
        <w:pStyle w:val="32"/>
        <w:keepNext w:val="0"/>
        <w:keepLines w:val="0"/>
        <w:pageBreakBefore w:val="0"/>
        <w:widowControl w:val="0"/>
        <w:spacing w:beforeAutospacing="0" w:afterAutospacing="0" w:line="440" w:lineRule="exact"/>
        <w:ind w:firstLine="560"/>
        <w:jc w:val="both"/>
        <w:rPr>
          <w:rFonts w:hint="default" w:ascii="Arial" w:hAnsi="Arial" w:cs="Arial"/>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（4）如甲方使用不当造成货物的毁损，乙方有义务协助维修。</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Arial" w:hAnsi="Arial" w:cs="Arial"/>
          <w:color w:val="000000"/>
          <w:sz w:val="28"/>
          <w:szCs w:val="28"/>
          <w:highlight w:val="none"/>
          <w:lang w:val="en-US" w:eastAsia="zh-CN" w:bidi="ar-SA"/>
        </w:rPr>
        <w:t>4、</w:t>
      </w:r>
      <w:r>
        <w:rPr>
          <w:rFonts w:hint="eastAsia" w:ascii="宋体" w:hAnsi="宋体" w:eastAsia="宋体" w:cs="宋体"/>
          <w:color w:val="000000"/>
          <w:sz w:val="28"/>
          <w:szCs w:val="28"/>
          <w:highlight w:val="none"/>
          <w:lang w:val="en-US" w:eastAsia="zh-CN"/>
        </w:rPr>
        <w:t>本项目不接受进口产品投标。</w:t>
      </w:r>
    </w:p>
    <w:p>
      <w:pPr>
        <w:pStyle w:val="32"/>
        <w:keepNext w:val="0"/>
        <w:keepLines w:val="0"/>
        <w:pageBreakBefore w:val="0"/>
        <w:widowControl w:val="0"/>
        <w:spacing w:beforeAutospacing="0" w:afterAutospacing="0" w:line="440" w:lineRule="exact"/>
        <w:ind w:firstLine="560"/>
        <w:jc w:val="both"/>
        <w:rPr>
          <w:rFonts w:hint="eastAsia" w:ascii="Arial" w:hAnsi="Arial" w:cs="Arial"/>
          <w:color w:val="000000"/>
          <w:sz w:val="28"/>
          <w:szCs w:val="28"/>
          <w:highlight w:val="none"/>
          <w:lang w:val="en-US" w:eastAsia="zh-CN" w:bidi="ar-SA"/>
        </w:rPr>
      </w:pPr>
      <w:r>
        <w:rPr>
          <w:rFonts w:hint="eastAsia" w:ascii="Arial" w:hAnsi="Arial" w:cs="Arial"/>
          <w:color w:val="000000"/>
          <w:sz w:val="28"/>
          <w:szCs w:val="28"/>
          <w:highlight w:val="none"/>
          <w:lang w:val="en-US" w:eastAsia="zh-CN" w:bidi="ar-SA"/>
        </w:rPr>
        <w:t>5、采购标的对应的中小企业划分标准所属行业一览表</w:t>
      </w:r>
    </w:p>
    <w:tbl>
      <w:tblPr>
        <w:tblStyle w:val="34"/>
        <w:tblW w:w="81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5511"/>
        <w:gridCol w:w="1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序号</w:t>
            </w:r>
          </w:p>
        </w:tc>
        <w:tc>
          <w:tcPr>
            <w:tcW w:w="5511"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采购标的</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对应中小企业划分标准所属行业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1</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智慧停车一级诱导发布系统</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2</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智慧大屏</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3</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配电箱口发送卡</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4</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智慧信息发布盒子</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5</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专用链路</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信息传输业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6</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静态交通智慧停车设施维护服务</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7</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绿化养护</w:t>
            </w:r>
          </w:p>
        </w:tc>
        <w:tc>
          <w:tcPr>
            <w:tcW w:w="1878"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8</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社会停车场信息接入</w:t>
            </w:r>
          </w:p>
        </w:tc>
        <w:tc>
          <w:tcPr>
            <w:tcW w:w="1878" w:type="dxa"/>
            <w:shd w:val="clear" w:color="auto" w:fill="auto"/>
            <w:noWrap w:val="0"/>
            <w:vAlign w:val="center"/>
          </w:tcPr>
          <w:p>
            <w:pPr>
              <w:spacing w:beforeAutospacing="0" w:afterAutospacing="0" w:line="0" w:lineRule="atLeast"/>
              <w:jc w:val="center"/>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blCellSpacing w:w="0" w:type="dxa"/>
          <w:jc w:val="center"/>
        </w:trPr>
        <w:tc>
          <w:tcPr>
            <w:tcW w:w="752" w:type="dxa"/>
            <w:shd w:val="clear" w:color="auto" w:fill="auto"/>
            <w:noWrap w:val="0"/>
            <w:vAlign w:val="center"/>
          </w:tcPr>
          <w:p>
            <w:pPr>
              <w:pStyle w:val="32"/>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9</w:t>
            </w:r>
          </w:p>
        </w:tc>
        <w:tc>
          <w:tcPr>
            <w:tcW w:w="5511" w:type="dxa"/>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数据巡查校准</w:t>
            </w:r>
          </w:p>
        </w:tc>
        <w:tc>
          <w:tcPr>
            <w:tcW w:w="1878" w:type="dxa"/>
            <w:shd w:val="clear" w:color="auto" w:fill="auto"/>
            <w:noWrap w:val="0"/>
            <w:vAlign w:val="center"/>
          </w:tcPr>
          <w:p>
            <w:pPr>
              <w:spacing w:beforeAutospacing="0" w:afterAutospacing="0"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其他未列明行业</w:t>
            </w:r>
          </w:p>
        </w:tc>
      </w:tr>
    </w:tbl>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bookmarkStart w:id="177" w:name="_Toc120614281"/>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第五章  评标方法与评标标准</w:t>
      </w:r>
    </w:p>
    <w:p>
      <w:pPr>
        <w:pStyle w:val="32"/>
        <w:spacing w:beforeAutospacing="0" w:afterAutospacing="0"/>
        <w:jc w:val="both"/>
        <w:rPr>
          <w:highlight w:val="none"/>
        </w:rPr>
      </w:pPr>
      <w:r>
        <w:rPr>
          <w:highlight w:val="none"/>
        </w:rPr>
        <w:t> </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政府采购政策功能落实</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1、小微型企业价格扣除</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（1）本项目对小型和微型企业产品给予20%的扣除价格，用扣除后的价格参与评审。</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（2）供应商需按照采购文件的要求提供相应的《小微企业声明函》。</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（3）企业标准请参照《关于印发中小企业划型标准规定的通知》（工信部联企业[2011]300号）文件规定自行填写。</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2、残疾人福利单位价格扣除</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（1）本项目对残疾人福利性单位视同小型、微型企业，给予20%</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（2）残疾人福利单位需按照采购文件的要求提供《残疾人福利性单位声明函》。</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（3）残疾人福利单位标准请参照《关于促进残疾人就业政府采购政策的通知》（财库〔2017〕141号）。</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3、监狱和戒毒企业价格扣除</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（1）本项目对监狱和戒毒企业（简称监狱企业）视同小型、微型企业，给予20%</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（3）监狱企业标准请参照《关于政府采购支持监狱企业发展有关问题的通知》（财库[2014]68号）。</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4、残疾人福利单位、监狱企业属于小型、微型企业的，不重复享受政策。</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6、联合体各方均为小型、微型企业（残疾人福利单位、监狱企业）的，联合体享受20%。</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8、供应商对于投标产品的商品包装、快递包装应按照《关于印发《商品包装政府采购需求标准（试行）》、《快递包装政府采购需求标准（试行）》的通知》（财办库〔2020〕123号）执行。</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9、本文件中若涉及到数据中心采购，应按照《&lt;绿色数据中心政府采购需求标准（试行）&gt;的通知》（财库〔2023〕7号）执行。</w:t>
      </w:r>
    </w:p>
    <w:p>
      <w:pPr>
        <w:pStyle w:val="32"/>
        <w:keepNext w:val="0"/>
        <w:keepLines w:val="0"/>
        <w:pageBreakBefore w:val="0"/>
        <w:widowControl w:val="0"/>
        <w:spacing w:beforeAutospacing="0" w:afterAutospacing="0" w:line="440" w:lineRule="exact"/>
        <w:ind w:firstLine="560"/>
        <w:jc w:val="both"/>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10、根据《江苏省政府采购信用管理暂行办法》的规定，供应商信用评价结果为三星的扣2分，评价结果为二星的扣3分，评价结果为一星的扣4分。</w:t>
      </w:r>
    </w:p>
    <w:p>
      <w:pPr>
        <w:pStyle w:val="32"/>
        <w:spacing w:before="120" w:beforeAutospacing="0" w:after="120" w:afterAutospacing="0" w:line="0" w:lineRule="atLeast"/>
        <w:ind w:firstLine="482"/>
        <w:outlineLvl w:val="1"/>
        <w:rPr>
          <w:rFonts w:hint="eastAsia" w:ascii="宋体" w:hAnsi="宋体" w:eastAsia="宋体" w:cs="宋体"/>
          <w:b/>
          <w:color w:val="000000"/>
          <w:highlight w:val="none"/>
        </w:rPr>
      </w:pPr>
      <w:r>
        <w:rPr>
          <w:rFonts w:hint="eastAsia" w:ascii="宋体" w:hAnsi="宋体" w:eastAsia="宋体" w:cs="宋体"/>
          <w:b/>
          <w:color w:val="000000"/>
          <w:highlight w:val="none"/>
        </w:rPr>
        <w:t>评标方法与评标标准</w:t>
      </w:r>
    </w:p>
    <w:p>
      <w:pPr>
        <w:spacing w:line="440" w:lineRule="exact"/>
        <w:ind w:firstLine="560"/>
        <w:jc w:val="left"/>
        <w:rPr>
          <w:rFonts w:hint="eastAsia" w:ascii="宋体" w:hAnsi="宋体" w:eastAsia="宋体" w:cs="宋体"/>
          <w:color w:val="000000"/>
          <w:sz w:val="28"/>
          <w:szCs w:val="28"/>
          <w:highlight w:val="none"/>
          <w:lang w:eastAsia="zh-CN"/>
        </w:rPr>
      </w:pPr>
      <w:r>
        <w:rPr>
          <w:rFonts w:hint="eastAsia" w:ascii="宋体" w:hAnsi="宋体" w:eastAsia="宋体" w:cs="宋体"/>
          <w:color w:val="auto"/>
          <w:sz w:val="28"/>
          <w:szCs w:val="28"/>
          <w:highlight w:val="none"/>
          <w:lang w:val="en-US" w:eastAsia="zh-CN" w:bidi="ar-SA"/>
        </w:rPr>
        <w:t>本次招标采用</w:t>
      </w:r>
      <w:r>
        <w:rPr>
          <w:rFonts w:hint="eastAsia" w:ascii="宋体" w:hAnsi="宋体" w:eastAsia="宋体" w:cs="宋体"/>
          <w:color w:val="000000"/>
          <w:sz w:val="28"/>
          <w:szCs w:val="28"/>
          <w:highlight w:val="none"/>
        </w:rPr>
        <w:t>使用综合评分法，综合评分法，是指各标段投标文件满足招标文件全部实质性要求，且按照评审因素的量化指标评审得分最高的投标人为该标段中标候选人的评标方法</w:t>
      </w:r>
      <w:r>
        <w:rPr>
          <w:rFonts w:hint="eastAsia" w:ascii="宋体" w:hAnsi="宋体" w:eastAsia="宋体" w:cs="宋体"/>
          <w:color w:val="000000"/>
          <w:sz w:val="28"/>
          <w:szCs w:val="28"/>
          <w:highlight w:val="none"/>
          <w:lang w:eastAsia="zh-CN"/>
        </w:rPr>
        <w:t>。</w:t>
      </w:r>
    </w:p>
    <w:p>
      <w:pPr>
        <w:pStyle w:val="2"/>
        <w:rPr>
          <w:rFonts w:hint="eastAsia"/>
          <w:highlight w:val="none"/>
          <w:lang w:val="en-US" w:eastAsia="zh-CN"/>
        </w:rPr>
      </w:pPr>
    </w:p>
    <w:p>
      <w:pPr>
        <w:pStyle w:val="188"/>
        <w:keepNext w:val="0"/>
        <w:keepLines w:val="0"/>
        <w:pageBreakBefore w:val="0"/>
        <w:widowControl w:val="0"/>
        <w:spacing w:line="440" w:lineRule="exact"/>
        <w:ind w:firstLine="560"/>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具体评审细则如下：</w:t>
      </w:r>
    </w:p>
    <w:tbl>
      <w:tblPr>
        <w:tblStyle w:val="34"/>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090"/>
        <w:gridCol w:w="1079"/>
        <w:gridCol w:w="783"/>
        <w:gridCol w:w="4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blHeader/>
        </w:trPr>
        <w:tc>
          <w:tcPr>
            <w:tcW w:w="548" w:type="dxa"/>
            <w:noWrap w:val="0"/>
            <w:vAlign w:val="center"/>
          </w:tcPr>
          <w:p>
            <w:pPr>
              <w:widowControl/>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序</w:t>
            </w:r>
          </w:p>
        </w:tc>
        <w:tc>
          <w:tcPr>
            <w:tcW w:w="1090" w:type="dxa"/>
            <w:noWrap w:val="0"/>
            <w:vAlign w:val="center"/>
          </w:tcPr>
          <w:p>
            <w:pPr>
              <w:widowControl/>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分部内容</w:t>
            </w:r>
          </w:p>
        </w:tc>
        <w:tc>
          <w:tcPr>
            <w:tcW w:w="1079" w:type="dxa"/>
            <w:noWrap w:val="0"/>
            <w:vAlign w:val="center"/>
          </w:tcPr>
          <w:p>
            <w:pPr>
              <w:widowControl/>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分项内容</w:t>
            </w:r>
          </w:p>
        </w:tc>
        <w:tc>
          <w:tcPr>
            <w:tcW w:w="783" w:type="dxa"/>
            <w:noWrap w:val="0"/>
            <w:vAlign w:val="center"/>
          </w:tcPr>
          <w:p>
            <w:pPr>
              <w:widowControl/>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分值</w:t>
            </w:r>
          </w:p>
        </w:tc>
        <w:tc>
          <w:tcPr>
            <w:tcW w:w="4818" w:type="dxa"/>
            <w:noWrap w:val="0"/>
            <w:vAlign w:val="center"/>
          </w:tcPr>
          <w:p>
            <w:pPr>
              <w:widowControl/>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打分要求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48"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一</w:t>
            </w:r>
          </w:p>
        </w:tc>
        <w:tc>
          <w:tcPr>
            <w:tcW w:w="1090"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价格部分</w:t>
            </w:r>
          </w:p>
        </w:tc>
        <w:tc>
          <w:tcPr>
            <w:tcW w:w="1079"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投标报价</w:t>
            </w:r>
          </w:p>
        </w:tc>
        <w:tc>
          <w:tcPr>
            <w:tcW w:w="783"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30</w:t>
            </w:r>
          </w:p>
        </w:tc>
        <w:tc>
          <w:tcPr>
            <w:tcW w:w="4818" w:type="dxa"/>
            <w:noWrap w:val="0"/>
            <w:vAlign w:val="center"/>
          </w:tcPr>
          <w:p>
            <w:pPr>
              <w:widowControl/>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满足招标文件要求且投标价格最低的投标报价为基准价，其价格分为满分。报价得分＝（评标基准价/投标报价）×30。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trPr>
        <w:tc>
          <w:tcPr>
            <w:tcW w:w="548"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二</w:t>
            </w:r>
          </w:p>
        </w:tc>
        <w:tc>
          <w:tcPr>
            <w:tcW w:w="1090"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技术部分</w:t>
            </w:r>
          </w:p>
        </w:tc>
        <w:tc>
          <w:tcPr>
            <w:tcW w:w="1079"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产品功能配置指标评价</w:t>
            </w:r>
          </w:p>
        </w:tc>
        <w:tc>
          <w:tcPr>
            <w:tcW w:w="783" w:type="dxa"/>
            <w:noWrap w:val="0"/>
            <w:vAlign w:val="center"/>
          </w:tcPr>
          <w:p>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4818" w:type="dxa"/>
            <w:noWrap w:val="0"/>
            <w:vAlign w:val="center"/>
          </w:tcPr>
          <w:p>
            <w:pPr>
              <w:widowControl/>
              <w:ind w:firstLine="420"/>
              <w:jc w:val="lef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投标人所投产品完全满足招标文件所有技术要求的得15分。标“★”号的为关键技术指标或功能，标“★”号的每负偏离一项扣2分；未标“★”号的每负偏离一项扣1分，扣完为止。</w:t>
            </w:r>
          </w:p>
          <w:p>
            <w:pPr>
              <w:widowControl/>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
              </w:rPr>
              <w:t>注：项目需求中要求提供检测报告等证明文件的，应提供相关证明文件，否则视为不响应或负偏离；项目需求中未要求提供证明文件的，以投标人提供的技术参数响应及偏离表为准。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trPr>
        <w:tc>
          <w:tcPr>
            <w:tcW w:w="548" w:type="dxa"/>
            <w:vMerge w:val="restart"/>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三</w:t>
            </w:r>
          </w:p>
        </w:tc>
        <w:tc>
          <w:tcPr>
            <w:tcW w:w="1090" w:type="dxa"/>
            <w:vMerge w:val="restart"/>
            <w:noWrap w:val="0"/>
            <w:vAlign w:val="center"/>
          </w:tcPr>
          <w:p>
            <w:pPr>
              <w:widowControl/>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履约能力</w:t>
            </w:r>
          </w:p>
        </w:tc>
        <w:tc>
          <w:tcPr>
            <w:tcW w:w="1079" w:type="dxa"/>
            <w:noWrap w:val="0"/>
            <w:vAlign w:val="center"/>
          </w:tcPr>
          <w:p>
            <w:pPr>
              <w:widowControl/>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人员</w:t>
            </w:r>
          </w:p>
        </w:tc>
        <w:tc>
          <w:tcPr>
            <w:tcW w:w="783" w:type="dxa"/>
            <w:noWrap w:val="0"/>
            <w:vAlign w:val="center"/>
          </w:tcPr>
          <w:p>
            <w:pPr>
              <w:widowControl/>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
              </w:rPr>
              <w:t>9</w:t>
            </w:r>
          </w:p>
        </w:tc>
        <w:tc>
          <w:tcPr>
            <w:tcW w:w="4818" w:type="dxa"/>
            <w:noWrap w:val="0"/>
            <w:vAlign w:val="center"/>
          </w:tcPr>
          <w:p>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1）项目负责人具有工信部与人社部颁发的信息系统项目管理师证书、中国信息安全测评中心颁发的注册信息安全专业人员CISP证书，每满足1项得1.5分，最高得3分（投标文件中需提供证书原件扫描件，未提供不得分）。</w:t>
            </w:r>
          </w:p>
          <w:p>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2）技术负责人具有工信部电子技术标准化研究院颁发的IT服务工程师或IT服务项目经理的得2分，具有工信部与人社部颁发的系统集成项目管理工程师得2分，具有人社部门颁发的电子信息类工程师得2分，最高得6分（投标文件中需提供证书原件扫描件，未提供不得分）。</w:t>
            </w:r>
          </w:p>
          <w:p>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注：投标文件中以上人员需提供相关证书及投标截止日当月向前3个月内的社保证明材料原件扫描件，未提供或提供不全的不得分。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548" w:type="dxa"/>
            <w:vMerge w:val="continue"/>
            <w:noWrap w:val="0"/>
            <w:vAlign w:val="center"/>
          </w:tcPr>
          <w:p>
            <w:pPr>
              <w:widowControl/>
              <w:jc w:val="center"/>
              <w:rPr>
                <w:rFonts w:hint="eastAsia" w:ascii="宋体" w:hAnsi="宋体" w:eastAsia="宋体" w:cs="宋体"/>
                <w:sz w:val="21"/>
                <w:szCs w:val="21"/>
                <w:highlight w:val="none"/>
                <w:lang w:bidi="ar"/>
              </w:rPr>
            </w:pPr>
          </w:p>
        </w:tc>
        <w:tc>
          <w:tcPr>
            <w:tcW w:w="1090" w:type="dxa"/>
            <w:vMerge w:val="continue"/>
            <w:noWrap w:val="0"/>
            <w:vAlign w:val="center"/>
          </w:tcPr>
          <w:p>
            <w:pPr>
              <w:widowControl/>
              <w:jc w:val="center"/>
              <w:rPr>
                <w:rFonts w:hint="eastAsia" w:ascii="宋体" w:hAnsi="宋体" w:eastAsia="宋体" w:cs="宋体"/>
                <w:sz w:val="21"/>
                <w:szCs w:val="21"/>
                <w:highlight w:val="none"/>
                <w:lang w:bidi="ar"/>
              </w:rPr>
            </w:pPr>
          </w:p>
        </w:tc>
        <w:tc>
          <w:tcPr>
            <w:tcW w:w="1079" w:type="dxa"/>
            <w:noWrap w:val="0"/>
            <w:vAlign w:val="center"/>
          </w:tcPr>
          <w:p>
            <w:pPr>
              <w:widowControl/>
              <w:jc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软件著作权</w:t>
            </w:r>
          </w:p>
        </w:tc>
        <w:tc>
          <w:tcPr>
            <w:tcW w:w="783" w:type="dxa"/>
            <w:noWrap w:val="0"/>
            <w:vAlign w:val="center"/>
          </w:tcPr>
          <w:p>
            <w:pPr>
              <w:widowControl/>
              <w:jc w:val="center"/>
              <w:rPr>
                <w:rFonts w:hint="default"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5</w:t>
            </w:r>
          </w:p>
        </w:tc>
        <w:tc>
          <w:tcPr>
            <w:tcW w:w="4818" w:type="dxa"/>
            <w:noWrap w:val="0"/>
            <w:vAlign w:val="center"/>
          </w:tcPr>
          <w:p>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投标人具备城市智慧停车相关软件产品著作权，每具有一项得1分，最高得5分。</w:t>
            </w:r>
          </w:p>
          <w:p>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注：投标文件中需提供相关证书原件扫描件，未提供不得分。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48" w:type="dxa"/>
            <w:vMerge w:val="restart"/>
            <w:noWrap w:val="0"/>
            <w:vAlign w:val="center"/>
          </w:tcPr>
          <w:p>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四</w:t>
            </w:r>
          </w:p>
        </w:tc>
        <w:tc>
          <w:tcPr>
            <w:tcW w:w="1090" w:type="dxa"/>
            <w:vMerge w:val="restart"/>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实施及售后服务</w:t>
            </w:r>
          </w:p>
        </w:tc>
        <w:tc>
          <w:tcPr>
            <w:tcW w:w="1079" w:type="dxa"/>
            <w:noWrap w:val="0"/>
            <w:vAlign w:val="center"/>
          </w:tcPr>
          <w:p>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深化设计</w:t>
            </w:r>
          </w:p>
        </w:tc>
        <w:tc>
          <w:tcPr>
            <w:tcW w:w="783" w:type="dxa"/>
            <w:noWrap w:val="0"/>
            <w:vAlign w:val="center"/>
          </w:tcPr>
          <w:p>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4818" w:type="dxa"/>
            <w:noWrap w:val="0"/>
            <w:vAlign w:val="center"/>
          </w:tcPr>
          <w:p>
            <w:pPr>
              <w:widowControl/>
              <w:ind w:firstLine="420"/>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投标人提供的深化设计方案包含但不限于往期项目建设成果及本期项目建设内容进一步深化设计</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bidi="ar"/>
              </w:rPr>
              <w:t>建设方案、效果图及施工图纸等内容。</w:t>
            </w:r>
          </w:p>
          <w:p>
            <w:pPr>
              <w:widowControl/>
              <w:ind w:firstLine="420"/>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满足以上3项要求最多得9分；满足任意一项最多得3分；其余情况不得分。</w:t>
            </w:r>
          </w:p>
          <w:p>
            <w:pPr>
              <w:widowControl/>
              <w:ind w:firstLine="323"/>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注：评审委员会根据各供应商的具体响应内容按照以下量化的评审因素指标对各项要求进行满足性判断：</w:t>
            </w:r>
          </w:p>
          <w:p>
            <w:pPr>
              <w:widowControl/>
              <w:ind w:firstLine="323"/>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1.方案完整详尽，专业性、可行性强，考虑周全，思路清晰，符合项目需求该项得3分；</w:t>
            </w:r>
          </w:p>
          <w:p>
            <w:pPr>
              <w:widowControl/>
              <w:ind w:firstLine="323"/>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2.对项目总体有一定的认识，方案较为完整、细致，思路较清晰，基本符合项目需求，该项得2分；</w:t>
            </w:r>
          </w:p>
          <w:p>
            <w:pPr>
              <w:widowControl/>
              <w:ind w:firstLine="323"/>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3.方案不细致，欠完善，与项目需求响应度低，项目理解思路一般该项得1分。</w:t>
            </w:r>
          </w:p>
          <w:p>
            <w:pPr>
              <w:widowControl/>
              <w:ind w:firstLine="323"/>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4.不提供或者经评标委员会不认可的不得分。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8" w:type="dxa"/>
            <w:vMerge w:val="continue"/>
            <w:noWrap w:val="0"/>
            <w:vAlign w:val="center"/>
          </w:tcPr>
          <w:p>
            <w:pPr>
              <w:widowControl/>
              <w:jc w:val="center"/>
              <w:rPr>
                <w:rFonts w:hint="eastAsia" w:ascii="宋体" w:hAnsi="宋体" w:eastAsia="宋体" w:cs="宋体"/>
                <w:sz w:val="21"/>
                <w:szCs w:val="21"/>
                <w:highlight w:val="none"/>
              </w:rPr>
            </w:pPr>
          </w:p>
        </w:tc>
        <w:tc>
          <w:tcPr>
            <w:tcW w:w="1090" w:type="dxa"/>
            <w:vMerge w:val="continue"/>
            <w:noWrap w:val="0"/>
            <w:vAlign w:val="center"/>
          </w:tcPr>
          <w:p>
            <w:pPr>
              <w:widowControl/>
              <w:jc w:val="center"/>
              <w:rPr>
                <w:rFonts w:hint="eastAsia" w:ascii="宋体" w:hAnsi="宋体" w:eastAsia="宋体" w:cs="宋体"/>
                <w:sz w:val="21"/>
                <w:szCs w:val="21"/>
                <w:highlight w:val="none"/>
              </w:rPr>
            </w:pPr>
          </w:p>
        </w:tc>
        <w:tc>
          <w:tcPr>
            <w:tcW w:w="1079"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实施方案</w:t>
            </w:r>
          </w:p>
        </w:tc>
        <w:tc>
          <w:tcPr>
            <w:tcW w:w="783" w:type="dxa"/>
            <w:noWrap w:val="0"/>
            <w:vAlign w:val="center"/>
          </w:tcPr>
          <w:p>
            <w:pPr>
              <w:widowControl/>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
              </w:rPr>
              <w:t>20</w:t>
            </w:r>
          </w:p>
        </w:tc>
        <w:tc>
          <w:tcPr>
            <w:tcW w:w="4818" w:type="dxa"/>
            <w:noWrap w:val="0"/>
            <w:vAlign w:val="center"/>
          </w:tcPr>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评标委员会对投标人的技术方案进行评审，未提供技术方案的不得分。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1</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投标人提供的技术方案包含但不限于项目背景分析、项目重点和难点分析、时间进度安排、工作程序、差错、异常处理等内容。</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满足以上5项要求最多得10分；满足任意一项最多得2分；其余情况不得分。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注：评审委员会根据各供应商的具体响应内容按照以下量化的评审因素指标对各项要求进行满足性判断：</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1.方案完整详尽，专业性、可行性强，考虑周全，思路清晰，符合项目需求该项得2分；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2.对项目总体有一定的认识，方案较为完整、细致，思路较清晰，基本符合项目需求，该项得1分；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3.方案不细致，欠完善，与项目需求响应度低，项目理解思路一般该项得0.5分。</w:t>
            </w:r>
          </w:p>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4.不提供或者经评标委员会不认可的不得分。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2</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投标人提供的</w:t>
            </w:r>
            <w:r>
              <w:rPr>
                <w:rFonts w:hint="eastAsia" w:ascii="宋体" w:hAnsi="宋体" w:eastAsia="宋体" w:cs="宋体"/>
                <w:sz w:val="21"/>
                <w:szCs w:val="21"/>
                <w:highlight w:val="none"/>
                <w:lang w:bidi="ar"/>
              </w:rPr>
              <w:t>实施管理方案</w:t>
            </w:r>
            <w:r>
              <w:rPr>
                <w:rFonts w:hint="eastAsia" w:ascii="宋体" w:hAnsi="宋体" w:eastAsia="宋体" w:cs="宋体"/>
                <w:sz w:val="21"/>
                <w:szCs w:val="21"/>
                <w:highlight w:val="none"/>
                <w:lang w:val="en-US" w:eastAsia="zh-CN" w:bidi="ar"/>
              </w:rPr>
              <w:t>包含但不限于</w:t>
            </w:r>
            <w:r>
              <w:rPr>
                <w:rFonts w:hint="eastAsia" w:ascii="宋体" w:hAnsi="宋体" w:eastAsia="宋体" w:cs="宋体"/>
                <w:sz w:val="21"/>
                <w:szCs w:val="21"/>
                <w:highlight w:val="none"/>
                <w:lang w:bidi="ar"/>
              </w:rPr>
              <w:t>项目的规划管理</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bidi="ar"/>
              </w:rPr>
              <w:t>项目建设进度和质量管理机制</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bidi="ar"/>
              </w:rPr>
              <w:t>软件培训方案和方式</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bidi="ar"/>
              </w:rPr>
              <w:t>项目风险预测及应对</w:t>
            </w:r>
            <w:r>
              <w:rPr>
                <w:rFonts w:hint="eastAsia" w:ascii="宋体" w:hAnsi="宋体" w:eastAsia="宋体" w:cs="宋体"/>
                <w:sz w:val="21"/>
                <w:szCs w:val="21"/>
                <w:highlight w:val="none"/>
                <w:lang w:val="en-US" w:eastAsia="zh-CN" w:bidi="ar"/>
              </w:rPr>
              <w:t>等内容。</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满足以上4项要求最多得10分；满足任意一项最多得2.5分；其余情况不得分。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注：评审委员会根据各供应商的具体响应内容按照以下量化的评审因素指标对各项要求进行满足性判断：</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1.方案完整详尽，专业性、可行性强，考虑周全，思路清晰，符合项目需求该项得2.5分；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2.对项目总体有一定的认识，方案较为完整、细致，思路较清晰，基本符合项目需求，该项得1.5分；</w:t>
            </w:r>
          </w:p>
          <w:p>
            <w:pPr>
              <w:widowControl/>
              <w:ind w:firstLine="420"/>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3.方案不细致，欠完善，与项目需求响应度低，项目理解思路一般该项得0.5分。</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sz w:val="21"/>
                <w:szCs w:val="21"/>
                <w:highlight w:val="none"/>
                <w:lang w:val="en-US" w:eastAsia="zh-CN" w:bidi="ar"/>
              </w:rPr>
              <w:t>4.不提供或者经评标委员会不认可的不得分。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8" w:type="dxa"/>
            <w:vMerge w:val="continue"/>
            <w:noWrap w:val="0"/>
            <w:vAlign w:val="center"/>
          </w:tcPr>
          <w:p>
            <w:pPr>
              <w:widowControl/>
              <w:jc w:val="center"/>
              <w:rPr>
                <w:rFonts w:hint="eastAsia" w:ascii="宋体" w:hAnsi="宋体" w:eastAsia="宋体" w:cs="宋体"/>
                <w:sz w:val="21"/>
                <w:szCs w:val="21"/>
                <w:highlight w:val="none"/>
                <w:lang w:bidi="ar"/>
              </w:rPr>
            </w:pPr>
          </w:p>
        </w:tc>
        <w:tc>
          <w:tcPr>
            <w:tcW w:w="1090" w:type="dxa"/>
            <w:vMerge w:val="continue"/>
            <w:noWrap w:val="0"/>
            <w:vAlign w:val="center"/>
          </w:tcPr>
          <w:p>
            <w:pPr>
              <w:widowControl/>
              <w:jc w:val="center"/>
              <w:rPr>
                <w:rFonts w:hint="eastAsia" w:ascii="宋体" w:hAnsi="宋体" w:eastAsia="宋体" w:cs="宋体"/>
                <w:sz w:val="21"/>
                <w:szCs w:val="21"/>
                <w:highlight w:val="none"/>
                <w:lang w:bidi="ar"/>
              </w:rPr>
            </w:pPr>
          </w:p>
        </w:tc>
        <w:tc>
          <w:tcPr>
            <w:tcW w:w="1079" w:type="dxa"/>
            <w:noWrap w:val="0"/>
            <w:vAlign w:val="center"/>
          </w:tcPr>
          <w:p>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运维服务方案</w:t>
            </w:r>
          </w:p>
        </w:tc>
        <w:tc>
          <w:tcPr>
            <w:tcW w:w="783" w:type="dxa"/>
            <w:noWrap w:val="0"/>
            <w:vAlign w:val="center"/>
          </w:tcPr>
          <w:p>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4</w:t>
            </w:r>
          </w:p>
        </w:tc>
        <w:tc>
          <w:tcPr>
            <w:tcW w:w="4818" w:type="dxa"/>
            <w:noWrap w:val="0"/>
            <w:vAlign w:val="center"/>
          </w:tcPr>
          <w:p>
            <w:pPr>
              <w:widowControl/>
              <w:ind w:left="210" w:firstLine="21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投标人提供的运维服务方案包含但不限于</w:t>
            </w:r>
            <w:r>
              <w:rPr>
                <w:rFonts w:hint="eastAsia" w:ascii="宋体" w:hAnsi="宋体" w:eastAsia="宋体" w:cs="宋体"/>
                <w:color w:val="auto"/>
                <w:sz w:val="21"/>
                <w:szCs w:val="21"/>
                <w:highlight w:val="none"/>
                <w:lang w:val="en-US" w:eastAsia="zh-CN" w:bidi="ar"/>
              </w:rPr>
              <w:t>日常运维方案、</w:t>
            </w:r>
            <w:r>
              <w:rPr>
                <w:rFonts w:hint="eastAsia" w:ascii="宋体" w:hAnsi="宋体" w:eastAsia="宋体" w:cs="宋体"/>
                <w:color w:val="auto"/>
                <w:sz w:val="21"/>
                <w:szCs w:val="21"/>
                <w:highlight w:val="none"/>
                <w:lang w:bidi="ar"/>
              </w:rPr>
              <w:t>突发事件处理等内容。</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满足以上2项要求最多得</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分；满足任意一项最多得</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分；其余情况不得分。</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注：评审委员会根据各供应商的具体响应内容按照以下量化的评审因素指标对各项要求进行满足性判断：</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1.方案完整详尽，专业性、可行性强，考虑周全，思路清晰，符合项目需求该项得</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分；</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2.对项目总体有一定的认识，方案较为完整、细致，思路较清晰，基本符合项目需求，该项得</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3.方案不细致，欠完善，与项目需求响应度低，项目理解思路一般该项得0.5分。</w:t>
            </w:r>
          </w:p>
          <w:p>
            <w:pPr>
              <w:widowControl/>
              <w:ind w:firstLine="42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4.不提供或者经评标委员会不认可的不得分。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548" w:type="dxa"/>
            <w:vMerge w:val="continue"/>
            <w:noWrap w:val="0"/>
            <w:vAlign w:val="center"/>
          </w:tcPr>
          <w:p>
            <w:pPr>
              <w:jc w:val="center"/>
              <w:rPr>
                <w:rFonts w:hint="eastAsia" w:ascii="宋体" w:hAnsi="宋体" w:eastAsia="宋体" w:cs="宋体"/>
                <w:sz w:val="21"/>
                <w:szCs w:val="21"/>
                <w:highlight w:val="none"/>
              </w:rPr>
            </w:pPr>
          </w:p>
        </w:tc>
        <w:tc>
          <w:tcPr>
            <w:tcW w:w="1090" w:type="dxa"/>
            <w:vMerge w:val="continue"/>
            <w:noWrap w:val="0"/>
            <w:vAlign w:val="center"/>
          </w:tcPr>
          <w:p>
            <w:pPr>
              <w:jc w:val="center"/>
              <w:rPr>
                <w:rFonts w:hint="eastAsia" w:ascii="宋体" w:hAnsi="宋体" w:eastAsia="宋体" w:cs="宋体"/>
                <w:sz w:val="21"/>
                <w:szCs w:val="21"/>
                <w:highlight w:val="none"/>
              </w:rPr>
            </w:pPr>
          </w:p>
        </w:tc>
        <w:tc>
          <w:tcPr>
            <w:tcW w:w="1079"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培训方案</w:t>
            </w:r>
          </w:p>
        </w:tc>
        <w:tc>
          <w:tcPr>
            <w:tcW w:w="783" w:type="dxa"/>
            <w:noWrap w:val="0"/>
            <w:vAlign w:val="center"/>
          </w:tcPr>
          <w:p>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4</w:t>
            </w:r>
          </w:p>
        </w:tc>
        <w:tc>
          <w:tcPr>
            <w:tcW w:w="4818" w:type="dxa"/>
            <w:noWrap w:val="0"/>
            <w:vAlign w:val="center"/>
          </w:tcPr>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投标人提供的服务保证措施方案包含但不限于培训内容、培训人员安排、培训进度安排等内容。</w:t>
            </w:r>
          </w:p>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满足以上3项要求最多得</w:t>
            </w:r>
            <w:r>
              <w:rPr>
                <w:rFonts w:hint="eastAsia" w:ascii="宋体" w:hAnsi="宋体" w:eastAsia="宋体" w:cs="宋体"/>
                <w:sz w:val="21"/>
                <w:szCs w:val="21"/>
                <w:highlight w:val="none"/>
                <w:lang w:val="en-US" w:eastAsia="zh-CN" w:bidi="ar"/>
              </w:rPr>
              <w:t>4</w:t>
            </w:r>
            <w:r>
              <w:rPr>
                <w:rFonts w:hint="eastAsia" w:ascii="宋体" w:hAnsi="宋体" w:eastAsia="宋体" w:cs="宋体"/>
                <w:sz w:val="21"/>
                <w:szCs w:val="21"/>
                <w:highlight w:val="none"/>
                <w:lang w:bidi="ar"/>
              </w:rPr>
              <w:t>分；满足任意一项最多得</w:t>
            </w:r>
            <w:r>
              <w:rPr>
                <w:rFonts w:hint="eastAsia" w:ascii="宋体" w:hAnsi="宋体" w:eastAsia="宋体" w:cs="宋体"/>
                <w:sz w:val="21"/>
                <w:szCs w:val="21"/>
                <w:highlight w:val="none"/>
                <w:lang w:val="en-US" w:eastAsia="zh-CN" w:bidi="ar"/>
              </w:rPr>
              <w:t>2</w:t>
            </w:r>
            <w:r>
              <w:rPr>
                <w:rFonts w:hint="eastAsia" w:ascii="宋体" w:hAnsi="宋体" w:eastAsia="宋体" w:cs="宋体"/>
                <w:sz w:val="21"/>
                <w:szCs w:val="21"/>
                <w:highlight w:val="none"/>
                <w:lang w:bidi="ar"/>
              </w:rPr>
              <w:t>分；其余情况不得分。</w:t>
            </w:r>
          </w:p>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注：评审委员会根据各供应商的具体响应内容按照以下量化的评审因素指标对各项要求进行满足性判断：</w:t>
            </w:r>
          </w:p>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1.方案完整详尽，专业性、可行性强，考虑周全，思路清晰，符合项目需求该项得</w:t>
            </w:r>
            <w:r>
              <w:rPr>
                <w:rFonts w:hint="eastAsia" w:ascii="宋体" w:hAnsi="宋体" w:eastAsia="宋体" w:cs="宋体"/>
                <w:sz w:val="21"/>
                <w:szCs w:val="21"/>
                <w:highlight w:val="none"/>
                <w:lang w:val="en-US" w:eastAsia="zh-CN" w:bidi="ar"/>
              </w:rPr>
              <w:t>2</w:t>
            </w:r>
            <w:r>
              <w:rPr>
                <w:rFonts w:hint="eastAsia" w:ascii="宋体" w:hAnsi="宋体" w:eastAsia="宋体" w:cs="宋体"/>
                <w:sz w:val="21"/>
                <w:szCs w:val="21"/>
                <w:highlight w:val="none"/>
                <w:lang w:bidi="ar"/>
              </w:rPr>
              <w:t>分；</w:t>
            </w:r>
          </w:p>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2.对项目总体有一定的认识，方案较为完整、细致，思路较清晰，基本符合项目需求，该项得</w:t>
            </w:r>
            <w:r>
              <w:rPr>
                <w:rFonts w:hint="eastAsia" w:ascii="宋体" w:hAnsi="宋体" w:eastAsia="宋体" w:cs="宋体"/>
                <w:sz w:val="21"/>
                <w:szCs w:val="21"/>
                <w:highlight w:val="none"/>
                <w:lang w:val="en-US" w:eastAsia="zh-CN" w:bidi="ar"/>
              </w:rPr>
              <w:t>1</w:t>
            </w:r>
            <w:r>
              <w:rPr>
                <w:rFonts w:hint="eastAsia" w:ascii="宋体" w:hAnsi="宋体" w:eastAsia="宋体" w:cs="宋体"/>
                <w:sz w:val="21"/>
                <w:szCs w:val="21"/>
                <w:highlight w:val="none"/>
                <w:lang w:bidi="ar"/>
              </w:rPr>
              <w:t>分；</w:t>
            </w:r>
          </w:p>
          <w:p>
            <w:pPr>
              <w:widowControl/>
              <w:ind w:firstLine="42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3.方案不细致，欠完善，与项目需求响应度低，项目理解思路一般该项得</w:t>
            </w:r>
            <w:r>
              <w:rPr>
                <w:rFonts w:hint="eastAsia" w:ascii="宋体" w:hAnsi="宋体" w:eastAsia="宋体" w:cs="宋体"/>
                <w:sz w:val="21"/>
                <w:szCs w:val="21"/>
                <w:highlight w:val="none"/>
                <w:lang w:val="en-US" w:eastAsia="zh-CN" w:bidi="ar"/>
              </w:rPr>
              <w:t>0.5</w:t>
            </w:r>
            <w:r>
              <w:rPr>
                <w:rFonts w:hint="eastAsia" w:ascii="宋体" w:hAnsi="宋体" w:eastAsia="宋体" w:cs="宋体"/>
                <w:sz w:val="21"/>
                <w:szCs w:val="21"/>
                <w:highlight w:val="none"/>
                <w:lang w:bidi="ar"/>
              </w:rPr>
              <w:t>分。</w:t>
            </w:r>
          </w:p>
          <w:p>
            <w:pPr>
              <w:widowControl/>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4.不提供或者经评标委员会不认可的不得分。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trPr>
        <w:tc>
          <w:tcPr>
            <w:tcW w:w="548" w:type="dxa"/>
            <w:vMerge w:val="restart"/>
            <w:noWrap w:val="0"/>
            <w:vAlign w:val="center"/>
          </w:tcPr>
          <w:p>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五</w:t>
            </w:r>
          </w:p>
        </w:tc>
        <w:tc>
          <w:tcPr>
            <w:tcW w:w="1090" w:type="dxa"/>
            <w:vMerge w:val="restart"/>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其他</w:t>
            </w:r>
          </w:p>
        </w:tc>
        <w:tc>
          <w:tcPr>
            <w:tcW w:w="1079" w:type="dxa"/>
            <w:noWrap w:val="0"/>
            <w:vAlign w:val="center"/>
          </w:tcPr>
          <w:p>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业绩</w:t>
            </w:r>
          </w:p>
        </w:tc>
        <w:tc>
          <w:tcPr>
            <w:tcW w:w="783" w:type="dxa"/>
            <w:noWrap w:val="0"/>
            <w:vAlign w:val="center"/>
          </w:tcPr>
          <w:p>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2</w:t>
            </w:r>
          </w:p>
        </w:tc>
        <w:tc>
          <w:tcPr>
            <w:tcW w:w="4818" w:type="dxa"/>
            <w:noWrap w:val="0"/>
            <w:vAlign w:val="center"/>
          </w:tcPr>
          <w:p>
            <w:pPr>
              <w:widowControl/>
              <w:ind w:firstLine="472"/>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投标人</w:t>
            </w:r>
            <w:r>
              <w:rPr>
                <w:rFonts w:hint="eastAsia" w:ascii="宋体" w:hAnsi="宋体" w:eastAsia="宋体" w:cs="宋体"/>
                <w:sz w:val="21"/>
                <w:szCs w:val="21"/>
                <w:highlight w:val="none"/>
                <w:lang w:val="en-US" w:eastAsia="zh-CN" w:bidi="ar"/>
              </w:rPr>
              <w:t>自2021年以来承担过</w:t>
            </w:r>
            <w:r>
              <w:rPr>
                <w:rFonts w:hint="eastAsia" w:ascii="宋体" w:hAnsi="宋体" w:eastAsia="宋体" w:cs="宋体"/>
                <w:sz w:val="21"/>
                <w:szCs w:val="21"/>
                <w:highlight w:val="none"/>
                <w:lang w:bidi="ar"/>
              </w:rPr>
              <w:t>智慧停车等相关项目业绩建设经验的，每有一个得</w:t>
            </w:r>
            <w:r>
              <w:rPr>
                <w:rFonts w:hint="eastAsia" w:ascii="宋体" w:hAnsi="宋体" w:eastAsia="宋体" w:cs="宋体"/>
                <w:sz w:val="21"/>
                <w:szCs w:val="21"/>
                <w:highlight w:val="none"/>
                <w:lang w:val="en-US" w:eastAsia="zh-CN" w:bidi="ar"/>
              </w:rPr>
              <w:t>1</w:t>
            </w:r>
            <w:r>
              <w:rPr>
                <w:rFonts w:hint="eastAsia" w:ascii="宋体" w:hAnsi="宋体" w:eastAsia="宋体" w:cs="宋体"/>
                <w:sz w:val="21"/>
                <w:szCs w:val="21"/>
                <w:highlight w:val="none"/>
                <w:lang w:bidi="ar"/>
              </w:rPr>
              <w:t>分，本项最多得</w:t>
            </w:r>
            <w:r>
              <w:rPr>
                <w:rFonts w:hint="eastAsia" w:ascii="宋体" w:hAnsi="宋体" w:eastAsia="宋体" w:cs="宋体"/>
                <w:sz w:val="21"/>
                <w:szCs w:val="21"/>
                <w:highlight w:val="none"/>
                <w:lang w:val="en-US" w:eastAsia="zh-CN" w:bidi="ar"/>
              </w:rPr>
              <w:t>2</w:t>
            </w:r>
            <w:r>
              <w:rPr>
                <w:rFonts w:hint="eastAsia" w:ascii="宋体" w:hAnsi="宋体" w:eastAsia="宋体" w:cs="宋体"/>
                <w:sz w:val="21"/>
                <w:szCs w:val="21"/>
                <w:highlight w:val="none"/>
                <w:lang w:bidi="ar"/>
              </w:rPr>
              <w:t>分。</w:t>
            </w:r>
          </w:p>
          <w:p>
            <w:pPr>
              <w:widowControl/>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（投标文件中需同时提供</w:t>
            </w:r>
            <w:r>
              <w:rPr>
                <w:rFonts w:hint="eastAsia" w:ascii="宋体" w:hAnsi="宋体" w:eastAsia="宋体" w:cs="宋体"/>
                <w:sz w:val="21"/>
                <w:szCs w:val="21"/>
                <w:highlight w:val="none"/>
                <w:lang w:val="en-US" w:eastAsia="zh-CN" w:bidi="ar"/>
              </w:rPr>
              <w:t>完整的中标通知书、</w:t>
            </w:r>
            <w:r>
              <w:rPr>
                <w:rFonts w:hint="eastAsia" w:ascii="宋体" w:hAnsi="宋体" w:eastAsia="宋体" w:cs="宋体"/>
                <w:sz w:val="21"/>
                <w:szCs w:val="21"/>
                <w:highlight w:val="none"/>
                <w:lang w:bidi="ar"/>
              </w:rPr>
              <w:t>合同</w:t>
            </w:r>
            <w:r>
              <w:rPr>
                <w:rFonts w:hint="eastAsia" w:ascii="宋体" w:hAnsi="宋体" w:eastAsia="宋体" w:cs="宋体"/>
                <w:sz w:val="21"/>
                <w:szCs w:val="21"/>
                <w:highlight w:val="none"/>
                <w:lang w:val="en-US" w:eastAsia="zh-CN" w:bidi="ar"/>
              </w:rPr>
              <w:t>彩色</w:t>
            </w:r>
            <w:r>
              <w:rPr>
                <w:rFonts w:hint="eastAsia" w:ascii="宋体" w:hAnsi="宋体" w:eastAsia="宋体" w:cs="宋体"/>
                <w:sz w:val="21"/>
                <w:szCs w:val="21"/>
                <w:highlight w:val="none"/>
                <w:lang w:bidi="ar"/>
              </w:rPr>
              <w:t>影印件关键页码和验收证明影印件。注：如证明材料无法体现审评点，须另提供项目委托方出具的证明材料影印件，否则不予认可</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不得分。</w:t>
            </w:r>
            <w:r>
              <w:rPr>
                <w:rFonts w:hint="eastAsia" w:ascii="宋体" w:hAnsi="宋体" w:eastAsia="宋体" w:cs="宋体"/>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548" w:type="dxa"/>
            <w:vMerge w:val="continue"/>
            <w:noWrap w:val="0"/>
            <w:vAlign w:val="center"/>
          </w:tcPr>
          <w:p>
            <w:pPr>
              <w:widowControl/>
              <w:jc w:val="center"/>
              <w:rPr>
                <w:rFonts w:hint="eastAsia" w:ascii="宋体" w:hAnsi="宋体" w:eastAsia="宋体" w:cs="宋体"/>
                <w:sz w:val="21"/>
                <w:szCs w:val="21"/>
                <w:highlight w:val="none"/>
                <w:lang w:bidi="ar"/>
              </w:rPr>
            </w:pPr>
          </w:p>
        </w:tc>
        <w:tc>
          <w:tcPr>
            <w:tcW w:w="1090" w:type="dxa"/>
            <w:vMerge w:val="continue"/>
            <w:noWrap w:val="0"/>
            <w:vAlign w:val="center"/>
          </w:tcPr>
          <w:p>
            <w:pPr>
              <w:widowControl/>
              <w:jc w:val="center"/>
              <w:rPr>
                <w:rFonts w:hint="eastAsia" w:ascii="宋体" w:hAnsi="宋体" w:eastAsia="宋体" w:cs="宋体"/>
                <w:sz w:val="21"/>
                <w:szCs w:val="21"/>
                <w:highlight w:val="none"/>
                <w:lang w:bidi="ar"/>
              </w:rPr>
            </w:pPr>
          </w:p>
        </w:tc>
        <w:tc>
          <w:tcPr>
            <w:tcW w:w="1079" w:type="dxa"/>
            <w:noWrap w:val="0"/>
            <w:vAlign w:val="center"/>
          </w:tcPr>
          <w:p>
            <w:pPr>
              <w:widowControl/>
              <w:jc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节能环保</w:t>
            </w:r>
          </w:p>
        </w:tc>
        <w:tc>
          <w:tcPr>
            <w:tcW w:w="783" w:type="dxa"/>
            <w:noWrap w:val="0"/>
            <w:vAlign w:val="center"/>
          </w:tcPr>
          <w:p>
            <w:pPr>
              <w:widowControl/>
              <w:jc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w:t>
            </w:r>
          </w:p>
        </w:tc>
        <w:tc>
          <w:tcPr>
            <w:tcW w:w="4818" w:type="dxa"/>
            <w:noWrap w:val="0"/>
            <w:vAlign w:val="center"/>
          </w:tcPr>
          <w:p>
            <w:pPr>
              <w:widowControl/>
              <w:ind w:firstLine="420"/>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1</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bidi="ar"/>
              </w:rPr>
              <w:t>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pPr>
              <w:widowControl/>
              <w:ind w:firstLine="420"/>
              <w:jc w:val="lef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2</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bidi="ar"/>
              </w:rPr>
              <w:t>投标产品属于财政部、生态环境部公布的“环境标志产品品目清单”范围内的，投标人提供国家确定的认证机构出具的、处于有效期内的该环保产品认证证书复印件的，有1个得0.5分，最多得1分。</w:t>
            </w:r>
          </w:p>
        </w:tc>
      </w:tr>
    </w:tbl>
    <w:p>
      <w:pPr>
        <w:pStyle w:val="32"/>
        <w:spacing w:beforeAutospacing="0" w:afterAutospacing="0" w:line="360" w:lineRule="auto"/>
        <w:ind w:firstLine="480"/>
        <w:jc w:val="both"/>
        <w:rPr>
          <w:rFonts w:hint="eastAsia" w:ascii="宋体" w:hAnsi="宋体" w:eastAsia="宋体" w:cs="宋体"/>
          <w:color w:val="000000"/>
          <w:highlight w:val="none"/>
        </w:rPr>
      </w:pPr>
    </w:p>
    <w:p>
      <w:pPr>
        <w:pStyle w:val="32"/>
        <w:spacing w:beforeAutospacing="0" w:afterAutospacing="0" w:line="360" w:lineRule="auto"/>
        <w:ind w:firstLine="480"/>
        <w:jc w:val="both"/>
        <w:rPr>
          <w:rFonts w:hint="eastAsia" w:ascii="宋体" w:hAnsi="宋体" w:eastAsia="宋体" w:cs="宋体"/>
          <w:color w:val="000000"/>
          <w:highlight w:val="none"/>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lang w:val="en-US" w:eastAsia="zh-CN"/>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lang w:val="en-US" w:eastAsia="zh-CN"/>
        </w:rPr>
      </w:pPr>
    </w:p>
    <w:p>
      <w:pPr>
        <w:pStyle w:val="32"/>
        <w:spacing w:before="120" w:beforeAutospacing="0" w:after="120" w:afterAutospacing="0" w:line="0" w:lineRule="atLeast"/>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lang w:val="en-US" w:eastAsia="zh-CN"/>
        </w:rPr>
        <w:t>第六章  投标文件格式</w:t>
      </w:r>
      <w:r>
        <w:rPr>
          <w:rFonts w:hint="eastAsia" w:ascii="黑体" w:hAnsi="宋体" w:eastAsia="黑体" w:cs="黑体"/>
          <w:color w:val="000000"/>
          <w:sz w:val="44"/>
          <w:szCs w:val="44"/>
          <w:highlight w:val="none"/>
        </w:rPr>
        <w:t xml:space="preserve"> </w:t>
      </w:r>
    </w:p>
    <w:p>
      <w:pPr>
        <w:pStyle w:val="32"/>
        <w:spacing w:beforeAutospacing="0" w:afterAutospacing="0"/>
        <w:jc w:val="center"/>
        <w:rPr>
          <w:rFonts w:hint="eastAsia" w:ascii="宋体" w:hAnsi="宋体" w:eastAsia="宋体" w:cs="宋体"/>
          <w:b/>
          <w:color w:val="000000"/>
          <w:sz w:val="72"/>
          <w:szCs w:val="72"/>
          <w:highlight w:val="none"/>
        </w:rPr>
      </w:pPr>
      <w:bookmarkStart w:id="178" w:name="_Toc49090576"/>
      <w:bookmarkEnd w:id="178"/>
      <w:bookmarkStart w:id="179" w:name="_Toc120614282"/>
      <w:bookmarkEnd w:id="179"/>
      <w:bookmarkStart w:id="180" w:name="_Hlt26955039"/>
      <w:bookmarkStart w:id="181" w:name="_Toc26554094"/>
      <w:bookmarkStart w:id="182" w:name="_Hlt26671244"/>
    </w:p>
    <w:p>
      <w:pPr>
        <w:pStyle w:val="32"/>
        <w:spacing w:beforeAutospacing="0" w:afterAutospacing="0"/>
        <w:jc w:val="center"/>
        <w:rPr>
          <w:rFonts w:hint="eastAsia" w:ascii="宋体" w:hAnsi="宋体" w:eastAsia="宋体" w:cs="宋体"/>
          <w:b/>
          <w:color w:val="000000"/>
          <w:sz w:val="72"/>
          <w:szCs w:val="72"/>
          <w:highlight w:val="none"/>
        </w:rPr>
      </w:pPr>
    </w:p>
    <w:p>
      <w:pPr>
        <w:pStyle w:val="32"/>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pPr>
        <w:pStyle w:val="32"/>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pPr>
        <w:pStyle w:val="32"/>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pPr>
        <w:pStyle w:val="32"/>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pPr>
        <w:pStyle w:val="32"/>
        <w:spacing w:beforeAutospacing="0" w:afterAutospacing="0" w:line="0" w:lineRule="atLeast"/>
        <w:jc w:val="center"/>
        <w:rPr>
          <w:highlight w:val="none"/>
        </w:rPr>
      </w:pPr>
      <w:r>
        <w:rPr>
          <w:highlight w:val="none"/>
        </w:rPr>
        <w:t> </w:t>
      </w:r>
    </w:p>
    <w:p>
      <w:pPr>
        <w:pStyle w:val="32"/>
        <w:keepNext w:val="0"/>
        <w:keepLines w:val="0"/>
        <w:pageBreakBefore w:val="0"/>
        <w:spacing w:beforeAutospacing="0" w:afterAutospacing="0" w:line="440" w:lineRule="exact"/>
        <w:ind w:firstLine="560"/>
        <w:jc w:val="both"/>
        <w:rPr>
          <w:i w:val="0"/>
          <w:iCs/>
          <w:sz w:val="28"/>
          <w:szCs w:val="28"/>
          <w:highlight w:val="none"/>
          <w:u w:val="none"/>
        </w:rPr>
      </w:pPr>
      <w:r>
        <w:rPr>
          <w:rFonts w:hint="eastAsia" w:ascii="宋体" w:hAnsi="宋体" w:eastAsia="宋体" w:cs="宋体"/>
          <w:i w:val="0"/>
          <w:iCs/>
          <w:color w:val="000000"/>
          <w:sz w:val="28"/>
          <w:szCs w:val="28"/>
          <w:highlight w:val="none"/>
          <w:u w:val="none"/>
        </w:rPr>
        <w:t>一、法人或者其他组织的营业执照等证明文件，自然人的身份证明</w:t>
      </w:r>
    </w:p>
    <w:p>
      <w:pPr>
        <w:keepNext w:val="0"/>
        <w:keepLines w:val="0"/>
        <w:pageBreakBefore w:val="0"/>
        <w:tabs>
          <w:tab w:val="left" w:pos="1331"/>
        </w:tabs>
        <w:spacing w:line="440" w:lineRule="exact"/>
        <w:ind w:firstLine="560"/>
        <w:jc w:val="left"/>
        <w:rPr>
          <w:i w:val="0"/>
          <w:iCs/>
          <w:sz w:val="28"/>
          <w:szCs w:val="28"/>
          <w:highlight w:val="none"/>
          <w:u w:val="none"/>
        </w:rPr>
      </w:pPr>
      <w:r>
        <w:rPr>
          <w:rFonts w:hint="eastAsia" w:ascii="宋体" w:hAnsi="宋体" w:eastAsia="宋体" w:cs="宋体"/>
          <w:i w:val="0"/>
          <w:iCs/>
          <w:color w:val="000000"/>
          <w:sz w:val="28"/>
          <w:szCs w:val="28"/>
          <w:highlight w:val="none"/>
          <w:u w:val="none"/>
          <w:lang w:val="en-US" w:eastAsia="zh-CN" w:bidi="ar-SA"/>
        </w:rPr>
        <w:t>二、上一年度或上上年度的财务状况报表（至少提供资产负债表、利润表、现金流量表，</w:t>
      </w:r>
      <w:r>
        <w:rPr>
          <w:rFonts w:hint="eastAsia" w:ascii="宋体" w:hAnsi="宋体" w:eastAsia="宋体" w:cs="宋体"/>
          <w:i w:val="0"/>
          <w:iCs/>
          <w:color w:val="000000"/>
          <w:sz w:val="28"/>
          <w:szCs w:val="28"/>
          <w:highlight w:val="none"/>
          <w:u w:val="none"/>
        </w:rPr>
        <w:t>投标人成立不满一年无需提供）</w:t>
      </w:r>
    </w:p>
    <w:p>
      <w:pPr>
        <w:pStyle w:val="32"/>
        <w:keepNext w:val="0"/>
        <w:keepLines w:val="0"/>
        <w:pageBreakBefore w:val="0"/>
        <w:spacing w:beforeAutospacing="0" w:afterAutospacing="0" w:line="440" w:lineRule="exact"/>
        <w:ind w:firstLine="560"/>
        <w:jc w:val="both"/>
        <w:rPr>
          <w:rFonts w:hint="eastAsia" w:ascii="宋体" w:hAnsi="宋体" w:eastAsia="宋体" w:cs="宋体"/>
          <w:i w:val="0"/>
          <w:iCs/>
          <w:color w:val="000000"/>
          <w:sz w:val="28"/>
          <w:szCs w:val="28"/>
          <w:highlight w:val="none"/>
          <w:u w:val="none"/>
        </w:rPr>
      </w:pPr>
      <w:r>
        <w:rPr>
          <w:rFonts w:hint="eastAsia" w:ascii="宋体" w:hAnsi="宋体" w:eastAsia="宋体" w:cs="宋体"/>
          <w:i w:val="0"/>
          <w:iCs/>
          <w:color w:val="000000"/>
          <w:sz w:val="28"/>
          <w:szCs w:val="28"/>
          <w:highlight w:val="none"/>
          <w:u w:val="none"/>
          <w:lang w:val="en-US" w:eastAsia="zh-CN"/>
        </w:rPr>
        <w:t>三</w:t>
      </w:r>
      <w:r>
        <w:rPr>
          <w:rFonts w:hint="eastAsia" w:ascii="宋体" w:hAnsi="宋体" w:eastAsia="宋体" w:cs="宋体"/>
          <w:i w:val="0"/>
          <w:iCs/>
          <w:color w:val="000000"/>
          <w:sz w:val="28"/>
          <w:szCs w:val="28"/>
          <w:highlight w:val="none"/>
          <w:u w:val="none"/>
        </w:rPr>
        <w:t>、具备履行合同所必需的设备和专业技术能力的书面声明</w:t>
      </w:r>
    </w:p>
    <w:p>
      <w:pPr>
        <w:pStyle w:val="32"/>
        <w:keepNext w:val="0"/>
        <w:keepLines w:val="0"/>
        <w:pageBreakBefore w:val="0"/>
        <w:spacing w:beforeAutospacing="0" w:afterAutospacing="0" w:line="440" w:lineRule="exact"/>
        <w:ind w:firstLine="560"/>
        <w:jc w:val="both"/>
        <w:rPr>
          <w:rFonts w:hint="eastAsia" w:ascii="宋体" w:hAnsi="宋体" w:eastAsia="宋体" w:cs="宋体"/>
          <w:i w:val="0"/>
          <w:iCs/>
          <w:color w:val="000000"/>
          <w:sz w:val="28"/>
          <w:szCs w:val="28"/>
          <w:highlight w:val="none"/>
          <w:u w:val="none"/>
        </w:rPr>
      </w:pPr>
      <w:r>
        <w:rPr>
          <w:rFonts w:hint="eastAsia" w:ascii="宋体" w:hAnsi="宋体" w:eastAsia="宋体" w:cs="宋体"/>
          <w:i w:val="0"/>
          <w:iCs/>
          <w:color w:val="000000"/>
          <w:sz w:val="28"/>
          <w:szCs w:val="28"/>
          <w:highlight w:val="none"/>
          <w:u w:val="none"/>
          <w:lang w:val="en-US" w:eastAsia="zh-CN"/>
        </w:rPr>
        <w:t>四</w:t>
      </w:r>
      <w:r>
        <w:rPr>
          <w:rFonts w:hint="eastAsia" w:ascii="宋体" w:hAnsi="宋体" w:eastAsia="宋体" w:cs="宋体"/>
          <w:i w:val="0"/>
          <w:iCs/>
          <w:color w:val="000000"/>
          <w:sz w:val="28"/>
          <w:szCs w:val="28"/>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pPr>
        <w:pStyle w:val="32"/>
        <w:keepNext w:val="0"/>
        <w:keepLines w:val="0"/>
        <w:pageBreakBefore w:val="0"/>
        <w:spacing w:beforeAutospacing="0" w:afterAutospacing="0" w:line="440" w:lineRule="exact"/>
        <w:ind w:firstLine="560"/>
        <w:jc w:val="both"/>
        <w:rPr>
          <w:i w:val="0"/>
          <w:iCs/>
          <w:sz w:val="28"/>
          <w:szCs w:val="28"/>
          <w:highlight w:val="none"/>
          <w:u w:val="none"/>
        </w:rPr>
      </w:pPr>
      <w:r>
        <w:rPr>
          <w:rFonts w:hint="eastAsia" w:ascii="宋体" w:hAnsi="宋体" w:eastAsia="宋体" w:cs="宋体"/>
          <w:i w:val="0"/>
          <w:iCs/>
          <w:color w:val="000000"/>
          <w:sz w:val="28"/>
          <w:szCs w:val="28"/>
          <w:highlight w:val="none"/>
          <w:u w:val="none"/>
        </w:rPr>
        <w:t>五、参加政府采购活动前 3 年内在经营活动中没有重大违法记录的书面声明</w:t>
      </w:r>
    </w:p>
    <w:p>
      <w:pPr>
        <w:pStyle w:val="32"/>
        <w:keepNext w:val="0"/>
        <w:keepLines w:val="0"/>
        <w:pageBreakBefore w:val="0"/>
        <w:spacing w:beforeAutospacing="0" w:afterAutospacing="0" w:line="440" w:lineRule="exact"/>
        <w:ind w:firstLine="560"/>
        <w:jc w:val="both"/>
        <w:rPr>
          <w:rFonts w:hint="eastAsia" w:ascii="宋体" w:hAnsi="宋体" w:eastAsia="宋体" w:cs="宋体"/>
          <w:i w:val="0"/>
          <w:iCs/>
          <w:color w:val="000000"/>
          <w:sz w:val="28"/>
          <w:szCs w:val="28"/>
          <w:highlight w:val="none"/>
          <w:u w:val="none"/>
        </w:rPr>
      </w:pPr>
      <w:r>
        <w:rPr>
          <w:rFonts w:hint="eastAsia" w:ascii="宋体" w:hAnsi="宋体" w:eastAsia="宋体" w:cs="宋体"/>
          <w:i w:val="0"/>
          <w:iCs/>
          <w:color w:val="000000"/>
          <w:sz w:val="28"/>
          <w:szCs w:val="28"/>
          <w:highlight w:val="none"/>
          <w:u w:val="none"/>
          <w:lang w:val="en-US" w:eastAsia="zh-CN"/>
        </w:rPr>
        <w:t>六、</w:t>
      </w:r>
      <w:r>
        <w:rPr>
          <w:rFonts w:hint="eastAsia" w:ascii="宋体" w:hAnsi="宋体" w:eastAsia="宋体" w:cs="宋体"/>
          <w:i w:val="0"/>
          <w:iCs/>
          <w:color w:val="000000"/>
          <w:sz w:val="28"/>
          <w:szCs w:val="28"/>
          <w:highlight w:val="none"/>
          <w:u w:val="none"/>
        </w:rPr>
        <w:t>投标人法定代表人身份证明和投标文件签署授权委托书（另附法定代表人和被授权人的身份证复印件）</w:t>
      </w:r>
    </w:p>
    <w:p>
      <w:pPr>
        <w:pStyle w:val="32"/>
        <w:keepNext w:val="0"/>
        <w:keepLines w:val="0"/>
        <w:pageBreakBefore w:val="0"/>
        <w:spacing w:beforeAutospacing="0" w:afterAutospacing="0" w:line="440" w:lineRule="exact"/>
        <w:ind w:firstLine="560"/>
        <w:jc w:val="both"/>
        <w:rPr>
          <w:i w:val="0"/>
          <w:iCs/>
          <w:sz w:val="28"/>
          <w:szCs w:val="28"/>
          <w:highlight w:val="none"/>
          <w:u w:val="none"/>
        </w:rPr>
      </w:pPr>
      <w:r>
        <w:rPr>
          <w:rFonts w:hint="eastAsia" w:ascii="宋体" w:hAnsi="宋体" w:eastAsia="宋体" w:cs="宋体"/>
          <w:i w:val="0"/>
          <w:iCs/>
          <w:color w:val="000000"/>
          <w:sz w:val="28"/>
          <w:szCs w:val="28"/>
          <w:highlight w:val="none"/>
          <w:u w:val="none"/>
        </w:rPr>
        <w:t>七、投标人为被授权人缴纳的社会养老保险证明</w:t>
      </w:r>
    </w:p>
    <w:p>
      <w:pPr>
        <w:pStyle w:val="32"/>
        <w:keepNext w:val="0"/>
        <w:keepLines w:val="0"/>
        <w:pageBreakBefore w:val="0"/>
        <w:spacing w:beforeAutospacing="0" w:afterAutospacing="0" w:line="440" w:lineRule="exact"/>
        <w:ind w:firstLine="560"/>
        <w:jc w:val="both"/>
        <w:rPr>
          <w:i w:val="0"/>
          <w:iCs/>
          <w:sz w:val="28"/>
          <w:szCs w:val="28"/>
          <w:highlight w:val="none"/>
          <w:u w:val="none"/>
        </w:rPr>
      </w:pPr>
      <w:r>
        <w:rPr>
          <w:rFonts w:hint="eastAsia" w:ascii="宋体" w:hAnsi="宋体" w:eastAsia="宋体" w:cs="宋体"/>
          <w:i w:val="0"/>
          <w:iCs/>
          <w:color w:val="000000"/>
          <w:sz w:val="28"/>
          <w:szCs w:val="28"/>
          <w:highlight w:val="none"/>
          <w:u w:val="none"/>
        </w:rPr>
        <w:t>八、投标函</w:t>
      </w:r>
    </w:p>
    <w:p>
      <w:pPr>
        <w:pStyle w:val="32"/>
        <w:keepNext w:val="0"/>
        <w:keepLines w:val="0"/>
        <w:pageBreakBefore w:val="0"/>
        <w:spacing w:beforeAutospacing="0" w:afterAutospacing="0" w:line="440" w:lineRule="exact"/>
        <w:ind w:firstLine="560"/>
        <w:jc w:val="both"/>
        <w:rPr>
          <w:sz w:val="28"/>
          <w:szCs w:val="28"/>
          <w:highlight w:val="none"/>
        </w:rPr>
      </w:pPr>
      <w:r>
        <w:rPr>
          <w:rFonts w:hint="eastAsia" w:ascii="宋体" w:hAnsi="宋体" w:eastAsia="宋体" w:cs="宋体"/>
          <w:color w:val="000000"/>
          <w:sz w:val="28"/>
          <w:szCs w:val="28"/>
          <w:highlight w:val="none"/>
        </w:rPr>
        <w:t>九、小微企业声明函</w:t>
      </w:r>
    </w:p>
    <w:p>
      <w:pPr>
        <w:pStyle w:val="32"/>
        <w:keepNext w:val="0"/>
        <w:keepLines w:val="0"/>
        <w:pageBreakBefore w:val="0"/>
        <w:spacing w:beforeAutospacing="0" w:afterAutospacing="0" w:line="440" w:lineRule="exact"/>
        <w:ind w:firstLine="560"/>
        <w:jc w:val="both"/>
        <w:rPr>
          <w:sz w:val="28"/>
          <w:szCs w:val="28"/>
          <w:highlight w:val="none"/>
        </w:rPr>
      </w:pPr>
      <w:r>
        <w:rPr>
          <w:rFonts w:hint="eastAsia" w:ascii="宋体" w:hAnsi="宋体" w:eastAsia="宋体" w:cs="宋体"/>
          <w:color w:val="000000"/>
          <w:sz w:val="28"/>
          <w:szCs w:val="28"/>
          <w:highlight w:val="none"/>
        </w:rPr>
        <w:t>十、残疾人福利性单位声明函</w:t>
      </w:r>
    </w:p>
    <w:p>
      <w:pPr>
        <w:pStyle w:val="32"/>
        <w:keepNext w:val="0"/>
        <w:keepLines w:val="0"/>
        <w:pageBreakBefore w:val="0"/>
        <w:spacing w:beforeAutospacing="0" w:afterAutospacing="0" w:line="440" w:lineRule="exact"/>
        <w:ind w:firstLine="560"/>
        <w:jc w:val="both"/>
        <w:rPr>
          <w:sz w:val="28"/>
          <w:szCs w:val="28"/>
          <w:highlight w:val="none"/>
        </w:rPr>
      </w:pPr>
      <w:r>
        <w:rPr>
          <w:rFonts w:hint="eastAsia" w:ascii="宋体" w:hAnsi="宋体" w:eastAsia="宋体" w:cs="宋体"/>
          <w:color w:val="000000"/>
          <w:sz w:val="28"/>
          <w:szCs w:val="28"/>
          <w:highlight w:val="none"/>
        </w:rPr>
        <w:t>十一、投标分项报价表</w:t>
      </w:r>
    </w:p>
    <w:p>
      <w:pPr>
        <w:pStyle w:val="32"/>
        <w:keepNext w:val="0"/>
        <w:keepLines w:val="0"/>
        <w:pageBreakBefore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十</w:t>
      </w:r>
      <w:r>
        <w:rPr>
          <w:rFonts w:hint="eastAsia" w:ascii="宋体" w:hAnsi="宋体" w:eastAsia="宋体" w:cs="宋体"/>
          <w:color w:val="000000"/>
          <w:sz w:val="28"/>
          <w:szCs w:val="28"/>
          <w:highlight w:val="none"/>
          <w:lang w:val="en-US" w:eastAsia="zh-CN"/>
        </w:rPr>
        <w:t>二</w:t>
      </w:r>
      <w:r>
        <w:rPr>
          <w:rFonts w:hint="eastAsia" w:ascii="宋体" w:hAnsi="宋体" w:eastAsia="宋体" w:cs="宋体"/>
          <w:color w:val="000000"/>
          <w:sz w:val="28"/>
          <w:szCs w:val="28"/>
          <w:highlight w:val="none"/>
        </w:rPr>
        <w:t>、技术要求响应及偏离表</w:t>
      </w:r>
    </w:p>
    <w:p>
      <w:pPr>
        <w:pStyle w:val="32"/>
        <w:keepNext w:val="0"/>
        <w:keepLines w:val="0"/>
        <w:pageBreakBefore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十</w:t>
      </w:r>
      <w:r>
        <w:rPr>
          <w:rFonts w:hint="eastAsia" w:ascii="宋体" w:hAnsi="宋体" w:eastAsia="宋体" w:cs="宋体"/>
          <w:color w:val="000000"/>
          <w:sz w:val="28"/>
          <w:szCs w:val="28"/>
          <w:highlight w:val="none"/>
          <w:lang w:val="en-US" w:eastAsia="zh-CN"/>
        </w:rPr>
        <w:t>三</w:t>
      </w:r>
      <w:r>
        <w:rPr>
          <w:rFonts w:hint="eastAsia" w:ascii="宋体" w:hAnsi="宋体" w:eastAsia="宋体" w:cs="宋体"/>
          <w:color w:val="000000"/>
          <w:sz w:val="28"/>
          <w:szCs w:val="28"/>
          <w:highlight w:val="none"/>
        </w:rPr>
        <w:t>、商务要求响应及偏离表</w:t>
      </w:r>
    </w:p>
    <w:p>
      <w:pPr>
        <w:pStyle w:val="32"/>
        <w:keepNext w:val="0"/>
        <w:keepLines w:val="0"/>
        <w:pageBreakBefore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十</w:t>
      </w:r>
      <w:r>
        <w:rPr>
          <w:rFonts w:hint="eastAsia" w:ascii="宋体" w:hAnsi="宋体" w:eastAsia="宋体" w:cs="宋体"/>
          <w:color w:val="000000"/>
          <w:sz w:val="28"/>
          <w:szCs w:val="28"/>
          <w:highlight w:val="none"/>
          <w:lang w:val="en-US" w:eastAsia="zh-CN"/>
        </w:rPr>
        <w:t>四</w:t>
      </w:r>
      <w:r>
        <w:rPr>
          <w:rFonts w:hint="eastAsia" w:ascii="宋体" w:hAnsi="宋体" w:eastAsia="宋体" w:cs="宋体"/>
          <w:color w:val="000000"/>
          <w:sz w:val="28"/>
          <w:szCs w:val="28"/>
          <w:highlight w:val="none"/>
        </w:rPr>
        <w:t>、开标一览表</w:t>
      </w:r>
    </w:p>
    <w:p>
      <w:pPr>
        <w:pStyle w:val="32"/>
        <w:keepNext w:val="0"/>
        <w:keepLines w:val="0"/>
        <w:pageBreakBefore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十五、盐城市政府采购事前信用承诺书</w:t>
      </w:r>
    </w:p>
    <w:p>
      <w:pPr>
        <w:pStyle w:val="32"/>
        <w:keepNext w:val="0"/>
        <w:keepLines w:val="0"/>
        <w:pageBreakBefore w:val="0"/>
        <w:spacing w:beforeAutospacing="0" w:afterAutospacing="0" w:line="440" w:lineRule="exact"/>
        <w:ind w:firstLine="560"/>
        <w:jc w:val="both"/>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十六、与评审有关的其他资料</w:t>
      </w:r>
    </w:p>
    <w:p>
      <w:pPr>
        <w:pStyle w:val="32"/>
        <w:keepNext w:val="0"/>
        <w:keepLines w:val="0"/>
        <w:pageBreakBefore w:val="0"/>
        <w:spacing w:beforeAutospacing="0" w:afterAutospacing="0" w:line="440" w:lineRule="exact"/>
        <w:ind w:firstLine="560"/>
        <w:jc w:val="both"/>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p>
    <w:p>
      <w:pPr>
        <w:pStyle w:val="32"/>
        <w:spacing w:beforeAutospacing="0" w:afterAutospacing="0" w:line="0" w:lineRule="atLeast"/>
        <w:ind w:firstLine="480"/>
        <w:jc w:val="both"/>
        <w:rPr>
          <w:highlight w:val="none"/>
        </w:rPr>
      </w:pPr>
    </w:p>
    <w:p>
      <w:pPr>
        <w:pStyle w:val="32"/>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jc w:val="both"/>
        <w:rPr>
          <w:rFonts w:hint="eastAsia" w:eastAsia="黑体"/>
          <w:highlight w:val="none"/>
          <w:lang w:eastAsia="zh-CN"/>
        </w:rPr>
      </w:pPr>
      <w:r>
        <w:rPr>
          <w:rFonts w:hint="eastAsia" w:ascii="黑体" w:hAnsi="宋体" w:eastAsia="黑体" w:cs="黑体"/>
          <w:i/>
          <w:color w:val="000000"/>
          <w:sz w:val="32"/>
          <w:szCs w:val="32"/>
          <w:highlight w:val="none"/>
          <w:u w:val="single"/>
        </w:rPr>
        <w:t>二、</w:t>
      </w:r>
      <w:r>
        <w:rPr>
          <w:rFonts w:hint="eastAsia" w:ascii="黑体" w:hAnsi="宋体" w:eastAsia="黑体" w:cs="黑体"/>
          <w:i/>
          <w:color w:val="000000"/>
          <w:sz w:val="32"/>
          <w:szCs w:val="32"/>
          <w:highlight w:val="none"/>
          <w:u w:val="single"/>
          <w:lang w:eastAsia="zh-CN"/>
        </w:rPr>
        <w:t>上一年度或上上年度的财务状况报表</w:t>
      </w:r>
    </w:p>
    <w:p>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投标人成立不满一年无需提供</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pPr>
        <w:pStyle w:val="32"/>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pPr>
        <w:pStyle w:val="32"/>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pPr>
        <w:pStyle w:val="32"/>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pPr>
        <w:pStyle w:val="32"/>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pPr>
        <w:pStyle w:val="32"/>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pPr>
        <w:pStyle w:val="32"/>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pPr>
        <w:pStyle w:val="32"/>
        <w:spacing w:beforeAutospacing="0" w:afterAutospacing="0" w:line="0" w:lineRule="atLeast"/>
        <w:ind w:firstLine="3092"/>
        <w:jc w:val="both"/>
        <w:rPr>
          <w:highlight w:val="none"/>
        </w:rPr>
      </w:pPr>
      <w:r>
        <w:rPr>
          <w:rFonts w:hint="eastAsia" w:ascii="宋体" w:hAnsi="宋体" w:eastAsia="宋体" w:cs="宋体"/>
          <w:b/>
          <w:color w:val="000000"/>
          <w:sz w:val="44"/>
          <w:szCs w:val="44"/>
          <w:highlight w:val="none"/>
        </w:rPr>
        <w:t xml:space="preserve"> 声  明</w:t>
      </w:r>
    </w:p>
    <w:p>
      <w:pPr>
        <w:pStyle w:val="32"/>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pPr>
        <w:pStyle w:val="32"/>
        <w:spacing w:beforeAutospacing="0" w:afterAutospacing="0"/>
        <w:jc w:val="both"/>
        <w:rPr>
          <w:highlight w:val="none"/>
        </w:rPr>
      </w:pPr>
      <w:r>
        <w:rPr>
          <w:highlight w:val="none"/>
        </w:rPr>
        <w:t> </w:t>
      </w:r>
    </w:p>
    <w:p>
      <w:pPr>
        <w:pStyle w:val="32"/>
        <w:spacing w:beforeAutospacing="0" w:afterAutospacing="0"/>
        <w:jc w:val="both"/>
        <w:rPr>
          <w:rFonts w:hint="eastAsia" w:ascii="黑体" w:hAnsi="宋体" w:eastAsia="黑体" w:cs="黑体"/>
          <w:i/>
          <w:color w:val="000000"/>
          <w:sz w:val="32"/>
          <w:szCs w:val="32"/>
          <w:highlight w:val="none"/>
          <w:u w:val="single"/>
        </w:rPr>
      </w:pPr>
      <w:bookmarkStart w:id="183" w:name="_Hlt26671380"/>
      <w:bookmarkStart w:id="184" w:name="_Toc120614284"/>
      <w:bookmarkStart w:id="185" w:name="_Hlt26955070"/>
      <w:bookmarkStart w:id="186" w:name="_格式3__银行出具的资信证明"/>
    </w:p>
    <w:p>
      <w:pPr>
        <w:pStyle w:val="32"/>
        <w:spacing w:beforeAutospacing="0" w:afterAutospacing="0"/>
        <w:jc w:val="both"/>
        <w:rPr>
          <w:rFonts w:hint="eastAsia" w:ascii="黑体" w:hAnsi="宋体" w:eastAsia="黑体" w:cs="黑体"/>
          <w:i/>
          <w:color w:val="000000"/>
          <w:sz w:val="32"/>
          <w:szCs w:val="32"/>
          <w:highlight w:val="none"/>
          <w:u w:val="single"/>
        </w:rPr>
      </w:pPr>
    </w:p>
    <w:p>
      <w:pPr>
        <w:pStyle w:val="32"/>
        <w:spacing w:beforeAutospacing="0" w:afterAutospacing="0"/>
        <w:jc w:val="both"/>
        <w:rPr>
          <w:rFonts w:hint="eastAsia" w:ascii="黑体" w:hAnsi="宋体" w:eastAsia="黑体" w:cs="黑体"/>
          <w:i/>
          <w:color w:val="000000"/>
          <w:sz w:val="32"/>
          <w:szCs w:val="32"/>
          <w:highlight w:val="none"/>
          <w:u w:val="single"/>
        </w:rPr>
      </w:pPr>
    </w:p>
    <w:p>
      <w:pPr>
        <w:pStyle w:val="32"/>
        <w:spacing w:beforeAutospacing="0" w:afterAutospacing="0"/>
        <w:jc w:val="both"/>
        <w:rPr>
          <w:rFonts w:hint="eastAsia" w:ascii="黑体" w:hAnsi="宋体" w:eastAsia="黑体" w:cs="黑体"/>
          <w:i/>
          <w:color w:val="000000"/>
          <w:sz w:val="32"/>
          <w:szCs w:val="32"/>
          <w:highlight w:val="none"/>
          <w:u w:val="single"/>
        </w:rPr>
      </w:pPr>
    </w:p>
    <w:p>
      <w:pPr>
        <w:pStyle w:val="32"/>
        <w:spacing w:beforeAutospacing="0" w:afterAutospacing="0"/>
        <w:jc w:val="both"/>
        <w:rPr>
          <w:rFonts w:hint="eastAsia" w:ascii="黑体" w:hAnsi="宋体" w:eastAsia="黑体" w:cs="黑体"/>
          <w:i/>
          <w:color w:val="000000"/>
          <w:sz w:val="32"/>
          <w:szCs w:val="32"/>
          <w:highlight w:val="none"/>
          <w:u w:val="single"/>
        </w:rPr>
      </w:pPr>
    </w:p>
    <w:p>
      <w:pPr>
        <w:pStyle w:val="32"/>
        <w:spacing w:beforeAutospacing="0" w:afterAutospacing="0"/>
        <w:jc w:val="both"/>
        <w:rPr>
          <w:rFonts w:hint="eastAsia" w:ascii="黑体" w:hAnsi="宋体" w:eastAsia="黑体" w:cs="黑体"/>
          <w:bCs/>
          <w:i/>
          <w:color w:val="000000"/>
          <w:sz w:val="32"/>
          <w:szCs w:val="32"/>
          <w:highlight w:val="none"/>
          <w:u w:val="single"/>
        </w:rPr>
      </w:pPr>
    </w:p>
    <w:p>
      <w:pPr>
        <w:pStyle w:val="32"/>
        <w:spacing w:beforeAutospacing="0" w:afterAutospacing="0"/>
        <w:jc w:val="both"/>
        <w:rPr>
          <w:rFonts w:hint="eastAsia" w:ascii="黑体" w:hAnsi="宋体" w:eastAsia="黑体" w:cs="黑体"/>
          <w:bCs/>
          <w:i/>
          <w:color w:val="000000"/>
          <w:sz w:val="32"/>
          <w:szCs w:val="32"/>
          <w:highlight w:val="none"/>
          <w:u w:val="single"/>
        </w:rPr>
      </w:pPr>
    </w:p>
    <w:p>
      <w:pPr>
        <w:pStyle w:val="32"/>
        <w:spacing w:beforeAutospacing="0" w:afterAutospacing="0"/>
        <w:jc w:val="both"/>
        <w:rPr>
          <w:rFonts w:hint="eastAsia" w:ascii="黑体" w:hAnsi="宋体" w:eastAsia="黑体" w:cs="黑体"/>
          <w:bCs/>
          <w:i/>
          <w:color w:val="000000"/>
          <w:sz w:val="32"/>
          <w:szCs w:val="32"/>
          <w:highlight w:val="none"/>
          <w:u w:val="single"/>
        </w:rPr>
      </w:pPr>
    </w:p>
    <w:p>
      <w:pPr>
        <w:pStyle w:val="32"/>
        <w:spacing w:beforeAutospacing="0" w:afterAutospacing="0"/>
        <w:jc w:val="both"/>
        <w:rPr>
          <w:rFonts w:hint="eastAsia" w:ascii="黑体" w:hAnsi="宋体" w:eastAsia="黑体" w:cs="黑体"/>
          <w:bCs/>
          <w:i/>
          <w:color w:val="000000"/>
          <w:sz w:val="32"/>
          <w:szCs w:val="32"/>
          <w:highlight w:val="none"/>
          <w:u w:val="single"/>
        </w:rPr>
      </w:pPr>
    </w:p>
    <w:p>
      <w:pPr>
        <w:pStyle w:val="32"/>
        <w:spacing w:beforeAutospacing="0" w:afterAutospacing="0"/>
        <w:jc w:val="both"/>
        <w:rPr>
          <w:rFonts w:hint="eastAsia" w:ascii="黑体" w:hAnsi="宋体" w:eastAsia="黑体" w:cs="黑体"/>
          <w:bCs/>
          <w:i/>
          <w:color w:val="000000"/>
          <w:sz w:val="32"/>
          <w:szCs w:val="32"/>
          <w:highlight w:val="none"/>
          <w:u w:val="single"/>
        </w:rPr>
      </w:pPr>
    </w:p>
    <w:p>
      <w:pPr>
        <w:pStyle w:val="32"/>
        <w:spacing w:beforeAutospacing="0" w:afterAutospacing="0"/>
        <w:jc w:val="both"/>
        <w:rPr>
          <w:rFonts w:hint="eastAsia" w:ascii="黑体" w:hAnsi="宋体" w:eastAsia="黑体" w:cs="黑体"/>
          <w:bCs/>
          <w:i/>
          <w:color w:val="000000"/>
          <w:sz w:val="32"/>
          <w:szCs w:val="32"/>
          <w:highlight w:val="none"/>
          <w:u w:val="single"/>
        </w:rPr>
      </w:pPr>
    </w:p>
    <w:p>
      <w:pPr>
        <w:pStyle w:val="32"/>
        <w:spacing w:beforeAutospacing="0" w:afterAutospacing="0"/>
        <w:jc w:val="both"/>
        <w:rPr>
          <w:highlight w:val="none"/>
        </w:rPr>
      </w:pPr>
      <w:r>
        <w:rPr>
          <w:rFonts w:hint="eastAsia" w:ascii="黑体" w:hAnsi="宋体" w:eastAsia="黑体" w:cs="黑体"/>
          <w:i/>
          <w:color w:val="000000"/>
          <w:sz w:val="32"/>
          <w:szCs w:val="32"/>
          <w:highlight w:val="none"/>
          <w:u w:val="single"/>
        </w:rPr>
        <w:t>六、投标人法定代表人身份证明和投标文件签署授权委托书（另附法定代表人和被授权人的身份证复印件）</w:t>
      </w:r>
    </w:p>
    <w:p>
      <w:pPr>
        <w:spacing w:line="600" w:lineRule="exact"/>
        <w:jc w:val="center"/>
        <w:outlineLvl w:val="1"/>
        <w:rPr>
          <w:rFonts w:hint="eastAsia" w:ascii="黑体" w:eastAsia="黑体"/>
          <w:b/>
          <w:bCs/>
          <w:sz w:val="32"/>
          <w:szCs w:val="32"/>
          <w:highlight w:val="none"/>
        </w:rPr>
      </w:pPr>
      <w:r>
        <w:rPr>
          <w:rFonts w:hint="eastAsia" w:ascii="黑体" w:hAnsi="Calibri" w:eastAsia="黑体"/>
          <w:b/>
          <w:bCs/>
          <w:sz w:val="32"/>
          <w:szCs w:val="32"/>
          <w:highlight w:val="none"/>
        </w:rPr>
        <w:t>法</w:t>
      </w:r>
      <w:r>
        <w:rPr>
          <w:rFonts w:hint="eastAsia" w:ascii="黑体" w:eastAsia="黑体"/>
          <w:b/>
          <w:bCs/>
          <w:sz w:val="32"/>
          <w:szCs w:val="32"/>
          <w:highlight w:val="none"/>
        </w:rPr>
        <w:t>定代表人身份证明书</w:t>
      </w:r>
    </w:p>
    <w:p>
      <w:pPr>
        <w:spacing w:line="600" w:lineRule="exact"/>
        <w:jc w:val="center"/>
        <w:rPr>
          <w:rFonts w:hint="eastAsia" w:ascii="黑体" w:eastAsia="黑体"/>
          <w:b/>
          <w:sz w:val="28"/>
          <w:highlight w:val="none"/>
        </w:rPr>
      </w:pPr>
    </w:p>
    <w:p>
      <w:pPr>
        <w:spacing w:line="600" w:lineRule="exact"/>
        <w:rPr>
          <w:rFonts w:hint="eastAsia" w:ascii="仿宋_GB2312" w:eastAsia="仿宋_GB2312"/>
          <w:sz w:val="24"/>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：（采购人名称）</w:t>
      </w:r>
    </w:p>
    <w:p>
      <w:pPr>
        <w:spacing w:line="600" w:lineRule="exact"/>
        <w:ind w:firstLine="480"/>
        <w:rPr>
          <w:rFonts w:hint="eastAsia" w:ascii="仿宋_GB2312" w:eastAsia="仿宋_GB2312"/>
          <w:sz w:val="24"/>
          <w:highlight w:val="none"/>
        </w:rPr>
      </w:pPr>
      <w:r>
        <w:rPr>
          <w:rFonts w:hint="eastAsia" w:ascii="仿宋_GB2312" w:eastAsia="仿宋_GB2312"/>
          <w:sz w:val="24"/>
          <w:highlight w:val="none"/>
          <w:u w:val="single"/>
        </w:rPr>
        <w:t xml:space="preserve">  （法定代表人姓名） </w:t>
      </w:r>
      <w:r>
        <w:rPr>
          <w:rFonts w:hint="eastAsia" w:ascii="仿宋_GB2312" w:eastAsia="仿宋_GB2312"/>
          <w:sz w:val="24"/>
          <w:highlight w:val="none"/>
        </w:rPr>
        <w:t>在</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任</w:t>
      </w:r>
      <w:r>
        <w:rPr>
          <w:rFonts w:hint="eastAsia" w:ascii="仿宋_GB2312" w:eastAsia="仿宋_GB2312"/>
          <w:sz w:val="24"/>
          <w:highlight w:val="none"/>
          <w:u w:val="single"/>
        </w:rPr>
        <w:t>（职务名称）</w:t>
      </w:r>
      <w:r>
        <w:rPr>
          <w:rFonts w:hint="eastAsia" w:ascii="仿宋_GB2312" w:eastAsia="仿宋_GB2312"/>
          <w:sz w:val="24"/>
          <w:highlight w:val="none"/>
        </w:rPr>
        <w:t>职务，是</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的法定代表人，联系电话（手机号码）</w:t>
      </w:r>
      <w:r>
        <w:rPr>
          <w:rFonts w:hint="eastAsia" w:ascii="仿宋_GB2312" w:eastAsia="仿宋_GB2312"/>
          <w:sz w:val="24"/>
          <w:highlight w:val="none"/>
          <w:u w:val="single"/>
        </w:rPr>
        <w:t xml:space="preserve">                </w:t>
      </w:r>
      <w:r>
        <w:rPr>
          <w:rFonts w:hint="eastAsia" w:ascii="仿宋_GB2312" w:eastAsia="仿宋_GB2312"/>
          <w:sz w:val="24"/>
          <w:highlight w:val="none"/>
        </w:rPr>
        <w:t>。</w:t>
      </w:r>
    </w:p>
    <w:p>
      <w:pPr>
        <w:spacing w:line="600" w:lineRule="exact"/>
        <w:rPr>
          <w:rFonts w:hint="eastAsia" w:ascii="仿宋_GB2312" w:eastAsia="仿宋_GB2312"/>
          <w:sz w:val="24"/>
          <w:highlight w:val="none"/>
        </w:rPr>
      </w:pPr>
    </w:p>
    <w:p>
      <w:pPr>
        <w:spacing w:line="600" w:lineRule="exact"/>
        <w:ind w:firstLine="480"/>
        <w:rPr>
          <w:rFonts w:hint="eastAsia" w:ascii="仿宋_GB2312" w:eastAsia="仿宋_GB2312"/>
          <w:sz w:val="24"/>
          <w:highlight w:val="none"/>
        </w:rPr>
      </w:pPr>
      <w:r>
        <w:rPr>
          <w:rFonts w:hint="eastAsia" w:ascii="仿宋_GB2312" w:eastAsia="仿宋_GB2312"/>
          <w:sz w:val="24"/>
          <w:highlight w:val="none"/>
        </w:rPr>
        <w:t>特此证明。</w:t>
      </w:r>
    </w:p>
    <w:p>
      <w:pPr>
        <w:spacing w:line="600" w:lineRule="exact"/>
        <w:ind w:firstLine="4560"/>
        <w:rPr>
          <w:rFonts w:hint="eastAsia" w:ascii="仿宋_GB2312" w:eastAsia="仿宋_GB2312"/>
          <w:sz w:val="24"/>
          <w:highlight w:val="none"/>
        </w:rPr>
      </w:pPr>
      <w:r>
        <w:rPr>
          <w:rFonts w:hint="eastAsia" w:ascii="仿宋_GB2312" w:eastAsia="仿宋_GB2312"/>
          <w:sz w:val="24"/>
          <w:highlight w:val="none"/>
        </w:rPr>
        <w:t xml:space="preserve">投标人（盖单位公章）      </w:t>
      </w:r>
    </w:p>
    <w:p>
      <w:pPr>
        <w:spacing w:line="600" w:lineRule="exact"/>
        <w:ind w:firstLine="1200"/>
        <w:rPr>
          <w:rFonts w:hint="eastAsia" w:ascii="仿宋_GB2312" w:eastAsia="仿宋_GB2312"/>
          <w:sz w:val="24"/>
          <w:highlight w:val="none"/>
        </w:rPr>
      </w:pPr>
    </w:p>
    <w:p>
      <w:pPr>
        <w:spacing w:line="600" w:lineRule="exact"/>
        <w:ind w:firstLine="2126"/>
        <w:jc w:val="right"/>
        <w:rPr>
          <w:rFonts w:hint="eastAsia" w:ascii="仿宋_GB2312" w:eastAsia="仿宋_GB2312"/>
          <w:sz w:val="24"/>
          <w:highlight w:val="none"/>
        </w:rPr>
      </w:pPr>
      <w:r>
        <w:rPr>
          <w:rFonts w:hint="eastAsia" w:ascii="仿宋_GB2312" w:eastAsia="仿宋_GB2312"/>
          <w:sz w:val="24"/>
          <w:highlight w:val="non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 </w:t>
      </w:r>
    </w:p>
    <w:p>
      <w:pPr>
        <w:spacing w:line="600" w:lineRule="exact"/>
        <w:jc w:val="left"/>
        <w:rPr>
          <w:rFonts w:hint="eastAsia" w:ascii="仿宋_GB2312" w:eastAsia="仿宋_GB2312"/>
          <w:b/>
          <w:bCs/>
          <w:sz w:val="24"/>
          <w:highlight w:val="none"/>
        </w:rPr>
      </w:pPr>
    </w:p>
    <w:p>
      <w:pPr>
        <w:spacing w:line="600" w:lineRule="exact"/>
        <w:jc w:val="left"/>
        <w:rPr>
          <w:rFonts w:ascii="仿宋_GB2312" w:eastAsia="仿宋_GB2312"/>
          <w:b/>
          <w:bCs/>
          <w:sz w:val="24"/>
          <w:highlight w:val="none"/>
        </w:rPr>
      </w:pPr>
      <w:r>
        <w:rPr>
          <w:rFonts w:hint="eastAsia" w:ascii="仿宋_GB2312" w:eastAsia="仿宋_GB2312"/>
          <w:b/>
          <w:bCs/>
          <w:sz w:val="24"/>
          <w:highlight w:val="none"/>
        </w:rPr>
        <w:t>（附：法定代表人身份证正反面复印件）</w:t>
      </w:r>
    </w:p>
    <w:p>
      <w:pPr>
        <w:jc w:val="left"/>
        <w:rPr>
          <w:rFonts w:ascii="仿宋_GB2312" w:eastAsia="仿宋_GB2312"/>
          <w:sz w:val="24"/>
          <w:highlight w:val="none"/>
        </w:rPr>
      </w:pPr>
    </w:p>
    <w:p>
      <w:pPr>
        <w:spacing w:line="400" w:lineRule="exact"/>
        <w:jc w:val="center"/>
        <w:rPr>
          <w:rFonts w:hint="eastAsia" w:ascii="黑体" w:eastAsia="黑体"/>
          <w:sz w:val="28"/>
          <w:highlight w:val="none"/>
        </w:rPr>
      </w:pPr>
      <w:r>
        <w:rPr>
          <w:rFonts w:ascii="仿宋_GB2312" w:eastAsia="仿宋_GB2312"/>
          <w:sz w:val="24"/>
          <w:highlight w:val="none"/>
        </w:rPr>
        <w:br w:type="page" w:clear="all"/>
      </w:r>
      <w:r>
        <w:rPr>
          <w:rFonts w:hint="eastAsia" w:ascii="黑体" w:hAnsi="Calibri" w:eastAsia="黑体"/>
          <w:b/>
          <w:bCs/>
          <w:sz w:val="32"/>
          <w:szCs w:val="32"/>
          <w:highlight w:val="none"/>
        </w:rPr>
        <w:t>投标文件</w:t>
      </w:r>
      <w:r>
        <w:rPr>
          <w:rFonts w:hint="eastAsia" w:ascii="黑体" w:eastAsia="黑体"/>
          <w:b/>
          <w:bCs/>
          <w:sz w:val="32"/>
          <w:szCs w:val="32"/>
          <w:highlight w:val="none"/>
        </w:rPr>
        <w:t>签署授权委托书</w:t>
      </w:r>
    </w:p>
    <w:p>
      <w:pPr>
        <w:spacing w:line="400" w:lineRule="exact"/>
        <w:jc w:val="center"/>
        <w:rPr>
          <w:rFonts w:hint="eastAsia" w:ascii="黑体" w:eastAsia="黑体"/>
          <w:b/>
          <w:sz w:val="28"/>
          <w:highlight w:val="none"/>
        </w:rPr>
      </w:pPr>
    </w:p>
    <w:p>
      <w:pPr>
        <w:spacing w:line="400" w:lineRule="exact"/>
        <w:ind w:firstLine="480"/>
        <w:rPr>
          <w:rFonts w:hint="eastAsia" w:ascii="仿宋_GB2312" w:eastAsia="仿宋_GB2312"/>
          <w:sz w:val="24"/>
          <w:highlight w:val="none"/>
        </w:rPr>
      </w:pPr>
      <w:r>
        <w:rPr>
          <w:rFonts w:hint="eastAsia" w:ascii="仿宋_GB2312" w:eastAsia="仿宋_GB2312"/>
          <w:sz w:val="24"/>
          <w:highlight w:val="none"/>
        </w:rPr>
        <w:t>本授权委托书声明：我</w:t>
      </w:r>
      <w:r>
        <w:rPr>
          <w:rFonts w:hint="eastAsia" w:ascii="仿宋_GB2312" w:eastAsia="仿宋_GB2312"/>
          <w:sz w:val="24"/>
          <w:highlight w:val="none"/>
          <w:u w:val="single"/>
        </w:rPr>
        <w:t xml:space="preserve">       （姓名）      </w:t>
      </w:r>
      <w:r>
        <w:rPr>
          <w:rFonts w:hint="eastAsia" w:ascii="仿宋_GB2312" w:eastAsia="仿宋_GB2312"/>
          <w:sz w:val="24"/>
          <w:highlight w:val="none"/>
        </w:rPr>
        <w:t>系</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的法定代表人，现授权</w:t>
      </w:r>
      <w:r>
        <w:rPr>
          <w:rFonts w:hint="eastAsia" w:ascii="仿宋_GB2312" w:eastAsia="仿宋_GB2312"/>
          <w:sz w:val="24"/>
          <w:highlight w:val="none"/>
          <w:u w:val="single"/>
        </w:rPr>
        <w:t xml:space="preserve">         （投标人名称）</w:t>
      </w:r>
      <w:r>
        <w:rPr>
          <w:rFonts w:hint="eastAsia" w:ascii="仿宋_GB2312" w:eastAsia="仿宋_GB2312"/>
          <w:sz w:val="24"/>
          <w:highlight w:val="none"/>
        </w:rPr>
        <w:t>的</w:t>
      </w:r>
      <w:r>
        <w:rPr>
          <w:rFonts w:hint="eastAsia" w:ascii="仿宋_GB2312" w:eastAsia="仿宋_GB2312"/>
          <w:sz w:val="24"/>
          <w:highlight w:val="none"/>
          <w:u w:val="single"/>
        </w:rPr>
        <w:t xml:space="preserve">        （姓名）         </w:t>
      </w:r>
      <w:r>
        <w:rPr>
          <w:rFonts w:hint="eastAsia" w:ascii="仿宋_GB2312" w:eastAsia="仿宋_GB2312"/>
          <w:sz w:val="24"/>
          <w:highlight w:val="none"/>
        </w:rPr>
        <w:t>为我公司签署本项目的投标文件的法定代表人授权委托代理，我承认被授权人全权代表我所签署的本项目的投标文件的内容。</w:t>
      </w:r>
    </w:p>
    <w:p>
      <w:pPr>
        <w:spacing w:line="400" w:lineRule="exact"/>
        <w:rPr>
          <w:rFonts w:hint="eastAsia" w:ascii="仿宋_GB2312" w:eastAsia="仿宋_GB2312"/>
          <w:sz w:val="24"/>
          <w:highlight w:val="none"/>
        </w:rPr>
      </w:pPr>
    </w:p>
    <w:p>
      <w:pPr>
        <w:spacing w:line="400" w:lineRule="exact"/>
        <w:ind w:firstLine="480"/>
        <w:rPr>
          <w:rFonts w:hint="eastAsia" w:ascii="仿宋_GB2312" w:eastAsia="仿宋_GB2312"/>
          <w:sz w:val="24"/>
          <w:highlight w:val="none"/>
        </w:rPr>
      </w:pPr>
      <w:r>
        <w:rPr>
          <w:rFonts w:hint="eastAsia" w:ascii="仿宋_GB2312" w:eastAsia="仿宋_GB2312"/>
          <w:sz w:val="24"/>
          <w:highlight w:val="none"/>
        </w:rPr>
        <w:t>特此委托。</w:t>
      </w:r>
    </w:p>
    <w:p>
      <w:pPr>
        <w:spacing w:line="400" w:lineRule="exact"/>
        <w:ind w:firstLine="480"/>
        <w:rPr>
          <w:rFonts w:hint="eastAsia" w:ascii="仿宋_GB2312" w:eastAsia="仿宋_GB2312"/>
          <w:sz w:val="24"/>
          <w:highlight w:val="none"/>
        </w:rPr>
      </w:pPr>
    </w:p>
    <w:p>
      <w:pPr>
        <w:spacing w:line="400" w:lineRule="exact"/>
        <w:ind w:firstLine="480"/>
        <w:rPr>
          <w:rFonts w:hint="eastAsia" w:ascii="仿宋_GB2312" w:eastAsia="仿宋_GB2312"/>
          <w:sz w:val="24"/>
          <w:highlight w:val="none"/>
        </w:rPr>
      </w:pPr>
    </w:p>
    <w:p>
      <w:pPr>
        <w:spacing w:line="400" w:lineRule="exact"/>
        <w:ind w:firstLine="2126"/>
        <w:rPr>
          <w:rFonts w:hint="eastAsia" w:ascii="仿宋_GB2312" w:eastAsia="仿宋_GB2312"/>
          <w:sz w:val="24"/>
          <w:highlight w:val="none"/>
          <w:u w:val="single"/>
        </w:rPr>
      </w:pPr>
      <w:r>
        <w:rPr>
          <w:rFonts w:hint="eastAsia" w:ascii="仿宋_GB2312" w:hAnsi="Calibri" w:eastAsia="仿宋_GB2312"/>
          <w:sz w:val="24"/>
          <w:highlight w:val="none"/>
        </w:rPr>
        <w:t>代理人（</w:t>
      </w:r>
      <w:r>
        <w:rPr>
          <w:rFonts w:hint="eastAsia" w:ascii="仿宋_GB2312" w:eastAsia="仿宋_GB2312"/>
          <w:sz w:val="24"/>
          <w:highlight w:val="none"/>
        </w:rPr>
        <w:t>被授权人</w:t>
      </w:r>
      <w:r>
        <w:rPr>
          <w:rFonts w:hint="eastAsia" w:ascii="仿宋_GB2312" w:hAnsi="Calibri" w:eastAsia="仿宋_GB2312"/>
          <w:sz w:val="24"/>
          <w:highlight w:val="none"/>
        </w:rPr>
        <w:t>）</w:t>
      </w:r>
      <w:r>
        <w:rPr>
          <w:rFonts w:hint="eastAsia" w:ascii="仿宋_GB2312" w:eastAsia="仿宋_GB2312"/>
          <w:sz w:val="24"/>
          <w:highlight w:val="none"/>
        </w:rPr>
        <w:t>：</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性别：</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年龄：</w:t>
      </w:r>
      <w:r>
        <w:rPr>
          <w:rFonts w:hint="eastAsia" w:ascii="仿宋_GB2312" w:eastAsia="仿宋_GB2312"/>
          <w:sz w:val="24"/>
          <w:highlight w:val="none"/>
          <w:u w:val="single"/>
        </w:rPr>
        <w:t xml:space="preserve">         </w:t>
      </w:r>
    </w:p>
    <w:p>
      <w:pPr>
        <w:spacing w:line="400" w:lineRule="exact"/>
        <w:ind w:firstLine="2126"/>
        <w:rPr>
          <w:rFonts w:hint="eastAsia" w:ascii="仿宋_GB2312" w:eastAsia="仿宋_GB2312"/>
          <w:sz w:val="24"/>
          <w:highlight w:val="none"/>
          <w:u w:val="single"/>
        </w:rPr>
      </w:pPr>
    </w:p>
    <w:p>
      <w:pPr>
        <w:spacing w:line="400" w:lineRule="exact"/>
        <w:ind w:firstLine="2126"/>
        <w:rPr>
          <w:rFonts w:hint="eastAsia" w:ascii="仿宋_GB2312" w:eastAsia="仿宋_GB2312"/>
          <w:sz w:val="24"/>
          <w:highlight w:val="none"/>
          <w:u w:val="single"/>
        </w:rPr>
      </w:pPr>
      <w:r>
        <w:rPr>
          <w:rFonts w:hint="eastAsia" w:ascii="仿宋_GB2312" w:eastAsia="仿宋_GB2312"/>
          <w:sz w:val="24"/>
          <w:highlight w:val="none"/>
        </w:rPr>
        <w:t>身份证号码：</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职务：</w:t>
      </w:r>
      <w:r>
        <w:rPr>
          <w:rFonts w:hint="eastAsia" w:ascii="仿宋_GB2312" w:eastAsia="仿宋_GB2312"/>
          <w:sz w:val="24"/>
          <w:highlight w:val="none"/>
          <w:u w:val="single"/>
        </w:rPr>
        <w:t xml:space="preserve">        </w:t>
      </w:r>
    </w:p>
    <w:p>
      <w:pPr>
        <w:pStyle w:val="188"/>
        <w:rPr>
          <w:highlight w:val="none"/>
        </w:rPr>
      </w:pPr>
    </w:p>
    <w:p>
      <w:pPr>
        <w:spacing w:line="400" w:lineRule="exact"/>
        <w:ind w:firstLine="2126"/>
        <w:rPr>
          <w:rFonts w:hint="eastAsia" w:ascii="仿宋_GB2312" w:eastAsia="仿宋_GB2312"/>
          <w:sz w:val="24"/>
          <w:highlight w:val="none"/>
          <w:u w:val="single"/>
        </w:rPr>
      </w:pPr>
      <w:r>
        <w:rPr>
          <w:rFonts w:hint="eastAsia" w:ascii="仿宋_GB2312" w:eastAsia="仿宋_GB2312"/>
          <w:sz w:val="24"/>
          <w:szCs w:val="22"/>
          <w:highlight w:val="none"/>
        </w:rPr>
        <w:t>联系号码（手机号码）;</w:t>
      </w:r>
      <w:r>
        <w:rPr>
          <w:rFonts w:hint="eastAsia" w:ascii="仿宋_GB2312" w:eastAsia="仿宋_GB2312"/>
          <w:sz w:val="24"/>
          <w:highlight w:val="none"/>
          <w:u w:val="single"/>
        </w:rPr>
        <w:t xml:space="preserve">                               </w:t>
      </w:r>
    </w:p>
    <w:p>
      <w:pPr>
        <w:spacing w:line="400" w:lineRule="exact"/>
        <w:ind w:firstLine="2126"/>
        <w:rPr>
          <w:rFonts w:hint="eastAsia" w:ascii="仿宋_GB2312" w:eastAsia="仿宋_GB2312"/>
          <w:sz w:val="24"/>
          <w:highlight w:val="none"/>
          <w:u w:val="single"/>
        </w:rPr>
      </w:pPr>
    </w:p>
    <w:p>
      <w:pPr>
        <w:spacing w:line="400" w:lineRule="exact"/>
        <w:ind w:firstLine="2126"/>
        <w:rPr>
          <w:rFonts w:hint="eastAsia" w:ascii="仿宋_GB2312" w:eastAsia="仿宋_GB2312"/>
          <w:sz w:val="24"/>
          <w:highlight w:val="none"/>
        </w:rPr>
      </w:pPr>
      <w:r>
        <w:rPr>
          <w:rFonts w:hint="eastAsia" w:ascii="仿宋_GB2312" w:eastAsia="仿宋_GB2312"/>
          <w:sz w:val="24"/>
          <w:highlight w:val="none"/>
        </w:rPr>
        <w:t>投标人：</w:t>
      </w:r>
      <w:r>
        <w:rPr>
          <w:rFonts w:hint="eastAsia" w:ascii="仿宋_GB2312" w:eastAsia="仿宋_GB2312"/>
          <w:sz w:val="24"/>
          <w:highlight w:val="none"/>
          <w:u w:val="single"/>
        </w:rPr>
        <w:t xml:space="preserve">                             </w:t>
      </w:r>
      <w:r>
        <w:rPr>
          <w:rFonts w:hint="eastAsia" w:ascii="仿宋_GB2312" w:eastAsia="仿宋_GB2312"/>
          <w:sz w:val="24"/>
          <w:highlight w:val="none"/>
        </w:rPr>
        <w:t>（盖单位公章）</w:t>
      </w:r>
    </w:p>
    <w:p>
      <w:pPr>
        <w:spacing w:line="400" w:lineRule="exact"/>
        <w:ind w:firstLine="2126"/>
        <w:rPr>
          <w:rFonts w:hint="eastAsia" w:ascii="仿宋_GB2312" w:eastAsia="仿宋_GB2312"/>
          <w:sz w:val="24"/>
          <w:highlight w:val="none"/>
        </w:rPr>
      </w:pPr>
    </w:p>
    <w:p>
      <w:pPr>
        <w:spacing w:line="400" w:lineRule="exact"/>
        <w:ind w:firstLine="2126"/>
        <w:rPr>
          <w:rFonts w:hint="eastAsia" w:ascii="仿宋_GB2312" w:eastAsia="仿宋_GB2312"/>
          <w:sz w:val="24"/>
          <w:highlight w:val="none"/>
          <w:u w:val="single"/>
        </w:rPr>
      </w:pPr>
      <w:r>
        <w:rPr>
          <w:rFonts w:hint="eastAsia" w:ascii="仿宋_GB2312" w:eastAsia="仿宋_GB2312"/>
          <w:sz w:val="24"/>
          <w:highlight w:val="none"/>
        </w:rPr>
        <w:t>法定代表人：</w:t>
      </w:r>
      <w:r>
        <w:rPr>
          <w:rFonts w:hint="eastAsia" w:ascii="仿宋_GB2312" w:eastAsia="仿宋_GB2312"/>
          <w:sz w:val="24"/>
          <w:highlight w:val="none"/>
          <w:u w:val="single"/>
        </w:rPr>
        <w:t xml:space="preserve">                         </w:t>
      </w:r>
      <w:r>
        <w:rPr>
          <w:rFonts w:hint="eastAsia" w:ascii="仿宋_GB2312" w:eastAsia="仿宋_GB2312"/>
          <w:sz w:val="24"/>
          <w:highlight w:val="none"/>
        </w:rPr>
        <w:t>（盖章）</w:t>
      </w:r>
    </w:p>
    <w:p>
      <w:pPr>
        <w:spacing w:line="400" w:lineRule="exact"/>
        <w:ind w:firstLine="2126"/>
        <w:rPr>
          <w:rFonts w:hint="eastAsia" w:ascii="仿宋_GB2312" w:eastAsia="仿宋_GB2312"/>
          <w:sz w:val="24"/>
          <w:highlight w:val="none"/>
          <w:u w:val="single"/>
        </w:rPr>
      </w:pPr>
    </w:p>
    <w:p>
      <w:pPr>
        <w:spacing w:line="400" w:lineRule="exact"/>
        <w:ind w:firstLine="2126"/>
        <w:rPr>
          <w:rFonts w:hint="eastAsia" w:ascii="仿宋_GB2312" w:eastAsia="仿宋_GB2312"/>
          <w:sz w:val="24"/>
          <w:highlight w:val="none"/>
        </w:rPr>
      </w:pPr>
      <w:r>
        <w:rPr>
          <w:rFonts w:hint="eastAsia" w:ascii="仿宋_GB2312" w:eastAsia="仿宋_GB2312"/>
          <w:sz w:val="24"/>
          <w:highlight w:val="none"/>
        </w:rPr>
        <w:t>授权委托日期：</w:t>
      </w:r>
      <w:r>
        <w:rPr>
          <w:rFonts w:hint="eastAsia" w:ascii="仿宋_GB2312" w:eastAsia="仿宋_GB2312"/>
          <w:sz w:val="24"/>
          <w:highlight w:val="none"/>
          <w:u w:val="single"/>
        </w:rPr>
        <w:t xml:space="preserve">         </w:t>
      </w: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pPr>
        <w:spacing w:line="400" w:lineRule="exact"/>
        <w:ind w:firstLine="2126"/>
        <w:rPr>
          <w:rFonts w:hint="eastAsia" w:ascii="仿宋_GB2312" w:eastAsia="仿宋_GB2312"/>
          <w:sz w:val="24"/>
          <w:highlight w:val="none"/>
        </w:rPr>
      </w:pPr>
    </w:p>
    <w:p>
      <w:pPr>
        <w:spacing w:line="400" w:lineRule="exact"/>
        <w:jc w:val="left"/>
        <w:rPr>
          <w:rFonts w:hint="eastAsia" w:ascii="仿宋_GB2312" w:eastAsia="仿宋_GB2312"/>
          <w:b/>
          <w:bCs/>
          <w:sz w:val="24"/>
          <w:highlight w:val="none"/>
        </w:rPr>
      </w:pPr>
      <w:r>
        <w:rPr>
          <w:rFonts w:hint="eastAsia" w:ascii="仿宋_GB2312" w:eastAsia="仿宋_GB2312"/>
          <w:b/>
          <w:bCs/>
          <w:sz w:val="24"/>
          <w:highlight w:val="none"/>
        </w:rPr>
        <w:t>（附：被授权人身份证正反面复印件）</w:t>
      </w:r>
    </w:p>
    <w:p>
      <w:pPr>
        <w:jc w:val="left"/>
        <w:rPr>
          <w:rFonts w:hint="eastAsia" w:ascii="仿宋_GB2312" w:eastAsia="仿宋_GB2312"/>
          <w:sz w:val="24"/>
          <w:highlight w:val="none"/>
        </w:rPr>
      </w:pPr>
    </w:p>
    <w:p>
      <w:pPr>
        <w:jc w:val="left"/>
        <w:rPr>
          <w:rFonts w:hint="eastAsia" w:ascii="仿宋_GB2312" w:eastAsia="仿宋_GB2312"/>
          <w:sz w:val="24"/>
          <w:highlight w:val="none"/>
        </w:rPr>
      </w:pPr>
    </w:p>
    <w:p>
      <w:pPr>
        <w:jc w:val="left"/>
        <w:rPr>
          <w:rFonts w:hint="eastAsia" w:ascii="仿宋_GB2312" w:eastAsia="仿宋_GB2312"/>
          <w:sz w:val="24"/>
          <w:highlight w:val="none"/>
        </w:rPr>
      </w:pPr>
    </w:p>
    <w:p>
      <w:pPr>
        <w:jc w:val="center"/>
        <w:rPr>
          <w:rFonts w:hint="eastAsia" w:ascii="黑体" w:eastAsia="黑体"/>
          <w:sz w:val="28"/>
          <w:highlight w:val="none"/>
        </w:rPr>
      </w:pPr>
    </w:p>
    <w:p>
      <w:pPr>
        <w:jc w:val="center"/>
        <w:rPr>
          <w:rFonts w:hint="eastAsia" w:ascii="黑体" w:eastAsia="黑体"/>
          <w:sz w:val="28"/>
          <w:highlight w:val="none"/>
        </w:rPr>
      </w:pPr>
    </w:p>
    <w:p>
      <w:pPr>
        <w:jc w:val="center"/>
        <w:rPr>
          <w:rFonts w:hint="eastAsia" w:ascii="黑体" w:eastAsia="黑体"/>
          <w:sz w:val="28"/>
          <w:highlight w:val="none"/>
        </w:rPr>
      </w:pPr>
    </w:p>
    <w:p>
      <w:pPr>
        <w:pStyle w:val="188"/>
        <w:rPr>
          <w:highlight w:val="none"/>
        </w:rPr>
      </w:pPr>
    </w:p>
    <w:p>
      <w:pPr>
        <w:jc w:val="center"/>
        <w:rPr>
          <w:rFonts w:hint="eastAsia" w:ascii="黑体" w:eastAsia="黑体"/>
          <w:sz w:val="28"/>
          <w:highlight w:val="none"/>
        </w:rPr>
      </w:pPr>
    </w:p>
    <w:p>
      <w:pPr>
        <w:jc w:val="center"/>
        <w:rPr>
          <w:rFonts w:hint="eastAsia" w:ascii="黑体" w:eastAsia="黑体"/>
          <w:sz w:val="28"/>
          <w:highlight w:val="none"/>
        </w:rPr>
      </w:pPr>
    </w:p>
    <w:p>
      <w:pPr>
        <w:pStyle w:val="32"/>
        <w:keepNext/>
        <w:keepLines/>
        <w:numPr>
          <w:ilvl w:val="0"/>
          <w:numId w:val="0"/>
        </w:numPr>
        <w:spacing w:before="260" w:beforeAutospacing="0" w:after="260" w:afterAutospacing="0" w:line="415" w:lineRule="auto"/>
        <w:jc w:val="both"/>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lang w:val="en-US" w:eastAsia="zh-CN" w:bidi="ar-SA"/>
        </w:rPr>
        <w:t>七、</w:t>
      </w:r>
      <w:r>
        <w:rPr>
          <w:rFonts w:hint="eastAsia" w:ascii="黑体" w:hAnsi="宋体" w:eastAsia="黑体" w:cs="黑体"/>
          <w:i/>
          <w:color w:val="000000"/>
          <w:sz w:val="32"/>
          <w:szCs w:val="32"/>
          <w:highlight w:val="none"/>
          <w:u w:val="single"/>
        </w:rPr>
        <w:t>投标人为被授权人缴纳的社会养老保险证明</w:t>
      </w: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rFonts w:hint="eastAsia" w:ascii="黑体" w:hAnsi="宋体" w:eastAsia="黑体" w:cs="黑体"/>
          <w:b/>
          <w:i/>
          <w:color w:val="000000"/>
          <w:sz w:val="32"/>
          <w:szCs w:val="32"/>
          <w:highlight w:val="none"/>
          <w:u w:val="single"/>
        </w:rPr>
      </w:pPr>
    </w:p>
    <w:p>
      <w:pPr>
        <w:pStyle w:val="32"/>
        <w:keepNext/>
        <w:keepLines/>
        <w:numPr>
          <w:ilvl w:val="0"/>
          <w:numId w:val="0"/>
        </w:numPr>
        <w:spacing w:before="260" w:beforeAutospacing="0" w:after="260" w:afterAutospacing="0" w:line="415" w:lineRule="auto"/>
        <w:ind w:left="3630" w:firstLine="0"/>
        <w:jc w:val="both"/>
        <w:rPr>
          <w:highlight w:val="none"/>
        </w:rPr>
      </w:pPr>
      <w:r>
        <w:rPr>
          <w:rFonts w:hint="eastAsia" w:ascii="黑体" w:hAnsi="宋体" w:eastAsia="黑体" w:cs="黑体"/>
          <w:b/>
          <w:i/>
          <w:color w:val="000000"/>
          <w:sz w:val="32"/>
          <w:szCs w:val="32"/>
          <w:highlight w:val="none"/>
          <w:u w:val="single"/>
        </w:rPr>
        <w:t>八、投标函</w:t>
      </w:r>
    </w:p>
    <w:p>
      <w:pPr>
        <w:pStyle w:val="32"/>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u w:val="single"/>
          <w:lang w:val="en-US" w:eastAsia="zh-CN"/>
        </w:rPr>
        <w:t xml:space="preserve">     东台市城市管理局     </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号招标文件，正式授权下述签字人_________________(姓名)代表我方______________（投标人的名称），全权处理本次项目投标的有关事宜。</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1.按招标文件规定的各项要求，向买方提供所需货物（包含与货物相关的服务）。</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pPr>
        <w:pStyle w:val="32"/>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pPr>
        <w:pStyle w:val="32"/>
        <w:spacing w:beforeAutospacing="0" w:afterAutospacing="0" w:line="0" w:lineRule="atLeast"/>
        <w:ind w:left="425"/>
        <w:rPr>
          <w:highlight w:val="none"/>
        </w:rPr>
      </w:pPr>
      <w:r>
        <w:rPr>
          <w:rFonts w:hint="eastAsia" w:ascii="宋体" w:hAnsi="宋体" w:eastAsia="宋体" w:cs="宋体"/>
          <w:color w:val="000000"/>
          <w:highlight w:val="none"/>
        </w:rPr>
        <w:t>7.与本投标有关的正式通讯地址为：</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pPr>
        <w:pStyle w:val="32"/>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pPr>
        <w:pStyle w:val="32"/>
        <w:spacing w:beforeAutospacing="0" w:afterAutospacing="0" w:line="0" w:lineRule="atLeast"/>
        <w:ind w:firstLine="240"/>
        <w:jc w:val="center"/>
        <w:rPr>
          <w:highlight w:val="none"/>
        </w:rPr>
      </w:pPr>
      <w:r>
        <w:rPr>
          <w:highlight w:val="none"/>
        </w:rPr>
        <w:t> </w:t>
      </w:r>
    </w:p>
    <w:p>
      <w:pPr>
        <w:pStyle w:val="32"/>
        <w:spacing w:beforeAutospacing="0" w:afterAutospacing="0" w:line="0" w:lineRule="atLeast"/>
        <w:ind w:firstLine="240"/>
        <w:jc w:val="center"/>
        <w:rPr>
          <w:highlight w:val="none"/>
        </w:rPr>
      </w:pPr>
      <w:r>
        <w:rPr>
          <w:highlight w:val="none"/>
        </w:rPr>
        <w:t> </w:t>
      </w:r>
    </w:p>
    <w:p>
      <w:pPr>
        <w:pStyle w:val="32"/>
        <w:spacing w:beforeAutospacing="0" w:afterAutospacing="0" w:line="0" w:lineRule="atLeast"/>
        <w:ind w:firstLine="240"/>
        <w:jc w:val="center"/>
        <w:rPr>
          <w:highlight w:val="none"/>
        </w:rPr>
      </w:pPr>
      <w:r>
        <w:rPr>
          <w:highlight w:val="none"/>
        </w:rPr>
        <w:t> </w:t>
      </w:r>
    </w:p>
    <w:p>
      <w:pPr>
        <w:pStyle w:val="32"/>
        <w:spacing w:beforeAutospacing="0" w:afterAutospacing="0" w:line="0" w:lineRule="atLeast"/>
        <w:ind w:firstLine="240"/>
        <w:jc w:val="center"/>
        <w:rPr>
          <w:highlight w:val="none"/>
        </w:rPr>
      </w:pPr>
      <w:r>
        <w:rPr>
          <w:highlight w:val="none"/>
        </w:rPr>
        <w:t> </w:t>
      </w: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p>
    <w:p>
      <w:pPr>
        <w:pStyle w:val="32"/>
        <w:spacing w:beforeAutospacing="0" w:afterAutospacing="0" w:line="0" w:lineRule="atLeast"/>
        <w:ind w:firstLine="240"/>
        <w:jc w:val="center"/>
        <w:rPr>
          <w:highlight w:val="none"/>
        </w:rPr>
      </w:pPr>
      <w:r>
        <w:rPr>
          <w:highlight w:val="none"/>
        </w:rPr>
        <w:t> </w:t>
      </w:r>
    </w:p>
    <w:p>
      <w:pPr>
        <w:pStyle w:val="32"/>
        <w:spacing w:beforeAutospacing="0" w:afterAutospacing="0" w:line="0" w:lineRule="atLeast"/>
        <w:ind w:firstLine="321"/>
        <w:jc w:val="center"/>
        <w:rPr>
          <w:highlight w:val="none"/>
        </w:rPr>
      </w:pPr>
      <w:r>
        <w:rPr>
          <w:rFonts w:hint="eastAsia" w:ascii="黑体" w:hAnsi="宋体" w:eastAsia="黑体" w:cs="黑体"/>
          <w:b/>
          <w:color w:val="000000"/>
          <w:sz w:val="32"/>
          <w:szCs w:val="32"/>
          <w:highlight w:val="none"/>
        </w:rPr>
        <w:t>九、小微企业声明函（货物）（分包号：**）</w:t>
      </w:r>
    </w:p>
    <w:p>
      <w:pPr>
        <w:pStyle w:val="32"/>
        <w:spacing w:beforeAutospacing="0" w:afterAutospacing="0" w:line="0" w:lineRule="atLeast"/>
        <w:ind w:firstLine="360"/>
        <w:jc w:val="both"/>
        <w:rPr>
          <w:highlight w:val="none"/>
        </w:rPr>
      </w:pPr>
      <w:r>
        <w:rPr>
          <w:rFonts w:hint="eastAsia" w:ascii="宋体" w:hAnsi="宋体" w:eastAsia="宋体" w:cs="宋体"/>
          <w:color w:val="000000"/>
          <w:highlight w:val="none"/>
        </w:rPr>
        <w:t>本公司（联合体）郑重声明，根据《政府采购促进中小企业发展管理办法》(财库[2020]46号)的规定，本公司（联合体）参加采购编号为</w:t>
      </w:r>
      <w:r>
        <w:rPr>
          <w:rFonts w:hint="eastAsia" w:ascii="宋体" w:hAnsi="宋体" w:eastAsia="宋体" w:cs="宋体"/>
          <w:color w:val="000000"/>
          <w:highlight w:val="none"/>
          <w:u w:val="single"/>
        </w:rPr>
        <w:t>***</w:t>
      </w:r>
      <w:r>
        <w:rPr>
          <w:rFonts w:hint="eastAsia" w:ascii="宋体" w:hAnsi="宋体" w:eastAsia="宋体" w:cs="宋体"/>
          <w:color w:val="000000"/>
          <w:highlight w:val="none"/>
        </w:rPr>
        <w:t>，</w:t>
      </w:r>
      <w:r>
        <w:rPr>
          <w:rFonts w:hint="eastAsia" w:ascii="宋体" w:hAnsi="宋体" w:eastAsia="宋体" w:cs="宋体"/>
          <w:color w:val="000000"/>
          <w:highlight w:val="none"/>
          <w:u w:val="single"/>
        </w:rPr>
        <w:t>（项目名称）</w:t>
      </w:r>
      <w:r>
        <w:rPr>
          <w:rFonts w:hint="eastAsia" w:ascii="宋体" w:hAnsi="宋体" w:eastAsia="宋体" w:cs="宋体"/>
          <w:color w:val="000000"/>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pStyle w:val="32"/>
        <w:spacing w:beforeAutospacing="0" w:afterAutospacing="0" w:line="0" w:lineRule="atLeast"/>
        <w:ind w:firstLine="360"/>
        <w:jc w:val="both"/>
        <w:rPr>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万元，属于</w:t>
      </w:r>
      <w:r>
        <w:rPr>
          <w:rFonts w:hint="eastAsia" w:ascii="宋体" w:hAnsi="宋体" w:eastAsia="宋体" w:cs="宋体"/>
          <w:color w:val="000000"/>
          <w:highlight w:val="none"/>
          <w:u w:val="single"/>
        </w:rPr>
        <w:t>（小型企业、微型企业）；</w:t>
      </w:r>
    </w:p>
    <w:p>
      <w:pPr>
        <w:pStyle w:val="32"/>
        <w:spacing w:beforeAutospacing="0" w:afterAutospacing="0" w:line="0" w:lineRule="atLeast"/>
        <w:ind w:firstLine="360"/>
        <w:jc w:val="both"/>
        <w:rPr>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万元，属于</w:t>
      </w:r>
      <w:r>
        <w:rPr>
          <w:rFonts w:hint="eastAsia" w:ascii="宋体" w:hAnsi="宋体" w:eastAsia="宋体" w:cs="宋体"/>
          <w:color w:val="000000"/>
          <w:highlight w:val="none"/>
          <w:u w:val="single"/>
        </w:rPr>
        <w:t>（小型企业、微型企业）；</w:t>
      </w:r>
    </w:p>
    <w:p>
      <w:pPr>
        <w:pStyle w:val="32"/>
        <w:spacing w:beforeAutospacing="0" w:afterAutospacing="0" w:line="0" w:lineRule="atLeast"/>
        <w:ind w:firstLine="360"/>
        <w:jc w:val="both"/>
        <w:rPr>
          <w:highlight w:val="none"/>
        </w:rPr>
      </w:pPr>
      <w:r>
        <w:rPr>
          <w:rFonts w:hint="eastAsia" w:ascii="宋体" w:hAnsi="宋体" w:eastAsia="宋体" w:cs="宋体"/>
          <w:color w:val="000000"/>
          <w:highlight w:val="none"/>
        </w:rPr>
        <w:t>……</w:t>
      </w:r>
    </w:p>
    <w:p>
      <w:pPr>
        <w:pStyle w:val="32"/>
        <w:spacing w:beforeAutospacing="0" w:afterAutospacing="0" w:line="0" w:lineRule="atLeast"/>
        <w:ind w:firstLine="360"/>
        <w:jc w:val="both"/>
        <w:rPr>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pPr>
        <w:pStyle w:val="32"/>
        <w:spacing w:beforeAutospacing="0" w:afterAutospacing="0" w:line="0" w:lineRule="atLeast"/>
        <w:ind w:firstLine="360"/>
        <w:jc w:val="both"/>
        <w:rPr>
          <w:highlight w:val="none"/>
        </w:rPr>
      </w:pPr>
      <w:r>
        <w:rPr>
          <w:rFonts w:hint="eastAsia" w:ascii="宋体" w:hAnsi="宋体" w:eastAsia="宋体" w:cs="宋体"/>
          <w:color w:val="000000"/>
          <w:highlight w:val="none"/>
        </w:rPr>
        <w:t>本企业对上述声明内容的真实性负责。如有虚假，将依法承担相应责任</w:t>
      </w:r>
    </w:p>
    <w:p>
      <w:pPr>
        <w:pStyle w:val="32"/>
        <w:spacing w:beforeAutospacing="0" w:afterAutospacing="0" w:line="0" w:lineRule="atLeast"/>
        <w:ind w:right="720"/>
        <w:jc w:val="both"/>
        <w:rPr>
          <w:highlight w:val="none"/>
        </w:rPr>
      </w:pPr>
      <w:r>
        <w:rPr>
          <w:highlight w:val="none"/>
        </w:rPr>
        <w:t> </w:t>
      </w:r>
    </w:p>
    <w:p>
      <w:pPr>
        <w:pStyle w:val="32"/>
        <w:spacing w:beforeAutospacing="0" w:afterAutospacing="0" w:line="0" w:lineRule="atLeast"/>
        <w:ind w:right="180" w:firstLine="360"/>
        <w:jc w:val="right"/>
        <w:rPr>
          <w:highlight w:val="none"/>
        </w:rPr>
      </w:pPr>
      <w:r>
        <w:rPr>
          <w:rFonts w:hint="eastAsia" w:ascii="宋体" w:hAnsi="宋体" w:eastAsia="宋体" w:cs="宋体"/>
          <w:color w:val="000000"/>
          <w:highlight w:val="none"/>
        </w:rPr>
        <w:t>企业名称（加盖CA电子公章）：</w:t>
      </w:r>
    </w:p>
    <w:p>
      <w:pPr>
        <w:pStyle w:val="32"/>
        <w:spacing w:beforeAutospacing="0" w:afterAutospacing="0" w:line="0" w:lineRule="atLeast"/>
        <w:ind w:right="480" w:firstLine="5400"/>
        <w:jc w:val="both"/>
        <w:rPr>
          <w:highlight w:val="none"/>
        </w:rPr>
      </w:pPr>
    </w:p>
    <w:p>
      <w:pPr>
        <w:pStyle w:val="32"/>
        <w:spacing w:beforeAutospacing="0" w:afterAutospacing="0" w:line="0" w:lineRule="atLeast"/>
        <w:ind w:right="480" w:firstLine="5400"/>
        <w:jc w:val="both"/>
        <w:rPr>
          <w:rFonts w:hint="eastAsia" w:ascii="宋体" w:hAnsi="宋体" w:eastAsia="宋体" w:cs="宋体"/>
          <w:color w:val="000000"/>
          <w:highlight w:val="none"/>
        </w:rPr>
      </w:pPr>
      <w:r>
        <w:rPr>
          <w:rFonts w:hint="eastAsia" w:ascii="宋体" w:hAnsi="宋体" w:eastAsia="宋体" w:cs="宋体"/>
          <w:color w:val="000000"/>
          <w:highlight w:val="none"/>
        </w:rPr>
        <w:t>日  期：</w:t>
      </w:r>
    </w:p>
    <w:p>
      <w:pPr>
        <w:pStyle w:val="32"/>
        <w:spacing w:beforeAutospacing="0" w:afterAutospacing="0" w:line="0" w:lineRule="atLeast"/>
        <w:ind w:firstLine="360"/>
        <w:jc w:val="both"/>
        <w:rPr>
          <w:highlight w:val="none"/>
        </w:rPr>
      </w:pPr>
      <w:r>
        <w:rPr>
          <w:highlight w:val="none"/>
        </w:rPr>
        <w:t> </w:t>
      </w:r>
    </w:p>
    <w:p>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备注2：供应商如不提供此声明函，价格将不做相应扣除。</w:t>
      </w:r>
    </w:p>
    <w:p>
      <w:pPr>
        <w:pStyle w:val="32"/>
        <w:spacing w:beforeAutospacing="0" w:afterAutospacing="0" w:line="0" w:lineRule="atLeast"/>
        <w:jc w:val="center"/>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十、残疾人福利性单位声明函（分包号：**）</w:t>
      </w:r>
    </w:p>
    <w:p>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项目（分包号：**）采购活动提供本单位制造的货物，或者提供其他残疾人福利性单位制造的货物（不包括使用非残疾人福利性单位注册商标的货物）。</w:t>
      </w:r>
    </w:p>
    <w:p>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pPr>
        <w:pStyle w:val="32"/>
        <w:spacing w:beforeAutospacing="0" w:afterAutospacing="0" w:line="0" w:lineRule="atLeast"/>
        <w:ind w:firstLine="480"/>
        <w:jc w:val="both"/>
        <w:rPr>
          <w:highlight w:val="none"/>
        </w:rPr>
      </w:pPr>
      <w:r>
        <w:rPr>
          <w:highlight w:val="none"/>
        </w:rPr>
        <w:t> </w:t>
      </w:r>
    </w:p>
    <w:p>
      <w:pPr>
        <w:pStyle w:val="32"/>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（备注：1、供应商如不提供此声明函，价格将不做相应扣除。2、中标供应商为残疾人福利单位的，此声明函将随中标结果同时公告，接受社会监督）</w:t>
      </w:r>
    </w:p>
    <w:p>
      <w:pPr>
        <w:pStyle w:val="32"/>
        <w:spacing w:beforeAutospacing="0" w:afterAutospacing="0" w:line="0" w:lineRule="atLeast"/>
        <w:ind w:firstLine="624"/>
        <w:jc w:val="both"/>
        <w:rPr>
          <w:highlight w:val="none"/>
        </w:rPr>
      </w:pPr>
      <w:r>
        <w:rPr>
          <w:highlight w:val="none"/>
        </w:rPr>
        <w:t> </w:t>
      </w:r>
    </w:p>
    <w:p>
      <w:pPr>
        <w:pStyle w:val="32"/>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pPr>
        <w:pStyle w:val="32"/>
        <w:tabs>
          <w:tab w:val="left" w:pos="4864"/>
        </w:tabs>
        <w:spacing w:beforeAutospacing="0" w:afterAutospacing="0" w:line="0" w:lineRule="atLeast"/>
        <w:ind w:right="1560"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pPr>
        <w:pStyle w:val="32"/>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xml:space="preserve">                日  期：</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p>
    <w:p>
      <w:pPr>
        <w:pStyle w:val="32"/>
        <w:spacing w:beforeAutospacing="0" w:afterAutospacing="0" w:line="0" w:lineRule="atLeast"/>
        <w:jc w:val="center"/>
        <w:rPr>
          <w:highlight w:val="none"/>
        </w:rPr>
      </w:pPr>
      <w:r>
        <w:rPr>
          <w:highlight w:val="none"/>
        </w:rPr>
        <w:t> </w:t>
      </w:r>
    </w:p>
    <w:p>
      <w:pPr>
        <w:pStyle w:val="32"/>
        <w:spacing w:beforeAutospacing="0" w:afterAutospacing="0" w:line="0" w:lineRule="atLeast"/>
        <w:jc w:val="center"/>
        <w:rPr>
          <w:highlight w:val="none"/>
        </w:rPr>
      </w:pPr>
      <w:r>
        <w:rPr>
          <w:highlight w:val="none"/>
        </w:rPr>
        <w:t> </w:t>
      </w:r>
    </w:p>
    <w:p>
      <w:pPr>
        <w:pStyle w:val="32"/>
        <w:spacing w:beforeAutospacing="0" w:afterAutospacing="0"/>
        <w:jc w:val="center"/>
        <w:rPr>
          <w:highlight w:val="none"/>
        </w:rPr>
      </w:pPr>
      <w:r>
        <w:rPr>
          <w:rFonts w:hint="eastAsia" w:ascii="黑体" w:hAnsi="宋体" w:eastAsia="黑体" w:cs="黑体"/>
          <w:b/>
          <w:color w:val="000000"/>
          <w:sz w:val="32"/>
          <w:szCs w:val="32"/>
          <w:highlight w:val="none"/>
        </w:rPr>
        <w:t>十一、投标分项报价表</w:t>
      </w:r>
    </w:p>
    <w:tbl>
      <w:tblPr>
        <w:tblStyle w:val="34"/>
        <w:tblW w:w="8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6"/>
        <w:gridCol w:w="1139"/>
        <w:gridCol w:w="3173"/>
        <w:gridCol w:w="732"/>
        <w:gridCol w:w="702"/>
        <w:gridCol w:w="1119"/>
        <w:gridCol w:w="11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序号</w:t>
            </w:r>
          </w:p>
        </w:tc>
        <w:tc>
          <w:tcPr>
            <w:tcW w:w="11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项目名称</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建设项</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数量</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单位</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单价（元）</w:t>
            </w: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w:t>
            </w:r>
          </w:p>
        </w:tc>
        <w:tc>
          <w:tcPr>
            <w:tcW w:w="113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智慧停车-诱导发布系统及配套设施</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left"/>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智慧停车一级诱导发布系统（全点阵彩色交通诱导屏，含基坑开挖、地笼浇筑等）含市政规费（如有）</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2</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套</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2</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智慧大屏配电箱口发送卡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2</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套</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3</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智慧信息发布盒子</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2</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套</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4</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智慧停车诱导发布系统-专用链路</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5</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年</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5</w:t>
            </w:r>
          </w:p>
        </w:tc>
        <w:tc>
          <w:tcPr>
            <w:tcW w:w="113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静态交通智慧停车设施维护服务</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停车场及零星标车位服务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400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个</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6</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停车场及零星标车位箭头服务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400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个</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7</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车挡出新服务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1512</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个</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8</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新增车挡及补缺服务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120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个</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9</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维修车挡服务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120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次</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10</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更换反光标识服务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400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张</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11</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Style w:val="193"/>
                <w:sz w:val="22"/>
                <w:szCs w:val="22"/>
                <w:highlight w:val="none"/>
                <w:lang w:val="en-US" w:eastAsia="zh-CN" w:bidi="ar"/>
              </w:rPr>
              <w:t>拆障用工（每次2人）</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100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Style w:val="193"/>
                <w:sz w:val="22"/>
                <w:szCs w:val="22"/>
                <w:highlight w:val="none"/>
                <w:lang w:val="en-US" w:eastAsia="zh-CN" w:bidi="ar"/>
              </w:rPr>
              <w:t>次</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12</w:t>
            </w: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Style w:val="193"/>
                <w:sz w:val="22"/>
                <w:szCs w:val="22"/>
                <w:highlight w:val="none"/>
                <w:lang w:val="en-US" w:eastAsia="zh-CN" w:bidi="ar"/>
              </w:rPr>
              <w:t>拆障用车</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100</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Style w:val="193"/>
                <w:sz w:val="22"/>
                <w:szCs w:val="22"/>
                <w:highlight w:val="none"/>
                <w:lang w:val="en-US" w:eastAsia="zh-CN" w:bidi="ar"/>
              </w:rPr>
              <w:t>次</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13</w:t>
            </w:r>
          </w:p>
        </w:tc>
        <w:tc>
          <w:tcPr>
            <w:tcW w:w="431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绿化等工程费用</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2</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项</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14</w:t>
            </w:r>
          </w:p>
        </w:tc>
        <w:tc>
          <w:tcPr>
            <w:tcW w:w="431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社会停车场信息接入</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项</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rPr>
            </w:pPr>
            <w:r>
              <w:rPr>
                <w:rFonts w:hint="eastAsia" w:ascii="仿宋" w:hAnsi="仿宋" w:eastAsia="仿宋" w:cs="仿宋"/>
                <w:i w:val="0"/>
                <w:iCs w:val="0"/>
                <w:color w:val="000000"/>
                <w:sz w:val="22"/>
                <w:szCs w:val="22"/>
                <w:highlight w:val="none"/>
                <w:u w:val="none"/>
                <w:lang w:val="en-US" w:eastAsia="zh-CN" w:bidi="ar"/>
              </w:rPr>
              <w:t>15</w:t>
            </w:r>
          </w:p>
        </w:tc>
        <w:tc>
          <w:tcPr>
            <w:tcW w:w="4312" w:type="dxa"/>
            <w:gridSpan w:val="2"/>
            <w:tcBorders>
              <w:top w:val="single" w:color="000000" w:sz="4" w:space="0"/>
              <w:left w:val="single" w:color="000000" w:sz="4" w:space="0"/>
              <w:bottom w:val="single" w:color="000000" w:sz="4" w:space="0"/>
              <w:right w:val="nil"/>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15处（含本次）诱导数据巡查校准（日常运行过程中，对停车场剩余车位数据进行校准，每周对诱导发布的各停车场进行一次剩余车位数盘点校准以及二级诱导屏维保服务</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5</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lang w:val="en-US" w:eastAsia="zh-CN" w:bidi="ar"/>
              </w:rPr>
              <w:t>年</w:t>
            </w:r>
          </w:p>
        </w:tc>
        <w:tc>
          <w:tcPr>
            <w:tcW w:w="11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c>
          <w:tcPr>
            <w:tcW w:w="11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trPr>
        <w:tc>
          <w:tcPr>
            <w:tcW w:w="8660"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spacing w:before="0" w:beforeAutospacing="0" w:after="0" w:afterAutospacing="0"/>
              <w:ind w:left="0" w:right="0"/>
              <w:jc w:val="center"/>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总价（人民币）：</w:t>
            </w:r>
            <w:r>
              <w:rPr>
                <w:rFonts w:hint="eastAsia" w:ascii="仿宋" w:hAnsi="仿宋" w:eastAsia="仿宋" w:cs="仿宋"/>
                <w:i w:val="0"/>
                <w:iCs w:val="0"/>
                <w:color w:val="000000"/>
                <w:sz w:val="22"/>
                <w:szCs w:val="22"/>
                <w:highlight w:val="none"/>
                <w:u w:val="single"/>
                <w:lang w:val="en-US" w:eastAsia="zh-CN"/>
              </w:rPr>
              <w:t xml:space="preserve">                                </w:t>
            </w:r>
            <w:r>
              <w:rPr>
                <w:rFonts w:hint="eastAsia" w:ascii="仿宋" w:hAnsi="仿宋" w:eastAsia="仿宋" w:cs="仿宋"/>
                <w:i w:val="0"/>
                <w:iCs w:val="0"/>
                <w:color w:val="000000"/>
                <w:sz w:val="22"/>
                <w:szCs w:val="22"/>
                <w:highlight w:val="none"/>
                <w:u w:val="none"/>
                <w:lang w:val="en-US" w:eastAsia="zh-CN"/>
              </w:rPr>
              <w:t>元</w:t>
            </w:r>
          </w:p>
        </w:tc>
      </w:tr>
    </w:tbl>
    <w:p>
      <w:pPr>
        <w:rPr>
          <w:highlight w:val="none"/>
        </w:rPr>
      </w:pPr>
    </w:p>
    <w:p>
      <w:pPr>
        <w:pStyle w:val="32"/>
        <w:keepNext w:val="0"/>
        <w:keepLines w:val="0"/>
        <w:pageBreakBefore w:val="0"/>
        <w:widowControl w:val="0"/>
        <w:spacing w:beforeAutospacing="0" w:afterAutospacing="0" w:line="440" w:lineRule="exact"/>
        <w:jc w:val="both"/>
        <w:rPr>
          <w:rFonts w:hint="eastAsia" w:ascii="宋体" w:hAnsi="宋体" w:eastAsia="宋体" w:cs="宋体"/>
          <w:color w:val="000000"/>
          <w:highlight w:val="none"/>
        </w:rPr>
      </w:pPr>
      <w:r>
        <w:rPr>
          <w:rFonts w:hint="eastAsia" w:ascii="宋体" w:hAnsi="宋体" w:eastAsia="宋体" w:cs="宋体"/>
          <w:color w:val="000000"/>
          <w:highlight w:val="none"/>
        </w:rPr>
        <w:t>备注：1.投标报价采用总承包方式，“投标总报价”应包括所投货物（包含与货物相关的服务）费用、安装调试费、测试验收费、培训费、运行维护费用、税金、</w:t>
      </w:r>
      <w:r>
        <w:rPr>
          <w:rFonts w:hint="eastAsia" w:ascii="宋体" w:hAnsi="宋体" w:eastAsia="宋体" w:cs="宋体"/>
          <w:color w:val="000000"/>
          <w:highlight w:val="none"/>
          <w:lang w:val="en-US" w:eastAsia="zh-CN"/>
        </w:rPr>
        <w:t>税费</w:t>
      </w:r>
      <w:r>
        <w:rPr>
          <w:rFonts w:hint="eastAsia" w:ascii="宋体" w:hAnsi="宋体" w:eastAsia="宋体" w:cs="宋体"/>
          <w:color w:val="000000"/>
          <w:highlight w:val="none"/>
        </w:rPr>
        <w:t>及其他有关的为完成本项目发生的所有费用，招标文件中另有规定的除外。</w:t>
      </w:r>
    </w:p>
    <w:p>
      <w:pPr>
        <w:pStyle w:val="32"/>
        <w:keepNext w:val="0"/>
        <w:keepLines w:val="0"/>
        <w:pageBreakBefore w:val="0"/>
        <w:widowControl w:val="0"/>
        <w:spacing w:beforeAutospacing="0" w:afterAutospacing="0" w:line="440" w:lineRule="exact"/>
        <w:ind w:firstLine="480"/>
        <w:jc w:val="both"/>
        <w:rPr>
          <w:highlight w:val="none"/>
        </w:rPr>
      </w:pPr>
      <w:r>
        <w:rPr>
          <w:rFonts w:hint="eastAsia" w:ascii="宋体" w:hAnsi="宋体" w:eastAsia="宋体" w:cs="宋体"/>
          <w:color w:val="000000"/>
          <w:highlight w:val="none"/>
        </w:rPr>
        <w:t>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投标分项报价表</w:t>
      </w:r>
      <w:r>
        <w:rPr>
          <w:rFonts w:ascii="Times New Roman" w:hAnsi="Times New Roman"/>
          <w:color w:val="000000"/>
          <w:sz w:val="21"/>
          <w:szCs w:val="21"/>
          <w:highlight w:val="none"/>
        </w:rPr>
        <w:t>”</w:t>
      </w:r>
      <w:r>
        <w:rPr>
          <w:rFonts w:hint="eastAsia" w:ascii="宋体" w:hAnsi="宋体" w:eastAsia="宋体" w:cs="宋体"/>
          <w:color w:val="000000"/>
          <w:highlight w:val="none"/>
        </w:rPr>
        <w:t>中“投标总报价”数额应当与“开标一览表”中“投标总报价”数额一致。</w:t>
      </w:r>
    </w:p>
    <w:p>
      <w:pPr>
        <w:pStyle w:val="32"/>
        <w:spacing w:beforeAutospacing="0" w:afterAutospacing="0"/>
        <w:jc w:val="both"/>
        <w:rPr>
          <w:highlight w:val="none"/>
        </w:rPr>
      </w:pP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p>
    <w:p>
      <w:pPr>
        <w:pStyle w:val="32"/>
        <w:spacing w:beforeAutospacing="0" w:afterAutospacing="0"/>
        <w:jc w:val="both"/>
        <w:rPr>
          <w:highlight w:val="none"/>
        </w:rPr>
      </w:pPr>
      <w:r>
        <w:rPr>
          <w:highlight w:val="none"/>
        </w:rPr>
        <w:t> </w:t>
      </w:r>
    </w:p>
    <w:p>
      <w:pPr>
        <w:pStyle w:val="32"/>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、技术要求响应及偏离表</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证明</w:t>
            </w:r>
          </w:p>
          <w:p>
            <w:pPr>
              <w:pStyle w:val="32"/>
              <w:spacing w:beforeAutospacing="0" w:afterAutospacing="0"/>
              <w:jc w:val="center"/>
              <w:rPr>
                <w:highlight w:val="none"/>
              </w:rPr>
            </w:pPr>
            <w:r>
              <w:rPr>
                <w:rFonts w:hint="eastAsia" w:ascii="宋体" w:hAnsi="宋体" w:eastAsia="宋体" w:cs="宋体"/>
                <w:color w:val="000000"/>
                <w:highlight w:val="none"/>
              </w:rPr>
              <w:t>材料</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bl>
    <w:p>
      <w:pPr>
        <w:pStyle w:val="32"/>
        <w:spacing w:beforeAutospacing="0" w:afterAutospacing="0"/>
        <w:jc w:val="both"/>
        <w:rPr>
          <w:highlight w:val="none"/>
        </w:rPr>
      </w:pPr>
      <w:r>
        <w:rPr>
          <w:rFonts w:hint="eastAsia" w:ascii="宋体" w:hAnsi="宋体" w:eastAsia="宋体" w:cs="宋体"/>
          <w:color w:val="000000"/>
          <w:highlight w:val="none"/>
        </w:rPr>
        <w:t>注：行数不够，可自行添加。</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p>
    <w:p>
      <w:pPr>
        <w:pStyle w:val="32"/>
        <w:spacing w:beforeAutospacing="0" w:afterAutospacing="0"/>
        <w:jc w:val="both"/>
        <w:rPr>
          <w:highlight w:val="none"/>
        </w:rPr>
      </w:pPr>
    </w:p>
    <w:p>
      <w:pPr>
        <w:pStyle w:val="32"/>
        <w:spacing w:beforeAutospacing="0" w:afterAutospacing="0"/>
        <w:jc w:val="both"/>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center"/>
        <w:rPr>
          <w:highlight w:val="none"/>
        </w:rPr>
      </w:pPr>
      <w:bookmarkStart w:id="187" w:name="_Hlt2695505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、商务要求响应及偏离表</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bookmarkStart w:id="188" w:name="_Hlt26671343"/>
            <w:bookmarkStart w:id="189" w:name="_Hlt26671372"/>
            <w:bookmarkStart w:id="190" w:name="_Hlt26782999"/>
            <w:bookmarkStart w:id="191" w:name="_Hlt24879081"/>
            <w:bookmarkStart w:id="192" w:name="_Hlt26955064"/>
            <w:bookmarkStart w:id="193" w:name="_Hlt26580838"/>
            <w:bookmarkStart w:id="194" w:name="_Hlt26609391"/>
            <w:bookmarkStart w:id="195" w:name="_Hlt26955056"/>
            <w:r>
              <w:rPr>
                <w:rFonts w:hint="eastAsia" w:ascii="宋体" w:hAnsi="宋体" w:eastAsia="宋体" w:cs="宋体"/>
                <w:color w:val="000000"/>
                <w:highlight w:val="none"/>
              </w:rPr>
              <w:t>序号</w:t>
            </w:r>
            <w:bookmarkEnd w:id="188"/>
            <w:bookmarkEnd w:id="189"/>
            <w:bookmarkEnd w:id="190"/>
            <w:bookmarkEnd w:id="191"/>
            <w:bookmarkEnd w:id="192"/>
            <w:bookmarkEnd w:id="193"/>
            <w:bookmarkEnd w:id="194"/>
            <w:bookmarkEnd w:id="195"/>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证明</w:t>
            </w:r>
          </w:p>
          <w:p>
            <w:pPr>
              <w:pStyle w:val="32"/>
              <w:spacing w:beforeAutospacing="0" w:afterAutospacing="0"/>
              <w:jc w:val="center"/>
              <w:rPr>
                <w:highlight w:val="none"/>
              </w:rPr>
            </w:pPr>
            <w:r>
              <w:rPr>
                <w:rFonts w:hint="eastAsia" w:ascii="宋体" w:hAnsi="宋体" w:eastAsia="宋体" w:cs="宋体"/>
                <w:color w:val="000000"/>
                <w:highlight w:val="none"/>
              </w:rPr>
              <w:t>材料</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r>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center"/>
              <w:rPr>
                <w:highlight w:val="none"/>
              </w:rPr>
            </w:pPr>
            <w:r>
              <w:rPr>
                <w:highlight w:val="none"/>
              </w:rPr>
              <w:t> </w:t>
            </w:r>
          </w:p>
        </w:tc>
      </w:tr>
    </w:tbl>
    <w:p>
      <w:pPr>
        <w:pStyle w:val="32"/>
        <w:spacing w:beforeAutospacing="0" w:afterAutospacing="0"/>
        <w:jc w:val="both"/>
        <w:rPr>
          <w:highlight w:val="none"/>
        </w:rPr>
      </w:pPr>
      <w:r>
        <w:rPr>
          <w:rFonts w:hint="eastAsia" w:ascii="宋体" w:hAnsi="宋体" w:eastAsia="宋体" w:cs="宋体"/>
          <w:color w:val="000000"/>
          <w:highlight w:val="none"/>
        </w:rPr>
        <w:t>注：行数不够，可自行添加。</w:t>
      </w:r>
    </w:p>
    <w:p>
      <w:pPr>
        <w:pStyle w:val="32"/>
        <w:spacing w:beforeAutospacing="0" w:afterAutospacing="0" w:line="480" w:lineRule="auto"/>
        <w:jc w:val="both"/>
        <w:rPr>
          <w:highlight w:val="none"/>
        </w:rPr>
      </w:pPr>
      <w:r>
        <w:rPr>
          <w:highlight w:val="none"/>
        </w:rPr>
        <w:t> </w:t>
      </w:r>
    </w:p>
    <w:p>
      <w:pPr>
        <w:pStyle w:val="32"/>
        <w:spacing w:beforeAutospacing="0" w:afterAutospacing="0" w:line="480" w:lineRule="auto"/>
        <w:jc w:val="both"/>
        <w:rPr>
          <w:highlight w:val="none"/>
        </w:rPr>
      </w:pPr>
      <w:r>
        <w:rPr>
          <w:highlight w:val="none"/>
        </w:rPr>
        <w:t> </w:t>
      </w:r>
    </w:p>
    <w:p>
      <w:pPr>
        <w:pStyle w:val="32"/>
        <w:spacing w:beforeAutospacing="0" w:afterAutospacing="0"/>
        <w:jc w:val="center"/>
        <w:rPr>
          <w:highlight w:val="none"/>
        </w:rPr>
      </w:pPr>
      <w:bookmarkStart w:id="196" w:name="_格式2__法定代表人授权书"/>
      <w:bookmarkStart w:id="197" w:name="_Hlt26955066"/>
      <w:bookmarkStart w:id="198" w:name="_Hlt26671374"/>
      <w:bookmarkStart w:id="199" w:name="_Hlt26609389"/>
      <w:bookmarkStart w:id="200" w:name="_Toc462564146"/>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p>
    <w:p>
      <w:pPr>
        <w:pStyle w:val="32"/>
        <w:spacing w:beforeAutospacing="0" w:afterAutospacing="0"/>
        <w:jc w:val="center"/>
        <w:rPr>
          <w:highlight w:val="none"/>
        </w:rPr>
      </w:pP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highlight w:val="none"/>
        </w:rPr>
        <w:t> </w:t>
      </w:r>
    </w:p>
    <w:p>
      <w:pPr>
        <w:pStyle w:val="32"/>
        <w:spacing w:beforeAutospacing="0" w:afterAutospacing="0"/>
        <w:jc w:val="center"/>
        <w:rPr>
          <w:highlight w:val="none"/>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p>
    <w:p>
      <w:pPr>
        <w:pStyle w:val="32"/>
        <w:keepNext w:val="0"/>
        <w:keepLines w:val="0"/>
        <w:pageBreakBefore w:val="0"/>
        <w:widowControl w:val="0"/>
        <w:spacing w:beforeAutospacing="0" w:afterAutospacing="0" w:line="440" w:lineRule="exact"/>
        <w:jc w:val="both"/>
        <w:rPr>
          <w:rFonts w:hint="eastAsia" w:ascii="宋体" w:hAnsi="宋体" w:eastAsia="宋体" w:cs="宋体"/>
          <w:color w:val="000000"/>
          <w:highlight w:val="none"/>
        </w:rPr>
      </w:pPr>
      <w:r>
        <w:rPr>
          <w:rFonts w:hint="eastAsia" w:ascii="宋体" w:hAnsi="宋体" w:eastAsia="宋体" w:cs="宋体"/>
          <w:color w:val="000000"/>
          <w:highlight w:val="none"/>
        </w:rPr>
        <w:t>投标人全称（加盖CA电子签章）：</w:t>
      </w:r>
    </w:p>
    <w:p>
      <w:pPr>
        <w:pStyle w:val="32"/>
        <w:keepNext w:val="0"/>
        <w:keepLines w:val="0"/>
        <w:pageBreakBefore w:val="0"/>
        <w:widowControl w:val="0"/>
        <w:spacing w:beforeAutospacing="0" w:afterAutospacing="0" w:line="440" w:lineRule="exact"/>
        <w:jc w:val="both"/>
        <w:rPr>
          <w:rFonts w:hint="eastAsia" w:ascii="宋体" w:hAnsi="宋体" w:eastAsia="宋体" w:cs="宋体"/>
          <w:color w:val="000000"/>
          <w:highlight w:val="none"/>
        </w:rPr>
      </w:pPr>
      <w:r>
        <w:rPr>
          <w:rFonts w:hint="eastAsia" w:ascii="宋体" w:hAnsi="宋体" w:eastAsia="宋体" w:cs="宋体"/>
          <w:color w:val="000000"/>
          <w:highlight w:val="none"/>
        </w:rPr>
        <w:t>项目名称：</w:t>
      </w:r>
    </w:p>
    <w:p>
      <w:pPr>
        <w:pStyle w:val="32"/>
        <w:keepNext w:val="0"/>
        <w:keepLines w:val="0"/>
        <w:pageBreakBefore w:val="0"/>
        <w:widowControl w:val="0"/>
        <w:spacing w:beforeAutospacing="0" w:afterAutospacing="0" w:line="440" w:lineRule="exact"/>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项目编号：</w:t>
      </w:r>
      <w:r>
        <w:rPr>
          <w:rFonts w:hint="eastAsia" w:ascii="宋体" w:hAnsi="宋体" w:eastAsia="宋体" w:cs="宋体"/>
          <w:color w:val="000000"/>
          <w:highlight w:val="none"/>
          <w:lang w:eastAsia="zh-CN"/>
        </w:rPr>
        <w:t>JSZC-320981-JZCG-G2024-0044</w:t>
      </w:r>
    </w:p>
    <w:tbl>
      <w:tblPr>
        <w:tblStyle w:val="34"/>
        <w:tblW w:w="8413" w:type="dxa"/>
        <w:tblCellSpacing w:w="0" w:type="dxa"/>
        <w:tblInd w:w="118" w:type="dxa"/>
        <w:tblLayout w:type="fixed"/>
        <w:tblCellMar>
          <w:top w:w="0" w:type="dxa"/>
          <w:left w:w="108" w:type="dxa"/>
          <w:bottom w:w="0" w:type="dxa"/>
          <w:right w:w="108" w:type="dxa"/>
        </w:tblCellMar>
      </w:tblPr>
      <w:tblGrid>
        <w:gridCol w:w="2349"/>
        <w:gridCol w:w="6064"/>
      </w:tblGrid>
      <w:tr>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jc w:val="both"/>
              <w:rPr>
                <w:highlight w:val="none"/>
              </w:rPr>
            </w:pPr>
            <w:r>
              <w:rPr>
                <w:rFonts w:hint="eastAsia" w:ascii="宋体" w:hAnsi="宋体" w:eastAsia="宋体" w:cs="宋体"/>
                <w:color w:val="000000"/>
                <w:highlight w:val="none"/>
              </w:rPr>
              <w:t>投标总报价</w:t>
            </w:r>
          </w:p>
        </w:tc>
      </w:tr>
      <w:tr>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line="0" w:lineRule="atLeast"/>
              <w:rPr>
                <w:highlight w:val="none"/>
              </w:rPr>
            </w:pPr>
            <w:r>
              <w:rPr>
                <w:rFonts w:hint="eastAsia" w:ascii="宋体" w:hAnsi="宋体" w:eastAsia="宋体" w:cs="宋体"/>
                <w:color w:val="000000"/>
                <w:highlight w:val="none"/>
              </w:rPr>
              <w:t>小写：                   （人民币：元）</w:t>
            </w:r>
          </w:p>
        </w:tc>
      </w:tr>
      <w:tr>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line="300" w:lineRule="auto"/>
              <w:jc w:val="center"/>
              <w:rPr>
                <w:highlight w:val="none"/>
              </w:rPr>
            </w:pPr>
            <w:r>
              <w:rPr>
                <w:rFonts w:hint="eastAsia" w:ascii="宋体" w:hAnsi="宋体" w:eastAsia="宋体" w:cs="宋体"/>
                <w:color w:val="000000"/>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32"/>
              <w:spacing w:beforeAutospacing="0" w:afterAutospacing="0" w:line="0" w:lineRule="atLeast"/>
              <w:rPr>
                <w:highlight w:val="none"/>
              </w:rPr>
            </w:pPr>
            <w:r>
              <w:rPr>
                <w:highlight w:val="none"/>
              </w:rPr>
              <w:t> </w:t>
            </w:r>
          </w:p>
        </w:tc>
      </w:tr>
    </w:tbl>
    <w:p>
      <w:pPr>
        <w:pStyle w:val="32"/>
        <w:spacing w:beforeAutospacing="0" w:afterAutospacing="0"/>
        <w:jc w:val="both"/>
        <w:rPr>
          <w:highlight w:val="none"/>
        </w:rPr>
      </w:pPr>
      <w:r>
        <w:rPr>
          <w:highlight w:val="none"/>
        </w:rPr>
        <w:t> </w:t>
      </w:r>
    </w:p>
    <w:p>
      <w:pPr>
        <w:pStyle w:val="32"/>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  </w:t>
      </w:r>
    </w:p>
    <w:p>
      <w:pPr>
        <w:pStyle w:val="32"/>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pPr>
        <w:pStyle w:val="32"/>
        <w:spacing w:beforeAutospacing="0" w:afterAutospacing="0"/>
        <w:jc w:val="both"/>
        <w:rPr>
          <w:highlight w:val="none"/>
        </w:rPr>
      </w:pPr>
      <w:r>
        <w:rPr>
          <w:highlight w:val="none"/>
        </w:rPr>
        <w:t> </w:t>
      </w:r>
    </w:p>
    <w:p>
      <w:pPr>
        <w:pStyle w:val="32"/>
        <w:spacing w:beforeAutospacing="0" w:afterAutospacing="0"/>
        <w:ind w:firstLine="480"/>
        <w:jc w:val="both"/>
        <w:rPr>
          <w:highlight w:val="none"/>
        </w:rPr>
      </w:pPr>
      <w:r>
        <w:rPr>
          <w:highlight w:val="none"/>
        </w:rPr>
        <w:t> </w:t>
      </w:r>
    </w:p>
    <w:p>
      <w:pPr>
        <w:pStyle w:val="32"/>
        <w:spacing w:beforeAutospacing="0" w:afterAutospacing="0"/>
        <w:ind w:firstLine="480"/>
        <w:jc w:val="both"/>
        <w:rPr>
          <w:highlight w:val="none"/>
        </w:rPr>
      </w:pPr>
      <w:r>
        <w:rPr>
          <w:highlight w:val="none"/>
        </w:rPr>
        <w:t> </w:t>
      </w:r>
    </w:p>
    <w:p>
      <w:pPr>
        <w:pStyle w:val="32"/>
        <w:spacing w:beforeAutospacing="0" w:afterAutospacing="0"/>
        <w:ind w:firstLine="480"/>
        <w:jc w:val="both"/>
        <w:rPr>
          <w:highlight w:val="none"/>
        </w:rPr>
      </w:pPr>
    </w:p>
    <w:p>
      <w:pPr>
        <w:pStyle w:val="32"/>
        <w:spacing w:beforeAutospacing="0" w:afterAutospacing="0"/>
        <w:ind w:firstLine="480"/>
        <w:jc w:val="both"/>
        <w:rPr>
          <w:highlight w:val="none"/>
        </w:rPr>
      </w:pPr>
    </w:p>
    <w:p>
      <w:pPr>
        <w:pStyle w:val="32"/>
        <w:spacing w:beforeAutospacing="0" w:afterAutospacing="0"/>
        <w:ind w:firstLine="480"/>
        <w:jc w:val="both"/>
        <w:rPr>
          <w:highlight w:val="none"/>
        </w:rPr>
      </w:pPr>
    </w:p>
    <w:p>
      <w:pPr>
        <w:pStyle w:val="32"/>
        <w:spacing w:beforeAutospacing="0" w:afterAutospacing="0"/>
        <w:ind w:firstLine="480"/>
        <w:jc w:val="both"/>
        <w:rPr>
          <w:highlight w:val="none"/>
        </w:rPr>
      </w:pPr>
    </w:p>
    <w:p>
      <w:pPr>
        <w:pStyle w:val="32"/>
        <w:spacing w:beforeAutospacing="0" w:afterAutospacing="0"/>
        <w:ind w:firstLine="480"/>
        <w:jc w:val="both"/>
        <w:rPr>
          <w:highlight w:val="none"/>
        </w:rPr>
      </w:pPr>
    </w:p>
    <w:p>
      <w:pPr>
        <w:pStyle w:val="32"/>
        <w:spacing w:beforeAutospacing="0" w:afterAutospacing="0"/>
        <w:ind w:firstLine="480"/>
        <w:jc w:val="both"/>
        <w:rPr>
          <w:highlight w:val="none"/>
        </w:rPr>
      </w:pPr>
    </w:p>
    <w:p>
      <w:pPr>
        <w:pStyle w:val="32"/>
        <w:spacing w:beforeAutospacing="0" w:afterAutospacing="0"/>
        <w:jc w:val="center"/>
        <w:rPr>
          <w:highlight w:val="none"/>
        </w:rPr>
      </w:pPr>
      <w:r>
        <w:rPr>
          <w:highlight w:val="none"/>
        </w:rPr>
        <w:t> </w:t>
      </w:r>
    </w:p>
    <w:p>
      <w:pPr>
        <w:pStyle w:val="32"/>
        <w:spacing w:beforeAutospacing="0" w:afterAutospacing="0"/>
        <w:jc w:val="both"/>
        <w:rPr>
          <w:highlight w:val="none"/>
        </w:rPr>
      </w:pPr>
      <w:r>
        <w:rPr>
          <w:highlight w:val="none"/>
        </w:rPr>
        <w:t> </w:t>
      </w:r>
    </w:p>
    <w:p>
      <w:pPr>
        <w:pStyle w:val="32"/>
        <w:spacing w:beforeAutospacing="0" w:afterAutospacing="0"/>
        <w:jc w:val="center"/>
        <w:rPr>
          <w:rFonts w:ascii="宋体" w:hAnsi="宋体" w:eastAsia="宋体" w:cs="宋体"/>
          <w:b/>
          <w:color w:val="000000"/>
          <w:sz w:val="32"/>
          <w:szCs w:val="32"/>
          <w:highlight w:val="none"/>
        </w:rPr>
      </w:pPr>
    </w:p>
    <w:p>
      <w:pPr>
        <w:pStyle w:val="32"/>
        <w:spacing w:beforeAutospacing="0" w:afterAutospacing="0"/>
        <w:rPr>
          <w:rFonts w:ascii="宋体" w:hAnsi="宋体" w:eastAsia="宋体" w:cs="宋体"/>
          <w:b/>
          <w:color w:val="000000"/>
          <w:sz w:val="32"/>
          <w:szCs w:val="32"/>
          <w:highlight w:val="none"/>
        </w:rPr>
      </w:pPr>
    </w:p>
    <w:p>
      <w:pPr>
        <w:widowControl/>
        <w:spacing w:line="499" w:lineRule="atLeast"/>
        <w:ind w:firstLine="1600"/>
        <w:rPr>
          <w:highlight w:val="none"/>
        </w:rPr>
      </w:pPr>
      <w:r>
        <w:rPr>
          <w:highlight w:val="none"/>
        </w:rPr>
        <w:tab/>
      </w:r>
    </w:p>
    <w:p>
      <w:pPr>
        <w:widowControl/>
        <w:spacing w:line="499" w:lineRule="atLeast"/>
        <w:ind w:firstLine="1600"/>
        <w:rPr>
          <w:highlight w:val="none"/>
        </w:rPr>
      </w:pPr>
    </w:p>
    <w:p>
      <w:pPr>
        <w:widowControl/>
        <w:spacing w:line="499" w:lineRule="atLeast"/>
        <w:ind w:firstLine="1600"/>
        <w:rPr>
          <w:highlight w:val="none"/>
        </w:rPr>
      </w:pPr>
    </w:p>
    <w:p>
      <w:pPr>
        <w:widowControl/>
        <w:spacing w:line="499" w:lineRule="atLeast"/>
        <w:ind w:firstLine="1600"/>
        <w:rPr>
          <w:highlight w:val="none"/>
        </w:rPr>
      </w:pPr>
    </w:p>
    <w:p>
      <w:pPr>
        <w:widowControl/>
        <w:spacing w:line="499" w:lineRule="atLeast"/>
        <w:ind w:firstLine="1600"/>
        <w:rPr>
          <w:highlight w:val="none"/>
        </w:rPr>
      </w:pPr>
    </w:p>
    <w:p>
      <w:pPr>
        <w:pStyle w:val="188"/>
        <w:rPr>
          <w:highlight w:val="none"/>
        </w:rPr>
      </w:pPr>
    </w:p>
    <w:p>
      <w:pPr>
        <w:pStyle w:val="188"/>
        <w:rPr>
          <w:highlight w:val="none"/>
        </w:rPr>
      </w:pPr>
    </w:p>
    <w:p>
      <w:pPr>
        <w:pStyle w:val="188"/>
        <w:rPr>
          <w:highlight w:val="none"/>
        </w:rPr>
      </w:pPr>
    </w:p>
    <w:p>
      <w:pPr>
        <w:pStyle w:val="188"/>
        <w:rPr>
          <w:highlight w:val="none"/>
        </w:rPr>
      </w:pPr>
    </w:p>
    <w:p>
      <w:pPr>
        <w:pStyle w:val="188"/>
        <w:rPr>
          <w:highlight w:val="none"/>
        </w:rPr>
      </w:pPr>
    </w:p>
    <w:p>
      <w:pPr>
        <w:pStyle w:val="188"/>
        <w:rPr>
          <w:highlight w:val="none"/>
        </w:rPr>
      </w:pPr>
    </w:p>
    <w:p>
      <w:pPr>
        <w:widowControl/>
        <w:spacing w:line="499" w:lineRule="atLeast"/>
        <w:ind w:firstLine="1600"/>
        <w:rPr>
          <w:highlight w:val="none"/>
        </w:rPr>
      </w:pPr>
    </w:p>
    <w:p>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五</w:t>
      </w:r>
      <w:r>
        <w:rPr>
          <w:rFonts w:hint="eastAsia" w:ascii="宋体" w:hAnsi="宋体" w:eastAsia="宋体" w:cs="宋体"/>
          <w:color w:val="000000"/>
          <w:sz w:val="32"/>
          <w:szCs w:val="32"/>
          <w:highlight w:val="none"/>
        </w:rPr>
        <w:t>、盐城市政府采购事前信用承诺书</w:t>
      </w:r>
    </w:p>
    <w:p>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（四）严格遵守即时信息公示规定，及时维护和更新维护和更新盐城市政府采购网中与本单位相关的信息；</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（六）自觉接受政府、行业组织、社会公众、新闻舆论的监督；</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（八）本人已认真阅读了上述承诺，并向本单位员工作了宣传教育。</w:t>
      </w:r>
    </w:p>
    <w:p>
      <w:pPr>
        <w:keepNext w:val="0"/>
        <w:keepLines w:val="0"/>
        <w:pageBreakBefore w:val="0"/>
        <w:widowControl/>
        <w:spacing w:line="700" w:lineRule="exac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pPr>
        <w:keepNext w:val="0"/>
        <w:keepLines w:val="0"/>
        <w:pageBreakBefore w:val="0"/>
        <w:widowControl/>
        <w:spacing w:line="700" w:lineRule="exac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pPr>
        <w:keepNext w:val="0"/>
        <w:keepLines w:val="0"/>
        <w:pageBreakBefore w:val="0"/>
        <w:widowControl/>
        <w:spacing w:line="700" w:lineRule="exac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bookmarkEnd w:id="6"/>
    <w:bookmarkEnd w:id="48"/>
    <w:bookmarkEnd w:id="95"/>
    <w:bookmarkEnd w:id="96"/>
    <w:bookmarkEnd w:id="97"/>
    <w:bookmarkEnd w:id="98"/>
    <w:bookmarkEnd w:id="99"/>
    <w:bookmarkEnd w:id="100"/>
    <w:bookmarkEnd w:id="101"/>
    <w:bookmarkEnd w:id="102"/>
    <w:bookmarkEnd w:id="111"/>
    <w:bookmarkEnd w:id="112"/>
    <w:bookmarkEnd w:id="119"/>
    <w:bookmarkEnd w:id="174"/>
    <w:bookmarkEnd w:id="177"/>
    <w:bookmarkEnd w:id="180"/>
    <w:bookmarkEnd w:id="181"/>
    <w:bookmarkEnd w:id="182"/>
    <w:bookmarkEnd w:id="183"/>
    <w:bookmarkEnd w:id="184"/>
    <w:bookmarkEnd w:id="185"/>
    <w:bookmarkEnd w:id="186"/>
    <w:bookmarkEnd w:id="187"/>
    <w:bookmarkEnd w:id="196"/>
    <w:bookmarkEnd w:id="197"/>
    <w:bookmarkEnd w:id="198"/>
    <w:bookmarkEnd w:id="199"/>
    <w:bookmarkEnd w:id="200"/>
    <w:p>
      <w:pPr>
        <w:pStyle w:val="32"/>
        <w:spacing w:beforeAutospacing="0" w:afterAutospacing="0"/>
        <w:jc w:val="center"/>
        <w:rPr>
          <w:highlight w:val="none"/>
        </w:rPr>
      </w:pPr>
    </w:p>
    <w:p>
      <w:pPr>
        <w:pStyle w:val="32"/>
        <w:numPr>
          <w:ilvl w:val="0"/>
          <w:numId w:val="0"/>
        </w:numPr>
        <w:spacing w:beforeAutospacing="0" w:afterAutospacing="0"/>
        <w:jc w:val="center"/>
        <w:rPr>
          <w:rFonts w:hint="eastAsia" w:ascii="宋体" w:hAnsi="宋体" w:eastAsia="宋体" w:cs="宋体"/>
          <w:color w:val="000000"/>
          <w:sz w:val="28"/>
          <w:szCs w:val="28"/>
          <w:highlight w:val="none"/>
        </w:rPr>
      </w:pPr>
    </w:p>
    <w:p>
      <w:pPr>
        <w:pStyle w:val="32"/>
        <w:numPr>
          <w:ilvl w:val="0"/>
          <w:numId w:val="0"/>
        </w:numPr>
        <w:spacing w:beforeAutospacing="0" w:afterAutospacing="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十六、</w:t>
      </w:r>
      <w:r>
        <w:rPr>
          <w:rFonts w:hint="eastAsia" w:ascii="宋体" w:hAnsi="宋体" w:eastAsia="宋体" w:cs="宋体"/>
          <w:color w:val="000000"/>
          <w:sz w:val="28"/>
          <w:szCs w:val="28"/>
          <w:highlight w:val="none"/>
        </w:rPr>
        <w:t>与评审有关的其他资料</w:t>
      </w: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hint="eastAsia" w:ascii="宋体" w:hAnsi="宋体" w:eastAsia="宋体" w:cs="宋体"/>
          <w:b/>
          <w:bCs/>
          <w:color w:val="000000"/>
          <w:sz w:val="32"/>
          <w:szCs w:val="32"/>
          <w:highlight w:val="none"/>
        </w:rPr>
      </w:pPr>
    </w:p>
    <w:p>
      <w:pPr>
        <w:pStyle w:val="32"/>
        <w:numPr>
          <w:ilvl w:val="0"/>
          <w:numId w:val="0"/>
        </w:numPr>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pPr>
        <w:pStyle w:val="32"/>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pPr>
        <w:pStyle w:val="3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pPr>
        <w:pStyle w:val="32"/>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pPr>
        <w:pStyle w:val="32"/>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pPr>
        <w:pStyle w:val="32"/>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pPr>
        <w:pStyle w:val="32"/>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p>
      <w:pPr>
        <w:pStyle w:val="32"/>
        <w:spacing w:beforeAutospacing="0" w:afterAutospacing="0"/>
        <w:rPr>
          <w:highlight w:val="none"/>
        </w:rPr>
      </w:pPr>
    </w:p>
    <w:sectPr>
      <w:headerReference r:id="rId3" w:type="default"/>
      <w:footerReference r:id="rId4"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5ZGM2ZWEzZTFmMTNmZjQ5MzY5NzkxNDYyYzFhMTYifQ=="/>
  </w:docVars>
  <w:rsids>
    <w:rsidRoot w:val="00000000"/>
    <w:rsid w:val="0C24298C"/>
    <w:rsid w:val="14355082"/>
    <w:rsid w:val="31033EE3"/>
    <w:rsid w:val="3AB41E9E"/>
    <w:rsid w:val="42173980"/>
    <w:rsid w:val="5C9E7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40"/>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42"/>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next w:val="1"/>
    <w:autoRedefine/>
    <w:qFormat/>
    <w:uiPriority w:val="0"/>
    <w:pPr>
      <w:ind w:firstLine="480"/>
    </w:pPr>
    <w:rPr>
      <w:rFonts w:ascii="仿宋_GB2312" w:eastAsia="仿宋_GB2312"/>
      <w:sz w:val="24"/>
    </w:r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autoRedefine/>
    <w:unhideWhenUsed/>
    <w:qFormat/>
    <w:uiPriority w:val="0"/>
    <w:pPr>
      <w:spacing w:after="120"/>
    </w:pPr>
    <w:rPr>
      <w:rFonts w:ascii="Calibri" w:hAnsi="Calibri"/>
      <w:szCs w:val="22"/>
    </w:rPr>
  </w:style>
  <w:style w:type="paragraph" w:styleId="15">
    <w:name w:val="Body Text Indent"/>
    <w:basedOn w:val="1"/>
    <w:autoRedefine/>
    <w:qFormat/>
    <w:uiPriority w:val="0"/>
    <w:pPr>
      <w:spacing w:after="120"/>
      <w:ind w:left="420"/>
    </w:pPr>
  </w:style>
  <w:style w:type="paragraph" w:styleId="16">
    <w:name w:val="Block Text"/>
    <w:basedOn w:val="1"/>
    <w:autoRedefine/>
    <w:unhideWhenUsed/>
    <w:qFormat/>
    <w:uiPriority w:val="0"/>
    <w:pPr>
      <w:spacing w:after="120"/>
      <w:ind w:firstLine="420"/>
    </w:pPr>
    <w:rPr>
      <w:rFonts w:ascii="Times New Roman" w:hAnsi="Times New Roman"/>
      <w:sz w:val="21"/>
    </w:rPr>
  </w:style>
  <w:style w:type="paragraph" w:styleId="17">
    <w:name w:val="toc 5"/>
    <w:basedOn w:val="1"/>
    <w:next w:val="1"/>
    <w:autoRedefine/>
    <w:unhideWhenUsed/>
    <w:qFormat/>
    <w:uiPriority w:val="39"/>
    <w:pPr>
      <w:spacing w:after="57"/>
      <w:ind w:left="1134" w:right="0" w:firstLine="0"/>
    </w:pPr>
  </w:style>
  <w:style w:type="paragraph" w:styleId="18">
    <w:name w:val="toc 3"/>
    <w:basedOn w:val="1"/>
    <w:next w:val="1"/>
    <w:autoRedefine/>
    <w:unhideWhenUsed/>
    <w:qFormat/>
    <w:uiPriority w:val="39"/>
    <w:pPr>
      <w:spacing w:after="57"/>
      <w:ind w:left="567" w:right="0" w:firstLine="0"/>
    </w:pPr>
  </w:style>
  <w:style w:type="paragraph" w:styleId="19">
    <w:name w:val="Plain Text"/>
    <w:basedOn w:val="1"/>
    <w:autoRedefine/>
    <w:qFormat/>
    <w:uiPriority w:val="0"/>
    <w:rPr>
      <w:rFonts w:ascii="宋体" w:hAnsi="Courier New" w:cs="Courier New"/>
      <w:szCs w:val="21"/>
    </w:rPr>
  </w:style>
  <w:style w:type="paragraph" w:styleId="20">
    <w:name w:val="toc 8"/>
    <w:basedOn w:val="1"/>
    <w:next w:val="1"/>
    <w:autoRedefine/>
    <w:unhideWhenUsed/>
    <w:qFormat/>
    <w:uiPriority w:val="39"/>
    <w:pPr>
      <w:spacing w:after="57"/>
      <w:ind w:left="1984" w:right="0" w:firstLine="0"/>
    </w:pPr>
  </w:style>
  <w:style w:type="paragraph" w:styleId="21">
    <w:name w:val="endnote text"/>
    <w:basedOn w:val="1"/>
    <w:link w:val="186"/>
    <w:autoRedefine/>
    <w:semiHidden/>
    <w:unhideWhenUsed/>
    <w:qFormat/>
    <w:uiPriority w:val="99"/>
    <w:pPr>
      <w:spacing w:after="0" w:line="240" w:lineRule="auto"/>
    </w:pPr>
    <w:rPr>
      <w:sz w:val="20"/>
    </w:rPr>
  </w:style>
  <w:style w:type="paragraph" w:styleId="22">
    <w:name w:val="footer"/>
    <w:basedOn w:val="1"/>
    <w:link w:val="190"/>
    <w:autoRedefine/>
    <w:qFormat/>
    <w:uiPriority w:val="0"/>
    <w:pPr>
      <w:tabs>
        <w:tab w:val="center" w:pos="4153"/>
        <w:tab w:val="right" w:pos="8306"/>
      </w:tabs>
      <w:jc w:val="left"/>
    </w:pPr>
    <w:rPr>
      <w:sz w:val="18"/>
      <w:szCs w:val="18"/>
    </w:rPr>
  </w:style>
  <w:style w:type="paragraph" w:styleId="23">
    <w:name w:val="header"/>
    <w:basedOn w:val="1"/>
    <w:link w:val="189"/>
    <w:autoRedefine/>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autoRedefine/>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link w:val="52"/>
    <w:autoRedefine/>
    <w:qFormat/>
    <w:uiPriority w:val="11"/>
    <w:pPr>
      <w:spacing w:before="200" w:after="200"/>
    </w:pPr>
    <w:rPr>
      <w:sz w:val="24"/>
      <w:szCs w:val="24"/>
    </w:rPr>
  </w:style>
  <w:style w:type="paragraph" w:styleId="27">
    <w:name w:val="footnote text"/>
    <w:basedOn w:val="1"/>
    <w:link w:val="185"/>
    <w:autoRedefine/>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table of figures"/>
    <w:basedOn w:val="1"/>
    <w:next w:val="1"/>
    <w:autoRedefine/>
    <w:unhideWhenUsed/>
    <w:qFormat/>
    <w:uiPriority w:val="99"/>
    <w:pPr>
      <w:spacing w:after="0" w:afterAutospacing="0"/>
    </w:pPr>
  </w:style>
  <w:style w:type="paragraph" w:styleId="30">
    <w:name w:val="toc 2"/>
    <w:basedOn w:val="1"/>
    <w:next w:val="1"/>
    <w:autoRedefine/>
    <w:unhideWhenUsed/>
    <w:qFormat/>
    <w:uiPriority w:val="39"/>
    <w:pPr>
      <w:spacing w:after="57"/>
      <w:ind w:left="283" w:right="0" w:firstLine="0"/>
    </w:pPr>
  </w:style>
  <w:style w:type="paragraph" w:styleId="31">
    <w:name w:val="toc 9"/>
    <w:basedOn w:val="1"/>
    <w:next w:val="1"/>
    <w:autoRedefine/>
    <w:unhideWhenUsed/>
    <w:qFormat/>
    <w:uiPriority w:val="39"/>
    <w:pPr>
      <w:spacing w:after="57"/>
      <w:ind w:left="2268" w:right="0" w:firstLine="0"/>
    </w:pPr>
  </w:style>
  <w:style w:type="paragraph" w:styleId="32">
    <w:name w:val="Normal (Web)"/>
    <w:basedOn w:val="1"/>
    <w:autoRedefine/>
    <w:qFormat/>
    <w:uiPriority w:val="0"/>
    <w:pPr>
      <w:spacing w:beforeAutospacing="1" w:afterAutospacing="1"/>
      <w:jc w:val="left"/>
    </w:pPr>
    <w:rPr>
      <w:rFonts w:cs="Times New Roman"/>
      <w:sz w:val="24"/>
    </w:rPr>
  </w:style>
  <w:style w:type="paragraph" w:styleId="33">
    <w:name w:val="Title"/>
    <w:basedOn w:val="1"/>
    <w:next w:val="1"/>
    <w:link w:val="51"/>
    <w:autoRedefine/>
    <w:qFormat/>
    <w:uiPriority w:val="10"/>
    <w:pPr>
      <w:spacing w:before="300" w:after="200"/>
      <w:contextualSpacing/>
    </w:pPr>
    <w:rPr>
      <w:sz w:val="48"/>
      <w:szCs w:val="48"/>
    </w:rPr>
  </w:style>
  <w:style w:type="table" w:styleId="35">
    <w:name w:val="Table Grid"/>
    <w:basedOn w:val="34"/>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autoRedefine/>
    <w:semiHidden/>
    <w:unhideWhenUsed/>
    <w:qFormat/>
    <w:uiPriority w:val="99"/>
    <w:rPr>
      <w:vertAlign w:val="superscript"/>
    </w:rPr>
  </w:style>
  <w:style w:type="character" w:styleId="38">
    <w:name w:val="Hyperlink"/>
    <w:autoRedefine/>
    <w:unhideWhenUsed/>
    <w:qFormat/>
    <w:uiPriority w:val="99"/>
    <w:rPr>
      <w:color w:val="0563C1" w:themeColor="hyperlink"/>
      <w:u w:val="single"/>
      <w14:textFill>
        <w14:solidFill>
          <w14:schemeClr w14:val="hlink"/>
        </w14:solidFill>
      </w14:textFill>
    </w:rPr>
  </w:style>
  <w:style w:type="character" w:styleId="39">
    <w:name w:val="footnote reference"/>
    <w:basedOn w:val="36"/>
    <w:autoRedefine/>
    <w:unhideWhenUsed/>
    <w:qFormat/>
    <w:uiPriority w:val="99"/>
    <w:rPr>
      <w:vertAlign w:val="superscript"/>
    </w:rPr>
  </w:style>
  <w:style w:type="character" w:customStyle="1" w:styleId="40">
    <w:name w:val="Heading 1 Char"/>
    <w:basedOn w:val="36"/>
    <w:link w:val="3"/>
    <w:autoRedefine/>
    <w:qFormat/>
    <w:uiPriority w:val="9"/>
    <w:rPr>
      <w:rFonts w:ascii="Arial" w:hAnsi="Arial" w:eastAsia="Arial" w:cs="Arial"/>
      <w:sz w:val="40"/>
      <w:szCs w:val="40"/>
    </w:rPr>
  </w:style>
  <w:style w:type="character" w:customStyle="1" w:styleId="41">
    <w:name w:val="Heading 2 Char"/>
    <w:basedOn w:val="36"/>
    <w:autoRedefine/>
    <w:qFormat/>
    <w:uiPriority w:val="9"/>
    <w:rPr>
      <w:rFonts w:ascii="Arial" w:hAnsi="Arial" w:eastAsia="Arial" w:cs="Arial"/>
      <w:sz w:val="34"/>
    </w:rPr>
  </w:style>
  <w:style w:type="character" w:customStyle="1" w:styleId="42">
    <w:name w:val="Heading 3 Char"/>
    <w:basedOn w:val="36"/>
    <w:link w:val="5"/>
    <w:autoRedefine/>
    <w:qFormat/>
    <w:uiPriority w:val="9"/>
    <w:rPr>
      <w:rFonts w:ascii="Arial" w:hAnsi="Arial" w:eastAsia="Arial" w:cs="Arial"/>
      <w:sz w:val="30"/>
      <w:szCs w:val="30"/>
    </w:rPr>
  </w:style>
  <w:style w:type="character" w:customStyle="1" w:styleId="43">
    <w:name w:val="Heading 4 Char"/>
    <w:basedOn w:val="36"/>
    <w:link w:val="6"/>
    <w:autoRedefine/>
    <w:qFormat/>
    <w:uiPriority w:val="9"/>
    <w:rPr>
      <w:rFonts w:ascii="Arial" w:hAnsi="Arial" w:eastAsia="Arial" w:cs="Arial"/>
      <w:b/>
      <w:bCs/>
      <w:sz w:val="26"/>
      <w:szCs w:val="26"/>
    </w:rPr>
  </w:style>
  <w:style w:type="character" w:customStyle="1" w:styleId="44">
    <w:name w:val="Heading 5 Char"/>
    <w:basedOn w:val="36"/>
    <w:link w:val="7"/>
    <w:autoRedefine/>
    <w:qFormat/>
    <w:uiPriority w:val="9"/>
    <w:rPr>
      <w:rFonts w:ascii="Arial" w:hAnsi="Arial" w:eastAsia="Arial" w:cs="Arial"/>
      <w:b/>
      <w:bCs/>
      <w:sz w:val="24"/>
      <w:szCs w:val="24"/>
    </w:rPr>
  </w:style>
  <w:style w:type="character" w:customStyle="1" w:styleId="45">
    <w:name w:val="Heading 6 Char"/>
    <w:basedOn w:val="36"/>
    <w:link w:val="8"/>
    <w:autoRedefine/>
    <w:qFormat/>
    <w:uiPriority w:val="9"/>
    <w:rPr>
      <w:rFonts w:ascii="Arial" w:hAnsi="Arial" w:eastAsia="Arial" w:cs="Arial"/>
      <w:b/>
      <w:bCs/>
      <w:sz w:val="22"/>
      <w:szCs w:val="22"/>
    </w:rPr>
  </w:style>
  <w:style w:type="character" w:customStyle="1" w:styleId="46">
    <w:name w:val="Heading 7 Char"/>
    <w:basedOn w:val="36"/>
    <w:link w:val="9"/>
    <w:autoRedefine/>
    <w:qFormat/>
    <w:uiPriority w:val="9"/>
    <w:rPr>
      <w:rFonts w:ascii="Arial" w:hAnsi="Arial" w:eastAsia="Arial" w:cs="Arial"/>
      <w:b/>
      <w:bCs/>
      <w:i/>
      <w:iCs/>
      <w:sz w:val="22"/>
      <w:szCs w:val="22"/>
    </w:rPr>
  </w:style>
  <w:style w:type="character" w:customStyle="1" w:styleId="47">
    <w:name w:val="Heading 8 Char"/>
    <w:basedOn w:val="36"/>
    <w:link w:val="10"/>
    <w:autoRedefine/>
    <w:qFormat/>
    <w:uiPriority w:val="9"/>
    <w:rPr>
      <w:rFonts w:ascii="Arial" w:hAnsi="Arial" w:eastAsia="Arial" w:cs="Arial"/>
      <w:i/>
      <w:iCs/>
      <w:sz w:val="22"/>
      <w:szCs w:val="22"/>
    </w:rPr>
  </w:style>
  <w:style w:type="character" w:customStyle="1" w:styleId="48">
    <w:name w:val="Heading 9 Char"/>
    <w:basedOn w:val="36"/>
    <w:link w:val="11"/>
    <w:autoRedefine/>
    <w:qFormat/>
    <w:uiPriority w:val="9"/>
    <w:rPr>
      <w:rFonts w:ascii="Arial" w:hAnsi="Arial" w:eastAsia="Arial" w:cs="Arial"/>
      <w:i/>
      <w:iCs/>
      <w:sz w:val="21"/>
      <w:szCs w:val="21"/>
    </w:rPr>
  </w:style>
  <w:style w:type="paragraph" w:styleId="49">
    <w:name w:val="List Paragraph"/>
    <w:basedOn w:val="1"/>
    <w:autoRedefine/>
    <w:qFormat/>
    <w:uiPriority w:val="34"/>
    <w:pPr>
      <w:ind w:left="720"/>
      <w:contextualSpacing/>
    </w:pPr>
  </w:style>
  <w:style w:type="paragraph" w:styleId="50">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6"/>
    <w:link w:val="33"/>
    <w:autoRedefine/>
    <w:qFormat/>
    <w:uiPriority w:val="10"/>
    <w:rPr>
      <w:sz w:val="48"/>
      <w:szCs w:val="48"/>
    </w:rPr>
  </w:style>
  <w:style w:type="character" w:customStyle="1" w:styleId="52">
    <w:name w:val="Subtitle Char"/>
    <w:basedOn w:val="36"/>
    <w:link w:val="26"/>
    <w:autoRedefine/>
    <w:qFormat/>
    <w:uiPriority w:val="11"/>
    <w:rPr>
      <w:sz w:val="24"/>
      <w:szCs w:val="24"/>
    </w:rPr>
  </w:style>
  <w:style w:type="paragraph" w:styleId="53">
    <w:name w:val="Quote"/>
    <w:basedOn w:val="1"/>
    <w:next w:val="1"/>
    <w:link w:val="54"/>
    <w:autoRedefine/>
    <w:qFormat/>
    <w:uiPriority w:val="29"/>
    <w:pPr>
      <w:ind w:left="720" w:right="720"/>
    </w:pPr>
    <w:rPr>
      <w:i/>
    </w:rPr>
  </w:style>
  <w:style w:type="character" w:customStyle="1" w:styleId="54">
    <w:name w:val="Quote Char"/>
    <w:link w:val="53"/>
    <w:autoRedefine/>
    <w:qFormat/>
    <w:uiPriority w:val="29"/>
    <w:rPr>
      <w:i/>
    </w:rPr>
  </w:style>
  <w:style w:type="paragraph" w:styleId="55">
    <w:name w:val="Intense Quote"/>
    <w:basedOn w:val="1"/>
    <w:next w:val="1"/>
    <w:link w:val="56"/>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autoRedefine/>
    <w:qFormat/>
    <w:uiPriority w:val="30"/>
    <w:rPr>
      <w:i/>
    </w:rPr>
  </w:style>
  <w:style w:type="character" w:customStyle="1" w:styleId="57">
    <w:name w:val="Header Char"/>
    <w:basedOn w:val="36"/>
    <w:autoRedefine/>
    <w:qFormat/>
    <w:uiPriority w:val="99"/>
  </w:style>
  <w:style w:type="character" w:customStyle="1" w:styleId="58">
    <w:name w:val="Footer Char"/>
    <w:basedOn w:val="36"/>
    <w:autoRedefine/>
    <w:qFormat/>
    <w:uiPriority w:val="99"/>
  </w:style>
  <w:style w:type="character" w:customStyle="1" w:styleId="59">
    <w:name w:val="Caption Char"/>
    <w:autoRedefine/>
    <w:qFormat/>
    <w:uiPriority w:val="99"/>
  </w:style>
  <w:style w:type="table" w:customStyle="1" w:styleId="60">
    <w:name w:val="Table Grid Light"/>
    <w:basedOn w:val="34"/>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4"/>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4"/>
    <w:autoRedefine/>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8">
    <w:name w:val="Grid Table 1 Light - Accent 2"/>
    <w:basedOn w:val="34"/>
    <w:autoRedefine/>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9">
    <w:name w:val="Grid Table 1 Light - Accent 3"/>
    <w:basedOn w:val="34"/>
    <w:autoRedefine/>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0">
    <w:name w:val="Grid Table 1 Light - Accent 4"/>
    <w:basedOn w:val="34"/>
    <w:autoRedefine/>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1">
    <w:name w:val="Grid Table 1 Light - Accent 5"/>
    <w:basedOn w:val="34"/>
    <w:autoRedefine/>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2">
    <w:name w:val="Grid Table 1 Light - Accent 6"/>
    <w:basedOn w:val="34"/>
    <w:autoRedefine/>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3">
    <w:name w:val="Grid Table 2"/>
    <w:basedOn w:val="34"/>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4"/>
    <w:autoRedefine/>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5">
    <w:name w:val="Grid Table 2 - Accent 2"/>
    <w:basedOn w:val="34"/>
    <w:autoRedefine/>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6">
    <w:name w:val="Grid Table 2 - Accent 3"/>
    <w:basedOn w:val="34"/>
    <w:autoRedefine/>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7">
    <w:name w:val="Grid Table 2 - Accent 4"/>
    <w:basedOn w:val="34"/>
    <w:autoRedefine/>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8">
    <w:name w:val="Grid Table 2 - Accent 5"/>
    <w:basedOn w:val="34"/>
    <w:autoRedefine/>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9">
    <w:name w:val="Grid Table 2 - Accent 6"/>
    <w:basedOn w:val="34"/>
    <w:autoRedefine/>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0">
    <w:name w:val="Grid Table 3"/>
    <w:basedOn w:val="34"/>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4"/>
    <w:autoRedefine/>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3 - Accent 2"/>
    <w:basedOn w:val="34"/>
    <w:autoRedefine/>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3 - Accent 3"/>
    <w:basedOn w:val="34"/>
    <w:autoRedefine/>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3 - Accent 4"/>
    <w:basedOn w:val="34"/>
    <w:autoRedefine/>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3 - Accent 5"/>
    <w:basedOn w:val="34"/>
    <w:autoRedefine/>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3 - Accent 6"/>
    <w:basedOn w:val="34"/>
    <w:autoRedefine/>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4"/>
    <w:basedOn w:val="3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4"/>
    <w:autoRedefine/>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9">
    <w:name w:val="Grid Table 4 - Accent 2"/>
    <w:basedOn w:val="34"/>
    <w:autoRedefine/>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4 - Accent 3"/>
    <w:basedOn w:val="34"/>
    <w:autoRedefine/>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4 - Accent 4"/>
    <w:basedOn w:val="34"/>
    <w:autoRedefine/>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4 - Accent 5"/>
    <w:basedOn w:val="34"/>
    <w:autoRedefine/>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4 - Accent 6"/>
    <w:basedOn w:val="34"/>
    <w:autoRedefine/>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5 Dark"/>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6">
    <w:name w:val="Grid Table 5 Dark - Accent 2"/>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7">
    <w:name w:val="Grid Table 5 Dark - Accent 3"/>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8">
    <w:name w:val="Grid Table 5 Dark- Accent 4"/>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9">
    <w:name w:val="Grid Table 5 Dark - Accent 5"/>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0">
    <w:name w:val="Grid Table 5 Dark - Accent 6"/>
    <w:basedOn w:val="3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1">
    <w:name w:val="Grid Table 6 Colorful"/>
    <w:basedOn w:val="34"/>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4"/>
    <w:autoRedefine/>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4"/>
    <w:autoRedefine/>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4"/>
    <w:autoRedefine/>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4"/>
    <w:autoRedefine/>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4"/>
    <w:autoRedefine/>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7">
    <w:name w:val="Grid Table 6 Colorful - Accent 6"/>
    <w:basedOn w:val="34"/>
    <w:autoRedefine/>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8">
    <w:name w:val="Grid Table 7 Colorful"/>
    <w:basedOn w:val="34"/>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4"/>
    <w:autoRedefine/>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4"/>
    <w:autoRedefine/>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4"/>
    <w:autoRedefine/>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4"/>
    <w:autoRedefine/>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4"/>
    <w:autoRedefine/>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7 Colorful - Accent 6"/>
    <w:basedOn w:val="34"/>
    <w:autoRedefine/>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5">
    <w:name w:val="List Table 1 Light"/>
    <w:basedOn w:val="34"/>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4"/>
    <w:autoRedefine/>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7">
    <w:name w:val="List Table 1 Light - Accent 2"/>
    <w:basedOn w:val="34"/>
    <w:autoRedefine/>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8">
    <w:name w:val="List Table 1 Light - Accent 3"/>
    <w:basedOn w:val="34"/>
    <w:autoRedefine/>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9">
    <w:name w:val="List Table 1 Light - Accent 4"/>
    <w:basedOn w:val="34"/>
    <w:autoRedefine/>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0">
    <w:name w:val="List Table 1 Light - Accent 5"/>
    <w:basedOn w:val="34"/>
    <w:autoRedefine/>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1">
    <w:name w:val="List Table 1 Light - Accent 6"/>
    <w:basedOn w:val="34"/>
    <w:autoRedefine/>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2">
    <w:name w:val="List Table 2"/>
    <w:basedOn w:val="34"/>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4"/>
    <w:autoRedefine/>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4">
    <w:name w:val="List Table 2 - Accent 2"/>
    <w:basedOn w:val="34"/>
    <w:autoRedefine/>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5">
    <w:name w:val="List Table 2 - Accent 3"/>
    <w:basedOn w:val="34"/>
    <w:autoRedefine/>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6">
    <w:name w:val="List Table 2 - Accent 4"/>
    <w:basedOn w:val="34"/>
    <w:autoRedefine/>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7">
    <w:name w:val="List Table 2 - Accent 5"/>
    <w:basedOn w:val="34"/>
    <w:autoRedefine/>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8">
    <w:name w:val="List Table 2 - Accent 6"/>
    <w:basedOn w:val="34"/>
    <w:autoRedefine/>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9">
    <w:name w:val="List Table 3"/>
    <w:basedOn w:val="3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4"/>
    <w:autoRedefine/>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1">
    <w:name w:val="List Table 3 - Accent 2"/>
    <w:basedOn w:val="34"/>
    <w:autoRedefine/>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2">
    <w:name w:val="List Table 3 - Accent 3"/>
    <w:basedOn w:val="34"/>
    <w:autoRedefine/>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3">
    <w:name w:val="List Table 3 - Accent 4"/>
    <w:basedOn w:val="34"/>
    <w:autoRedefine/>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4">
    <w:name w:val="List Table 3 - Accent 5"/>
    <w:basedOn w:val="34"/>
    <w:autoRedefine/>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5">
    <w:name w:val="List Table 3 - Accent 6"/>
    <w:basedOn w:val="34"/>
    <w:autoRedefine/>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6">
    <w:name w:val="List Table 4"/>
    <w:basedOn w:val="3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4"/>
    <w:autoRedefine/>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8">
    <w:name w:val="List Table 4 - Accent 2"/>
    <w:basedOn w:val="34"/>
    <w:autoRedefine/>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9">
    <w:name w:val="List Table 4 - Accent 3"/>
    <w:basedOn w:val="34"/>
    <w:autoRedefine/>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0">
    <w:name w:val="List Table 4 - Accent 4"/>
    <w:basedOn w:val="34"/>
    <w:autoRedefine/>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1">
    <w:name w:val="List Table 4 - Accent 5"/>
    <w:basedOn w:val="34"/>
    <w:autoRedefine/>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2">
    <w:name w:val="List Table 4 - Accent 6"/>
    <w:basedOn w:val="34"/>
    <w:autoRedefine/>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3">
    <w:name w:val="List Table 5 Dark"/>
    <w:basedOn w:val="34"/>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4"/>
    <w:autoRedefine/>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5">
    <w:name w:val="List Table 5 Dark - Accent 2"/>
    <w:basedOn w:val="34"/>
    <w:autoRedefine/>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6">
    <w:name w:val="List Table 5 Dark - Accent 3"/>
    <w:basedOn w:val="34"/>
    <w:autoRedefine/>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7">
    <w:name w:val="List Table 5 Dark - Accent 4"/>
    <w:basedOn w:val="34"/>
    <w:autoRedefine/>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8">
    <w:name w:val="List Table 5 Dark - Accent 5"/>
    <w:basedOn w:val="34"/>
    <w:autoRedefine/>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9">
    <w:name w:val="List Table 5 Dark - Accent 6"/>
    <w:basedOn w:val="34"/>
    <w:autoRedefine/>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0">
    <w:name w:val="List Table 6 Colorful"/>
    <w:basedOn w:val="34"/>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4"/>
    <w:autoRedefine/>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2">
    <w:name w:val="List Table 6 Colorful - Accent 2"/>
    <w:basedOn w:val="34"/>
    <w:autoRedefine/>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4"/>
    <w:autoRedefine/>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4"/>
    <w:autoRedefine/>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4"/>
    <w:autoRedefine/>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4"/>
    <w:autoRedefine/>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4"/>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4"/>
    <w:autoRedefine/>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7 Colorful - Accent 2"/>
    <w:basedOn w:val="34"/>
    <w:autoRedefine/>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4"/>
    <w:autoRedefine/>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4"/>
    <w:autoRedefine/>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4"/>
    <w:autoRedefine/>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4"/>
    <w:autoRedefine/>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4"/>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4"/>
    <w:autoRedefine/>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6">
    <w:name w:val="Lined - Accent 2"/>
    <w:basedOn w:val="34"/>
    <w:autoRedefine/>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7">
    <w:name w:val="Lined - Accent 3"/>
    <w:basedOn w:val="34"/>
    <w:autoRedefine/>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8">
    <w:name w:val="Lined - Accent 4"/>
    <w:basedOn w:val="34"/>
    <w:autoRedefine/>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9">
    <w:name w:val="Lined - Accent 5"/>
    <w:basedOn w:val="34"/>
    <w:autoRedefine/>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0">
    <w:name w:val="Lined - Accent 6"/>
    <w:basedOn w:val="34"/>
    <w:autoRedefine/>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1">
    <w:name w:val="Bordered &amp; Lined - Accent"/>
    <w:basedOn w:val="34"/>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4"/>
    <w:autoRedefine/>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Bordered &amp; Lined - Accent 2"/>
    <w:basedOn w:val="34"/>
    <w:autoRedefine/>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Bordered &amp; Lined - Accent 3"/>
    <w:basedOn w:val="34"/>
    <w:autoRedefine/>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Bordered &amp; Lined - Accent 4"/>
    <w:basedOn w:val="34"/>
    <w:autoRedefine/>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Bordered &amp; Lined - Accent 5"/>
    <w:basedOn w:val="34"/>
    <w:autoRedefine/>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Bordered &amp; Lined - Accent 6"/>
    <w:basedOn w:val="34"/>
    <w:autoRedefine/>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w:basedOn w:val="34"/>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4"/>
    <w:autoRedefine/>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0">
    <w:name w:val="Bordered - Accent 2"/>
    <w:basedOn w:val="34"/>
    <w:autoRedefine/>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1">
    <w:name w:val="Bordered - Accent 3"/>
    <w:basedOn w:val="34"/>
    <w:autoRedefine/>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2">
    <w:name w:val="Bordered - Accent 4"/>
    <w:basedOn w:val="34"/>
    <w:autoRedefine/>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3">
    <w:name w:val="Bordered - Accent 5"/>
    <w:basedOn w:val="34"/>
    <w:autoRedefine/>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4">
    <w:name w:val="Bordered - Accent 6"/>
    <w:basedOn w:val="34"/>
    <w:autoRedefine/>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5">
    <w:name w:val="Footnote Text Char"/>
    <w:link w:val="27"/>
    <w:autoRedefine/>
    <w:qFormat/>
    <w:uiPriority w:val="99"/>
    <w:rPr>
      <w:sz w:val="18"/>
    </w:rPr>
  </w:style>
  <w:style w:type="character" w:customStyle="1" w:styleId="186">
    <w:name w:val="Endnote Text Char"/>
    <w:link w:val="21"/>
    <w:autoRedefine/>
    <w:qFormat/>
    <w:uiPriority w:val="99"/>
    <w:rPr>
      <w:sz w:val="20"/>
    </w:rPr>
  </w:style>
  <w:style w:type="paragraph" w:customStyle="1" w:styleId="187">
    <w:name w:val="TOC Heading"/>
    <w:autoRedefine/>
    <w:unhideWhenUsed/>
    <w:qFormat/>
    <w:uiPriority w:val="39"/>
    <w:rPr>
      <w:rFonts w:hint="default" w:ascii="Times New Roman" w:hAnsi="Times New Roman" w:eastAsia="宋体" w:cs="Times New Roman"/>
    </w:rPr>
  </w:style>
  <w:style w:type="paragraph" w:customStyle="1" w:styleId="188">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character" w:customStyle="1" w:styleId="189">
    <w:name w:val="页眉 Char"/>
    <w:basedOn w:val="36"/>
    <w:link w:val="23"/>
    <w:autoRedefine/>
    <w:qFormat/>
    <w:uiPriority w:val="0"/>
    <w:rPr>
      <w:rFonts w:asciiTheme="minorHAnsi" w:hAnsiTheme="minorHAnsi" w:eastAsiaTheme="minorEastAsia" w:cstheme="minorBidi"/>
      <w:sz w:val="18"/>
      <w:szCs w:val="18"/>
    </w:rPr>
  </w:style>
  <w:style w:type="character" w:customStyle="1" w:styleId="190">
    <w:name w:val="页脚 Char"/>
    <w:basedOn w:val="36"/>
    <w:link w:val="22"/>
    <w:autoRedefine/>
    <w:qFormat/>
    <w:uiPriority w:val="0"/>
    <w:rPr>
      <w:rFonts w:asciiTheme="minorHAnsi" w:hAnsiTheme="minorHAnsi" w:eastAsiaTheme="minorEastAsia" w:cstheme="minorBidi"/>
      <w:sz w:val="18"/>
      <w:szCs w:val="18"/>
    </w:rPr>
  </w:style>
  <w:style w:type="paragraph" w:customStyle="1" w:styleId="191">
    <w:name w:val="AONormal"/>
    <w:autoRedefine/>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2">
    <w:name w:val="列出段落1"/>
    <w:basedOn w:val="1"/>
    <w:autoRedefine/>
    <w:qFormat/>
    <w:uiPriority w:val="0"/>
    <w:pPr>
      <w:ind w:firstLine="420"/>
    </w:pPr>
    <w:rPr>
      <w:szCs w:val="21"/>
    </w:rPr>
  </w:style>
  <w:style w:type="character" w:customStyle="1" w:styleId="193">
    <w:name w:val="font41"/>
    <w:basedOn w:val="36"/>
    <w:autoRedefine/>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55</Pages>
  <TotalTime>14</TotalTime>
  <ScaleCrop>false</ScaleCrop>
  <LinksUpToDate>false</LinksUpToDate>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空</cp:lastModifiedBy>
  <dcterms:modified xsi:type="dcterms:W3CDTF">2024-09-06T08:20:32Z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EA4281DC95F44E06AAD98CFCEE9637ED_13</vt:lpwstr>
  </property>
</Properties>
</file>