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cs="黑体" w:asciiTheme="minorEastAsia" w:hAnsiTheme="minorEastAsia" w:eastAsiaTheme="minorEastAsia"/>
          <w:b/>
          <w:bCs/>
          <w:color w:val="ff0000"/>
          <w:sz w:val="36"/>
          <w:szCs w:val="36"/>
        </w:rPr>
      </w:pPr>
      <w:r>
        <w:rPr>
          <w:rFonts w:hint="eastAsia" w:cs="黑体" w:asciiTheme="minorEastAsia" w:hAnsiTheme="minorEastAsia" w:eastAsiaTheme="minorEastAsia"/>
          <w:b/>
          <w:bCs/>
          <w:color w:val="ff0000"/>
          <w:sz w:val="36"/>
          <w:szCs w:val="36"/>
        </w:rPr>
      </w:r>
      <w:r/>
    </w:p>
    <w:p>
      <w:pPr>
        <w:jc w:val="center"/>
        <w:spacing w:line="360" w:lineRule="auto"/>
        <w:shd w:val="clear" w:color="auto" w:fill="ffffff"/>
        <w:widowControl/>
        <w:rPr>
          <w:rFonts w:hint="eastAsia" w:cs="黑体" w:asciiTheme="minorEastAsia" w:hAnsiTheme="minorEastAsia" w:eastAsiaTheme="minorEastAsia"/>
          <w:b/>
          <w:bCs/>
          <w:sz w:val="36"/>
          <w:szCs w:val="36"/>
        </w:rPr>
      </w:pPr>
      <w:r>
        <w:rPr>
          <w:rFonts w:hint="eastAsia" w:cs="黑体" w:asciiTheme="minorEastAsia" w:hAnsiTheme="minorEastAsia" w:eastAsiaTheme="minorEastAsia"/>
          <w:b/>
          <w:bCs/>
          <w:sz w:val="36"/>
          <w:szCs w:val="36"/>
        </w:rPr>
        <w:t xml:space="preserve">南京市交通运输综合行政执法监督局</w:t>
      </w:r>
      <w:r/>
    </w:p>
    <w:p>
      <w:pPr>
        <w:jc w:val="center"/>
        <w:spacing w:line="360" w:lineRule="auto"/>
        <w:shd w:val="clear" w:color="auto" w:fill="ffffff"/>
        <w:widowControl/>
        <w:rPr>
          <w:rFonts w:hint="eastAsia" w:asciiTheme="minorEastAsia" w:hAnsiTheme="minorEastAsia" w:eastAsiaTheme="minorEastAsia"/>
          <w:b/>
          <w:sz w:val="36"/>
          <w:szCs w:val="36"/>
          <w:lang w:val="zh-CN"/>
        </w:rPr>
      </w:pPr>
      <w:r>
        <w:rPr>
          <w:rFonts w:hint="eastAsia" w:cs="黑体" w:asciiTheme="minorEastAsia" w:hAnsiTheme="minorEastAsia" w:eastAsiaTheme="minorEastAsia"/>
          <w:b/>
          <w:bCs/>
          <w:sz w:val="36"/>
          <w:szCs w:val="36"/>
        </w:rPr>
        <w:t xml:space="preserve">运输船舶检验服务技术支持项目</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竞争性磋商文件</w:t>
      </w:r>
      <w:r/>
    </w:p>
    <w:p>
      <w:pPr>
        <w:jc w:val="center"/>
        <w:spacing w:line="360" w:lineRule="auto"/>
        <w:widowControl/>
        <w:rPr>
          <w:rFonts w:hint="eastAsia" w:asciiTheme="minorEastAsia" w:hAnsiTheme="minorEastAsia" w:eastAsiaTheme="minorEastAsia"/>
          <w:b/>
          <w:sz w:val="36"/>
          <w:szCs w:val="36"/>
        </w:rPr>
      </w:pPr>
      <w:r/>
      <w:bookmarkStart w:id="159" w:name="_GoBack"/>
      <w:r/>
      <w:bookmarkEnd w:id="159"/>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项目编号：JSZC-320100-JSGC-C2024-0092</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cs="宋体" w:asciiTheme="minorEastAsia" w:hAnsiTheme="minorEastAsia" w:eastAsiaTheme="minorEastAsia"/>
          <w:b/>
          <w:bCs/>
          <w:sz w:val="36"/>
          <w:szCs w:val="36"/>
        </w:rPr>
      </w:pPr>
      <w:r/>
      <w:bookmarkStart w:id="0" w:name="_Hlk44579555"/>
      <w:r>
        <w:rPr>
          <w:rFonts w:hint="eastAsia" w:cs="宋体" w:asciiTheme="minorEastAsia" w:hAnsiTheme="minorEastAsia" w:eastAsiaTheme="minorEastAsia"/>
          <w:b/>
          <w:bCs/>
          <w:sz w:val="36"/>
          <w:szCs w:val="36"/>
        </w:rPr>
        <w:t xml:space="preserve">采购人：南京市交通运输综合行政执法监督局</w:t>
      </w:r>
      <w:r/>
    </w:p>
    <w:p>
      <w:pPr>
        <w:jc w:val="center"/>
        <w:spacing w:line="360" w:lineRule="auto"/>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采购代理机构：江苏国采工程咨询有限公司</w:t>
      </w:r>
      <w:bookmarkEnd w:id="0"/>
      <w:r/>
      <w:r/>
    </w:p>
    <w:p>
      <w:pPr>
        <w:jc w:val="center"/>
        <w:spacing w:line="360" w:lineRule="auto"/>
        <w:widowControl/>
        <w:rPr>
          <w:rFonts w:hint="eastAsia" w:cs="宋体" w:asciiTheme="minorEastAsia" w:hAnsiTheme="minorEastAsia" w:eastAsiaTheme="minorEastAsia"/>
          <w:b/>
          <w:bCs/>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rPr>
        <w:t xml:space="preserve">2024年11月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79"/>
            <w:jc w:val="center"/>
            <w:rPr>
              <w:rFonts w:hint="eastAsia" w:asciiTheme="minorEastAsia" w:hAnsiTheme="minorEastAsia" w:eastAsiaTheme="minorEastAsia"/>
              <w:b/>
              <w:bCs/>
              <w:color w:val="auto"/>
              <w:sz w:val="28"/>
              <w:szCs w:val="28"/>
            </w:rPr>
          </w:pPr>
          <w:r>
            <w:rPr>
              <w:rFonts w:hint="eastAsia" w:cs="Times New Roman" w:asciiTheme="minorEastAsia" w:hAnsiTheme="minorEastAsia" w:eastAsiaTheme="minorEastAsia"/>
              <w:b/>
              <w:bCs/>
              <w:color w:val="auto"/>
              <w:sz w:val="28"/>
              <w:szCs w:val="28"/>
              <w:lang w:val="zh-CN"/>
            </w:rPr>
            <w:t xml:space="preserve">目录</w:t>
          </w:r>
          <w:r/>
        </w:p>
        <w:p>
          <w:pPr>
            <w:pStyle w:val="922"/>
            <w:tabs>
              <w:tab w:val="right" w:pos="9016" w:leader="dot"/>
            </w:tabs>
            <w:rPr>
              <w:rFonts w:hint="eastAsia" w:asciiTheme="minorEastAsia" w:hAnsiTheme="minorEastAsia" w:eastAsiaTheme="minorEastAsia" w:cstheme="minorBidi"/>
              <w:b/>
              <w:bCs/>
              <w:sz w:val="28"/>
              <w:szCs w:val="28"/>
              <w14:ligatures w14:val="standardContextual"/>
            </w:rPr>
          </w:pPr>
          <w:r>
            <w:rPr>
              <w:rFonts w:asciiTheme="minorEastAsia" w:hAnsiTheme="minorEastAsia" w:eastAsiaTheme="minorEastAsia"/>
              <w:b/>
              <w:bCs/>
              <w:sz w:val="28"/>
              <w:szCs w:val="28"/>
            </w:rPr>
            <w:fldChar w:fldCharType="begin"/>
          </w:r>
          <w:r>
            <w:rPr>
              <w:rFonts w:hint="eastAsia" w:asciiTheme="minorEastAsia" w:hAnsiTheme="minorEastAsia" w:eastAsiaTheme="minorEastAsia"/>
              <w:b/>
              <w:bCs/>
              <w:sz w:val="28"/>
              <w:szCs w:val="28"/>
            </w:rPr>
            <w:instrText xml:space="preserve"> TOC \o "1-1" \h \z \u </w:instrText>
          </w:r>
          <w:r>
            <w:rPr>
              <w:rFonts w:asciiTheme="minorEastAsia" w:hAnsiTheme="minorEastAsia" w:eastAsiaTheme="minorEastAsia"/>
              <w:b/>
              <w:bCs/>
              <w:sz w:val="28"/>
              <w:szCs w:val="28"/>
            </w:rPr>
            <w:fldChar w:fldCharType="separate"/>
          </w:r>
          <w:r>
            <w:fldChar w:fldCharType="begin"/>
          </w:r>
          <w:r>
            <w:instrText xml:space="preserve"> HYPERLINK \l "_Toc176878659" </w:instrText>
          </w:r>
          <w:r>
            <w:fldChar w:fldCharType="separate"/>
          </w:r>
          <w:r>
            <w:rPr>
              <w:rStyle w:val="937"/>
              <w:rFonts w:hint="eastAsia" w:asciiTheme="minorEastAsia" w:hAnsiTheme="minorEastAsia" w:eastAsiaTheme="minorEastAsia"/>
              <w:b/>
              <w:bCs/>
              <w:sz w:val="28"/>
              <w:szCs w:val="28"/>
            </w:rPr>
            <w:t xml:space="preserve">第一章 竞争性磋商公告</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_Toc176878659 \h </w:instrText>
          </w:r>
          <w:r>
            <w:rPr>
              <w:rFonts w:hint="eastAsia" w:asciiTheme="minorEastAsia" w:hAnsiTheme="minorEastAsia" w:eastAsiaTheme="minorEastAsia"/>
              <w:b/>
              <w:bCs/>
              <w:sz w:val="28"/>
              <w:szCs w:val="28"/>
            </w:rPr>
            <w:fldChar w:fldCharType="separate"/>
          </w:r>
          <w:r>
            <w:rPr>
              <w:rFonts w:hint="eastAsia" w:asciiTheme="minorEastAsia" w:hAnsiTheme="minorEastAsia" w:eastAsiaTheme="minorEastAsia"/>
              <w:b/>
              <w:bCs/>
              <w:sz w:val="28"/>
              <w:szCs w:val="28"/>
            </w:rPr>
            <w:t xml:space="preserve">1</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22"/>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"_Toc176878660" </w:instrText>
          </w:r>
          <w:r>
            <w:fldChar w:fldCharType="separate"/>
          </w:r>
          <w:r>
            <w:rPr>
              <w:rStyle w:val="937"/>
              <w:rFonts w:hint="eastAsia" w:asciiTheme="minorEastAsia" w:hAnsiTheme="minorEastAsia" w:eastAsiaTheme="minorEastAsia"/>
              <w:b/>
              <w:bCs/>
              <w:sz w:val="28"/>
              <w:szCs w:val="28"/>
            </w:rPr>
            <w:t xml:space="preserve">第二章 竞争性磋商须知</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_Toc176878660 \h </w:instrText>
          </w:r>
          <w:r>
            <w:rPr>
              <w:rFonts w:hint="eastAsia" w:asciiTheme="minorEastAsia" w:hAnsiTheme="minorEastAsia" w:eastAsiaTheme="minorEastAsia"/>
              <w:b/>
              <w:bCs/>
              <w:sz w:val="28"/>
              <w:szCs w:val="28"/>
            </w:rPr>
            <w:fldChar w:fldCharType="separate"/>
          </w:r>
          <w:r>
            <w:rPr>
              <w:rFonts w:hint="eastAsia" w:asciiTheme="minorEastAsia" w:hAnsiTheme="minorEastAsia" w:eastAsiaTheme="minorEastAsia"/>
              <w:b/>
              <w:bCs/>
              <w:sz w:val="28"/>
              <w:szCs w:val="28"/>
            </w:rPr>
            <w:t xml:space="preserve">5</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22"/>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"_Toc176878661" </w:instrText>
          </w:r>
          <w:r>
            <w:fldChar w:fldCharType="separate"/>
          </w:r>
          <w:r>
            <w:rPr>
              <w:rStyle w:val="937"/>
              <w:rFonts w:hint="eastAsia" w:asciiTheme="minorEastAsia" w:hAnsiTheme="minorEastAsia" w:eastAsiaTheme="minorEastAsia"/>
              <w:b/>
              <w:bCs/>
              <w:sz w:val="28"/>
              <w:szCs w:val="28"/>
            </w:rPr>
            <w:t xml:space="preserve">第三章 评标标准</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_Toc176878661 \h </w:instrText>
          </w:r>
          <w:r>
            <w:rPr>
              <w:rFonts w:hint="eastAsia" w:asciiTheme="minorEastAsia" w:hAnsiTheme="minorEastAsia" w:eastAsiaTheme="minorEastAsia"/>
              <w:b/>
              <w:bCs/>
              <w:sz w:val="28"/>
              <w:szCs w:val="28"/>
            </w:rPr>
            <w:fldChar w:fldCharType="separate"/>
          </w:r>
          <w:r>
            <w:rPr>
              <w:rFonts w:hint="eastAsia" w:asciiTheme="minorEastAsia" w:hAnsiTheme="minorEastAsia" w:eastAsiaTheme="minorEastAsia"/>
              <w:b/>
              <w:bCs/>
              <w:sz w:val="28"/>
              <w:szCs w:val="28"/>
            </w:rPr>
            <w:t xml:space="preserve">16</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22"/>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"_Toc176878662" </w:instrText>
          </w:r>
          <w:r>
            <w:fldChar w:fldCharType="separate"/>
          </w:r>
          <w:r>
            <w:rPr>
              <w:rStyle w:val="937"/>
              <w:rFonts w:hint="eastAsia" w:asciiTheme="minorEastAsia" w:hAnsiTheme="minorEastAsia" w:eastAsiaTheme="minorEastAsia"/>
              <w:b/>
              <w:bCs/>
              <w:sz w:val="28"/>
              <w:szCs w:val="28"/>
            </w:rPr>
            <w:t xml:space="preserve">第四章 采购项目的内容和相关技术要求等</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_Toc176878662 \h </w:instrText>
          </w:r>
          <w:r>
            <w:rPr>
              <w:rFonts w:hint="eastAsia" w:asciiTheme="minorEastAsia" w:hAnsiTheme="minorEastAsia" w:eastAsiaTheme="minorEastAsia"/>
              <w:b/>
              <w:bCs/>
              <w:sz w:val="28"/>
              <w:szCs w:val="28"/>
            </w:rPr>
            <w:fldChar w:fldCharType="separate"/>
          </w:r>
          <w:r>
            <w:rPr>
              <w:rFonts w:hint="eastAsia" w:asciiTheme="minorEastAsia" w:hAnsiTheme="minorEastAsia" w:eastAsiaTheme="minorEastAsia"/>
              <w:b/>
              <w:bCs/>
              <w:sz w:val="28"/>
              <w:szCs w:val="28"/>
            </w:rPr>
            <w:t xml:space="preserve">19</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22"/>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"_Toc176878663" </w:instrText>
          </w:r>
          <w:r>
            <w:fldChar w:fldCharType="separate"/>
          </w:r>
          <w:r>
            <w:rPr>
              <w:rStyle w:val="937"/>
              <w:rFonts w:hint="eastAsia" w:asciiTheme="minorEastAsia" w:hAnsiTheme="minorEastAsia" w:eastAsiaTheme="minorEastAsia"/>
              <w:b/>
              <w:bCs/>
              <w:sz w:val="28"/>
              <w:szCs w:val="28"/>
            </w:rPr>
            <w:t xml:space="preserve">第五章 合同主要条款及格式</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_Toc176878663 \h </w:instrText>
          </w:r>
          <w:r>
            <w:rPr>
              <w:rFonts w:hint="eastAsia" w:asciiTheme="minorEastAsia" w:hAnsiTheme="minorEastAsia" w:eastAsiaTheme="minorEastAsia"/>
              <w:b/>
              <w:bCs/>
              <w:sz w:val="28"/>
              <w:szCs w:val="28"/>
            </w:rPr>
            <w:fldChar w:fldCharType="separate"/>
          </w:r>
          <w:r>
            <w:rPr>
              <w:rFonts w:hint="eastAsia" w:asciiTheme="minorEastAsia" w:hAnsiTheme="minorEastAsia" w:eastAsiaTheme="minorEastAsia"/>
              <w:b/>
              <w:bCs/>
              <w:sz w:val="28"/>
              <w:szCs w:val="28"/>
            </w:rPr>
            <w:t xml:space="preserve">25</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22"/>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"_Toc176878664" </w:instrText>
          </w:r>
          <w:r>
            <w:fldChar w:fldCharType="separate"/>
          </w:r>
          <w:r>
            <w:rPr>
              <w:rStyle w:val="937"/>
              <w:rFonts w:hint="eastAsia" w:asciiTheme="minorEastAsia" w:hAnsiTheme="minorEastAsia" w:eastAsiaTheme="minorEastAsia"/>
              <w:b/>
              <w:bCs/>
              <w:sz w:val="28"/>
              <w:szCs w:val="28"/>
            </w:rPr>
            <w:t xml:space="preserve">第六章 响应文件格式</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_Toc176878664 \h </w:instrText>
          </w:r>
          <w:r>
            <w:rPr>
              <w:rFonts w:hint="eastAsia" w:asciiTheme="minorEastAsia" w:hAnsiTheme="minorEastAsia" w:eastAsiaTheme="minorEastAsia"/>
              <w:b/>
              <w:bCs/>
              <w:sz w:val="28"/>
              <w:szCs w:val="28"/>
            </w:rPr>
            <w:fldChar w:fldCharType="separate"/>
          </w:r>
          <w:r>
            <w:rPr>
              <w:rFonts w:hint="eastAsia" w:asciiTheme="minorEastAsia" w:hAnsiTheme="minorEastAsia" w:eastAsiaTheme="minorEastAsia"/>
              <w:b/>
              <w:bCs/>
              <w:sz w:val="28"/>
              <w:szCs w:val="28"/>
            </w:rPr>
            <w:t xml:space="preserve">29</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rPr>
              <w:rFonts w:hint="eastAsia" w:asciiTheme="minorEastAsia" w:hAnsiTheme="minorEastAsia" w:eastAsiaTheme="minorEastAsia"/>
              <w:b/>
              <w:bCs/>
              <w:sz w:val="30"/>
              <w:szCs w:val="30"/>
            </w:rPr>
          </w:pPr>
          <w:r>
            <w:rPr>
              <w:rFonts w:asciiTheme="minorEastAsia" w:hAnsiTheme="minorEastAsia" w:eastAsiaTheme="minorEastAsia"/>
              <w:b/>
              <w:bCs/>
              <w:sz w:val="28"/>
              <w:szCs w:val="28"/>
            </w:rPr>
            <w:fldChar w:fldCharType="end"/>
          </w:r>
          <w:r/>
        </w:p>
      </w:sdtContent>
    </w:sdt>
    <w:p>
      <w:pPr>
        <w:pStyle w:val="922"/>
        <w:tabs>
          <w:tab w:val="right" w:pos="8948" w:leader="dot"/>
        </w:tabs>
        <w:rPr>
          <w:rFonts w:hint="eastAsia" w:asciiTheme="minorEastAsia" w:hAnsiTheme="minorEastAsia" w:eastAsiaTheme="minorEastAsia" w:cstheme="minorBidi"/>
          <w:szCs w:val="22"/>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r/>
    </w:p>
    <w:p>
      <w:pPr>
        <w:pStyle w:val="922"/>
        <w:tabs>
          <w:tab w:val="right" w:pos="8296" w:leader="dot"/>
        </w:tabs>
        <w:rPr>
          <w:rFonts w:hint="eastAsia" w:asciiTheme="minorEastAsia" w:hAnsiTheme="minorEastAsia" w:eastAsiaTheme="minorEastAsia"/>
          <w:sz w:val="28"/>
          <w:szCs w:val="28"/>
        </w:rPr>
      </w:pPr>
      <w:r>
        <w:rPr>
          <w:rFonts w:asciiTheme="minorEastAsia" w:hAnsiTheme="minorEastAsia" w:eastAsiaTheme="minorEastAsia"/>
          <w:sz w:val="28"/>
          <w:szCs w:val="28"/>
        </w:rPr>
        <w:fldChar w:fldCharType="end"/>
      </w:r>
      <w:r/>
    </w:p>
    <w:p>
      <w:pPr>
        <w:pStyle w:val="922"/>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8"/>
        <w:numPr>
          <w:ilvl w:val="0"/>
          <w:numId w:val="0"/>
        </w:numPr>
        <w:spacing w:line="360" w:lineRule="auto"/>
        <w:rPr>
          <w:rFonts w:hint="eastAsia"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1" w:name="_Toc67494806"/>
      <w:r/>
      <w:bookmarkStart w:id="2" w:name="_Toc176878659"/>
      <w:r/>
      <w:bookmarkStart w:id="3" w:name="_Hlk43897905"/>
      <w:r>
        <w:rPr>
          <w:rFonts w:hint="eastAsia" w:asciiTheme="minorEastAsia" w:hAnsiTheme="minorEastAsia" w:eastAsiaTheme="minorEastAsia"/>
        </w:rPr>
        <w:t xml:space="preserve">第一章</w:t>
      </w:r>
      <w:bookmarkStart w:id="4" w:name="_Hlk181951295"/>
      <w:r>
        <w:rPr>
          <w:rFonts w:hint="eastAsia" w:asciiTheme="minorEastAsia" w:hAnsiTheme="minorEastAsia" w:eastAsiaTheme="minorEastAsia"/>
        </w:rPr>
        <w:t xml:space="preserve"> 竞争性磋商公告</w:t>
      </w:r>
      <w:bookmarkEnd w:id="1"/>
      <w:r/>
      <w:bookmarkEnd w:id="2"/>
      <w:r/>
      <w:r/>
    </w:p>
    <w:p>
      <w:pPr>
        <w:ind w:firstLine="454"/>
        <w:spacing w:line="360" w:lineRule="auto"/>
        <w:widowControl/>
        <w:rPr>
          <w:rFonts w:hint="eastAsia"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hint="eastAsia" w:cs="宋体" w:asciiTheme="minorEastAsia" w:hAnsiTheme="minorEastAsia" w:eastAsiaTheme="minorEastAsia"/>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pacing w:val="8"/>
        </w:rPr>
        <w:t xml:space="preserve">南京市交通运输综合行政执法监督局运输船舶检验服务技术支持项目 项目编号 采购项目的潜在供应商应在江苏政府采购网“苏采云”系统获取采购文件，并于2024年11月25日</w:t>
      </w:r>
      <w:r>
        <w:rPr>
          <w:rFonts w:hint="eastAsia" w:cs="宋体" w:asciiTheme="minorEastAsia" w:hAnsiTheme="minorEastAsia" w:eastAsiaTheme="minorEastAsia"/>
          <w:spacing w:val="8"/>
          <w:lang w:val="en-US" w:eastAsia="zh-CN"/>
        </w:rPr>
        <w:t xml:space="preserve">9</w:t>
      </w:r>
      <w:r>
        <w:rPr>
          <w:rFonts w:hint="eastAsia" w:cs="宋体" w:asciiTheme="minorEastAsia" w:hAnsiTheme="minorEastAsia" w:eastAsiaTheme="minorEastAsia"/>
          <w:spacing w:val="8"/>
        </w:rPr>
        <w:t xml:space="preserve">:30（北京时间）前提交响应文件。</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rPr>
          <w:rFonts w:hint="eastAsia" w:cs="Arial" w:asciiTheme="minorEastAsia" w:hAnsiTheme="minorEastAsia" w:eastAsiaTheme="minorEastAsia"/>
          <w:b/>
          <w:szCs w:val="21"/>
        </w:rPr>
        <w:t xml:space="preserve"> </w:t>
      </w:r>
      <w:r>
        <w:rPr>
          <w:rFonts w:cs="Arial" w:asciiTheme="minorEastAsia" w:hAnsiTheme="minorEastAsia" w:eastAsiaTheme="minorEastAsia"/>
          <w:b/>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项目编号：JSZC-320100-JSGC-C2024-0092</w:t>
      </w:r>
      <w:r>
        <w:rPr>
          <w:rFonts w:hint="eastAsia" w:cs="Arial" w:asciiTheme="minorEastAsia" w:hAnsiTheme="minorEastAsia" w:eastAsiaTheme="minorEastAsia"/>
          <w:bCs/>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项目名称：</w:t>
      </w:r>
      <w:r>
        <w:rPr>
          <w:rFonts w:hint="eastAsia" w:cs="Arial" w:asciiTheme="minorEastAsia" w:hAnsiTheme="minorEastAsia" w:eastAsiaTheme="minorEastAsia"/>
          <w:bCs/>
          <w:szCs w:val="21"/>
        </w:rPr>
        <w:t xml:space="preserve">南京市交通运输综合行政执法监督局运输船舶检验服务技术支持项目</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采购方式：竞争性磋商</w:t>
      </w:r>
      <w:r/>
    </w:p>
    <w:p>
      <w:pPr>
        <w:ind w:firstLine="420"/>
        <w:jc w:val="left"/>
        <w:spacing w:line="360" w:lineRule="auto"/>
        <w:shd w:val="clear" w:color="auto" w:fill="ffffff"/>
        <w:widowControl/>
        <w:rPr>
          <w:rFonts w:hint="eastAsia" w:asciiTheme="minorEastAsia" w:hAnsiTheme="minorEastAsia" w:eastAsiaTheme="minorEastAsia"/>
          <w:bCs/>
          <w:color w:val="ff0000"/>
          <w:szCs w:val="21"/>
          <w:highlight w:val="none"/>
        </w:rPr>
      </w:pPr>
      <w:r>
        <w:rPr>
          <w:rFonts w:hint="eastAsia" w:cs="Arial" w:asciiTheme="minorEastAsia" w:hAnsiTheme="minorEastAsia" w:eastAsiaTheme="minorEastAsia"/>
          <w:bCs/>
          <w:szCs w:val="21"/>
        </w:rPr>
        <w:t xml:space="preserve">预算金额</w:t>
      </w:r>
      <w:r>
        <w:rPr>
          <w:rFonts w:hint="eastAsia" w:asciiTheme="minorEastAsia" w:hAnsiTheme="minorEastAsia" w:eastAsiaTheme="minorEastAsia"/>
          <w:bCs/>
          <w:szCs w:val="21"/>
        </w:rPr>
        <w:t xml:space="preserve">：200万元</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最高限价（如有）</w:t>
      </w:r>
      <w:r>
        <w:rPr>
          <w:rFonts w:cs="Arial" w:asciiTheme="minorEastAsia" w:hAnsiTheme="minorEastAsia" w:eastAsiaTheme="minorEastAsia"/>
          <w:bCs/>
          <w:szCs w:val="21"/>
          <w:highlight w:val="none"/>
        </w:rPr>
        <w:t xml:space="preserve">：</w:t>
      </w:r>
      <w:r>
        <w:rPr>
          <w:rFonts w:hint="eastAsia" w:cs="Arial" w:asciiTheme="minorEastAsia" w:hAnsiTheme="minorEastAsia" w:eastAsiaTheme="minorEastAsia"/>
          <w:bCs/>
          <w:szCs w:val="21"/>
          <w:highlight w:val="none"/>
        </w:rPr>
        <w:t xml:space="preserve">供应商按照中华人民共和国船舶检验局《船舶检验计费标准1998》（国家发展计划委员会 计价费[1998]800号文）规定的收费进行折扣报价，折扣最高限价为100%。（供应商报价不得高于100%，否则按无效投标处理）。</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采购需求</w:t>
      </w:r>
      <w:r>
        <w:rPr>
          <w:rFonts w:hint="eastAsia" w:cs="Arial" w:asciiTheme="minorEastAsia" w:hAnsiTheme="minorEastAsia" w:eastAsiaTheme="minorEastAsia"/>
          <w:bCs/>
          <w:szCs w:val="21"/>
        </w:rPr>
        <w:t xml:space="preserve">：</w:t>
      </w:r>
      <w:r/>
    </w:p>
    <w:tbl>
      <w:tblPr>
        <w:tblStyle w:val="898"/>
        <w:tblpPr w:horzAnchor="text" w:tblpXSpec="center" w:vertAnchor="text" w:tblpY="1" w:leftFromText="180" w:topFromText="0" w:rightFromText="180" w:bottomFromText="0"/>
        <w:tblW w:w="91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2163"/>
        <w:gridCol w:w="864"/>
        <w:gridCol w:w="864"/>
        <w:gridCol w:w="1140"/>
        <w:gridCol w:w="3393"/>
      </w:tblGrid>
      <w:tr>
        <w:trPr>
          <w:trHeight w:val="845"/>
        </w:trPr>
        <w:tc>
          <w:tcPr>
            <w:tcW w:w="739"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序号</w:t>
            </w:r>
            <w:r/>
          </w:p>
        </w:tc>
        <w:tc>
          <w:tcPr>
            <w:tcW w:w="2163"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项目名称</w:t>
            </w:r>
            <w:r/>
          </w:p>
        </w:tc>
        <w:tc>
          <w:tcPr>
            <w:tcW w:w="864"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数量</w:t>
            </w:r>
            <w:r/>
          </w:p>
        </w:tc>
        <w:tc>
          <w:tcPr>
            <w:tcW w:w="864"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单位</w:t>
            </w:r>
            <w:r/>
          </w:p>
        </w:tc>
        <w:tc>
          <w:tcPr>
            <w:tcW w:w="1140"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预算金额</w:t>
            </w:r>
            <w:r/>
          </w:p>
          <w:p>
            <w:pPr>
              <w:jc w:val="center"/>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（万元）</w:t>
            </w:r>
            <w:r/>
          </w:p>
        </w:tc>
        <w:tc>
          <w:tcPr>
            <w:tcW w:w="3393"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采购内容</w:t>
            </w:r>
            <w:r/>
          </w:p>
        </w:tc>
      </w:tr>
      <w:tr>
        <w:trPr>
          <w:trHeight w:val="602"/>
        </w:trPr>
        <w:tc>
          <w:tcPr>
            <w:tcW w:w="739"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w:t>
            </w:r>
            <w:r/>
          </w:p>
        </w:tc>
        <w:tc>
          <w:tcPr>
            <w:tcW w:w="2163"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南京市交通运输综合行政执法监督局运输船舶检验服务技术支持项目</w:t>
            </w:r>
            <w:r/>
          </w:p>
        </w:tc>
        <w:tc>
          <w:tcPr>
            <w:tcW w:w="864"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w:t>
            </w:r>
            <w:r/>
          </w:p>
        </w:tc>
        <w:tc>
          <w:tcPr>
            <w:tcW w:w="864"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项</w:t>
            </w:r>
            <w:r/>
          </w:p>
        </w:tc>
        <w:tc>
          <w:tcPr>
            <w:tcW w:w="1140"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200</w:t>
            </w:r>
            <w:r/>
          </w:p>
        </w:tc>
        <w:tc>
          <w:tcPr>
            <w:tcW w:w="3393"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南京市辖区内部分商船的法定检验(含</w:t>
            </w:r>
            <w:r>
              <w:rPr>
                <w:rFonts w:hint="eastAsia" w:ascii="宋体" w:hAnsi="宋体"/>
                <w:szCs w:val="21"/>
                <w:highlight w:val="none"/>
              </w:rPr>
              <w:t xml:space="preserve">定期检验、临时检验）</w:t>
            </w:r>
            <w:r>
              <w:rPr>
                <w:rFonts w:hint="eastAsia" w:cs="Arial" w:asciiTheme="minorEastAsia" w:hAnsiTheme="minorEastAsia" w:eastAsiaTheme="minorEastAsia"/>
                <w:bCs/>
                <w:szCs w:val="21"/>
                <w:highlight w:val="none"/>
              </w:rPr>
              <w:t xml:space="preserve">，检验数量约为：150艘次（</w:t>
            </w:r>
            <w:r>
              <w:rPr>
                <w:rFonts w:hint="eastAsia"/>
                <w:b/>
                <w:bCs/>
                <w:highlight w:val="none"/>
              </w:rPr>
              <w:t xml:space="preserve">数量及船舶类型暂定，具体以实际委托任务为准</w:t>
            </w:r>
            <w:r>
              <w:rPr>
                <w:rFonts w:hint="eastAsia" w:cs="Arial" w:asciiTheme="minorEastAsia" w:hAnsiTheme="minorEastAsia" w:eastAsiaTheme="minorEastAsia"/>
                <w:bCs/>
                <w:szCs w:val="21"/>
                <w:highlight w:val="none"/>
              </w:rPr>
              <w:t xml:space="preserve">）</w:t>
            </w:r>
            <w:r/>
          </w:p>
        </w:tc>
      </w:tr>
    </w:tbl>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合同履行期限：</w:t>
      </w:r>
      <w:bookmarkStart w:id="5" w:name="_Hlk77845455"/>
      <w:r/>
      <w:bookmarkStart w:id="6" w:name="_Hlk128055931"/>
      <w:r>
        <w:rPr>
          <w:rFonts w:hint="eastAsia" w:cs="Arial" w:asciiTheme="minorEastAsia" w:hAnsiTheme="minorEastAsia" w:eastAsiaTheme="minorEastAsia"/>
          <w:bCs/>
          <w:szCs w:val="21"/>
          <w:highlight w:val="none"/>
        </w:rPr>
        <w:t xml:space="preserve">自合同签订之日起至合同委托内容全部履行完毕。</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本项目</w:t>
      </w:r>
      <w:bookmarkStart w:id="7" w:name="_Hlk84582886"/>
      <w:r>
        <w:rPr>
          <w:rFonts w:hint="eastAsia" w:cs="Arial" w:asciiTheme="minorEastAsia" w:hAnsiTheme="minorEastAsia" w:eastAsiaTheme="minorEastAsia"/>
          <w:bCs/>
          <w:szCs w:val="21"/>
          <w:highlight w:val="none"/>
        </w:rPr>
        <w:t xml:space="preserve">（是/否）</w:t>
      </w:r>
      <w:r>
        <w:rPr>
          <w:rFonts w:cs="Arial" w:asciiTheme="minorEastAsia" w:hAnsiTheme="minorEastAsia" w:eastAsiaTheme="minorEastAsia"/>
          <w:bCs/>
          <w:szCs w:val="21"/>
          <w:highlight w:val="none"/>
        </w:rPr>
        <w:t xml:space="preserve">接受</w:t>
      </w:r>
      <w:bookmarkEnd w:id="7"/>
      <w:r>
        <w:rPr>
          <w:rFonts w:cs="Arial" w:asciiTheme="minorEastAsia" w:hAnsiTheme="minorEastAsia" w:eastAsiaTheme="minorEastAsia"/>
          <w:bCs/>
          <w:szCs w:val="21"/>
          <w:highlight w:val="none"/>
        </w:rPr>
        <w:t xml:space="preserve">联合体投标</w:t>
      </w:r>
      <w:r>
        <w:rPr>
          <w:rFonts w:hint="eastAsia" w:cs="Arial" w:asciiTheme="minorEastAsia" w:hAnsiTheme="minorEastAsia" w:eastAsiaTheme="minorEastAsia"/>
          <w:bCs/>
          <w:szCs w:val="21"/>
          <w:highlight w:val="none"/>
        </w:rPr>
        <w:t xml:space="preserve">：否。</w:t>
      </w:r>
      <w:bookmarkEnd w:id="5"/>
      <w:r/>
      <w:bookmarkEnd w:id="6"/>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rPr>
      </w:pPr>
      <w:r/>
      <w:bookmarkStart w:id="8" w:name="_Hlk163569255"/>
      <w:r>
        <w:rPr>
          <w:rFonts w:hint="eastAsia" w:asciiTheme="minorEastAsia" w:hAnsiTheme="minorEastAsia" w:eastAsiaTheme="minorEastAsia"/>
          <w:bCs/>
          <w:szCs w:val="21"/>
        </w:rPr>
        <w:t xml:space="preserve">2.具有良好的商业信誉和健全的财务会计制度（提供参加本次政府采购活动前的会计报表或审计报告，或银行出具的投标截止时间前六个月内银行出具的资信证明）；</w:t>
      </w:r>
      <w:bookmarkEnd w:id="8"/>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Cs w:val="21"/>
        </w:rPr>
        <w:t xml:space="preserve">或证明材料</w:t>
      </w:r>
      <w:bookmarkEnd w:id="9"/>
      <w:r>
        <w:rPr>
          <w:rFonts w:hint="eastAsia"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10" w:name="_Hlk169006514"/>
      <w:r>
        <w:rPr>
          <w:rFonts w:hint="eastAsia" w:asciiTheme="minorEastAsia" w:hAnsiTheme="minorEastAsia" w:eastAsiaTheme="minorEastAsia"/>
          <w:bCs/>
          <w:szCs w:val="21"/>
        </w:rPr>
        <w:t xml:space="preserve">具有依法缴纳税收和社会保障资金的良好记录</w:t>
      </w:r>
      <w:bookmarkStart w:id="11"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w:t>
      </w:r>
      <w:bookmarkEnd w:id="11"/>
      <w:r>
        <w:rPr>
          <w:rFonts w:hint="eastAsia" w:asciiTheme="minorEastAsia" w:hAnsiTheme="minorEastAsia" w:eastAsiaTheme="minorEastAsia"/>
          <w:bCs/>
          <w:szCs w:val="21"/>
        </w:rPr>
        <w:t xml:space="preserve">；</w:t>
      </w:r>
      <w:bookmarkEnd w:id="10"/>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12" w:name="_Hlk128042064"/>
      <w:r/>
      <w:bookmarkEnd w:id="12"/>
      <w:r/>
      <w:r/>
    </w:p>
    <w:p>
      <w:pPr>
        <w:ind w:firstLine="420"/>
        <w:jc w:val="left"/>
        <w:spacing w:line="360" w:lineRule="auto"/>
        <w:shd w:val="clear" w:color="auto" w:fill="ffffff"/>
        <w:widowControl/>
        <w:rPr>
          <w:rFonts w:hint="eastAsia" w:cs="宋体" w:asciiTheme="minorEastAsia" w:hAnsiTheme="minorEastAsia" w:eastAsiaTheme="minorEastAsia"/>
          <w:bCs/>
          <w:szCs w:val="21"/>
        </w:rPr>
      </w:pPr>
      <w:r/>
      <w:bookmarkStart w:id="13" w:name="_Hlk67996638"/>
      <w:r/>
      <w:bookmarkStart w:id="14" w:name="_Hlk67648547"/>
      <w:r>
        <w:rPr>
          <w:rFonts w:hint="eastAsia" w:cs="宋体" w:asciiTheme="minorEastAsia" w:hAnsiTheme="minorEastAsia" w:eastAsiaTheme="minorEastAsia"/>
          <w:bCs/>
          <w:szCs w:val="21"/>
        </w:rPr>
        <w:t xml:space="preserve">无。</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w:t>
      </w:r>
      <w:bookmarkEnd w:id="13"/>
      <w:r>
        <w:rPr>
          <w:rFonts w:hint="eastAsia" w:cs="Arial" w:asciiTheme="minorEastAsia" w:hAnsiTheme="minorEastAsia" w:eastAsiaTheme="minorEastAsia"/>
          <w:bCs/>
          <w:szCs w:val="21"/>
        </w:rPr>
        <w:t xml:space="preserve">：</w:t>
      </w:r>
      <w:bookmarkEnd w:id="14"/>
      <w:r/>
      <w:r/>
    </w:p>
    <w:p>
      <w:pPr>
        <w:ind w:firstLine="420"/>
        <w:jc w:val="left"/>
        <w:spacing w:line="360" w:lineRule="auto"/>
        <w:shd w:val="clear" w:color="auto" w:fill="ffffff"/>
        <w:widowControl/>
        <w:rPr>
          <w:rFonts w:hint="eastAsia" w:ascii="宋体" w:hAnsi="宋体"/>
        </w:rPr>
      </w:pPr>
      <w:r/>
      <w:bookmarkStart w:id="15" w:name="_Hlk77845490"/>
      <w:r/>
      <w:bookmarkStart w:id="16" w:name="_Hlk77846375"/>
      <w:r>
        <w:rPr>
          <w:rFonts w:hint="eastAsia" w:ascii="宋体" w:hAnsi="宋体" w:cs="Arial"/>
          <w:bCs/>
          <w:szCs w:val="21"/>
        </w:rPr>
        <w:t xml:space="preserve">供应商具有船舶检验资质证书或船舶监理资质证书（提供有效期内证书的复印件并加盖公章）。</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rPr>
      </w:pPr>
      <w:r/>
      <w:bookmarkStart w:id="17" w:name="_Hlk167288387"/>
      <w:r>
        <w:rPr>
          <w:rFonts w:hint="eastAsia" w:cs="Arial" w:asciiTheme="minorEastAsia" w:hAnsiTheme="minorEastAsia" w:eastAsiaTheme="minorEastAsia"/>
          <w:spacing w:val="8"/>
          <w:szCs w:val="21"/>
        </w:rPr>
        <w:t xml:space="preserve">时间：自公告发布之日起5个工作日。</w:t>
      </w:r>
      <w:bookmarkEnd w:id="15"/>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8" w:name="_Hlk77845475"/>
      <w:r>
        <w:rPr>
          <w:rFonts w:asciiTheme="minorEastAsia" w:hAnsiTheme="minorEastAsia" w:eastAsiaTheme="minorEastAsia"/>
          <w:szCs w:val="21"/>
        </w:rPr>
        <w:t xml:space="preserve">地点：</w:t>
      </w:r>
      <w:r>
        <w:rPr>
          <w:rFonts w:hint="eastAsia" w:asciiTheme="minorEastAsia" w:hAnsiTheme="minorEastAsia" w:eastAsiaTheme="minorEastAsia"/>
          <w:szCs w:val="21"/>
        </w:rPr>
        <w:t xml:space="preserve"> </w:t>
      </w:r>
      <w:r>
        <w:rPr>
          <w:rFonts w:hint="eastAsia" w:cs="Arial" w:asciiTheme="minorEastAsia" w:hAnsiTheme="minorEastAsia" w:eastAsiaTheme="minorEastAsia"/>
          <w:spacing w:val="8"/>
          <w:szCs w:val="21"/>
        </w:rPr>
        <w:t xml:space="preserve">江苏政府采购网“苏采云”系统</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9" w:name="_Hlk168491228"/>
      <w:r/>
      <w:bookmarkStart w:id="20" w:name="_Hlk168491149"/>
      <w:r/>
      <w:bookmarkStart w:id="21" w:name="_Hlk75168366"/>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供应商登陆江苏政府采购网，在网站首页点击</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bCs/>
          <w:szCs w:val="21"/>
        </w:rPr>
        <w:t xml:space="preserve">自行免费下载</w:t>
      </w:r>
      <w:bookmarkEnd w:id="19"/>
      <w:r/>
      <w:bookmarkEnd w:id="17"/>
      <w:r/>
      <w:bookmarkEnd w:id="20"/>
      <w:r/>
      <w:bookmarkEnd w:id="21"/>
      <w:r/>
      <w:r/>
    </w:p>
    <w:p>
      <w:pPr>
        <w:ind w:firstLine="452"/>
        <w:spacing w:line="360" w:lineRule="auto"/>
        <w:widowControl/>
        <w:rPr>
          <w:rFonts w:hint="eastAsia" w:cs="宋体" w:asciiTheme="minorEastAsia" w:hAnsiTheme="minorEastAsia" w:eastAsiaTheme="minorEastAsia"/>
          <w:szCs w:val="21"/>
        </w:rPr>
      </w:pPr>
      <w:r/>
      <w:bookmarkStart w:id="22" w:name="_Hlk95487722"/>
      <w:r/>
      <w:bookmarkStart w:id="23" w:name="_Hlk128043211"/>
      <w:r>
        <w:rPr>
          <w:rFonts w:hint="eastAsia" w:cs="宋体" w:asciiTheme="minorEastAsia" w:hAnsiTheme="minorEastAsia" w:eastAsiaTheme="minorEastAsia"/>
          <w:spacing w:val="8"/>
          <w:szCs w:val="21"/>
        </w:rPr>
        <w:t xml:space="preserve">售价：0元</w:t>
      </w:r>
      <w:bookmarkEnd w:id="16"/>
      <w:r/>
      <w:bookmarkEnd w:id="18"/>
      <w:r/>
      <w:bookmarkEnd w:id="22"/>
      <w:r/>
      <w:bookmarkEnd w:id="23"/>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四、</w:t>
      </w:r>
      <w:bookmarkStart w:id="24" w:name="_Hlk44579106"/>
      <w:r>
        <w:rPr>
          <w:rFonts w:hint="eastAsia" w:cs="Arial" w:asciiTheme="minorEastAsia" w:hAnsiTheme="minorEastAsia" w:eastAsiaTheme="minorEastAsia"/>
          <w:b/>
          <w:szCs w:val="21"/>
        </w:rPr>
        <w:t xml:space="preserve">响应文件</w:t>
      </w:r>
      <w:bookmarkEnd w:id="24"/>
      <w:r>
        <w:rPr>
          <w:rFonts w:hint="eastAsia" w:cs="Arial" w:asciiTheme="minorEastAsia" w:hAnsiTheme="minorEastAsia" w:eastAsiaTheme="minorEastAsia"/>
          <w:b/>
          <w:szCs w:val="21"/>
        </w:rPr>
        <w:t xml:space="preserve">提交</w:t>
      </w:r>
      <w:r/>
    </w:p>
    <w:p>
      <w:pPr>
        <w:ind w:firstLine="452"/>
        <w:jc w:val="left"/>
        <w:spacing w:line="360" w:lineRule="auto"/>
        <w:shd w:val="clear" w:color="auto" w:fill="ffffff"/>
        <w:widowControl/>
        <w:rPr>
          <w:rFonts w:hint="eastAsia" w:cs="Arial" w:asciiTheme="minorEastAsia" w:hAnsiTheme="minorEastAsia" w:eastAsiaTheme="minorEastAsia"/>
          <w:szCs w:val="21"/>
        </w:rPr>
      </w:pPr>
      <w:r/>
      <w:bookmarkStart w:id="25" w:name="_Hlk44575721"/>
      <w:r>
        <w:rPr>
          <w:rFonts w:hint="eastAsia" w:cs="Arial" w:asciiTheme="minorEastAsia" w:hAnsiTheme="minorEastAsia" w:eastAsiaTheme="minorEastAsia"/>
          <w:spacing w:val="8"/>
          <w:szCs w:val="21"/>
        </w:rPr>
        <w:t xml:space="preserve">截止时间：2024 年11月25日</w:t>
      </w:r>
      <w:r>
        <w:rPr>
          <w:rFonts w:hint="eastAsia" w:cs="Arial" w:asciiTheme="minorEastAsia" w:hAnsiTheme="minorEastAsia" w:eastAsiaTheme="minorEastAsia"/>
          <w:spacing w:val="8"/>
          <w:szCs w:val="21"/>
          <w:lang w:val="en-US" w:eastAsia="zh-CN"/>
        </w:rPr>
        <w:t xml:space="preserve">9</w:t>
      </w:r>
      <w:r>
        <w:rPr>
          <w:rFonts w:hint="eastAsia" w:cs="Arial" w:asciiTheme="minorEastAsia" w:hAnsiTheme="minorEastAsia" w:eastAsiaTheme="minorEastAsia"/>
          <w:spacing w:val="8"/>
          <w:szCs w:val="21"/>
        </w:rPr>
        <w:t xml:space="preserve">:30</w:t>
      </w:r>
      <w:bookmarkEnd w:id="25"/>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pacing w:val="8"/>
          <w:szCs w:val="21"/>
        </w:rPr>
        <w:t xml:space="preserve">江苏政府采购网</w:t>
      </w:r>
      <w:bookmarkStart w:id="26" w:name="OLE_LINK21"/>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bookmarkEnd w:id="26"/>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五</w:t>
      </w:r>
      <w:r>
        <w:rPr>
          <w:rFonts w:cs="Arial" w:asciiTheme="minorEastAsia" w:hAnsiTheme="minorEastAsia" w:eastAsiaTheme="minorEastAsia"/>
          <w:b/>
          <w:szCs w:val="21"/>
        </w:rPr>
        <w:t xml:space="preserve">、</w:t>
      </w:r>
      <w:r>
        <w:rPr>
          <w:rFonts w:hint="eastAsia" w:cs="Arial" w:asciiTheme="minorEastAsia" w:hAnsiTheme="minorEastAsia" w:eastAsiaTheme="minorEastAsia"/>
          <w:b/>
          <w:szCs w:val="21"/>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pacing w:val="8"/>
          <w:szCs w:val="21"/>
        </w:rPr>
        <w:t xml:space="preserve">时间：2024年11月25日</w:t>
      </w:r>
      <w:r>
        <w:rPr>
          <w:rFonts w:hint="eastAsia" w:cs="Arial" w:asciiTheme="minorEastAsia" w:hAnsiTheme="minorEastAsia" w:eastAsiaTheme="minorEastAsia"/>
          <w:spacing w:val="8"/>
          <w:szCs w:val="21"/>
          <w:lang w:val="en-US" w:eastAsia="zh-CN"/>
        </w:rPr>
        <w:t xml:space="preserve">9</w:t>
      </w:r>
      <w:r>
        <w:rPr>
          <w:rFonts w:hint="eastAsia" w:cs="Arial" w:asciiTheme="minorEastAsia" w:hAnsiTheme="minorEastAsia" w:eastAsiaTheme="minorEastAsia"/>
          <w:spacing w:val="8"/>
          <w:szCs w:val="21"/>
        </w:rPr>
        <w:t xml:space="preserve">:30</w:t>
      </w:r>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zCs w:val="21"/>
        </w:rPr>
        <w:t xml:space="preserve">开标大厅</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六</w:t>
      </w:r>
      <w:r>
        <w:rPr>
          <w:rFonts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rPr>
        <w:t xml:space="preserve">自本公告发布</w:t>
      </w:r>
      <w:r>
        <w:rPr>
          <w:rFonts w:cs="Arial" w:asciiTheme="minorEastAsia" w:hAnsiTheme="minorEastAsia" w:eastAsiaTheme="minorEastAsia"/>
          <w:szCs w:val="21"/>
          <w:highlight w:val="none"/>
        </w:rPr>
        <w:t xml:space="preserve">之日起</w:t>
      </w:r>
      <w:r>
        <w:rPr>
          <w:rFonts w:hint="eastAsia" w:cs="Arial" w:asciiTheme="minorEastAsia" w:hAnsiTheme="minorEastAsia" w:eastAsiaTheme="minorEastAsia"/>
          <w:szCs w:val="21"/>
          <w:highlight w:val="none"/>
        </w:rPr>
        <w:t xml:space="preserve">3</w:t>
      </w:r>
      <w:r>
        <w:rPr>
          <w:rFonts w:cs="Arial" w:asciiTheme="minorEastAsia" w:hAnsiTheme="minorEastAsia" w:eastAsiaTheme="minorEastAsia"/>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lang w:val="zh-CN"/>
        </w:rPr>
        <w:t xml:space="preserve">七</w:t>
      </w:r>
      <w:r>
        <w:rPr>
          <w:rFonts w:cs="Arial" w:asciiTheme="minorEastAsia" w:hAnsiTheme="minorEastAsia" w:eastAsiaTheme="minorEastAsia"/>
          <w:b/>
          <w:bCs/>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w:t>
      </w:r>
      <w:r>
        <w:rPr>
          <w:rFonts w:hint="eastAsia" w:asciiTheme="minorEastAsia" w:hAnsiTheme="minorEastAsia" w:eastAsiaTheme="minorEastAsia"/>
          <w:bCs/>
          <w:highlight w:val="none"/>
          <w:shd w:val="clear" w:color="auto" w:fill="ffffff"/>
        </w:rPr>
        <w:t xml:space="preserve"> 本项目根据中小企业划型标准</w:t>
      </w:r>
      <w:r>
        <w:rPr>
          <w:rFonts w:hint="eastAsia" w:cs="Arial" w:asciiTheme="minorEastAsia" w:hAnsiTheme="minorEastAsia" w:eastAsiaTheme="minorEastAsia"/>
          <w:bCs/>
          <w:szCs w:val="21"/>
          <w:highlight w:val="none"/>
        </w:rPr>
        <w:t xml:space="preserve">属于：其他未列明行业。</w:t>
      </w:r>
      <w:r/>
    </w:p>
    <w:p>
      <w:pPr>
        <w:ind w:firstLine="420"/>
        <w:spacing w:line="360" w:lineRule="auto"/>
        <w:rPr>
          <w:rFonts w:hint="eastAsia" w:cs="宋体" w:asciiTheme="minorEastAsia" w:hAnsiTheme="minorEastAsia" w:eastAsiaTheme="minorEastAsia"/>
          <w:szCs w:val="21"/>
          <w:highlight w:val="none"/>
        </w:rPr>
      </w:pPr>
      <w:r>
        <w:rPr>
          <w:rFonts w:hint="eastAsia" w:cs="Arial" w:asciiTheme="minorEastAsia" w:hAnsiTheme="minorEastAsia" w:eastAsiaTheme="minorEastAsia"/>
          <w:bCs/>
          <w:szCs w:val="21"/>
          <w:highlight w:val="none"/>
        </w:rPr>
        <w:t xml:space="preserve">2.</w:t>
      </w:r>
      <w:r>
        <w:rPr>
          <w:rFonts w:hint="eastAsia" w:cs="宋体" w:asciiTheme="minorEastAsia" w:hAnsiTheme="minorEastAsia" w:eastAsiaTheme="minorEastAsia"/>
          <w:bCs/>
          <w:szCs w:val="21"/>
          <w:highlight w:val="none"/>
        </w:rPr>
        <w:t xml:space="preserve"> 本项目不专门面向中小微企业采购，执行价格扣除优惠政策，</w:t>
      </w:r>
      <w:r>
        <w:rPr>
          <w:rFonts w:hint="eastAsia" w:cs="宋体" w:asciiTheme="minorEastAsia" w:hAnsiTheme="minorEastAsia" w:eastAsiaTheme="minorEastAsia"/>
          <w:szCs w:val="21"/>
          <w:highlight w:val="none"/>
        </w:rPr>
        <w:t xml:space="preserve">具体内容详见竞争性磋商文件第二章政策功能。</w:t>
      </w:r>
      <w:r/>
    </w:p>
    <w:p>
      <w:pPr>
        <w:ind w:firstLine="420"/>
        <w:jc w:val="left"/>
        <w:spacing w:line="360" w:lineRule="auto"/>
        <w:rPr>
          <w:rFonts w:hint="eastAsia" w:cs="Arial" w:asciiTheme="minorEastAsia" w:hAnsiTheme="minorEastAsia" w:eastAsiaTheme="minorEastAsia"/>
          <w:bCs/>
          <w:color w:val="ff0000"/>
          <w:szCs w:val="21"/>
          <w:u w:val="single"/>
        </w:rPr>
      </w:pPr>
      <w:r>
        <w:rPr>
          <w:rFonts w:hint="eastAsia" w:cs="Arial" w:asciiTheme="minorEastAsia" w:hAnsiTheme="minorEastAsia" w:eastAsiaTheme="minorEastAsia"/>
          <w:bCs/>
          <w:szCs w:val="21"/>
          <w:highlight w:val="none"/>
        </w:rPr>
        <w:t xml:space="preserve">3. </w:t>
      </w:r>
      <w:r>
        <w:rPr>
          <w:rFonts w:cs="Arial" w:asciiTheme="minorEastAsia" w:hAnsiTheme="minorEastAsia" w:eastAsiaTheme="minorEastAsia"/>
          <w:bCs/>
          <w:szCs w:val="21"/>
          <w:highlight w:val="none"/>
        </w:rPr>
        <w:t xml:space="preserve">勘察现场或答疑：</w:t>
      </w:r>
      <w:r>
        <w:rPr>
          <w:rFonts w:hint="eastAsia" w:cs="Arial" w:asciiTheme="minorEastAsia" w:hAnsiTheme="minorEastAsia" w:eastAsiaTheme="minorEastAsia"/>
          <w:bCs/>
          <w:szCs w:val="21"/>
          <w:highlight w:val="none"/>
        </w:rPr>
        <w:t xml:space="preserve">采购人不统</w:t>
      </w:r>
      <w:r>
        <w:rPr>
          <w:rFonts w:hint="eastAsia" w:cs="Arial" w:asciiTheme="minorEastAsia" w:hAnsiTheme="minorEastAsia" w:eastAsiaTheme="minorEastAsia"/>
          <w:bCs/>
          <w:szCs w:val="21"/>
        </w:rPr>
        <w:t xml:space="preserve">一组织，有需要的供应商可自行勘察。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lang w:val="zh-CN"/>
        </w:rPr>
      </w:pPr>
      <w:r>
        <w:rPr>
          <w:rFonts w:hint="eastAsia" w:cs="Arial" w:asciiTheme="minorEastAsia" w:hAnsiTheme="minorEastAsia" w:eastAsiaTheme="minorEastAsia"/>
          <w:b/>
          <w:bCs/>
          <w:szCs w:val="21"/>
          <w:lang w:val="zh-CN"/>
        </w:rPr>
        <w:t xml:space="preserve">4. 拒绝下述供应商参加本次采购活动</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（1）供应商</w:t>
      </w:r>
      <w:r>
        <w:rPr>
          <w:rFonts w:cs="Arial" w:asciiTheme="minorEastAsia" w:hAnsiTheme="minorEastAsia" w:eastAsiaTheme="minorEastAsia"/>
          <w:bCs/>
          <w:szCs w:val="21"/>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cs="Arial" w:asciiTheme="minorEastAsia" w:hAnsiTheme="minorEastAsia" w:eastAsiaTheme="minorEastAsia"/>
          <w:bCs/>
          <w:szCs w:val="21"/>
        </w:rPr>
        <w:t xml:space="preserve">为采购项目提供整体设计、规范编制或者项目管理、监理、检测等服务的供应商，不得参加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（3）供应商被“信用中国”网站（www.creditchina.gov.cn）、“中国政府采购网”(www.ccgp.gov.cn)列入失信被执行人、重大税收违法案件当事人名单、政府采购严重违法失信行为记录名单。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rPr>
        <w:t xml:space="preserve"> </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（4）供应商未提供《南京市政府采购供应商信用记录表暨信用承诺书》。</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5.</w:t>
      </w:r>
      <w:r>
        <w:rPr>
          <w:rFonts w:hint="eastAsia" w:cs="宋体" w:asciiTheme="minorEastAsia" w:hAnsiTheme="minorEastAsia" w:eastAsiaTheme="minorEastAsia"/>
          <w:b/>
          <w:color w:val="000000"/>
          <w:sz w:val="28"/>
          <w:szCs w:val="28"/>
        </w:rPr>
        <w:t xml:space="preserve"> </w:t>
      </w:r>
      <w:r>
        <w:rPr>
          <w:rFonts w:hint="eastAsia" w:cs="Arial" w:asciiTheme="minorEastAsia" w:hAnsiTheme="minorEastAsia" w:eastAsiaTheme="minorEastAsia"/>
          <w:b/>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fldChar w:fldCharType="begin"/>
      </w:r>
      <w:r>
        <w:instrText xml:space="preserve"> HYPERLINK "http://www.ccgp-jiangsu.gov.cn/jiangsu/zlxz/ee/ee3a4bc5a3454aa2b0d9312230633ce9.html" </w:instrText>
      </w:r>
      <w:r>
        <w:fldChar w:fldCharType="separate"/>
      </w:r>
      <w:r>
        <w:rPr>
          <w:rStyle w:val="937"/>
          <w:rFonts w:hint="eastAsia" w:cs="Arial" w:asciiTheme="minorEastAsia" w:hAnsiTheme="minorEastAsia" w:eastAsiaTheme="minorEastAsia"/>
          <w:b/>
          <w:szCs w:val="21"/>
        </w:rPr>
        <w:t xml:space="preserve">下载地址</w:t>
      </w:r>
      <w:r>
        <w:rPr>
          <w:rStyle w:val="937"/>
          <w:rFonts w:hint="eastAsia" w:cs="Arial" w:asciiTheme="minorEastAsia" w:hAnsiTheme="minorEastAsia" w:eastAsiaTheme="minorEastAsia"/>
          <w:b/>
          <w:szCs w:val="21"/>
        </w:rPr>
        <w:fldChar w:fldCharType="end"/>
      </w:r>
      <w:r>
        <w:rPr>
          <w:rFonts w:hint="eastAsia" w:cs="Arial" w:asciiTheme="minorEastAsia" w:hAnsiTheme="minorEastAsia" w:eastAsiaTheme="minorEastAsia"/>
          <w:b/>
          <w:szCs w:val="21"/>
        </w:rPr>
        <w:t xml:space="preserve">（http://www.ccgp-jiangsu.gov.cn/jiangsu/zlxz/ee/ee3a4bc5a3454aa2b0d9312230633ce9.html）。“苏采云”南京地区客服热线025-83633744、025-83633743。</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6. 本项目在“江苏政府采购网” （www.ccgp-jiangsu.gov.cn）发布采购公告，有关本次招标的事项若存在变动或修改，请及时关注“江苏政府采购网”（www.ccgp-jiangsu.gov.cn）更正公告。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7. 政府采购信用承诺</w:t>
      </w:r>
      <w:r/>
    </w:p>
    <w:p>
      <w:pPr>
        <w:ind w:firstLine="420"/>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南京公共采购信息网</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首页(https://njgc.jfh.com/)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南京市政府采购供应商诚信档案</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系统链接打开系统页面</w:t>
      </w:r>
      <w:r/>
    </w:p>
    <w:p>
      <w:pPr>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http://180.101.238.212:8280/hodeframe2018_cxda/index.action;jsessionid=769BA9C8E1729422E7173B991C8EC1E5）登录(未注册的供应商应先点击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供应商注册点这里</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符合国家相关规定的财务状况报告</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（2）依法缴纳税收的证明材料；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依法缴纳社会保障资金的证明材料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具备履行政府采购合同所必需的设备和专业技术能力的证明材料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参加政府采购活动前三年内在经营活动中没有重大违法记录的证明材料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供应商在成交</w:t>
      </w:r>
      <w:r>
        <w:rPr>
          <w:rFonts w:asciiTheme="minorEastAsia" w:hAnsiTheme="minorEastAsia" w:eastAsiaTheme="minorEastAsia"/>
          <w:szCs w:val="21"/>
        </w:rPr>
        <w:t xml:space="preserve">后，应按</w:t>
      </w:r>
      <w:r>
        <w:rPr>
          <w:rFonts w:hint="eastAsia" w:asciiTheme="minorEastAsia" w:hAnsiTheme="minorEastAsia" w:eastAsiaTheme="minorEastAsia"/>
          <w:szCs w:val="21"/>
        </w:rPr>
        <w:t xml:space="preserve">竞争性磋商</w:t>
      </w:r>
      <w:r>
        <w:rPr>
          <w:rFonts w:asciiTheme="minorEastAsia" w:hAnsiTheme="minorEastAsia" w:eastAsiaTheme="minorEastAsia"/>
          <w:szCs w:val="21"/>
        </w:rPr>
        <w:t xml:space="preserve">文件要求，将上述由信用承诺书替代的证明材料</w:t>
      </w:r>
      <w:r>
        <w:rPr>
          <w:rFonts w:hint="eastAsia" w:asciiTheme="minorEastAsia" w:hAnsiTheme="minorEastAsia" w:eastAsiaTheme="minorEastAsia"/>
          <w:szCs w:val="21"/>
        </w:rPr>
        <w:t xml:space="preserve">（一式两份）加盖公章，</w:t>
      </w:r>
      <w:r>
        <w:rPr>
          <w:rFonts w:asciiTheme="minorEastAsia" w:hAnsiTheme="minorEastAsia" w:eastAsiaTheme="minorEastAsia"/>
          <w:szCs w:val="21"/>
        </w:rPr>
        <w:t xml:space="preserve">提交采购人或采购代理机构核验。经核验无误后，由采购人或采购代理机构发出成交通知书。</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供应商涉及以下情形的，不适用信用承诺</w:t>
      </w:r>
      <w:r>
        <w:rPr>
          <w:rFonts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供应商被列入严重失信主体名单</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被相关监管部门作出行政处罚且尚在处罚有效期内</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其他法律、行政法规规定的不适用信用承诺的情形</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供应商对信用承诺内容的真实性、合法性、有效性负责。如作出虚假信用承诺，视同为“提供虚假材料谋取成交”的违法行为</w:t>
      </w:r>
      <w:r>
        <w:rPr>
          <w:rFonts w:hint="eastAsia" w:asciiTheme="minorEastAsia" w:hAnsiTheme="minorEastAsia" w:eastAsiaTheme="minorEastAsia"/>
          <w:szCs w:val="21"/>
        </w:rPr>
        <w:t xml:space="preserve">。</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八</w:t>
      </w:r>
      <w:r>
        <w:rPr>
          <w:rFonts w:cs="Arial" w:asciiTheme="minorEastAsia" w:hAnsiTheme="minorEastAsia" w:eastAsiaTheme="minorEastAsia"/>
          <w:b/>
          <w:bCs/>
          <w:szCs w:val="21"/>
        </w:rPr>
        <w:t xml:space="preserve">、</w:t>
      </w:r>
      <w:r>
        <w:rPr>
          <w:rFonts w:hint="eastAsia" w:cs="Arial" w:asciiTheme="minorEastAsia" w:hAnsiTheme="minorEastAsia" w:eastAsiaTheme="minorEastAsia"/>
          <w:b/>
          <w:bCs/>
          <w:szCs w:val="21"/>
        </w:rPr>
        <w:t xml:space="preserve">凡</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采购</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名 称：南京市交通运输综合行政执法监督局</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rPr>
        <w:t xml:space="preserve">地 址：南京市鼓楼区热河</w:t>
      </w:r>
      <w:r>
        <w:rPr>
          <w:rFonts w:hint="eastAsia" w:cs="Arial" w:asciiTheme="minorEastAsia" w:hAnsiTheme="minorEastAsia" w:eastAsiaTheme="minorEastAsia"/>
          <w:bCs/>
          <w:szCs w:val="21"/>
          <w:highlight w:val="none"/>
        </w:rPr>
        <w:t xml:space="preserve">南路101号</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联系人：朱工</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联系电话：</w:t>
      </w:r>
      <w:r>
        <w:rPr>
          <w:rFonts w:cs="Arial" w:asciiTheme="minorEastAsia" w:hAnsiTheme="minorEastAsia" w:eastAsiaTheme="minorEastAsia"/>
          <w:bCs/>
          <w:szCs w:val="21"/>
          <w:highlight w:val="none"/>
        </w:rPr>
        <w:t xml:space="preserve">025-89608368</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2.</w:t>
      </w:r>
      <w:r>
        <w:rPr>
          <w:rFonts w:cs="Arial" w:asciiTheme="minorEastAsia" w:hAnsiTheme="minorEastAsia" w:eastAsiaTheme="minorEastAsia"/>
          <w:b/>
          <w:szCs w:val="21"/>
        </w:rPr>
        <w:t xml:space="preserve">采购代理机构信息</w:t>
      </w:r>
      <w:r>
        <w:rPr>
          <w:rFonts w:hint="eastAsia" w:cs="Arial" w:asciiTheme="minorEastAsia" w:hAnsiTheme="minorEastAsia" w:eastAsiaTheme="minorEastAsia"/>
          <w:b/>
          <w:szCs w:val="21"/>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单位名称：江苏国采工程咨询有限公司</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单位地址：南京市山西路8号金山大厦A座28层2</w:t>
      </w:r>
      <w:r>
        <w:rPr>
          <w:rFonts w:asciiTheme="minorEastAsia" w:hAnsiTheme="minorEastAsia" w:eastAsiaTheme="minorEastAsia"/>
          <w:szCs w:val="21"/>
          <w:lang w:val="zh-CN"/>
        </w:rPr>
        <w:t xml:space="preserve">810</w:t>
      </w:r>
      <w:r>
        <w:rPr>
          <w:rFonts w:hint="eastAsia" w:asciiTheme="minorEastAsia" w:hAnsiTheme="minorEastAsia" w:eastAsiaTheme="minorEastAsia"/>
          <w:szCs w:val="21"/>
          <w:lang w:val="zh-CN"/>
        </w:rPr>
        <w:t xml:space="preserve">室</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邮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箱：</w:t>
      </w:r>
      <w:r>
        <w:rPr>
          <w:rFonts w:asciiTheme="minorEastAsia" w:hAnsiTheme="minorEastAsia" w:eastAsiaTheme="minorEastAsia"/>
          <w:szCs w:val="21"/>
          <w:lang w:val="zh-CN"/>
        </w:rPr>
        <w:t xml:space="preserve">jsgczb@sina.com</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rPr>
        <w:t xml:space="preserve">濮钰铃 陈丹</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rPr>
        <w:t xml:space="preserve">025-83690579</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项目联系人</w:t>
      </w:r>
      <w:r>
        <w:rPr>
          <w:rFonts w:hint="eastAsia" w:cs="Arial" w:asciiTheme="minorEastAsia" w:hAnsiTheme="minorEastAsia" w:eastAsiaTheme="minorEastAsia"/>
          <w:szCs w:val="21"/>
        </w:rPr>
        <w:t xml:space="preserve">：濮钰铃 陈丹</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cs="Arial" w:asciiTheme="minorEastAsia" w:hAnsiTheme="minorEastAsia" w:eastAsiaTheme="minorEastAsia"/>
          <w:szCs w:val="21"/>
        </w:rPr>
        <w:t xml:space="preserve">电话：</w:t>
      </w:r>
      <w:r>
        <w:rPr>
          <w:rFonts w:hint="eastAsia" w:asciiTheme="minorEastAsia" w:hAnsiTheme="minorEastAsia" w:eastAsiaTheme="minorEastAsia"/>
          <w:szCs w:val="21"/>
        </w:rPr>
        <w:t xml:space="preserve">025-83690579</w:t>
      </w:r>
      <w:bookmarkEnd w:id="4"/>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3"/>
      <w:r/>
      <w:r/>
    </w:p>
    <w:p>
      <w:pPr>
        <w:pStyle w:val="888"/>
        <w:numPr>
          <w:ilvl w:val="0"/>
          <w:numId w:val="0"/>
        </w:numPr>
        <w:spacing w:line="360" w:lineRule="auto"/>
        <w:rPr>
          <w:rFonts w:hint="eastAsia" w:asciiTheme="minorEastAsia" w:hAnsiTheme="minorEastAsia" w:eastAsiaTheme="minorEastAsia"/>
        </w:rPr>
      </w:pPr>
      <w:r/>
      <w:bookmarkStart w:id="27" w:name="_Toc7511"/>
      <w:r/>
      <w:bookmarkStart w:id="28" w:name="_Toc176878660"/>
      <w:r/>
      <w:bookmarkStart w:id="29" w:name="_Toc67494807"/>
      <w:r>
        <w:rPr>
          <w:rFonts w:hint="eastAsia" w:asciiTheme="minorEastAsia" w:hAnsiTheme="minorEastAsia" w:eastAsiaTheme="minorEastAsia"/>
        </w:rPr>
        <w:t xml:space="preserve">第二章</w:t>
      </w:r>
      <w:bookmarkStart w:id="30" w:name="_Toc452625218"/>
      <w:r>
        <w:rPr>
          <w:rFonts w:hint="eastAsia" w:asciiTheme="minorEastAsia" w:hAnsiTheme="minorEastAsia" w:eastAsiaTheme="minorEastAsia"/>
        </w:rPr>
        <w:t xml:space="preserve"> </w:t>
      </w:r>
      <w:bookmarkEnd w:id="27"/>
      <w:r/>
      <w:bookmarkEnd w:id="30"/>
      <w:r>
        <w:rPr>
          <w:rFonts w:hint="eastAsia" w:asciiTheme="minorEastAsia" w:hAnsiTheme="minorEastAsia" w:eastAsiaTheme="minorEastAsia"/>
        </w:rPr>
        <w:t xml:space="preserve">竞争性磋商须知</w:t>
      </w:r>
      <w:bookmarkEnd w:id="28"/>
      <w:r/>
      <w:bookmarkEnd w:id="29"/>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一、总    则</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1.适用法律</w:t>
      </w:r>
      <w:r/>
    </w:p>
    <w:p>
      <w:pPr>
        <w:ind w:firstLine="420"/>
        <w:spacing w:line="360" w:lineRule="auto"/>
        <w:rPr>
          <w:rFonts w:hint="eastAsia" w:ascii="宋体" w:hAnsi="宋体" w:cs="宋体"/>
          <w:szCs w:val="21"/>
          <w:lang w:val="zh-CN"/>
        </w:rPr>
      </w:pPr>
      <w:r>
        <w:rPr>
          <w:rFonts w:hint="eastAsia" w:ascii="宋体" w:hAnsi="宋体" w:cs="宋体"/>
          <w:szCs w:val="21"/>
        </w:rPr>
        <w:t xml:space="preserve">1.1本次采购适用</w:t>
      </w:r>
      <w:r>
        <w:rPr>
          <w:rFonts w:hint="eastAsia" w:ascii="宋体" w:hAnsi="宋体" w:cs="宋体"/>
          <w:szCs w:val="21"/>
          <w:lang w:val="zh-CN"/>
        </w:rPr>
        <w:t xml:space="preserve">《中华人民共和国政府采购法》、《中华人民共和国政府采购法实施条例》、《</w:t>
      </w:r>
      <w:r>
        <w:rPr>
          <w:rFonts w:hint="eastAsia" w:ascii="宋体" w:hAnsi="宋体" w:cs="宋体"/>
          <w:szCs w:val="21"/>
        </w:rPr>
        <w:t xml:space="preserve">政府采购竞争性磋商采购方式管理暂行办法</w:t>
      </w:r>
      <w:r>
        <w:rPr>
          <w:rFonts w:hint="eastAsia" w:ascii="宋体" w:hAnsi="宋体" w:cs="宋体"/>
          <w:szCs w:val="21"/>
          <w:lang w:val="zh-CN"/>
        </w:rPr>
        <w:t xml:space="preserve">》、《财政部关于</w:t>
      </w:r>
      <w:r>
        <w:rPr>
          <w:rFonts w:hint="eastAsia" w:ascii="宋体" w:hAnsi="宋体" w:cs="宋体"/>
          <w:szCs w:val="21"/>
        </w:rPr>
        <w:t xml:space="preserve">政府采购竞争性磋商采购方式管理暂行办法有关问题的补充通知</w:t>
      </w:r>
      <w:r>
        <w:rPr>
          <w:rFonts w:hint="eastAsia" w:ascii="宋体" w:hAnsi="宋体" w:cs="宋体"/>
          <w:szCs w:val="21"/>
          <w:lang w:val="zh-CN"/>
        </w:rPr>
        <w:t xml:space="preserve">》</w:t>
      </w:r>
      <w:r>
        <w:rPr>
          <w:rFonts w:hint="eastAsia" w:ascii="宋体" w:hAnsi="宋体" w:cs="宋体"/>
          <w:szCs w:val="21"/>
        </w:rPr>
        <w:t xml:space="preserve">等</w:t>
      </w:r>
      <w:r>
        <w:rPr>
          <w:rFonts w:hint="eastAsia" w:ascii="宋体" w:hAnsi="宋体" w:cs="宋体"/>
          <w:szCs w:val="21"/>
          <w:lang w:val="zh-CN"/>
        </w:rPr>
        <w:t xml:space="preserve">有关法律、规章和规定等。</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2.定义</w:t>
      </w:r>
      <w:r/>
    </w:p>
    <w:p>
      <w:pPr>
        <w:ind w:firstLine="420"/>
        <w:spacing w:line="360" w:lineRule="auto"/>
        <w:shd w:val="clear" w:color="auto" w:fill="ffffff"/>
        <w:widowControl/>
        <w:rPr>
          <w:rFonts w:hint="eastAsia" w:ascii="宋体" w:hAnsi="宋体" w:cs="宋体"/>
          <w:szCs w:val="21"/>
        </w:rPr>
      </w:pPr>
      <w:r/>
      <w:bookmarkStart w:id="31" w:name="_Hlk44576213"/>
      <w:r/>
      <w:bookmarkStart w:id="32" w:name="_Hlk44579770"/>
      <w:r>
        <w:rPr>
          <w:rFonts w:hint="eastAsia" w:ascii="宋体" w:hAnsi="宋体" w:cs="宋体"/>
          <w:szCs w:val="21"/>
        </w:rPr>
        <w:t xml:space="preserve">2.1“采购人”是指南京市交通运输综合行政执法监督局。</w:t>
      </w:r>
      <w:bookmarkEnd w:id="31"/>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2.2“供应商”是指参加竞争性磋商，并符合竞争性磋商文件规定资格条件的法人、其他组织或者自然人。</w:t>
      </w:r>
      <w:r/>
    </w:p>
    <w:p>
      <w:pPr>
        <w:ind w:firstLine="420"/>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2.3“采购代理机构”是指江苏国采工程咨询有限公司。</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2.4“货物和服务”指本竞争性磋商文件中所述</w:t>
      </w:r>
      <w:r>
        <w:rPr>
          <w:rFonts w:hint="eastAsia" w:ascii="宋体" w:hAnsi="宋体" w:cs="宋体"/>
          <w:bCs/>
          <w:szCs w:val="21"/>
        </w:rPr>
        <w:t xml:space="preserve">产品</w:t>
      </w:r>
      <w:r>
        <w:rPr>
          <w:rFonts w:hint="eastAsia" w:ascii="宋体" w:hAnsi="宋体" w:cs="宋体"/>
          <w:szCs w:val="21"/>
        </w:rPr>
        <w:t xml:space="preserve">及相关服务。</w:t>
      </w:r>
      <w:bookmarkEnd w:id="32"/>
      <w:r/>
      <w:r/>
    </w:p>
    <w:p>
      <w:pPr>
        <w:ind w:firstLine="42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2"/>
        <w:spacing w:line="360" w:lineRule="auto"/>
        <w:shd w:val="clear" w:color="auto" w:fill="ffffff"/>
        <w:widowControl/>
        <w:rPr>
          <w:rFonts w:hint="eastAsia" w:ascii="宋体" w:hAnsi="宋体" w:cs="宋体"/>
          <w:b/>
          <w:szCs w:val="21"/>
        </w:rPr>
      </w:pPr>
      <w:r/>
      <w:bookmarkStart w:id="33" w:name="_Hlk75345706"/>
      <w:r>
        <w:rPr>
          <w:rFonts w:hint="eastAsia" w:ascii="宋体" w:hAnsi="宋体" w:cs="宋体"/>
          <w:b/>
          <w:szCs w:val="21"/>
        </w:rPr>
        <w:t xml:space="preserve">3.1 中小企业政策</w:t>
      </w:r>
      <w:r/>
    </w:p>
    <w:p>
      <w:pPr>
        <w:ind w:firstLine="420"/>
        <w:spacing w:line="360" w:lineRule="auto"/>
        <w:shd w:val="clear" w:color="auto" w:fill="ffffff"/>
        <w:widowControl/>
        <w:rPr>
          <w:rFonts w:hint="eastAsia" w:ascii="宋体" w:hAnsi="宋体" w:cs="宋体"/>
          <w:szCs w:val="21"/>
        </w:rPr>
      </w:pPr>
      <w:r/>
      <w:bookmarkStart w:id="34" w:name="_Hlk77845870"/>
      <w:r/>
      <w:bookmarkStart w:id="35" w:name="_Hlk84580649"/>
      <w:r>
        <w:rPr>
          <w:rFonts w:hint="eastAsia" w:ascii="宋体" w:hAnsi="宋体" w:cs="宋体"/>
          <w:szCs w:val="21"/>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3"/>
      <w:r/>
      <w:bookmarkEnd w:id="34"/>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4%的价格扣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35"/>
      <w:r/>
      <w:r/>
    </w:p>
    <w:p>
      <w:pPr>
        <w:ind w:firstLine="422"/>
        <w:spacing w:line="360" w:lineRule="auto"/>
        <w:rPr>
          <w:rFonts w:hint="eastAsia" w:ascii="宋体" w:hAnsi="宋体" w:cs="宋体"/>
          <w:b/>
          <w:bCs/>
          <w:szCs w:val="21"/>
        </w:rPr>
      </w:pPr>
      <w:r>
        <w:rPr>
          <w:rFonts w:hint="eastAsia" w:ascii="宋体" w:hAnsi="宋体" w:cs="宋体"/>
          <w:b/>
          <w:bCs/>
          <w:szCs w:val="21"/>
        </w:rPr>
        <w:t xml:space="preserve">3.</w:t>
      </w:r>
      <w:bookmarkStart w:id="36" w:name="_Hlk66802840"/>
      <w:r>
        <w:rPr>
          <w:rFonts w:hint="eastAsia" w:ascii="宋体" w:hAnsi="宋体" w:cs="宋体"/>
          <w:b/>
          <w:bCs/>
          <w:szCs w:val="21"/>
        </w:rPr>
        <w:t xml:space="preserve">2支持监狱企业（含监狱和戒毒企业）发展政策</w:t>
      </w:r>
      <w:bookmarkEnd w:id="36"/>
      <w:r/>
      <w:r/>
    </w:p>
    <w:p>
      <w:pPr>
        <w:ind w:firstLine="420"/>
        <w:spacing w:line="360" w:lineRule="auto"/>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宋体" w:hAnsi="宋体" w:cs="宋体"/>
          <w:szCs w:val="21"/>
        </w:rPr>
      </w:pPr>
      <w:r/>
      <w:bookmarkStart w:id="37" w:name="_Hlk77845906"/>
      <w:r>
        <w:rPr>
          <w:rFonts w:hint="eastAsia" w:ascii="宋体" w:hAnsi="宋体" w:cs="宋体"/>
          <w:color w:val="333333"/>
          <w:szCs w:val="21"/>
          <w:shd w:val="clear" w:color="auto" w:fill="ffffff"/>
        </w:rPr>
        <w:t xml:space="preserve">（2）</w:t>
      </w:r>
      <w:r>
        <w:rPr>
          <w:rFonts w:hint="eastAsia" w:ascii="宋体" w:hAnsi="宋体" w:cs="宋体"/>
          <w:szCs w:val="21"/>
        </w:rPr>
        <w:t xml:space="preserve">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bookmarkEnd w:id="37"/>
      <w:r/>
      <w:r/>
    </w:p>
    <w:p>
      <w:pPr>
        <w:ind w:firstLine="422"/>
        <w:spacing w:line="360" w:lineRule="auto"/>
        <w:rPr>
          <w:rFonts w:hint="eastAsia" w:ascii="宋体" w:hAnsi="宋体" w:cs="宋体"/>
          <w:b/>
          <w:bCs/>
          <w:szCs w:val="21"/>
        </w:rPr>
      </w:pPr>
      <w:r>
        <w:rPr>
          <w:rFonts w:hint="eastAsia" w:ascii="宋体" w:hAnsi="宋体" w:cs="宋体"/>
          <w:b/>
          <w:bCs/>
          <w:szCs w:val="21"/>
        </w:rPr>
        <w:t xml:space="preserve">3.3促进残疾人就业政策</w:t>
      </w:r>
      <w:r/>
    </w:p>
    <w:p>
      <w:pPr>
        <w:ind w:firstLine="420"/>
        <w:spacing w:line="360" w:lineRule="auto"/>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宋体" w:hAnsi="宋体" w:cs="宋体"/>
          <w:szCs w:val="21"/>
        </w:rPr>
      </w:pPr>
      <w:r/>
      <w:bookmarkStart w:id="38" w:name="_Hlk77845921"/>
      <w:r>
        <w:rPr>
          <w:rFonts w:hint="eastAsia" w:ascii="宋体" w:hAnsi="宋体" w:cs="宋体"/>
          <w:color w:val="333333"/>
          <w:szCs w:val="21"/>
          <w:shd w:val="clear" w:color="auto" w:fill="ffffff"/>
        </w:rPr>
        <w:t xml:space="preserve">（2）</w:t>
      </w:r>
      <w:r>
        <w:rPr>
          <w:rFonts w:hint="eastAsia" w:ascii="宋体" w:hAnsi="宋体" w:cs="宋体"/>
          <w:szCs w:val="21"/>
        </w:rPr>
        <w:t xml:space="preserve">参加政府采购活动的残疾人福利性单位提供《残疾人福利性单位声明函》，残疾人福利性单位享受政府采购支持政策的要求详见《关于促进残疾人就业政府采购政策的通知》（财库〔2017〕141号）。</w:t>
      </w:r>
      <w:r/>
    </w:p>
    <w:p>
      <w:pPr>
        <w:ind w:firstLine="422"/>
        <w:spacing w:line="360" w:lineRule="auto"/>
        <w:shd w:val="clear" w:color="auto" w:fill="ffffff"/>
        <w:widowControl/>
        <w:rPr>
          <w:rFonts w:hint="eastAsia" w:ascii="宋体" w:hAnsi="宋体" w:cs="宋体"/>
          <w:b/>
          <w:bCs/>
          <w:szCs w:val="21"/>
        </w:rPr>
      </w:pPr>
      <w:r/>
      <w:bookmarkStart w:id="39" w:name="_Hlk84584268"/>
      <w:r>
        <w:rPr>
          <w:rFonts w:hint="eastAsia" w:ascii="宋体" w:hAnsi="宋体" w:cs="宋体"/>
          <w:b/>
          <w:bCs/>
          <w:szCs w:val="21"/>
        </w:rPr>
        <w:t xml:space="preserve">二、竞争性磋商文件构成</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4.</w:t>
      </w:r>
      <w:r>
        <w:rPr>
          <w:rFonts w:hint="eastAsia" w:ascii="宋体" w:hAnsi="宋体" w:cs="宋体"/>
          <w:b/>
          <w:szCs w:val="21"/>
        </w:rPr>
        <w:t xml:space="preserve">竞争性</w:t>
      </w:r>
      <w:r>
        <w:rPr>
          <w:rFonts w:hint="eastAsia" w:ascii="宋体" w:hAnsi="宋体" w:cs="宋体"/>
          <w:b/>
          <w:szCs w:val="21"/>
          <w:lang w:val="zh-CN"/>
        </w:rPr>
        <w:t xml:space="preserve">磋商文件组成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4.1竞争性磋商文件由以下部分组成：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w:t>
      </w:r>
      <w:bookmarkStart w:id="40" w:name="OLE_LINK22"/>
      <w:r>
        <w:rPr>
          <w:rFonts w:hint="eastAsia" w:ascii="宋体" w:hAnsi="宋体" w:cs="宋体"/>
          <w:szCs w:val="21"/>
        </w:rPr>
        <w:t xml:space="preserve">竞争性磋商</w:t>
      </w:r>
      <w:bookmarkEnd w:id="40"/>
      <w:r>
        <w:rPr>
          <w:rFonts w:hint="eastAsia" w:ascii="宋体" w:hAnsi="宋体" w:cs="宋体"/>
          <w:szCs w:val="21"/>
        </w:rPr>
        <w:t xml:space="preserve">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（2）竞争性磋商须知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（4）采购项目的内容和相关技术要求等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（6）响应文件格式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供应商应认真阅读竞争性磋商文件中所有的事项、格式、条款和规范等要求。按竞争性磋商文件要求和规定编制响应文件，并保证所提供的全部资料的真实性，以使其响应文件对竞争性磋商文件作出实质性响应，否则其风险由供应商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采购代理机构如果要求供应商按照</w:t>
      </w:r>
      <w:bookmarkStart w:id="41" w:name="OLE_LINK3"/>
      <w:r>
        <w:rPr>
          <w:rFonts w:hint="eastAsia" w:ascii="宋体" w:hAnsi="宋体" w:cs="宋体"/>
          <w:szCs w:val="21"/>
        </w:rPr>
        <w:t xml:space="preserve">竞争性磋商文件</w:t>
      </w:r>
      <w:bookmarkEnd w:id="41"/>
      <w:r>
        <w:rPr>
          <w:rFonts w:hint="eastAsia" w:ascii="宋体" w:hAnsi="宋体" w:cs="宋体"/>
          <w:szCs w:val="21"/>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5.</w:t>
      </w:r>
      <w:r>
        <w:rPr>
          <w:rFonts w:hint="eastAsia" w:ascii="宋体" w:hAnsi="宋体" w:cs="宋体"/>
          <w:b/>
          <w:szCs w:val="21"/>
        </w:rPr>
        <w:t xml:space="preserve">竞争性</w:t>
      </w:r>
      <w:r>
        <w:rPr>
          <w:rFonts w:hint="eastAsia" w:ascii="宋体" w:hAnsi="宋体" w:cs="宋体"/>
          <w:b/>
          <w:szCs w:val="21"/>
          <w:lang w:val="zh-CN"/>
        </w:rPr>
        <w:t xml:space="preserve">磋商文件的澄清和修改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w:t>
      </w:r>
      <w:bookmarkStart w:id="42" w:name="_Hlk176450419"/>
      <w:r>
        <w:rPr>
          <w:rFonts w:hint="eastAsia" w:ascii="宋体" w:hAnsi="宋体" w:cs="宋体"/>
          <w:szCs w:val="21"/>
        </w:rPr>
        <w:t xml:space="preserve">采购人或者采购代理机构可以对已发出的</w:t>
      </w:r>
      <w:bookmarkStart w:id="43" w:name="OLE_LINK15"/>
      <w:r>
        <w:rPr>
          <w:rFonts w:hint="eastAsia" w:ascii="宋体" w:hAnsi="宋体" w:cs="宋体"/>
          <w:szCs w:val="21"/>
        </w:rPr>
        <w:t xml:space="preserve">竞争性磋商</w:t>
      </w:r>
      <w:bookmarkEnd w:id="43"/>
      <w:r>
        <w:rPr>
          <w:rFonts w:hint="eastAsia" w:ascii="宋体" w:hAnsi="宋体" w:cs="宋体"/>
          <w:szCs w:val="21"/>
        </w:rPr>
        <w:t xml:space="preserve">文件、竞争性磋商公告进行必要的澄清或者修改，但不得改变采购标的和资格条件。澄清或者修改应当在原公告发布媒体上发布更正公告。更正内容将作为竞争性磋商文件的组成部分，并对供应商具有约束力。</w:t>
      </w:r>
      <w:bookmarkEnd w:id="42"/>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 供应商应在提交响应文件截止时间前，关注原公告媒体有关本项目的更正公告，根据更正公告内容自行决定是否需要重新制作和提交响应文件，并承担由此产生的相应责任。</w:t>
      </w:r>
      <w:r/>
    </w:p>
    <w:p>
      <w:pPr>
        <w:ind w:firstLine="420"/>
        <w:spacing w:line="360" w:lineRule="auto"/>
        <w:rPr>
          <w:rFonts w:hint="eastAsia" w:ascii="宋体" w:hAnsi="宋体" w:cs="宋体"/>
          <w:szCs w:val="21"/>
        </w:rPr>
      </w:pPr>
      <w:r>
        <w:rPr>
          <w:rFonts w:hint="eastAsia" w:ascii="宋体" w:hAnsi="宋体" w:cs="宋体"/>
          <w:szCs w:val="21"/>
        </w:rPr>
        <w:t xml:space="preserve">5.3 采购代理机构有权按照法律法规的要求推迟投标截止日期和开标日期，并在原公告媒体发布更正公告。</w:t>
      </w:r>
      <w:bookmarkEnd w:id="38"/>
      <w:r/>
      <w:bookmarkEnd w:id="39"/>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三、响应文件编制</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6.响应文件的语言、计量单位、货币和编制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6.2 除技术性能另有规定外，</w:t>
      </w:r>
      <w:r>
        <w:rPr>
          <w:rFonts w:hint="eastAsia" w:ascii="宋体" w:hAnsi="宋体" w:cs="宋体"/>
          <w:szCs w:val="21"/>
        </w:rPr>
        <w:t xml:space="preserve">响应</w:t>
      </w:r>
      <w:r>
        <w:rPr>
          <w:rFonts w:hint="eastAsia" w:ascii="宋体" w:hAnsi="宋体" w:cs="宋体"/>
          <w:szCs w:val="21"/>
          <w:lang w:val="zh-CN"/>
        </w:rPr>
        <w:t xml:space="preserve">文件所使用的度量衡单位，均须采用国家法定计量单位。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6.3 </w:t>
      </w:r>
      <w:r>
        <w:rPr>
          <w:rFonts w:hint="eastAsia" w:ascii="宋体" w:hAnsi="宋体" w:cs="宋体"/>
          <w:szCs w:val="21"/>
        </w:rPr>
        <w:t xml:space="preserve">响应文件中的单价和总价无特殊规定的采用人民币报价，以元为单位标注。竞争性磋商文件中另有规定的按规定执行。</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 </w:t>
      </w:r>
      <w:r>
        <w:rPr>
          <w:rFonts w:hint="eastAsia" w:ascii="宋体" w:hAnsi="宋体" w:cs="宋体"/>
          <w:szCs w:val="21"/>
        </w:rPr>
        <w:t xml:space="preserve">供应商</w:t>
      </w:r>
      <w:r>
        <w:rPr>
          <w:rFonts w:hint="eastAsia" w:ascii="宋体" w:hAnsi="宋体" w:cs="宋体"/>
          <w:szCs w:val="21"/>
          <w:lang w:val="zh-CN"/>
        </w:rPr>
        <w:t xml:space="preserve">应按照法律、法规、规章和规范性文件以及</w:t>
      </w:r>
      <w:r>
        <w:rPr>
          <w:rFonts w:hint="eastAsia" w:ascii="宋体" w:hAnsi="宋体" w:cs="宋体"/>
          <w:szCs w:val="21"/>
        </w:rPr>
        <w:t xml:space="preserve">竞争性磋商</w:t>
      </w:r>
      <w:r>
        <w:rPr>
          <w:rFonts w:hint="eastAsia" w:ascii="宋体" w:hAnsi="宋体" w:cs="宋体"/>
          <w:szCs w:val="21"/>
          <w:lang w:val="zh-CN"/>
        </w:rPr>
        <w:t xml:space="preserve">文件要求提交证明文件，证明其投标标的符合</w:t>
      </w:r>
      <w:r>
        <w:rPr>
          <w:rFonts w:hint="eastAsia" w:ascii="宋体" w:hAnsi="宋体" w:cs="宋体"/>
          <w:szCs w:val="21"/>
        </w:rPr>
        <w:t xml:space="preserve">竞争性磋商</w:t>
      </w:r>
      <w:r>
        <w:rPr>
          <w:rFonts w:hint="eastAsia" w:ascii="宋体" w:hAnsi="宋体" w:cs="宋体"/>
          <w:szCs w:val="21"/>
          <w:lang w:val="zh-CN"/>
        </w:rPr>
        <w:t xml:space="preserve">文件规定。</w:t>
      </w:r>
      <w:r/>
    </w:p>
    <w:p>
      <w:pPr>
        <w:ind w:firstLine="420"/>
        <w:spacing w:line="360" w:lineRule="auto"/>
        <w:rPr>
          <w:rFonts w:hint="eastAsia" w:ascii="宋体" w:hAnsi="宋体" w:cs="宋体"/>
          <w:szCs w:val="21"/>
          <w:lang w:val="zh-CN"/>
        </w:rPr>
      </w:pPr>
      <w:r/>
      <w:bookmarkStart w:id="44" w:name="OLE_LINK17"/>
      <w:r>
        <w:rPr>
          <w:rFonts w:hint="eastAsia" w:ascii="宋体" w:hAnsi="宋体" w:cs="宋体"/>
          <w:szCs w:val="21"/>
        </w:rPr>
        <w:t xml:space="preserve">6</w:t>
      </w:r>
      <w:r>
        <w:rPr>
          <w:rFonts w:hint="eastAsia" w:ascii="宋体" w:hAnsi="宋体" w:cs="宋体"/>
          <w:szCs w:val="21"/>
          <w:lang w:val="zh-CN"/>
        </w:rPr>
        <w:t xml:space="preserve">.5</w:t>
      </w:r>
      <w:bookmarkEnd w:id="44"/>
      <w:r>
        <w:rPr>
          <w:rFonts w:hint="eastAsia" w:ascii="宋体" w:hAnsi="宋体" w:cs="宋体"/>
          <w:szCs w:val="21"/>
        </w:rPr>
        <w:t xml:space="preserve"> 竞争性磋商</w:t>
      </w:r>
      <w:r>
        <w:rPr>
          <w:rFonts w:hint="eastAsia" w:ascii="宋体" w:hAnsi="宋体" w:cs="宋体"/>
          <w:szCs w:val="21"/>
          <w:lang w:val="zh-CN"/>
        </w:rPr>
        <w:t xml:space="preserve">文件对证明文件无明确形式要求的，证明文件可以以文字资料、图纸和数据等形式提交。</w:t>
      </w:r>
      <w:r/>
    </w:p>
    <w:p>
      <w:pPr>
        <w:ind w:firstLine="420"/>
        <w:jc w:val="left"/>
        <w:spacing w:line="360" w:lineRule="auto"/>
        <w:shd w:val="clear" w:color="auto" w:fill="ffffff"/>
        <w:widowControl/>
        <w:rPr>
          <w:rFonts w:hint="eastAsia" w:ascii="宋体" w:hAnsi="宋体" w:cs="宋体"/>
          <w:szCs w:val="21"/>
        </w:rPr>
      </w:pPr>
      <w:r/>
      <w:bookmarkStart w:id="45" w:name="_Hlk175667315"/>
      <w:r>
        <w:rPr>
          <w:rFonts w:hint="eastAsia" w:ascii="宋体" w:hAnsi="宋体" w:cs="宋体"/>
          <w:szCs w:val="21"/>
        </w:rPr>
        <w:t xml:space="preserve">6.6</w:t>
      </w:r>
      <w:bookmarkStart w:id="46" w:name="OLE_LINK25"/>
      <w:r>
        <w:rPr>
          <w:rFonts w:hint="eastAsia" w:ascii="宋体" w:hAnsi="宋体" w:cs="宋体"/>
          <w:szCs w:val="21"/>
        </w:rPr>
        <w:t xml:space="preserve">磋商</w:t>
      </w:r>
      <w:bookmarkEnd w:id="46"/>
      <w:r>
        <w:rPr>
          <w:rFonts w:hint="eastAsia" w:ascii="宋体" w:hAnsi="宋体" w:cs="宋体"/>
          <w:szCs w:val="21"/>
        </w:rPr>
        <w:t xml:space="preserve">报价表中的投标总价应与分项报价表中的投标总价一致，如不一致不作为无效投标处理，评标时以磋商环节最终报价价格为准。</w:t>
      </w:r>
      <w:bookmarkEnd w:id="45"/>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7.响应文件的组成</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7.1 </w:t>
      </w:r>
      <w:r>
        <w:rPr>
          <w:rFonts w:hint="eastAsia" w:ascii="宋体" w:hAnsi="宋体" w:cs="宋体"/>
          <w:szCs w:val="21"/>
        </w:rPr>
        <w:t xml:space="preserve">供应商编写的响应文件应包括资格条件证明文件、符合条件证明文件、磋商报价表、响应及偏离表、其他证明文件、分项报价表等部分。</w:t>
      </w:r>
      <w:r/>
    </w:p>
    <w:p>
      <w:pPr>
        <w:ind w:firstLine="420"/>
        <w:spacing w:line="360" w:lineRule="auto"/>
        <w:rPr>
          <w:rFonts w:hint="eastAsia" w:ascii="宋体" w:hAnsi="宋体" w:cs="宋体"/>
          <w:szCs w:val="21"/>
        </w:rPr>
      </w:pPr>
      <w:r>
        <w:rPr>
          <w:rFonts w:hint="eastAsia" w:ascii="宋体" w:hAnsi="宋体" w:cs="宋体"/>
          <w:szCs w:val="21"/>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ascii="宋体" w:hAnsi="宋体" w:cs="宋体"/>
          <w:szCs w:val="21"/>
        </w:rPr>
      </w:pPr>
      <w:r/>
      <w:bookmarkStart w:id="47" w:name="_Hlt26954842"/>
      <w:r/>
      <w:bookmarkEnd w:id="47"/>
      <w:r/>
      <w:bookmarkStart w:id="48" w:name="_Hlt26668983"/>
      <w:r/>
      <w:bookmarkEnd w:id="48"/>
      <w:r/>
      <w:bookmarkStart w:id="49" w:name="_Hlt26954848"/>
      <w:r/>
      <w:bookmarkEnd w:id="49"/>
      <w:r/>
      <w:bookmarkStart w:id="50" w:name="_Hlt26670486"/>
      <w:r/>
      <w:bookmarkEnd w:id="50"/>
      <w:r/>
      <w:bookmarkStart w:id="51" w:name="_Hlt26670403"/>
      <w:r/>
      <w:bookmarkEnd w:id="51"/>
      <w:r/>
      <w:bookmarkStart w:id="52" w:name="_Hlt26954844"/>
      <w:r/>
      <w:bookmarkEnd w:id="52"/>
      <w:r/>
      <w:bookmarkStart w:id="53" w:name="_Hlt26670425"/>
      <w:r/>
      <w:bookmarkEnd w:id="53"/>
      <w:r/>
      <w:bookmarkStart w:id="54" w:name="_Hlt26954731"/>
      <w:r/>
      <w:bookmarkEnd w:id="54"/>
      <w:r/>
      <w:bookmarkStart w:id="55" w:name="_Hlt26954846"/>
      <w:r/>
      <w:bookmarkEnd w:id="55"/>
      <w:r/>
      <w:bookmarkStart w:id="56" w:name="_Hlt26670482"/>
      <w:r/>
      <w:bookmarkEnd w:id="56"/>
      <w:r>
        <w:rPr>
          <w:rFonts w:hint="eastAsia" w:ascii="宋体" w:hAnsi="宋体" w:cs="宋体"/>
          <w:szCs w:val="21"/>
        </w:rPr>
        <w:t xml:space="preserve">7.3响应及偏离表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（2）供应商可以在响应文件中提供认为需要的其他技术文件或说明。</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8. 磋商保证金</w:t>
      </w:r>
      <w:r/>
    </w:p>
    <w:p>
      <w:pPr>
        <w:ind w:firstLine="420"/>
        <w:spacing w:line="360" w:lineRule="auto"/>
        <w:rPr>
          <w:rFonts w:hint="eastAsia" w:ascii="宋体" w:hAnsi="宋体" w:cs="宋体"/>
          <w:szCs w:val="21"/>
        </w:rPr>
      </w:pPr>
      <w:r>
        <w:rPr>
          <w:rFonts w:hint="eastAsia" w:ascii="宋体" w:hAnsi="宋体" w:cs="宋体"/>
          <w:szCs w:val="21"/>
        </w:rPr>
        <w:t xml:space="preserve">本项目不收取磋商保证金。</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9.磋商有效期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 </w:t>
      </w:r>
      <w:r>
        <w:rPr>
          <w:rFonts w:hint="eastAsia" w:ascii="宋体" w:hAnsi="宋体" w:cs="宋体"/>
          <w:szCs w:val="21"/>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四、响应文件的</w:t>
      </w:r>
      <w:r>
        <w:rPr>
          <w:rFonts w:hint="eastAsia" w:ascii="宋体" w:hAnsi="宋体" w:cs="宋体"/>
          <w:b/>
          <w:szCs w:val="21"/>
        </w:rPr>
        <w:t xml:space="preserve">提</w:t>
      </w:r>
      <w:r>
        <w:rPr>
          <w:rFonts w:hint="eastAsia" w:ascii="宋体" w:hAnsi="宋体" w:cs="宋体"/>
          <w:b/>
          <w:szCs w:val="21"/>
          <w:lang w:val="zh-CN"/>
        </w:rPr>
        <w:t xml:space="preserve">交</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10.响应文件的</w:t>
      </w:r>
      <w:r>
        <w:rPr>
          <w:rFonts w:hint="eastAsia" w:ascii="宋体" w:hAnsi="宋体" w:cs="宋体"/>
          <w:b/>
          <w:bCs/>
          <w:szCs w:val="21"/>
        </w:rPr>
        <w:t xml:space="preserve">提</w:t>
      </w:r>
      <w:r>
        <w:rPr>
          <w:rFonts w:hint="eastAsia" w:ascii="宋体" w:hAnsi="宋体" w:cs="宋体"/>
          <w:b/>
          <w:bCs/>
          <w:szCs w:val="21"/>
          <w:lang w:val="zh-CN"/>
        </w:rPr>
        <w:t xml:space="preserve">交</w:t>
      </w:r>
      <w:r/>
    </w:p>
    <w:p>
      <w:pPr>
        <w:ind w:firstLine="420"/>
        <w:spacing w:line="360" w:lineRule="auto"/>
        <w:rPr>
          <w:rFonts w:hint="eastAsia" w:ascii="宋体" w:hAnsi="宋体" w:cs="宋体"/>
          <w:bCs/>
          <w:szCs w:val="21"/>
        </w:rPr>
      </w:pPr>
      <w:r>
        <w:rPr>
          <w:rFonts w:hint="eastAsia" w:ascii="宋体" w:hAnsi="宋体" w:cs="宋体"/>
          <w:bCs/>
          <w:szCs w:val="21"/>
        </w:rPr>
        <w:t xml:space="preserve">10.1 供应商应当按照《操作手册》规定，在磋商公告规定的提交响应文件截止时间前制作并上传电子响应文件。</w:t>
      </w:r>
      <w:r/>
    </w:p>
    <w:p>
      <w:pPr>
        <w:ind w:firstLine="420"/>
        <w:spacing w:line="360" w:lineRule="auto"/>
        <w:rPr>
          <w:rFonts w:hint="eastAsia" w:ascii="宋体" w:hAnsi="宋体" w:cs="宋体"/>
          <w:bCs/>
          <w:szCs w:val="21"/>
        </w:rPr>
      </w:pPr>
      <w:r>
        <w:rPr>
          <w:rFonts w:hint="eastAsia" w:ascii="宋体" w:hAnsi="宋体" w:cs="宋体"/>
          <w:bCs/>
          <w:szCs w:val="21"/>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10.3 采购代理机构可以按照规定，通过修改竞争性磋商文件酌情延长提交响应文件截止日期，在此情况下，供应商的所有权利和义务均以延长后新的截止日期为准。</w:t>
      </w:r>
      <w:bookmarkStart w:id="57" w:name="_Hlk44579810"/>
      <w:r/>
      <w:bookmarkEnd w:id="57"/>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11.响应文件的拒收</w:t>
      </w:r>
      <w:r/>
    </w:p>
    <w:p>
      <w:pPr>
        <w:ind w:firstLine="420"/>
        <w:spacing w:line="360" w:lineRule="auto"/>
        <w:tabs>
          <w:tab w:val="left" w:pos="5355" w:leader="none"/>
        </w:tabs>
        <w:rPr>
          <w:rFonts w:hint="eastAsia" w:ascii="宋体" w:hAnsi="宋体" w:cs="宋体"/>
          <w:szCs w:val="21"/>
          <w:lang w:val="zh-CN"/>
        </w:rPr>
      </w:pPr>
      <w:r>
        <w:rPr>
          <w:rFonts w:hint="eastAsia" w:ascii="宋体" w:hAnsi="宋体" w:cs="宋体"/>
          <w:szCs w:val="21"/>
          <w:lang w:val="zh-CN"/>
        </w:rPr>
        <w:t xml:space="preserve">11.1 采购代理机构拒绝接收提交响应文件截止时间后上传的任何电子响应文件。</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12.响应文件的撤回和修改</w:t>
      </w:r>
      <w:r/>
    </w:p>
    <w:p>
      <w:pPr>
        <w:ind w:firstLine="420"/>
        <w:spacing w:line="360" w:lineRule="auto"/>
        <w:rPr>
          <w:rFonts w:hint="eastAsia" w:ascii="宋体" w:hAnsi="宋体" w:cs="宋体"/>
          <w:szCs w:val="21"/>
          <w:lang w:val="zh-CN"/>
        </w:rPr>
      </w:pPr>
      <w:r/>
      <w:bookmarkStart w:id="58" w:name="OLE_LINK4"/>
      <w:r>
        <w:rPr>
          <w:rFonts w:hint="eastAsia" w:ascii="宋体" w:hAnsi="宋体" w:cs="宋体"/>
          <w:szCs w:val="21"/>
          <w:lang w:val="zh-CN"/>
        </w:rPr>
        <w:t xml:space="preserve">12.1 </w:t>
      </w:r>
      <w:bookmarkEnd w:id="58"/>
      <w:r>
        <w:rPr>
          <w:rFonts w:hint="eastAsia" w:ascii="宋体" w:hAnsi="宋体" w:cs="宋体"/>
          <w:szCs w:val="21"/>
          <w:lang w:val="zh-CN"/>
        </w:rPr>
        <w:t xml:space="preserve">响应文件的撤回</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（1）供应商可在提交响应文件截止时间前撤回其电子响应文件，具体操作方法见《操作手册》。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（2）供应商撤回电子响应文件，则认为其不再参与本项目磋商活动。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12.2</w:t>
      </w:r>
      <w:r>
        <w:rPr>
          <w:rFonts w:hint="eastAsia" w:ascii="宋体" w:hAnsi="宋体" w:cs="宋体"/>
          <w:szCs w:val="21"/>
        </w:rPr>
        <w:t xml:space="preserve"> </w:t>
      </w:r>
      <w:r>
        <w:rPr>
          <w:rFonts w:hint="eastAsia" w:ascii="宋体" w:hAnsi="宋体" w:cs="宋体"/>
          <w:szCs w:val="21"/>
          <w:lang w:val="zh-CN"/>
        </w:rPr>
        <w:t xml:space="preserve">响应文件的修改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（1）供应商可在提交响应文件截止时间前对其电子响应文件进行修改，具体操作方法见《操作手册》。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（2）提交响应文件截止时间之后，供应商不得对其电子响应文件作任何修改。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12.3 在提交响应文件截止时间至</w:t>
      </w:r>
      <w:r>
        <w:rPr>
          <w:rFonts w:hint="eastAsia" w:ascii="宋体" w:hAnsi="宋体" w:cs="宋体"/>
          <w:szCs w:val="21"/>
        </w:rPr>
        <w:t xml:space="preserve">竞争性</w:t>
      </w:r>
      <w:r>
        <w:rPr>
          <w:rFonts w:hint="eastAsia" w:ascii="宋体" w:hAnsi="宋体" w:cs="宋体"/>
          <w:szCs w:val="21"/>
          <w:lang w:val="zh-CN"/>
        </w:rPr>
        <w:t xml:space="preserve">磋商文件中规定的磋商有效期满之间的这段时间内，供应商不得撤回其响应文件。</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13.诚实信用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13.1 供应商之间不得相互串通报价，不得妨碍其他供应商的公平竞争，不得损害采购人和其他供应商的合法权益。</w:t>
      </w:r>
      <w:r/>
    </w:p>
    <w:p>
      <w:pPr>
        <w:ind w:firstLine="420"/>
        <w:spacing w:line="360" w:lineRule="auto"/>
        <w:rPr>
          <w:rFonts w:hint="eastAsia" w:ascii="宋体" w:hAnsi="宋体" w:cs="宋体"/>
          <w:szCs w:val="21"/>
        </w:rPr>
      </w:pPr>
      <w:r>
        <w:rPr>
          <w:rFonts w:hint="eastAsia" w:ascii="宋体" w:hAnsi="宋体" w:cs="宋体"/>
          <w:szCs w:val="21"/>
        </w:rPr>
        <w:t xml:space="preserve">13.2 在评标过程中发现供应商有上述情形的，评标委员会应当认定其投标无效，并书面报告本级财政部门。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rPr>
        <w:t xml:space="preserve">3</w:t>
      </w:r>
      <w:r>
        <w:rPr>
          <w:rFonts w:hint="eastAsia" w:ascii="宋体" w:hAnsi="宋体" w:cs="宋体"/>
          <w:szCs w:val="21"/>
          <w:lang w:val="zh-CN"/>
        </w:rPr>
        <w:t xml:space="preserve"> 供应商不得虚假承诺，否则，按照提供虚假材料谋取成交处理。</w:t>
      </w:r>
      <w:r/>
    </w:p>
    <w:p>
      <w:pPr>
        <w:ind w:firstLine="422"/>
        <w:spacing w:line="360" w:lineRule="auto"/>
        <w:rPr>
          <w:rFonts w:hint="eastAsia" w:ascii="宋体" w:hAnsi="宋体" w:cs="宋体"/>
          <w:szCs w:val="21"/>
          <w:lang w:val="zh-CN"/>
        </w:rPr>
      </w:pPr>
      <w:r>
        <w:rPr>
          <w:rFonts w:hint="eastAsia" w:ascii="宋体" w:hAnsi="宋体" w:cs="宋体"/>
          <w:b/>
          <w:bCs/>
          <w:szCs w:val="21"/>
          <w:lang w:val="zh-CN"/>
        </w:rPr>
        <w:t xml:space="preserve">五、磋商</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14.响应文件解密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 供应商应当按照《操作手册》规定，在苏采云系统规定的时间内对响应文件进行解密。</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15.磋商组织</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15.1 磋商工作由采购代理机构负责组织，具体磋商事务由依法组建的磋商小组负责。</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16.评审过程的保密与公正</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16.2 供应商不得以任何方式影响磋商评审，否则其响应文件将被作为无效响应文件。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16.3 采购代理机构和磋商小组不向未成交的供应商解释未成交原因，也不公布评审过程中的相关细节。</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szCs w:val="21"/>
          <w:lang w:val="zh-CN"/>
        </w:rPr>
        <w:t xml:space="preserve">17.</w:t>
      </w:r>
      <w:bookmarkStart w:id="59" w:name="_Hlk176530553"/>
      <w:r>
        <w:rPr>
          <w:rFonts w:hint="eastAsia" w:ascii="宋体" w:hAnsi="宋体" w:cs="宋体"/>
          <w:b/>
          <w:bCs/>
          <w:szCs w:val="21"/>
        </w:rPr>
        <w:t xml:space="preserve">评审过程中的澄清</w:t>
      </w:r>
      <w:bookmarkEnd w:id="59"/>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磋商小组并非对每个供应商都作澄清要求。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17.3 接到磋商小组澄清、说明和补正要求的供应商如未按规定做出澄清、说明和补正，其风险由供应商自行承担。</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 单价金额小数点或者百分比有明显错位的，以磋商报价表的总价为准，并修改单价；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 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同时出现两种以上不一致的，按照前款规定的顺序修正。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2"/>
        <w:spacing w:line="360" w:lineRule="auto"/>
        <w:rPr>
          <w:rFonts w:hint="eastAsia" w:ascii="宋体" w:hAnsi="宋体" w:cs="宋体"/>
          <w:b/>
          <w:szCs w:val="21"/>
        </w:rPr>
      </w:pPr>
      <w:r>
        <w:rPr>
          <w:rFonts w:hint="eastAsia" w:ascii="宋体" w:hAnsi="宋体" w:cs="宋体"/>
          <w:b/>
          <w:szCs w:val="21"/>
          <w:lang w:val="zh-CN"/>
        </w:rPr>
        <w:t xml:space="preserve">18.</w:t>
      </w:r>
      <w:r>
        <w:rPr>
          <w:rFonts w:hint="eastAsia" w:ascii="宋体" w:hAnsi="宋体" w:cs="宋体"/>
          <w:b/>
        </w:rPr>
        <w:t xml:space="preserve"> </w:t>
      </w:r>
      <w:r>
        <w:rPr>
          <w:rFonts w:hint="eastAsia" w:ascii="宋体" w:hAnsi="宋体" w:cs="宋体"/>
          <w:b/>
          <w:szCs w:val="21"/>
          <w:lang w:val="zh-CN"/>
        </w:rPr>
        <w:t xml:space="preserve">响应文件的资格审查</w:t>
      </w:r>
      <w:r/>
    </w:p>
    <w:p>
      <w:pPr>
        <w:ind w:firstLine="420"/>
        <w:spacing w:line="360" w:lineRule="auto"/>
        <w:rPr>
          <w:rFonts w:hint="eastAsia" w:ascii="宋体" w:hAnsi="宋体" w:cs="宋体"/>
          <w:szCs w:val="21"/>
        </w:rPr>
      </w:pPr>
      <w:r/>
      <w:bookmarkStart w:id="60" w:name="OLE_LINK40"/>
      <w:r>
        <w:rPr>
          <w:rFonts w:hint="eastAsia" w:ascii="宋体" w:hAnsi="宋体" w:cs="宋体"/>
          <w:szCs w:val="21"/>
        </w:rPr>
        <w:t xml:space="preserve">18</w:t>
      </w:r>
      <w:bookmarkEnd w:id="60"/>
      <w:r>
        <w:rPr>
          <w:rFonts w:hint="eastAsia" w:ascii="宋体" w:hAnsi="宋体" w:cs="宋体"/>
          <w:szCs w:val="21"/>
        </w:rPr>
        <w:t xml:space="preserve">.1响应文件审查分为资格审查和符合性审查。</w:t>
      </w:r>
      <w:r/>
    </w:p>
    <w:p>
      <w:pPr>
        <w:ind w:firstLine="420"/>
        <w:spacing w:line="360" w:lineRule="auto"/>
        <w:rPr>
          <w:rFonts w:hint="eastAsia" w:ascii="宋体" w:hAnsi="宋体" w:cs="宋体"/>
          <w:szCs w:val="21"/>
        </w:rPr>
      </w:pPr>
      <w:r>
        <w:rPr>
          <w:rFonts w:hint="eastAsia" w:ascii="宋体" w:hAnsi="宋体" w:cs="宋体"/>
          <w:szCs w:val="21"/>
        </w:rPr>
        <w:t xml:space="preserve">18.2资格审查：依据法律法规和竞争性磋商文件的规定，磋商小组对响应文件中的资格证明文件进行审查，以确定供应商是否具备参加磋商的资格。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宋体" w:hAnsi="宋体" w:cs="宋体"/>
          <w:b/>
          <w:bCs/>
          <w:szCs w:val="21"/>
        </w:rPr>
      </w:pPr>
      <w:r>
        <w:rPr>
          <w:rFonts w:hint="eastAsia" w:ascii="宋体" w:hAnsi="宋体" w:cs="宋体"/>
          <w:b/>
          <w:bCs/>
          <w:szCs w:val="21"/>
        </w:rPr>
        <w:t xml:space="preserve">18.2.1响应文件有下列情况之一的，</w:t>
      </w:r>
      <w:bookmarkStart w:id="61" w:name="OLE_LINK28"/>
      <w:r>
        <w:rPr>
          <w:rFonts w:hint="eastAsia" w:ascii="宋体" w:hAnsi="宋体" w:cs="宋体"/>
          <w:b/>
          <w:bCs/>
          <w:szCs w:val="21"/>
        </w:rPr>
        <w:t xml:space="preserve">在资格审查时</w:t>
      </w:r>
      <w:bookmarkEnd w:id="61"/>
      <w:r>
        <w:rPr>
          <w:rFonts w:hint="eastAsia" w:ascii="宋体" w:hAnsi="宋体" w:cs="宋体"/>
          <w:b/>
          <w:bCs/>
          <w:szCs w:val="21"/>
        </w:rPr>
        <w:t xml:space="preserve">按照无效投标处理：</w:t>
      </w:r>
      <w:r/>
    </w:p>
    <w:p>
      <w:pPr>
        <w:numPr>
          <w:ilvl w:val="0"/>
          <w:numId w:val="3"/>
        </w:numPr>
        <w:ind w:firstLine="420"/>
        <w:jc w:val="left"/>
        <w:spacing w:line="360" w:lineRule="auto"/>
        <w:tabs>
          <w:tab w:val="left" w:pos="4825" w:leader="none"/>
        </w:tabs>
        <w:rPr>
          <w:rFonts w:hint="eastAsia" w:ascii="宋体" w:hAnsi="宋体" w:cs="宋体"/>
          <w:szCs w:val="21"/>
        </w:rPr>
      </w:pPr>
      <w:r/>
      <w:bookmarkStart w:id="62" w:name="_Hlk81314966"/>
      <w:r>
        <w:rPr>
          <w:rFonts w:hint="eastAsia" w:ascii="宋体" w:hAnsi="宋体" w:cs="宋体"/>
          <w:szCs w:val="21"/>
        </w:rPr>
        <w:t xml:space="preserve">不具备竞争性磋商文件中规定资格条件的；</w:t>
      </w:r>
      <w:bookmarkEnd w:id="62"/>
      <w:r/>
      <w:r/>
    </w:p>
    <w:p>
      <w:pPr>
        <w:ind w:firstLine="420"/>
        <w:jc w:val="left"/>
        <w:spacing w:line="360" w:lineRule="auto"/>
        <w:tabs>
          <w:tab w:val="left" w:pos="4825" w:leader="none"/>
        </w:tabs>
        <w:rPr>
          <w:rFonts w:hint="eastAsia" w:ascii="宋体" w:hAnsi="宋体" w:cs="宋体"/>
          <w:szCs w:val="21"/>
        </w:rPr>
      </w:pPr>
      <w:r/>
      <w:bookmarkStart w:id="63" w:name="_Hlk77845984"/>
      <w:r>
        <w:rPr>
          <w:rFonts w:hint="eastAsia" w:ascii="宋体" w:hAnsi="宋体" w:cs="宋体"/>
          <w:szCs w:val="21"/>
        </w:rPr>
        <w:t xml:space="preserve">（2）未提供《南京市政府采购供应商信用记录表暨信用承诺书》。</w:t>
      </w:r>
      <w:bookmarkEnd w:id="63"/>
      <w:r/>
      <w:r/>
    </w:p>
    <w:p>
      <w:pPr>
        <w:ind w:firstLine="422"/>
        <w:spacing w:line="360" w:lineRule="auto"/>
        <w:rPr>
          <w:rFonts w:hint="eastAsia" w:ascii="宋体" w:hAnsi="宋体" w:cs="宋体"/>
          <w:b/>
          <w:bCs/>
          <w:szCs w:val="21"/>
        </w:rPr>
      </w:pPr>
      <w:r>
        <w:rPr>
          <w:rFonts w:hint="eastAsia" w:ascii="宋体" w:hAnsi="宋体" w:cs="宋体"/>
          <w:b/>
          <w:bCs/>
          <w:szCs w:val="21"/>
        </w:rPr>
        <w:t xml:space="preserve">18.3 响应文件的符合性检查</w:t>
      </w:r>
      <w:r/>
    </w:p>
    <w:p>
      <w:pPr>
        <w:ind w:firstLine="420"/>
        <w:spacing w:line="360" w:lineRule="auto"/>
        <w:rPr>
          <w:rFonts w:hint="eastAsia" w:ascii="宋体" w:hAnsi="宋体" w:cs="宋体"/>
          <w:szCs w:val="21"/>
        </w:rPr>
      </w:pPr>
      <w:r>
        <w:rPr>
          <w:rFonts w:hint="eastAsia" w:ascii="宋体" w:hAnsi="宋体" w:cs="宋体"/>
          <w:szCs w:val="21"/>
        </w:rPr>
        <w:t xml:space="preserve">18.3.1磋商小组将依据法律法规和</w:t>
      </w:r>
      <w:r>
        <w:rPr>
          <w:rFonts w:hint="eastAsia" w:ascii="宋体" w:hAnsi="宋体" w:cs="宋体"/>
          <w:szCs w:val="21"/>
        </w:rPr>
        <w:t xml:space="preserve">竞争性磋商文件</w:t>
      </w:r>
      <w:r>
        <w:rPr>
          <w:rFonts w:hint="eastAsia" w:ascii="宋体" w:hAnsi="宋体" w:cs="宋体"/>
          <w:szCs w:val="21"/>
        </w:rPr>
        <w:t xml:space="preserve">的规定，对响应文件的有效性、完整性和对</w:t>
      </w:r>
      <w:r>
        <w:rPr>
          <w:rFonts w:hint="eastAsia" w:ascii="宋体" w:hAnsi="宋体" w:cs="宋体"/>
          <w:szCs w:val="21"/>
        </w:rPr>
        <w:t xml:space="preserve">竞争性磋商文件</w:t>
      </w:r>
      <w:r>
        <w:rPr>
          <w:rFonts w:hint="eastAsia" w:ascii="宋体" w:hAnsi="宋体" w:cs="宋体"/>
          <w:szCs w:val="21"/>
        </w:rPr>
        <w:t xml:space="preserve">的响应程度进行审查，以确定是否对</w:t>
      </w:r>
      <w:r>
        <w:rPr>
          <w:rFonts w:hint="eastAsia" w:ascii="宋体" w:hAnsi="宋体" w:cs="宋体"/>
          <w:szCs w:val="21"/>
        </w:rPr>
        <w:t xml:space="preserve">竞争性磋商文件</w:t>
      </w:r>
      <w:r>
        <w:rPr>
          <w:rFonts w:hint="eastAsia" w:ascii="宋体" w:hAnsi="宋体" w:cs="宋体"/>
          <w:szCs w:val="21"/>
        </w:rPr>
        <w:t xml:space="preserve">的实质性要求作出响应。</w:t>
      </w:r>
      <w:r/>
    </w:p>
    <w:p>
      <w:pPr>
        <w:ind w:firstLine="422"/>
        <w:spacing w:line="360" w:lineRule="auto"/>
        <w:rPr>
          <w:rFonts w:hint="eastAsia" w:ascii="宋体" w:hAnsi="宋体" w:cs="宋体"/>
          <w:szCs w:val="21"/>
        </w:rPr>
      </w:pPr>
      <w:r>
        <w:rPr>
          <w:rFonts w:hint="eastAsia" w:ascii="宋体" w:hAnsi="宋体" w:cs="宋体"/>
          <w:b/>
          <w:bCs/>
          <w:szCs w:val="21"/>
        </w:rPr>
        <w:t xml:space="preserve">18.3.2实质性要求是指本竞争性磋商文件中斜体且有下划线部分，或者打“★”“*”等其他文字说明的商务和技术要求。</w:t>
      </w:r>
      <w:r/>
    </w:p>
    <w:p>
      <w:pPr>
        <w:ind w:firstLine="420"/>
        <w:spacing w:line="360" w:lineRule="auto"/>
        <w:rPr>
          <w:rFonts w:hint="eastAsia" w:ascii="宋体" w:hAnsi="宋体" w:cs="宋体"/>
          <w:szCs w:val="21"/>
        </w:rPr>
      </w:pPr>
      <w:r>
        <w:rPr>
          <w:rFonts w:hint="eastAsia" w:ascii="宋体" w:hAnsi="宋体" w:cs="宋体"/>
          <w:szCs w:val="21"/>
        </w:rPr>
        <w:t xml:space="preserve">18.3.3如果响应文件实质上没有响应</w:t>
      </w:r>
      <w:r>
        <w:rPr>
          <w:rFonts w:hint="eastAsia" w:ascii="宋体" w:hAnsi="宋体" w:cs="宋体"/>
          <w:szCs w:val="21"/>
        </w:rPr>
        <w:t xml:space="preserve">竞争性磋商文件</w:t>
      </w:r>
      <w:r>
        <w:rPr>
          <w:rFonts w:hint="eastAsia" w:ascii="宋体" w:hAnsi="宋体" w:cs="宋体"/>
          <w:szCs w:val="21"/>
        </w:rPr>
        <w:t xml:space="preserve">的要求，磋商小组将予以拒绝，供应商不得通过修改或撤销不合要求的偏离或保留而使其投标成为实质性响应的投标。</w:t>
      </w:r>
      <w:r/>
    </w:p>
    <w:p>
      <w:pPr>
        <w:ind w:firstLine="422"/>
        <w:spacing w:line="360" w:lineRule="auto"/>
        <w:rPr>
          <w:rFonts w:hint="eastAsia" w:ascii="宋体" w:hAnsi="宋体" w:cs="宋体"/>
          <w:b/>
          <w:bCs/>
          <w:szCs w:val="21"/>
        </w:rPr>
      </w:pPr>
      <w:r>
        <w:rPr>
          <w:rFonts w:hint="eastAsia" w:ascii="宋体" w:hAnsi="宋体" w:cs="宋体"/>
          <w:b/>
          <w:bCs/>
          <w:szCs w:val="21"/>
        </w:rPr>
        <w:t xml:space="preserve">18.3.4响应文件属下列情形之一的，在符合性审查时按照无效响应处理：</w:t>
      </w:r>
      <w:r/>
    </w:p>
    <w:p>
      <w:pPr>
        <w:ind w:firstLine="420"/>
        <w:spacing w:line="360" w:lineRule="auto"/>
        <w:rPr>
          <w:rFonts w:hint="eastAsia" w:ascii="宋体" w:hAnsi="宋体" w:cs="宋体"/>
          <w:szCs w:val="21"/>
        </w:rPr>
      </w:pPr>
      <w:r>
        <w:rPr>
          <w:rFonts w:hint="eastAsia" w:ascii="宋体" w:hAnsi="宋体" w:cs="宋体"/>
          <w:szCs w:val="21"/>
        </w:rPr>
        <w:t xml:space="preserve">（1）供应商在苏采云系统规定的时间内未成功解密电子响应文件；</w:t>
      </w:r>
      <w:r/>
    </w:p>
    <w:p>
      <w:pPr>
        <w:ind w:firstLine="420"/>
        <w:spacing w:line="360" w:lineRule="auto"/>
        <w:rPr>
          <w:rFonts w:hint="eastAsia" w:ascii="宋体" w:hAnsi="宋体" w:cs="宋体"/>
          <w:szCs w:val="21"/>
        </w:rPr>
      </w:pPr>
      <w:r/>
      <w:bookmarkStart w:id="64" w:name="OLE_LINK9"/>
      <w:r>
        <w:rPr>
          <w:rFonts w:hint="eastAsia" w:ascii="宋体" w:hAnsi="宋体" w:cs="宋体"/>
          <w:szCs w:val="21"/>
        </w:rPr>
        <w:t xml:space="preserve">（2）</w:t>
      </w:r>
      <w:bookmarkEnd w:id="64"/>
      <w:r>
        <w:rPr>
          <w:rFonts w:hint="eastAsia" w:ascii="宋体" w:hAnsi="宋体" w:cs="宋体"/>
          <w:szCs w:val="21"/>
        </w:rPr>
        <w:t xml:space="preserve">供应商未按照竞争性磋商文件要求上传电子响应文件；</w:t>
      </w:r>
      <w:r/>
    </w:p>
    <w:p>
      <w:pPr>
        <w:ind w:firstLine="420"/>
        <w:spacing w:line="360" w:lineRule="auto"/>
        <w:rPr>
          <w:rFonts w:hint="eastAsia" w:ascii="宋体" w:hAnsi="宋体" w:cs="宋体"/>
          <w:szCs w:val="21"/>
        </w:rPr>
      </w:pPr>
      <w:r>
        <w:rPr>
          <w:rFonts w:hint="eastAsia" w:ascii="宋体" w:hAnsi="宋体" w:cs="宋体"/>
          <w:szCs w:val="21"/>
        </w:rPr>
        <w:t xml:space="preserve">（3）响应文件未按照竞争性磋商文件要求加盖电子公章；</w:t>
      </w:r>
      <w:r/>
    </w:p>
    <w:p>
      <w:pPr>
        <w:ind w:firstLine="420"/>
        <w:spacing w:line="360" w:lineRule="auto"/>
        <w:rPr>
          <w:rFonts w:hint="eastAsia" w:ascii="宋体" w:hAnsi="宋体" w:cs="宋体"/>
          <w:szCs w:val="21"/>
        </w:rPr>
      </w:pPr>
      <w:r>
        <w:rPr>
          <w:rFonts w:hint="eastAsia" w:ascii="宋体" w:hAnsi="宋体" w:cs="宋体"/>
          <w:szCs w:val="21"/>
        </w:rPr>
        <w:t xml:space="preserve">（4）同一供应商提交两个（含两个）以上不同的响应文件或者最后报价。</w:t>
      </w:r>
      <w:r/>
    </w:p>
    <w:p>
      <w:pPr>
        <w:ind w:firstLine="420"/>
        <w:spacing w:line="360" w:lineRule="auto"/>
        <w:rPr>
          <w:rFonts w:hint="eastAsia" w:ascii="宋体" w:hAnsi="宋体" w:cs="宋体"/>
          <w:szCs w:val="21"/>
        </w:rPr>
      </w:pPr>
      <w:r>
        <w:rPr>
          <w:rFonts w:hint="eastAsia" w:ascii="宋体" w:hAnsi="宋体" w:cs="宋体"/>
          <w:szCs w:val="21"/>
        </w:rPr>
        <w:t xml:space="preserve">（5）不具备</w:t>
      </w:r>
      <w:r>
        <w:rPr>
          <w:rFonts w:hint="eastAsia" w:ascii="宋体" w:hAnsi="宋体" w:cs="宋体"/>
          <w:szCs w:val="21"/>
        </w:rPr>
        <w:t xml:space="preserve">竞争性磋商文件</w:t>
      </w:r>
      <w:r>
        <w:rPr>
          <w:rFonts w:hint="eastAsia" w:ascii="宋体" w:hAnsi="宋体" w:cs="宋体"/>
          <w:szCs w:val="21"/>
        </w:rPr>
        <w:t xml:space="preserve">中规定实质性要求的；</w:t>
      </w:r>
      <w:r/>
    </w:p>
    <w:p>
      <w:pPr>
        <w:ind w:firstLine="420"/>
        <w:spacing w:line="360" w:lineRule="auto"/>
        <w:rPr>
          <w:rFonts w:hint="eastAsia" w:ascii="宋体" w:hAnsi="宋体" w:cs="宋体"/>
          <w:szCs w:val="21"/>
        </w:rPr>
      </w:pPr>
      <w:r>
        <w:rPr>
          <w:rFonts w:hint="eastAsia" w:ascii="宋体" w:hAnsi="宋体" w:cs="宋体"/>
          <w:szCs w:val="21"/>
        </w:rPr>
        <w:t xml:space="preserve">（6）投标总价超出采购项目预算或者最高限价的；</w:t>
      </w:r>
      <w:r/>
    </w:p>
    <w:p>
      <w:pPr>
        <w:ind w:firstLine="420"/>
        <w:spacing w:line="360" w:lineRule="auto"/>
        <w:rPr>
          <w:rFonts w:hint="eastAsia" w:ascii="宋体" w:hAnsi="宋体" w:cs="宋体"/>
          <w:szCs w:val="21"/>
        </w:rPr>
      </w:pPr>
      <w:r>
        <w:rPr>
          <w:rFonts w:hint="eastAsia" w:ascii="宋体" w:hAnsi="宋体" w:cs="宋体"/>
          <w:szCs w:val="21"/>
        </w:rPr>
        <w:t xml:space="preserve">（7）不同供应商的响应文件由同一单位或者个人编制；</w:t>
      </w:r>
      <w:r/>
    </w:p>
    <w:p>
      <w:pPr>
        <w:ind w:firstLine="420"/>
        <w:spacing w:line="360" w:lineRule="auto"/>
        <w:rPr>
          <w:rFonts w:hint="eastAsia" w:ascii="宋体" w:hAnsi="宋体" w:cs="宋体"/>
          <w:szCs w:val="21"/>
        </w:rPr>
      </w:pPr>
      <w:r>
        <w:rPr>
          <w:rFonts w:hint="eastAsia" w:ascii="宋体" w:hAnsi="宋体" w:cs="宋体"/>
          <w:szCs w:val="21"/>
        </w:rPr>
        <w:t xml:space="preserve">（8）不同供应商委托同一单位或者个人办理投标事宜；</w:t>
      </w:r>
      <w:r/>
    </w:p>
    <w:p>
      <w:pPr>
        <w:ind w:firstLine="420"/>
        <w:spacing w:line="360" w:lineRule="auto"/>
        <w:rPr>
          <w:rFonts w:hint="eastAsia" w:ascii="宋体" w:hAnsi="宋体" w:cs="宋体"/>
          <w:szCs w:val="21"/>
        </w:rPr>
      </w:pPr>
      <w:r>
        <w:rPr>
          <w:rFonts w:hint="eastAsia" w:ascii="宋体" w:hAnsi="宋体" w:cs="宋体"/>
          <w:szCs w:val="21"/>
        </w:rPr>
        <w:t xml:space="preserve">（9）</w:t>
      </w:r>
      <w:bookmarkStart w:id="65" w:name="OLE_LINK7"/>
      <w:r>
        <w:rPr>
          <w:rFonts w:hint="eastAsia" w:ascii="宋体" w:hAnsi="宋体" w:cs="宋体"/>
          <w:szCs w:val="21"/>
        </w:rPr>
        <w:t xml:space="preserve">不同供应商的响应文件载明的项目管理成员或者联系人员为同一人</w:t>
      </w:r>
      <w:bookmarkEnd w:id="65"/>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（10）不同供应商的响应文件异常一致或者投标报价呈规律性差异；</w:t>
      </w:r>
      <w:r/>
    </w:p>
    <w:p>
      <w:pPr>
        <w:ind w:firstLine="420"/>
        <w:spacing w:line="360" w:lineRule="auto"/>
        <w:rPr>
          <w:rFonts w:hint="eastAsia" w:ascii="宋体" w:hAnsi="宋体" w:cs="宋体"/>
          <w:szCs w:val="21"/>
        </w:rPr>
      </w:pPr>
      <w:r>
        <w:rPr>
          <w:rFonts w:hint="eastAsia" w:ascii="宋体" w:hAnsi="宋体" w:cs="宋体"/>
          <w:szCs w:val="21"/>
        </w:rPr>
        <w:t xml:space="preserve">（11）不同供应商的负责人为同一人或者存在控股、管理关系的；</w:t>
      </w:r>
      <w:r/>
    </w:p>
    <w:p>
      <w:pPr>
        <w:ind w:firstLine="420"/>
        <w:spacing w:line="360" w:lineRule="auto"/>
        <w:rPr>
          <w:rFonts w:hint="eastAsia" w:ascii="宋体" w:hAnsi="宋体" w:cs="宋体"/>
          <w:szCs w:val="21"/>
        </w:rPr>
      </w:pPr>
      <w:r>
        <w:rPr>
          <w:rFonts w:hint="eastAsia" w:ascii="宋体" w:hAnsi="宋体" w:cs="宋体"/>
          <w:szCs w:val="21"/>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宋体" w:hAnsi="宋体" w:cs="宋体"/>
          <w:szCs w:val="21"/>
        </w:rPr>
      </w:pPr>
      <w:r>
        <w:rPr>
          <w:rFonts w:hint="eastAsia" w:ascii="宋体" w:hAnsi="宋体" w:cs="宋体"/>
          <w:szCs w:val="21"/>
        </w:rPr>
        <w:t xml:space="preserve">（13）响应文件含有采购人不能接受的附加条件的；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（14）不符合法律、法规和</w:t>
      </w:r>
      <w:r>
        <w:rPr>
          <w:rFonts w:hint="eastAsia" w:ascii="宋体" w:hAnsi="宋体" w:cs="宋体"/>
          <w:szCs w:val="21"/>
        </w:rPr>
        <w:t xml:space="preserve">竞争性磋商文件</w:t>
      </w:r>
      <w:r>
        <w:rPr>
          <w:rFonts w:hint="eastAsia" w:ascii="宋体" w:hAnsi="宋体" w:cs="宋体"/>
          <w:szCs w:val="21"/>
        </w:rPr>
        <w:t xml:space="preserve">规定的其他实质性要求的</w:t>
      </w:r>
      <w:r>
        <w:rPr>
          <w:rFonts w:hint="eastAsia" w:ascii="宋体" w:hAnsi="宋体" w:cs="宋体"/>
          <w:szCs w:val="21"/>
          <w:lang w:val="zh-CN"/>
        </w:rPr>
        <w:t xml:space="preserve">。</w:t>
      </w:r>
      <w:r/>
    </w:p>
    <w:p>
      <w:pPr>
        <w:ind w:firstLine="422"/>
        <w:spacing w:line="360" w:lineRule="auto"/>
        <w:rPr>
          <w:rFonts w:hint="eastAsia" w:ascii="宋体" w:hAnsi="宋体" w:cs="宋体"/>
          <w:b/>
          <w:bCs/>
          <w:szCs w:val="21"/>
        </w:rPr>
      </w:pPr>
      <w:r>
        <w:rPr>
          <w:rFonts w:hint="eastAsia" w:ascii="宋体" w:hAnsi="宋体" w:cs="宋体"/>
          <w:b/>
          <w:bCs/>
          <w:szCs w:val="21"/>
        </w:rPr>
        <w:t xml:space="preserve">18.4出现下列情形之一的磋商终止：</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（1）因情况变化，不再符合规定的竞争性磋商采购方式适用情形的；</w:t>
      </w:r>
      <w:r/>
    </w:p>
    <w:p>
      <w:pPr>
        <w:ind w:firstLine="420"/>
        <w:spacing w:line="360" w:lineRule="auto"/>
        <w:rPr>
          <w:rFonts w:hint="eastAsia" w:ascii="宋体" w:hAnsi="宋体" w:cs="宋体"/>
          <w:szCs w:val="21"/>
          <w:lang w:val="zh-CN"/>
        </w:rPr>
      </w:pPr>
      <w:r/>
      <w:bookmarkStart w:id="66" w:name="OLE_LINK10"/>
      <w:r>
        <w:rPr>
          <w:rFonts w:hint="eastAsia" w:ascii="宋体" w:hAnsi="宋体" w:cs="宋体"/>
          <w:szCs w:val="21"/>
          <w:lang w:val="zh-CN"/>
        </w:rPr>
        <w:t xml:space="preserve">（2）</w:t>
      </w:r>
      <w:bookmarkEnd w:id="66"/>
      <w:r>
        <w:rPr>
          <w:rFonts w:hint="eastAsia" w:ascii="宋体" w:hAnsi="宋体" w:cs="宋体"/>
          <w:szCs w:val="21"/>
          <w:lang w:val="zh-CN"/>
        </w:rPr>
        <w:t xml:space="preserve">出现影响采购公正的违法、违规行为的；</w:t>
      </w:r>
      <w:r/>
    </w:p>
    <w:p>
      <w:pPr>
        <w:ind w:firstLine="420"/>
        <w:spacing w:line="360" w:lineRule="auto"/>
        <w:rPr>
          <w:rFonts w:hint="eastAsia" w:ascii="宋体" w:hAnsi="宋体" w:cs="宋体"/>
          <w:szCs w:val="21"/>
          <w:lang w:val="zh-CN"/>
        </w:rPr>
      </w:pPr>
      <w:r/>
      <w:bookmarkStart w:id="67" w:name="OLE_LINK12"/>
      <w:r>
        <w:rPr>
          <w:rFonts w:hint="eastAsia" w:ascii="宋体" w:hAnsi="宋体" w:cs="宋体"/>
          <w:szCs w:val="21"/>
          <w:lang w:val="zh-CN"/>
        </w:rPr>
        <w:t xml:space="preserve">（3）</w:t>
      </w:r>
      <w:bookmarkEnd w:id="67"/>
      <w:r>
        <w:rPr>
          <w:rFonts w:hint="eastAsia" w:ascii="宋体" w:hAnsi="宋体" w:cs="宋体"/>
          <w:szCs w:val="21"/>
          <w:lang w:val="zh-CN"/>
        </w:rPr>
        <w:t xml:space="preserve">在苏采云系统规定时间内成功解密电子响应文件的供应商不足3家；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（4）除本</w:t>
      </w:r>
      <w:r>
        <w:rPr>
          <w:rFonts w:hint="eastAsia" w:ascii="宋体" w:hAnsi="宋体" w:cs="宋体"/>
          <w:szCs w:val="21"/>
        </w:rPr>
        <w:t xml:space="preserve">竞争性</w:t>
      </w:r>
      <w:r>
        <w:rPr>
          <w:rFonts w:hint="eastAsia" w:ascii="宋体" w:hAnsi="宋体" w:cs="宋体"/>
          <w:szCs w:val="21"/>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（5）因苏采云系统故障造成开标不成功。</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）法律法规规定的其他应当终止情形。</w:t>
      </w:r>
      <w:r/>
    </w:p>
    <w:p>
      <w:pPr>
        <w:ind w:firstLine="420"/>
        <w:spacing w:line="360" w:lineRule="auto"/>
        <w:rPr>
          <w:rFonts w:hint="eastAsia" w:ascii="宋体" w:hAnsi="宋体" w:cs="宋体"/>
          <w:bCs/>
          <w:szCs w:val="21"/>
          <w:lang w:val="zh-CN"/>
        </w:rPr>
      </w:pPr>
      <w:r/>
      <w:bookmarkStart w:id="68" w:name="OLE_LINK39"/>
      <w:r>
        <w:rPr>
          <w:rFonts w:hint="eastAsia" w:ascii="宋体" w:hAnsi="宋体" w:cs="宋体"/>
          <w:szCs w:val="21"/>
        </w:rPr>
        <w:t xml:space="preserve">18</w:t>
      </w:r>
      <w:bookmarkEnd w:id="68"/>
      <w:r>
        <w:rPr>
          <w:rFonts w:hint="eastAsia" w:ascii="宋体" w:hAnsi="宋体" w:cs="宋体"/>
          <w:bCs/>
          <w:szCs w:val="21"/>
          <w:lang w:val="zh-CN"/>
        </w:rPr>
        <w:t xml:space="preserve">.5 未通过资格审查或符合性审查的供应商，磋商小组将通过苏采云系统告知具体原因，评审结束后将不再接受有关询问。</w:t>
      </w:r>
      <w:r/>
    </w:p>
    <w:p>
      <w:pPr>
        <w:ind w:firstLine="420"/>
        <w:spacing w:line="360" w:lineRule="auto"/>
        <w:rPr>
          <w:rFonts w:hint="eastAsia" w:ascii="宋体" w:hAnsi="宋体" w:cs="宋体"/>
          <w:bCs/>
          <w:szCs w:val="21"/>
          <w:lang w:val="zh-CN"/>
        </w:rPr>
      </w:pPr>
      <w:r>
        <w:rPr>
          <w:rFonts w:hint="eastAsia" w:ascii="宋体" w:hAnsi="宋体" w:cs="宋体"/>
          <w:szCs w:val="21"/>
        </w:rPr>
        <w:t xml:space="preserve">18</w:t>
      </w:r>
      <w:r>
        <w:rPr>
          <w:rFonts w:hint="eastAsia" w:ascii="宋体" w:hAnsi="宋体" w:cs="宋体"/>
          <w:bCs/>
          <w:szCs w:val="21"/>
          <w:lang w:val="zh-CN"/>
        </w:rPr>
        <w:t xml:space="preserve">.6供应商在项目评审全过程中应保持通讯畅通，及时登录苏采云系统查阅、答复相关信息，并安排专人与采购代理机构及磋商小组联系。</w:t>
      </w:r>
      <w:r/>
    </w:p>
    <w:p>
      <w:pPr>
        <w:ind w:firstLine="422"/>
        <w:spacing w:line="360" w:lineRule="auto"/>
        <w:rPr>
          <w:rFonts w:hint="eastAsia" w:ascii="宋体" w:hAnsi="宋体" w:cs="宋体"/>
          <w:szCs w:val="21"/>
          <w:lang w:val="zh-CN"/>
        </w:rPr>
      </w:pPr>
      <w:r>
        <w:rPr>
          <w:rFonts w:hint="eastAsia" w:ascii="宋体" w:hAnsi="宋体" w:cs="宋体"/>
          <w:b/>
          <w:szCs w:val="21"/>
          <w:lang w:val="zh-CN"/>
        </w:rPr>
        <w:t xml:space="preserve">19.磋商程序</w:t>
      </w:r>
      <w:r/>
    </w:p>
    <w:p>
      <w:pPr>
        <w:ind w:firstLine="420"/>
        <w:spacing w:line="360" w:lineRule="auto"/>
        <w:rPr>
          <w:rFonts w:hint="eastAsia" w:ascii="宋体" w:hAnsi="宋体" w:cs="宋体"/>
          <w:bCs/>
          <w:szCs w:val="21"/>
          <w:lang w:val="zh-CN"/>
        </w:rPr>
      </w:pPr>
      <w:r/>
      <w:bookmarkStart w:id="69" w:name="OLE_LINK41"/>
      <w:r>
        <w:rPr>
          <w:rFonts w:hint="eastAsia" w:ascii="宋体" w:hAnsi="宋体" w:cs="宋体"/>
          <w:bCs/>
          <w:szCs w:val="21"/>
          <w:lang w:val="zh-CN"/>
        </w:rPr>
        <w:t xml:space="preserve">19</w:t>
      </w:r>
      <w:bookmarkEnd w:id="69"/>
      <w:r>
        <w:rPr>
          <w:rFonts w:hint="eastAsia" w:ascii="宋体" w:hAnsi="宋体" w:cs="宋体"/>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在磋商过程中，磋商小组可能根据磋商情况对</w:t>
      </w:r>
      <w:r>
        <w:rPr>
          <w:rFonts w:hint="eastAsia" w:ascii="宋体" w:hAnsi="宋体" w:cs="宋体"/>
          <w:bCs/>
          <w:szCs w:val="21"/>
        </w:rPr>
        <w:t xml:space="preserve">竞争性</w:t>
      </w:r>
      <w:r>
        <w:rPr>
          <w:rFonts w:hint="eastAsia" w:ascii="宋体" w:hAnsi="宋体" w:cs="宋体"/>
          <w:bCs/>
          <w:szCs w:val="21"/>
          <w:lang w:val="zh-CN"/>
        </w:rPr>
        <w:t xml:space="preserve">磋商文件进行实质性变动的内容包括：采购需求中的技术、服务要求以及合同草案条款。对</w:t>
      </w:r>
      <w:r>
        <w:rPr>
          <w:rFonts w:hint="eastAsia" w:ascii="宋体" w:hAnsi="宋体" w:cs="宋体"/>
          <w:bCs/>
          <w:szCs w:val="21"/>
        </w:rPr>
        <w:t xml:space="preserve">竞争性</w:t>
      </w:r>
      <w:r>
        <w:rPr>
          <w:rFonts w:hint="eastAsia" w:ascii="宋体" w:hAnsi="宋体" w:cs="宋体"/>
          <w:bCs/>
          <w:szCs w:val="21"/>
          <w:lang w:val="zh-CN"/>
        </w:rPr>
        <w:t xml:space="preserve">磋商文件作出的实质性变动是</w:t>
      </w:r>
      <w:r>
        <w:rPr>
          <w:rFonts w:hint="eastAsia" w:ascii="宋体" w:hAnsi="宋体" w:cs="宋体"/>
          <w:bCs/>
          <w:szCs w:val="21"/>
        </w:rPr>
        <w:t xml:space="preserve">竞争性</w:t>
      </w:r>
      <w:r>
        <w:rPr>
          <w:rFonts w:hint="eastAsia" w:ascii="宋体" w:hAnsi="宋体" w:cs="宋体"/>
          <w:bCs/>
          <w:szCs w:val="21"/>
          <w:lang w:val="zh-CN"/>
        </w:rPr>
        <w:t xml:space="preserve">磋商文件的有效组成部分，磋商小组将在苏采云系统中通知所有参加磋商的供应商。供应商应当按照</w:t>
      </w:r>
      <w:r>
        <w:rPr>
          <w:rFonts w:hint="eastAsia" w:ascii="宋体" w:hAnsi="宋体" w:cs="宋体"/>
          <w:bCs/>
          <w:szCs w:val="21"/>
        </w:rPr>
        <w:t xml:space="preserve">竞争性</w:t>
      </w:r>
      <w:r>
        <w:rPr>
          <w:rFonts w:hint="eastAsia" w:ascii="宋体" w:hAnsi="宋体" w:cs="宋体"/>
          <w:bCs/>
          <w:szCs w:val="21"/>
          <w:lang w:val="zh-CN"/>
        </w:rPr>
        <w:t xml:space="preserve">磋商文件的变动情况和磋商小组的要求在苏采云系统中重新提交响应文件，并加盖电子公章。</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19.2 </w:t>
      </w:r>
      <w:r>
        <w:rPr>
          <w:rFonts w:hint="eastAsia" w:ascii="宋体" w:hAnsi="宋体" w:cs="宋体"/>
          <w:bCs/>
          <w:szCs w:val="21"/>
        </w:rPr>
        <w:t xml:space="preserve">竞争性</w:t>
      </w:r>
      <w:r>
        <w:rPr>
          <w:rFonts w:hint="eastAsia" w:ascii="宋体" w:hAnsi="宋体" w:cs="宋体"/>
          <w:bCs/>
          <w:szCs w:val="21"/>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19.3最后报价是供应商响应文件的有效组成部分。</w:t>
      </w:r>
      <w:r>
        <w:rPr>
          <w:rFonts w:hint="eastAsia" w:ascii="宋体" w:hAnsi="宋体" w:cs="宋体"/>
          <w:szCs w:val="21"/>
          <w:lang w:val="zh-CN"/>
        </w:rPr>
        <w:t xml:space="preserve">提交最后报价的供应商不得少于3家，其中</w:t>
      </w:r>
      <w:r>
        <w:rPr>
          <w:rFonts w:hint="eastAsia" w:ascii="宋体" w:hAnsi="宋体" w:cs="宋体"/>
          <w:bCs/>
          <w:szCs w:val="21"/>
          <w:lang w:val="zh-CN"/>
        </w:rPr>
        <w:t xml:space="preserve">政府购买服务项目(含政府和社会资本合作项目)、市场竞争不充分的科研项目以及需要扶持的科技成果转化项目，在采购过程中</w:t>
      </w:r>
      <w:r>
        <w:rPr>
          <w:rFonts w:hint="eastAsia" w:ascii="宋体" w:hAnsi="宋体" w:cs="宋体"/>
          <w:szCs w:val="21"/>
        </w:rPr>
        <w:t xml:space="preserve">符合要求的供应商（社会资本)只有 2 家的，竞争性磋商采购活动可以继续进行</w:t>
      </w:r>
      <w:r>
        <w:rPr>
          <w:rFonts w:hint="eastAsia" w:ascii="宋体" w:hAnsi="宋体" w:cs="宋体"/>
          <w:bCs/>
          <w:szCs w:val="21"/>
          <w:lang w:val="zh-CN"/>
        </w:rPr>
        <w:t xml:space="preserve">。</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Cs/>
          <w:szCs w:val="21"/>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bookmarkStart w:id="70" w:name="_Hlk77847403"/>
      <w:r/>
      <w:bookmarkStart w:id="71" w:name="_Hlk80023568"/>
      <w:r/>
      <w:bookmarkStart w:id="72" w:name="_Hlk77847492"/>
      <w:r/>
      <w:r/>
    </w:p>
    <w:p>
      <w:pPr>
        <w:ind w:firstLine="422"/>
        <w:spacing w:line="360" w:lineRule="auto"/>
        <w:rPr>
          <w:rFonts w:hint="eastAsia" w:ascii="宋体" w:hAnsi="宋体" w:cs="宋体"/>
          <w:b/>
          <w:szCs w:val="21"/>
          <w:lang w:val="zh-CN"/>
        </w:rPr>
      </w:pPr>
      <w:r>
        <w:rPr>
          <w:rFonts w:hint="eastAsia" w:ascii="宋体" w:hAnsi="宋体" w:cs="宋体"/>
          <w:b/>
          <w:bCs/>
          <w:szCs w:val="21"/>
          <w:lang w:val="zh-CN"/>
        </w:rPr>
        <w:t xml:space="preserve">20.评分方法和标准</w:t>
      </w:r>
      <w:r/>
    </w:p>
    <w:p>
      <w:pPr>
        <w:ind w:firstLine="420"/>
        <w:spacing w:line="360" w:lineRule="auto"/>
        <w:widowControl/>
        <w:rPr>
          <w:rFonts w:hint="eastAsia" w:ascii="宋体" w:hAnsi="宋体" w:cs="宋体"/>
          <w:szCs w:val="21"/>
          <w:lang w:val="zh-CN"/>
        </w:rPr>
      </w:pPr>
      <w:r>
        <w:rPr>
          <w:rFonts w:hint="eastAsia" w:ascii="宋体" w:hAnsi="宋体" w:cs="宋体"/>
          <w:bCs/>
          <w:szCs w:val="21"/>
          <w:lang w:val="zh-CN"/>
        </w:rPr>
        <w:t xml:space="preserve">20.1 </w:t>
      </w:r>
      <w:r>
        <w:rPr>
          <w:rFonts w:hint="eastAsia" w:ascii="宋体" w:hAnsi="宋体" w:cs="宋体"/>
          <w:szCs w:val="21"/>
        </w:rPr>
        <w:t xml:space="preserve">本次</w:t>
      </w:r>
      <w:r>
        <w:rPr>
          <w:rFonts w:hint="eastAsia" w:ascii="宋体" w:hAnsi="宋体" w:cs="宋体"/>
          <w:szCs w:val="21"/>
        </w:rPr>
        <w:t xml:space="preserve">采购</w:t>
      </w:r>
      <w:r>
        <w:rPr>
          <w:rFonts w:hint="eastAsia" w:ascii="宋体" w:hAnsi="宋体" w:cs="宋体"/>
          <w:szCs w:val="21"/>
          <w:lang w:val="zh-CN"/>
        </w:rPr>
        <w:t xml:space="preserve">采用综合评分法。</w:t>
      </w:r>
      <w:r>
        <w:rPr>
          <w:rFonts w:hint="eastAsia" w:ascii="宋体" w:hAnsi="宋体" w:cs="宋体"/>
          <w:szCs w:val="21"/>
        </w:rPr>
        <w:t xml:space="preserve">评标方法和标准，详见本竞争性磋商文件第三章。</w:t>
      </w:r>
      <w:r/>
    </w:p>
    <w:p>
      <w:pPr>
        <w:ind w:firstLine="420"/>
        <w:spacing w:line="360" w:lineRule="auto"/>
        <w:widowControl/>
        <w:rPr>
          <w:rFonts w:hint="eastAsia" w:ascii="宋体" w:hAnsi="宋体" w:cs="宋体"/>
          <w:bCs/>
          <w:szCs w:val="21"/>
          <w:lang w:val="zh-CN"/>
        </w:rPr>
      </w:pPr>
      <w:r>
        <w:rPr>
          <w:rFonts w:hint="eastAsia" w:ascii="宋体" w:hAnsi="宋体" w:cs="宋体"/>
          <w:szCs w:val="21"/>
        </w:rPr>
        <w:t xml:space="preserve">20.2 综合评分法，是指在响应文件满足竞争性磋商文件实质性要求前提下，按照竞争性磋商文件中规定的各项因素进行综合评审后，以评审总得分最高的供应商作为成交候选供应商或者成交供应商的评分方法。</w:t>
      </w:r>
      <w:r/>
    </w:p>
    <w:p>
      <w:pPr>
        <w:ind w:firstLine="422"/>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21.确定成交供应商</w:t>
      </w:r>
      <w:r/>
    </w:p>
    <w:p>
      <w:pPr>
        <w:ind w:firstLine="420"/>
        <w:spacing w:line="360" w:lineRule="auto"/>
        <w:shd w:val="clear" w:color="auto" w:fill="ffffff"/>
        <w:widowControl/>
        <w:rPr>
          <w:rFonts w:hint="eastAsia" w:ascii="宋体" w:hAnsi="宋体" w:cs="宋体"/>
          <w:szCs w:val="21"/>
        </w:rPr>
      </w:pPr>
      <w:r/>
      <w:bookmarkStart w:id="73" w:name="_Hlk128059633"/>
      <w:r>
        <w:rPr>
          <w:rFonts w:hint="eastAsia" w:ascii="宋体" w:hAnsi="宋体" w:cs="宋体"/>
          <w:szCs w:val="21"/>
        </w:rPr>
        <w:t xml:space="preserve">21.1综合比较与评价后按照得分高低顺序对供应商进行排列。评审得分相同的，按照最后报价由低到高顺序排列。评审得分且最后报价相同的，按商务指标优劣顺序排列。</w:t>
      </w:r>
      <w:bookmarkStart w:id="74" w:name="_Hlk44576618"/>
      <w:r>
        <w:rPr>
          <w:rFonts w:hint="eastAsia" w:ascii="宋体" w:hAnsi="宋体" w:cs="宋体"/>
          <w:color w:val="000000" w:themeColor="text1"/>
          <w:szCs w:val="21"/>
          <w14:textFill>
            <w14:solidFill>
              <w14:schemeClr w14:val="tx1"/>
            </w14:solidFill>
          </w14:textFill>
        </w:rPr>
        <w:t xml:space="preserve">响应文件满足</w:t>
      </w:r>
      <w:r>
        <w:rPr>
          <w:rFonts w:hint="eastAsia" w:ascii="宋体" w:hAnsi="宋体" w:cs="宋体"/>
          <w:szCs w:val="21"/>
        </w:rPr>
        <w:t xml:space="preserve">竞争性磋商文件</w:t>
      </w:r>
      <w:r>
        <w:rPr>
          <w:rFonts w:hint="eastAsia" w:ascii="宋体" w:hAnsi="宋体" w:cs="宋体"/>
          <w:color w:val="000000" w:themeColor="text1"/>
          <w:szCs w:val="21"/>
          <w14:textFill>
            <w14:solidFill>
              <w14:schemeClr w14:val="tx1"/>
            </w14:solidFill>
          </w14:textFill>
        </w:rPr>
        <w:t xml:space="preserve">全部实质性要求</w:t>
      </w:r>
      <w:bookmarkEnd w:id="74"/>
      <w:r>
        <w:rPr>
          <w:rFonts w:hint="eastAsia" w:ascii="宋体" w:hAnsi="宋体" w:cs="宋体"/>
          <w:color w:val="000000" w:themeColor="text1"/>
          <w:szCs w:val="21"/>
          <w14:textFill>
            <w14:solidFill>
              <w14:schemeClr w14:val="tx1"/>
            </w14:solidFill>
          </w14:textFill>
        </w:rPr>
        <w:t xml:space="preserve">且按照评审因素的量化指标评审得分最高的供应商为排名第一的成交供应商，经采购人授权，</w:t>
      </w:r>
      <w:r>
        <w:rPr>
          <w:rFonts w:hint="eastAsia" w:ascii="宋体" w:hAnsi="宋体" w:cs="宋体"/>
          <w:szCs w:val="21"/>
        </w:rPr>
        <w:t xml:space="preserve">磋商小组将综合排名第一的成交候选供应商确定为成交供应商。</w:t>
      </w:r>
      <w:bookmarkEnd w:id="73"/>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21.2 </w:t>
      </w:r>
      <w:r>
        <w:rPr>
          <w:rFonts w:hint="eastAsia" w:ascii="宋体" w:hAnsi="宋体" w:cs="宋体"/>
          <w:szCs w:val="21"/>
        </w:rPr>
        <w:t xml:space="preserve">采购代理机构将在“江苏政府采购网”发布成交结果公告，公告期限为1个工作日。</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22.成交通知书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 成交供应商在领取成交通知书时，需向采购代理机构提供纸质版响应文件一式叁份（盖章版本），响应文件提倡按照A4幅面打印或复印并进行装订（采用胶装形式递交）。</w:t>
      </w:r>
      <w:r/>
    </w:p>
    <w:p>
      <w:pPr>
        <w:ind w:firstLine="42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p>
    <w:p>
      <w:pPr>
        <w:ind w:firstLine="422"/>
        <w:spacing w:line="360" w:lineRule="auto"/>
        <w:rPr>
          <w:rFonts w:hint="eastAsia" w:ascii="宋体" w:hAnsi="宋体" w:cs="宋体"/>
          <w:b/>
          <w:bCs/>
          <w:szCs w:val="21"/>
          <w:lang w:val="zh-CN"/>
        </w:rPr>
      </w:pPr>
      <w:r>
        <w:rPr>
          <w:rFonts w:hint="eastAsia" w:ascii="宋体" w:hAnsi="宋体" w:cs="宋体"/>
          <w:b/>
          <w:szCs w:val="21"/>
          <w:lang w:val="zh-CN"/>
        </w:rPr>
        <w:t xml:space="preserve">23. </w:t>
      </w:r>
      <w:r>
        <w:rPr>
          <w:rFonts w:hint="eastAsia" w:ascii="宋体" w:hAnsi="宋体" w:cs="宋体"/>
          <w:b/>
          <w:bCs/>
          <w:szCs w:val="21"/>
          <w:lang w:val="zh-CN"/>
        </w:rPr>
        <w:t xml:space="preserve">签订合同</w:t>
      </w:r>
      <w:r/>
    </w:p>
    <w:p>
      <w:pPr>
        <w:ind w:firstLine="420"/>
        <w:spacing w:line="360" w:lineRule="auto"/>
        <w:rPr>
          <w:rFonts w:hint="eastAsia" w:ascii="宋体" w:hAnsi="宋体" w:cs="宋体"/>
          <w:szCs w:val="21"/>
        </w:rPr>
      </w:pPr>
      <w:r/>
      <w:bookmarkStart w:id="75" w:name="OLE_LINK42"/>
      <w:r>
        <w:rPr>
          <w:rFonts w:hint="eastAsia" w:ascii="宋体" w:hAnsi="宋体" w:cs="宋体"/>
          <w:szCs w:val="21"/>
        </w:rPr>
        <w:t xml:space="preserve">23</w:t>
      </w:r>
      <w:bookmarkEnd w:id="75"/>
      <w:r>
        <w:rPr>
          <w:rFonts w:hint="eastAsia" w:ascii="宋体" w:hAnsi="宋体" w:cs="宋体"/>
          <w:szCs w:val="21"/>
          <w:lang w:val="zh-CN"/>
        </w:rPr>
        <w:t xml:space="preserve">.</w:t>
      </w:r>
      <w:r>
        <w:rPr>
          <w:rFonts w:hint="eastAsia" w:ascii="宋体" w:hAnsi="宋体" w:cs="宋体"/>
          <w:szCs w:val="21"/>
        </w:rPr>
        <w:t xml:space="preserve">1 成交供应商应当</w:t>
      </w:r>
      <w:r>
        <w:rPr>
          <w:rFonts w:hint="eastAsia" w:ascii="宋体" w:hAnsi="宋体" w:cs="宋体"/>
          <w:szCs w:val="21"/>
          <w:lang w:val="zh-CN"/>
        </w:rPr>
        <w:t xml:space="preserve">自成交通知书发出之日起30日内，</w:t>
      </w:r>
      <w:r>
        <w:rPr>
          <w:rFonts w:hint="eastAsia" w:ascii="宋体" w:hAnsi="宋体" w:cs="宋体"/>
          <w:szCs w:val="21"/>
        </w:rPr>
        <w:t xml:space="preserve">与采购人签订合同，所签订的合同不得对竞争性磋商文件和响应文件作实质性修改。</w:t>
      </w:r>
      <w:r/>
    </w:p>
    <w:p>
      <w:pPr>
        <w:ind w:firstLine="420"/>
        <w:spacing w:line="360" w:lineRule="auto"/>
        <w:rPr>
          <w:rFonts w:hint="eastAsia" w:ascii="宋体" w:hAnsi="宋体" w:cs="宋体"/>
          <w:szCs w:val="21"/>
          <w:lang w:val="zh-CN"/>
        </w:rPr>
      </w:pPr>
      <w:r>
        <w:rPr>
          <w:rFonts w:hint="eastAsia" w:ascii="宋体" w:hAnsi="宋体" w:cs="宋体"/>
          <w:szCs w:val="21"/>
        </w:rPr>
        <w:t xml:space="preserve">23</w:t>
      </w:r>
      <w:r>
        <w:rPr>
          <w:rFonts w:hint="eastAsia" w:ascii="宋体" w:hAnsi="宋体" w:cs="宋体"/>
          <w:szCs w:val="21"/>
          <w:lang w:val="zh-CN"/>
        </w:rPr>
        <w:t xml:space="preserve">.2 竞争性磋商文件、成交供应商的响应文件及磋商过程中有关澄清、承诺文件均作为合同附件。</w:t>
      </w:r>
      <w:r/>
    </w:p>
    <w:p>
      <w:pPr>
        <w:ind w:firstLine="420"/>
        <w:spacing w:line="360" w:lineRule="auto"/>
        <w:rPr>
          <w:rFonts w:hint="eastAsia" w:ascii="宋体" w:hAnsi="宋体" w:cs="宋体"/>
          <w:szCs w:val="21"/>
        </w:rPr>
      </w:pPr>
      <w:r>
        <w:rPr>
          <w:rFonts w:hint="eastAsia" w:ascii="宋体" w:hAnsi="宋体" w:cs="宋体"/>
          <w:szCs w:val="21"/>
        </w:rPr>
        <w:t xml:space="preserve">23</w:t>
      </w:r>
      <w:r>
        <w:rPr>
          <w:rFonts w:hint="eastAsia" w:ascii="宋体" w:hAnsi="宋体" w:cs="宋体"/>
          <w:szCs w:val="21"/>
          <w:lang w:val="zh-CN"/>
        </w:rPr>
        <w:t xml:space="preserve">.3 </w:t>
      </w:r>
      <w:r>
        <w:rPr>
          <w:rFonts w:hint="eastAsia" w:ascii="宋体" w:hAnsi="宋体" w:cs="宋体"/>
          <w:szCs w:val="21"/>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cs="宋体"/>
          <w:szCs w:val="21"/>
        </w:rPr>
      </w:pPr>
      <w:r>
        <w:rPr>
          <w:rFonts w:hint="eastAsia" w:ascii="宋体" w:hAnsi="宋体" w:cs="宋体"/>
          <w:szCs w:val="21"/>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宋体" w:hAnsi="宋体" w:cs="宋体"/>
          <w:szCs w:val="21"/>
          <w:lang w:val="zh-CN"/>
        </w:rPr>
      </w:pPr>
      <w:r>
        <w:rPr>
          <w:rFonts w:hint="eastAsia" w:ascii="宋体" w:hAnsi="宋体" w:cs="宋体"/>
          <w:szCs w:val="21"/>
        </w:rPr>
        <w:t xml:space="preserve">23.5 </w:t>
      </w:r>
      <w:r>
        <w:rPr>
          <w:rFonts w:hint="eastAsia" w:ascii="宋体" w:hAnsi="宋体" w:cs="宋体"/>
          <w:szCs w:val="21"/>
          <w:lang w:val="zh-CN"/>
        </w:rPr>
        <w:t xml:space="preserve">成交供应商因不可抗力或者自身原因不能履行合同的，采购人可以视情与排位在成交供应商之后第一位的成交候选供应商签订合同，</w:t>
      </w:r>
      <w:r>
        <w:rPr>
          <w:rFonts w:hint="eastAsia" w:ascii="宋体" w:hAnsi="宋体" w:cs="宋体"/>
          <w:szCs w:val="21"/>
        </w:rPr>
        <w:t xml:space="preserve">也可以重新开展政府采购活动。</w:t>
      </w:r>
      <w:r/>
    </w:p>
    <w:p>
      <w:pPr>
        <w:ind w:firstLine="420"/>
        <w:spacing w:line="360" w:lineRule="auto"/>
        <w:rPr>
          <w:rFonts w:hint="eastAsia" w:ascii="宋体" w:hAnsi="宋体" w:cs="宋体"/>
          <w:szCs w:val="21"/>
          <w:lang w:val="zh-CN"/>
        </w:rPr>
      </w:pPr>
      <w:r>
        <w:rPr>
          <w:rFonts w:hint="eastAsia" w:ascii="宋体" w:hAnsi="宋体" w:cs="宋体"/>
          <w:szCs w:val="21"/>
        </w:rPr>
        <w:t xml:space="preserve">23</w:t>
      </w:r>
      <w:r>
        <w:rPr>
          <w:rFonts w:hint="eastAsia" w:ascii="宋体" w:hAnsi="宋体" w:cs="宋体"/>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七、质疑与投诉</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 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24.1供应商对</w:t>
      </w:r>
      <w:r>
        <w:rPr>
          <w:rFonts w:hint="eastAsia" w:ascii="宋体" w:hAnsi="宋体" w:cs="宋体"/>
          <w:szCs w:val="21"/>
        </w:rPr>
        <w:t xml:space="preserve">采购</w:t>
      </w:r>
      <w:r>
        <w:rPr>
          <w:rFonts w:hint="eastAsia" w:ascii="宋体" w:hAnsi="宋体" w:cs="宋体"/>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24.2提出质疑的供应商应当是参与所质疑项目采购活动的供应商。潜在供应商已依法获取其可质疑的</w:t>
      </w:r>
      <w:r>
        <w:rPr>
          <w:rFonts w:hint="eastAsia" w:ascii="宋体" w:hAnsi="宋体" w:cs="宋体"/>
          <w:szCs w:val="21"/>
        </w:rPr>
        <w:t xml:space="preserve">竞争性磋商</w:t>
      </w:r>
      <w:r>
        <w:rPr>
          <w:rFonts w:hint="eastAsia" w:ascii="宋体" w:hAnsi="宋体" w:cs="宋体"/>
          <w:szCs w:val="21"/>
        </w:rPr>
        <w:t xml:space="preserve">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24.3供应商认为</w:t>
      </w:r>
      <w:r>
        <w:rPr>
          <w:rFonts w:hint="eastAsia" w:ascii="宋体" w:hAnsi="宋体" w:cs="宋体"/>
          <w:szCs w:val="21"/>
        </w:rPr>
        <w:t xml:space="preserve">竞争性磋商</w:t>
      </w:r>
      <w:r>
        <w:rPr>
          <w:rFonts w:hint="eastAsia" w:ascii="宋体" w:hAnsi="宋体" w:cs="宋体"/>
          <w:szCs w:val="21"/>
        </w:rPr>
        <w:t xml:space="preserve">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w:t>
      </w:r>
      <w:bookmarkStart w:id="76" w:name="OLE_LINK8"/>
      <w:r>
        <w:rPr>
          <w:rFonts w:hint="eastAsia" w:ascii="宋体" w:hAnsi="宋体" w:cs="宋体"/>
          <w:szCs w:val="21"/>
        </w:rPr>
        <w:t xml:space="preserve">竞争性磋商文件</w:t>
      </w:r>
      <w:bookmarkEnd w:id="76"/>
      <w:r>
        <w:rPr>
          <w:rFonts w:hint="eastAsia" w:ascii="宋体" w:hAnsi="宋体" w:cs="宋体"/>
          <w:szCs w:val="21"/>
        </w:rPr>
        <w:t xml:space="preserve">提出质疑的，应当在获取</w:t>
      </w:r>
      <w:r>
        <w:rPr>
          <w:rFonts w:hint="eastAsia" w:ascii="宋体" w:hAnsi="宋体" w:cs="宋体"/>
          <w:szCs w:val="21"/>
        </w:rPr>
        <w:t xml:space="preserve">竞争性磋商</w:t>
      </w:r>
      <w:r>
        <w:rPr>
          <w:rFonts w:hint="eastAsia" w:ascii="宋体" w:hAnsi="宋体" w:cs="宋体"/>
          <w:szCs w:val="21"/>
        </w:rPr>
        <w:t xml:space="preserve">文件或者</w:t>
      </w:r>
      <w:r>
        <w:rPr>
          <w:rFonts w:hint="eastAsia" w:ascii="宋体" w:hAnsi="宋体" w:cs="宋体"/>
          <w:szCs w:val="21"/>
        </w:rPr>
        <w:t xml:space="preserve">竞争性磋商</w:t>
      </w:r>
      <w:r>
        <w:rPr>
          <w:rFonts w:hint="eastAsia" w:ascii="宋体" w:hAnsi="宋体" w:cs="宋体"/>
          <w:szCs w:val="21"/>
        </w:rPr>
        <w:t xml:space="preserve">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24.4 供应商提出质疑应当按照《政府采购质疑和投诉办法》的规定提交质疑函和必要的证明材料。质疑函应当包括下列内容：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　  （1）供应商的姓名或者名称、地址、邮编、联系人及联系电话；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24.7采购代理机构在收到供应商的书面质疑后将及时组织调查核实，在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作出答复，并以书面或在网站公告形式通知质疑供应商和其他有关供应商，答复的内容不涉及商业秘密。</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25.投诉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25.2 供应商投诉应当有明确的请求和必要的证明材料。供应商投诉的事项不得超出已质疑事项的范围。</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25.3 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25.4 投诉人在全国范围12个月内三次以上投诉查无实据的，由财政部门列入不良行为记录名单。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25.5 投诉人有下列行为之一的，属于虚假、恶意投诉，由财政部门列入不良行为记录名单，禁止其1至3年内参加政府采购活动：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（1）捏造事实；</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（2）提供虚假材料；</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ascii="宋体" w:hAnsi="宋体" w:cs="宋体"/>
          <w:b/>
          <w:szCs w:val="21"/>
          <w:lang w:val="zh-CN"/>
        </w:rPr>
      </w:pPr>
      <w:r>
        <w:rPr>
          <w:rFonts w:hint="eastAsia" w:ascii="宋体" w:hAnsi="宋体" w:cs="宋体"/>
          <w:b/>
          <w:szCs w:val="21"/>
        </w:rPr>
        <w:t xml:space="preserve">八</w:t>
      </w:r>
      <w:r>
        <w:rPr>
          <w:rFonts w:hint="eastAsia" w:ascii="宋体" w:hAnsi="宋体" w:cs="宋体"/>
          <w:b/>
          <w:szCs w:val="21"/>
          <w:lang w:val="zh-CN"/>
        </w:rPr>
        <w:t xml:space="preserve">、磋商费用</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26. </w:t>
      </w:r>
      <w:bookmarkStart w:id="77" w:name="OLE_LINK18"/>
      <w:r>
        <w:rPr>
          <w:rFonts w:hint="eastAsia" w:ascii="宋体" w:hAnsi="宋体" w:cs="宋体"/>
          <w:b/>
          <w:szCs w:val="21"/>
          <w:lang w:val="zh-CN"/>
        </w:rPr>
        <w:t xml:space="preserve">磋商费用</w:t>
      </w:r>
      <w:bookmarkEnd w:id="77"/>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26.1 供应商应承担所有与准备和参加磋商有关的费用，无论采购结果如何，采购代理机构和采购人在任何情况下均无义务和责任承担这些费用。</w:t>
      </w:r>
      <w:r/>
    </w:p>
    <w:p>
      <w:pPr>
        <w:ind w:firstLine="420"/>
        <w:jc w:val="left"/>
        <w:spacing w:line="360" w:lineRule="auto"/>
        <w:rPr>
          <w:rFonts w:hint="eastAsia" w:ascii="宋体" w:hAnsi="宋体" w:cs="宋体"/>
          <w:szCs w:val="21"/>
        </w:rPr>
      </w:pPr>
      <w:r>
        <w:rPr>
          <w:rFonts w:hint="eastAsia" w:ascii="宋体" w:hAnsi="宋体" w:cs="宋体"/>
          <w:szCs w:val="21"/>
          <w:lang w:val="zh-CN"/>
        </w:rPr>
        <w:t xml:space="preserve">26.2 本次采购，</w:t>
      </w:r>
      <w:r>
        <w:rPr>
          <w:rFonts w:hint="eastAsia" w:ascii="宋体" w:hAnsi="宋体" w:cs="宋体"/>
          <w:szCs w:val="21"/>
        </w:rPr>
        <w:t xml:space="preserve">成交供应商按照预算根据《招标代理服务收费管理暂行办法》（国家发展计划委员会计价格【2002】1980号）招标收费基准费率计算，在领取成交通知书前向采购代理机构支付采购代理服务费。本项费用无需在投标报价表中单列。</w:t>
      </w:r>
      <w:r/>
    </w:p>
    <w:p>
      <w:pPr>
        <w:pStyle w:val="912"/>
        <w:ind w:left="0" w:firstLine="420"/>
        <w:spacing w:line="360" w:lineRule="auto"/>
        <w:rPr>
          <w:rFonts w:hint="eastAsia" w:ascii="宋体" w:hAnsi="宋体" w:cs="宋体"/>
          <w:szCs w:val="21"/>
        </w:rPr>
      </w:pPr>
      <w:r>
        <w:rPr>
          <w:rFonts w:hint="eastAsia" w:ascii="宋体" w:hAnsi="宋体" w:cs="宋体"/>
          <w:szCs w:val="21"/>
        </w:rPr>
        <w:t xml:space="preserve"> 代理服务费汇款信息：单位名称：江苏国采工程咨询有限公司</w:t>
      </w:r>
      <w:r/>
    </w:p>
    <w:p>
      <w:pPr>
        <w:pStyle w:val="912"/>
        <w:ind w:left="0" w:firstLine="420"/>
        <w:spacing w:line="360" w:lineRule="auto"/>
        <w:rPr>
          <w:rFonts w:hint="eastAsia" w:ascii="宋体" w:hAnsi="宋体" w:cs="宋体"/>
          <w:szCs w:val="21"/>
        </w:rPr>
      </w:pPr>
      <w:r>
        <w:rPr>
          <w:rFonts w:hint="eastAsia" w:ascii="宋体" w:hAnsi="宋体" w:cs="宋体"/>
          <w:szCs w:val="21"/>
        </w:rPr>
        <w:t xml:space="preserve"> 银行账户：3205 0159 5536 0000 1231</w:t>
      </w:r>
      <w:r/>
    </w:p>
    <w:p>
      <w:pPr>
        <w:pStyle w:val="912"/>
        <w:ind w:left="0" w:firstLine="420"/>
        <w:spacing w:line="360" w:lineRule="auto"/>
        <w:rPr>
          <w:rFonts w:hint="eastAsia" w:ascii="宋体" w:hAnsi="宋体" w:cs="宋体"/>
          <w:szCs w:val="21"/>
        </w:rPr>
      </w:pPr>
      <w:r>
        <w:rPr>
          <w:rFonts w:hint="eastAsia" w:ascii="宋体" w:hAnsi="宋体" w:cs="宋体"/>
          <w:szCs w:val="21"/>
        </w:rPr>
        <w:t xml:space="preserve"> 开户行：中国建设银行股份有限公司南京鼓楼支行</w:t>
      </w:r>
      <w:r/>
    </w:p>
    <w:p>
      <w:pPr>
        <w:ind w:firstLine="422"/>
        <w:spacing w:line="360" w:lineRule="auto"/>
        <w:rPr>
          <w:rFonts w:hint="eastAsia" w:asciiTheme="minorEastAsia" w:hAnsiTheme="minorEastAsia" w:eastAsiaTheme="minorEastAsia"/>
          <w:b/>
          <w:bCs/>
          <w:szCs w:val="21"/>
        </w:rPr>
      </w:pPr>
      <w:r>
        <w:rPr>
          <w:rFonts w:hint="eastAsia" w:ascii="宋体" w:hAnsi="宋体" w:cs="宋体"/>
          <w:b/>
          <w:bCs/>
          <w:szCs w:val="21"/>
        </w:rPr>
        <w:t xml:space="preserve">注：代理服务费汇款时需备注汇款单位名称、项目名称、项目编号。</w:t>
      </w:r>
      <w:r/>
    </w:p>
    <w:p>
      <w:pPr>
        <w:ind w:left="210" w:right="210" w:firstLine="422"/>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r>
      <w:r/>
    </w:p>
    <w:p>
      <w:pPr>
        <w:ind w:left="210" w:right="210" w:firstLine="422"/>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r>
      <w:r/>
    </w:p>
    <w:p>
      <w:pPr>
        <w:ind w:left="210" w:right="210" w:firstLine="422"/>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r>
      <w:r/>
    </w:p>
    <w:p>
      <w:pPr>
        <w:ind w:left="210" w:right="210" w:firstLine="422"/>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r>
      <w:r/>
    </w:p>
    <w:p>
      <w:pPr>
        <w:ind w:left="210" w:right="210" w:firstLine="422"/>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r>
      <w:r/>
    </w:p>
    <w:p>
      <w:pPr>
        <w:ind w:left="210" w:right="210" w:firstLine="422"/>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r>
      <w:bookmarkEnd w:id="70"/>
      <w:r/>
      <w:bookmarkEnd w:id="71"/>
      <w:r/>
      <w:bookmarkEnd w:id="72"/>
      <w:r/>
      <w:r/>
    </w:p>
    <w:p>
      <w:pPr>
        <w:spacing w:line="360" w:lineRule="auto"/>
        <w:rPr>
          <w:rFonts w:hint="eastAsia" w:asciiTheme="minorEastAsia" w:hAnsiTheme="minorEastAsia" w:eastAsiaTheme="minorEastAsia"/>
        </w:rPr>
      </w:pPr>
      <w:r/>
      <w:bookmarkStart w:id="78" w:name="_Toc176878661"/>
      <w:r/>
      <w:bookmarkStart w:id="79" w:name="_Toc67494808"/>
      <w:r/>
      <w:bookmarkStart w:id="80" w:name="_Toc2754"/>
      <w:r/>
      <w:bookmarkStart w:id="81" w:name="_Toc481057145"/>
      <w:r/>
      <w:r/>
    </w:p>
    <w:p>
      <w:pPr>
        <w:pStyle w:val="888"/>
        <w:numPr>
          <w:ilvl w:val="0"/>
          <w:numId w:val="0"/>
        </w:num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第三章 评标标准</w:t>
      </w:r>
      <w:bookmarkEnd w:id="78"/>
      <w:r/>
      <w:bookmarkEnd w:id="79"/>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商务指标优劣顺序排列，由磋商小组确定成交供应商。</w:t>
      </w:r>
      <w:bookmarkEnd w:id="80"/>
      <w:r/>
      <w:bookmarkEnd w:id="81"/>
      <w:r/>
      <w:r/>
    </w:p>
    <w:tbl>
      <w:tblPr>
        <w:tblStyle w:val="898"/>
        <w:tblW w:w="97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246"/>
        <w:gridCol w:w="6593"/>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ascii="宋体" w:hAnsi="宋体" w:cs="宋体"/>
                <w:b/>
                <w:bCs/>
                <w:spacing w:val="-2"/>
                <w:szCs w:val="21"/>
              </w:rPr>
            </w:pPr>
            <w:r/>
            <w:bookmarkStart w:id="82" w:name="_Hlk44577066"/>
            <w:r/>
            <w:bookmarkStart w:id="83" w:name="_Hlk44580142"/>
            <w:r>
              <w:rPr>
                <w:rFonts w:hint="eastAsia" w:ascii="宋体" w:hAnsi="宋体" w:cs="宋体"/>
                <w:b/>
                <w:bCs/>
                <w:szCs w:val="21"/>
              </w:rPr>
              <w:t xml:space="preserve">序号</w:t>
            </w:r>
            <w:r/>
          </w:p>
        </w:tc>
        <w:tc>
          <w:tcPr>
            <w:tcW w:w="1246" w:type="dxa"/>
            <w:vAlign w:val="center"/>
            <w:textDirection w:val="lrTb"/>
            <w:noWrap w:val="false"/>
          </w:tcPr>
          <w:p>
            <w:pPr>
              <w:jc w:val="center"/>
              <w:spacing w:line="360" w:lineRule="auto"/>
              <w:rPr>
                <w:rFonts w:hint="eastAsia" w:ascii="宋体" w:hAnsi="宋体" w:cs="宋体"/>
                <w:b/>
                <w:bCs/>
                <w:spacing w:val="-2"/>
                <w:szCs w:val="21"/>
              </w:rPr>
            </w:pPr>
            <w:r>
              <w:rPr>
                <w:rFonts w:hint="eastAsia" w:ascii="宋体" w:hAnsi="宋体" w:cs="宋体"/>
                <w:b/>
                <w:bCs/>
                <w:szCs w:val="21"/>
              </w:rPr>
              <w:t xml:space="preserve">评分因素</w:t>
            </w:r>
            <w:r/>
          </w:p>
        </w:tc>
        <w:tc>
          <w:tcPr>
            <w:tcW w:w="6593" w:type="dxa"/>
            <w:vAlign w:val="center"/>
            <w:textDirection w:val="lrTb"/>
            <w:noWrap w:val="false"/>
          </w:tcPr>
          <w:p>
            <w:pPr>
              <w:jc w:val="center"/>
              <w:spacing w:line="360" w:lineRule="auto"/>
              <w:rPr>
                <w:rFonts w:hint="eastAsia" w:ascii="宋体" w:hAnsi="宋体" w:cs="宋体"/>
                <w:b/>
                <w:bCs/>
                <w:spacing w:val="-2"/>
                <w:szCs w:val="21"/>
              </w:rPr>
            </w:pPr>
            <w:r>
              <w:rPr>
                <w:rFonts w:hint="eastAsia" w:ascii="宋体" w:hAnsi="宋体" w:cs="宋体"/>
                <w:b/>
                <w:bCs/>
                <w:szCs w:val="21"/>
              </w:rPr>
              <w:t xml:space="preserve">评审标准</w:t>
            </w:r>
            <w:r/>
          </w:p>
        </w:tc>
        <w:tc>
          <w:tcPr>
            <w:tcW w:w="575" w:type="dxa"/>
            <w:vAlign w:val="center"/>
            <w:textDirection w:val="lrTb"/>
            <w:noWrap w:val="false"/>
          </w:tcPr>
          <w:p>
            <w:pPr>
              <w:jc w:val="center"/>
              <w:spacing w:line="360" w:lineRule="auto"/>
              <w:rPr>
                <w:rFonts w:hint="eastAsia" w:ascii="宋体" w:hAnsi="宋体" w:cs="宋体"/>
                <w:b/>
                <w:bCs/>
                <w:spacing w:val="-2"/>
                <w:szCs w:val="21"/>
              </w:rPr>
            </w:pPr>
            <w:r>
              <w:rPr>
                <w:rFonts w:hint="eastAsia" w:ascii="宋体" w:hAnsi="宋体" w:cs="宋体"/>
                <w:b/>
                <w:bCs/>
                <w:szCs w:val="21"/>
              </w:rPr>
              <w:t xml:space="preserve">分值</w:t>
            </w:r>
            <w:r/>
          </w:p>
        </w:tc>
        <w:tc>
          <w:tcPr>
            <w:tcW w:w="789" w:type="dxa"/>
            <w:vAlign w:val="center"/>
            <w:textDirection w:val="lrTb"/>
            <w:noWrap w:val="false"/>
          </w:tcPr>
          <w:p>
            <w:pPr>
              <w:jc w:val="center"/>
              <w:spacing w:line="360" w:lineRule="auto"/>
              <w:rPr>
                <w:rFonts w:hint="eastAsia" w:ascii="宋体" w:hAnsi="宋体" w:cs="宋体"/>
                <w:b/>
                <w:bCs/>
                <w:spacing w:val="-2"/>
                <w:szCs w:val="21"/>
              </w:rPr>
            </w:pPr>
            <w:r>
              <w:rPr>
                <w:rFonts w:hint="eastAsia" w:ascii="宋体" w:hAnsi="宋体" w:cs="宋体"/>
                <w:b/>
                <w:bCs/>
                <w:szCs w:val="21"/>
              </w:rPr>
              <w:t xml:space="preserve">类型</w:t>
            </w:r>
            <w:r/>
          </w:p>
        </w:tc>
      </w:tr>
      <w:tr>
        <w:trPr>
          <w:jc w:val="center"/>
          <w:trHeight w:val="448"/>
        </w:trPr>
        <w:tc>
          <w:tcPr>
            <w:gridSpan w:val="5"/>
            <w:tcW w:w="9724"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一、价格10分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1</w:t>
            </w:r>
            <w:r/>
          </w:p>
        </w:tc>
        <w:tc>
          <w:tcPr>
            <w:tcW w:w="1246"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价格</w:t>
            </w:r>
            <w:r/>
          </w:p>
        </w:tc>
        <w:tc>
          <w:tcPr>
            <w:tcW w:w="65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采用低价优先法计算，即满足磋商文件要求且最终折扣报价最低的供应商的价格为磋商基准价，其价格分为满分。其他供应商的价格分统一按照下列公式计算：磋商报价得分=（磋商基准价/最后磋商报价）×10（小数点后保留两位小数）。</w:t>
            </w:r>
            <w:r/>
          </w:p>
          <w:p>
            <w:pPr>
              <w:jc w:val="left"/>
              <w:spacing w:line="360" w:lineRule="auto"/>
              <w:rPr>
                <w:rFonts w:hint="eastAsia" w:ascii="宋体" w:hAnsi="宋体" w:cs="宋体"/>
                <w:b/>
                <w:bCs/>
                <w:szCs w:val="21"/>
              </w:rPr>
            </w:pPr>
            <w:r>
              <w:rPr>
                <w:rFonts w:hint="eastAsia" w:ascii="宋体" w:hAnsi="宋体" w:cs="宋体"/>
                <w:b/>
                <w:bCs/>
                <w:szCs w:val="21"/>
              </w:rPr>
              <w:t xml:space="preserve">（本项目按折扣进行报价，例：折扣报价为90％，即为9折，以此类推。）</w:t>
            </w:r>
            <w:r/>
          </w:p>
        </w:tc>
        <w:tc>
          <w:tcPr>
            <w:tcW w:w="5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78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价格</w:t>
            </w:r>
            <w:r/>
          </w:p>
        </w:tc>
      </w:tr>
      <w:tr>
        <w:trPr>
          <w:jc w:val="center"/>
          <w:trHeight w:val="448"/>
        </w:trPr>
        <w:tc>
          <w:tcPr>
            <w:gridSpan w:val="5"/>
            <w:tcW w:w="9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b/>
                <w:szCs w:val="21"/>
              </w:rPr>
              <w:t xml:space="preserve">二、商务</w:t>
            </w:r>
            <w:r>
              <w:rPr>
                <w:rFonts w:hint="eastAsia" w:ascii="宋体" w:hAnsi="宋体" w:cs="宋体"/>
                <w:b/>
                <w:bCs/>
                <w:spacing w:val="-2"/>
                <w:szCs w:val="21"/>
              </w:rPr>
              <w:t xml:space="preserve">60</w:t>
            </w:r>
            <w:r>
              <w:rPr>
                <w:rFonts w:hint="eastAsia" w:ascii="宋体" w:hAnsi="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1</w:t>
            </w:r>
            <w:r/>
          </w:p>
        </w:tc>
        <w:tc>
          <w:tcPr>
            <w:tcW w:w="1246"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对项目背景了解程度、对项目重点、难点的理解和把握程度</w:t>
            </w:r>
            <w:r/>
          </w:p>
        </w:tc>
        <w:tc>
          <w:tcPr>
            <w:tcW w:w="65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根据供应商对项目背景了解程度、对项目重点、难点的理解和把握程度进行综合评分：</w:t>
            </w:r>
            <w:r/>
          </w:p>
          <w:p>
            <w:pPr>
              <w:jc w:val="left"/>
              <w:spacing w:line="360" w:lineRule="auto"/>
              <w:rPr>
                <w:rFonts w:hint="eastAsia" w:ascii="宋体" w:hAnsi="宋体" w:cs="宋体"/>
                <w:szCs w:val="21"/>
              </w:rPr>
            </w:pPr>
            <w:r>
              <w:rPr>
                <w:rFonts w:hint="eastAsia" w:ascii="宋体" w:hAnsi="宋体" w:cs="宋体"/>
                <w:szCs w:val="21"/>
              </w:rPr>
              <w:t xml:space="preserve">项目背景的了解程度准确，任务背景能做到深入的解读，能把握重点、难点的，得14分；</w:t>
            </w:r>
            <w:r/>
          </w:p>
          <w:p>
            <w:pPr>
              <w:jc w:val="left"/>
              <w:spacing w:line="360" w:lineRule="auto"/>
              <w:rPr>
                <w:rFonts w:hint="eastAsia" w:ascii="宋体" w:hAnsi="宋体" w:cs="宋体"/>
                <w:szCs w:val="21"/>
              </w:rPr>
            </w:pPr>
            <w:r>
              <w:rPr>
                <w:rFonts w:hint="eastAsia" w:ascii="宋体" w:hAnsi="宋体" w:cs="宋体"/>
                <w:szCs w:val="21"/>
              </w:rPr>
              <w:t xml:space="preserve">项目背景的了解程度有深度，前后内容论述无矛盾的，得11分；</w:t>
            </w:r>
            <w:r/>
          </w:p>
          <w:p>
            <w:pPr>
              <w:jc w:val="left"/>
              <w:spacing w:line="360" w:lineRule="auto"/>
              <w:rPr>
                <w:rFonts w:hint="eastAsia" w:ascii="宋体" w:hAnsi="宋体" w:cs="宋体"/>
                <w:szCs w:val="21"/>
              </w:rPr>
            </w:pPr>
            <w:r>
              <w:rPr>
                <w:rFonts w:hint="eastAsia" w:ascii="宋体" w:hAnsi="宋体" w:cs="宋体"/>
                <w:szCs w:val="21"/>
              </w:rPr>
              <w:t xml:space="preserve">项目背景的了解程度没有深度，表述不清晰，内容不太有针对性和可操作性的，重点、难点把握不准确得8分；</w:t>
            </w:r>
            <w:r/>
          </w:p>
          <w:p>
            <w:pPr>
              <w:jc w:val="left"/>
              <w:spacing w:line="360" w:lineRule="auto"/>
              <w:rPr>
                <w:rFonts w:hint="eastAsia" w:ascii="宋体" w:hAnsi="宋体" w:cs="宋体"/>
                <w:szCs w:val="21"/>
              </w:rPr>
            </w:pPr>
            <w:r>
              <w:rPr>
                <w:rFonts w:hint="eastAsia" w:ascii="宋体" w:hAnsi="宋体" w:cs="宋体"/>
                <w:szCs w:val="21"/>
              </w:rPr>
              <w:t xml:space="preserve">未提供方案的不得分。</w:t>
            </w:r>
            <w:r/>
          </w:p>
        </w:tc>
        <w:tc>
          <w:tcPr>
            <w:tcW w:w="5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14</w:t>
            </w:r>
            <w:r/>
          </w:p>
        </w:tc>
        <w:tc>
          <w:tcPr>
            <w:tcW w:w="789" w:type="dxa"/>
            <w:vAlign w:val="center"/>
            <w:textDirection w:val="lrTb"/>
            <w:noWrap w:val="false"/>
          </w:tcPr>
          <w:p>
            <w:pPr>
              <w:jc w:val="center"/>
              <w:spacing w:line="360" w:lineRule="auto"/>
              <w:rPr>
                <w:rFonts w:hint="eastAsia" w:ascii="宋体" w:hAnsi="宋体" w:cs="宋体"/>
                <w:szCs w:val="21"/>
              </w:rPr>
            </w:pPr>
            <w:r/>
            <w:bookmarkStart w:id="84" w:name="OLE_LINK35"/>
            <w:r>
              <w:rPr>
                <w:rFonts w:hint="eastAsia" w:ascii="宋体" w:hAnsi="宋体" w:cs="宋体"/>
                <w:spacing w:val="-6"/>
                <w:szCs w:val="21"/>
              </w:rPr>
              <w:t xml:space="preserve">主观分</w:t>
            </w:r>
            <w:bookmarkEnd w:id="84"/>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2</w:t>
            </w:r>
            <w:r/>
          </w:p>
        </w:tc>
        <w:tc>
          <w:tcPr>
            <w:tcW w:w="1246"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检验工作流程及进度安排</w:t>
            </w:r>
            <w:r/>
          </w:p>
        </w:tc>
        <w:tc>
          <w:tcPr>
            <w:tcW w:w="65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根据供应商提供的检验工作流程（包括工作衔接、派遣、现场检验、检验记录、记录反馈与存档等工作的流程）以及检验工作计划进度安排合理性进行综合评分：</w:t>
            </w:r>
            <w:r/>
          </w:p>
          <w:p>
            <w:pPr>
              <w:jc w:val="left"/>
              <w:spacing w:line="360" w:lineRule="auto"/>
              <w:rPr>
                <w:rFonts w:hint="eastAsia" w:ascii="宋体" w:hAnsi="宋体" w:cs="宋体"/>
                <w:szCs w:val="21"/>
              </w:rPr>
            </w:pPr>
            <w:r>
              <w:rPr>
                <w:rFonts w:hint="eastAsia" w:ascii="宋体" w:hAnsi="宋体" w:cs="宋体"/>
                <w:szCs w:val="21"/>
              </w:rPr>
              <w:t xml:space="preserve">检验工作流程及进度安排完整、思路清晰，能把握重点、难点的得14分；</w:t>
            </w:r>
            <w:r/>
          </w:p>
          <w:p>
            <w:pPr>
              <w:jc w:val="left"/>
              <w:spacing w:line="360" w:lineRule="auto"/>
              <w:rPr>
                <w:rFonts w:hint="eastAsia" w:ascii="宋体" w:hAnsi="宋体" w:cs="宋体"/>
                <w:szCs w:val="21"/>
              </w:rPr>
            </w:pPr>
            <w:r>
              <w:rPr>
                <w:rFonts w:hint="eastAsia" w:ascii="宋体" w:hAnsi="宋体" w:cs="宋体"/>
                <w:szCs w:val="21"/>
              </w:rPr>
              <w:t xml:space="preserve">检验工作流程及进度安排内容片面，未完全贴合项目实际情况，有瑕疵和轻微偏差的得11分；</w:t>
            </w:r>
            <w:r/>
          </w:p>
          <w:p>
            <w:pPr>
              <w:jc w:val="left"/>
              <w:spacing w:line="360" w:lineRule="auto"/>
              <w:rPr>
                <w:rFonts w:hint="eastAsia" w:ascii="宋体" w:hAnsi="宋体" w:cs="宋体"/>
                <w:szCs w:val="21"/>
              </w:rPr>
            </w:pPr>
            <w:r>
              <w:rPr>
                <w:rFonts w:hint="eastAsia" w:ascii="宋体" w:hAnsi="宋体" w:cs="宋体"/>
                <w:szCs w:val="21"/>
              </w:rPr>
              <w:t xml:space="preserve">检验工作流程及进度安排偏离项目特点和要求，有明显的缺陷和错误的得8分；</w:t>
            </w:r>
            <w:r/>
          </w:p>
          <w:p>
            <w:pPr>
              <w:jc w:val="left"/>
              <w:spacing w:line="360" w:lineRule="auto"/>
              <w:rPr>
                <w:rFonts w:hint="eastAsia" w:ascii="宋体" w:hAnsi="宋体" w:cs="宋体"/>
                <w:szCs w:val="21"/>
              </w:rPr>
            </w:pPr>
            <w:r>
              <w:rPr>
                <w:rFonts w:hint="eastAsia" w:ascii="宋体" w:hAnsi="宋体" w:cs="宋体"/>
                <w:szCs w:val="21"/>
              </w:rPr>
              <w:t xml:space="preserve">未提供方案的不得分。</w:t>
            </w:r>
            <w:r/>
          </w:p>
        </w:tc>
        <w:tc>
          <w:tcPr>
            <w:tcW w:w="5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14</w:t>
            </w:r>
            <w:r/>
          </w:p>
        </w:tc>
        <w:tc>
          <w:tcPr>
            <w:tcW w:w="789" w:type="dxa"/>
            <w:vAlign w:val="center"/>
            <w:textDirection w:val="lrTb"/>
            <w:noWrap w:val="false"/>
          </w:tcPr>
          <w:p>
            <w:pPr>
              <w:jc w:val="center"/>
              <w:spacing w:line="360"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90"/>
        </w:trPr>
        <w:tc>
          <w:tcPr>
            <w:tcW w:w="521"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3</w:t>
            </w:r>
            <w:r/>
          </w:p>
        </w:tc>
        <w:tc>
          <w:tcPr>
            <w:tcW w:w="1246"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质量保证措施以及后期配合服务</w:t>
            </w:r>
            <w:r/>
          </w:p>
        </w:tc>
        <w:tc>
          <w:tcPr>
            <w:tcW w:w="65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根据供应商提供的质量保证措施以及后期配合服务进行综合评分：</w:t>
            </w:r>
            <w:r/>
          </w:p>
          <w:p>
            <w:pPr>
              <w:jc w:val="left"/>
              <w:spacing w:line="360" w:lineRule="auto"/>
              <w:rPr>
                <w:rFonts w:hint="eastAsia" w:ascii="宋体" w:hAnsi="宋体" w:cs="宋体"/>
                <w:szCs w:val="21"/>
              </w:rPr>
            </w:pPr>
            <w:r>
              <w:rPr>
                <w:rFonts w:hint="eastAsia" w:ascii="宋体" w:hAnsi="宋体" w:cs="宋体"/>
                <w:szCs w:val="21"/>
              </w:rPr>
              <w:t xml:space="preserve">质量保证措施以及后期配合服务完整、思路清晰，能把握重点、难点的得10分；</w:t>
            </w:r>
            <w:r/>
          </w:p>
          <w:p>
            <w:pPr>
              <w:jc w:val="left"/>
              <w:spacing w:line="360" w:lineRule="auto"/>
              <w:rPr>
                <w:rFonts w:hint="eastAsia" w:ascii="宋体" w:hAnsi="宋体" w:cs="宋体"/>
                <w:szCs w:val="21"/>
              </w:rPr>
            </w:pPr>
            <w:r>
              <w:rPr>
                <w:rFonts w:hint="eastAsia" w:ascii="宋体" w:hAnsi="宋体" w:cs="宋体"/>
                <w:szCs w:val="21"/>
              </w:rPr>
              <w:t xml:space="preserve">质量保证措施以及后期配合服务内容片面，未完全贴合项目实际情况，有瑕疵和轻微偏差的得7分；</w:t>
            </w:r>
            <w:r/>
          </w:p>
          <w:p>
            <w:pPr>
              <w:jc w:val="left"/>
              <w:spacing w:line="360" w:lineRule="auto"/>
              <w:rPr>
                <w:rFonts w:hint="eastAsia" w:ascii="宋体" w:hAnsi="宋体" w:cs="宋体"/>
                <w:szCs w:val="21"/>
              </w:rPr>
            </w:pPr>
            <w:r>
              <w:rPr>
                <w:rFonts w:hint="eastAsia" w:ascii="宋体" w:hAnsi="宋体" w:cs="宋体"/>
                <w:szCs w:val="21"/>
              </w:rPr>
              <w:t xml:space="preserve">质量保证措施以及后期配合服务偏离项目特点和要求，有明显的缺陷和错误的得4分；</w:t>
            </w:r>
            <w:r/>
          </w:p>
          <w:p>
            <w:pPr>
              <w:jc w:val="left"/>
              <w:spacing w:line="360" w:lineRule="auto"/>
              <w:rPr>
                <w:rFonts w:hint="eastAsia" w:ascii="宋体" w:hAnsi="宋体" w:cs="宋体"/>
                <w:szCs w:val="21"/>
              </w:rPr>
            </w:pPr>
            <w:r>
              <w:rPr>
                <w:rFonts w:hint="eastAsia" w:ascii="宋体" w:hAnsi="宋体" w:cs="宋体"/>
                <w:szCs w:val="21"/>
              </w:rPr>
              <w:t xml:space="preserve">未提供方案的不得分。</w:t>
            </w:r>
            <w:r/>
          </w:p>
        </w:tc>
        <w:tc>
          <w:tcPr>
            <w:tcW w:w="5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789" w:type="dxa"/>
            <w:vAlign w:val="center"/>
            <w:textDirection w:val="lrTb"/>
            <w:noWrap w:val="false"/>
          </w:tcPr>
          <w:p>
            <w:pPr>
              <w:jc w:val="center"/>
              <w:spacing w:line="360"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4</w:t>
            </w:r>
            <w:r/>
          </w:p>
        </w:tc>
        <w:tc>
          <w:tcPr>
            <w:tcW w:w="1246"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合理化建议</w:t>
            </w:r>
            <w:r/>
          </w:p>
        </w:tc>
        <w:tc>
          <w:tcPr>
            <w:tcW w:w="65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根据供应商提供的针对本项目的合理化建议进行综合评分：</w:t>
            </w:r>
            <w:r/>
          </w:p>
          <w:p>
            <w:pPr>
              <w:jc w:val="left"/>
              <w:spacing w:line="360" w:lineRule="auto"/>
              <w:rPr>
                <w:rFonts w:hint="eastAsia" w:ascii="宋体" w:hAnsi="宋体" w:cs="宋体"/>
                <w:szCs w:val="21"/>
              </w:rPr>
            </w:pPr>
            <w:r>
              <w:rPr>
                <w:rFonts w:hint="eastAsia" w:ascii="宋体" w:hAnsi="宋体" w:cs="宋体"/>
                <w:szCs w:val="21"/>
              </w:rPr>
              <w:t xml:space="preserve">合理化建议完整、思路清晰，能把握重点、难点的得10分；</w:t>
            </w:r>
            <w:r/>
          </w:p>
          <w:p>
            <w:pPr>
              <w:jc w:val="left"/>
              <w:spacing w:line="360" w:lineRule="auto"/>
              <w:rPr>
                <w:rFonts w:hint="eastAsia" w:ascii="宋体" w:hAnsi="宋体" w:cs="宋体"/>
                <w:szCs w:val="21"/>
              </w:rPr>
            </w:pPr>
            <w:r>
              <w:rPr>
                <w:rFonts w:hint="eastAsia" w:ascii="宋体" w:hAnsi="宋体" w:cs="宋体"/>
                <w:szCs w:val="21"/>
              </w:rPr>
              <w:t xml:space="preserve">合理化建议内容片面，未完全贴合项目实际情况，有瑕疵和轻微偏差的得7分；</w:t>
            </w:r>
            <w:r/>
          </w:p>
          <w:p>
            <w:pPr>
              <w:jc w:val="left"/>
              <w:spacing w:line="360" w:lineRule="auto"/>
              <w:rPr>
                <w:rFonts w:hint="eastAsia" w:ascii="宋体" w:hAnsi="宋体" w:cs="宋体"/>
                <w:szCs w:val="21"/>
              </w:rPr>
            </w:pPr>
            <w:r>
              <w:rPr>
                <w:rFonts w:hint="eastAsia" w:ascii="宋体" w:hAnsi="宋体" w:cs="宋体"/>
                <w:szCs w:val="21"/>
              </w:rPr>
              <w:t xml:space="preserve">合理化建议偏离项目特点和要求，有明显的缺陷和错误的得4分；</w:t>
            </w:r>
            <w:r/>
          </w:p>
          <w:p>
            <w:pPr>
              <w:jc w:val="left"/>
              <w:spacing w:line="360" w:lineRule="auto"/>
              <w:rPr>
                <w:rFonts w:hint="eastAsia" w:ascii="宋体" w:hAnsi="宋体" w:cs="宋体"/>
                <w:szCs w:val="21"/>
              </w:rPr>
            </w:pPr>
            <w:r>
              <w:rPr>
                <w:rFonts w:hint="eastAsia" w:ascii="宋体" w:hAnsi="宋体" w:cs="宋体"/>
                <w:szCs w:val="21"/>
              </w:rPr>
              <w:t xml:space="preserve">未提供方案的不得分。</w:t>
            </w:r>
            <w:r/>
          </w:p>
        </w:tc>
        <w:tc>
          <w:tcPr>
            <w:tcW w:w="5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789" w:type="dxa"/>
            <w:vAlign w:val="center"/>
            <w:textDirection w:val="lrTb"/>
            <w:noWrap w:val="false"/>
          </w:tcPr>
          <w:p>
            <w:pPr>
              <w:jc w:val="center"/>
              <w:spacing w:line="360"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5</w:t>
            </w:r>
            <w:r/>
          </w:p>
        </w:tc>
        <w:tc>
          <w:tcPr>
            <w:tcW w:w="1246"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拟派项目组人员配备方案</w:t>
            </w:r>
            <w:r/>
          </w:p>
        </w:tc>
        <w:tc>
          <w:tcPr>
            <w:tcW w:w="65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根据供应商拟派项目组技术人员配备合理性、从业经验等情况进行综合评分（提供项目组成员名单、具体负责事项）：</w:t>
            </w:r>
            <w:r/>
          </w:p>
          <w:p>
            <w:pPr>
              <w:jc w:val="left"/>
              <w:spacing w:line="360" w:lineRule="auto"/>
              <w:rPr>
                <w:rFonts w:hint="eastAsia" w:ascii="宋体" w:hAnsi="宋体" w:cs="宋体"/>
                <w:szCs w:val="21"/>
              </w:rPr>
            </w:pPr>
            <w:r>
              <w:rPr>
                <w:rFonts w:hint="eastAsia" w:ascii="宋体" w:hAnsi="宋体" w:cs="宋体"/>
                <w:szCs w:val="21"/>
              </w:rPr>
              <w:t xml:space="preserve">团队配置全面合理、人员配备齐全、组织架构与分工清晰、完全满足项目开展需要得12分；</w:t>
            </w:r>
            <w:r/>
          </w:p>
          <w:p>
            <w:pPr>
              <w:jc w:val="left"/>
              <w:spacing w:line="360" w:lineRule="auto"/>
              <w:rPr>
                <w:rFonts w:hint="eastAsia" w:ascii="宋体" w:hAnsi="宋体" w:cs="宋体"/>
                <w:szCs w:val="21"/>
              </w:rPr>
            </w:pPr>
            <w:r>
              <w:rPr>
                <w:rFonts w:hint="eastAsia" w:ascii="宋体" w:hAnsi="宋体" w:cs="宋体"/>
                <w:szCs w:val="21"/>
              </w:rPr>
              <w:t xml:space="preserve">团队配置基本全面合理、组织架构与分工基本清晰、能满足项目开展需要得9分；</w:t>
            </w:r>
            <w:r/>
          </w:p>
          <w:p>
            <w:pPr>
              <w:jc w:val="left"/>
              <w:spacing w:line="360" w:lineRule="auto"/>
              <w:rPr>
                <w:rFonts w:hint="eastAsia" w:ascii="宋体" w:hAnsi="宋体" w:cs="宋体"/>
                <w:szCs w:val="21"/>
              </w:rPr>
            </w:pPr>
            <w:r>
              <w:rPr>
                <w:rFonts w:hint="eastAsia" w:ascii="宋体" w:hAnsi="宋体" w:cs="宋体"/>
                <w:szCs w:val="21"/>
              </w:rPr>
              <w:t xml:space="preserve">团队配置粗略，人员配备简单、缺少组织架构与分工得6分；</w:t>
            </w:r>
            <w:r/>
          </w:p>
          <w:p>
            <w:pPr>
              <w:jc w:val="left"/>
              <w:spacing w:line="360" w:lineRule="auto"/>
              <w:rPr>
                <w:rFonts w:hint="eastAsia" w:ascii="宋体" w:hAnsi="宋体" w:cs="宋体"/>
                <w:szCs w:val="21"/>
              </w:rPr>
            </w:pPr>
            <w:r>
              <w:rPr>
                <w:rFonts w:hint="eastAsia" w:ascii="宋体" w:hAnsi="宋体" w:cs="宋体"/>
                <w:szCs w:val="21"/>
              </w:rPr>
              <w:t xml:space="preserve">未提供团队配置的不得分。</w:t>
            </w:r>
            <w:r/>
          </w:p>
        </w:tc>
        <w:tc>
          <w:tcPr>
            <w:tcW w:w="5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W w:w="789" w:type="dxa"/>
            <w:vAlign w:val="center"/>
            <w:textDirection w:val="lrTb"/>
            <w:noWrap w:val="false"/>
          </w:tcPr>
          <w:p>
            <w:pPr>
              <w:jc w:val="center"/>
              <w:spacing w:line="360"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323"/>
        </w:trPr>
        <w:tc>
          <w:tcPr>
            <w:gridSpan w:val="5"/>
            <w:tcW w:w="9724" w:type="dxa"/>
            <w:vAlign w:val="center"/>
            <w:textDirection w:val="lrTb"/>
            <w:noWrap w:val="false"/>
          </w:tcPr>
          <w:p>
            <w:pPr>
              <w:jc w:val="center"/>
              <w:spacing w:line="360" w:lineRule="auto"/>
              <w:rPr>
                <w:rFonts w:hint="eastAsia" w:ascii="宋体" w:hAnsi="宋体" w:cs="宋体"/>
                <w:szCs w:val="21"/>
              </w:rPr>
            </w:pPr>
            <w:r/>
            <w:bookmarkStart w:id="85" w:name="OLE_LINK34"/>
            <w:r>
              <w:rPr>
                <w:rFonts w:hint="eastAsia" w:ascii="宋体" w:hAnsi="宋体" w:cs="宋体"/>
                <w:b/>
                <w:szCs w:val="21"/>
              </w:rPr>
              <w:t xml:space="preserve">二、技术30分</w:t>
            </w:r>
            <w:bookmarkEnd w:id="85"/>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1</w:t>
            </w:r>
            <w:r/>
          </w:p>
        </w:tc>
        <w:tc>
          <w:tcPr>
            <w:tcW w:w="1246" w:type="dxa"/>
            <w:vAlign w:val="center"/>
            <w:textDirection w:val="lrTb"/>
            <w:noWrap w:val="false"/>
          </w:tcPr>
          <w:p>
            <w:pPr>
              <w:jc w:val="center"/>
              <w:spacing w:line="360" w:lineRule="auto"/>
              <w:rPr>
                <w:rFonts w:hint="eastAsia" w:ascii="宋体" w:hAnsi="宋体" w:cs="宋体"/>
                <w:spacing w:val="-1"/>
                <w:szCs w:val="21"/>
                <w:highlight w:val="none"/>
              </w:rPr>
            </w:pPr>
            <w:r>
              <w:rPr>
                <w:rFonts w:hint="eastAsia" w:ascii="宋体" w:hAnsi="宋体" w:cs="宋体"/>
                <w:spacing w:val="-1"/>
                <w:szCs w:val="21"/>
                <w:highlight w:val="none"/>
              </w:rPr>
              <w:t xml:space="preserve">项目负责人</w:t>
            </w:r>
            <w:r/>
          </w:p>
        </w:tc>
        <w:tc>
          <w:tcPr>
            <w:tcW w:w="659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（1）项目负责人具有</w:t>
            </w:r>
            <w:bookmarkStart w:id="86" w:name="_Hlk181871588"/>
            <w:r>
              <w:rPr>
                <w:rFonts w:hint="eastAsia" w:ascii="宋体" w:hAnsi="宋体" w:cs="宋体"/>
                <w:szCs w:val="21"/>
                <w:highlight w:val="none"/>
              </w:rPr>
              <w:t xml:space="preserve">B类及以上注册验船师资格证书</w:t>
            </w:r>
            <w:bookmarkEnd w:id="86"/>
            <w:r>
              <w:rPr>
                <w:rFonts w:hint="eastAsia" w:ascii="宋体" w:hAnsi="宋体" w:cs="宋体"/>
                <w:szCs w:val="21"/>
                <w:highlight w:val="none"/>
              </w:rPr>
              <w:t xml:space="preserve">的得2分；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（2）项目负责人具有船舶检验相关工作经验的得2分；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（3）项目负责人具有船舶相关专业副高级及以上职称的得2分。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本项最高得6分。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（提供有效期内的证书复印件、工作经历简介及供应商为其缴纳的近三个月内任意一个月的社保证明材料并加盖公章，职称证书无法提现专业的，以毕业证书上专业为准，未提供或未按要求提供不得分）</w:t>
            </w:r>
            <w:r/>
          </w:p>
        </w:tc>
        <w:tc>
          <w:tcPr>
            <w:tcW w:w="5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789" w:type="dxa"/>
            <w:vAlign w:val="center"/>
            <w:textDirection w:val="lrTb"/>
            <w:noWrap w:val="false"/>
          </w:tcPr>
          <w:p>
            <w:pPr>
              <w:jc w:val="center"/>
              <w:spacing w:line="360"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2</w:t>
            </w:r>
            <w:r/>
          </w:p>
        </w:tc>
        <w:tc>
          <w:tcPr>
            <w:tcW w:w="1246" w:type="dxa"/>
            <w:vAlign w:val="center"/>
            <w:textDirection w:val="lrTb"/>
            <w:noWrap w:val="false"/>
          </w:tcPr>
          <w:p>
            <w:pPr>
              <w:jc w:val="center"/>
              <w:spacing w:line="360" w:lineRule="auto"/>
              <w:rPr>
                <w:rFonts w:hint="eastAsia" w:ascii="宋体" w:hAnsi="宋体" w:cs="宋体"/>
                <w:spacing w:val="-1"/>
                <w:szCs w:val="21"/>
              </w:rPr>
            </w:pPr>
            <w:r>
              <w:rPr>
                <w:rFonts w:hint="eastAsia" w:ascii="宋体" w:hAnsi="宋体" w:cs="宋体"/>
                <w:spacing w:val="-1"/>
                <w:szCs w:val="21"/>
              </w:rPr>
              <w:t xml:space="preserve">项目组成员（除项目负责人外）</w:t>
            </w:r>
            <w:r/>
          </w:p>
        </w:tc>
        <w:tc>
          <w:tcPr>
            <w:tcW w:w="659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（1）拟派项目组成员（除项目负责人外）中具有B类及以上注册验船师资格证书的人数，满足6人的得基本分4分。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（2）在满足6人的基础上每增加1名具有B类及以上注册验船师资格证书的加2分，最高得8分。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本项最高得12分。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（以上人员需提供有效期内的证书复印件以及供应商为其缴纳的近三个月内任意一个月的社保证明材料并加盖公章）</w:t>
            </w:r>
            <w:r/>
          </w:p>
        </w:tc>
        <w:tc>
          <w:tcPr>
            <w:tcW w:w="5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W w:w="789" w:type="dxa"/>
            <w:vAlign w:val="center"/>
            <w:textDirection w:val="lrTb"/>
            <w:noWrap w:val="false"/>
          </w:tcPr>
          <w:p>
            <w:pPr>
              <w:jc w:val="center"/>
              <w:spacing w:line="360"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pacing w:val="-2"/>
                <w:szCs w:val="21"/>
              </w:rPr>
              <w:t xml:space="preserve">3</w:t>
            </w:r>
            <w:r/>
          </w:p>
        </w:tc>
        <w:tc>
          <w:tcPr>
            <w:tcW w:w="1246" w:type="dxa"/>
            <w:vAlign w:val="center"/>
            <w:textDirection w:val="lrTb"/>
            <w:noWrap w:val="false"/>
          </w:tcPr>
          <w:p>
            <w:pPr>
              <w:jc w:val="center"/>
              <w:spacing w:line="360" w:lineRule="auto"/>
              <w:rPr>
                <w:rFonts w:hint="eastAsia" w:ascii="宋体" w:hAnsi="宋体" w:cs="宋体"/>
                <w:spacing w:val="-1"/>
                <w:szCs w:val="21"/>
              </w:rPr>
            </w:pPr>
            <w:r>
              <w:rPr>
                <w:rFonts w:hint="eastAsia" w:ascii="宋体" w:hAnsi="宋体" w:cs="宋体"/>
                <w:spacing w:val="-1"/>
                <w:szCs w:val="21"/>
              </w:rPr>
              <w:t xml:space="preserve">业绩</w:t>
            </w:r>
            <w:r/>
          </w:p>
        </w:tc>
        <w:tc>
          <w:tcPr>
            <w:tcW w:w="659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供应商自2021年1月1日（含，以签订合同时间为准）以来，承担过类似船舶检验项目，每提供一个项目业绩得2分，满分12分。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（需提供合同复印件并加盖公章，合同需能反映相关内容，未提供的不得分）</w:t>
            </w:r>
            <w:r/>
          </w:p>
        </w:tc>
        <w:tc>
          <w:tcPr>
            <w:tcW w:w="5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W w:w="789" w:type="dxa"/>
            <w:vAlign w:val="center"/>
            <w:textDirection w:val="lrTb"/>
            <w:noWrap w:val="false"/>
          </w:tcPr>
          <w:p>
            <w:pPr>
              <w:jc w:val="center"/>
              <w:spacing w:line="360"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410"/>
        </w:trPr>
        <w:tc>
          <w:tcPr>
            <w:gridSpan w:val="5"/>
            <w:tcW w:w="9724" w:type="dxa"/>
            <w:vAlign w:val="center"/>
            <w:textDirection w:val="lrTb"/>
            <w:noWrap w:val="false"/>
          </w:tcPr>
          <w:p>
            <w:pPr>
              <w:jc w:val="center"/>
              <w:spacing w:line="360" w:lineRule="auto"/>
              <w:rPr>
                <w:rFonts w:hint="eastAsia" w:ascii="宋体" w:hAnsi="宋体" w:cs="宋体"/>
                <w:spacing w:val="-6"/>
                <w:szCs w:val="21"/>
              </w:rPr>
            </w:pPr>
            <w:r>
              <w:rPr>
                <w:rFonts w:hint="eastAsia" w:ascii="宋体" w:hAnsi="宋体" w:cs="宋体"/>
                <w:spacing w:val="-2"/>
                <w:szCs w:val="21"/>
              </w:rPr>
              <w:t xml:space="preserve">合计100分</w:t>
            </w:r>
            <w:bookmarkEnd w:id="82"/>
            <w:r/>
            <w:r/>
          </w:p>
        </w:tc>
      </w:tr>
    </w:tbl>
    <w:p>
      <w:pPr>
        <w:spacing w:line="360" w:lineRule="auto"/>
        <w:rPr>
          <w:rFonts w:hint="eastAsia" w:asciiTheme="minorEastAsia" w:hAnsiTheme="minorEastAsia" w:eastAsiaTheme="minorEastAsia"/>
        </w:rPr>
      </w:pPr>
      <w:r>
        <w:rPr>
          <w:rFonts w:hint="eastAsia" w:asciiTheme="minorEastAsia" w:hAnsiTheme="minorEastAsia" w:eastAsiaTheme="minorEastAsia"/>
        </w:rPr>
      </w:r>
      <w:bookmarkEnd w:id="83"/>
      <w:r/>
      <w:r/>
    </w:p>
    <w:p>
      <w:pPr>
        <w:rPr>
          <w:rFonts w:hint="eastAsia" w:asciiTheme="minorEastAsia" w:hAnsiTheme="minorEastAsia" w:eastAsiaTheme="minorEastAsia"/>
        </w:rPr>
      </w:pPr>
      <w:r/>
      <w:bookmarkStart w:id="87" w:name="_Toc14826"/>
      <w:r/>
      <w:bookmarkStart w:id="88" w:name="_Toc67494809"/>
      <w:r/>
      <w:bookmarkStart w:id="89" w:name="_Toc176878662"/>
      <w:r>
        <w:rPr>
          <w:rFonts w:hint="eastAsia" w:asciiTheme="minorEastAsia" w:hAnsiTheme="minorEastAsia" w:eastAsiaTheme="minorEastAsia"/>
        </w:rPr>
        <w:br w:type="page" w:clear="all"/>
      </w:r>
      <w:r/>
    </w:p>
    <w:p>
      <w:pPr>
        <w:pStyle w:val="888"/>
        <w:numPr>
          <w:ilvl w:val="0"/>
          <w:numId w:val="0"/>
        </w:numPr>
        <w:ind w:left="567"/>
        <w:rPr>
          <w:rFonts w:hint="eastAsia" w:asciiTheme="minorEastAsia" w:hAnsiTheme="minorEastAsia" w:eastAsiaTheme="minorEastAsia"/>
          <w:szCs w:val="32"/>
        </w:rPr>
      </w:pPr>
      <w:r>
        <w:rPr>
          <w:rFonts w:hint="eastAsia" w:asciiTheme="minorEastAsia" w:hAnsiTheme="minorEastAsia" w:eastAsiaTheme="minorEastAsia"/>
        </w:rPr>
        <w:t xml:space="preserve">第四章 </w:t>
      </w:r>
      <w:bookmarkEnd w:id="87"/>
      <w:r/>
      <w:bookmarkStart w:id="90" w:name="_Toc8808"/>
      <w:r/>
      <w:bookmarkStart w:id="91" w:name="_Toc481057147"/>
      <w:r>
        <w:rPr>
          <w:rFonts w:hint="eastAsia" w:asciiTheme="minorEastAsia" w:hAnsiTheme="minorEastAsia" w:eastAsiaTheme="minorEastAsia"/>
        </w:rPr>
        <w:t xml:space="preserve">采购项目的内容和相关技术要求等</w:t>
      </w:r>
      <w:bookmarkEnd w:id="88"/>
      <w:r/>
      <w:bookmarkEnd w:id="89"/>
      <w:r/>
      <w:r/>
    </w:p>
    <w:p>
      <w:pPr>
        <w:ind w:firstLine="422"/>
        <w:spacing w:line="360" w:lineRule="auto"/>
        <w:rPr>
          <w:rFonts w:hint="eastAsia" w:ascii="宋体" w:hAnsi="宋体" w:cs="宋体"/>
          <w:b/>
          <w:bCs/>
          <w:szCs w:val="21"/>
        </w:rPr>
      </w:pPr>
      <w:r>
        <w:rPr>
          <w:rFonts w:hint="eastAsia" w:ascii="宋体" w:hAnsi="宋体" w:cs="宋体"/>
          <w:b/>
          <w:bCs/>
          <w:szCs w:val="21"/>
        </w:rPr>
        <w:t xml:space="preserve">一、项目名称</w:t>
      </w:r>
      <w:r/>
    </w:p>
    <w:p>
      <w:pPr>
        <w:ind w:firstLine="420"/>
        <w:spacing w:line="360" w:lineRule="auto"/>
        <w:rPr>
          <w:rFonts w:hint="eastAsia" w:ascii="宋体" w:hAnsi="宋体" w:cs="宋体"/>
          <w:szCs w:val="21"/>
        </w:rPr>
      </w:pPr>
      <w:r>
        <w:rPr>
          <w:rFonts w:hint="eastAsia" w:ascii="宋体" w:hAnsi="宋体" w:cs="宋体"/>
          <w:szCs w:val="21"/>
        </w:rPr>
        <w:t xml:space="preserve">南京市交通运输综合行政执法监督局运输船舶检验服务技术支持项目</w:t>
      </w:r>
      <w:r/>
    </w:p>
    <w:p>
      <w:pPr>
        <w:ind w:firstLine="422"/>
        <w:spacing w:line="360" w:lineRule="auto"/>
        <w:rPr>
          <w:b/>
          <w:bCs/>
        </w:rPr>
      </w:pPr>
      <w:r>
        <w:rPr>
          <w:rFonts w:hint="eastAsia"/>
          <w:b/>
          <w:bCs/>
        </w:rPr>
        <w:t xml:space="preserve">二、项目概况</w:t>
      </w:r>
      <w:r/>
    </w:p>
    <w:p>
      <w:pPr>
        <w:ind w:firstLine="420"/>
        <w:spacing w:line="360" w:lineRule="auto"/>
        <w:rPr>
          <w:rFonts w:hint="eastAsia" w:ascii="宋体" w:hAnsi="宋体" w:cs="宋体"/>
          <w:szCs w:val="21"/>
          <w:highlight w:val="none"/>
        </w:rPr>
      </w:pPr>
      <w:r>
        <w:rPr>
          <w:rFonts w:hint="eastAsia" w:ascii="宋体" w:hAnsi="宋体" w:cs="宋体"/>
          <w:szCs w:val="21"/>
        </w:rPr>
        <w:t xml:space="preserve">采购人（南京市交通运输综合行政执法监督局）计划将辖区内船龄较高、吨位较大、技术复杂、船型新颖等高风险船舶实施加</w:t>
      </w:r>
      <w:r>
        <w:rPr>
          <w:rFonts w:hint="eastAsia" w:ascii="宋体" w:hAnsi="宋体" w:cs="宋体"/>
          <w:szCs w:val="21"/>
          <w:highlight w:val="none"/>
        </w:rPr>
        <w:t xml:space="preserve">强检验。采用“1+N”的模式，即由南京市交通运输综合行政执法监督局派一名验船师，供应商派1-2名项目组成员组成检验小组进行检验，提高船舶检验质量和本质安全水平。检验完成后，供应商编制专门的检验记录和检验报告。检验记录、检验报告作为档案留存。</w:t>
      </w:r>
      <w:r/>
    </w:p>
    <w:tbl>
      <w:tblPr>
        <w:tblStyle w:val="898"/>
        <w:tblpPr w:horzAnchor="text" w:tblpXSpec="center" w:vertAnchor="text" w:tblpY="1" w:leftFromText="180" w:topFromText="0" w:rightFromText="180" w:bottomFromText="0"/>
        <w:tblW w:w="93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727"/>
        <w:gridCol w:w="719"/>
        <w:gridCol w:w="759"/>
        <w:gridCol w:w="1134"/>
        <w:gridCol w:w="3368"/>
      </w:tblGrid>
      <w:tr>
        <w:trPr>
          <w:trHeight w:val="1120"/>
        </w:trPr>
        <w:tc>
          <w:tcPr>
            <w:tcW w:w="683"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序号</w:t>
            </w:r>
            <w:r/>
          </w:p>
        </w:tc>
        <w:tc>
          <w:tcPr>
            <w:tcW w:w="2727"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项目名称</w:t>
            </w:r>
            <w:r/>
          </w:p>
        </w:tc>
        <w:tc>
          <w:tcPr>
            <w:tcW w:w="719"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数量</w:t>
            </w:r>
            <w:r/>
          </w:p>
        </w:tc>
        <w:tc>
          <w:tcPr>
            <w:tcW w:w="759"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单位</w:t>
            </w:r>
            <w:r/>
          </w:p>
        </w:tc>
        <w:tc>
          <w:tcPr>
            <w:tcW w:w="1134"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r>
            <w:r/>
          </w:p>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预算金额</w:t>
            </w:r>
            <w:r/>
          </w:p>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（万元）</w:t>
            </w:r>
            <w:r/>
          </w:p>
        </w:tc>
        <w:tc>
          <w:tcPr>
            <w:tcW w:w="3368"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采购内容</w:t>
            </w:r>
            <w:r/>
          </w:p>
        </w:tc>
      </w:tr>
      <w:tr>
        <w:trPr>
          <w:trHeight w:val="602"/>
        </w:trPr>
        <w:tc>
          <w:tcPr>
            <w:tcW w:w="683"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w:t>
            </w:r>
            <w:r/>
          </w:p>
        </w:tc>
        <w:tc>
          <w:tcPr>
            <w:tcW w:w="2727"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南京市交通运输综合行政执法监督局运输船舶检验服务技术支持项目</w:t>
            </w:r>
            <w:r/>
          </w:p>
        </w:tc>
        <w:tc>
          <w:tcPr>
            <w:tcW w:w="719"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w:t>
            </w:r>
            <w:r/>
          </w:p>
        </w:tc>
        <w:tc>
          <w:tcPr>
            <w:tcW w:w="759"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项</w:t>
            </w:r>
            <w:r/>
          </w:p>
        </w:tc>
        <w:tc>
          <w:tcPr>
            <w:tcW w:w="1134"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200</w:t>
            </w:r>
            <w:r/>
          </w:p>
        </w:tc>
        <w:tc>
          <w:tcPr>
            <w:tcW w:w="3368" w:type="dxa"/>
            <w:vAlign w:val="center"/>
            <w:textDirection w:val="lrTb"/>
            <w:noWrap w:val="false"/>
          </w:tcPr>
          <w:p>
            <w:pPr>
              <w:jc w:val="center"/>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南京市辖区内部分商船的法定检验(含</w:t>
            </w:r>
            <w:r>
              <w:rPr>
                <w:rFonts w:hint="eastAsia" w:ascii="宋体" w:hAnsi="宋体"/>
                <w:szCs w:val="21"/>
                <w:highlight w:val="none"/>
              </w:rPr>
              <w:t xml:space="preserve">定期检验、临时检验）</w:t>
            </w:r>
            <w:r>
              <w:rPr>
                <w:rFonts w:hint="eastAsia" w:cs="Arial" w:asciiTheme="minorEastAsia" w:hAnsiTheme="minorEastAsia" w:eastAsiaTheme="minorEastAsia"/>
                <w:bCs/>
                <w:szCs w:val="21"/>
                <w:highlight w:val="none"/>
              </w:rPr>
              <w:t xml:space="preserve">，检验数量约为：150艘次（</w:t>
            </w:r>
            <w:r>
              <w:rPr>
                <w:rFonts w:hint="eastAsia"/>
                <w:b/>
                <w:bCs/>
                <w:highlight w:val="none"/>
              </w:rPr>
              <w:t xml:space="preserve">数量及船舶类型暂定，具体以实际委托任务为准</w:t>
            </w:r>
            <w:r>
              <w:rPr>
                <w:rFonts w:hint="eastAsia" w:cs="Arial" w:asciiTheme="minorEastAsia" w:hAnsiTheme="minorEastAsia" w:eastAsiaTheme="minorEastAsia"/>
                <w:bCs/>
                <w:szCs w:val="21"/>
                <w:highlight w:val="none"/>
              </w:rPr>
              <w:t xml:space="preserve">）</w:t>
            </w:r>
            <w:r/>
          </w:p>
        </w:tc>
      </w:tr>
    </w:tbl>
    <w:p>
      <w:pPr>
        <w:ind w:firstLine="422"/>
        <w:spacing w:line="360" w:lineRule="auto"/>
        <w:rPr>
          <w:rFonts w:hint="eastAsia" w:ascii="宋体" w:hAnsi="宋体" w:cs="宋体"/>
          <w:b/>
          <w:bCs/>
          <w:szCs w:val="21"/>
        </w:rPr>
      </w:pPr>
      <w:r>
        <w:rPr>
          <w:rFonts w:hint="eastAsia" w:ascii="宋体" w:hAnsi="宋体" w:cs="宋体"/>
          <w:b/>
          <w:bCs/>
          <w:szCs w:val="21"/>
        </w:rPr>
        <w:t xml:space="preserve">三、拟采购标的需要满足的技术、商务要求</w:t>
      </w:r>
      <w:r/>
    </w:p>
    <w:p>
      <w:pPr>
        <w:ind w:firstLine="422"/>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（一）技术要求</w:t>
      </w:r>
      <w:r/>
    </w:p>
    <w:p>
      <w:pPr>
        <w:ind w:firstLine="422"/>
        <w:spacing w:line="360" w:lineRule="auto"/>
        <w:rPr>
          <w:rFonts w:hint="eastAsia" w:ascii="宋体" w:hAnsi="宋体" w:cs="宋体"/>
          <w:b/>
          <w:bCs/>
          <w:szCs w:val="21"/>
        </w:rPr>
      </w:pPr>
      <w:r>
        <w:rPr>
          <w:rFonts w:hint="eastAsia" w:ascii="宋体" w:hAnsi="宋体" w:cs="宋体"/>
          <w:b/>
          <w:bCs/>
          <w:szCs w:val="21"/>
        </w:rPr>
        <w:t xml:space="preserve">（1）检验流程</w:t>
      </w:r>
      <w:r/>
    </w:p>
    <w:p>
      <w:pPr>
        <w:ind w:firstLine="420"/>
        <w:spacing w:line="360" w:lineRule="auto"/>
        <w:rPr>
          <w:rFonts w:hint="eastAsia" w:ascii="宋体" w:hAnsi="宋体" w:cs="宋体"/>
          <w:szCs w:val="21"/>
        </w:rPr>
      </w:pPr>
      <w:r>
        <w:rPr>
          <w:rFonts w:hint="eastAsia" w:ascii="宋体" w:hAnsi="宋体" w:cs="宋体"/>
          <w:szCs w:val="21"/>
        </w:rPr>
        <w:t xml:space="preserve">1.1申请人申请受理 </w:t>
      </w:r>
      <w:r/>
    </w:p>
    <w:p>
      <w:pPr>
        <w:ind w:firstLine="420"/>
        <w:spacing w:line="360" w:lineRule="auto"/>
        <w:rPr>
          <w:rFonts w:hint="eastAsia" w:ascii="宋体" w:hAnsi="宋体" w:cs="宋体"/>
          <w:szCs w:val="21"/>
        </w:rPr>
      </w:pPr>
      <w:r>
        <w:rPr>
          <w:rFonts w:hint="eastAsia" w:ascii="宋体" w:hAnsi="宋体" w:cs="宋体"/>
          <w:szCs w:val="21"/>
        </w:rPr>
        <w:t xml:space="preserve">1.1.1申请人应为申请获得船舶法定检验证书的组织或个人。 </w:t>
      </w:r>
      <w:r/>
    </w:p>
    <w:p>
      <w:pPr>
        <w:ind w:firstLine="420"/>
        <w:spacing w:line="360" w:lineRule="auto"/>
        <w:rPr>
          <w:rFonts w:hint="eastAsia" w:ascii="宋体" w:hAnsi="宋体" w:cs="宋体"/>
          <w:szCs w:val="21"/>
        </w:rPr>
      </w:pPr>
      <w:r>
        <w:rPr>
          <w:rFonts w:hint="eastAsia" w:ascii="宋体" w:hAnsi="宋体" w:cs="宋体"/>
          <w:szCs w:val="21"/>
        </w:rPr>
        <w:t xml:space="preserve">1.1.2申请人可到船检机构确定的地点提交检验申请材料，也可通过“南京交通执法”小程序、“海事通”APP等渠道提交检验申请材料，船检机构按相关规定进行资料评审，并确定是否受理。</w:t>
      </w:r>
      <w:r/>
    </w:p>
    <w:p>
      <w:pPr>
        <w:ind w:firstLine="420"/>
        <w:spacing w:line="360" w:lineRule="auto"/>
        <w:rPr>
          <w:rFonts w:hint="eastAsia" w:ascii="宋体" w:hAnsi="宋体" w:cs="宋体"/>
          <w:szCs w:val="21"/>
        </w:rPr>
      </w:pPr>
      <w:r>
        <w:rPr>
          <w:rFonts w:hint="eastAsia" w:ascii="宋体" w:hAnsi="宋体" w:cs="宋体"/>
          <w:szCs w:val="21"/>
        </w:rPr>
        <w:t xml:space="preserve">1.1.3申请资料应完整并符合法定形式要求，申请人应在检验申请前做好船舶自检工作。 </w:t>
      </w:r>
      <w:r/>
    </w:p>
    <w:p>
      <w:pPr>
        <w:ind w:firstLine="420"/>
        <w:spacing w:line="360" w:lineRule="auto"/>
        <w:rPr>
          <w:rFonts w:hint="eastAsia" w:ascii="宋体" w:hAnsi="宋体" w:cs="宋体"/>
          <w:szCs w:val="21"/>
        </w:rPr>
      </w:pPr>
      <w:r>
        <w:rPr>
          <w:rFonts w:hint="eastAsia" w:ascii="宋体" w:hAnsi="宋体" w:cs="宋体"/>
          <w:szCs w:val="21"/>
        </w:rPr>
        <w:t xml:space="preserve">1.1.4申请资料不齐全，不符合法定形式或未完成检验准备的，船检机构应一次性告知申请人需要补正的全部内容，或告知不予受理的理由。 </w:t>
      </w:r>
      <w:r/>
    </w:p>
    <w:p>
      <w:pPr>
        <w:ind w:firstLine="420"/>
        <w:spacing w:line="360" w:lineRule="auto"/>
        <w:rPr>
          <w:rFonts w:hint="eastAsia" w:ascii="宋体" w:hAnsi="宋体" w:cs="宋体"/>
          <w:szCs w:val="21"/>
        </w:rPr>
      </w:pPr>
      <w:r>
        <w:rPr>
          <w:rFonts w:hint="eastAsia" w:ascii="宋体" w:hAnsi="宋体" w:cs="宋体"/>
          <w:szCs w:val="21"/>
        </w:rPr>
        <w:t xml:space="preserve">1.1.5申请资料包括： </w:t>
      </w:r>
      <w:r/>
    </w:p>
    <w:p>
      <w:pPr>
        <w:ind w:firstLine="420"/>
        <w:spacing w:line="360" w:lineRule="auto"/>
        <w:rPr>
          <w:rFonts w:hint="eastAsia" w:ascii="宋体" w:hAnsi="宋体" w:cs="宋体"/>
          <w:szCs w:val="21"/>
        </w:rPr>
      </w:pPr>
      <w:r>
        <w:rPr>
          <w:rFonts w:hint="eastAsia" w:ascii="宋体" w:hAnsi="宋体" w:cs="宋体"/>
          <w:szCs w:val="21"/>
        </w:rPr>
        <w:t xml:space="preserve">船舶营运检验时</w:t>
      </w:r>
      <w:r/>
    </w:p>
    <w:p>
      <w:pPr>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船舶营运检验申请表；</w:t>
      </w:r>
      <w:r/>
    </w:p>
    <w:p>
      <w:pPr>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船舶所有人、经营人承诺书；</w:t>
      </w:r>
      <w:r/>
    </w:p>
    <w:p>
      <w:pPr>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船舶自检报告； </w:t>
      </w:r>
      <w:r/>
    </w:p>
    <w:p>
      <w:pPr>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《船舶检验证书簿》正本或复印件（如需时）；</w:t>
      </w:r>
      <w:r/>
    </w:p>
    <w:p>
      <w:pPr>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船舶所有权证书复印件（所有人或船名变更）；</w:t>
      </w:r>
      <w:r/>
    </w:p>
    <w:p>
      <w:pPr>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非本港籍船舶须有船籍港《检验委托书》；</w:t>
      </w:r>
      <w:r/>
    </w:p>
    <w:p>
      <w:pPr>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船舶其它有关证明文件资料。</w:t>
      </w:r>
      <w:r/>
    </w:p>
    <w:p>
      <w:pPr>
        <w:ind w:firstLine="420"/>
        <w:spacing w:line="360" w:lineRule="auto"/>
        <w:rPr>
          <w:rFonts w:hint="eastAsia" w:ascii="宋体" w:hAnsi="宋体" w:cs="宋体"/>
          <w:szCs w:val="21"/>
        </w:rPr>
      </w:pPr>
      <w:r>
        <w:rPr>
          <w:rFonts w:hint="eastAsia" w:ascii="宋体" w:hAnsi="宋体" w:cs="宋体"/>
          <w:szCs w:val="21"/>
        </w:rPr>
        <w:t xml:space="preserve">1.2工作衔接</w:t>
      </w:r>
      <w:r/>
    </w:p>
    <w:p>
      <w:pPr>
        <w:ind w:firstLine="420"/>
        <w:spacing w:line="360" w:lineRule="auto"/>
        <w:rPr>
          <w:rFonts w:hint="eastAsia" w:ascii="宋体" w:hAnsi="宋体" w:cs="宋体"/>
          <w:szCs w:val="21"/>
        </w:rPr>
      </w:pPr>
      <w:r>
        <w:rPr>
          <w:rFonts w:hint="eastAsia" w:ascii="宋体" w:hAnsi="宋体" w:cs="宋体"/>
          <w:szCs w:val="21"/>
        </w:rPr>
        <w:t xml:space="preserve">1.2.1南京市交通运输综合行政执法监督局五支队（后称“五支队”）受理后指派1名验船师，并将检验需求安排给供应商。</w:t>
      </w:r>
      <w:r/>
    </w:p>
    <w:p>
      <w:pPr>
        <w:ind w:firstLine="420"/>
        <w:spacing w:line="360" w:lineRule="auto"/>
        <w:rPr>
          <w:rFonts w:hint="eastAsia" w:ascii="宋体" w:hAnsi="宋体" w:cs="宋体"/>
          <w:szCs w:val="21"/>
        </w:rPr>
      </w:pPr>
      <w:r>
        <w:rPr>
          <w:rFonts w:hint="eastAsia" w:ascii="宋体" w:hAnsi="宋体" w:cs="宋体"/>
          <w:szCs w:val="21"/>
        </w:rPr>
        <w:t xml:space="preserve">1.2.2供应商收到船检机构的安排后，根据采购人需求指派1-2名具有B类及以上注册验船师资格证书人员，与五支队验船师组成检验小组，执行相关检验工作。</w:t>
      </w:r>
      <w:r/>
    </w:p>
    <w:p>
      <w:pPr>
        <w:ind w:firstLine="420"/>
        <w:spacing w:line="360" w:lineRule="auto"/>
        <w:rPr>
          <w:rFonts w:hint="eastAsia" w:ascii="宋体" w:hAnsi="宋体" w:cs="宋体"/>
          <w:szCs w:val="21"/>
          <w:highlight w:val="none"/>
        </w:rPr>
      </w:pPr>
      <w:r>
        <w:rPr>
          <w:rFonts w:hint="eastAsia" w:ascii="宋体" w:hAnsi="宋体" w:cs="宋体"/>
          <w:szCs w:val="21"/>
        </w:rPr>
        <w:t xml:space="preserve">1.2.3五支队验船师协调相关检验事宜，与申请人约定具体的检验时间、地点，并及时通知供应商验船师，一同实施现场检验</w:t>
      </w:r>
      <w:r>
        <w:rPr>
          <w:rFonts w:hint="eastAsia" w:ascii="宋体" w:hAnsi="宋体" w:cs="宋体"/>
          <w:szCs w:val="21"/>
          <w:highlight w:val="none"/>
        </w:rPr>
        <w:t xml:space="preserve">，申请人负责提供实施检验的便利条件。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1.2.4仅提供一次约定的现场检验，因申请人原因需重新进行检验的，由此产生的额外费用由申请人承担，不在本次招标范围内。</w:t>
      </w:r>
      <w:r/>
    </w:p>
    <w:p>
      <w:pPr>
        <w:ind w:firstLine="420"/>
        <w:spacing w:line="360" w:lineRule="auto"/>
        <w:rPr>
          <w:rFonts w:hint="eastAsia" w:ascii="宋体" w:hAnsi="宋体" w:cs="宋体"/>
          <w:bCs/>
          <w:szCs w:val="21"/>
          <w:highlight w:val="none"/>
        </w:rPr>
      </w:pPr>
      <w:r>
        <w:rPr>
          <w:rFonts w:hint="eastAsia" w:ascii="宋体" w:hAnsi="宋体" w:cs="宋体"/>
          <w:szCs w:val="21"/>
          <w:highlight w:val="none"/>
        </w:rPr>
        <w:t xml:space="preserve">1.2.5人员要求：</w:t>
      </w:r>
      <w:r>
        <w:rPr>
          <w:rFonts w:hint="eastAsia" w:ascii="宋体" w:hAnsi="宋体" w:cs="宋体"/>
          <w:bCs/>
          <w:szCs w:val="21"/>
          <w:highlight w:val="none"/>
        </w:rPr>
        <w:t xml:space="preserve">拟派项目组成员需具有从事</w:t>
      </w:r>
      <w:r>
        <w:rPr>
          <w:rFonts w:hint="eastAsia" w:ascii="宋体" w:hAnsi="宋体" w:cs="宋体"/>
          <w:szCs w:val="21"/>
          <w:highlight w:val="none"/>
        </w:rPr>
        <w:t xml:space="preserve">运输船舶检验服务</w:t>
      </w:r>
      <w:r>
        <w:rPr>
          <w:rFonts w:hint="eastAsia" w:ascii="宋体" w:hAnsi="宋体" w:cs="宋体"/>
          <w:bCs/>
          <w:szCs w:val="21"/>
          <w:highlight w:val="none"/>
        </w:rPr>
        <w:t xml:space="preserve">工作经验且具有B类及以上注册验船师资格证书，在本项目执行期间，供应商须明确项目负责人一名，项目组成员未得到采购人同意不得擅自更换，若在项目实施期间采购人发现实际提供的项目组成员跟响应文件中提供的项目组成员不一致，采购人有权取消合同。由于本项目涉及面广、整体要求高，供应商应在响应文件中列明各项专职人员，以及具体负责事宜。</w:t>
      </w:r>
      <w:r>
        <w:rPr>
          <w:rFonts w:hint="eastAsia" w:ascii="宋体" w:hAnsi="宋体" w:cs="宋体"/>
          <w:b/>
          <w:szCs w:val="21"/>
          <w:highlight w:val="none"/>
        </w:rPr>
        <w:t xml:space="preserve">成交供应商应在采购人办公地点至少派驻一名工作人员，协助收集资料、整理档案、制作证书等工作。</w:t>
      </w:r>
      <w:r/>
    </w:p>
    <w:p>
      <w:pPr>
        <w:ind w:firstLine="420"/>
        <w:spacing w:line="360" w:lineRule="auto"/>
        <w:rPr>
          <w:rFonts w:hint="eastAsia" w:ascii="宋体" w:hAnsi="宋体" w:cs="宋体"/>
          <w:szCs w:val="21"/>
        </w:rPr>
      </w:pPr>
      <w:r>
        <w:rPr>
          <w:rFonts w:hint="eastAsia" w:ascii="宋体" w:hAnsi="宋体" w:cs="宋体"/>
          <w:szCs w:val="21"/>
        </w:rPr>
        <w:t xml:space="preserve">1.3实施检验及资料整理 </w:t>
      </w:r>
      <w:r/>
    </w:p>
    <w:p>
      <w:pPr>
        <w:ind w:firstLine="420"/>
        <w:spacing w:line="360" w:lineRule="auto"/>
        <w:rPr>
          <w:rFonts w:hint="eastAsia" w:ascii="宋体" w:hAnsi="宋体" w:cs="宋体"/>
          <w:szCs w:val="21"/>
        </w:rPr>
      </w:pPr>
      <w:r>
        <w:rPr>
          <w:rFonts w:hint="eastAsia" w:ascii="宋体" w:hAnsi="宋体" w:cs="宋体"/>
          <w:szCs w:val="21"/>
        </w:rPr>
        <w:t xml:space="preserve">1.3.1检验准备</w:t>
      </w:r>
      <w:r/>
    </w:p>
    <w:p>
      <w:pPr>
        <w:ind w:firstLine="420"/>
        <w:spacing w:line="360" w:lineRule="auto"/>
        <w:rPr>
          <w:rFonts w:hint="eastAsia" w:ascii="宋体" w:hAnsi="宋体" w:cs="宋体"/>
          <w:szCs w:val="21"/>
        </w:rPr>
      </w:pPr>
      <w:r>
        <w:rPr>
          <w:rFonts w:hint="eastAsia" w:ascii="宋体" w:hAnsi="宋体" w:cs="宋体"/>
          <w:szCs w:val="21"/>
        </w:rPr>
        <w:t xml:space="preserve">五支队验船师负责船舶现场检验和协调工作，供应商验船师应配合五支队验船师进行加强检验，提前做好检验设备、检测仪器等准备工作，按交通运输部海事局颁布的《船舶法定检验技术规程》等的要求制定检验项目表。 </w:t>
      </w:r>
      <w:r/>
    </w:p>
    <w:p>
      <w:pPr>
        <w:ind w:firstLine="420"/>
        <w:spacing w:line="360" w:lineRule="auto"/>
        <w:rPr>
          <w:rFonts w:hint="eastAsia" w:ascii="宋体" w:hAnsi="宋体" w:cs="宋体"/>
          <w:szCs w:val="21"/>
        </w:rPr>
      </w:pPr>
      <w:r>
        <w:rPr>
          <w:rFonts w:hint="eastAsia" w:ascii="宋体" w:hAnsi="宋体" w:cs="宋体"/>
          <w:szCs w:val="21"/>
        </w:rPr>
        <w:t xml:space="preserve">1.3.2检验地点由五支队验船师与申请人沟通，按船舶实际停泊地点或修理地点确定。</w:t>
      </w:r>
      <w:r/>
    </w:p>
    <w:p>
      <w:pPr>
        <w:ind w:firstLine="420"/>
        <w:spacing w:line="360" w:lineRule="auto"/>
        <w:rPr>
          <w:rFonts w:hint="eastAsia" w:ascii="宋体" w:hAnsi="宋体" w:cs="宋体"/>
          <w:szCs w:val="21"/>
        </w:rPr>
      </w:pPr>
      <w:r>
        <w:rPr>
          <w:rFonts w:hint="eastAsia" w:ascii="宋体" w:hAnsi="宋体" w:cs="宋体"/>
          <w:szCs w:val="21"/>
        </w:rPr>
        <w:t xml:space="preserve">1.3.3实船检验 </w:t>
      </w:r>
      <w:r/>
    </w:p>
    <w:p>
      <w:pPr>
        <w:ind w:firstLine="420"/>
        <w:spacing w:line="360" w:lineRule="auto"/>
        <w:rPr>
          <w:rFonts w:hint="eastAsia" w:ascii="宋体" w:hAnsi="宋体" w:cs="宋体"/>
          <w:szCs w:val="21"/>
        </w:rPr>
      </w:pPr>
      <w:r>
        <w:rPr>
          <w:rFonts w:hint="eastAsia" w:ascii="宋体" w:hAnsi="宋体" w:cs="宋体"/>
          <w:szCs w:val="21"/>
        </w:rPr>
        <w:t xml:space="preserve">a.验船人员在检验过程中应严格按照检验规程规定的项目检验到位，确保实船与审批图纸、检验证书记载数据、技术档案记录一致。 </w:t>
      </w:r>
      <w:r/>
    </w:p>
    <w:p>
      <w:pPr>
        <w:ind w:firstLine="420"/>
        <w:spacing w:line="360" w:lineRule="auto"/>
        <w:rPr>
          <w:rFonts w:hint="eastAsia" w:ascii="宋体" w:hAnsi="宋体" w:cs="宋体"/>
          <w:szCs w:val="21"/>
        </w:rPr>
      </w:pPr>
      <w:r>
        <w:rPr>
          <w:rFonts w:hint="eastAsia" w:ascii="宋体" w:hAnsi="宋体" w:cs="宋体"/>
          <w:szCs w:val="21"/>
        </w:rPr>
        <w:t xml:space="preserve">b.验船人员应认真核对船舶运行状态，对检验中发现的问题，应在现场填写《船检服务工作联系单》交申请人对照整改，整改完成后进行复核，直至检验合格为止。对船舶主尺度、主机、客位等证书记载重要内容不一致的，应立即报告。  </w:t>
      </w:r>
      <w:r/>
    </w:p>
    <w:p>
      <w:pPr>
        <w:ind w:firstLine="420"/>
        <w:spacing w:line="360" w:lineRule="auto"/>
        <w:rPr>
          <w:rFonts w:hint="eastAsia" w:ascii="宋体" w:hAnsi="宋体" w:cs="宋体"/>
          <w:szCs w:val="21"/>
        </w:rPr>
      </w:pPr>
      <w:r>
        <w:rPr>
          <w:rFonts w:hint="eastAsia" w:ascii="宋体" w:hAnsi="宋体" w:cs="宋体"/>
          <w:szCs w:val="21"/>
        </w:rPr>
        <w:t xml:space="preserve">c.验船人员应收集船舶检验过程的相关资料，包括检验船舶正侧面彩色相片2张、核定检验证书记载重要数据、拍摄工作照片、缺陷照片，收集船用产品证书、缺陷整改材料作为检验报告附件。 </w:t>
      </w:r>
      <w:r/>
    </w:p>
    <w:p>
      <w:pPr>
        <w:ind w:firstLine="420"/>
        <w:spacing w:line="360" w:lineRule="auto"/>
        <w:rPr>
          <w:rFonts w:hint="eastAsia" w:ascii="宋体" w:hAnsi="宋体" w:cs="宋体"/>
          <w:szCs w:val="21"/>
        </w:rPr>
      </w:pPr>
      <w:r>
        <w:rPr>
          <w:rFonts w:hint="eastAsia" w:ascii="宋体" w:hAnsi="宋体" w:cs="宋体"/>
          <w:szCs w:val="21"/>
        </w:rPr>
        <w:t xml:space="preserve">d.验船人员应根据船舶检验种类，结合船舶实际运行状态，适时增加板厚检测、吨位复核、稳性校核、主机负荷等检验项目，确保船舶营运状态符合检验要求。 </w:t>
      </w:r>
      <w:r/>
    </w:p>
    <w:p>
      <w:pPr>
        <w:ind w:firstLine="420"/>
        <w:spacing w:line="360" w:lineRule="auto"/>
        <w:rPr>
          <w:rFonts w:hint="eastAsia" w:ascii="宋体" w:hAnsi="宋体" w:cs="宋体"/>
          <w:szCs w:val="21"/>
        </w:rPr>
      </w:pPr>
      <w:r>
        <w:rPr>
          <w:rFonts w:hint="eastAsia" w:ascii="宋体" w:hAnsi="宋体" w:cs="宋体"/>
          <w:szCs w:val="21"/>
        </w:rPr>
        <w:t xml:space="preserve">1.3.4证书制作及检验资料提交</w:t>
      </w:r>
      <w:r/>
    </w:p>
    <w:p>
      <w:pPr>
        <w:ind w:firstLine="420"/>
        <w:spacing w:line="360" w:lineRule="auto"/>
        <w:rPr>
          <w:rFonts w:hint="eastAsia" w:ascii="宋体" w:hAnsi="宋体" w:cs="宋体"/>
          <w:szCs w:val="21"/>
        </w:rPr>
      </w:pPr>
      <w:r>
        <w:rPr>
          <w:rFonts w:hint="eastAsia" w:ascii="宋体" w:hAnsi="宋体" w:cs="宋体"/>
          <w:szCs w:val="21"/>
        </w:rPr>
        <w:t xml:space="preserve">检验完成后，供应商应编制船舶检验项目和检验报告，包括检验过程中提出的缺陷情况及整改情况，签字盖章后提交五支队存档备案；供应商验船师应配合五支队验船师完成证书制作、资料整理等工作。</w:t>
      </w:r>
      <w:r/>
    </w:p>
    <w:p>
      <w:pPr>
        <w:ind w:firstLine="420"/>
        <w:spacing w:line="360" w:lineRule="auto"/>
        <w:rPr>
          <w:rFonts w:hint="eastAsia" w:ascii="宋体" w:hAnsi="宋体" w:cs="宋体"/>
          <w:szCs w:val="21"/>
        </w:rPr>
      </w:pPr>
      <w:r>
        <w:rPr>
          <w:rFonts w:hint="eastAsia" w:ascii="宋体" w:hAnsi="宋体" w:cs="宋体"/>
          <w:szCs w:val="21"/>
        </w:rPr>
        <w:t xml:space="preserve">1.3.5其他</w:t>
      </w:r>
      <w:r/>
    </w:p>
    <w:p>
      <w:pPr>
        <w:ind w:firstLine="420"/>
        <w:spacing w:line="360" w:lineRule="auto"/>
        <w:rPr>
          <w:rFonts w:hint="eastAsia" w:ascii="宋体" w:hAnsi="宋体" w:cs="宋体"/>
          <w:szCs w:val="21"/>
        </w:rPr>
      </w:pPr>
      <w:r>
        <w:rPr>
          <w:rFonts w:hint="eastAsia" w:ascii="宋体" w:hAnsi="宋体" w:cs="宋体"/>
          <w:szCs w:val="21"/>
        </w:rPr>
        <w:t xml:space="preserve">a.交通部门、海事部门、船检机构等相关单位组织开展的安全专项检查、专项整治等活动，供应商应积极参与，并结合检验贯彻落实。活动结束后应进行工作总结。</w:t>
      </w:r>
      <w:r/>
    </w:p>
    <w:p>
      <w:pPr>
        <w:ind w:firstLine="420"/>
        <w:spacing w:line="360" w:lineRule="auto"/>
        <w:rPr>
          <w:rFonts w:hint="eastAsia" w:ascii="宋体" w:hAnsi="宋体" w:cs="宋体"/>
          <w:szCs w:val="21"/>
        </w:rPr>
      </w:pPr>
      <w:r>
        <w:rPr>
          <w:rFonts w:hint="eastAsia" w:ascii="宋体" w:hAnsi="宋体" w:cs="宋体"/>
          <w:szCs w:val="21"/>
        </w:rPr>
        <w:t xml:space="preserve">b.供应商在检验过程中发现重大问题应及时报告五支队验船师，并提出合理化建议，将缺陷消除。</w:t>
      </w:r>
      <w:r/>
    </w:p>
    <w:p>
      <w:pPr>
        <w:ind w:firstLine="422"/>
        <w:spacing w:line="360" w:lineRule="auto"/>
        <w:rPr>
          <w:rFonts w:hint="eastAsia" w:ascii="宋体" w:hAnsi="宋体" w:cs="宋体"/>
          <w:b/>
          <w:bCs/>
          <w:szCs w:val="21"/>
        </w:rPr>
      </w:pPr>
      <w:r>
        <w:rPr>
          <w:rFonts w:hint="eastAsia" w:ascii="宋体" w:hAnsi="宋体" w:cs="宋体"/>
          <w:b/>
          <w:bCs/>
          <w:szCs w:val="21"/>
        </w:rPr>
        <w:t xml:space="preserve">（2）法律责任</w:t>
      </w:r>
      <w:r/>
    </w:p>
    <w:p>
      <w:pPr>
        <w:ind w:firstLine="420"/>
        <w:spacing w:line="360" w:lineRule="auto"/>
        <w:rPr>
          <w:rFonts w:hint="eastAsia" w:ascii="宋体" w:hAnsi="宋体" w:cs="宋体"/>
          <w:szCs w:val="21"/>
        </w:rPr>
      </w:pPr>
      <w:r>
        <w:rPr>
          <w:rFonts w:hint="eastAsia" w:ascii="宋体" w:hAnsi="宋体" w:cs="宋体"/>
          <w:szCs w:val="21"/>
        </w:rPr>
        <w:t xml:space="preserve">供应商及验船人员应按照法规、规范的要求对船舶进行检验，对检验质量、检验结论负责，并承担相应的法律责任。如国家、省市政府出台对供应商资质要求或条件限制的，供应商应满足其要求。无法满足时，自动解除本协议，双方各不承担责任。</w:t>
      </w:r>
      <w:r/>
    </w:p>
    <w:p>
      <w:pPr>
        <w:ind w:firstLine="422"/>
        <w:spacing w:line="360" w:lineRule="auto"/>
        <w:rPr>
          <w:rFonts w:hint="eastAsia" w:ascii="宋体" w:hAnsi="宋体" w:cs="宋体"/>
          <w:b/>
          <w:szCs w:val="21"/>
        </w:rPr>
      </w:pPr>
      <w:r>
        <w:rPr>
          <w:rFonts w:hint="eastAsia" w:ascii="宋体" w:hAnsi="宋体" w:cs="宋体"/>
          <w:b/>
          <w:bCs/>
          <w:szCs w:val="21"/>
        </w:rPr>
        <w:t xml:space="preserve">★</w:t>
      </w:r>
      <w:r>
        <w:rPr>
          <w:rFonts w:hint="eastAsia" w:ascii="宋体" w:hAnsi="宋体" w:cs="宋体"/>
          <w:b/>
          <w:szCs w:val="21"/>
        </w:rPr>
        <w:t xml:space="preserve">（二）商务要求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1.服务期和服务地点</w:t>
      </w:r>
      <w:r/>
    </w:p>
    <w:p>
      <w:pPr>
        <w:ind w:firstLine="420"/>
        <w:jc w:val="left"/>
        <w:spacing w:line="360" w:lineRule="auto"/>
        <w:rPr>
          <w:rFonts w:hint="eastAsia" w:ascii="宋体" w:hAnsi="宋体" w:cs="宋体"/>
          <w:szCs w:val="21"/>
        </w:rPr>
      </w:pPr>
      <w:r>
        <w:rPr>
          <w:rFonts w:hint="eastAsia" w:ascii="宋体" w:hAnsi="宋体" w:cs="宋体"/>
          <w:szCs w:val="21"/>
        </w:rPr>
        <w:t xml:space="preserve">（1）服务期：自合同签订之日起至合同委托内容全部履行完毕。</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（2）服务地点：按采购人要求的地点服务。</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2.付款方式</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（1）签订合同后，支付预算金额的25%作为预付款（以财政下达资金为准）；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（2）合同执行期间，成交供应商可根据实际完成检验情况向采购人申请结算，采购人按照考核结果进行支付；</w:t>
      </w:r>
      <w:r/>
    </w:p>
    <w:p>
      <w:pPr>
        <w:ind w:firstLine="420"/>
        <w:spacing w:line="360" w:lineRule="auto"/>
        <w:rPr>
          <w:rFonts w:hint="eastAsia" w:ascii="宋体" w:hAnsi="宋体" w:cs="仿宋"/>
          <w:highlight w:val="none"/>
        </w:rPr>
      </w:pPr>
      <w:r>
        <w:rPr>
          <w:rFonts w:hint="eastAsia" w:ascii="宋体" w:hAnsi="宋体" w:cs="宋体"/>
          <w:bCs/>
          <w:szCs w:val="21"/>
          <w:highlight w:val="none"/>
        </w:rPr>
        <w:t xml:space="preserve">（3）项目合同内容全部履行完毕，经采购人验收合格后据实支付尾款。</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注：①计费标准：根据国际船舶检验贯例和国内船舶检验实际情况，船舶检验均为按艘次计费，即本项目船舶每艘次检验费用=船舶检验服务费*成交折扣+差旅费。船舶检验服务费依据中华人民共和国船舶检验局《船舶检验计费标准1998》（国家发展计划委员会 </w:t>
      </w:r>
      <w:r>
        <w:rPr>
          <w:rFonts w:hint="eastAsia" w:ascii="宋体" w:hAnsi="宋体" w:cs="宋体"/>
          <w:szCs w:val="21"/>
        </w:rPr>
        <w:t xml:space="preserve">计价费[1998]800号文批准）。差旅费依据《南京市市级机关国内差旅费管理办法》（宁财行[2014]286号)和关于印发《南京市市级机关国内差旅住宿费标准明细表》（宁财行[2017]567号),实际产生的差旅费不得高于上述办法规定</w:t>
      </w:r>
      <w:r>
        <w:rPr>
          <w:rFonts w:hint="eastAsia" w:ascii="宋体" w:hAnsi="宋体" w:cs="宋体"/>
          <w:szCs w:val="21"/>
          <w:highlight w:val="none"/>
        </w:rPr>
        <w:t xml:space="preserve">的标准。因节假日、加班产生的费用不在本项目预算内，由船方提出确需加班的，项目成交供应商与船方自行协商，费用由成交供应商自行承担。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②供应商收到船检机构的安排后，根据采购人需求指派1-2名项目组成员，与五支队验船师组成检验小组，执行相关检验工作。如采购人要求供应商委派2名项目组成员，费用按照每艘次船舶检验服务费的全款支付，如只需委托1名项目组成员进行检验，费用按照每艘次船舶检验服务费的50%支付。</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③是否支付费用由考核小组根据“第三方检验机构考核办法”打分确定，</w:t>
      </w:r>
      <w:r>
        <w:rPr>
          <w:rFonts w:hint="eastAsia" w:ascii="宋体" w:hAnsi="宋体" w:cs="宋体"/>
          <w:szCs w:val="21"/>
          <w:highlight w:val="none"/>
          <w:lang w:val="zh-CN"/>
        </w:rPr>
        <w:t xml:space="preserve">结算合同总额不超过预算200万元。</w:t>
      </w:r>
      <w:r/>
    </w:p>
    <w:p>
      <w:pPr>
        <w:ind w:firstLine="422"/>
        <w:spacing w:line="360" w:lineRule="auto"/>
        <w:rPr>
          <w:rFonts w:hint="eastAsia" w:ascii="宋体" w:hAnsi="宋体" w:cs="宋体"/>
          <w:b/>
          <w:bCs/>
          <w:szCs w:val="21"/>
        </w:rPr>
      </w:pPr>
      <w:r>
        <w:rPr>
          <w:rFonts w:hint="eastAsia" w:ascii="宋体" w:hAnsi="宋体" w:cs="宋体"/>
          <w:b/>
          <w:bCs/>
          <w:szCs w:val="21"/>
        </w:rPr>
        <w:t xml:space="preserve">四、考核要求 </w:t>
      </w:r>
      <w:r/>
    </w:p>
    <w:p>
      <w:pPr>
        <w:ind w:firstLine="420"/>
        <w:spacing w:line="360" w:lineRule="auto"/>
        <w:rPr>
          <w:rFonts w:hint="eastAsia" w:ascii="宋体" w:hAnsi="宋体" w:cs="宋体"/>
          <w:szCs w:val="21"/>
        </w:rPr>
      </w:pPr>
      <w:r>
        <w:rPr>
          <w:rFonts w:hint="eastAsia" w:ascii="宋体" w:hAnsi="宋体" w:cs="宋体"/>
          <w:szCs w:val="21"/>
        </w:rPr>
        <w:t xml:space="preserve">为确保船舶检验工作质量，采购人将成立船舶检验质量考核领导小组，负责对供应商的检验工作和检验质量进行考核监督，具体按下表进行考核评分，每半年度考核一次。</w:t>
      </w:r>
      <w:r/>
    </w:p>
    <w:p>
      <w:pPr>
        <w:ind w:firstLine="420"/>
        <w:jc w:val="center"/>
        <w:spacing w:line="360" w:lineRule="auto"/>
        <w:rPr>
          <w:rFonts w:hint="eastAsia" w:ascii="宋体" w:hAnsi="宋体" w:cs="宋体"/>
          <w:szCs w:val="21"/>
        </w:rPr>
      </w:pPr>
      <w:r>
        <w:rPr>
          <w:rFonts w:hint="eastAsia" w:ascii="宋体" w:hAnsi="宋体" w:cs="宋体"/>
          <w:szCs w:val="21"/>
        </w:rPr>
        <w:t xml:space="preserve">第三方检验机构考核办法</w:t>
      </w:r>
      <w:r/>
    </w:p>
    <w:tbl>
      <w:tblPr>
        <w:tblStyle w:val="898"/>
        <w:tblW w:w="88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9"/>
        <w:gridCol w:w="894"/>
        <w:gridCol w:w="6377"/>
      </w:tblGrid>
      <w:tr>
        <w:trPr>
          <w:jc w:val="center"/>
          <w:trHeight w:val="392"/>
        </w:trPr>
        <w:tc>
          <w:tcPr>
            <w:tcW w:w="158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考核项目</w:t>
            </w:r>
            <w:r/>
          </w:p>
        </w:tc>
        <w:tc>
          <w:tcPr>
            <w:tcW w:w="8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分值</w:t>
            </w:r>
            <w:r/>
          </w:p>
        </w:tc>
        <w:tc>
          <w:tcPr>
            <w:tcW w:w="637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考核内容</w:t>
            </w:r>
            <w:r/>
          </w:p>
        </w:tc>
      </w:tr>
      <w:tr>
        <w:trPr>
          <w:jc w:val="center"/>
          <w:trHeight w:val="774"/>
        </w:trPr>
        <w:tc>
          <w:tcPr>
            <w:tcW w:w="1589"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组织机构</w:t>
            </w:r>
            <w:r/>
          </w:p>
          <w:p>
            <w:pPr>
              <w:jc w:val="center"/>
              <w:spacing w:line="360" w:lineRule="auto"/>
              <w:rPr>
                <w:rFonts w:hint="eastAsia" w:ascii="宋体" w:hAnsi="宋体" w:cs="宋体"/>
                <w:szCs w:val="21"/>
              </w:rPr>
            </w:pPr>
            <w:r>
              <w:rPr>
                <w:rFonts w:hint="eastAsia" w:ascii="宋体" w:hAnsi="宋体" w:cs="宋体"/>
                <w:szCs w:val="21"/>
              </w:rPr>
              <w:t xml:space="preserve">(20分)</w:t>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第三方检验机构建立完整的内部管理制度及工作流程，制度或流程不完善的酌情扣分。</w:t>
            </w:r>
            <w:r/>
          </w:p>
        </w:tc>
      </w:tr>
      <w:tr>
        <w:trPr>
          <w:jc w:val="center"/>
          <w:trHeight w:val="392"/>
        </w:trPr>
        <w:tc>
          <w:tcPr>
            <w:tcW w:w="158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建立验船人员奖罚考核制度，制度不完善的酌情扣分。</w:t>
            </w:r>
            <w:r/>
          </w:p>
        </w:tc>
      </w:tr>
      <w:tr>
        <w:trPr>
          <w:jc w:val="center"/>
          <w:trHeight w:val="90"/>
        </w:trPr>
        <w:tc>
          <w:tcPr>
            <w:tcW w:w="158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开展验船人员业务培训活动（每半年至少一次），不开展的不得分。</w:t>
            </w:r>
            <w:r/>
          </w:p>
        </w:tc>
      </w:tr>
      <w:tr>
        <w:trPr>
          <w:jc w:val="center"/>
          <w:trHeight w:val="90"/>
        </w:trPr>
        <w:tc>
          <w:tcPr>
            <w:tcW w:w="158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验船公司在岗持证人员数量低于招标要求的，不得分</w:t>
            </w:r>
            <w:r/>
          </w:p>
        </w:tc>
      </w:tr>
      <w:tr>
        <w:trPr>
          <w:jc w:val="center"/>
          <w:trHeight w:val="774"/>
        </w:trPr>
        <w:tc>
          <w:tcPr>
            <w:tcW w:w="158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配备齐全的验船工具、仪器、仪表和劳保用品，设备不齐全的酌情扣分。</w:t>
            </w:r>
            <w:r/>
          </w:p>
        </w:tc>
      </w:tr>
      <w:tr>
        <w:trPr>
          <w:jc w:val="center"/>
          <w:trHeight w:val="392"/>
        </w:trPr>
        <w:tc>
          <w:tcPr>
            <w:tcW w:w="158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专门从事该项工作的不少于6名验船师，少一人扣1分。</w:t>
            </w:r>
            <w:r/>
          </w:p>
        </w:tc>
      </w:tr>
      <w:tr>
        <w:trPr>
          <w:jc w:val="center"/>
          <w:trHeight w:val="863"/>
        </w:trPr>
        <w:tc>
          <w:tcPr>
            <w:tcW w:w="1589"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工作要求</w:t>
            </w:r>
            <w:r/>
          </w:p>
          <w:p>
            <w:pPr>
              <w:jc w:val="center"/>
              <w:spacing w:line="360" w:lineRule="auto"/>
              <w:rPr>
                <w:rFonts w:hint="eastAsia" w:ascii="宋体" w:hAnsi="宋体" w:cs="宋体"/>
                <w:szCs w:val="21"/>
              </w:rPr>
            </w:pPr>
            <w:r>
              <w:rPr>
                <w:rFonts w:hint="eastAsia" w:ascii="宋体" w:hAnsi="宋体" w:cs="宋体"/>
                <w:szCs w:val="21"/>
              </w:rPr>
              <w:t xml:space="preserve">（40分）</w:t>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因第三方检验机构原因导致审核或检验超过规定日期的，每件0.5分</w:t>
            </w:r>
            <w:r/>
          </w:p>
        </w:tc>
      </w:tr>
      <w:tr>
        <w:trPr>
          <w:jc w:val="center"/>
          <w:trHeight w:val="447"/>
        </w:trPr>
        <w:tc>
          <w:tcPr>
            <w:tcW w:w="158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检验项目表制定有重大缺项的或检验项目有严重漏检的，每件扣0.5分。</w:t>
            </w:r>
            <w:r/>
          </w:p>
        </w:tc>
      </w:tr>
      <w:tr>
        <w:trPr>
          <w:jc w:val="center"/>
          <w:trHeight w:val="90"/>
        </w:trPr>
        <w:tc>
          <w:tcPr>
            <w:tcW w:w="158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检验资料不齐全或有严重错误被船检机构退回的，每件扣0.5分。</w:t>
            </w:r>
            <w:r/>
          </w:p>
        </w:tc>
      </w:tr>
      <w:tr>
        <w:trPr>
          <w:jc w:val="center"/>
          <w:trHeight w:val="774"/>
        </w:trPr>
        <w:tc>
          <w:tcPr>
            <w:tcW w:w="158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检验记录、检验报告编制存在数据填写重大差错或数据与实船不符的，每件扣1分。</w:t>
            </w:r>
            <w:r/>
          </w:p>
        </w:tc>
      </w:tr>
      <w:tr>
        <w:trPr>
          <w:jc w:val="center"/>
          <w:trHeight w:val="392"/>
        </w:trPr>
        <w:tc>
          <w:tcPr>
            <w:tcW w:w="158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技术资料与档案丢失的，每件扣1分</w:t>
            </w:r>
            <w:r/>
          </w:p>
        </w:tc>
      </w:tr>
      <w:tr>
        <w:trPr>
          <w:jc w:val="center"/>
          <w:trHeight w:val="90"/>
        </w:trPr>
        <w:tc>
          <w:tcPr>
            <w:tcW w:w="1589"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监督检查</w:t>
            </w:r>
            <w:r/>
          </w:p>
          <w:p>
            <w:pPr>
              <w:jc w:val="center"/>
              <w:spacing w:line="360" w:lineRule="auto"/>
              <w:rPr>
                <w:rFonts w:hint="eastAsia" w:ascii="宋体" w:hAnsi="宋体" w:cs="宋体"/>
                <w:szCs w:val="21"/>
              </w:rPr>
            </w:pPr>
            <w:r>
              <w:rPr>
                <w:rFonts w:hint="eastAsia" w:ascii="宋体" w:hAnsi="宋体" w:cs="宋体"/>
                <w:szCs w:val="21"/>
              </w:rPr>
              <w:t xml:space="preserve">（40分）</w:t>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因服务质量问题被投诉核实的，每起扣1分。</w:t>
            </w:r>
            <w:r/>
          </w:p>
        </w:tc>
      </w:tr>
      <w:tr>
        <w:trPr>
          <w:jc w:val="center"/>
          <w:trHeight w:val="392"/>
        </w:trPr>
        <w:tc>
          <w:tcPr>
            <w:tcW w:w="158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因检验质量问题被投诉核实的，每起扣1分。</w:t>
            </w:r>
            <w:r/>
          </w:p>
        </w:tc>
      </w:tr>
      <w:tr>
        <w:trPr>
          <w:jc w:val="center"/>
          <w:trHeight w:val="774"/>
        </w:trPr>
        <w:tc>
          <w:tcPr>
            <w:tcW w:w="158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15</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五支队验船师在检验过程中发现不规范的检验行为，经查实的每起扣1分</w:t>
            </w:r>
            <w:r/>
          </w:p>
        </w:tc>
      </w:tr>
      <w:tr>
        <w:trPr>
          <w:jc w:val="center"/>
          <w:trHeight w:val="90"/>
        </w:trPr>
        <w:tc>
          <w:tcPr>
            <w:tcW w:w="158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因检验质量问题被海事部门或相关部门通报经核实的，每起扣1分。</w:t>
            </w:r>
            <w:r/>
          </w:p>
        </w:tc>
      </w:tr>
      <w:tr>
        <w:trPr>
          <w:jc w:val="center"/>
          <w:trHeight w:val="1156"/>
        </w:trPr>
        <w:tc>
          <w:tcPr>
            <w:tcW w:w="158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奖励措施</w:t>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第三方检验机构及验船人员工作出色受到县级以上人民政府或相关部门表彰的，县级加1分，市级加2分；省级加3分；国家级加5分。</w:t>
            </w:r>
            <w:r/>
          </w:p>
        </w:tc>
      </w:tr>
      <w:tr>
        <w:trPr>
          <w:jc w:val="center"/>
          <w:trHeight w:val="1186"/>
        </w:trPr>
        <w:tc>
          <w:tcPr>
            <w:tcW w:w="158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否决条件</w:t>
            </w:r>
            <w:r/>
          </w:p>
        </w:tc>
        <w:tc>
          <w:tcPr>
            <w:tcW w:w="8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637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有下列情形之一的采购人有权提前终止合同，并不予任何赔偿或补偿。</w:t>
            </w:r>
            <w:r/>
          </w:p>
          <w:p>
            <w:pPr>
              <w:spacing w:line="360" w:lineRule="auto"/>
              <w:rPr>
                <w:rFonts w:hint="eastAsia" w:ascii="宋体" w:hAnsi="宋体" w:cs="宋体"/>
                <w:szCs w:val="21"/>
              </w:rPr>
            </w:pPr>
            <w:r>
              <w:rPr>
                <w:rFonts w:hint="eastAsia" w:ascii="宋体" w:hAnsi="宋体" w:cs="宋体"/>
                <w:szCs w:val="21"/>
              </w:rPr>
              <w:t xml:space="preserve">1、未经受理开展检验的；</w:t>
            </w:r>
            <w:r/>
          </w:p>
          <w:p>
            <w:pPr>
              <w:spacing w:line="360" w:lineRule="auto"/>
              <w:rPr>
                <w:rFonts w:hint="eastAsia" w:ascii="宋体" w:hAnsi="宋体" w:cs="宋体"/>
                <w:szCs w:val="21"/>
              </w:rPr>
            </w:pPr>
            <w:r>
              <w:rPr>
                <w:rFonts w:hint="eastAsia" w:ascii="宋体" w:hAnsi="宋体" w:cs="宋体"/>
                <w:szCs w:val="21"/>
              </w:rPr>
              <w:t xml:space="preserve">2、第三方检验机构及验船人员违反廉政规定的；</w:t>
            </w:r>
            <w:r/>
          </w:p>
          <w:p>
            <w:pPr>
              <w:spacing w:line="360" w:lineRule="auto"/>
              <w:rPr>
                <w:rFonts w:hint="eastAsia" w:ascii="宋体" w:hAnsi="宋体" w:cs="宋体"/>
                <w:szCs w:val="21"/>
              </w:rPr>
            </w:pPr>
            <w:r>
              <w:rPr>
                <w:rFonts w:hint="eastAsia" w:ascii="宋体" w:hAnsi="宋体" w:cs="宋体"/>
                <w:szCs w:val="21"/>
              </w:rPr>
              <w:t xml:space="preserve">3、因为船检质量发生重大安全责任事故的。</w:t>
            </w:r>
            <w:r/>
          </w:p>
        </w:tc>
      </w:tr>
    </w:tbl>
    <w:p>
      <w:pPr>
        <w:ind w:firstLine="420"/>
        <w:spacing w:line="360" w:lineRule="auto"/>
        <w:rPr>
          <w:rFonts w:hint="eastAsia" w:ascii="宋体" w:hAnsi="宋体" w:cs="宋体"/>
          <w:szCs w:val="21"/>
        </w:rPr>
      </w:pPr>
      <w:r>
        <w:rPr>
          <w:rFonts w:hint="eastAsia" w:ascii="宋体" w:hAnsi="宋体" w:cs="宋体"/>
          <w:szCs w:val="21"/>
        </w:rPr>
        <w:t xml:space="preserve">备注：</w:t>
      </w:r>
      <w:r/>
    </w:p>
    <w:p>
      <w:pPr>
        <w:ind w:firstLine="420"/>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 MERGEFORMAT </w:instrText>
      </w:r>
      <w:r>
        <w:rPr>
          <w:rFonts w:hint="eastAsia" w:ascii="宋体" w:hAnsi="宋体" w:cs="宋体"/>
          <w:szCs w:val="21"/>
        </w:rPr>
        <w:fldChar w:fldCharType="separate"/>
      </w:r>
      <w:r>
        <w:rPr>
          <w:rFonts w:hint="eastAsia" w:ascii="宋体" w:hAnsi="宋体" w:cs="宋体"/>
        </w:rPr>
        <w:t xml:space="preserve">①</w:t>
      </w:r>
      <w:r>
        <w:rPr>
          <w:rFonts w:hint="eastAsia" w:ascii="宋体" w:hAnsi="宋体" w:cs="宋体"/>
          <w:szCs w:val="21"/>
        </w:rPr>
        <w:fldChar w:fldCharType="end"/>
      </w:r>
      <w:r>
        <w:rPr>
          <w:rFonts w:hint="eastAsia" w:ascii="宋体" w:hAnsi="宋体" w:cs="宋体"/>
          <w:szCs w:val="21"/>
        </w:rPr>
        <w:t xml:space="preserve">采购人根据上表进行考核打分。总分低于60分为不合格，采购人将扣除当期应付款。供应商考核不合格的或存在严重违规违纪情况的，采购人有权提前终止合同，并不予任何赔偿或补偿。</w:t>
      </w:r>
      <w:r/>
    </w:p>
    <w:p>
      <w:pPr>
        <w:ind w:firstLine="420"/>
        <w:spacing w:line="360" w:lineRule="auto"/>
        <w:rPr>
          <w:rFonts w:hint="eastAsia" w:ascii="宋体" w:hAnsi="宋体" w:cs="宋体"/>
          <w:szCs w:val="21"/>
        </w:rPr>
      </w:pPr>
      <w:r>
        <w:rPr>
          <w:rFonts w:hint="eastAsia" w:ascii="宋体" w:hAnsi="宋体" w:cs="宋体"/>
          <w:szCs w:val="21"/>
        </w:rPr>
        <w:t xml:space="preserve">考核得分90分（含）以上的，采购人支付当期合同款；</w:t>
      </w:r>
      <w:r/>
    </w:p>
    <w:p>
      <w:pPr>
        <w:ind w:firstLine="420"/>
        <w:spacing w:line="360" w:lineRule="auto"/>
        <w:rPr>
          <w:rFonts w:hint="eastAsia" w:ascii="宋体" w:hAnsi="宋体" w:cs="宋体"/>
          <w:szCs w:val="21"/>
        </w:rPr>
      </w:pPr>
      <w:r>
        <w:rPr>
          <w:rFonts w:hint="eastAsia" w:ascii="宋体" w:hAnsi="宋体" w:cs="宋体"/>
          <w:szCs w:val="21"/>
        </w:rPr>
        <w:t xml:space="preserve">考核得分80分（含）以上，90分（不含）以下的，采购人扣除5%的当期应付款；</w:t>
      </w:r>
      <w:r/>
    </w:p>
    <w:p>
      <w:pPr>
        <w:ind w:firstLine="420"/>
        <w:spacing w:line="360" w:lineRule="auto"/>
        <w:rPr>
          <w:rFonts w:hint="eastAsia" w:ascii="宋体" w:hAnsi="宋体" w:cs="宋体"/>
          <w:szCs w:val="21"/>
        </w:rPr>
      </w:pPr>
      <w:r>
        <w:rPr>
          <w:rFonts w:hint="eastAsia" w:ascii="宋体" w:hAnsi="宋体" w:cs="宋体"/>
          <w:szCs w:val="21"/>
        </w:rPr>
        <w:t xml:space="preserve">考核得分70分（含）以上，80分（不含）以下的，采购人扣除10%的当期应付款；</w:t>
      </w:r>
      <w:r/>
    </w:p>
    <w:p>
      <w:pPr>
        <w:ind w:firstLine="420"/>
        <w:spacing w:line="360" w:lineRule="auto"/>
        <w:rPr>
          <w:rFonts w:hint="eastAsia" w:ascii="宋体" w:hAnsi="宋体" w:cs="宋体"/>
          <w:szCs w:val="21"/>
        </w:rPr>
      </w:pPr>
      <w:r>
        <w:rPr>
          <w:rFonts w:hint="eastAsia" w:ascii="宋体" w:hAnsi="宋体" w:cs="宋体"/>
          <w:szCs w:val="21"/>
        </w:rPr>
        <w:t xml:space="preserve">考核得分60分（含）以上，70分（不含）以下的，采购人扣除20%的当期应付款。</w:t>
      </w:r>
      <w:r/>
    </w:p>
    <w:p>
      <w:pPr>
        <w:ind w:firstLine="420"/>
        <w:keepLines/>
        <w:keepNex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 MERGEFORMAT </w:instrText>
      </w:r>
      <w:r>
        <w:rPr>
          <w:rFonts w:hint="eastAsia" w:ascii="宋体" w:hAnsi="宋体" w:cs="宋体"/>
          <w:szCs w:val="21"/>
        </w:rPr>
        <w:fldChar w:fldCharType="separate"/>
      </w:r>
      <w:r>
        <w:rPr>
          <w:rFonts w:hint="eastAsia" w:ascii="宋体" w:hAnsi="宋体" w:cs="宋体"/>
        </w:rPr>
        <w:t xml:space="preserve">②</w:t>
      </w:r>
      <w:r>
        <w:rPr>
          <w:rFonts w:hint="eastAsia" w:ascii="宋体" w:hAnsi="宋体" w:cs="宋体"/>
          <w:szCs w:val="21"/>
        </w:rPr>
        <w:fldChar w:fldCharType="end"/>
      </w:r>
      <w:r>
        <w:rPr>
          <w:rFonts w:hint="eastAsia" w:ascii="宋体" w:hAnsi="宋体" w:cs="宋体"/>
          <w:szCs w:val="21"/>
        </w:rPr>
        <w:t xml:space="preserve">船舶被海事部门或其他相关部门因检验质量问题通报时，且最近一次定期检验为成交供应商提供技术支持的，经采购人查实的，扣除该船定期检验费用的20%。需临时检验的由供应商进行临时检验，费用由供应商自行承担。</w:t>
      </w:r>
      <w:r/>
    </w:p>
    <w:p>
      <w:pPr>
        <w:ind w:firstLine="420"/>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 MERGEFORMAT </w:instrText>
      </w:r>
      <w:r>
        <w:rPr>
          <w:rFonts w:hint="eastAsia" w:ascii="宋体" w:hAnsi="宋体" w:cs="宋体"/>
          <w:szCs w:val="21"/>
        </w:rPr>
        <w:fldChar w:fldCharType="separate"/>
      </w:r>
      <w:r>
        <w:rPr>
          <w:rFonts w:hint="eastAsia" w:ascii="宋体" w:hAnsi="宋体" w:cs="宋体"/>
        </w:rPr>
        <w:t xml:space="preserve">③</w:t>
      </w:r>
      <w:r>
        <w:rPr>
          <w:rFonts w:hint="eastAsia" w:ascii="宋体" w:hAnsi="宋体" w:cs="宋体"/>
          <w:szCs w:val="21"/>
        </w:rPr>
        <w:fldChar w:fldCharType="end"/>
      </w:r>
      <w:r>
        <w:rPr>
          <w:rFonts w:hint="eastAsia" w:ascii="宋体" w:hAnsi="宋体" w:cs="宋体"/>
          <w:szCs w:val="21"/>
        </w:rPr>
        <w:t xml:space="preserve">考核期内完成船舶检验的艘数和检验类别，以船检机构发证系统的统计数据为准。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④如成交供应商在上述工作要求和组织机构考核内容中多次存在违规行为，在达到3次时，采购人应当具有单方解除权。如因成交供应商原因，导致船只检验数据偏差大，问题船只造成的交通事故或者其他人身财产损失，导致采购人被追偿或问责的，应当对成交供应商进行追偿和追责。</w:t>
      </w:r>
      <w:r/>
    </w:p>
    <w:p>
      <w:pPr>
        <w:ind w:firstLine="480"/>
        <w:jc w:val="left"/>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firstLine="482"/>
        <w:jc w:val="left"/>
        <w:spacing w:line="360" w:lineRule="auto"/>
        <w:rPr>
          <w:rFonts w:hint="eastAsia"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注：本章节加“★”内容为实质性要求，需在《技术要求响应及偏离表》和《商务要求响应及偏离表》中明确响应，供应商未对实质性要求明确响应或有负偏离的，按无效响应处理。</w:t>
      </w:r>
      <w:r/>
    </w:p>
    <w:p>
      <w:pPr>
        <w:rPr>
          <w:rFonts w:hint="eastAsia" w:cs="宋体" w:asciiTheme="minorEastAsia" w:hAnsiTheme="minorEastAsia" w:eastAsiaTheme="minorEastAsia"/>
          <w:b/>
          <w:bCs/>
          <w:color w:val="ff0000"/>
          <w:szCs w:val="21"/>
        </w:rPr>
      </w:pPr>
      <w:r>
        <w:rPr>
          <w:rFonts w:hint="eastAsia" w:cs="宋体" w:asciiTheme="minorEastAsia" w:hAnsiTheme="minorEastAsia" w:eastAsiaTheme="minorEastAsia"/>
          <w:b/>
          <w:bCs/>
          <w:color w:val="ff0000"/>
          <w:szCs w:val="21"/>
        </w:rPr>
      </w:r>
      <w:r/>
    </w:p>
    <w:p>
      <w:pPr>
        <w:rPr>
          <w:rFonts w:hint="eastAsia" w:asciiTheme="minorEastAsia" w:hAnsiTheme="minorEastAsia" w:eastAsiaTheme="minorEastAsia"/>
        </w:rPr>
      </w:pPr>
      <w:r/>
      <w:bookmarkStart w:id="92" w:name="_Toc67494810"/>
      <w:r/>
      <w:bookmarkStart w:id="93" w:name="_Toc176878663"/>
      <w:r/>
      <w:r/>
    </w:p>
    <w:p>
      <w:pPr>
        <w:rPr>
          <w:rFonts w:hint="eastAsia" w:asciiTheme="minorEastAsia" w:hAnsiTheme="minorEastAsia" w:eastAsiaTheme="minorEastAsia"/>
        </w:rPr>
      </w:pPr>
      <w:r>
        <w:rPr>
          <w:rFonts w:hint="eastAsia" w:asciiTheme="minorEastAsia" w:hAnsiTheme="minorEastAsia" w:eastAsiaTheme="minorEastAsia"/>
        </w:rPr>
        <w:br w:type="page" w:clear="all"/>
      </w:r>
      <w:r/>
    </w:p>
    <w:p>
      <w:pPr>
        <w:pStyle w:val="888"/>
        <w:numPr>
          <w:ilvl w:val="0"/>
          <w:numId w:val="0"/>
        </w:numPr>
        <w:ind w:left="567"/>
        <w:rPr>
          <w:rFonts w:hint="eastAsia" w:asciiTheme="minorEastAsia" w:hAnsiTheme="minorEastAsia" w:eastAsiaTheme="minorEastAsia"/>
        </w:rPr>
      </w:pPr>
      <w:r>
        <w:rPr>
          <w:rFonts w:hint="eastAsia" w:asciiTheme="minorEastAsia" w:hAnsiTheme="minorEastAsia" w:eastAsiaTheme="minorEastAsia"/>
        </w:rPr>
        <w:t xml:space="preserve">第五章 合同主要条款及格式</w:t>
      </w:r>
      <w:bookmarkEnd w:id="90"/>
      <w:r/>
      <w:bookmarkEnd w:id="91"/>
      <w:r/>
      <w:bookmarkEnd w:id="92"/>
      <w:r/>
      <w:bookmarkEnd w:id="93"/>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bookmarkStart w:id="94" w:name="_Toc12929"/>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bookmarkStart w:id="95" w:name="_Hlk164774502"/>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供应商（乙方）：</w:t>
      </w:r>
      <w:r>
        <w:rPr>
          <w:rFonts w:hint="eastAsia" w:cs="宋体" w:asciiTheme="minorEastAsia" w:hAnsiTheme="minorEastAsia" w:eastAsiaTheme="minorEastAsia"/>
          <w:b/>
          <w:bCs/>
          <w:sz w:val="32"/>
          <w:szCs w:val="32"/>
          <w:u w:val="single"/>
        </w:rPr>
        <w:t xml:space="preserve">       </w:t>
      </w:r>
      <w:bookmarkEnd w:id="95"/>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jc w:val="center"/>
        <w:spacing w:line="360" w:lineRule="auto"/>
        <w:shd w:val="clear" w:color="auto" w:fill="ffffff"/>
        <w:widowControl/>
        <w:rPr>
          <w:rFonts w:hint="eastAsia" w:cs="宋体" w:asciiTheme="minorEastAsia" w:hAnsiTheme="minorEastAsia" w:eastAsiaTheme="minorEastAsia"/>
          <w:color w:val="ff0000"/>
          <w:sz w:val="24"/>
        </w:rPr>
      </w:pPr>
      <w:r>
        <w:rPr>
          <w:rFonts w:hint="eastAsia" w:cs="宋体" w:asciiTheme="minorEastAsia" w:hAnsiTheme="minorEastAsia" w:eastAsiaTheme="minorEastAsia"/>
          <w:sz w:val="24"/>
        </w:rPr>
        <w:br w:type="page" w:clear="all"/>
      </w:r>
      <w:bookmarkStart w:id="96" w:name="_Hlk44666747"/>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合同编号：</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bl>
      <w:tblPr>
        <w:tblStyle w:val="898"/>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 合同标的</w:t>
      </w:r>
      <w:r>
        <w:rPr>
          <w:rFonts w:hint="eastAsia" w:cs="宋体" w:asciiTheme="minorEastAsia" w:hAnsiTheme="minorEastAsia" w:eastAsiaTheme="minorEastAsia"/>
          <w:szCs w:val="21"/>
        </w:rPr>
        <w:t xml:space="preserve"> </w:t>
      </w:r>
      <w:r/>
    </w:p>
    <w:p>
      <w:pPr>
        <w:ind w:firstLine="422"/>
        <w:spacing w:line="360" w:lineRule="auto"/>
        <w:shd w:val="clear" w:color="auto" w:fill="ffffff"/>
        <w:widowControl/>
        <w:rPr>
          <w:rFonts w:hint="eastAsia" w:cs="宋体" w:asciiTheme="minorEastAsia" w:hAnsiTheme="minorEastAsia" w:eastAsiaTheme="minorEastAsia"/>
          <w:szCs w:val="21"/>
          <w:highlight w:val="none"/>
          <w:u w:val="single"/>
        </w:rPr>
      </w:pPr>
      <w:r>
        <w:rPr>
          <w:rFonts w:hint="eastAsia" w:cs="宋体" w:asciiTheme="minorEastAsia" w:hAnsiTheme="minorEastAsia" w:eastAsiaTheme="minorEastAsia"/>
          <w:szCs w:val="21"/>
        </w:rPr>
        <w:t xml:space="preserve">乙方根据甲方要求</w:t>
      </w:r>
      <w:r>
        <w:rPr>
          <w:rFonts w:hint="eastAsia" w:cs="宋体" w:asciiTheme="minorEastAsia" w:hAnsiTheme="minorEastAsia" w:eastAsiaTheme="minorEastAsia"/>
          <w:szCs w:val="21"/>
          <w:highlight w:val="none"/>
        </w:rPr>
        <w:t xml:space="preserve">提供下列服务：</w:t>
      </w:r>
      <w:r>
        <w:rPr>
          <w:rFonts w:hint="eastAsia" w:cs="宋体" w:asciiTheme="minorEastAsia" w:hAnsiTheme="minorEastAsia" w:eastAsiaTheme="minorEastAsia"/>
          <w:szCs w:val="21"/>
          <w:highlight w:val="none"/>
          <w:u w:val="single"/>
        </w:rPr>
        <w:t xml:space="preserve">服务内容详见</w:t>
      </w:r>
      <w:r>
        <w:rPr>
          <w:rFonts w:hint="eastAsia" w:asciiTheme="minorEastAsia" w:hAnsiTheme="minorEastAsia" w:eastAsiaTheme="minorEastAsia"/>
          <w:szCs w:val="21"/>
          <w:highlight w:val="none"/>
          <w:u w:val="single"/>
        </w:rPr>
        <w:t xml:space="preserve">竞争性磋商文件</w:t>
      </w:r>
      <w:r>
        <w:rPr>
          <w:rFonts w:hint="eastAsia" w:cs="宋体" w:asciiTheme="minorEastAsia" w:hAnsiTheme="minorEastAsia" w:eastAsiaTheme="minorEastAsia"/>
          <w:szCs w:val="21"/>
          <w:highlight w:val="none"/>
          <w:u w:val="single"/>
        </w:rPr>
        <w:t xml:space="preserve">及乙方响应性文件等。</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第二条 合同总价款</w:t>
      </w:r>
      <w:r>
        <w:rPr>
          <w:rFonts w:hint="eastAsia" w:cs="宋体" w:asciiTheme="minorEastAsia" w:hAnsiTheme="minorEastAsia" w:eastAsiaTheme="minorEastAsia"/>
          <w:szCs w:val="21"/>
          <w:highlight w:val="none"/>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本合同项下成交折扣为</w:t>
      </w:r>
      <w:r>
        <w:rPr>
          <w:rFonts w:hint="eastAsia" w:cs="Arial" w:asciiTheme="minorEastAsia" w:hAnsiTheme="minorEastAsia" w:eastAsiaTheme="minorEastAsia"/>
          <w:bCs/>
          <w:szCs w:val="21"/>
          <w:highlight w:val="none"/>
        </w:rPr>
        <w:t xml:space="preserve">中华人民共和国船舶检验局《船舶检验计费标准1998》（国家发展计划委员会 计价费[1998]800号文）规定的收费</w:t>
      </w:r>
      <w:r>
        <w:rPr>
          <w:rFonts w:hint="eastAsia" w:cs="宋体" w:asciiTheme="minorEastAsia" w:hAnsiTheme="minorEastAsia" w:eastAsiaTheme="minorEastAsia"/>
          <w:szCs w:val="21"/>
          <w:highlight w:val="none"/>
        </w:rPr>
        <w:t xml:space="preserve">_________</w:t>
      </w:r>
      <w:r>
        <w:rPr>
          <w:rFonts w:cs="宋体" w:asciiTheme="minorEastAsia" w:hAnsiTheme="minorEastAsia" w:eastAsiaTheme="minorEastAsia"/>
          <w:szCs w:val="21"/>
          <w:highlight w:val="none"/>
        </w:rPr>
        <w:t xml:space="preserve">%</w:t>
      </w:r>
      <w:r>
        <w:rPr>
          <w:rFonts w:hint="eastAsia" w:cs="宋体" w:asciiTheme="minorEastAsia" w:hAnsiTheme="minorEastAsia" w:eastAsiaTheme="minorEastAsia"/>
          <w:szCs w:val="21"/>
          <w:highlight w:val="none"/>
        </w:rPr>
        <w:t xml:space="preserve">计算。</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甲方就本合同不再向乙方支付任何其他款项。 </w:t>
      </w:r>
      <w:r/>
    </w:p>
    <w:p>
      <w:pPr>
        <w:ind w:firstLine="413"/>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11"/>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和有关附件是本合同不可分割的组成部分，与本合同具有同等法律效力。</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乙方提供的服务必须全部达到</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各项要求，国家或行业有规定的，还要符合相应规定。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1.乙方应当在甲方规定的时间内完成</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规定的项目并交付甲方使用，不得影响项目的进度计划。</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有约定的，从其约定。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2.甲方自行组织或视情邀请相关专家或国家认可的质量检测机构参加验收，乙方提供的服务不符合</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和合同规定的，甲方有权拒收，乙方承担验收费用等。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highlight w:val="none"/>
        </w:rPr>
        <w:t xml:space="preserve">.本合同项下的采购资金由甲方自行支付，乙方向甲方开具发票。</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3.付款方式：</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（1）签订合同后，支付预算金额的25%作为预付款（以财政下达资金为准）；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（2）合同执行期间，乙方可根据实际完成检验情况向甲方申请结算，甲方按照考核结果进行支付；</w:t>
      </w:r>
      <w:r/>
    </w:p>
    <w:p>
      <w:pPr>
        <w:ind w:firstLine="420"/>
        <w:spacing w:line="360" w:lineRule="auto"/>
        <w:rPr>
          <w:rFonts w:hint="eastAsia" w:ascii="宋体" w:hAnsi="宋体" w:cs="仿宋"/>
          <w:highlight w:val="none"/>
        </w:rPr>
      </w:pPr>
      <w:r>
        <w:rPr>
          <w:rFonts w:hint="eastAsia" w:ascii="宋体" w:hAnsi="宋体" w:cs="宋体"/>
          <w:bCs/>
          <w:szCs w:val="21"/>
          <w:highlight w:val="none"/>
        </w:rPr>
        <w:t xml:space="preserve">（3）项目合同内容全部履行完毕，经甲方验收合格后据实支付尾款。</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注：①计费标准：根据国际船舶检验贯例和国内船舶检验实际情况，船舶检验均为按艘次计费，即本项目每艘次费用=</w:t>
      </w:r>
      <w:bookmarkStart w:id="97" w:name="_Hlk181882341"/>
      <w:r>
        <w:rPr>
          <w:rFonts w:hint="eastAsia" w:ascii="宋体" w:hAnsi="宋体" w:cs="宋体"/>
          <w:szCs w:val="21"/>
          <w:highlight w:val="none"/>
        </w:rPr>
        <w:t xml:space="preserve">船舶检验服务费*成交折扣+差旅费。</w:t>
      </w:r>
      <w:bookmarkEnd w:id="97"/>
      <w:r>
        <w:rPr>
          <w:rFonts w:hint="eastAsia" w:ascii="宋体" w:hAnsi="宋体" w:cs="宋体"/>
          <w:szCs w:val="21"/>
          <w:highlight w:val="none"/>
        </w:rPr>
        <w:t xml:space="preserve">船舶检验服务费依据中华人民共和国船舶检验局《船舶检验计费标准1998》（国家发展计划委员会 计价费[1998]800号文批准）。差旅费依据《南京市市级机关国内差旅费管理办法》（宁财行[2014]286号)和关于印发《南京市市级机关国内差旅住宿费标准明细表》（宁财行[2017]567号),实际产生的差旅费不得高于上述办法规定的标准。因节假日、加班产生的费用不在本项目预算内，由船方提出确需加班的，乙方与船方自行协商，费用由乙方自行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②乙方收到船检机构的安排后，根据甲方需求指派1-2名项目组成员，与五支队验船师组成检验小组，执行相关检验工作。如甲方要求乙方委派2名项目组成员，费用按照每艘次船舶检验服务费的全款支付，如只需委托1名项目组成员进行检验，费用按照每艘次船舶检验服务费的50%支付。</w:t>
      </w:r>
      <w:r/>
    </w:p>
    <w:p>
      <w:pPr>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rPr>
        <w:t xml:space="preserve">③是否支付费用由考核小组根据“第三方检验机构考核办法”打分确定，</w:t>
      </w:r>
      <w:r>
        <w:rPr>
          <w:rFonts w:hint="eastAsia" w:ascii="宋体" w:hAnsi="宋体" w:cs="宋体"/>
          <w:szCs w:val="21"/>
          <w:highlight w:val="none"/>
          <w:lang w:val="zh-CN"/>
        </w:rPr>
        <w:t xml:space="preserve">结算合同总额不超过预算200万元。</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第八条 违约责任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1.甲方无正当理由拒绝验收或拒付款的，甲方向乙方偿付合同总价的5%违约金。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6.乙方虚假承诺，或经权威部门检测提供的货物或服务不能满足</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rPr>
        <w:t xml:space="preserve">2.除发生法律规定的不能预见、不能避免并不能克服的客观情况外，甲乙双方不得放弃或拒绝</w:t>
      </w:r>
      <w:r>
        <w:rPr>
          <w:rFonts w:hint="eastAsia" w:cs="宋体" w:asciiTheme="minorEastAsia" w:hAnsiTheme="minorEastAsia" w:eastAsiaTheme="minorEastAsia"/>
          <w:szCs w:val="21"/>
          <w:highlight w:val="none"/>
        </w:rPr>
        <w:t xml:space="preserve">履行合同。</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第十一条</w:t>
      </w:r>
      <w:r>
        <w:rPr>
          <w:rFonts w:cs="宋体" w:asciiTheme="minorEastAsia" w:hAnsiTheme="minorEastAsia" w:eastAsiaTheme="minorEastAsia"/>
          <w:b/>
          <w:bCs/>
          <w:szCs w:val="21"/>
          <w:highlight w:val="none"/>
        </w:rPr>
        <w:t xml:space="preserve"> </w:t>
      </w:r>
      <w:r>
        <w:rPr>
          <w:rFonts w:hint="eastAsia" w:cs="宋体" w:asciiTheme="minorEastAsia" w:hAnsiTheme="minorEastAsia" w:eastAsiaTheme="minorEastAsia"/>
          <w:b/>
          <w:bCs/>
          <w:szCs w:val="21"/>
          <w:highlight w:val="none"/>
        </w:rPr>
        <w:t xml:space="preserve">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highlight w:val="none"/>
        </w:rPr>
        <w:t xml:space="preserve">（1）向甲方所在地有管辖权的人民法院提起诉</w:t>
      </w:r>
      <w:r>
        <w:rPr>
          <w:rFonts w:hint="eastAsia" w:cs="宋体" w:asciiTheme="minorEastAsia" w:hAnsiTheme="minorEastAsia" w:eastAsiaTheme="minorEastAsia"/>
          <w:szCs w:val="21"/>
        </w:rPr>
        <w:t xml:space="preserve">讼；</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乙方应诚实信用，严格按照</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rPr>
        <w:t xml:space="preserve">1. 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2、本合同一式四份，甲乙双方各执两份，扫描件发采购代理机构存档。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 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4. 附件：第三方检验机构考核办法</w:t>
      </w:r>
      <w:r/>
    </w:p>
    <w:p>
      <w:pPr>
        <w:ind w:firstLine="422"/>
        <w:jc w:val="center"/>
        <w:spacing w:line="400" w:lineRule="exact"/>
        <w:rPr>
          <w:rFonts w:hint="eastAsia" w:ascii="宋体" w:hAnsi="宋体" w:cs="宋体"/>
          <w:b/>
          <w:bCs/>
          <w:sz w:val="24"/>
        </w:rPr>
      </w:pPr>
      <w:r>
        <w:rPr>
          <w:rFonts w:hint="eastAsia" w:ascii="宋体" w:hAnsi="宋体" w:cs="宋体"/>
          <w:b/>
          <w:bCs/>
          <w:sz w:val="24"/>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Style w:val="898"/>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r>
    </w:tbl>
    <w:p>
      <w:pPr>
        <w:rPr>
          <w:rFonts w:hint="eastAsia" w:asciiTheme="minorEastAsia" w:hAnsiTheme="minorEastAsia" w:eastAsiaTheme="minorEastAsia"/>
          <w:b/>
          <w:bCs/>
        </w:rPr>
      </w:pPr>
      <w:r/>
      <w:bookmarkStart w:id="98" w:name="_Toc67494811"/>
      <w:r/>
      <w:bookmarkStart w:id="99" w:name="_Toc176878664"/>
      <w:r>
        <w:rPr>
          <w:rFonts w:hint="eastAsia" w:asciiTheme="minorEastAsia" w:hAnsiTheme="minorEastAsia" w:eastAsiaTheme="minorEastAsia"/>
          <w:b/>
          <w:bCs/>
        </w:rPr>
        <w:br w:type="page" w:clear="all"/>
      </w:r>
      <w:r/>
    </w:p>
    <w:p>
      <w:pPr>
        <w:rPr>
          <w:rFonts w:hint="eastAsia" w:asciiTheme="minorEastAsia" w:hAnsiTheme="minorEastAsia" w:eastAsiaTheme="minorEastAsia"/>
          <w:b/>
          <w:bCs/>
        </w:rPr>
      </w:pPr>
      <w:r>
        <w:rPr>
          <w:rFonts w:hint="eastAsia" w:asciiTheme="minorEastAsia" w:hAnsiTheme="minorEastAsia" w:eastAsiaTheme="minorEastAsia"/>
          <w:b/>
          <w:bCs/>
        </w:rPr>
        <w:t xml:space="preserve">附件：</w:t>
      </w:r>
      <w:r/>
    </w:p>
    <w:p>
      <w:pPr>
        <w:pStyle w:val="891"/>
        <w:numPr>
          <w:ilvl w:val="3"/>
          <w:numId w:val="0"/>
        </w:numPr>
        <w:ind w:left="709"/>
        <w:jc w:val="center"/>
      </w:pPr>
      <w:r>
        <w:rPr>
          <w:rFonts w:hint="eastAsia" w:ascii="宋体" w:hAnsi="宋体"/>
          <w:sz w:val="24"/>
        </w:rPr>
        <w:t xml:space="preserve">第三方检验机构考核办法</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为确保船舶检验工作质量，甲方将成立船舶检验质量考核领导小组，负责对验船公司（乙方）的检验工作和检验质量进行考核监督，具体按下表进行考核评分，每半年度考核一次。</w:t>
      </w:r>
      <w:r/>
    </w:p>
    <w:tbl>
      <w:tblPr>
        <w:tblStyle w:val="898"/>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59"/>
        <w:gridCol w:w="1153"/>
        <w:gridCol w:w="5516"/>
      </w:tblGrid>
      <w:tr>
        <w:trPr>
          <w:jc w:val="center"/>
        </w:trPr>
        <w:tc>
          <w:tcPr>
            <w:tcW w:w="1859" w:type="dxa"/>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考核项目</w:t>
            </w:r>
            <w:r/>
          </w:p>
        </w:tc>
        <w:tc>
          <w:tcPr>
            <w:shd w:val="clear" w:color="auto" w:fill="auto"/>
            <w:tcW w:w="1153" w:type="dxa"/>
            <w:textDirection w:val="lrTb"/>
            <w:noWrap w:val="false"/>
          </w:tcPr>
          <w:p>
            <w:pPr>
              <w:jc w:val="cente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分  值</w:t>
            </w:r>
            <w:r/>
          </w:p>
        </w:tc>
        <w:tc>
          <w:tcPr>
            <w:shd w:val="clear" w:color="auto" w:fill="auto"/>
            <w:tcW w:w="5516" w:type="dxa"/>
            <w:textDirection w:val="lrTb"/>
            <w:noWrap w:val="false"/>
          </w:tcPr>
          <w:p>
            <w:pPr>
              <w:ind w:firstLine="420"/>
              <w:jc w:val="cente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考核内容</w:t>
            </w:r>
            <w:r/>
          </w:p>
        </w:tc>
      </w:tr>
      <w:tr>
        <w:trPr>
          <w:jc w:val="center"/>
        </w:trPr>
        <w:tc>
          <w:tcPr>
            <w:tcW w:w="1859" w:type="dxa"/>
            <w:vAlign w:val="center"/>
            <w:vMerge w:val="restart"/>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组织机构</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(20分)</w:t>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第三方检验机构建立完整的内部管理制度及工作流程，制度或流程不完善的酌情扣分。</w:t>
            </w:r>
            <w:r/>
          </w:p>
        </w:tc>
      </w:tr>
      <w:tr>
        <w:trPr>
          <w:jc w:val="center"/>
        </w:trPr>
        <w:tc>
          <w:tcPr>
            <w:tcW w:w="1859" w:type="dxa"/>
            <w:vAlign w:val="center"/>
            <w:vMerge w:val="continue"/>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建立验船人员奖罚考核制度，制度不完善的酌情扣分。</w:t>
            </w:r>
            <w:r/>
          </w:p>
        </w:tc>
      </w:tr>
      <w:tr>
        <w:trPr>
          <w:jc w:val="center"/>
        </w:trPr>
        <w:tc>
          <w:tcPr>
            <w:tcW w:w="1859" w:type="dxa"/>
            <w:vAlign w:val="center"/>
            <w:vMerge w:val="continue"/>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开展验船人员业务培训活动（每半年至少一次），不开展的不得分。</w:t>
            </w:r>
            <w:r/>
          </w:p>
        </w:tc>
      </w:tr>
      <w:tr>
        <w:trPr>
          <w:jc w:val="center"/>
          <w:trHeight w:val="516"/>
        </w:trPr>
        <w:tc>
          <w:tcPr>
            <w:tcW w:w="1859" w:type="dxa"/>
            <w:vAlign w:val="center"/>
            <w:vMerge w:val="continue"/>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验船公司在岗持证人员数量低于招标要求的，不得分</w:t>
            </w:r>
            <w:r/>
          </w:p>
        </w:tc>
      </w:tr>
      <w:tr>
        <w:trPr>
          <w:jc w:val="center"/>
        </w:trPr>
        <w:tc>
          <w:tcPr>
            <w:tcW w:w="1859" w:type="dxa"/>
            <w:vAlign w:val="center"/>
            <w:vMerge w:val="continue"/>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配备齐全的验船工具、仪器、仪表和劳保用品，设备不齐全的酌情扣分。</w:t>
            </w:r>
            <w:r/>
          </w:p>
        </w:tc>
      </w:tr>
      <w:tr>
        <w:trPr>
          <w:jc w:val="center"/>
        </w:trPr>
        <w:tc>
          <w:tcPr>
            <w:tcW w:w="1859" w:type="dxa"/>
            <w:vAlign w:val="center"/>
            <w:vMerge w:val="continue"/>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专门从事该项工作的不少于6名验船师，少一人扣1分。</w:t>
            </w:r>
            <w:r/>
          </w:p>
        </w:tc>
      </w:tr>
      <w:tr>
        <w:trPr>
          <w:jc w:val="center"/>
          <w:trHeight w:val="912"/>
        </w:trPr>
        <w:tc>
          <w:tcPr>
            <w:tcW w:w="1859" w:type="dxa"/>
            <w:vAlign w:val="center"/>
            <w:vMerge w:val="restart"/>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工作要求</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（40分）</w:t>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因第三方检验机构原因导致审核或检验超过规定日期的，每件0.5分</w:t>
            </w:r>
            <w:r/>
          </w:p>
        </w:tc>
      </w:tr>
      <w:tr>
        <w:trPr>
          <w:jc w:val="center"/>
        </w:trPr>
        <w:tc>
          <w:tcPr>
            <w:tcW w:w="1859" w:type="dxa"/>
            <w:vAlign w:val="center"/>
            <w:vMerge w:val="continue"/>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检验项目表制定有重大缺项的或检验项目有严重漏检的，每件扣0.5分。</w:t>
            </w:r>
            <w:r/>
          </w:p>
        </w:tc>
      </w:tr>
      <w:tr>
        <w:trPr>
          <w:jc w:val="center"/>
        </w:trPr>
        <w:tc>
          <w:tcPr>
            <w:tcW w:w="1859" w:type="dxa"/>
            <w:vAlign w:val="center"/>
            <w:vMerge w:val="continue"/>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检验资料不齐全或有严重错误被船检机构退回的，每件扣0.5分。</w:t>
            </w:r>
            <w:r/>
          </w:p>
        </w:tc>
      </w:tr>
      <w:tr>
        <w:trPr>
          <w:jc w:val="center"/>
        </w:trPr>
        <w:tc>
          <w:tcPr>
            <w:tcW w:w="1859" w:type="dxa"/>
            <w:vAlign w:val="center"/>
            <w:vMerge w:val="continue"/>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检验记录、检验报告编制存在数据填写重大差错或数据与实船不符的，每件扣1分。</w:t>
            </w:r>
            <w:r/>
          </w:p>
        </w:tc>
      </w:tr>
      <w:tr>
        <w:trPr>
          <w:jc w:val="center"/>
        </w:trPr>
        <w:tc>
          <w:tcPr>
            <w:tcW w:w="1859" w:type="dxa"/>
            <w:vAlign w:val="center"/>
            <w:vMerge w:val="continue"/>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技术资料与档案丢失的，每件扣1分</w:t>
            </w:r>
            <w:r/>
          </w:p>
        </w:tc>
      </w:tr>
      <w:tr>
        <w:trPr>
          <w:jc w:val="center"/>
          <w:trHeight w:val="653"/>
        </w:trPr>
        <w:tc>
          <w:tcPr>
            <w:tcW w:w="1859" w:type="dxa"/>
            <w:vAlign w:val="center"/>
            <w:vMerge w:val="restart"/>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监督检查</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（40分）</w:t>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因服务质量问题被投诉核实的，每起扣1分。</w:t>
            </w:r>
            <w:r/>
          </w:p>
        </w:tc>
      </w:tr>
      <w:tr>
        <w:trPr>
          <w:jc w:val="center"/>
        </w:trPr>
        <w:tc>
          <w:tcPr>
            <w:tcW w:w="1859" w:type="dxa"/>
            <w:vAlign w:val="center"/>
            <w:vMerge w:val="continue"/>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因检验质量问题被投诉核实的，每起扣1分。</w:t>
            </w:r>
            <w:r/>
          </w:p>
        </w:tc>
      </w:tr>
      <w:tr>
        <w:trPr>
          <w:jc w:val="center"/>
        </w:trPr>
        <w:tc>
          <w:tcPr>
            <w:tcW w:w="1859" w:type="dxa"/>
            <w:vAlign w:val="center"/>
            <w:vMerge w:val="continue"/>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五支队验船师在检验过程中发现不规范的检验行为，经查实的每起扣1分</w:t>
            </w:r>
            <w:r/>
          </w:p>
        </w:tc>
      </w:tr>
      <w:tr>
        <w:trPr>
          <w:jc w:val="center"/>
        </w:trPr>
        <w:tc>
          <w:tcPr>
            <w:tcW w:w="1859" w:type="dxa"/>
            <w:vAlign w:val="center"/>
            <w:vMerge w:val="continue"/>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因检验质量问题被海事部门或相关部门通报经核实的，每起扣1分。</w:t>
            </w:r>
            <w:r/>
          </w:p>
        </w:tc>
      </w:tr>
      <w:tr>
        <w:trPr>
          <w:jc w:val="center"/>
        </w:trPr>
        <w:tc>
          <w:tcPr>
            <w:tcW w:w="1859"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奖励措施</w:t>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第三方检验机构及验船人员工作出色受到县级以上人民政府或相关部门表彰的，县级加1分，市级加2分；省级加3分；国家级加5分。</w:t>
            </w:r>
            <w:r/>
          </w:p>
        </w:tc>
      </w:tr>
      <w:tr>
        <w:trPr>
          <w:jc w:val="center"/>
        </w:trPr>
        <w:tc>
          <w:tcPr>
            <w:tcW w:w="1859"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否决条件</w:t>
            </w:r>
            <w:r/>
          </w:p>
        </w:tc>
        <w:tc>
          <w:tcPr>
            <w:tcW w:w="115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p>
        </w:tc>
        <w:tc>
          <w:tcPr>
            <w:tcW w:w="5516" w:type="dxa"/>
            <w:textDirection w:val="lrTb"/>
            <w:noWrap w:val="false"/>
          </w:tcPr>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有下列情形之一的甲方有权提前终止合同，并不予任何赔偿或补偿。</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1、未经受理开展检验的；</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2、第三方检验机构及验船人员违反廉政规定的；</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3、因为船检质量发生重大安全责任事故的。</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1、甲方将对乙方根据上表进行考核打分。总分低于60分为不合格，甲方将不予付款。第三方检验机构考核不合格的或存在严重违规违纪情况的，甲方有权提前终止合同，并不予任何赔偿或补偿。</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考核得分90分（含）以上的，甲方支付当期合同款；</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考核得分80分（含）以上，90分（不含）以下的，甲方扣除</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%的当期应付款；</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考核得分70分（含）以上，80分（不含）以下的，甲方扣除</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0%的当期应付款；</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考核得分60分（含）以上，70分（不含）以下的，甲方扣除</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0%的当期应付款。</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船舶被海事部门或其他相关部门因检验质量问题通报时，且最近一次定期检验为第三方机构提供技术支持的，经甲方查实的，扣除该船定期检验费用的20%。需临时检验的由第三方检验机构进行临时检验，费用由第三方检验机构自行承担。</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3、考核期内完成船舶检验的艘数和检验类别，以船检机构发证系统的统计数据为准。</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如乙方在上述工作要求和组织机构考核内容中多次存在违规行为，在达到3次时，甲方应当具有单方解除权。如因乙方原因，导致船只检验数据偏差大，问题船只造成的交通事故或者其他人身财产损失，导致甲方被追偿或问责的，应当对乙方进行追偿和追责。</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br w:type="page" w:clear="all"/>
      </w:r>
      <w:r/>
    </w:p>
    <w:p>
      <w:pPr>
        <w:pStyle w:val="888"/>
        <w:numPr>
          <w:ilvl w:val="0"/>
          <w:numId w:val="0"/>
        </w:numPr>
        <w:rPr>
          <w:rFonts w:hint="eastAsia" w:asciiTheme="minorEastAsia" w:hAnsiTheme="minorEastAsia" w:eastAsiaTheme="minorEastAsia"/>
        </w:rPr>
      </w:pPr>
      <w:r>
        <w:rPr>
          <w:rFonts w:hint="eastAsia" w:asciiTheme="minorEastAsia" w:hAnsiTheme="minorEastAsia" w:eastAsiaTheme="minorEastAsia"/>
        </w:rPr>
        <w:t xml:space="preserve">第六章 </w:t>
      </w:r>
      <w:bookmarkStart w:id="100" w:name="_Hlk176528087"/>
      <w:r>
        <w:rPr>
          <w:rFonts w:hint="eastAsia" w:asciiTheme="minorEastAsia" w:hAnsiTheme="minorEastAsia" w:eastAsiaTheme="minorEastAsia"/>
        </w:rPr>
        <w:t xml:space="preserve">响应文件格式</w:t>
      </w:r>
      <w:bookmarkEnd w:id="94"/>
      <w:r/>
      <w:bookmarkEnd w:id="98"/>
      <w:r/>
      <w:bookmarkEnd w:id="99"/>
      <w:r/>
      <w:bookmarkEnd w:id="100"/>
      <w:r/>
      <w:r/>
    </w:p>
    <w:p>
      <w:pPr>
        <w:jc w:val="left"/>
        <w:spacing w:line="240" w:lineRule="atLeas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b/>
          <w:bCs/>
          <w:sz w:val="20"/>
          <w:szCs w:val="20"/>
        </w:rPr>
      </w:pPr>
      <w:r>
        <w:rPr>
          <w:rFonts w:hint="eastAsia" w:asciiTheme="minorEastAsia" w:hAnsiTheme="minorEastAsia" w:eastAsiaTheme="minorEastAsia"/>
          <w:b/>
          <w:bCs/>
          <w:sz w:val="20"/>
          <w:szCs w:val="20"/>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52"/>
          <w:szCs w:val="52"/>
        </w:rPr>
      </w:pPr>
      <w:r>
        <w:rPr>
          <w:rFonts w:hint="eastAsia" w:asciiTheme="minorEastAsia" w:hAnsiTheme="minorEastAsia" w:eastAsiaTheme="minorEastAsia"/>
          <w:b/>
          <w:bCs/>
          <w:sz w:val="52"/>
          <w:szCs w:val="52"/>
        </w:rPr>
        <w:t xml:space="preserve">响应文件</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084"/>
        <w:rPr>
          <w:rFonts w:hint="eastAsia" w:asciiTheme="minorEastAsia" w:hAnsiTheme="minorEastAsia" w:eastAsiaTheme="minorEastAsia"/>
          <w:b/>
          <w:sz w:val="32"/>
          <w:szCs w:val="32"/>
        </w:rPr>
      </w:pPr>
      <w:r/>
      <w:bookmarkStart w:id="101" w:name="_Hlk176528118"/>
      <w:r>
        <w:rPr>
          <w:rFonts w:hint="eastAsia" w:asciiTheme="minorEastAsia" w:hAnsiTheme="minorEastAsia" w:eastAsiaTheme="minorEastAsia"/>
          <w:b/>
          <w:sz w:val="32"/>
          <w:szCs w:val="32"/>
        </w:rPr>
        <w:t xml:space="preserve">项 目 名 称：</w:t>
      </w:r>
      <w:r>
        <w:rPr>
          <w:rFonts w:hint="eastAsia" w:asciiTheme="minorEastAsia" w:hAnsiTheme="minorEastAsia" w:eastAsiaTheme="minorEastAsia"/>
          <w:b/>
          <w:sz w:val="32"/>
          <w:szCs w:val="32"/>
          <w:u w:val="single"/>
        </w:rPr>
        <w:t xml:space="preserve">                   </w:t>
      </w:r>
      <w:r/>
    </w:p>
    <w:p>
      <w:pPr>
        <w:ind w:firstLine="1084"/>
        <w:rPr>
          <w:rFonts w:hint="eastAsia" w:asciiTheme="minorEastAsia" w:hAnsiTheme="minorEastAsia" w:eastAsiaTheme="minorEastAsia"/>
          <w:b/>
          <w:sz w:val="32"/>
          <w:szCs w:val="32"/>
          <w:u w:val="single"/>
        </w:rPr>
      </w:pPr>
      <w:r>
        <w:rPr>
          <w:rFonts w:hint="eastAsia" w:asciiTheme="minorEastAsia" w:hAnsiTheme="minorEastAsia" w:eastAsiaTheme="minorEastAsia"/>
          <w:b/>
          <w:sz w:val="32"/>
          <w:szCs w:val="32"/>
        </w:rPr>
        <w:t xml:space="preserve">项 目 编 号：</w:t>
      </w:r>
      <w:r>
        <w:rPr>
          <w:rFonts w:hint="eastAsia" w:asciiTheme="minorEastAsia" w:hAnsiTheme="minorEastAsia" w:eastAsiaTheme="minorEastAsia"/>
          <w:b/>
          <w:sz w:val="32"/>
          <w:szCs w:val="32"/>
          <w:u w:val="single"/>
        </w:rPr>
        <w:t xml:space="preserve">                   </w:t>
      </w:r>
      <w:r/>
    </w:p>
    <w:p>
      <w:pPr>
        <w:rPr>
          <w:rFonts w:hint="eastAsia" w:asciiTheme="minorEastAsia" w:hAnsiTheme="minorEastAsia" w:eastAsiaTheme="minorEastAsia"/>
          <w:b/>
          <w:sz w:val="32"/>
          <w:szCs w:val="32"/>
          <w:u w:val="single"/>
        </w:rPr>
      </w:pPr>
      <w:r>
        <w:rPr>
          <w:rFonts w:hint="eastAsia" w:asciiTheme="minorEastAsia" w:hAnsiTheme="minorEastAsia" w:eastAsiaTheme="minorEastAsia"/>
          <w:b/>
          <w:sz w:val="32"/>
          <w:szCs w:val="32"/>
        </w:rPr>
        <w:t xml:space="preserve">       供应商名称 ：</w:t>
      </w:r>
      <w:bookmarkStart w:id="102" w:name="OLE_LINK1"/>
      <w:r>
        <w:rPr>
          <w:rFonts w:hint="eastAsia" w:asciiTheme="minorEastAsia" w:hAnsiTheme="minorEastAsia" w:eastAsiaTheme="minorEastAsia"/>
          <w:b/>
          <w:sz w:val="32"/>
          <w:szCs w:val="32"/>
          <w:u w:val="single"/>
        </w:rPr>
        <w:t xml:space="preserve">（加盖电子公章）</w:t>
      </w:r>
      <w:bookmarkEnd w:id="102"/>
      <w:r>
        <w:rPr>
          <w:rFonts w:hint="eastAsia" w:asciiTheme="minorEastAsia" w:hAnsiTheme="minorEastAsia" w:eastAsiaTheme="minorEastAsia"/>
          <w:b/>
          <w:sz w:val="32"/>
          <w:szCs w:val="32"/>
          <w:u w:val="single"/>
        </w:rPr>
        <w:t xml:space="preserve">   </w:t>
      </w:r>
      <w:r/>
    </w:p>
    <w:p>
      <w:pPr>
        <w:rPr>
          <w:rFonts w:hint="eastAsia" w:asciiTheme="minorEastAsia" w:hAnsiTheme="minorEastAsia" w:eastAsiaTheme="minorEastAsia"/>
          <w:b/>
          <w:sz w:val="32"/>
          <w:szCs w:val="32"/>
          <w:u w:val="single"/>
        </w:rPr>
      </w:pPr>
      <w:r>
        <w:rPr>
          <w:rFonts w:hint="eastAsia" w:asciiTheme="minorEastAsia" w:hAnsiTheme="minorEastAsia" w:eastAsiaTheme="minorEastAsia"/>
          <w:b/>
          <w:sz w:val="32"/>
          <w:szCs w:val="32"/>
        </w:rPr>
        <w:t xml:space="preserve">       日      期 ：</w:t>
      </w:r>
      <w:r>
        <w:rPr>
          <w:rFonts w:hint="eastAsia" w:asciiTheme="minorEastAsia" w:hAnsiTheme="minorEastAsia" w:eastAsiaTheme="minorEastAsia"/>
          <w:b/>
          <w:sz w:val="32"/>
          <w:szCs w:val="32"/>
          <w:u w:val="single"/>
        </w:rPr>
        <w:t xml:space="preserve">                   </w:t>
      </w:r>
      <w:bookmarkEnd w:id="101"/>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rPr>
      </w:pPr>
      <w:r/>
      <w:bookmarkStart w:id="103" w:name="_Toc43917771"/>
      <w:r/>
      <w:bookmarkStart w:id="104" w:name="_Toc43994934"/>
      <w:r>
        <w:rPr>
          <w:rFonts w:hint="eastAsia" w:asciiTheme="minorEastAsia" w:hAnsiTheme="minorEastAsia" w:eastAsiaTheme="minorEastAsia"/>
        </w:rPr>
        <w:br w:type="page" w:clear="all"/>
      </w:r>
      <w:r/>
    </w:p>
    <w:p>
      <w:pPr>
        <w:pStyle w:val="889"/>
        <w:numPr>
          <w:ilvl w:val="0"/>
          <w:numId w:val="0"/>
        </w:numPr>
        <w:rPr>
          <w:rFonts w:hint="eastAsia" w:asciiTheme="minorEastAsia" w:hAnsiTheme="minorEastAsia" w:eastAsiaTheme="minorEastAsia"/>
        </w:rPr>
      </w:pPr>
      <w:r>
        <w:rPr>
          <w:rFonts w:hint="eastAsia" w:asciiTheme="minorEastAsia" w:hAnsiTheme="minorEastAsia" w:eastAsiaTheme="minorEastAsia"/>
        </w:rPr>
        <w:t xml:space="preserve">附件一、</w:t>
      </w:r>
      <w:bookmarkEnd w:id="103"/>
      <w:r>
        <w:rPr>
          <w:rFonts w:hint="eastAsia" w:asciiTheme="minorEastAsia" w:hAnsiTheme="minorEastAsia" w:eastAsiaTheme="minorEastAsia"/>
        </w:rPr>
        <w:t xml:space="preserve">竞争性磋商响应函</w:t>
      </w:r>
      <w:bookmarkEnd w:id="104"/>
      <w:r/>
      <w:r/>
    </w:p>
    <w:p>
      <w:pPr>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竞争性磋商</w:t>
      </w:r>
      <w:bookmarkStart w:id="105" w:name="OLE_LINK11"/>
      <w:r>
        <w:rPr>
          <w:rFonts w:hint="eastAsia" w:asciiTheme="minorEastAsia" w:hAnsiTheme="minorEastAsia" w:eastAsiaTheme="minorEastAsia"/>
          <w:b/>
          <w:sz w:val="32"/>
          <w:szCs w:val="32"/>
        </w:rPr>
        <w:t xml:space="preserve">响应函</w:t>
      </w:r>
      <w:bookmarkEnd w:id="105"/>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致：南京市交通运输综合行政执法监督局</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根据贵方</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（项目名称） </w:t>
      </w:r>
      <w:r>
        <w:rPr>
          <w:rFonts w:hint="eastAsia" w:cs="宋体" w:asciiTheme="minorEastAsia" w:hAnsiTheme="minorEastAsia" w:eastAsiaTheme="minorEastAsia"/>
          <w:b/>
          <w:szCs w:val="21"/>
          <w:u w:val="single"/>
          <w:lang w:val="zh-CN"/>
        </w:rPr>
        <w:t xml:space="preserve">         </w:t>
      </w:r>
      <w:r>
        <w:rPr>
          <w:rFonts w:hint="eastAsia" w:cs="宋体" w:asciiTheme="minorEastAsia" w:hAnsiTheme="minorEastAsia" w:eastAsiaTheme="minorEastAsia"/>
          <w:szCs w:val="21"/>
          <w:lang w:val="zh-CN"/>
        </w:rPr>
        <w:t xml:space="preserve">（项目编号）竞争性磋商公告，正式授权</w:t>
      </w:r>
      <w:r>
        <w:rPr>
          <w:rFonts w:hint="eastAsia" w:cs="宋体" w:asciiTheme="minorEastAsia" w:hAnsiTheme="minorEastAsia" w:eastAsiaTheme="minorEastAsia"/>
          <w:szCs w:val="21"/>
          <w:u w:val="single"/>
          <w:lang w:val="zh-CN"/>
        </w:rPr>
        <w:t xml:space="preserve">                   (姓名和职务)</w:t>
      </w:r>
      <w:r>
        <w:rPr>
          <w:rFonts w:hint="eastAsia" w:cs="宋体" w:asciiTheme="minorEastAsia" w:hAnsiTheme="minorEastAsia" w:eastAsiaTheme="minorEastAsia"/>
          <w:szCs w:val="21"/>
          <w:lang w:val="zh-CN"/>
        </w:rPr>
        <w:t xml:space="preserve">代表</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（供应商名称），提交响应性文件并参加磋商。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据此函，我公司兹宣布同意如下：</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我们的资格条件完全符合政府采购法和本次采购要求，</w:t>
      </w:r>
      <w:r>
        <w:rPr>
          <w:rFonts w:hint="eastAsia" w:cs="宋体" w:asciiTheme="minorEastAsia" w:hAnsiTheme="minorEastAsia" w:eastAsiaTheme="minorEastAsia"/>
          <w:szCs w:val="21"/>
        </w:rPr>
        <w:t xml:space="preserve">我们</w:t>
      </w:r>
      <w:r>
        <w:rPr>
          <w:rFonts w:hint="eastAsia" w:cs="宋体" w:asciiTheme="minorEastAsia" w:hAnsiTheme="minorEastAsia" w:eastAsiaTheme="minorEastAsia"/>
          <w:szCs w:val="21"/>
          <w:lang w:val="zh-CN"/>
        </w:rPr>
        <w:t xml:space="preserve">同意并向贵方提供了与本次采购活动有关的所有证据和资料</w:t>
      </w:r>
      <w:r>
        <w:rPr>
          <w:rFonts w:hint="eastAsia" w:cs="宋体" w:asciiTheme="minorEastAsia" w:hAnsiTheme="minorEastAsia" w:eastAsiaTheme="minorEastAsia"/>
          <w:szCs w:val="21"/>
        </w:rPr>
        <w:t xml:space="preserve">。</w:t>
      </w:r>
      <w:r/>
    </w:p>
    <w:p>
      <w:pPr>
        <w:ind w:firstLine="420"/>
        <w:spacing w:line="360" w:lineRule="auto"/>
        <w:rPr>
          <w:rFonts w:hint="eastAsia" w:cs="宋体" w:asciiTheme="minorEastAsia" w:hAnsiTheme="minorEastAsia" w:eastAsiaTheme="minorEastAsia"/>
          <w:szCs w:val="21"/>
        </w:rPr>
      </w:pPr>
      <w:r/>
      <w:bookmarkStart w:id="106" w:name="_Hlk44580673"/>
      <w:r>
        <w:rPr>
          <w:rFonts w:hint="eastAsia" w:cs="宋体" w:asciiTheme="minorEastAsia" w:hAnsiTheme="minorEastAsia" w:eastAsiaTheme="minorEastAsia"/>
          <w:szCs w:val="21"/>
        </w:rPr>
        <w:t xml:space="preserve">2.</w:t>
      </w:r>
      <w:r>
        <w:rPr>
          <w:rFonts w:hint="eastAsia" w:asciiTheme="minorEastAsia" w:hAnsiTheme="minorEastAsia" w:eastAsiaTheme="minorEastAsia"/>
          <w:szCs w:val="21"/>
        </w:rPr>
        <w:t xml:space="preserve">本项目交付时间为：</w:t>
      </w:r>
      <w:r>
        <w:rPr>
          <w:rFonts w:hint="eastAsia" w:asciiTheme="minorEastAsia" w:hAnsiTheme="minorEastAsia" w:eastAsiaTheme="minorEastAsia"/>
          <w:szCs w:val="21"/>
          <w:u w:val="single"/>
        </w:rPr>
        <w:t xml:space="preserve">满足竞争性磋商文件要求</w:t>
      </w:r>
      <w:r>
        <w:rPr>
          <w:rFonts w:hint="eastAsia" w:asciiTheme="minorEastAsia" w:hAnsiTheme="minorEastAsia" w:eastAsiaTheme="minorEastAsia"/>
          <w:szCs w:val="21"/>
        </w:rPr>
        <w:t xml:space="preserve">。</w:t>
      </w:r>
      <w:bookmarkEnd w:id="106"/>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lang w:val="zh-CN"/>
        </w:rPr>
        <w:t xml:space="preserve">我们已详细阅读全部</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lang w:val="zh-CN"/>
        </w:rPr>
        <w:t xml:space="preserve">及其有效补充文件，我们放弃对</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lang w:val="zh-CN"/>
        </w:rPr>
        <w:t xml:space="preserve">任何误解的权利，提交响应文件后，</w:t>
      </w:r>
      <w:r>
        <w:rPr>
          <w:rFonts w:hint="eastAsia" w:cs="宋体" w:asciiTheme="minorEastAsia" w:hAnsiTheme="minorEastAsia" w:eastAsiaTheme="minorEastAsia"/>
          <w:bCs/>
          <w:szCs w:val="21"/>
          <w:lang w:val="zh-CN"/>
        </w:rPr>
        <w:t xml:space="preserve">不对</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bCs/>
          <w:szCs w:val="21"/>
          <w:lang w:val="zh-CN"/>
        </w:rPr>
        <w:t xml:space="preserve">本身提出质疑。</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4.一旦我方成交，我方将根据</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的规定，严格履行合同，并保证于承诺的时间完成相关服务，交付采购人验收、使用。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6.我方正式通讯方式为：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地   址：</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电   话：</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传   真：</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7.我方正式开户银行和账号为：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开户银行：</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账    号：</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8.</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营业执照扫描</w:t>
      </w:r>
      <w:r>
        <w:rPr>
          <w:rFonts w:hint="eastAsia" w:asciiTheme="minorEastAsia" w:hAnsiTheme="minorEastAsia" w:eastAsiaTheme="minorEastAsia"/>
          <w:b/>
          <w:szCs w:val="21"/>
        </w:rPr>
        <w:t xml:space="preserve">件：</w:t>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供应商名称（加盖电子公章）：</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89"/>
        <w:numPr>
          <w:ilvl w:val="0"/>
          <w:numId w:val="0"/>
        </w:numPr>
        <w:rPr>
          <w:rFonts w:hint="eastAsia" w:asciiTheme="minorEastAsia" w:hAnsiTheme="minorEastAsia" w:eastAsiaTheme="minorEastAsia"/>
        </w:rPr>
      </w:pPr>
      <w:r/>
      <w:bookmarkStart w:id="107" w:name="_Toc43917772"/>
      <w:r/>
      <w:bookmarkStart w:id="108" w:name="_Toc43994935"/>
      <w:r>
        <w:rPr>
          <w:rFonts w:hint="eastAsia" w:asciiTheme="minorEastAsia" w:hAnsiTheme="minorEastAsia" w:eastAsiaTheme="minorEastAsia"/>
        </w:rPr>
        <w:t xml:space="preserve">附件二、法定代表人授权委托书格式</w:t>
      </w:r>
      <w:bookmarkEnd w:id="107"/>
      <w:r/>
      <w:bookmarkEnd w:id="108"/>
      <w:r/>
      <w:r/>
    </w:p>
    <w:p>
      <w:pPr>
        <w:ind w:firstLine="720"/>
        <w:jc w:val="center"/>
        <w:spacing w:line="360" w:lineRule="auto"/>
        <w:shd w:val="clear" w:color="auto" w:fill="ffffff"/>
        <w:widowControl/>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ind w:firstLine="7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致：南京市交通运输综合行政执法监督局</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w:t>
      </w:r>
      <w:r>
        <w:rPr>
          <w:rFonts w:hint="eastAsia" w:cs="宋体" w:asciiTheme="minorEastAsia" w:hAnsiTheme="minorEastAsia" w:eastAsiaTheme="minorEastAsia"/>
          <w:szCs w:val="21"/>
          <w:lang w:val="zh-CN"/>
        </w:rPr>
        <w:t xml:space="preserve">竞争性磋商</w:t>
      </w:r>
      <w:r>
        <w:rPr>
          <w:rFonts w:hint="eastAsia" w:asciiTheme="minorEastAsia" w:hAnsiTheme="minorEastAsia" w:eastAsiaTheme="minorEastAsia"/>
          <w:szCs w:val="21"/>
        </w:rPr>
        <w:t xml:space="preserve">，以本公司名义处理一切与之有关的事务。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本授权书于    年  月  日加盖电子公章生效，特此声明。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2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供应商（加盖电子公章）：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rPr>
      </w:pPr>
      <w:r/>
      <w:bookmarkStart w:id="109" w:name="_Hlk45292522"/>
      <w:r>
        <w:rPr>
          <w:rFonts w:hint="eastAsia" w:asciiTheme="minorEastAsia" w:hAnsiTheme="minorEastAsia" w:eastAsiaTheme="minorEastAsia"/>
          <w:szCs w:val="21"/>
        </w:rPr>
        <w:t xml:space="preserve">法定代表人身份证的复印件：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889"/>
        <w:numPr>
          <w:ilvl w:val="0"/>
          <w:numId w:val="0"/>
        </w:numPr>
        <w:rPr>
          <w:rFonts w:hint="eastAsia" w:asciiTheme="minorEastAsia" w:hAnsiTheme="minorEastAsia" w:eastAsiaTheme="minorEastAsia"/>
        </w:rPr>
      </w:pPr>
      <w:r/>
      <w:bookmarkStart w:id="110" w:name="_Toc43994945"/>
      <w:r/>
      <w:bookmarkStart w:id="111" w:name="_Toc43917782"/>
      <w:r/>
      <w:bookmarkStart w:id="112" w:name="_Hlk68084163"/>
      <w:r>
        <w:rPr>
          <w:rFonts w:hint="eastAsia" w:asciiTheme="minorEastAsia" w:hAnsiTheme="minorEastAsia" w:eastAsiaTheme="minorEastAsia"/>
        </w:rPr>
        <w:t xml:space="preserve">附件三、资格证明文件</w:t>
      </w:r>
      <w:bookmarkEnd w:id="110"/>
      <w:r/>
      <w:bookmarkEnd w:id="111"/>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 第一章</w:t>
      </w:r>
      <w:r>
        <w:rPr>
          <w:rFonts w:hint="eastAsia" w:asciiTheme="minorEastAsia" w:hAnsiTheme="minorEastAsia" w:eastAsiaTheme="minorEastAsia"/>
          <w:szCs w:val="21"/>
        </w:rPr>
        <w:t xml:space="preserve">竞争性磋商公告</w:t>
      </w:r>
      <w:r>
        <w:rPr>
          <w:rFonts w:hint="eastAsia" w:asciiTheme="minorEastAsia" w:hAnsiTheme="minorEastAsia" w:eastAsiaTheme="minorEastAsia"/>
          <w:bCs/>
          <w:szCs w:val="21"/>
        </w:rPr>
        <w:t xml:space="preserve">中二、申请人的资格要求（二）落实政府采购政策需满足的资格要求相关材料（如有）； </w:t>
      </w:r>
      <w:bookmarkStart w:id="113" w:name="_Hlk168583619"/>
      <w:r/>
      <w:bookmarkEnd w:id="113"/>
      <w:r/>
      <w:r/>
    </w:p>
    <w:p>
      <w:pPr>
        <w:ind w:firstLine="420"/>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 第一章竞争性磋商公告中二、申请人的资格要求（三）本项目特定资格要求证明文件（如有）</w:t>
      </w:r>
      <w:r>
        <w:rPr>
          <w:rFonts w:hint="eastAsia" w:asciiTheme="minorEastAsia" w:hAnsiTheme="minorEastAsia" w:eastAsiaTheme="minorEastAsia"/>
          <w:bCs/>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 xml:space="preserve">3.《</w:t>
      </w:r>
      <w:r>
        <w:rPr>
          <w:rFonts w:hint="eastAsia" w:cs="宋体" w:asciiTheme="minorEastAsia" w:hAnsiTheme="minorEastAsia" w:eastAsiaTheme="minorEastAsia"/>
          <w:szCs w:val="21"/>
        </w:rPr>
        <w:t xml:space="preserve">南京市政府采购供应商信用记录表暨信用承诺书</w:t>
      </w:r>
      <w:r>
        <w:rPr>
          <w:rFonts w:hint="eastAsia" w:asciiTheme="minorEastAsia" w:hAnsiTheme="minorEastAsia" w:eastAsiaTheme="minorEastAsia"/>
          <w:bCs/>
          <w:szCs w:val="21"/>
        </w:rPr>
        <w:t xml:space="preserve">》，需</w:t>
      </w:r>
      <w:r>
        <w:rPr>
          <w:rFonts w:asciiTheme="minorEastAsia" w:hAnsiTheme="minorEastAsia" w:eastAsiaTheme="minorEastAsia"/>
          <w:szCs w:val="21"/>
        </w:rPr>
        <w:t xml:space="preserve">由法人签字并盖单位公章</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 第一章</w:t>
      </w:r>
      <w:r>
        <w:rPr>
          <w:rFonts w:hint="eastAsia" w:asciiTheme="minorEastAsia" w:hAnsiTheme="minorEastAsia" w:eastAsiaTheme="minorEastAsia"/>
          <w:szCs w:val="21"/>
        </w:rPr>
        <w:t xml:space="preserve">竞争性磋商公告</w:t>
      </w:r>
      <w:r>
        <w:rPr>
          <w:rFonts w:hint="eastAsia" w:asciiTheme="minorEastAsia" w:hAnsiTheme="minorEastAsia" w:eastAsiaTheme="minorEastAsia"/>
          <w:bCs/>
          <w:szCs w:val="21"/>
        </w:rPr>
        <w:t xml:space="preserve">中二、申请人的资格要求（一）《中华人民共和国政府采购法》2</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5条规定的资格证明文件；</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w:t>
      </w:r>
      <w:r>
        <w:rPr>
          <w:rFonts w:hint="eastAsia" w:cs="Arial" w:asciiTheme="minorEastAsia" w:hAnsiTheme="minorEastAsia" w:eastAsiaTheme="minorEastAsia"/>
          <w:bCs/>
          <w:szCs w:val="21"/>
        </w:rPr>
        <w:t xml:space="preserve"> 供应商未被“信用中国”网站（www.creditchina.gov.cn）、“中国政府采购网”(www.ccgp.gov.cn)列入失信被执行人、重大税收违法案件当事人名单、政府采购严重违法失信行为记录名单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rPr>
        <w:t xml:space="preserve">证明文件。</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供应商仅提供信用承诺书而未提供证明材料的，须在成交后另行提供上述由信用承诺书替代的证明材料（一式两份）</w:t>
      </w:r>
      <w:r>
        <w:rPr>
          <w:rFonts w:hint="eastAsia" w:asciiTheme="minorEastAsia" w:hAnsiTheme="minorEastAsia" w:eastAsiaTheme="minorEastAsia"/>
          <w:b/>
          <w:bCs/>
          <w:szCs w:val="21"/>
        </w:rPr>
        <w:t xml:space="preserve">加盖公章</w:t>
      </w:r>
      <w:r>
        <w:rPr>
          <w:rFonts w:hint="eastAsia" w:asciiTheme="minorEastAsia" w:hAnsiTheme="minorEastAsia" w:eastAsiaTheme="minorEastAsia"/>
          <w:b/>
          <w:szCs w:val="21"/>
        </w:rPr>
        <w:t xml:space="preserve">，提交采购人或采购代理机构核验。经核验无误后，由采购人或采购代理机构发出成交通知书。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供应商涉及以下情形的，不适用信用承诺，仍须提供上述证明材料：</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）供应商被列入严重失信主体名单；</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w:t>
      </w:r>
      <w:r>
        <w:rPr>
          <w:rFonts w:hint="eastAsia" w:asciiTheme="minorEastAsia" w:hAnsiTheme="minorEastAsia" w:eastAsiaTheme="minorEastAsia"/>
          <w:b/>
          <w:szCs w:val="21"/>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3</w:t>
      </w:r>
      <w:r>
        <w:rPr>
          <w:rFonts w:hint="eastAsia" w:asciiTheme="minorEastAsia" w:hAnsiTheme="minorEastAsia" w:eastAsiaTheme="minorEastAsia"/>
          <w:b/>
          <w:szCs w:val="21"/>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供应商对信用承诺内容的真实性、合法性、有效性负责。如作出虚假信用承诺，视同为“提供虚假材料谋取成交”的违法行为。</w:t>
      </w:r>
      <w:r/>
    </w:p>
    <w:p>
      <w:pPr>
        <w:rPr>
          <w:rFonts w:hint="eastAsia" w:asciiTheme="minorEastAsia" w:hAnsiTheme="minorEastAsia" w:eastAsiaTheme="minorEastAsia"/>
        </w:rPr>
      </w:pPr>
      <w:r>
        <w:rPr>
          <w:rFonts w:hint="eastAsia" w:asciiTheme="minorEastAsia" w:hAnsiTheme="minorEastAsia" w:eastAsiaTheme="minorEastAsia"/>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12"/>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09"/>
      <w:r/>
      <w:r/>
    </w:p>
    <w:p>
      <w:pPr>
        <w:pStyle w:val="889"/>
        <w:numPr>
          <w:ilvl w:val="1"/>
          <w:numId w:val="0"/>
        </w:numPr>
        <w:rPr>
          <w:rFonts w:hint="eastAsia" w:asciiTheme="minorEastAsia" w:hAnsiTheme="minorEastAsia" w:eastAsiaTheme="minorEastAsia"/>
          <w:lang w:val="zh-CN"/>
        </w:rPr>
      </w:pPr>
      <w:r/>
      <w:bookmarkStart w:id="114" w:name="_Toc43917773"/>
      <w:r/>
      <w:bookmarkStart w:id="115" w:name="_Toc26810"/>
      <w:r/>
      <w:bookmarkStart w:id="116" w:name="_Toc43994936"/>
      <w:r>
        <w:rPr>
          <w:rFonts w:hint="eastAsia" w:asciiTheme="minorEastAsia" w:hAnsiTheme="minorEastAsia" w:eastAsiaTheme="minorEastAsia"/>
          <w:lang w:val="zh-CN"/>
        </w:rPr>
        <w:t xml:space="preserve">附件四、磋商报价表</w:t>
      </w:r>
      <w:r/>
    </w:p>
    <w:p>
      <w:pPr>
        <w:pStyle w:val="906"/>
        <w:ind w:firstLine="321"/>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磋商报价表</w:t>
      </w:r>
      <w:r/>
    </w:p>
    <w:p>
      <w:pPr>
        <w:pStyle w:val="906"/>
        <w:ind w:firstLine="210"/>
        <w:spacing w:line="360" w:lineRule="auto"/>
        <w:rPr>
          <w:rFonts w:hint="eastAsia" w:asciiTheme="minorEastAsia" w:hAnsiTheme="minorEastAsia" w:eastAsiaTheme="minorEastAsia"/>
          <w:b w:val="0"/>
          <w:bCs/>
          <w:sz w:val="21"/>
          <w:szCs w:val="21"/>
        </w:rPr>
      </w:pPr>
      <w:r/>
      <w:bookmarkStart w:id="117" w:name="OLE_LINK36"/>
      <w:r>
        <w:rPr>
          <w:rFonts w:hint="eastAsia" w:cs="宋体" w:asciiTheme="minorEastAsia" w:hAnsiTheme="minorEastAsia" w:eastAsiaTheme="minorEastAsia"/>
          <w:b w:val="0"/>
          <w:bCs/>
          <w:sz w:val="21"/>
          <w:szCs w:val="21"/>
        </w:rPr>
        <w:t xml:space="preserve">项目编号：                                        货币单位：％</w:t>
      </w:r>
      <w:r/>
    </w:p>
    <w:tbl>
      <w:tblPr>
        <w:tblStyle w:val="898"/>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投标折扣（小写）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详见响应文件</w:t>
            </w:r>
            <w:r/>
          </w:p>
        </w:tc>
        <w:tc>
          <w:tcPr>
            <w:tcW w:w="4282" w:type="dxa"/>
            <w:vAlign w:val="center"/>
            <w:textDirection w:val="lrTb"/>
            <w:noWrap w:val="false"/>
          </w:tcPr>
          <w:p>
            <w:pPr>
              <w:ind w:firstLine="2310"/>
              <w:rPr>
                <w:rFonts w:hint="eastAsia" w:cs="宋体" w:asciiTheme="minorEastAsia" w:hAnsiTheme="minorEastAsia" w:eastAsiaTheme="minorEastAsia"/>
                <w:bCs/>
                <w:szCs w:val="21"/>
              </w:rPr>
            </w:pPr>
            <w:r/>
            <w:bookmarkStart w:id="118" w:name="_Hlk181800401"/>
            <w:r>
              <w:rPr>
                <w:rFonts w:hint="eastAsia" w:cs="宋体" w:asciiTheme="minorEastAsia" w:hAnsiTheme="minorEastAsia" w:eastAsiaTheme="minorEastAsia"/>
                <w:bCs/>
                <w:szCs w:val="21"/>
              </w:rPr>
              <w:t xml:space="preserve">％</w:t>
            </w:r>
            <w:bookmarkEnd w:id="118"/>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投标折扣（大写）：</w:t>
            </w:r>
            <w:r/>
          </w:p>
        </w:tc>
        <w:tc>
          <w:tcPr>
            <w:gridSpan w:val="2"/>
            <w:tcW w:w="7017"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bookmarkEnd w:id="117"/>
            <w:r/>
            <w:r/>
          </w:p>
        </w:tc>
      </w:tr>
    </w:tbl>
    <w:p>
      <w:pPr>
        <w:jc w:val="left"/>
        <w:spacing w:line="360" w:lineRule="auto"/>
        <w:shd w:val="clear" w:color="auto" w:fill="ffffff"/>
        <w:widowControl/>
        <w:rPr>
          <w:rFonts w:hint="eastAsia" w:asciiTheme="minorEastAsia" w:hAnsiTheme="minorEastAsia" w:eastAsiaTheme="minorEastAsia"/>
          <w:szCs w:val="21"/>
        </w:rPr>
      </w:pPr>
      <w:r/>
      <w:bookmarkStart w:id="119" w:name="_Hlk176531797"/>
      <w:r>
        <w:rPr>
          <w:rFonts w:asciiTheme="minorEastAsia" w:hAnsiTheme="minorEastAsia" w:eastAsiaTheme="minorEastAsia"/>
          <w:szCs w:val="21"/>
        </w:rPr>
        <w:br/>
      </w:r>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2、报价大小写不一致以大写为准。</w:t>
      </w:r>
      <w:r/>
    </w:p>
    <w:p>
      <w:pPr>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3、供应商按照 中华人民共和国船舶检验局《船舶检验计费标准1998》（国家发展计划委员会 计价费[1998]800号文）规定的收费进行折扣报价，折扣最高限价为100%。例：折扣报价为90％，即为9折，以此类推。（供应商报价不得高于100%，否则按无效投标处理）</w:t>
      </w:r>
      <w:bookmarkEnd w:id="119"/>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cs="宋体" w:asciiTheme="minorEastAsia" w:hAnsiTheme="minorEastAsia" w:eastAsiaTheme="minorEastAsia"/>
          <w:szCs w:val="21"/>
          <w:u w:val="single"/>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bookmarkStart w:id="120" w:name="_Hlk176528660"/>
      <w:r>
        <w:rPr>
          <w:rFonts w:hint="eastAsia" w:cs="宋体" w:asciiTheme="minorEastAsia" w:hAnsiTheme="minorEastAsia" w:eastAsiaTheme="minorEastAsia"/>
          <w:szCs w:val="21"/>
        </w:rPr>
        <w:t xml:space="preserve">日    期：   年    月    日</w:t>
      </w:r>
      <w:bookmarkEnd w:id="120"/>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bookmarkEnd w:id="114"/>
      <w:r/>
      <w:bookmarkEnd w:id="115"/>
      <w:r/>
      <w:bookmarkEnd w:id="116"/>
      <w:r/>
      <w:r/>
    </w:p>
    <w:p>
      <w:pPr>
        <w:pStyle w:val="889"/>
        <w:numPr>
          <w:ilvl w:val="0"/>
          <w:numId w:val="0"/>
        </w:numPr>
        <w:rPr>
          <w:rFonts w:hint="eastAsia" w:asciiTheme="minorEastAsia" w:hAnsiTheme="minorEastAsia" w:eastAsiaTheme="minorEastAsia"/>
        </w:rPr>
      </w:pPr>
      <w:r/>
      <w:bookmarkStart w:id="121" w:name="_Toc43994937"/>
      <w:r/>
      <w:bookmarkStart w:id="122" w:name="_Toc12264"/>
      <w:r/>
      <w:bookmarkStart w:id="123" w:name="_Toc43917774"/>
      <w:r>
        <w:rPr>
          <w:rFonts w:hint="eastAsia" w:asciiTheme="minorEastAsia" w:hAnsiTheme="minorEastAsia" w:eastAsiaTheme="minorEastAsia"/>
          <w:lang w:val="zh-CN"/>
        </w:rPr>
        <w:t xml:space="preserve">附件五、分项报价表格式</w:t>
      </w:r>
      <w:bookmarkEnd w:id="121"/>
      <w:r/>
      <w:bookmarkEnd w:id="122"/>
      <w:r/>
      <w:bookmarkEnd w:id="123"/>
      <w:r/>
      <w:bookmarkStart w:id="124" w:name="_Hlk44577839"/>
      <w:r/>
      <w:bookmarkStart w:id="125" w:name="_Hlk44580887"/>
      <w:r/>
      <w:r/>
    </w:p>
    <w:p>
      <w:pPr>
        <w:rPr>
          <w:rFonts w:hint="eastAsia" w:asciiTheme="minorEastAsia" w:hAnsiTheme="minorEastAsia" w:eastAsiaTheme="minorEastAsia"/>
        </w:rPr>
      </w:pPr>
      <w:r/>
      <w:bookmarkStart w:id="126" w:name="_Hlk68083992"/>
      <w:r/>
      <w:bookmarkEnd w:id="124"/>
      <w:r/>
      <w:r/>
    </w:p>
    <w:p>
      <w:pPr>
        <w:pStyle w:val="915"/>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分项报价表</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898"/>
        <w:tblW w:w="864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rPr>
      </w:pPr>
      <w:r/>
      <w:bookmarkStart w:id="127" w:name="_Hlk176531826"/>
      <w:r>
        <w:rPr>
          <w:rFonts w:hint="eastAsia" w:asciiTheme="minorEastAsia" w:hAnsiTheme="minorEastAsia" w:eastAsiaTheme="minorEastAsia"/>
        </w:rPr>
        <w:t xml:space="preserve">1.“投标折扣”应包括为完成整个项目所产生的所有费用，竞争性磋商文件另有规定的除外。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2.《分项报价表》中“</w:t>
      </w:r>
      <w:bookmarkStart w:id="128" w:name="OLE_LINK32"/>
      <w:r>
        <w:rPr>
          <w:rFonts w:hint="eastAsia" w:asciiTheme="minorEastAsia" w:hAnsiTheme="minorEastAsia" w:eastAsiaTheme="minorEastAsia"/>
          <w:szCs w:val="21"/>
        </w:rPr>
        <w:t xml:space="preserve">投标</w:t>
      </w:r>
      <w:bookmarkEnd w:id="128"/>
      <w:r>
        <w:rPr>
          <w:rFonts w:hint="eastAsia" w:asciiTheme="minorEastAsia" w:hAnsiTheme="minorEastAsia" w:eastAsiaTheme="minorEastAsia"/>
          <w:szCs w:val="21"/>
        </w:rPr>
        <w:t xml:space="preserve">折扣”应当与《磋商报价表》中“投标折扣”一致。</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lang w:val="zh-CN"/>
        </w:rPr>
        <w:t xml:space="preserve">3. 分项报价格式自拟，</w:t>
      </w:r>
      <w:r>
        <w:rPr>
          <w:rFonts w:asciiTheme="minorEastAsia" w:hAnsiTheme="minorEastAsia" w:eastAsiaTheme="minorEastAsia"/>
          <w:szCs w:val="21"/>
        </w:rPr>
        <w:t xml:space="preserve">如果行数不够，请自行增加。</w:t>
      </w:r>
      <w:bookmarkEnd w:id="127"/>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widowControl/>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br w:type="page" w:clear="all"/>
      </w:r>
      <w:bookmarkEnd w:id="125"/>
      <w:r/>
      <w:bookmarkEnd w:id="126"/>
      <w:r/>
      <w:r/>
    </w:p>
    <w:p>
      <w:pPr>
        <w:pStyle w:val="889"/>
        <w:numPr>
          <w:ilvl w:val="0"/>
          <w:numId w:val="0"/>
        </w:numPr>
        <w:rPr>
          <w:rFonts w:hint="eastAsia" w:asciiTheme="minorEastAsia" w:hAnsiTheme="minorEastAsia" w:eastAsiaTheme="minorEastAsia"/>
        </w:rPr>
      </w:pPr>
      <w:r/>
      <w:bookmarkStart w:id="129" w:name="_Toc43994938"/>
      <w:r/>
      <w:bookmarkStart w:id="130" w:name="_Toc43917775"/>
      <w:r>
        <w:rPr>
          <w:rFonts w:hint="eastAsia" w:asciiTheme="minorEastAsia" w:hAnsiTheme="minorEastAsia" w:eastAsiaTheme="minorEastAsia"/>
        </w:rPr>
        <w:t xml:space="preserve">附件六、技术要求响应及偏离表</w:t>
      </w:r>
      <w:bookmarkEnd w:id="129"/>
      <w:r/>
      <w:bookmarkEnd w:id="130"/>
      <w:r/>
      <w:r/>
    </w:p>
    <w:p>
      <w:pPr>
        <w:ind w:left="43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 w:val="24"/>
        </w:rPr>
        <w:t xml:space="preserve"> </w:t>
      </w:r>
      <w:r/>
    </w:p>
    <w:p>
      <w:pPr>
        <w:jc w:val="center"/>
        <w:spacing w:line="360" w:lineRule="auto"/>
        <w:shd w:val="clear" w:color="auto" w:fill="ffffff"/>
        <w:widowControl/>
        <w:rPr>
          <w:rFonts w:hint="eastAsia" w:asciiTheme="minorEastAsia" w:hAnsiTheme="minorEastAsia" w:eastAsiaTheme="minorEastAsia"/>
          <w:szCs w:val="21"/>
        </w:rPr>
      </w:pPr>
      <w:r/>
      <w:bookmarkStart w:id="131" w:name="_Hlk66806518"/>
      <w:r>
        <w:rPr>
          <w:rFonts w:hint="eastAsia" w:asciiTheme="minorEastAsia" w:hAnsiTheme="minorEastAsia" w:eastAsiaTheme="minorEastAsia"/>
          <w:b/>
          <w:sz w:val="32"/>
          <w:szCs w:val="32"/>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898"/>
        <w:tblW w:w="843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竞争性磋商文件的技术要求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磋商文件技术要求的检验流程</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磋商文件技术要求的法律责任</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磋商文件全部技术要求条款</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bookmarkStart w:id="132" w:name="OLE_LINK24"/>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rPr>
      </w:pPr>
      <w:r/>
      <w:bookmarkStart w:id="133" w:name="OLE_LINK37"/>
      <w:r>
        <w:rPr>
          <w:rFonts w:hint="eastAsia" w:asciiTheme="minorEastAsia" w:hAnsiTheme="minorEastAsia" w:eastAsiaTheme="minorEastAsia"/>
          <w:b/>
          <w:bCs/>
          <w:szCs w:val="21"/>
        </w:rPr>
        <w:t xml:space="preserve">1.</w:t>
      </w:r>
      <w:r>
        <w:rPr>
          <w:rFonts w:hint="eastAsia" w:asciiTheme="minorEastAsia" w:hAnsiTheme="minorEastAsia" w:eastAsiaTheme="minorEastAsia"/>
          <w:b/>
          <w:bCs/>
        </w:rPr>
        <w:t xml:space="preserve">供应商</w:t>
      </w:r>
      <w:r>
        <w:rPr>
          <w:rFonts w:hint="eastAsia" w:asciiTheme="minorEastAsia" w:hAnsiTheme="minorEastAsia" w:eastAsiaTheme="minorEastAsia"/>
          <w:b/>
          <w:bCs/>
          <w:szCs w:val="21"/>
        </w:rPr>
        <w:t xml:space="preserve">须对竞争性磋商文件技术要求中的实质性要求（斜体下划线内容或打“★”</w:t>
      </w:r>
      <w:r>
        <w:rPr>
          <w:rFonts w:hint="eastAsia" w:cs="宋体" w:asciiTheme="minorEastAsia" w:hAnsiTheme="minorEastAsia" w:eastAsiaTheme="minorEastAsia"/>
          <w:b/>
          <w:bCs/>
          <w:szCs w:val="21"/>
        </w:rPr>
        <w:t xml:space="preserve">“</w:t>
      </w:r>
      <w:r>
        <w:rPr>
          <w:rFonts w:cs="宋体"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内容）做出明确响应，</w:t>
      </w:r>
      <w:r>
        <w:rPr>
          <w:rFonts w:hint="eastAsia" w:asciiTheme="minorEastAsia" w:hAnsiTheme="minorEastAsia" w:eastAsiaTheme="minorEastAsia"/>
          <w:b/>
          <w:bCs/>
        </w:rPr>
        <w:t xml:space="preserve">供应商</w:t>
      </w:r>
      <w:r>
        <w:rPr>
          <w:rFonts w:hint="eastAsia" w:asciiTheme="minorEastAsia" w:hAnsiTheme="minorEastAsia" w:eastAsiaTheme="minorEastAsia"/>
          <w:b/>
          <w:bCs/>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bookmarkEnd w:id="131"/>
      <w:r/>
      <w:bookmarkEnd w:id="132"/>
      <w:r/>
      <w:bookmarkEnd w:id="133"/>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br w:type="page" w:clear="all"/>
      </w:r>
      <w:r/>
    </w:p>
    <w:p>
      <w:pPr>
        <w:pStyle w:val="889"/>
        <w:numPr>
          <w:ilvl w:val="1"/>
          <w:numId w:val="0"/>
        </w:numPr>
        <w:rPr>
          <w:rFonts w:hint="eastAsia" w:asciiTheme="minorEastAsia" w:hAnsiTheme="minorEastAsia" w:eastAsiaTheme="minorEastAsia"/>
        </w:rPr>
      </w:pPr>
      <w:r/>
      <w:bookmarkStart w:id="134" w:name="_Toc43994939"/>
      <w:r/>
      <w:bookmarkStart w:id="135" w:name="_Toc43917776"/>
      <w:r>
        <w:rPr>
          <w:rFonts w:hint="eastAsia" w:asciiTheme="minorEastAsia" w:hAnsiTheme="minorEastAsia" w:eastAsiaTheme="minorEastAsia"/>
        </w:rPr>
        <w:t xml:space="preserve">附件七、商务要求响应及偏离表</w:t>
      </w:r>
      <w:bookmarkEnd w:id="134"/>
      <w:r/>
      <w:bookmarkEnd w:id="135"/>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36" w:name="_Hlk66806534"/>
      <w:r/>
      <w:r/>
    </w:p>
    <w:p>
      <w:pPr>
        <w:jc w:val="cente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898"/>
        <w:tblW w:w="854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bookmarkStart w:id="137" w:name="_Hlk66784541"/>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磋商文件商务要求的服务期和服务地点</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磋商文件商务要求的付款方式</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磋商文件全部商务要求条款</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37"/>
            <w:r/>
            <w:r/>
          </w:p>
        </w:tc>
      </w:tr>
    </w:tbl>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w:t>
      </w:r>
      <w:r>
        <w:rPr>
          <w:rFonts w:hint="eastAsia" w:asciiTheme="minorEastAsia" w:hAnsiTheme="minorEastAsia" w:eastAsiaTheme="minorEastAsia"/>
          <w:b/>
          <w:bCs/>
        </w:rPr>
        <w:t xml:space="preserve">供应商</w:t>
      </w:r>
      <w:r>
        <w:rPr>
          <w:rFonts w:hint="eastAsia" w:asciiTheme="minorEastAsia" w:hAnsiTheme="minorEastAsia" w:eastAsiaTheme="minorEastAsia"/>
          <w:b/>
          <w:bCs/>
          <w:szCs w:val="21"/>
        </w:rPr>
        <w:t xml:space="preserve">须对竞争性磋商文件技术要求中的实质性要求（斜体下划线内容或打“★”</w:t>
      </w:r>
      <w:r>
        <w:rPr>
          <w:rFonts w:hint="eastAsia" w:cs="宋体" w:asciiTheme="minorEastAsia" w:hAnsiTheme="minorEastAsia" w:eastAsiaTheme="minorEastAsia"/>
          <w:b/>
          <w:bCs/>
          <w:szCs w:val="21"/>
        </w:rPr>
        <w:t xml:space="preserve">“</w:t>
      </w:r>
      <w:r>
        <w:rPr>
          <w:rFonts w:cs="宋体"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内容）做出明确响应，</w:t>
      </w:r>
      <w:r>
        <w:rPr>
          <w:rFonts w:hint="eastAsia" w:asciiTheme="minorEastAsia" w:hAnsiTheme="minorEastAsia" w:eastAsiaTheme="minorEastAsia"/>
          <w:b/>
          <w:bCs/>
        </w:rPr>
        <w:t xml:space="preserve">供应商</w:t>
      </w:r>
      <w:r>
        <w:rPr>
          <w:rFonts w:hint="eastAsia" w:asciiTheme="minorEastAsia" w:hAnsiTheme="minorEastAsia" w:eastAsiaTheme="minorEastAsia"/>
          <w:b/>
          <w:bCs/>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bookmarkEnd w:id="136"/>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 </w:t>
      </w:r>
      <w:r/>
    </w:p>
    <w:p>
      <w:pPr>
        <w:jc w:val="left"/>
        <w:spacing w:line="360" w:lineRule="auto"/>
        <w:shd w:val="clear" w:color="auto" w:fill="ffffff"/>
        <w:widowControl/>
        <w:rPr>
          <w:rFonts w:hint="eastAsia" w:asciiTheme="minorEastAsia" w:hAnsiTheme="minorEastAsia" w:eastAsiaTheme="minorEastAsia"/>
          <w:sz w:val="24"/>
        </w:rPr>
      </w:pPr>
      <w:r>
        <w:rPr>
          <w:rFonts w:asciiTheme="minorEastAsia" w:hAnsiTheme="minorEastAsia" w:eastAsiaTheme="minorEastAsia"/>
          <w:sz w:val="24"/>
        </w:rPr>
        <w:br w:type="page" w:clear="all"/>
      </w:r>
      <w:r/>
    </w:p>
    <w:p>
      <w:pPr>
        <w:pStyle w:val="889"/>
        <w:numPr>
          <w:ilvl w:val="0"/>
          <w:numId w:val="0"/>
        </w:numPr>
        <w:rPr>
          <w:rFonts w:hint="eastAsia" w:asciiTheme="minorEastAsia" w:hAnsiTheme="minorEastAsia" w:eastAsiaTheme="minorEastAsia"/>
        </w:rPr>
      </w:pPr>
      <w:r/>
      <w:bookmarkStart w:id="138" w:name="_Toc43917778"/>
      <w:r/>
      <w:bookmarkStart w:id="139" w:name="_Toc43994941"/>
      <w:r>
        <w:rPr>
          <w:rFonts w:hint="eastAsia" w:asciiTheme="minorEastAsia" w:hAnsiTheme="minorEastAsia" w:eastAsiaTheme="minorEastAsia"/>
        </w:rPr>
        <w:t xml:space="preserve">附件八、拟参与本项目服务人员一览表</w:t>
      </w:r>
      <w:bookmarkEnd w:id="138"/>
      <w:r/>
      <w:bookmarkEnd w:id="139"/>
      <w:r/>
      <w:r/>
    </w:p>
    <w:p>
      <w:pPr>
        <w:spacing w:line="460" w:lineRule="atLeast"/>
        <w:widowControl/>
        <w:rPr>
          <w:rFonts w:hint="eastAsia" w:asciiTheme="minorEastAsia" w:hAnsiTheme="minorEastAsia" w:eastAsiaTheme="minorEastAsia"/>
          <w:b/>
          <w:bCs/>
          <w:sz w:val="24"/>
        </w:rPr>
      </w:pPr>
      <w:r/>
      <w:bookmarkStart w:id="140" w:name="_Hlk68084060"/>
      <w:r/>
      <w:r/>
    </w:p>
    <w:p>
      <w:pPr>
        <w:ind w:left="420"/>
        <w:jc w:val="center"/>
        <w:spacing w:line="360" w:lineRule="auto"/>
        <w:shd w:val="clear" w:color="auto" w:fill="ffffff"/>
        <w:widowControl/>
        <w:rPr>
          <w:rFonts w:hint="eastAsia" w:asciiTheme="minorEastAsia" w:hAnsiTheme="minorEastAsia" w:eastAsiaTheme="minorEastAsia"/>
          <w:b/>
          <w:sz w:val="30"/>
          <w:szCs w:val="30"/>
        </w:rPr>
      </w:pPr>
      <w:r/>
      <w:bookmarkStart w:id="141" w:name="_Hlk67995747"/>
      <w:r>
        <w:rPr>
          <w:rFonts w:hint="eastAsia" w:asciiTheme="minorEastAsia" w:hAnsiTheme="minorEastAsia" w:eastAsiaTheme="minorEastAsia"/>
          <w:b/>
          <w:sz w:val="32"/>
          <w:szCs w:val="32"/>
        </w:rPr>
        <w:t xml:space="preserve">拟参与本项目服务人员一览表</w:t>
      </w:r>
      <w:bookmarkEnd w:id="141"/>
      <w:r/>
      <w:bookmarkStart w:id="142" w:name="_Hlk66378104"/>
      <w:r/>
      <w:bookmarkEnd w:id="142"/>
      <w:r/>
      <w:r/>
    </w:p>
    <w:p>
      <w:pPr>
        <w:jc w:val="center"/>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widowControl/>
        <w:rPr>
          <w:rFonts w:hint="eastAsia" w:asciiTheme="minorEastAsia" w:hAnsiTheme="minorEastAsia" w:eastAsiaTheme="minorEastAsia"/>
          <w:szCs w:val="21"/>
        </w:rPr>
      </w:pPr>
      <w:r/>
      <w:bookmarkStart w:id="143" w:name="_Hlk66784308"/>
      <w:r>
        <w:rPr>
          <w:rFonts w:hint="eastAsia" w:asciiTheme="minorEastAsia" w:hAnsiTheme="minorEastAsia" w:eastAsiaTheme="minorEastAsia"/>
          <w:szCs w:val="21"/>
        </w:rPr>
        <w:t xml:space="preserve">项目名称：                                 项目编号：</w:t>
      </w:r>
      <w:bookmarkEnd w:id="143"/>
      <w:r/>
      <w:r/>
    </w:p>
    <w:tbl>
      <w:tblPr>
        <w:tblStyle w:val="898"/>
        <w:tblW w:w="946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bookmarkEnd w:id="140"/>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widowControl/>
        <w:rPr>
          <w:rFonts w:hint="eastAsia"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889"/>
        <w:numPr>
          <w:ilvl w:val="0"/>
          <w:numId w:val="0"/>
        </w:numPr>
        <w:rPr>
          <w:rFonts w:hint="eastAsia" w:asciiTheme="minorEastAsia" w:hAnsiTheme="minorEastAsia" w:eastAsiaTheme="minorEastAsia"/>
        </w:rPr>
      </w:pPr>
      <w:r/>
      <w:bookmarkStart w:id="144" w:name="_Toc43994942"/>
      <w:r/>
      <w:bookmarkStart w:id="145" w:name="_Toc43917779"/>
      <w:r>
        <w:rPr>
          <w:rFonts w:hint="eastAsia" w:asciiTheme="minorEastAsia" w:hAnsiTheme="minorEastAsia" w:eastAsiaTheme="minorEastAsia"/>
        </w:rPr>
        <w:t xml:space="preserve">附件九、供应商类似业绩情况表</w:t>
      </w:r>
      <w:bookmarkEnd w:id="144"/>
      <w:r/>
      <w:bookmarkEnd w:id="145"/>
      <w:r/>
      <w:r/>
    </w:p>
    <w:p>
      <w:pPr>
        <w:jc w:val="center"/>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jc w:val="center"/>
        <w:spacing w:line="360" w:lineRule="auto"/>
        <w:rPr>
          <w:rFonts w:hint="eastAsia" w:asciiTheme="minorEastAsia" w:hAnsiTheme="minorEastAsia" w:eastAsiaTheme="minorEastAsia"/>
          <w:b/>
          <w:sz w:val="32"/>
          <w:szCs w:val="32"/>
        </w:rPr>
      </w:pPr>
      <w:r/>
      <w:bookmarkStart w:id="146" w:name="_Hlk68084071"/>
      <w:r>
        <w:rPr>
          <w:rFonts w:hint="eastAsia" w:asciiTheme="minorEastAsia" w:hAnsiTheme="minorEastAsia" w:eastAsiaTheme="minorEastAsia"/>
          <w:b/>
          <w:sz w:val="32"/>
          <w:szCs w:val="32"/>
        </w:rPr>
        <w:t xml:space="preserve">供应商类似业绩情况表</w:t>
      </w:r>
      <w:r/>
    </w:p>
    <w:p>
      <w:pPr>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898"/>
        <w:tblW w:w="1007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金额</w:t>
            </w:r>
            <w:r/>
          </w:p>
        </w:tc>
        <w:tc>
          <w:tcPr>
            <w:tcW w:w="1418"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134"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ind w:firstLine="105"/>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spacing w:line="360" w:lineRule="auto"/>
        <w:rPr>
          <w:rFonts w:hint="eastAsia" w:asciiTheme="minorEastAsia" w:hAnsiTheme="minorEastAsia" w:eastAsiaTheme="minorEastAsia"/>
          <w:b/>
          <w:szCs w:val="21"/>
        </w:rPr>
      </w:pPr>
      <w:r/>
      <w:bookmarkStart w:id="147" w:name="_Hlk66806548"/>
      <w:r/>
      <w:r/>
    </w:p>
    <w:p>
      <w:pP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说明：供应商如实填写业绩情况表，并根据竞争性磋商文件要求附业绩证明材料。</w:t>
      </w:r>
      <w:bookmarkEnd w:id="146"/>
      <w:r/>
      <w:bookmarkEnd w:id="147"/>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889"/>
        <w:numPr>
          <w:ilvl w:val="0"/>
          <w:numId w:val="0"/>
        </w:numPr>
        <w:rPr>
          <w:rFonts w:hint="eastAsia" w:asciiTheme="minorEastAsia" w:hAnsiTheme="minorEastAsia" w:eastAsiaTheme="minorEastAsia"/>
        </w:rPr>
      </w:pPr>
      <w:r/>
      <w:bookmarkStart w:id="148" w:name="_Toc43917780"/>
      <w:r/>
      <w:bookmarkStart w:id="149" w:name="_Toc43994943"/>
      <w:r>
        <w:rPr>
          <w:rFonts w:hint="eastAsia" w:asciiTheme="minorEastAsia" w:hAnsiTheme="minorEastAsia" w:eastAsiaTheme="minorEastAsia"/>
        </w:rPr>
        <w:t xml:space="preserve">附件十、企业声明函格式</w:t>
      </w:r>
      <w:bookmarkEnd w:id="148"/>
      <w:r/>
      <w:bookmarkEnd w:id="149"/>
      <w:r/>
      <w:r/>
    </w:p>
    <w:p>
      <w:pPr>
        <w:jc w:val="center"/>
        <w:spacing w:line="360" w:lineRule="auto"/>
        <w:rPr>
          <w:rFonts w:hint="eastAsia" w:cs="Arial" w:asciiTheme="minorEastAsia" w:hAnsiTheme="minorEastAsia" w:eastAsiaTheme="minorEastAsia"/>
          <w:b/>
          <w:bCs/>
          <w:sz w:val="28"/>
          <w:szCs w:val="28"/>
        </w:rPr>
      </w:pPr>
      <w:r/>
      <w:bookmarkStart w:id="150" w:name="_Hlk83376788"/>
      <w:r/>
      <w:bookmarkStart w:id="151" w:name="OLE_LINK14"/>
      <w:r/>
      <w:bookmarkStart w:id="152" w:name="OLE_LINK13"/>
      <w:r>
        <w:rPr>
          <w:rFonts w:hint="eastAsia" w:cs="Arial" w:asciiTheme="minorEastAsia" w:hAnsiTheme="minorEastAsia" w:eastAsiaTheme="minorEastAsia"/>
          <w:b/>
          <w:bCs/>
          <w:sz w:val="28"/>
          <w:szCs w:val="28"/>
        </w:rPr>
        <w:t xml:space="preserve">中小企业声明函（工程、服务）</w:t>
      </w:r>
      <w:r/>
    </w:p>
    <w:p>
      <w:pPr>
        <w:ind w:firstLine="420"/>
        <w:jc w:val="left"/>
        <w:spacing w:line="440" w:lineRule="exact"/>
        <w:widowControl/>
        <w:rPr>
          <w:rFonts w:hint="eastAsia"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hint="eastAsia" w:cs="Arial" w:asciiTheme="minorEastAsia" w:hAnsiTheme="minorEastAsia" w:eastAsiaTheme="minorEastAsia"/>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1</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（竞争性磋商文件中明确的所属行业）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（中型企业、小型企业、微型企业）</w:t>
      </w:r>
      <w:r>
        <w:rPr>
          <w:rFonts w:hint="eastAsia" w:cs="Arial" w:asciiTheme="minorEastAsia" w:hAnsiTheme="minorEastAsia" w:eastAsiaTheme="minorEastAsia"/>
        </w:rPr>
        <w:t xml:space="preserve">；</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（竞争性磋商文件中明确的所属行业）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（中型企业、小型企业、微型企业）</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right="840" w:firstLine="4200"/>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w:t>
      </w:r>
      <w:r>
        <w:rPr>
          <w:rFonts w:hint="eastAsia" w:cs="宋体" w:asciiTheme="minorEastAsia" w:hAnsiTheme="minorEastAsia" w:eastAsiaTheme="minorEastAsia"/>
          <w:szCs w:val="21"/>
        </w:rPr>
        <w:t xml:space="preserve">加盖电子公章</w:t>
      </w:r>
      <w:r>
        <w:rPr>
          <w:rFonts w:hint="eastAsia" w:cs="Arial" w:asciiTheme="minorEastAsia" w:hAnsiTheme="minorEastAsia" w:eastAsiaTheme="minorEastAsia"/>
        </w:rPr>
        <w:t xml:space="preserve">）</w:t>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rPr>
        <w:t xml:space="preserve">日期：</w:t>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bookmarkEnd w:id="150"/>
      <w:r/>
      <w:r/>
    </w:p>
    <w:p>
      <w:pPr>
        <w:jc w:val="center"/>
        <w:spacing w:line="360" w:lineRule="auto"/>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残疾人福利性单位声明函</w:t>
      </w:r>
      <w:bookmarkEnd w:id="151"/>
      <w:r/>
      <w:bookmarkEnd w:id="152"/>
      <w:r/>
      <w:r/>
    </w:p>
    <w:p>
      <w:pPr>
        <w:ind w:firstLine="42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504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单位名称：（</w:t>
      </w:r>
      <w:r>
        <w:rPr>
          <w:rFonts w:hint="eastAsia" w:cs="宋体" w:asciiTheme="minorEastAsia" w:hAnsiTheme="minorEastAsia" w:eastAsiaTheme="minorEastAsia"/>
          <w:szCs w:val="21"/>
        </w:rPr>
        <w:t xml:space="preserve">加盖电子公章</w:t>
      </w:r>
      <w:r>
        <w:rPr>
          <w:rFonts w:hint="eastAsia" w:cs="宋体" w:asciiTheme="minorEastAsia" w:hAnsiTheme="minorEastAsia" w:eastAsiaTheme="minorEastAsia"/>
          <w:szCs w:val="21"/>
        </w:rPr>
        <w:t xml:space="preserve">）</w:t>
      </w:r>
      <w:r/>
    </w:p>
    <w:p>
      <w:pPr>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日  期：</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属于监狱企业的证明文件</w:t>
      </w:r>
      <w:r/>
    </w:p>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提供</w:t>
      </w:r>
      <w:r>
        <w:rPr>
          <w:rFonts w:hint="eastAsia" w:asciiTheme="minorEastAsia" w:hAnsiTheme="minorEastAsia" w:eastAsiaTheme="minorEastAsia"/>
          <w:szCs w:val="21"/>
        </w:rPr>
        <w:t xml:space="preserve">由省级以上监狱管理局、戒毒管理局(含新疆生产建设兵团)出具的属于监狱企业的证明文件）</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r>
      <w:r/>
    </w:p>
    <w:p>
      <w:pPr>
        <w:jc w:val="center"/>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r>
      <w:r/>
    </w:p>
    <w:p>
      <w:pPr>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r>
      <w:r/>
    </w:p>
    <w:p>
      <w:pPr>
        <w:rPr>
          <w:rFonts w:hint="eastAsia" w:asciiTheme="minorEastAsia" w:hAnsiTheme="minorEastAsia" w:eastAsiaTheme="minorEastAsia"/>
        </w:rPr>
      </w:pPr>
      <w:r/>
      <w:bookmarkStart w:id="153" w:name="_Toc43994944"/>
      <w:r/>
      <w:bookmarkStart w:id="154" w:name="_Toc43917781"/>
      <w:r>
        <w:rPr>
          <w:rFonts w:hint="eastAsia" w:asciiTheme="minorEastAsia" w:hAnsiTheme="minorEastAsia" w:eastAsiaTheme="minorEastAsia"/>
        </w:rPr>
        <w:br w:type="page" w:clear="all"/>
      </w:r>
      <w:r/>
    </w:p>
    <w:p>
      <w:pPr>
        <w:pStyle w:val="889"/>
        <w:numPr>
          <w:ilvl w:val="0"/>
          <w:numId w:val="0"/>
        </w:numPr>
        <w:rPr>
          <w:rFonts w:hint="eastAsia" w:asciiTheme="minorEastAsia" w:hAnsiTheme="minorEastAsia" w:eastAsiaTheme="minorEastAsia"/>
        </w:rPr>
      </w:pPr>
      <w:r>
        <w:rPr>
          <w:rFonts w:hint="eastAsia" w:asciiTheme="minorEastAsia" w:hAnsiTheme="minorEastAsia" w:eastAsiaTheme="minorEastAsia"/>
        </w:rPr>
        <w:t xml:space="preserve">附件十一、无重大违法记录声明格式</w:t>
      </w:r>
      <w:bookmarkEnd w:id="153"/>
      <w:r/>
      <w:bookmarkEnd w:id="154"/>
      <w:r/>
      <w:r/>
    </w:p>
    <w:p>
      <w:pPr>
        <w:jc w:val="center"/>
        <w:spacing w:line="240" w:lineRule="atLeast"/>
        <w:rPr>
          <w:rFonts w:hint="eastAsia" w:asciiTheme="minorEastAsia" w:hAnsiTheme="minorEastAsia" w:eastAsiaTheme="minorEastAsia"/>
          <w:sz w:val="28"/>
          <w:szCs w:val="36"/>
        </w:rPr>
      </w:pPr>
      <w:r>
        <w:rPr>
          <w:rFonts w:hint="eastAsia" w:asciiTheme="minorEastAsia" w:hAnsiTheme="minorEastAsia" w:eastAsiaTheme="minorEastAsia"/>
          <w:sz w:val="28"/>
          <w:szCs w:val="36"/>
        </w:rPr>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szCs w:val="21"/>
        </w:rPr>
        <w:t xml:space="preserve">南京市交通运输综合行政执法监督局</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我单位（供应商名称）郑重声明：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参加政府采购活动前3年内在经营活动中</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（在下划线上如实填写：有或没有）重大违法记录。</w:t>
      </w:r>
      <w:r/>
    </w:p>
    <w:p>
      <w:pPr>
        <w:ind w:firstLine="315"/>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5103"/>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 （</w:t>
      </w:r>
      <w:r>
        <w:rPr>
          <w:rFonts w:hint="eastAsia" w:cs="宋体" w:asciiTheme="minorEastAsia" w:hAnsiTheme="minorEastAsia" w:eastAsiaTheme="minorEastAsia"/>
          <w:szCs w:val="21"/>
        </w:rPr>
        <w:t xml:space="preserve">加盖电子公章</w:t>
      </w:r>
      <w:r>
        <w:rPr>
          <w:rFonts w:hint="eastAsia" w:asciiTheme="minorEastAsia" w:hAnsiTheme="minorEastAsia" w:eastAsiaTheme="minorEastAsia"/>
          <w:szCs w:val="21"/>
        </w:rPr>
        <w:t xml:space="preserve">）</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b/>
        </w:rPr>
      </w:pPr>
      <w:r>
        <w:rPr>
          <w:rFonts w:asciiTheme="minorEastAsia" w:hAnsiTheme="minorEastAsia" w:eastAsiaTheme="minorEastAsia"/>
          <w:b/>
        </w:rPr>
        <w:br w:type="page" w:clear="all"/>
      </w:r>
      <w:r/>
    </w:p>
    <w:p>
      <w:pPr>
        <w:pStyle w:val="889"/>
        <w:numPr>
          <w:ilvl w:val="0"/>
          <w:numId w:val="0"/>
        </w:numPr>
        <w:rPr>
          <w:rFonts w:hint="eastAsia" w:asciiTheme="minorEastAsia" w:hAnsiTheme="minorEastAsia" w:eastAsiaTheme="minorEastAsia"/>
        </w:rPr>
      </w:pPr>
      <w:r/>
      <w:bookmarkStart w:id="155" w:name="_Hlk164774608"/>
      <w:r/>
      <w:bookmarkStart w:id="156" w:name="_Toc1487"/>
      <w:r/>
      <w:bookmarkStart w:id="157" w:name="_Hlk163404435"/>
      <w:r>
        <w:rPr>
          <w:rFonts w:hint="eastAsia" w:asciiTheme="minorEastAsia" w:hAnsiTheme="minorEastAsia" w:eastAsiaTheme="minorEastAsia"/>
        </w:rPr>
        <w:t xml:space="preserve">附件十二、具有履行合同所必需的设备和专业技术能力的声明格式</w:t>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r/>
    </w:p>
    <w:p>
      <w:pPr>
        <w:spacing w:line="360" w:lineRule="auto"/>
        <w:rPr>
          <w:rFonts w:hint="eastAsia" w:asciiTheme="minorEastAsia" w:hAnsiTheme="minorEastAsia" w:eastAsiaTheme="minorEastAsia"/>
        </w:rPr>
      </w:pPr>
      <w:r/>
      <w:bookmarkStart w:id="158" w:name="_Hlk164774601"/>
      <w:r/>
      <w:r/>
    </w:p>
    <w:p>
      <w:p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致：南京市交通运输综合行政执法监督局</w:t>
      </w:r>
      <w:r/>
    </w:p>
    <w:p>
      <w:pPr>
        <w:spacing w:line="360" w:lineRule="auto"/>
        <w:rPr>
          <w:rFonts w:hint="eastAsia" w:asciiTheme="minorEastAsia" w:hAnsiTheme="minorEastAsia" w:eastAsiaTheme="minorEastAsia"/>
        </w:rPr>
      </w:pPr>
      <w:r>
        <w:rPr>
          <w:rFonts w:hint="eastAsia" w:asciiTheme="minorEastAsia" w:hAnsiTheme="minorEastAsia" w:eastAsiaTheme="minorEastAsia"/>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我单位（供应商名称）郑重声明：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。（材料附后）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。（材料附后）</w:t>
      </w:r>
      <w:bookmarkEnd w:id="155"/>
      <w:r/>
      <w:bookmarkEnd w:id="156"/>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bookmarkEnd w:id="158"/>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宋体" w:asciiTheme="minorEastAsia" w:hAnsiTheme="minorEastAsia" w:eastAsiaTheme="minorEastAsia"/>
          <w:szCs w:val="21"/>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bookmarkEnd w:id="157"/>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bookmarkEnd w:id="96"/>
      <w:r/>
      <w:r/>
    </w:p>
    <w:p>
      <w:pPr>
        <w:rPr>
          <w:rFonts w:hint="eastAsia" w:asciiTheme="minorEastAsia" w:hAnsiTheme="minorEastAsia" w:eastAsiaTheme="minorEastAsia"/>
          <w:b/>
          <w:bCs/>
        </w:rPr>
      </w:pPr>
      <w:r>
        <w:rPr>
          <w:rFonts w:hint="eastAsia" w:asciiTheme="minorEastAsia" w:hAnsiTheme="minorEastAsia" w:eastAsiaTheme="minorEastAsia"/>
          <w:b/>
          <w:bCs/>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仿宋">
    <w:panose1 w:val="02010609060101010101"/>
  </w:font>
  <w:font w:name="等线">
    <w:panose1 w:val="02010600030101010101"/>
  </w:font>
  <w:font w:name="KNLe">
    <w:panose1 w:val="020B0503020202020204"/>
  </w:font>
  <w:font w:name="Courier New">
    <w:panose1 w:val="02070309020205020404"/>
  </w:font>
  <w:font w:name="Tahoma">
    <w:panose1 w:val="020B0604030504040204"/>
  </w:font>
  <w:font w:name="华文细黑">
    <w:panose1 w:val="02010600040101010101"/>
  </w:font>
  <w:font w:name="Calibri Light">
    <w:panose1 w:val="020F030202020403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楷体_GB2312">
    <w:panose1 w:val="020106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92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88"/>
      <w:isLgl w:val="false"/>
      <w:suff w:val="nothing"/>
      <w:lvlText w:val="第%1章"/>
      <w:lvlJc w:val="left"/>
      <w:pPr>
        <w:ind w:left="1276" w:firstLine="0"/>
      </w:pPr>
    </w:lvl>
    <w:lvl w:ilvl="1">
      <w:start w:val="1"/>
      <w:numFmt w:val="none"/>
      <w:pStyle w:val="889"/>
      <w:isLgl w:val="false"/>
      <w:suff w:val="nothing"/>
      <w:lvlText w:val=""/>
      <w:lvlJc w:val="left"/>
      <w:pPr>
        <w:ind w:left="709" w:firstLine="0"/>
      </w:pPr>
    </w:lvl>
    <w:lvl w:ilvl="2">
      <w:start w:val="1"/>
      <w:numFmt w:val="none"/>
      <w:pStyle w:val="890"/>
      <w:isLgl w:val="false"/>
      <w:suff w:val="nothing"/>
      <w:lvlText w:val=""/>
      <w:lvlJc w:val="left"/>
      <w:pPr>
        <w:ind w:left="709" w:firstLine="0"/>
      </w:pPr>
    </w:lvl>
    <w:lvl w:ilvl="3">
      <w:start w:val="1"/>
      <w:numFmt w:val="none"/>
      <w:pStyle w:val="891"/>
      <w:isLgl w:val="false"/>
      <w:suff w:val="nothing"/>
      <w:lvlText w:val=""/>
      <w:lvlJc w:val="left"/>
      <w:pPr>
        <w:ind w:left="709" w:firstLine="0"/>
      </w:pPr>
    </w:lvl>
    <w:lvl w:ilvl="4">
      <w:start w:val="1"/>
      <w:numFmt w:val="none"/>
      <w:pStyle w:val="892"/>
      <w:isLgl w:val="false"/>
      <w:suff w:val="nothing"/>
      <w:lvlText w:val=""/>
      <w:lvlJc w:val="left"/>
      <w:pPr>
        <w:ind w:left="709" w:firstLine="0"/>
      </w:pPr>
    </w:lvl>
    <w:lvl w:ilvl="5">
      <w:start w:val="1"/>
      <w:numFmt w:val="none"/>
      <w:pStyle w:val="893"/>
      <w:isLgl w:val="false"/>
      <w:suff w:val="nothing"/>
      <w:lvlText w:val=""/>
      <w:lvlJc w:val="left"/>
      <w:pPr>
        <w:ind w:left="709" w:firstLine="0"/>
      </w:pPr>
    </w:lvl>
    <w:lvl w:ilvl="6">
      <w:start w:val="1"/>
      <w:numFmt w:val="none"/>
      <w:pStyle w:val="894"/>
      <w:isLgl w:val="false"/>
      <w:suff w:val="nothing"/>
      <w:lvlText w:val=""/>
      <w:lvlJc w:val="left"/>
      <w:pPr>
        <w:ind w:left="709" w:firstLine="0"/>
      </w:pPr>
    </w:lvl>
    <w:lvl w:ilvl="7">
      <w:start w:val="1"/>
      <w:numFmt w:val="none"/>
      <w:pStyle w:val="895"/>
      <w:isLgl w:val="false"/>
      <w:suff w:val="nothing"/>
      <w:lvlText w:val=""/>
      <w:lvlJc w:val="left"/>
      <w:pPr>
        <w:ind w:left="709" w:firstLine="0"/>
      </w:pPr>
    </w:lvl>
    <w:lvl w:ilvl="8">
      <w:start w:val="1"/>
      <w:numFmt w:val="none"/>
      <w:pStyle w:val="896"/>
      <w:isLgl w:val="false"/>
      <w:suff w:val="nothing"/>
      <w:lvlText w:val=""/>
      <w:lvlJc w:val="left"/>
      <w:pPr>
        <w:ind w:left="709" w:firstLine="0"/>
      </w:pPr>
    </w:lvl>
  </w:abstractNum>
  <w:abstractNum w:abstractNumId="2">
    <w:multiLevelType w:val="hybridMultilevel"/>
    <w:lvl w:ilvl="0">
      <w:start w:val="1"/>
      <w:numFmt w:val="chineseCountingThousand"/>
      <w:pStyle w:val="95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9"/>
      <w:isLgl/>
      <w:suff w:val="tab"/>
      <w:lvlText w:val="%1.%2"/>
      <w:lvlJc w:val="left"/>
      <w:pPr>
        <w:ind w:left="425" w:hanging="425"/>
      </w:pPr>
      <w:rPr>
        <w:rFonts w:hint="eastAsia" w:ascii="Arial Unicode MS" w:hAnsi="Arial Unicode MS" w:eastAsia="微软雅黑"/>
        <w:b/>
        <w:i w:val="0"/>
      </w:rPr>
    </w:lvl>
    <w:lvl w:ilvl="2">
      <w:start w:val="1"/>
      <w:numFmt w:val="decimal"/>
      <w:pStyle w:val="99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1 Char"/>
    <w:basedOn w:val="897"/>
    <w:link w:val="888"/>
    <w:uiPriority w:val="9"/>
    <w:rPr>
      <w:rFonts w:ascii="Arial" w:hAnsi="Arial" w:eastAsia="Arial" w:cs="Arial"/>
      <w:sz w:val="40"/>
      <w:szCs w:val="40"/>
    </w:rPr>
  </w:style>
  <w:style w:type="character" w:styleId="736">
    <w:name w:val="Heading 2 Char"/>
    <w:basedOn w:val="897"/>
    <w:link w:val="889"/>
    <w:uiPriority w:val="9"/>
    <w:rPr>
      <w:rFonts w:ascii="Arial" w:hAnsi="Arial" w:eastAsia="Arial" w:cs="Arial"/>
      <w:sz w:val="34"/>
    </w:rPr>
  </w:style>
  <w:style w:type="character" w:styleId="737">
    <w:name w:val="Heading 3 Char"/>
    <w:basedOn w:val="897"/>
    <w:link w:val="890"/>
    <w:uiPriority w:val="9"/>
    <w:rPr>
      <w:rFonts w:ascii="Arial" w:hAnsi="Arial" w:eastAsia="Arial" w:cs="Arial"/>
      <w:sz w:val="30"/>
      <w:szCs w:val="30"/>
    </w:rPr>
  </w:style>
  <w:style w:type="character" w:styleId="738">
    <w:name w:val="Heading 4 Char"/>
    <w:basedOn w:val="897"/>
    <w:link w:val="891"/>
    <w:uiPriority w:val="9"/>
    <w:rPr>
      <w:rFonts w:ascii="Arial" w:hAnsi="Arial" w:eastAsia="Arial" w:cs="Arial"/>
      <w:b/>
      <w:bCs/>
      <w:sz w:val="26"/>
      <w:szCs w:val="26"/>
    </w:rPr>
  </w:style>
  <w:style w:type="character" w:styleId="739">
    <w:name w:val="Heading 5 Char"/>
    <w:basedOn w:val="897"/>
    <w:link w:val="892"/>
    <w:uiPriority w:val="9"/>
    <w:rPr>
      <w:rFonts w:ascii="Arial" w:hAnsi="Arial" w:eastAsia="Arial" w:cs="Arial"/>
      <w:b/>
      <w:bCs/>
      <w:sz w:val="24"/>
      <w:szCs w:val="24"/>
    </w:rPr>
  </w:style>
  <w:style w:type="character" w:styleId="740">
    <w:name w:val="Heading 6 Char"/>
    <w:basedOn w:val="897"/>
    <w:link w:val="893"/>
    <w:uiPriority w:val="9"/>
    <w:rPr>
      <w:rFonts w:ascii="Arial" w:hAnsi="Arial" w:eastAsia="Arial" w:cs="Arial"/>
      <w:b/>
      <w:bCs/>
      <w:sz w:val="22"/>
      <w:szCs w:val="22"/>
    </w:rPr>
  </w:style>
  <w:style w:type="character" w:styleId="741">
    <w:name w:val="Heading 7 Char"/>
    <w:basedOn w:val="897"/>
    <w:link w:val="894"/>
    <w:uiPriority w:val="9"/>
    <w:rPr>
      <w:rFonts w:ascii="Arial" w:hAnsi="Arial" w:eastAsia="Arial" w:cs="Arial"/>
      <w:b/>
      <w:bCs/>
      <w:i/>
      <w:iCs/>
      <w:sz w:val="22"/>
      <w:szCs w:val="22"/>
    </w:rPr>
  </w:style>
  <w:style w:type="character" w:styleId="742">
    <w:name w:val="Heading 8 Char"/>
    <w:basedOn w:val="897"/>
    <w:link w:val="895"/>
    <w:uiPriority w:val="9"/>
    <w:rPr>
      <w:rFonts w:ascii="Arial" w:hAnsi="Arial" w:eastAsia="Arial" w:cs="Arial"/>
      <w:i/>
      <w:iCs/>
      <w:sz w:val="22"/>
      <w:szCs w:val="22"/>
    </w:rPr>
  </w:style>
  <w:style w:type="character" w:styleId="743">
    <w:name w:val="Heading 9 Char"/>
    <w:basedOn w:val="897"/>
    <w:link w:val="896"/>
    <w:uiPriority w:val="9"/>
    <w:rPr>
      <w:rFonts w:ascii="Arial" w:hAnsi="Arial" w:eastAsia="Arial" w:cs="Arial"/>
      <w:i/>
      <w:iCs/>
      <w:sz w:val="21"/>
      <w:szCs w:val="21"/>
    </w:rPr>
  </w:style>
  <w:style w:type="paragraph" w:styleId="744">
    <w:name w:val="No Spacing"/>
    <w:uiPriority w:val="1"/>
    <w:qFormat/>
    <w:pPr>
      <w:spacing w:before="0" w:after="0" w:line="240" w:lineRule="auto"/>
    </w:pPr>
  </w:style>
  <w:style w:type="character" w:styleId="745">
    <w:name w:val="Title Char"/>
    <w:basedOn w:val="897"/>
    <w:link w:val="932"/>
    <w:uiPriority w:val="10"/>
    <w:rPr>
      <w:sz w:val="48"/>
      <w:szCs w:val="48"/>
    </w:rPr>
  </w:style>
  <w:style w:type="character" w:styleId="746">
    <w:name w:val="Subtitle Char"/>
    <w:basedOn w:val="897"/>
    <w:link w:val="924"/>
    <w:uiPriority w:val="11"/>
    <w:rPr>
      <w:sz w:val="24"/>
      <w:szCs w:val="24"/>
    </w:rPr>
  </w:style>
  <w:style w:type="paragraph" w:styleId="747">
    <w:name w:val="Quote"/>
    <w:basedOn w:val="887"/>
    <w:next w:val="887"/>
    <w:link w:val="748"/>
    <w:uiPriority w:val="29"/>
    <w:qFormat/>
    <w:pPr>
      <w:ind w:left="720" w:right="720"/>
    </w:pPr>
    <w:rPr>
      <w:i/>
    </w:rPr>
  </w:style>
  <w:style w:type="character" w:styleId="748">
    <w:name w:val="Quote Char"/>
    <w:link w:val="747"/>
    <w:uiPriority w:val="29"/>
    <w:rPr>
      <w:i/>
    </w:rPr>
  </w:style>
  <w:style w:type="paragraph" w:styleId="749">
    <w:name w:val="Intense Quote"/>
    <w:basedOn w:val="887"/>
    <w:next w:val="887"/>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897"/>
    <w:link w:val="921"/>
    <w:uiPriority w:val="99"/>
  </w:style>
  <w:style w:type="character" w:styleId="752">
    <w:name w:val="Footer Char"/>
    <w:basedOn w:val="897"/>
    <w:link w:val="920"/>
    <w:uiPriority w:val="99"/>
  </w:style>
  <w:style w:type="character" w:styleId="753">
    <w:name w:val="Caption Char"/>
    <w:basedOn w:val="907"/>
    <w:link w:val="920"/>
    <w:uiPriority w:val="99"/>
  </w:style>
  <w:style w:type="table" w:styleId="754">
    <w:name w:val="Table Grid Light"/>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8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8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8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8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8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8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8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8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8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8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8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8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8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8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8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8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8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8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8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8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8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8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8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9">
    <w:name w:val="footnote text"/>
    <w:basedOn w:val="887"/>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897"/>
    <w:uiPriority w:val="99"/>
    <w:unhideWhenUsed/>
    <w:rPr>
      <w:vertAlign w:val="superscript"/>
    </w:rPr>
  </w:style>
  <w:style w:type="paragraph" w:styleId="882">
    <w:name w:val="endnote text"/>
    <w:basedOn w:val="887"/>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897"/>
    <w:uiPriority w:val="99"/>
    <w:semiHidden/>
    <w:unhideWhenUsed/>
    <w:rPr>
      <w:vertAlign w:val="superscript"/>
    </w:r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9"/>
    <w:uiPriority w:val="0"/>
    <w:qFormat/>
    <w:pPr>
      <w:jc w:val="both"/>
      <w:widowControl w:val="off"/>
    </w:pPr>
    <w:rPr>
      <w:rFonts w:ascii="Times New Roman" w:hAnsi="Times New Roman" w:eastAsia="宋体" w:cs="Times New Roman"/>
      <w:sz w:val="21"/>
      <w:szCs w:val="24"/>
      <w:lang w:val="en-US" w:eastAsia="zh-CN" w:bidi="ar-SA"/>
    </w:rPr>
  </w:style>
  <w:style w:type="paragraph" w:styleId="888">
    <w:name w:val="Heading 1"/>
    <w:basedOn w:val="887"/>
    <w:next w:val="887"/>
    <w:link w:val="1068"/>
    <w:uiPriority w:val="0"/>
    <w:qFormat/>
    <w:pPr>
      <w:numPr>
        <w:ilvl w:val="0"/>
        <w:numId w:val="1"/>
      </w:numPr>
      <w:jc w:val="center"/>
      <w:keepLines/>
      <w:keepNext/>
      <w:spacing w:before="340" w:after="330" w:line="578" w:lineRule="auto"/>
      <w:outlineLvl w:val="0"/>
    </w:pPr>
    <w:rPr>
      <w:b/>
      <w:bCs/>
      <w:sz w:val="32"/>
      <w:szCs w:val="44"/>
    </w:rPr>
  </w:style>
  <w:style w:type="paragraph" w:styleId="889">
    <w:name w:val="Heading 2"/>
    <w:basedOn w:val="887"/>
    <w:next w:val="887"/>
    <w:link w:val="100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0">
    <w:name w:val="Heading 3"/>
    <w:basedOn w:val="887"/>
    <w:next w:val="887"/>
    <w:link w:val="1039"/>
    <w:uiPriority w:val="0"/>
    <w:qFormat/>
    <w:pPr>
      <w:numPr>
        <w:ilvl w:val="2"/>
        <w:numId w:val="1"/>
      </w:numPr>
      <w:keepLines/>
      <w:keepNext/>
      <w:spacing w:before="260" w:after="260" w:line="416" w:lineRule="auto"/>
      <w:outlineLvl w:val="2"/>
    </w:pPr>
    <w:rPr>
      <w:b/>
      <w:bCs/>
      <w:sz w:val="32"/>
      <w:szCs w:val="32"/>
    </w:rPr>
  </w:style>
  <w:style w:type="paragraph" w:styleId="891">
    <w:name w:val="Heading 4"/>
    <w:basedOn w:val="887"/>
    <w:next w:val="887"/>
    <w:link w:val="107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2">
    <w:name w:val="Heading 5"/>
    <w:basedOn w:val="887"/>
    <w:next w:val="887"/>
    <w:link w:val="1029"/>
    <w:uiPriority w:val="0"/>
    <w:qFormat/>
    <w:pPr>
      <w:numPr>
        <w:ilvl w:val="4"/>
        <w:numId w:val="1"/>
      </w:numPr>
      <w:keepLines/>
      <w:keepNext/>
      <w:spacing w:before="280" w:after="290" w:line="376" w:lineRule="auto"/>
      <w:outlineLvl w:val="4"/>
    </w:pPr>
    <w:rPr>
      <w:b/>
      <w:bCs/>
      <w:sz w:val="28"/>
      <w:szCs w:val="28"/>
    </w:rPr>
  </w:style>
  <w:style w:type="paragraph" w:styleId="893">
    <w:name w:val="Heading 6"/>
    <w:basedOn w:val="887"/>
    <w:next w:val="887"/>
    <w:link w:val="1017"/>
    <w:uiPriority w:val="0"/>
    <w:qFormat/>
    <w:pPr>
      <w:numPr>
        <w:ilvl w:val="5"/>
        <w:numId w:val="1"/>
      </w:numPr>
      <w:keepLines/>
      <w:keepNext/>
      <w:spacing w:before="240" w:after="64" w:line="320" w:lineRule="auto"/>
      <w:outlineLvl w:val="5"/>
    </w:pPr>
    <w:rPr>
      <w:rFonts w:ascii="Cambria" w:hAnsi="Cambria"/>
      <w:b/>
      <w:bCs/>
      <w:sz w:val="24"/>
    </w:rPr>
  </w:style>
  <w:style w:type="paragraph" w:styleId="894">
    <w:name w:val="Heading 7"/>
    <w:basedOn w:val="887"/>
    <w:next w:val="887"/>
    <w:link w:val="1067"/>
    <w:uiPriority w:val="0"/>
    <w:qFormat/>
    <w:pPr>
      <w:numPr>
        <w:ilvl w:val="6"/>
        <w:numId w:val="1"/>
      </w:numPr>
      <w:keepLines/>
      <w:keepNext/>
      <w:spacing w:before="240" w:after="64" w:line="320" w:lineRule="auto"/>
      <w:outlineLvl w:val="6"/>
    </w:pPr>
    <w:rPr>
      <w:b/>
      <w:bCs/>
      <w:sz w:val="24"/>
    </w:rPr>
  </w:style>
  <w:style w:type="paragraph" w:styleId="895">
    <w:name w:val="Heading 8"/>
    <w:basedOn w:val="887"/>
    <w:next w:val="887"/>
    <w:link w:val="1053"/>
    <w:uiPriority w:val="0"/>
    <w:qFormat/>
    <w:pPr>
      <w:numPr>
        <w:ilvl w:val="7"/>
        <w:numId w:val="1"/>
      </w:numPr>
      <w:keepLines/>
      <w:keepNext/>
      <w:spacing w:before="240" w:after="64" w:line="320" w:lineRule="auto"/>
      <w:outlineLvl w:val="7"/>
    </w:pPr>
    <w:rPr>
      <w:rFonts w:ascii="Cambria" w:hAnsi="Cambria"/>
      <w:sz w:val="24"/>
    </w:rPr>
  </w:style>
  <w:style w:type="paragraph" w:styleId="896">
    <w:name w:val="Heading 9"/>
    <w:basedOn w:val="887"/>
    <w:next w:val="887"/>
    <w:link w:val="1033"/>
    <w:uiPriority w:val="0"/>
    <w:qFormat/>
    <w:pPr>
      <w:numPr>
        <w:ilvl w:val="8"/>
        <w:numId w:val="1"/>
      </w:numPr>
      <w:keepLines/>
      <w:keepNext/>
      <w:spacing w:before="240" w:after="64" w:line="320" w:lineRule="auto"/>
      <w:outlineLvl w:val="8"/>
    </w:pPr>
    <w:rPr>
      <w:rFonts w:ascii="Cambria" w:hAnsi="Cambria"/>
      <w:szCs w:val="21"/>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Layout w:type="fixed"/>
      <w:tblCellMar>
        <w:left w:w="108" w:type="dxa"/>
        <w:top w:w="0" w:type="dxa"/>
        <w:right w:w="108" w:type="dxa"/>
        <w:bottom w:w="0" w:type="dxa"/>
      </w:tblCellMar>
    </w:tblPr>
  </w:style>
  <w:style w:type="paragraph" w:styleId="899" w:customStyle="1">
    <w:name w:val="正文文本1"/>
    <w:basedOn w:val="887"/>
    <w:uiPriority w:val="0"/>
    <w:qFormat/>
    <w:rPr>
      <w:rFonts w:ascii="楷体_GB2312" w:hAnsi="Arial" w:eastAsia="楷体_GB2312"/>
      <w:sz w:val="28"/>
      <w:szCs w:val="28"/>
    </w:rPr>
  </w:style>
  <w:style w:type="paragraph" w:styleId="900">
    <w:name w:val="List 3"/>
    <w:basedOn w:val="887"/>
    <w:uiPriority w:val="99"/>
    <w:unhideWhenUsed/>
    <w:qFormat/>
    <w:pPr>
      <w:ind w:left="1260" w:hanging="420"/>
      <w:spacing w:before="100" w:beforeAutospacing="1" w:after="100" w:afterAutospacing="1"/>
    </w:pPr>
    <w:rPr>
      <w:szCs w:val="21"/>
    </w:rPr>
  </w:style>
  <w:style w:type="paragraph" w:styleId="901">
    <w:name w:val="annotation subject"/>
    <w:basedOn w:val="902"/>
    <w:next w:val="902"/>
    <w:link w:val="1055"/>
    <w:uiPriority w:val="0"/>
    <w:qFormat/>
    <w:rPr>
      <w:b/>
      <w:bCs/>
    </w:rPr>
  </w:style>
  <w:style w:type="paragraph" w:styleId="902">
    <w:name w:val="annotation text"/>
    <w:basedOn w:val="887"/>
    <w:link w:val="1045"/>
    <w:uiPriority w:val="99"/>
    <w:qFormat/>
    <w:pPr>
      <w:jc w:val="left"/>
    </w:pPr>
  </w:style>
  <w:style w:type="paragraph" w:styleId="903">
    <w:name w:val="toc 7"/>
    <w:basedOn w:val="887"/>
    <w:next w:val="887"/>
    <w:uiPriority w:val="39"/>
    <w:unhideWhenUsed/>
    <w:qFormat/>
    <w:pPr>
      <w:ind w:left="2520"/>
    </w:pPr>
    <w:rPr>
      <w:rFonts w:ascii="Calibri" w:hAnsi="Calibri"/>
      <w:szCs w:val="22"/>
    </w:rPr>
  </w:style>
  <w:style w:type="paragraph" w:styleId="904">
    <w:name w:val="Body Text First Indent"/>
    <w:basedOn w:val="905"/>
    <w:link w:val="1077"/>
    <w:uiPriority w:val="0"/>
    <w:semiHidden/>
    <w:unhideWhenUsed/>
    <w:qFormat/>
    <w:pPr>
      <w:ind w:firstLine="420"/>
      <w:jc w:val="both"/>
      <w:spacing w:after="120"/>
    </w:pPr>
    <w:rPr>
      <w:rFonts w:eastAsia="宋体"/>
      <w:b w:val="0"/>
      <w:bCs w:val="0"/>
      <w:sz w:val="21"/>
    </w:rPr>
  </w:style>
  <w:style w:type="paragraph" w:styleId="905">
    <w:name w:val="Body Text"/>
    <w:basedOn w:val="887"/>
    <w:link w:val="1052"/>
    <w:uiPriority w:val="0"/>
    <w:qFormat/>
    <w:pPr>
      <w:jc w:val="center"/>
    </w:pPr>
    <w:rPr>
      <w:rFonts w:eastAsia="幼圆"/>
      <w:b/>
      <w:bCs/>
      <w:sz w:val="44"/>
    </w:rPr>
  </w:style>
  <w:style w:type="paragraph" w:styleId="906">
    <w:name w:val="Normal Indent"/>
    <w:basedOn w:val="887"/>
    <w:link w:val="1081"/>
    <w:uiPriority w:val="0"/>
    <w:qFormat/>
    <w:pPr>
      <w:ind w:firstLine="420"/>
    </w:pPr>
    <w:rPr>
      <w:b/>
      <w:sz w:val="24"/>
      <w:szCs w:val="20"/>
    </w:rPr>
  </w:style>
  <w:style w:type="paragraph" w:styleId="907">
    <w:name w:val="Caption"/>
    <w:basedOn w:val="887"/>
    <w:next w:val="887"/>
    <w:uiPriority w:val="0"/>
    <w:qFormat/>
    <w:rPr>
      <w:rFonts w:ascii="Cambria" w:hAnsi="Cambria" w:eastAsia="黑体"/>
      <w:sz w:val="20"/>
      <w:szCs w:val="22"/>
    </w:rPr>
  </w:style>
  <w:style w:type="paragraph" w:styleId="908">
    <w:name w:val="Document Map"/>
    <w:basedOn w:val="887"/>
    <w:link w:val="1024"/>
    <w:uiPriority w:val="0"/>
    <w:qFormat/>
    <w:rPr>
      <w:rFonts w:ascii="宋体"/>
      <w:sz w:val="18"/>
      <w:szCs w:val="18"/>
    </w:rPr>
  </w:style>
  <w:style w:type="paragraph" w:styleId="909">
    <w:name w:val="toa heading"/>
    <w:basedOn w:val="887"/>
    <w:next w:val="887"/>
    <w:uiPriority w:val="0"/>
    <w:qFormat/>
    <w:pPr>
      <w:spacing w:before="120"/>
    </w:pPr>
    <w:rPr>
      <w:rFonts w:ascii="Calibri Light" w:hAnsi="Calibri Light"/>
    </w:rPr>
  </w:style>
  <w:style w:type="paragraph" w:styleId="910">
    <w:name w:val="Body Text 3"/>
    <w:basedOn w:val="887"/>
    <w:link w:val="1063"/>
    <w:uiPriority w:val="0"/>
    <w:qFormat/>
    <w:rPr>
      <w:rFonts w:ascii="宋体"/>
      <w:sz w:val="24"/>
      <w:szCs w:val="20"/>
    </w:rPr>
  </w:style>
  <w:style w:type="paragraph" w:styleId="911">
    <w:name w:val="Body Text Indent"/>
    <w:basedOn w:val="887"/>
    <w:link w:val="1013"/>
    <w:uiPriority w:val="0"/>
    <w:qFormat/>
    <w:pPr>
      <w:ind w:left="420"/>
      <w:spacing w:after="120"/>
    </w:pPr>
  </w:style>
  <w:style w:type="paragraph" w:styleId="912">
    <w:name w:val="index 4"/>
    <w:basedOn w:val="887"/>
    <w:next w:val="887"/>
    <w:uiPriority w:val="0"/>
    <w:qFormat/>
    <w:pPr>
      <w:ind w:left="600"/>
    </w:pPr>
    <w:rPr>
      <w:rFonts w:ascii="Calibri" w:hAnsi="Calibri"/>
    </w:rPr>
  </w:style>
  <w:style w:type="paragraph" w:styleId="913">
    <w:name w:val="toc 5"/>
    <w:basedOn w:val="887"/>
    <w:next w:val="887"/>
    <w:uiPriority w:val="39"/>
    <w:unhideWhenUsed/>
    <w:qFormat/>
    <w:pPr>
      <w:ind w:left="1680"/>
    </w:pPr>
    <w:rPr>
      <w:rFonts w:ascii="Calibri" w:hAnsi="Calibri"/>
      <w:szCs w:val="22"/>
    </w:rPr>
  </w:style>
  <w:style w:type="paragraph" w:styleId="914">
    <w:name w:val="toc 3"/>
    <w:basedOn w:val="887"/>
    <w:next w:val="887"/>
    <w:uiPriority w:val="39"/>
    <w:qFormat/>
    <w:pPr>
      <w:ind w:left="840"/>
    </w:pPr>
    <w:rPr>
      <w:rFonts w:ascii="Calibri" w:hAnsi="Calibri"/>
      <w:szCs w:val="22"/>
    </w:rPr>
  </w:style>
  <w:style w:type="paragraph" w:styleId="915">
    <w:name w:val="Plain Text"/>
    <w:basedOn w:val="887"/>
    <w:link w:val="1018"/>
    <w:uiPriority w:val="0"/>
    <w:qFormat/>
    <w:rPr>
      <w:rFonts w:ascii="Ari"/>
      <w:sz w:val="20"/>
      <w:szCs w:val="20"/>
    </w:rPr>
  </w:style>
  <w:style w:type="paragraph" w:styleId="916">
    <w:name w:val="toc 8"/>
    <w:basedOn w:val="887"/>
    <w:next w:val="887"/>
    <w:uiPriority w:val="39"/>
    <w:unhideWhenUsed/>
    <w:qFormat/>
    <w:pPr>
      <w:ind w:left="2940"/>
    </w:pPr>
    <w:rPr>
      <w:rFonts w:ascii="Calibri" w:hAnsi="Calibri"/>
      <w:szCs w:val="22"/>
    </w:rPr>
  </w:style>
  <w:style w:type="paragraph" w:styleId="917">
    <w:name w:val="Date"/>
    <w:basedOn w:val="887"/>
    <w:next w:val="887"/>
    <w:link w:val="1025"/>
    <w:uiPriority w:val="0"/>
    <w:unhideWhenUsed/>
    <w:qFormat/>
  </w:style>
  <w:style w:type="paragraph" w:styleId="918">
    <w:name w:val="Body Text Indent 2"/>
    <w:basedOn w:val="887"/>
    <w:link w:val="1044"/>
    <w:uiPriority w:val="99"/>
    <w:unhideWhenUsed/>
    <w:qFormat/>
    <w:pPr>
      <w:ind w:firstLine="525"/>
      <w:spacing w:line="420" w:lineRule="exact"/>
    </w:pPr>
    <w:rPr>
      <w:rFonts w:ascii="宋体"/>
      <w:sz w:val="20"/>
      <w:szCs w:val="20"/>
    </w:rPr>
  </w:style>
  <w:style w:type="paragraph" w:styleId="919">
    <w:name w:val="Balloon Text"/>
    <w:basedOn w:val="887"/>
    <w:link w:val="1066"/>
    <w:uiPriority w:val="0"/>
    <w:qFormat/>
    <w:rPr>
      <w:sz w:val="18"/>
      <w:szCs w:val="18"/>
    </w:rPr>
  </w:style>
  <w:style w:type="paragraph" w:styleId="920">
    <w:name w:val="Footer"/>
    <w:basedOn w:val="887"/>
    <w:link w:val="1057"/>
    <w:uiPriority w:val="99"/>
    <w:qFormat/>
    <w:pPr>
      <w:jc w:val="left"/>
      <w:tabs>
        <w:tab w:val="center" w:pos="4153" w:leader="none"/>
        <w:tab w:val="right" w:pos="8306" w:leader="none"/>
      </w:tabs>
    </w:pPr>
    <w:rPr>
      <w:sz w:val="18"/>
      <w:szCs w:val="18"/>
    </w:rPr>
  </w:style>
  <w:style w:type="paragraph" w:styleId="921">
    <w:name w:val="Header"/>
    <w:basedOn w:val="887"/>
    <w:link w:val="1016"/>
    <w:uiPriority w:val="99"/>
    <w:qFormat/>
    <w:pPr>
      <w:jc w:val="center"/>
      <w:tabs>
        <w:tab w:val="center" w:pos="4153" w:leader="none"/>
        <w:tab w:val="right" w:pos="8306" w:leader="none"/>
      </w:tabs>
      <w:pBdr>
        <w:bottom w:val="single" w:color="auto" w:sz="6" w:space="1"/>
      </w:pBdr>
    </w:pPr>
    <w:rPr>
      <w:sz w:val="18"/>
      <w:szCs w:val="18"/>
    </w:rPr>
  </w:style>
  <w:style w:type="paragraph" w:styleId="922">
    <w:name w:val="toc 1"/>
    <w:basedOn w:val="887"/>
    <w:next w:val="887"/>
    <w:uiPriority w:val="39"/>
    <w:qFormat/>
  </w:style>
  <w:style w:type="paragraph" w:styleId="923">
    <w:name w:val="toc 4"/>
    <w:basedOn w:val="887"/>
    <w:next w:val="887"/>
    <w:uiPriority w:val="39"/>
    <w:unhideWhenUsed/>
    <w:qFormat/>
    <w:pPr>
      <w:ind w:left="1260"/>
    </w:pPr>
    <w:rPr>
      <w:rFonts w:ascii="Calibri" w:hAnsi="Calibri"/>
      <w:szCs w:val="22"/>
    </w:rPr>
  </w:style>
  <w:style w:type="paragraph" w:styleId="924">
    <w:name w:val="Subtitle"/>
    <w:basedOn w:val="887"/>
    <w:next w:val="887"/>
    <w:link w:val="1041"/>
    <w:uiPriority w:val="0"/>
    <w:qFormat/>
    <w:pPr>
      <w:jc w:val="center"/>
      <w:spacing w:before="240" w:after="60" w:line="312" w:lineRule="auto"/>
      <w:outlineLvl w:val="1"/>
    </w:pPr>
    <w:rPr>
      <w:rFonts w:ascii="Cambria" w:hAnsi="Cambria"/>
      <w:b/>
      <w:bCs/>
      <w:sz w:val="32"/>
      <w:szCs w:val="32"/>
    </w:rPr>
  </w:style>
  <w:style w:type="paragraph" w:styleId="925">
    <w:name w:val="toc 6"/>
    <w:basedOn w:val="887"/>
    <w:next w:val="887"/>
    <w:uiPriority w:val="39"/>
    <w:unhideWhenUsed/>
    <w:qFormat/>
    <w:pPr>
      <w:ind w:left="2100"/>
    </w:pPr>
    <w:rPr>
      <w:rFonts w:ascii="Calibri" w:hAnsi="Calibri"/>
      <w:szCs w:val="22"/>
    </w:rPr>
  </w:style>
  <w:style w:type="paragraph" w:styleId="926">
    <w:name w:val="Body Text Indent 3"/>
    <w:basedOn w:val="887"/>
    <w:link w:val="1064"/>
    <w:uiPriority w:val="0"/>
    <w:qFormat/>
    <w:pPr>
      <w:ind w:left="420"/>
      <w:spacing w:after="120"/>
    </w:pPr>
    <w:rPr>
      <w:sz w:val="16"/>
      <w:szCs w:val="20"/>
    </w:rPr>
  </w:style>
  <w:style w:type="paragraph" w:styleId="927">
    <w:name w:val="toc 2"/>
    <w:basedOn w:val="887"/>
    <w:next w:val="887"/>
    <w:uiPriority w:val="39"/>
    <w:qFormat/>
    <w:pPr>
      <w:ind w:left="420"/>
    </w:pPr>
    <w:rPr>
      <w:rFonts w:ascii="Calibri" w:hAnsi="Calibri"/>
      <w:szCs w:val="22"/>
    </w:rPr>
  </w:style>
  <w:style w:type="paragraph" w:styleId="928">
    <w:name w:val="toc 9"/>
    <w:basedOn w:val="887"/>
    <w:next w:val="887"/>
    <w:uiPriority w:val="39"/>
    <w:unhideWhenUsed/>
    <w:qFormat/>
    <w:pPr>
      <w:ind w:left="3360"/>
    </w:pPr>
    <w:rPr>
      <w:rFonts w:ascii="Calibri" w:hAnsi="Calibri"/>
      <w:szCs w:val="22"/>
    </w:rPr>
  </w:style>
  <w:style w:type="paragraph" w:styleId="929">
    <w:name w:val="HTML Preformatted"/>
    <w:basedOn w:val="88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0">
    <w:name w:val="Normal (Web)"/>
    <w:basedOn w:val="887"/>
    <w:uiPriority w:val="99"/>
    <w:qFormat/>
    <w:pPr>
      <w:jc w:val="left"/>
      <w:spacing w:before="100" w:beforeAutospacing="1" w:after="100" w:afterAutospacing="1"/>
      <w:widowControl/>
    </w:pPr>
    <w:rPr>
      <w:rFonts w:ascii="宋体" w:hAnsi="宋体" w:cs="宋体"/>
      <w:sz w:val="24"/>
    </w:rPr>
  </w:style>
  <w:style w:type="paragraph" w:styleId="931">
    <w:name w:val="index 1"/>
    <w:basedOn w:val="887"/>
    <w:next w:val="887"/>
    <w:uiPriority w:val="0"/>
    <w:qFormat/>
    <w:pPr>
      <w:jc w:val="center"/>
      <w:spacing w:line="220" w:lineRule="exact"/>
    </w:pPr>
    <w:rPr>
      <w:rFonts w:ascii="仿宋_GB2312" w:hAnsi="Calibri" w:eastAsia="仿宋_GB2312"/>
      <w:szCs w:val="22"/>
    </w:rPr>
  </w:style>
  <w:style w:type="paragraph" w:styleId="932">
    <w:name w:val="Title"/>
    <w:basedOn w:val="887"/>
    <w:link w:val="1021"/>
    <w:uiPriority w:val="0"/>
    <w:qFormat/>
    <w:pPr>
      <w:jc w:val="center"/>
      <w:spacing w:before="240" w:after="60" w:line="420" w:lineRule="atLeast"/>
      <w:outlineLvl w:val="0"/>
    </w:pPr>
    <w:rPr>
      <w:rFonts w:ascii="Arial" w:hAnsi="Arial"/>
      <w:b/>
      <w:sz w:val="32"/>
      <w:szCs w:val="20"/>
    </w:rPr>
  </w:style>
  <w:style w:type="character" w:styleId="933">
    <w:name w:val="Strong"/>
    <w:uiPriority w:val="0"/>
    <w:qFormat/>
    <w:rPr>
      <w:rFonts w:cs="Times New Roman"/>
      <w:b/>
    </w:rPr>
  </w:style>
  <w:style w:type="character" w:styleId="934">
    <w:name w:val="page number"/>
    <w:uiPriority w:val="0"/>
    <w:qFormat/>
    <w:rPr>
      <w:rFonts w:eastAsia="宋体"/>
      <w:b/>
      <w:spacing w:val="0"/>
      <w:sz w:val="24"/>
      <w:szCs w:val="24"/>
      <w:lang w:val="en-US" w:eastAsia="zh-CN" w:bidi="ar-SA"/>
    </w:rPr>
  </w:style>
  <w:style w:type="character" w:styleId="935">
    <w:name w:val="FollowedHyperlink"/>
    <w:uiPriority w:val="0"/>
    <w:qFormat/>
    <w:rPr>
      <w:color w:val="800080"/>
      <w:u w:val="single"/>
    </w:rPr>
  </w:style>
  <w:style w:type="character" w:styleId="936">
    <w:name w:val="Emphasis"/>
    <w:uiPriority w:val="0"/>
    <w:qFormat/>
    <w:rPr>
      <w:color w:val="cc0000"/>
    </w:rPr>
  </w:style>
  <w:style w:type="character" w:styleId="937">
    <w:name w:val="Hyperlink"/>
    <w:uiPriority w:val="99"/>
    <w:qFormat/>
    <w:rPr>
      <w:color w:val="0000ff"/>
      <w:u w:val="single"/>
    </w:rPr>
  </w:style>
  <w:style w:type="character" w:styleId="938">
    <w:name w:val="annotation reference"/>
    <w:uiPriority w:val="99"/>
    <w:qFormat/>
    <w:rPr>
      <w:sz w:val="21"/>
      <w:szCs w:val="21"/>
    </w:rPr>
  </w:style>
  <w:style w:type="character" w:styleId="939">
    <w:name w:val="HTML Cite"/>
    <w:uiPriority w:val="0"/>
    <w:qFormat/>
    <w:rPr>
      <w:color w:val="008000"/>
    </w:rPr>
  </w:style>
  <w:style w:type="table" w:styleId="940">
    <w:name w:val="Table Grid"/>
    <w:basedOn w:val="898"/>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941" w:customStyle="1">
    <w:name w:val="列出段落1"/>
    <w:basedOn w:val="887"/>
    <w:uiPriority w:val="0"/>
    <w:qFormat/>
    <w:pPr>
      <w:ind w:firstLine="420"/>
    </w:pPr>
  </w:style>
  <w:style w:type="paragraph" w:styleId="942" w:customStyle="1">
    <w:name w:val="标题 3_0"/>
    <w:basedOn w:val="943"/>
    <w:next w:val="943"/>
    <w:link w:val="1004"/>
    <w:uiPriority w:val="0"/>
    <w:qFormat/>
    <w:pPr>
      <w:keepLines/>
      <w:keepNext/>
      <w:spacing w:before="260" w:after="260" w:line="416" w:lineRule="auto"/>
      <w:outlineLvl w:val="2"/>
    </w:pPr>
    <w:rPr>
      <w:b/>
      <w:bCs/>
      <w:sz w:val="32"/>
      <w:szCs w:val="32"/>
    </w:rPr>
  </w:style>
  <w:style w:type="paragraph" w:styleId="9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4" w:customStyle="1">
    <w:name w:val="引用1"/>
    <w:basedOn w:val="887"/>
    <w:next w:val="887"/>
    <w:link w:val="1009"/>
    <w:uiPriority w:val="0"/>
    <w:qFormat/>
    <w:rPr>
      <w:i/>
      <w:iCs/>
      <w:color w:val="000000"/>
      <w:sz w:val="20"/>
      <w:szCs w:val="20"/>
    </w:rPr>
  </w:style>
  <w:style w:type="paragraph" w:styleId="945" w:customStyle="1">
    <w:name w:val="标题 1_0"/>
    <w:basedOn w:val="943"/>
    <w:next w:val="943"/>
    <w:link w:val="1010"/>
    <w:uiPriority w:val="0"/>
    <w:qFormat/>
    <w:pPr>
      <w:keepLines/>
      <w:keepNext/>
      <w:spacing w:before="340" w:after="330" w:line="578" w:lineRule="auto"/>
      <w:outlineLvl w:val="0"/>
    </w:pPr>
    <w:rPr>
      <w:b/>
      <w:bCs/>
      <w:sz w:val="44"/>
      <w:szCs w:val="44"/>
    </w:rPr>
  </w:style>
  <w:style w:type="paragraph" w:styleId="946" w:customStyle="1">
    <w:name w:val="标题 4_0"/>
    <w:basedOn w:val="943"/>
    <w:next w:val="943"/>
    <w:link w:val="1015"/>
    <w:uiPriority w:val="0"/>
    <w:qFormat/>
    <w:pPr>
      <w:keepLines/>
      <w:keepNext/>
      <w:spacing w:before="280" w:after="290" w:line="376" w:lineRule="auto"/>
      <w:outlineLvl w:val="3"/>
    </w:pPr>
    <w:rPr>
      <w:rFonts w:ascii="Arial" w:hAnsi="Arial" w:eastAsia="黑体"/>
      <w:b/>
      <w:bCs/>
      <w:sz w:val="28"/>
      <w:szCs w:val="28"/>
    </w:rPr>
  </w:style>
  <w:style w:type="paragraph" w:styleId="947" w:customStyle="1">
    <w:name w:val="标题5"/>
    <w:basedOn w:val="890"/>
    <w:link w:val="1022"/>
    <w:uiPriority w:val="0"/>
    <w:qFormat/>
    <w:pPr>
      <w:numPr>
        <w:numId w:val="0"/>
      </w:numPr>
      <w:spacing w:line="413" w:lineRule="auto"/>
    </w:pPr>
    <w:rPr>
      <w:rFonts w:ascii="Arial" w:hAnsi="Arial"/>
      <w:sz w:val="24"/>
    </w:rPr>
  </w:style>
  <w:style w:type="paragraph" w:styleId="948" w:customStyle="1">
    <w:name w:val="明显引用1"/>
    <w:basedOn w:val="887"/>
    <w:next w:val="887"/>
    <w:link w:val="1028"/>
    <w:uiPriority w:val="0"/>
    <w:qFormat/>
    <w:pPr>
      <w:ind w:left="936" w:right="936"/>
      <w:spacing w:before="200" w:after="280"/>
      <w:pBdr>
        <w:bottom w:val="single" w:color="4F81BD" w:sz="4" w:space="4"/>
      </w:pBdr>
    </w:pPr>
    <w:rPr>
      <w:b/>
      <w:bCs/>
      <w:i/>
      <w:iCs/>
      <w:color w:val="4f81bd"/>
      <w:sz w:val="20"/>
      <w:szCs w:val="20"/>
    </w:rPr>
  </w:style>
  <w:style w:type="paragraph" w:styleId="949" w:customStyle="1">
    <w:name w:val="正文文本_0"/>
    <w:basedOn w:val="943"/>
    <w:link w:val="1040"/>
    <w:uiPriority w:val="0"/>
    <w:qFormat/>
    <w:pPr>
      <w:spacing w:after="120"/>
    </w:pPr>
    <w:rPr>
      <w:sz w:val="20"/>
    </w:rPr>
  </w:style>
  <w:style w:type="paragraph" w:styleId="950" w:customStyle="1">
    <w:name w:val="标题 5_0"/>
    <w:basedOn w:val="943"/>
    <w:next w:val="943"/>
    <w:link w:val="1043"/>
    <w:uiPriority w:val="0"/>
    <w:qFormat/>
    <w:pPr>
      <w:keepLines/>
      <w:keepNext/>
      <w:spacing w:before="280" w:after="290" w:line="372" w:lineRule="auto"/>
      <w:outlineLvl w:val="4"/>
    </w:pPr>
    <w:rPr>
      <w:rFonts w:ascii="Calibri" w:hAnsi="Calibri"/>
      <w:b/>
      <w:bCs/>
      <w:sz w:val="28"/>
      <w:szCs w:val="28"/>
    </w:rPr>
  </w:style>
  <w:style w:type="paragraph" w:styleId="951" w:customStyle="1">
    <w:name w:val="标题4"/>
    <w:basedOn w:val="889"/>
    <w:next w:val="912"/>
    <w:link w:val="1058"/>
    <w:uiPriority w:val="0"/>
    <w:qFormat/>
    <w:pPr>
      <w:numPr>
        <w:numId w:val="0"/>
      </w:numPr>
      <w:spacing w:line="413" w:lineRule="auto"/>
    </w:pPr>
    <w:rPr>
      <w:rFonts w:ascii="Arial" w:hAnsi="Arial"/>
      <w:sz w:val="24"/>
    </w:rPr>
  </w:style>
  <w:style w:type="paragraph" w:styleId="952" w:customStyle="1">
    <w:name w:val="标题 2_0"/>
    <w:basedOn w:val="943"/>
    <w:next w:val="943"/>
    <w:link w:val="1070"/>
    <w:uiPriority w:val="0"/>
    <w:unhideWhenUsed/>
    <w:qFormat/>
    <w:pPr>
      <w:keepLines/>
      <w:keepNext/>
      <w:spacing w:before="260" w:after="260" w:line="416" w:lineRule="auto"/>
      <w:outlineLvl w:val="1"/>
    </w:pPr>
    <w:rPr>
      <w:rFonts w:ascii="Cambria" w:hAnsi="Cambria"/>
      <w:b/>
      <w:bCs/>
      <w:sz w:val="32"/>
      <w:szCs w:val="32"/>
    </w:rPr>
  </w:style>
  <w:style w:type="paragraph" w:styleId="953" w:customStyle="1">
    <w:name w:val="List Paragraph1"/>
    <w:basedOn w:val="887"/>
    <w:link w:val="1074"/>
    <w:uiPriority w:val="99"/>
    <w:qFormat/>
    <w:pPr>
      <w:ind w:firstLine="420"/>
    </w:pPr>
  </w:style>
  <w:style w:type="paragraph" w:styleId="954" w:customStyle="1">
    <w:name w:val="样式 标题 3 + (中文) 黑体 小四 非加粗 段前: 7.8 磅 段后: 0 磅 行距: 固定值 20 磅"/>
    <w:basedOn w:val="890"/>
    <w:next w:val="887"/>
    <w:uiPriority w:val="0"/>
    <w:qFormat/>
    <w:pPr>
      <w:spacing w:before="0" w:after="0" w:line="400" w:lineRule="exact"/>
    </w:pPr>
    <w:rPr>
      <w:rFonts w:eastAsia="黑体" w:cs="宋体"/>
      <w:b w:val="0"/>
      <w:bCs w:val="0"/>
      <w:sz w:val="24"/>
      <w:szCs w:val="20"/>
    </w:rPr>
  </w:style>
  <w:style w:type="paragraph" w:styleId="955" w:customStyle="1">
    <w:name w:val="_Style 34"/>
    <w:next w:val="887"/>
    <w:uiPriority w:val="0"/>
    <w:qFormat/>
    <w:pPr>
      <w:jc w:val="both"/>
      <w:widowControl w:val="off"/>
    </w:pPr>
    <w:rPr>
      <w:rFonts w:ascii="Times New Roman" w:hAnsi="Times New Roman" w:eastAsia="宋体" w:cs="Times New Roman"/>
      <w:sz w:val="21"/>
      <w:lang w:val="en-US" w:eastAsia="zh-CN" w:bidi="ar-SA"/>
    </w:rPr>
  </w:style>
  <w:style w:type="paragraph" w:styleId="95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7" w:customStyle="1">
    <w:name w:val="_Style 36"/>
    <w:next w:val="887"/>
    <w:uiPriority w:val="0"/>
    <w:qFormat/>
    <w:pPr>
      <w:jc w:val="both"/>
      <w:widowControl w:val="off"/>
    </w:pPr>
    <w:rPr>
      <w:rFonts w:ascii="Times New Roman" w:hAnsi="Times New Roman" w:eastAsia="宋体" w:cs="Times New Roman"/>
      <w:sz w:val="21"/>
      <w:lang w:val="en-US" w:eastAsia="zh-CN" w:bidi="ar-SA"/>
    </w:rPr>
  </w:style>
  <w:style w:type="paragraph" w:styleId="958" w:customStyle="1">
    <w:name w:val="空半行"/>
    <w:basedOn w:val="887"/>
    <w:uiPriority w:val="0"/>
    <w:qFormat/>
    <w:pPr>
      <w:spacing w:line="120" w:lineRule="exact"/>
    </w:pPr>
    <w:rPr>
      <w:rFonts w:ascii="Calibri" w:hAnsi="Calibri" w:eastAsia="仿宋_GB2312"/>
      <w:color w:val="ffffff"/>
      <w:sz w:val="30"/>
      <w:szCs w:val="22"/>
    </w:rPr>
  </w:style>
  <w:style w:type="paragraph" w:styleId="959" w:customStyle="1">
    <w:name w:val="1方案格式1"/>
    <w:basedOn w:val="888"/>
    <w:uiPriority w:val="0"/>
    <w:qFormat/>
    <w:pPr>
      <w:numPr>
        <w:numId w:val="2"/>
      </w:numPr>
      <w:ind w:left="0" w:firstLine="0"/>
      <w:spacing w:line="360" w:lineRule="auto"/>
      <w:tabs>
        <w:tab w:val="left" w:pos="360" w:leader="none"/>
      </w:tabs>
    </w:pPr>
    <w:rPr>
      <w:rFonts w:eastAsia="微软雅黑"/>
      <w:bCs w:val="0"/>
      <w:sz w:val="48"/>
    </w:rPr>
  </w:style>
  <w:style w:type="paragraph" w:styleId="960" w:customStyle="1">
    <w:name w:val="格式３"/>
    <w:basedOn w:val="887"/>
    <w:uiPriority w:val="0"/>
    <w:qFormat/>
    <w:pPr>
      <w:ind w:left="600" w:hanging="600"/>
      <w:spacing w:line="420" w:lineRule="exact"/>
    </w:pPr>
    <w:rPr>
      <w:rFonts w:ascii="宋体" w:hAnsi="宋体"/>
      <w:color w:val="000000"/>
      <w:sz w:val="24"/>
      <w:szCs w:val="20"/>
    </w:rPr>
  </w:style>
  <w:style w:type="paragraph" w:styleId="961" w:customStyle="1">
    <w:name w:val="正文1"/>
    <w:uiPriority w:val="0"/>
    <w:qFormat/>
    <w:pPr>
      <w:jc w:val="both"/>
      <w:widowControl w:val="off"/>
    </w:pPr>
    <w:rPr>
      <w:rFonts w:ascii="Calibri" w:hAnsi="Calibri" w:eastAsia="宋体" w:cs="Times New Roman"/>
      <w:lang w:val="en-US" w:eastAsia="zh-CN" w:bidi="ar-SA"/>
    </w:rPr>
  </w:style>
  <w:style w:type="paragraph" w:styleId="962" w:customStyle="1">
    <w:name w:val="列出段落111"/>
    <w:basedOn w:val="887"/>
    <w:uiPriority w:val="99"/>
    <w:qFormat/>
    <w:pPr>
      <w:contextualSpacing/>
      <w:ind w:left="720"/>
      <w:jc w:val="left"/>
      <w:widowControl/>
    </w:pPr>
    <w:rPr>
      <w:rFonts w:ascii="Arial" w:hAnsi="Arial" w:eastAsia="黑体"/>
      <w:sz w:val="24"/>
      <w:lang w:eastAsia="en-US"/>
    </w:rPr>
  </w:style>
  <w:style w:type="paragraph" w:styleId="963" w:customStyle="1">
    <w:name w:val="正文空2字"/>
    <w:basedOn w:val="887"/>
    <w:uiPriority w:val="0"/>
    <w:qFormat/>
    <w:pPr>
      <w:ind w:firstLine="200"/>
      <w:spacing w:line="360" w:lineRule="auto"/>
    </w:pPr>
    <w:rPr>
      <w:sz w:val="24"/>
      <w:lang w:bidi="en-US"/>
    </w:rPr>
  </w:style>
  <w:style w:type="paragraph" w:styleId="96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5" w:customStyle="1">
    <w:name w:val="目录 5_0"/>
    <w:basedOn w:val="943"/>
    <w:next w:val="943"/>
    <w:uiPriority w:val="39"/>
    <w:qFormat/>
    <w:pPr>
      <w:ind w:left="1680"/>
    </w:pPr>
    <w:rPr>
      <w:rFonts w:ascii="Calibri" w:hAnsi="Calibri"/>
    </w:rPr>
  </w:style>
  <w:style w:type="paragraph" w:styleId="966" w:customStyle="1">
    <w:name w:val="修订1"/>
    <w:uiPriority w:val="0"/>
    <w:qFormat/>
    <w:rPr>
      <w:rFonts w:ascii="Times New Roman" w:hAnsi="Times New Roman" w:eastAsia="宋体" w:cs="Times New Roman"/>
      <w:sz w:val="21"/>
      <w:szCs w:val="24"/>
      <w:lang w:val="en-US" w:eastAsia="zh-CN" w:bidi="ar-SA"/>
    </w:rPr>
  </w:style>
  <w:style w:type="paragraph" w:styleId="967" w:customStyle="1">
    <w:name w:val="标题 11"/>
    <w:basedOn w:val="961"/>
    <w:next w:val="96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8" w:customStyle="1">
    <w:name w:val="正文 + 行距: 固定值 20 磅"/>
    <w:basedOn w:val="887"/>
    <w:uiPriority w:val="0"/>
    <w:qFormat/>
    <w:pPr>
      <w:ind w:firstLine="716"/>
      <w:spacing w:line="400" w:lineRule="exact"/>
    </w:pPr>
    <w:rPr>
      <w:rFonts w:ascii="Calibri" w:hAnsi="Calibri"/>
      <w:szCs w:val="22"/>
    </w:rPr>
  </w:style>
  <w:style w:type="paragraph" w:styleId="969" w:customStyle="1">
    <w:name w:val="TOC 标题1"/>
    <w:basedOn w:val="888"/>
    <w:next w:val="887"/>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0" w:customStyle="1">
    <w:name w:val="表格文字"/>
    <w:basedOn w:val="887"/>
    <w:link w:val="1075"/>
    <w:uiPriority w:val="0"/>
    <w:qFormat/>
    <w:pPr>
      <w:jc w:val="left"/>
      <w:spacing w:line="420" w:lineRule="atLeast"/>
    </w:pPr>
    <w:rPr>
      <w:rFonts w:ascii="Calibri" w:hAnsi="Calibri"/>
      <w:szCs w:val="22"/>
    </w:rPr>
  </w:style>
  <w:style w:type="paragraph" w:styleId="971" w:customStyle="1">
    <w:name w:val="flNote"/>
    <w:basedOn w:val="887"/>
    <w:uiPriority w:val="0"/>
    <w:qFormat/>
    <w:pPr>
      <w:jc w:val="center"/>
      <w:spacing w:before="320" w:after="160" w:line="360" w:lineRule="atLeast"/>
    </w:pPr>
    <w:rPr>
      <w:rFonts w:ascii="Arial" w:hAnsi="Calibri" w:eastAsia="黑体"/>
      <w:sz w:val="30"/>
      <w:szCs w:val="22"/>
    </w:rPr>
  </w:style>
  <w:style w:type="paragraph" w:styleId="972" w:customStyle="1">
    <w:name w:val="文章正文"/>
    <w:basedOn w:val="887"/>
    <w:uiPriority w:val="99"/>
    <w:qFormat/>
    <w:pPr>
      <w:ind w:firstLine="480"/>
      <w:spacing w:line="360" w:lineRule="auto"/>
    </w:pPr>
    <w:rPr>
      <w:rFonts w:ascii="仿宋_GB2312" w:hAnsi="宋体" w:eastAsia="仿宋_GB2312"/>
      <w:color w:val="ff0000"/>
      <w:sz w:val="24"/>
    </w:rPr>
  </w:style>
  <w:style w:type="paragraph" w:styleId="973" w:customStyle="1">
    <w:name w:val="表格"/>
    <w:basedOn w:val="887"/>
    <w:uiPriority w:val="0"/>
    <w:qFormat/>
    <w:pPr>
      <w:jc w:val="center"/>
    </w:pPr>
    <w:rPr>
      <w:rFonts w:ascii="华文细黑" w:hAnsi="华文细黑"/>
      <w:szCs w:val="22"/>
    </w:rPr>
  </w:style>
  <w:style w:type="paragraph" w:styleId="974" w:customStyle="1">
    <w:name w:val="Char"/>
    <w:basedOn w:val="887"/>
    <w:uiPriority w:val="0"/>
    <w:qFormat/>
    <w:pPr>
      <w:jc w:val="left"/>
      <w:spacing w:after="160" w:line="240" w:lineRule="exact"/>
      <w:widowControl/>
    </w:pPr>
    <w:rPr>
      <w:rFonts w:ascii="Verdana" w:hAnsi="Verdana"/>
      <w:sz w:val="20"/>
      <w:szCs w:val="20"/>
      <w:lang w:eastAsia="en-US"/>
    </w:rPr>
  </w:style>
  <w:style w:type="paragraph" w:styleId="97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6" w:customStyle="1">
    <w:name w:val="列出段落2"/>
    <w:basedOn w:val="887"/>
    <w:uiPriority w:val="99"/>
    <w:qFormat/>
    <w:pPr>
      <w:ind w:firstLine="420"/>
    </w:pPr>
  </w:style>
  <w:style w:type="paragraph" w:styleId="977" w:customStyle="1">
    <w:name w:val="6'"/>
    <w:basedOn w:val="887"/>
    <w:uiPriority w:val="0"/>
    <w:qFormat/>
    <w:pPr>
      <w:jc w:val="center"/>
      <w:spacing w:line="320" w:lineRule="exact"/>
    </w:pPr>
    <w:rPr>
      <w:rFonts w:ascii="Calibri" w:hAnsi="Calibri"/>
      <w:spacing w:val="20"/>
      <w:szCs w:val="22"/>
    </w:rPr>
  </w:style>
  <w:style w:type="paragraph" w:styleId="978" w:customStyle="1">
    <w:name w:val="Char Char Char Char Char Char Char"/>
    <w:basedOn w:val="887"/>
    <w:uiPriority w:val="0"/>
    <w:qFormat/>
    <w:pPr>
      <w:spacing w:line="360" w:lineRule="auto"/>
    </w:pPr>
    <w:rPr>
      <w:sz w:val="24"/>
      <w:szCs w:val="20"/>
    </w:rPr>
  </w:style>
  <w:style w:type="paragraph" w:styleId="979" w:customStyle="1">
    <w:name w:val="2方案格式2"/>
    <w:basedOn w:val="959"/>
    <w:uiPriority w:val="0"/>
    <w:qFormat/>
    <w:pPr>
      <w:numPr>
        <w:ilvl w:val="1"/>
      </w:numPr>
      <w:spacing w:line="240" w:lineRule="auto"/>
      <w:outlineLvl w:val="1"/>
    </w:pPr>
    <w:rPr>
      <w:sz w:val="44"/>
    </w:rPr>
  </w:style>
  <w:style w:type="paragraph" w:styleId="98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文档正文"/>
    <w:basedOn w:val="887"/>
    <w:uiPriority w:val="0"/>
    <w:qFormat/>
    <w:pPr>
      <w:ind w:firstLine="567"/>
      <w:spacing w:line="480" w:lineRule="atLeast"/>
    </w:pPr>
    <w:rPr>
      <w:rFonts w:ascii="Ari" w:eastAsia="Ari"/>
      <w:sz w:val="28"/>
      <w:szCs w:val="20"/>
    </w:rPr>
  </w:style>
  <w:style w:type="paragraph" w:styleId="982" w:customStyle="1">
    <w:name w:val="txt"/>
    <w:basedOn w:val="887"/>
    <w:uiPriority w:val="0"/>
    <w:qFormat/>
    <w:pPr>
      <w:jc w:val="left"/>
      <w:spacing w:before="100" w:beforeAutospacing="1" w:after="100" w:afterAutospacing="1"/>
      <w:widowControl/>
    </w:pPr>
    <w:rPr>
      <w:rFonts w:ascii="宋体" w:hAnsi="宋体" w:cs="宋体"/>
      <w:sz w:val="24"/>
    </w:rPr>
  </w:style>
  <w:style w:type="paragraph" w:styleId="983" w:customStyle="1">
    <w:name w:val="目录 4_0"/>
    <w:basedOn w:val="943"/>
    <w:next w:val="943"/>
    <w:uiPriority w:val="39"/>
    <w:qFormat/>
    <w:pPr>
      <w:ind w:left="1260"/>
    </w:pPr>
    <w:rPr>
      <w:rFonts w:ascii="Calibri" w:hAnsi="Calibri"/>
    </w:rPr>
  </w:style>
  <w:style w:type="paragraph" w:styleId="984" w:customStyle="1">
    <w:name w:val="目录 3_0"/>
    <w:basedOn w:val="943"/>
    <w:next w:val="943"/>
    <w:uiPriority w:val="39"/>
    <w:qFormat/>
    <w:pPr>
      <w:ind w:left="840"/>
    </w:pPr>
    <w:rPr>
      <w:rFonts w:ascii="Calibri" w:hAnsi="Calibri"/>
    </w:rPr>
  </w:style>
  <w:style w:type="paragraph" w:styleId="985" w:customStyle="1">
    <w:name w:val="样式 标题 1 + 黑体 三号 非加粗 居中 段前: 6 磅 段后: 6 磅 行距: 固定值 20 磅"/>
    <w:basedOn w:val="888"/>
    <w:uiPriority w:val="0"/>
    <w:qFormat/>
    <w:pPr>
      <w:numPr>
        <w:numId w:val="0"/>
      </w:numPr>
      <w:spacing w:before="120" w:after="120" w:line="400" w:lineRule="exact"/>
    </w:pPr>
    <w:rPr>
      <w:rFonts w:ascii="黑体" w:hAnsi="黑体" w:eastAsia="黑体"/>
      <w:b w:val="0"/>
      <w:bCs w:val="0"/>
      <w:szCs w:val="20"/>
    </w:rPr>
  </w:style>
  <w:style w:type="paragraph" w:styleId="986" w:customStyle="1">
    <w:name w:val="1"/>
    <w:basedOn w:val="887"/>
    <w:next w:val="887"/>
    <w:uiPriority w:val="0"/>
    <w:qFormat/>
    <w:rPr>
      <w:rFonts w:ascii="Calibri" w:hAnsi="Calibri"/>
      <w:szCs w:val="22"/>
    </w:rPr>
  </w:style>
  <w:style w:type="paragraph" w:styleId="987" w:customStyle="1">
    <w:name w:val="Blockquote_0"/>
    <w:basedOn w:val="943"/>
    <w:uiPriority w:val="0"/>
    <w:qFormat/>
    <w:pPr>
      <w:ind w:left="360" w:right="360"/>
      <w:jc w:val="left"/>
      <w:spacing w:before="100" w:after="100"/>
    </w:pPr>
    <w:rPr>
      <w:rFonts w:ascii="Calibri" w:hAnsi="Calibri" w:eastAsia="Times New Roman"/>
      <w:sz w:val="24"/>
      <w:szCs w:val="20"/>
    </w:rPr>
  </w:style>
  <w:style w:type="paragraph" w:styleId="988" w:customStyle="1">
    <w:name w:val="列出段落11"/>
    <w:basedOn w:val="887"/>
    <w:uiPriority w:val="0"/>
    <w:qFormat/>
    <w:pPr>
      <w:contextualSpacing/>
      <w:ind w:left="720"/>
      <w:jc w:val="left"/>
      <w:widowControl/>
    </w:pPr>
    <w:rPr>
      <w:rFonts w:ascii="Arial" w:hAnsi="Arial" w:eastAsia="黑体"/>
      <w:sz w:val="24"/>
      <w:lang w:eastAsia="en-US"/>
    </w:rPr>
  </w:style>
  <w:style w:type="paragraph" w:styleId="989" w:customStyle="1">
    <w:name w:val="样式 标题 2 + Times New Roman 四号 非加粗 段前: 5 磅 段后: 0 磅 行距: 固定值 20..._0"/>
    <w:basedOn w:val="887"/>
    <w:uiPriority w:val="0"/>
    <w:qFormat/>
    <w:pPr>
      <w:keepLines/>
      <w:keepNext/>
      <w:spacing w:before="100" w:line="360" w:lineRule="auto"/>
      <w:outlineLvl w:val="1"/>
    </w:pPr>
    <w:rPr>
      <w:rFonts w:eastAsia="Times New Roman" w:cs="宋体"/>
      <w:sz w:val="28"/>
      <w:szCs w:val="20"/>
    </w:rPr>
  </w:style>
  <w:style w:type="paragraph" w:styleId="990" w:customStyle="1">
    <w:name w:val="op_mapdots_left"/>
    <w:basedOn w:val="887"/>
    <w:uiPriority w:val="0"/>
    <w:qFormat/>
    <w:pPr>
      <w:jc w:val="left"/>
      <w:spacing w:before="100" w:beforeAutospacing="1" w:after="100" w:afterAutospacing="1"/>
      <w:widowControl/>
    </w:pPr>
    <w:rPr>
      <w:rFonts w:ascii="宋体" w:hAnsi="宋体" w:cs="宋体"/>
      <w:sz w:val="24"/>
    </w:rPr>
  </w:style>
  <w:style w:type="paragraph" w:styleId="991" w:customStyle="1">
    <w:name w:val="p0"/>
    <w:basedOn w:val="887"/>
    <w:uiPriority w:val="0"/>
    <w:qFormat/>
    <w:pPr>
      <w:widowControl/>
    </w:pPr>
    <w:rPr>
      <w:b/>
      <w:bCs/>
      <w:sz w:val="24"/>
    </w:rPr>
  </w:style>
  <w:style w:type="paragraph" w:styleId="992" w:customStyle="1">
    <w:name w:val="Blockquote"/>
    <w:basedOn w:val="887"/>
    <w:uiPriority w:val="0"/>
    <w:qFormat/>
    <w:pPr>
      <w:ind w:left="360" w:right="360"/>
      <w:jc w:val="left"/>
      <w:spacing w:before="100" w:after="100"/>
    </w:pPr>
    <w:rPr>
      <w:rFonts w:ascii="Calibri" w:hAnsi="Calibri"/>
      <w:sz w:val="24"/>
      <w:szCs w:val="22"/>
    </w:rPr>
  </w:style>
  <w:style w:type="paragraph" w:styleId="993" w:customStyle="1">
    <w:name w:val="3方案格式3"/>
    <w:basedOn w:val="979"/>
    <w:uiPriority w:val="0"/>
    <w:qFormat/>
    <w:pPr>
      <w:numPr>
        <w:ilvl w:val="2"/>
      </w:numPr>
      <w:outlineLvl w:val="2"/>
    </w:pPr>
    <w:rPr>
      <w:sz w:val="32"/>
    </w:rPr>
  </w:style>
  <w:style w:type="paragraph" w:styleId="994" w:customStyle="1">
    <w:name w:val="样式 标题 2 + Times New Roman 四号 非加粗 段前: 5 磅 段后: 0 磅 行距: 固定值 20..."/>
    <w:basedOn w:val="889"/>
    <w:uiPriority w:val="0"/>
    <w:qFormat/>
    <w:pPr>
      <w:numPr>
        <w:numId w:val="0"/>
      </w:numPr>
      <w:spacing w:before="100" w:after="0" w:line="400" w:lineRule="exact"/>
    </w:pPr>
    <w:rPr>
      <w:rFonts w:ascii="Times New Roman" w:hAnsi="Times New Roman" w:eastAsia="黑体"/>
      <w:b w:val="0"/>
      <w:bCs w:val="0"/>
      <w:sz w:val="28"/>
      <w:szCs w:val="20"/>
    </w:rPr>
  </w:style>
  <w:style w:type="paragraph" w:styleId="995" w:customStyle="1">
    <w:name w:val="标题2"/>
    <w:basedOn w:val="889"/>
    <w:next w:val="905"/>
    <w:uiPriority w:val="0"/>
    <w:qFormat/>
    <w:pPr>
      <w:spacing w:before="156" w:after="156" w:line="360" w:lineRule="auto"/>
    </w:pPr>
    <w:rPr>
      <w:bCs w:val="0"/>
      <w:sz w:val="24"/>
    </w:rPr>
  </w:style>
  <w:style w:type="paragraph" w:styleId="996" w:customStyle="1">
    <w:name w:val="普通正文"/>
    <w:basedOn w:val="887"/>
    <w:uiPriority w:val="0"/>
    <w:qFormat/>
    <w:pPr>
      <w:ind w:firstLine="480"/>
      <w:jc w:val="left"/>
      <w:spacing w:before="120" w:after="120" w:line="360" w:lineRule="auto"/>
    </w:pPr>
    <w:rPr>
      <w:rFonts w:ascii="Arial" w:hAnsi="Arial"/>
      <w:sz w:val="24"/>
    </w:rPr>
  </w:style>
  <w:style w:type="paragraph" w:styleId="997" w:customStyle="1">
    <w:name w:val="正文11"/>
    <w:uiPriority w:val="0"/>
    <w:qFormat/>
    <w:rPr>
      <w:rFonts w:ascii="Calibri" w:hAnsi="Calibri" w:eastAsia="宋体" w:cs="Calibri"/>
      <w:sz w:val="24"/>
      <w:szCs w:val="24"/>
      <w:lang w:val="en-US" w:eastAsia="zh-CN" w:bidi="ar-SA"/>
    </w:rPr>
  </w:style>
  <w:style w:type="paragraph" w:styleId="998" w:customStyle="1">
    <w:name w:val="正文2"/>
    <w:basedOn w:val="887"/>
    <w:uiPriority w:val="0"/>
    <w:qFormat/>
    <w:rPr>
      <w:rFonts w:eastAsia="微软雅黑"/>
      <w:sz w:val="24"/>
    </w:rPr>
  </w:style>
  <w:style w:type="paragraph" w:styleId="999" w:customStyle="1">
    <w:name w:val="列出段落3"/>
    <w:basedOn w:val="887"/>
    <w:uiPriority w:val="0"/>
    <w:qFormat/>
    <w:pPr>
      <w:ind w:firstLine="420"/>
      <w:jc w:val="left"/>
      <w:spacing w:after="200"/>
      <w:widowControl/>
    </w:pPr>
    <w:rPr>
      <w:rFonts w:ascii="Tahoma" w:hAnsi="Tahoma" w:eastAsia="微软雅黑"/>
      <w:sz w:val="22"/>
      <w:szCs w:val="22"/>
    </w:rPr>
  </w:style>
  <w:style w:type="paragraph" w:styleId="1000" w:customStyle="1">
    <w:name w:val="纯文本2"/>
    <w:basedOn w:val="887"/>
    <w:uiPriority w:val="0"/>
    <w:qFormat/>
    <w:pPr>
      <w:jc w:val="left"/>
    </w:pPr>
    <w:rPr>
      <w:rFonts w:hint="eastAsia" w:ascii="宋体" w:hAnsi="宋体" w:cs="Courier New"/>
      <w:sz w:val="24"/>
      <w:szCs w:val="20"/>
    </w:rPr>
  </w:style>
  <w:style w:type="paragraph" w:styleId="1001" w:customStyle="1">
    <w:name w:val="trs_editor"/>
    <w:basedOn w:val="887"/>
    <w:uiPriority w:val="0"/>
    <w:qFormat/>
    <w:pPr>
      <w:jc w:val="left"/>
      <w:spacing w:before="100" w:beforeAutospacing="1" w:after="100" w:afterAutospacing="1"/>
      <w:widowControl/>
    </w:pPr>
    <w:rPr>
      <w:rFonts w:ascii="宋体" w:hAnsi="宋体" w:cs="宋体"/>
      <w:sz w:val="24"/>
    </w:rPr>
  </w:style>
  <w:style w:type="character" w:styleId="1002" w:customStyle="1">
    <w:name w:val="明显强调1"/>
    <w:uiPriority w:val="0"/>
    <w:qFormat/>
    <w:rPr>
      <w:b/>
      <w:bCs/>
      <w:i/>
      <w:iCs/>
      <w:color w:val="4f81bd"/>
    </w:rPr>
  </w:style>
  <w:style w:type="character" w:styleId="1003" w:customStyle="1">
    <w:name w:val="批注文字 Char2"/>
    <w:uiPriority w:val="0"/>
    <w:qFormat/>
    <w:rPr>
      <w:sz w:val="21"/>
    </w:rPr>
  </w:style>
  <w:style w:type="character" w:styleId="1004" w:customStyle="1">
    <w:name w:val="标题 3 Char_0"/>
    <w:link w:val="942"/>
    <w:uiPriority w:val="0"/>
    <w:qFormat/>
    <w:rPr>
      <w:b/>
      <w:bCs/>
      <w:sz w:val="32"/>
      <w:szCs w:val="32"/>
    </w:rPr>
  </w:style>
  <w:style w:type="character" w:styleId="1005" w:customStyle="1">
    <w:name w:val="标题 2 字符"/>
    <w:link w:val="889"/>
    <w:uiPriority w:val="0"/>
    <w:qFormat/>
    <w:rPr>
      <w:rFonts w:ascii="Cambria" w:hAnsi="Cambria"/>
      <w:b/>
      <w:bCs/>
      <w:sz w:val="32"/>
      <w:szCs w:val="32"/>
    </w:rPr>
  </w:style>
  <w:style w:type="character" w:styleId="1006" w:customStyle="1">
    <w:name w:val="正文文本 Char2"/>
    <w:uiPriority w:val="99"/>
    <w:semiHidden/>
    <w:qFormat/>
    <w:rPr>
      <w:rFonts w:ascii="Calibri" w:hAnsi="Calibri" w:eastAsia="宋体" w:cs="Times New Roman"/>
    </w:rPr>
  </w:style>
  <w:style w:type="character" w:styleId="1007" w:customStyle="1">
    <w:name w:val="页脚 Char1"/>
    <w:uiPriority w:val="99"/>
    <w:semiHidden/>
    <w:qFormat/>
    <w:rPr>
      <w:rFonts w:ascii="Calibri" w:hAnsi="Calibri" w:eastAsia="宋体" w:cs="Times New Roman"/>
      <w:sz w:val="18"/>
      <w:szCs w:val="18"/>
    </w:rPr>
  </w:style>
  <w:style w:type="character" w:styleId="1008" w:customStyle="1">
    <w:name w:val="明显引用 Char2"/>
    <w:uiPriority w:val="99"/>
    <w:qFormat/>
    <w:rPr>
      <w:b/>
      <w:bCs/>
      <w:i/>
      <w:iCs/>
      <w:color w:val="4f81bd"/>
      <w:sz w:val="21"/>
      <w:szCs w:val="24"/>
    </w:rPr>
  </w:style>
  <w:style w:type="character" w:styleId="1009" w:customStyle="1">
    <w:name w:val="引用 Char"/>
    <w:link w:val="944"/>
    <w:uiPriority w:val="0"/>
    <w:qFormat/>
    <w:rPr>
      <w:i/>
      <w:iCs/>
      <w:color w:val="000000"/>
    </w:rPr>
  </w:style>
  <w:style w:type="character" w:styleId="1010" w:customStyle="1">
    <w:name w:val="标题 1 Char_0"/>
    <w:link w:val="945"/>
    <w:uiPriority w:val="0"/>
    <w:qFormat/>
    <w:rPr>
      <w:b/>
      <w:bCs/>
      <w:sz w:val="44"/>
      <w:szCs w:val="44"/>
    </w:rPr>
  </w:style>
  <w:style w:type="character" w:styleId="1011" w:customStyle="1">
    <w:name w:val="正文文本缩进 3 Char1"/>
    <w:uiPriority w:val="99"/>
    <w:semiHidden/>
    <w:qFormat/>
    <w:rPr>
      <w:sz w:val="16"/>
      <w:szCs w:val="16"/>
    </w:rPr>
  </w:style>
  <w:style w:type="character" w:styleId="1012" w:customStyle="1">
    <w:name w:val="引用 Char1"/>
    <w:uiPriority w:val="29"/>
    <w:qFormat/>
    <w:rPr>
      <w:i/>
      <w:iCs/>
      <w:color w:val="000000"/>
      <w:sz w:val="21"/>
    </w:rPr>
  </w:style>
  <w:style w:type="character" w:styleId="1013" w:customStyle="1">
    <w:name w:val="正文文本缩进 字符"/>
    <w:link w:val="911"/>
    <w:uiPriority w:val="0"/>
    <w:qFormat/>
    <w:rPr>
      <w:sz w:val="21"/>
      <w:szCs w:val="24"/>
    </w:rPr>
  </w:style>
  <w:style w:type="character" w:styleId="1014" w:customStyle="1">
    <w:name w:val="font161"/>
    <w:uiPriority w:val="0"/>
    <w:qFormat/>
    <w:rPr>
      <w:b/>
      <w:sz w:val="32"/>
    </w:rPr>
  </w:style>
  <w:style w:type="character" w:styleId="1015" w:customStyle="1">
    <w:name w:val="标题 4 Char_0"/>
    <w:link w:val="946"/>
    <w:uiPriority w:val="0"/>
    <w:qFormat/>
    <w:rPr>
      <w:rFonts w:ascii="Arial" w:hAnsi="Arial" w:eastAsia="黑体"/>
      <w:b/>
      <w:bCs/>
      <w:sz w:val="28"/>
      <w:szCs w:val="28"/>
    </w:rPr>
  </w:style>
  <w:style w:type="character" w:styleId="1016" w:customStyle="1">
    <w:name w:val="页眉 字符"/>
    <w:link w:val="921"/>
    <w:uiPriority w:val="99"/>
    <w:qFormat/>
    <w:rPr>
      <w:sz w:val="18"/>
      <w:szCs w:val="18"/>
    </w:rPr>
  </w:style>
  <w:style w:type="character" w:styleId="1017" w:customStyle="1">
    <w:name w:val="标题 6 字符"/>
    <w:link w:val="893"/>
    <w:uiPriority w:val="0"/>
    <w:qFormat/>
    <w:rPr>
      <w:rFonts w:ascii="Cambria" w:hAnsi="Cambria" w:eastAsia="宋体" w:cs="Times New Roman"/>
      <w:b/>
      <w:bCs/>
      <w:sz w:val="24"/>
      <w:szCs w:val="24"/>
    </w:rPr>
  </w:style>
  <w:style w:type="character" w:styleId="1018" w:customStyle="1">
    <w:name w:val="纯文本 字符"/>
    <w:link w:val="915"/>
    <w:uiPriority w:val="0"/>
    <w:qFormat/>
    <w:rPr>
      <w:rFonts w:ascii="Ari"/>
      <w:lang w:val="en-US" w:eastAsia="zh-CN" w:bidi="ar-SA"/>
    </w:rPr>
  </w:style>
  <w:style w:type="character" w:styleId="1019" w:customStyle="1">
    <w:name w:val="引用 Char2"/>
    <w:uiPriority w:val="99"/>
    <w:qFormat/>
    <w:rPr>
      <w:i/>
      <w:iCs/>
      <w:color w:val="000000"/>
      <w:sz w:val="21"/>
      <w:szCs w:val="24"/>
    </w:rPr>
  </w:style>
  <w:style w:type="character" w:styleId="1020" w:customStyle="1">
    <w:name w:val="rvts11"/>
    <w:uiPriority w:val="0"/>
    <w:qFormat/>
    <w:rPr>
      <w:rFonts w:hint="default" w:ascii="KNLe" w:hAnsi="KNLe"/>
      <w:sz w:val="24"/>
      <w:szCs w:val="24"/>
      <w:u w:val="single"/>
    </w:rPr>
  </w:style>
  <w:style w:type="character" w:styleId="1021" w:customStyle="1">
    <w:name w:val="标题 字符"/>
    <w:link w:val="932"/>
    <w:uiPriority w:val="0"/>
    <w:qFormat/>
    <w:rPr>
      <w:rFonts w:ascii="Arial" w:hAnsi="Arial"/>
      <w:b/>
      <w:sz w:val="32"/>
    </w:rPr>
  </w:style>
  <w:style w:type="character" w:styleId="1022" w:customStyle="1">
    <w:name w:val="标题5 Char Char"/>
    <w:link w:val="947"/>
    <w:uiPriority w:val="0"/>
    <w:qFormat/>
    <w:rPr>
      <w:rFonts w:ascii="Arial" w:hAnsi="Arial"/>
      <w:b/>
      <w:bCs/>
      <w:sz w:val="24"/>
      <w:szCs w:val="32"/>
    </w:rPr>
  </w:style>
  <w:style w:type="character" w:styleId="1023" w:customStyle="1">
    <w:name w:val="副标题 Char2"/>
    <w:uiPriority w:val="11"/>
    <w:qFormat/>
    <w:rPr>
      <w:rFonts w:ascii="Cambria" w:hAnsi="Cambria" w:cs="Times New Roman"/>
      <w:b/>
      <w:bCs/>
      <w:sz w:val="32"/>
      <w:szCs w:val="32"/>
    </w:rPr>
  </w:style>
  <w:style w:type="character" w:styleId="1024" w:customStyle="1">
    <w:name w:val="文档结构图 字符"/>
    <w:link w:val="908"/>
    <w:uiPriority w:val="0"/>
    <w:qFormat/>
    <w:rPr>
      <w:rFonts w:ascii="宋体"/>
      <w:sz w:val="18"/>
      <w:szCs w:val="18"/>
    </w:rPr>
  </w:style>
  <w:style w:type="character" w:styleId="1025" w:customStyle="1">
    <w:name w:val="日期 字符"/>
    <w:link w:val="917"/>
    <w:uiPriority w:val="0"/>
    <w:qFormat/>
    <w:rPr>
      <w:sz w:val="21"/>
      <w:szCs w:val="24"/>
    </w:rPr>
  </w:style>
  <w:style w:type="character" w:styleId="1026" w:customStyle="1">
    <w:name w:val="批注主题 Char1"/>
    <w:uiPriority w:val="0"/>
    <w:qFormat/>
    <w:rPr>
      <w:b/>
      <w:bCs/>
      <w:sz w:val="21"/>
      <w:szCs w:val="22"/>
    </w:rPr>
  </w:style>
  <w:style w:type="character" w:styleId="1027" w:customStyle="1">
    <w:name w:val="font31"/>
    <w:uiPriority w:val="0"/>
    <w:qFormat/>
    <w:rPr>
      <w:rFonts w:hint="eastAsia" w:ascii="宋体" w:hAnsi="宋体" w:eastAsia="宋体" w:cs="宋体"/>
      <w:color w:val="000000"/>
      <w:sz w:val="20"/>
      <w:szCs w:val="20"/>
      <w:u w:val="none"/>
    </w:rPr>
  </w:style>
  <w:style w:type="character" w:styleId="1028" w:customStyle="1">
    <w:name w:val="明显引用 Char"/>
    <w:link w:val="948"/>
    <w:uiPriority w:val="0"/>
    <w:qFormat/>
    <w:rPr>
      <w:b/>
      <w:bCs/>
      <w:i/>
      <w:iCs/>
      <w:color w:val="4f81bd"/>
    </w:rPr>
  </w:style>
  <w:style w:type="character" w:styleId="1029" w:customStyle="1">
    <w:name w:val="标题 5 字符"/>
    <w:link w:val="892"/>
    <w:uiPriority w:val="0"/>
    <w:qFormat/>
    <w:rPr>
      <w:b/>
      <w:bCs/>
      <w:sz w:val="28"/>
      <w:szCs w:val="28"/>
    </w:rPr>
  </w:style>
  <w:style w:type="character" w:styleId="1030" w:customStyle="1">
    <w:name w:val="日期 Char1"/>
    <w:uiPriority w:val="0"/>
    <w:qFormat/>
    <w:rPr>
      <w:rFonts w:ascii="Calibri" w:hAnsi="Calibri" w:eastAsia="宋体" w:cs="Times New Roman"/>
    </w:rPr>
  </w:style>
  <w:style w:type="character" w:styleId="1031" w:customStyle="1">
    <w:name w:val="批注框文本 Char1"/>
    <w:uiPriority w:val="0"/>
    <w:qFormat/>
    <w:rPr>
      <w:sz w:val="18"/>
      <w:szCs w:val="18"/>
    </w:rPr>
  </w:style>
  <w:style w:type="character" w:styleId="1032" w:customStyle="1">
    <w:name w:val="标题 Char1"/>
    <w:uiPriority w:val="10"/>
    <w:qFormat/>
    <w:rPr>
      <w:rFonts w:ascii="Cambria" w:hAnsi="Cambria" w:eastAsia="宋体" w:cs="Times New Roman"/>
      <w:b/>
      <w:bCs/>
      <w:sz w:val="32"/>
      <w:szCs w:val="32"/>
    </w:rPr>
  </w:style>
  <w:style w:type="character" w:styleId="1033" w:customStyle="1">
    <w:name w:val="标题 9 字符"/>
    <w:link w:val="896"/>
    <w:uiPriority w:val="0"/>
    <w:qFormat/>
    <w:rPr>
      <w:rFonts w:ascii="Cambria" w:hAnsi="Cambria" w:eastAsia="宋体" w:cs="Times New Roman"/>
      <w:sz w:val="21"/>
      <w:szCs w:val="21"/>
    </w:rPr>
  </w:style>
  <w:style w:type="character" w:styleId="1034" w:customStyle="1">
    <w:name w:val="不明显参考1"/>
    <w:uiPriority w:val="0"/>
    <w:qFormat/>
    <w:rPr>
      <w:smallCaps/>
      <w:color w:val="c0504d"/>
      <w:u w:val="single"/>
    </w:rPr>
  </w:style>
  <w:style w:type="character" w:styleId="1035" w:customStyle="1">
    <w:name w:val="批注文字 Char1"/>
    <w:uiPriority w:val="0"/>
    <w:qFormat/>
    <w:rPr>
      <w:rFonts w:ascii="Calibri" w:hAnsi="Calibri" w:eastAsia="宋体" w:cs="Times New Roman"/>
    </w:rPr>
  </w:style>
  <w:style w:type="character" w:styleId="1036" w:customStyle="1">
    <w:name w:val="标题 Char2"/>
    <w:uiPriority w:val="10"/>
    <w:qFormat/>
    <w:rPr>
      <w:rFonts w:ascii="Cambria" w:hAnsi="Cambria" w:cs="Times New Roman"/>
      <w:b/>
      <w:bCs/>
      <w:sz w:val="32"/>
      <w:szCs w:val="32"/>
    </w:rPr>
  </w:style>
  <w:style w:type="character" w:styleId="1037" w:customStyle="1">
    <w:name w:val="正文文本 3 Char1"/>
    <w:uiPriority w:val="99"/>
    <w:semiHidden/>
    <w:qFormat/>
    <w:rPr>
      <w:sz w:val="16"/>
      <w:szCs w:val="16"/>
    </w:rPr>
  </w:style>
  <w:style w:type="character" w:styleId="1038" w:customStyle="1">
    <w:name w:val="批注主题 Char2"/>
    <w:uiPriority w:val="0"/>
    <w:qFormat/>
    <w:rPr>
      <w:b/>
      <w:bCs/>
      <w:sz w:val="21"/>
    </w:rPr>
  </w:style>
  <w:style w:type="character" w:styleId="1039" w:customStyle="1">
    <w:name w:val="标题 3 字符"/>
    <w:link w:val="890"/>
    <w:uiPriority w:val="0"/>
    <w:qFormat/>
    <w:rPr>
      <w:b/>
      <w:bCs/>
      <w:sz w:val="32"/>
      <w:szCs w:val="32"/>
    </w:rPr>
  </w:style>
  <w:style w:type="character" w:styleId="1040" w:customStyle="1">
    <w:name w:val="正文文本 Char_0"/>
    <w:link w:val="949"/>
    <w:uiPriority w:val="0"/>
    <w:qFormat/>
    <w:rPr>
      <w:szCs w:val="24"/>
    </w:rPr>
  </w:style>
  <w:style w:type="character" w:styleId="1041" w:customStyle="1">
    <w:name w:val="副标题 字符"/>
    <w:link w:val="924"/>
    <w:uiPriority w:val="0"/>
    <w:qFormat/>
    <w:rPr>
      <w:rFonts w:ascii="Cambria" w:hAnsi="Cambria"/>
      <w:b/>
      <w:bCs/>
      <w:sz w:val="32"/>
      <w:szCs w:val="32"/>
    </w:rPr>
  </w:style>
  <w:style w:type="character" w:styleId="1042" w:customStyle="1">
    <w:name w:val="bookmark"/>
    <w:basedOn w:val="897"/>
    <w:uiPriority w:val="0"/>
    <w:qFormat/>
  </w:style>
  <w:style w:type="character" w:styleId="1043" w:customStyle="1">
    <w:name w:val="标题 5 Char_0"/>
    <w:link w:val="950"/>
    <w:uiPriority w:val="0"/>
    <w:qFormat/>
    <w:rPr>
      <w:rFonts w:ascii="Calibri" w:hAnsi="Calibri"/>
      <w:b/>
      <w:bCs/>
      <w:sz w:val="28"/>
      <w:szCs w:val="28"/>
    </w:rPr>
  </w:style>
  <w:style w:type="character" w:styleId="1044" w:customStyle="1">
    <w:name w:val="正文文本缩进 2 字符"/>
    <w:link w:val="918"/>
    <w:uiPriority w:val="99"/>
    <w:qFormat/>
    <w:rPr>
      <w:rFonts w:ascii="宋体"/>
    </w:rPr>
  </w:style>
  <w:style w:type="character" w:styleId="1045" w:customStyle="1">
    <w:name w:val="批注文字 字符"/>
    <w:link w:val="902"/>
    <w:uiPriority w:val="99"/>
    <w:qFormat/>
    <w:rPr>
      <w:sz w:val="21"/>
      <w:szCs w:val="24"/>
    </w:rPr>
  </w:style>
  <w:style w:type="character" w:styleId="1046" w:customStyle="1">
    <w:name w:val="font11"/>
    <w:uiPriority w:val="0"/>
    <w:qFormat/>
    <w:rPr>
      <w:rFonts w:hint="eastAsia" w:ascii="宋体" w:hAnsi="宋体" w:eastAsia="宋体" w:cs="宋体"/>
      <w:color w:val="000000"/>
      <w:sz w:val="20"/>
      <w:szCs w:val="20"/>
      <w:u w:val="none"/>
    </w:rPr>
  </w:style>
  <w:style w:type="character" w:styleId="1047" w:customStyle="1">
    <w:name w:val="明显参考1"/>
    <w:uiPriority w:val="0"/>
    <w:qFormat/>
    <w:rPr>
      <w:b/>
      <w:bCs/>
      <w:smallCaps/>
      <w:color w:val="c0504d"/>
      <w:spacing w:val="5"/>
      <w:u w:val="single"/>
    </w:rPr>
  </w:style>
  <w:style w:type="character" w:styleId="1048" w:customStyle="1">
    <w:name w:val="超链接_0"/>
    <w:uiPriority w:val="99"/>
    <w:qFormat/>
    <w:rPr>
      <w:rFonts w:ascii="Calibri" w:hAnsi="Calibri"/>
      <w:color w:val="0000ff"/>
      <w:u w:val="single"/>
    </w:rPr>
  </w:style>
  <w:style w:type="character" w:styleId="1049" w:customStyle="1">
    <w:name w:val="文档结构图 Char2"/>
    <w:uiPriority w:val="99"/>
    <w:semiHidden/>
    <w:qFormat/>
    <w:rPr>
      <w:rFonts w:ascii="宋体" w:hAnsi="Calibri" w:eastAsia="宋体" w:cs="Times New Roman"/>
      <w:sz w:val="18"/>
      <w:szCs w:val="18"/>
    </w:rPr>
  </w:style>
  <w:style w:type="character" w:styleId="1050" w:customStyle="1">
    <w:name w:val="textcontents"/>
    <w:uiPriority w:val="0"/>
    <w:qFormat/>
    <w:rPr>
      <w:rFonts w:cs="Times New Roman"/>
    </w:rPr>
  </w:style>
  <w:style w:type="character" w:styleId="1051" w:customStyle="1">
    <w:name w:val="标题 1 Char"/>
    <w:uiPriority w:val="0"/>
    <w:qFormat/>
    <w:rPr>
      <w:b/>
      <w:bCs/>
      <w:sz w:val="32"/>
      <w:szCs w:val="44"/>
    </w:rPr>
  </w:style>
  <w:style w:type="character" w:styleId="1052" w:customStyle="1">
    <w:name w:val="正文文本 字符"/>
    <w:link w:val="905"/>
    <w:uiPriority w:val="0"/>
    <w:qFormat/>
    <w:rPr>
      <w:rFonts w:eastAsia="幼圆"/>
      <w:b/>
      <w:bCs/>
      <w:sz w:val="44"/>
      <w:szCs w:val="24"/>
    </w:rPr>
  </w:style>
  <w:style w:type="character" w:styleId="1053" w:customStyle="1">
    <w:name w:val="标题 8 字符"/>
    <w:link w:val="895"/>
    <w:uiPriority w:val="0"/>
    <w:qFormat/>
    <w:rPr>
      <w:rFonts w:ascii="Cambria" w:hAnsi="Cambria" w:eastAsia="宋体" w:cs="Times New Roman"/>
      <w:sz w:val="24"/>
      <w:szCs w:val="24"/>
    </w:rPr>
  </w:style>
  <w:style w:type="character" w:styleId="1054" w:customStyle="1">
    <w:name w:val="副标题 Char1"/>
    <w:uiPriority w:val="11"/>
    <w:qFormat/>
    <w:rPr>
      <w:rFonts w:ascii="Cambria" w:hAnsi="Cambria" w:cs="Times New Roman"/>
      <w:b/>
      <w:bCs/>
      <w:sz w:val="32"/>
      <w:szCs w:val="32"/>
    </w:rPr>
  </w:style>
  <w:style w:type="character" w:styleId="1055" w:customStyle="1">
    <w:name w:val="批注主题 字符"/>
    <w:link w:val="901"/>
    <w:uiPriority w:val="0"/>
    <w:qFormat/>
    <w:rPr>
      <w:b/>
      <w:bCs/>
      <w:sz w:val="21"/>
      <w:szCs w:val="24"/>
    </w:rPr>
  </w:style>
  <w:style w:type="character" w:styleId="1056" w:customStyle="1">
    <w:name w:val="书籍标题1"/>
    <w:uiPriority w:val="0"/>
    <w:qFormat/>
    <w:rPr>
      <w:b/>
      <w:bCs/>
      <w:smallCaps/>
      <w:spacing w:val="5"/>
    </w:rPr>
  </w:style>
  <w:style w:type="character" w:styleId="1057" w:customStyle="1">
    <w:name w:val="页脚 字符"/>
    <w:link w:val="920"/>
    <w:uiPriority w:val="99"/>
    <w:qFormat/>
    <w:rPr>
      <w:sz w:val="18"/>
      <w:szCs w:val="18"/>
    </w:rPr>
  </w:style>
  <w:style w:type="character" w:styleId="1058" w:customStyle="1">
    <w:name w:val="标题4 Char Char"/>
    <w:link w:val="951"/>
    <w:uiPriority w:val="0"/>
    <w:qFormat/>
    <w:rPr>
      <w:rFonts w:ascii="Arial" w:hAnsi="Arial"/>
      <w:b/>
      <w:bCs/>
      <w:sz w:val="24"/>
      <w:szCs w:val="32"/>
    </w:rPr>
  </w:style>
  <w:style w:type="character" w:styleId="1059" w:customStyle="1">
    <w:name w:val="正文文本 Char1"/>
    <w:uiPriority w:val="0"/>
    <w:qFormat/>
    <w:rPr>
      <w:rFonts w:ascii="Calibri" w:hAnsi="Calibri" w:eastAsia="宋体" w:cs="Times New Roman"/>
    </w:rPr>
  </w:style>
  <w:style w:type="character" w:styleId="1060" w:customStyle="1">
    <w:name w:val="明显引用 Char1"/>
    <w:uiPriority w:val="30"/>
    <w:qFormat/>
    <w:rPr>
      <w:b/>
      <w:bCs/>
      <w:i/>
      <w:iCs/>
      <w:color w:val="4f81bd"/>
      <w:sz w:val="21"/>
    </w:rPr>
  </w:style>
  <w:style w:type="character" w:styleId="1061" w:customStyle="1">
    <w:name w:val="页眉 Char1"/>
    <w:uiPriority w:val="99"/>
    <w:semiHidden/>
    <w:qFormat/>
    <w:rPr>
      <w:rFonts w:ascii="Calibri" w:hAnsi="Calibri" w:eastAsia="宋体" w:cs="Times New Roman"/>
      <w:sz w:val="18"/>
      <w:szCs w:val="18"/>
    </w:rPr>
  </w:style>
  <w:style w:type="character" w:styleId="1062" w:customStyle="1">
    <w:name w:val="不明显强调1"/>
    <w:uiPriority w:val="0"/>
    <w:qFormat/>
    <w:rPr>
      <w:i/>
      <w:iCs/>
      <w:color w:val="808080"/>
    </w:rPr>
  </w:style>
  <w:style w:type="character" w:styleId="1063" w:customStyle="1">
    <w:name w:val="正文文本 3 字符"/>
    <w:link w:val="910"/>
    <w:uiPriority w:val="0"/>
    <w:qFormat/>
    <w:rPr>
      <w:rFonts w:ascii="宋体"/>
      <w:sz w:val="24"/>
    </w:rPr>
  </w:style>
  <w:style w:type="character" w:styleId="1064" w:customStyle="1">
    <w:name w:val="正文文本缩进 3 字符"/>
    <w:link w:val="926"/>
    <w:uiPriority w:val="0"/>
    <w:qFormat/>
    <w:rPr>
      <w:sz w:val="16"/>
    </w:rPr>
  </w:style>
  <w:style w:type="character" w:styleId="1065" w:customStyle="1">
    <w:name w:val="font21"/>
    <w:uiPriority w:val="0"/>
    <w:qFormat/>
    <w:rPr>
      <w:rFonts w:hint="eastAsia" w:ascii="宋体" w:hAnsi="宋体" w:eastAsia="宋体" w:cs="宋体"/>
      <w:color w:val="000000"/>
      <w:sz w:val="20"/>
      <w:szCs w:val="20"/>
      <w:u w:val="none"/>
    </w:rPr>
  </w:style>
  <w:style w:type="character" w:styleId="1066" w:customStyle="1">
    <w:name w:val="批注框文本 字符"/>
    <w:link w:val="919"/>
    <w:uiPriority w:val="0"/>
    <w:qFormat/>
    <w:rPr>
      <w:sz w:val="18"/>
      <w:szCs w:val="18"/>
    </w:rPr>
  </w:style>
  <w:style w:type="character" w:styleId="1067" w:customStyle="1">
    <w:name w:val="标题 7 字符"/>
    <w:link w:val="894"/>
    <w:uiPriority w:val="0"/>
    <w:qFormat/>
    <w:rPr>
      <w:b/>
      <w:bCs/>
      <w:sz w:val="24"/>
      <w:szCs w:val="24"/>
    </w:rPr>
  </w:style>
  <w:style w:type="character" w:styleId="1068" w:customStyle="1">
    <w:name w:val="标题 1 字符"/>
    <w:link w:val="888"/>
    <w:uiPriority w:val="0"/>
    <w:qFormat/>
    <w:rPr>
      <w:rFonts w:ascii="Times New Roman" w:hAnsi="Times New Roman" w:eastAsia="宋体" w:cs="Times New Roman"/>
      <w:b/>
      <w:bCs/>
      <w:sz w:val="32"/>
      <w:szCs w:val="44"/>
    </w:rPr>
  </w:style>
  <w:style w:type="character" w:styleId="1069" w:customStyle="1">
    <w:name w:val="文档结构图 Char1"/>
    <w:uiPriority w:val="0"/>
    <w:qFormat/>
    <w:rPr>
      <w:rFonts w:ascii="宋体" w:hAnsi="Calibri" w:eastAsia="宋体" w:cs="Times New Roman"/>
      <w:sz w:val="18"/>
      <w:szCs w:val="18"/>
    </w:rPr>
  </w:style>
  <w:style w:type="character" w:styleId="1070" w:customStyle="1">
    <w:name w:val="标题 2 Char_0"/>
    <w:link w:val="952"/>
    <w:uiPriority w:val="0"/>
    <w:qFormat/>
    <w:rPr>
      <w:rFonts w:ascii="Cambria" w:hAnsi="Cambria"/>
      <w:b/>
      <w:bCs/>
      <w:sz w:val="32"/>
      <w:szCs w:val="32"/>
    </w:rPr>
  </w:style>
  <w:style w:type="character" w:styleId="1071" w:customStyle="1">
    <w:name w:val="日期 Char2"/>
    <w:uiPriority w:val="99"/>
    <w:semiHidden/>
    <w:qFormat/>
    <w:rPr>
      <w:rFonts w:ascii="Calibri" w:hAnsi="Calibri" w:eastAsia="宋体" w:cs="Times New Roman"/>
    </w:rPr>
  </w:style>
  <w:style w:type="character" w:styleId="1072" w:customStyle="1">
    <w:name w:val="批注框文本 Char2"/>
    <w:uiPriority w:val="99"/>
    <w:semiHidden/>
    <w:qFormat/>
    <w:rPr>
      <w:rFonts w:ascii="Calibri" w:hAnsi="Calibri" w:eastAsia="宋体" w:cs="Times New Roman"/>
      <w:sz w:val="18"/>
      <w:szCs w:val="18"/>
    </w:rPr>
  </w:style>
  <w:style w:type="character" w:styleId="1073" w:customStyle="1">
    <w:name w:val="标题 4 字符"/>
    <w:link w:val="891"/>
    <w:uiPriority w:val="0"/>
    <w:qFormat/>
    <w:rPr>
      <w:rFonts w:ascii="Cambria" w:hAnsi="Cambria" w:eastAsia="宋体" w:cs="Times New Roman"/>
      <w:b/>
      <w:bCs/>
      <w:sz w:val="28"/>
      <w:szCs w:val="28"/>
    </w:rPr>
  </w:style>
  <w:style w:type="character" w:styleId="1074" w:customStyle="1">
    <w:name w:val="列出段落 Char"/>
    <w:link w:val="953"/>
    <w:uiPriority w:val="99"/>
    <w:qFormat/>
    <w:rPr>
      <w:sz w:val="21"/>
      <w:szCs w:val="24"/>
    </w:rPr>
  </w:style>
  <w:style w:type="character" w:styleId="1075" w:customStyle="1">
    <w:name w:val="表格文字 字符"/>
    <w:link w:val="970"/>
    <w:uiPriority w:val="0"/>
    <w:qFormat/>
    <w:rPr>
      <w:rFonts w:ascii="Calibri" w:hAnsi="Calibri" w:eastAsia="宋体" w:cs="Times New Roman"/>
      <w:sz w:val="21"/>
      <w:szCs w:val="22"/>
    </w:rPr>
  </w:style>
  <w:style w:type="paragraph" w:styleId="1076"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7" w:customStyle="1">
    <w:name w:val="正文文本首行缩进 字符"/>
    <w:basedOn w:val="1052"/>
    <w:link w:val="904"/>
    <w:uiPriority w:val="0"/>
    <w:semiHidden/>
    <w:qFormat/>
    <w:rPr>
      <w:rFonts w:eastAsia="幼圆"/>
      <w:b w:val="0"/>
      <w:bCs w:val="0"/>
      <w:sz w:val="21"/>
      <w:szCs w:val="24"/>
    </w:rPr>
  </w:style>
  <w:style w:type="character" w:styleId="1078" w:customStyle="1">
    <w:name w:val="未处理的提及1"/>
    <w:basedOn w:val="897"/>
    <w:uiPriority w:val="99"/>
    <w:semiHidden/>
    <w:unhideWhenUsed/>
    <w:qFormat/>
    <w:rPr>
      <w:color w:val="605e5c"/>
      <w:shd w:val="clear" w:color="auto" w:fill="e1dfdd"/>
    </w:rPr>
  </w:style>
  <w:style w:type="paragraph" w:styleId="1079" w:customStyle="1">
    <w:name w:val="TOC 标题2"/>
    <w:basedOn w:val="888"/>
    <w:next w:val="887"/>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0">
    <w:name w:val="List Paragraph"/>
    <w:basedOn w:val="887"/>
    <w:uiPriority w:val="99"/>
    <w:qFormat/>
    <w:pPr>
      <w:ind w:firstLine="420"/>
    </w:pPr>
    <w:rPr>
      <w:rFonts w:ascii="Calibri" w:hAnsi="Calibri"/>
      <w:szCs w:val="22"/>
    </w:rPr>
  </w:style>
  <w:style w:type="character" w:styleId="1081" w:customStyle="1">
    <w:name w:val="正文缩进 字符"/>
    <w:link w:val="906"/>
    <w:uiPriority w:val="0"/>
    <w:qFormat/>
    <w:rPr>
      <w:b/>
      <w:sz w:val="24"/>
    </w:rPr>
  </w:style>
  <w:style w:type="paragraph" w:styleId="108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8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085" w:customStyle="1">
    <w:name w:val="一级条标题"/>
    <w:basedOn w:val="1086"/>
    <w:next w:val="1087"/>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086" w:customStyle="1">
    <w:name w:val="章标题"/>
    <w:next w:val="887"/>
    <w:uiPriority w:val="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1087" w:customStyle="1">
    <w:name w:val="段"/>
    <w:next w:val="887"/>
    <w:uiPriority w:val="0"/>
    <w:qFormat/>
    <w:pPr>
      <w:ind w:firstLine="200"/>
      <w:jc w:val="both"/>
      <w:widowControl w:val="off"/>
    </w:pPr>
    <w:rPr>
      <w:rFonts w:ascii="宋体" w:hAnsi="宋体" w:eastAsia="等线" w:cs="宋体"/>
      <w:color w:val="000000"/>
      <w:sz w:val="21"/>
      <w:szCs w:val="21"/>
      <w:lang w:val="en-US" w:eastAsia="zh-CN" w:bidi="ar-SA"/>
    </w:rPr>
  </w:style>
  <w:style w:type="paragraph" w:styleId="1088"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089" w:customStyle="1">
    <w:name w:val="Revision"/>
    <w:hidden/>
    <w:uiPriority w:val="99"/>
    <w:unhideWhenUsed/>
    <w:rPr>
      <w:rFonts w:ascii="Times New Roman" w:hAnsi="Times New Roman" w:eastAsia="宋体" w:cs="Times New Roman"/>
      <w:sz w:val="21"/>
      <w:szCs w:val="24"/>
      <w:lang w:val="en-US" w:eastAsia="zh-CN" w:bidi="ar-SA"/>
    </w:rPr>
  </w:style>
  <w:style w:type="numbering" w:styleId="1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4F1339F0-E50E-4E3F-B1A2-EE2E3E30BF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420</cp:revision>
  <dcterms:created xsi:type="dcterms:W3CDTF">2020-06-24T05:04:00Z</dcterms:created>
  <dcterms:modified xsi:type="dcterms:W3CDTF">2024-11-12T07:29:54Z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8B95B5501EF64954AA023F38109C7593_12</vt:lpwstr>
  </property>
</Properties>
</file>