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themeColor="text1"/>
          <w:spacing w:val="20"/>
          <w:sz w:val="72"/>
          <w:szCs w:val="72"/>
          <w:highlight w:val="none"/>
        </w:rPr>
      </w:pPr>
      <w:r>
        <w:rPr>
          <w:rFonts w:eastAsia="黑体"/>
          <w:color w:val="000000" w:themeColor="text1"/>
          <w:spacing w:val="20"/>
          <w:sz w:val="72"/>
          <w:szCs w:val="72"/>
          <w:highlight w:val="none"/>
        </w:rPr>
      </w:r>
      <w:r>
        <w:rPr>
          <w:color w:val="000000" w:themeColor="text1"/>
          <w:highlight w:val="none"/>
        </w:rPr>
      </w:r>
    </w:p>
    <w:p>
      <w:pPr>
        <w:jc w:val="center"/>
        <w:rPr>
          <w:rFonts w:eastAsia="黑体"/>
          <w:color w:val="000000" w:themeColor="text1"/>
          <w:spacing w:val="20"/>
          <w:sz w:val="72"/>
          <w:szCs w:val="72"/>
          <w:highlight w:val="none"/>
        </w:rPr>
      </w:pPr>
      <w:r>
        <w:rPr>
          <w:rFonts w:eastAsia="黑体"/>
          <w:color w:val="000000" w:themeColor="text1"/>
          <w:spacing w:val="20"/>
          <w:sz w:val="72"/>
          <w:szCs w:val="72"/>
          <w:highlight w:val="none"/>
        </w:rPr>
      </w:r>
      <w:r>
        <w:rPr>
          <w:color w:val="000000" w:themeColor="text1"/>
          <w:highlight w:val="none"/>
        </w:rPr>
      </w:r>
    </w:p>
    <w:p>
      <w:pPr>
        <w:jc w:val="center"/>
        <w:rPr>
          <w:rFonts w:eastAsia="黑体"/>
          <w:color w:val="000000" w:themeColor="text1"/>
          <w:spacing w:val="20"/>
          <w:sz w:val="72"/>
          <w:szCs w:val="72"/>
          <w:highlight w:val="none"/>
        </w:rPr>
      </w:pPr>
      <w:r>
        <w:rPr>
          <w:rFonts w:eastAsia="黑体"/>
          <w:color w:val="000000" w:themeColor="text1"/>
          <w:spacing w:val="20"/>
          <w:sz w:val="72"/>
          <w:szCs w:val="72"/>
          <w:highlight w:val="none"/>
        </w:rPr>
      </w:r>
      <w:r>
        <w:rPr>
          <w:color w:val="000000" w:themeColor="text1"/>
          <w:highlight w:val="none"/>
        </w:rPr>
      </w:r>
    </w:p>
    <w:p>
      <w:pPr>
        <w:jc w:val="center"/>
        <w:rPr>
          <w:rFonts w:eastAsia="黑体"/>
          <w:bCs/>
          <w:color w:val="000000" w:themeColor="text1"/>
          <w:spacing w:val="20"/>
          <w:sz w:val="72"/>
          <w:szCs w:val="72"/>
          <w:highlight w:val="none"/>
        </w:rPr>
      </w:pPr>
      <w:r>
        <w:rPr>
          <w:rFonts w:eastAsia="黑体"/>
          <w:bCs/>
          <w:color w:val="000000" w:themeColor="text1"/>
          <w:spacing w:val="20"/>
          <w:sz w:val="72"/>
          <w:szCs w:val="72"/>
          <w:highlight w:val="none"/>
        </w:rPr>
      </w:r>
      <w:r>
        <w:rPr>
          <w:color w:val="000000" w:themeColor="text1"/>
          <w:highlight w:val="none"/>
        </w:rPr>
      </w:r>
    </w:p>
    <w:p>
      <w:pPr>
        <w:jc w:val="center"/>
        <w:rPr>
          <w:rFonts w:eastAsia="黑体"/>
          <w:bCs/>
          <w:color w:val="000000" w:themeColor="text1"/>
          <w:spacing w:val="20"/>
          <w:sz w:val="72"/>
          <w:szCs w:val="72"/>
          <w:highlight w:val="none"/>
        </w:rPr>
      </w:pPr>
      <w:r>
        <w:rPr>
          <w:rFonts w:eastAsia="黑体"/>
          <w:bCs/>
          <w:color w:val="000000" w:themeColor="text1"/>
          <w:spacing w:val="20"/>
          <w:sz w:val="72"/>
          <w:szCs w:val="72"/>
          <w:highlight w:val="none"/>
        </w:rPr>
        <w:t xml:space="preserve">无锡市</w:t>
      </w:r>
      <w:r>
        <w:rPr>
          <w:rFonts w:hint="eastAsia" w:eastAsia="黑体"/>
          <w:bCs/>
          <w:color w:val="000000" w:themeColor="text1"/>
          <w:spacing w:val="20"/>
          <w:sz w:val="72"/>
          <w:szCs w:val="72"/>
          <w:highlight w:val="none"/>
        </w:rPr>
        <w:t xml:space="preserve">滨湖</w:t>
      </w:r>
      <w:r>
        <w:rPr>
          <w:rFonts w:eastAsia="黑体"/>
          <w:bCs/>
          <w:color w:val="000000" w:themeColor="text1"/>
          <w:spacing w:val="20"/>
          <w:sz w:val="72"/>
          <w:szCs w:val="72"/>
          <w:highlight w:val="none"/>
        </w:rPr>
        <w:t xml:space="preserve">区政府采购</w:t>
      </w:r>
      <w:r>
        <w:rPr>
          <w:color w:val="000000" w:themeColor="text1"/>
          <w:highlight w:val="none"/>
        </w:rPr>
      </w:r>
    </w:p>
    <w:p>
      <w:pPr>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p>
    <w:p>
      <w:pPr>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p>
    <w:p>
      <w:pPr>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p>
    <w:p>
      <w:pPr>
        <w:jc w:val="center"/>
        <w:rPr>
          <w:rFonts w:eastAsia="黑体"/>
          <w:bCs/>
          <w:color w:val="000000" w:themeColor="text1"/>
          <w:spacing w:val="20"/>
          <w:sz w:val="48"/>
          <w:szCs w:val="48"/>
          <w:highlight w:val="none"/>
        </w:rPr>
      </w:pPr>
      <w:r>
        <w:rPr>
          <w:rFonts w:eastAsia="黑体"/>
          <w:bCs/>
          <w:color w:val="000000" w:themeColor="text1"/>
          <w:spacing w:val="20"/>
          <w:sz w:val="48"/>
          <w:szCs w:val="48"/>
          <w:highlight w:val="none"/>
        </w:rPr>
        <w:t xml:space="preserve">公    开</w:t>
      </w:r>
      <w:r>
        <w:rPr>
          <w:color w:val="000000" w:themeColor="text1"/>
          <w:highlight w:val="none"/>
        </w:rPr>
      </w:r>
    </w:p>
    <w:p>
      <w:pPr>
        <w:jc w:val="center"/>
        <w:rPr>
          <w:rFonts w:eastAsia="黑体"/>
          <w:bCs/>
          <w:color w:val="000000" w:themeColor="text1"/>
          <w:spacing w:val="20"/>
          <w:sz w:val="52"/>
          <w:szCs w:val="52"/>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000000" w:themeColor="text1"/>
          <w:spacing w:val="20"/>
          <w:sz w:val="52"/>
          <w:szCs w:val="52"/>
          <w:highlight w:val="none"/>
        </w:rPr>
        <w:t xml:space="preserve">招  标  文  件</w:t>
      </w:r>
      <w:r>
        <w:rPr>
          <w:color w:val="000000" w:themeColor="text1"/>
          <w:highlight w:val="none"/>
        </w:rPr>
      </w:r>
    </w:p>
    <w:p>
      <w:pPr>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p>
    <w:p>
      <w:pPr>
        <w:jc w:val="center"/>
        <w:tabs>
          <w:tab w:val="left" w:pos="9921" w:leader="none"/>
        </w:tabs>
        <w:rPr>
          <w:rFonts w:eastAsia="华文中宋"/>
          <w:bCs/>
          <w:color w:val="000000" w:themeColor="text1"/>
          <w:sz w:val="30"/>
          <w:highlight w:val="none"/>
        </w:rPr>
      </w:pPr>
      <w:r>
        <w:rPr>
          <w:rFonts w:eastAsia="华文中宋"/>
          <w:bCs/>
          <w:color w:val="000000" w:themeColor="text1"/>
          <w:sz w:val="30"/>
          <w:highlight w:val="none"/>
        </w:rPr>
        <w:t xml:space="preserve">（全流程电子化）</w:t>
      </w:r>
      <w:r>
        <w:rPr>
          <w:color w:val="000000" w:themeColor="text1"/>
          <w:highlight w:val="none"/>
        </w:rPr>
      </w:r>
    </w:p>
    <w:p>
      <w:pPr>
        <w:jc w:val="left"/>
        <w:rPr>
          <w:rFonts w:eastAsia="华文中宋"/>
          <w:bCs/>
          <w:color w:val="000000" w:themeColor="text1"/>
          <w:sz w:val="30"/>
          <w:highlight w:val="none"/>
        </w:rPr>
      </w:pPr>
      <w:r>
        <w:rPr>
          <w:rFonts w:eastAsia="华文中宋"/>
          <w:bCs/>
          <w:color w:val="000000" w:themeColor="text1"/>
          <w:sz w:val="30"/>
          <w:highlight w:val="none"/>
        </w:rPr>
      </w:r>
      <w:r>
        <w:rPr>
          <w:color w:val="000000" w:themeColor="text1"/>
          <w:highlight w:val="none"/>
        </w:rPr>
      </w:r>
    </w:p>
    <w:p>
      <w:pPr>
        <w:jc w:val="left"/>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pStyle w:val="846"/>
        <w:rPr>
          <w:rFonts w:eastAsia="华文中宋"/>
          <w:b/>
          <w:bCs/>
          <w:color w:val="000000" w:themeColor="text1"/>
          <w:sz w:val="28"/>
          <w:szCs w:val="28"/>
          <w:highlight w:val="none"/>
        </w:rPr>
      </w:pPr>
      <w:r>
        <w:rPr>
          <w:rFonts w:eastAsia="华文中宋"/>
          <w:b/>
          <w:bCs/>
          <w:color w:val="000000" w:themeColor="text1"/>
          <w:sz w:val="28"/>
          <w:szCs w:val="28"/>
          <w:highlight w:val="none"/>
        </w:rPr>
      </w:r>
      <w:r>
        <w:rPr>
          <w:color w:val="000000" w:themeColor="text1"/>
          <w:highlight w:val="none"/>
        </w:rPr>
      </w:r>
    </w:p>
    <w:p>
      <w:pPr>
        <w:rPr>
          <w:rFonts w:eastAsia="黑体"/>
          <w:color w:val="000000" w:themeColor="text1"/>
          <w:sz w:val="28"/>
          <w:szCs w:val="28"/>
          <w:highlight w:val="none"/>
        </w:rPr>
      </w:pPr>
      <w:r>
        <w:rPr>
          <w:rFonts w:eastAsia="黑体"/>
          <w:color w:val="000000" w:themeColor="text1"/>
          <w:sz w:val="28"/>
          <w:szCs w:val="28"/>
          <w:highlight w:val="none"/>
        </w:rPr>
        <w:t xml:space="preserve">采购项目编号：</w:t>
      </w:r>
      <w:r>
        <w:rPr>
          <w:rFonts w:hint="eastAsia" w:ascii="黑体" w:hAnsi="黑体" w:eastAsia="黑体" w:cs="黑体"/>
          <w:color w:val="000000" w:themeColor="text1"/>
          <w:sz w:val="28"/>
          <w:szCs w:val="28"/>
          <w:highlight w:val="none"/>
        </w:rPr>
        <w:t xml:space="preserve">JSZC-320211-JSZH-G2025-0105</w:t>
      </w:r>
      <w:r>
        <w:rPr>
          <w:color w:val="000000" w:themeColor="text1"/>
          <w:highlight w:val="none"/>
        </w:rPr>
      </w:r>
    </w:p>
    <w:p>
      <w:pPr>
        <w:rPr>
          <w:rFonts w:eastAsia="黑体"/>
          <w:color w:val="000000" w:themeColor="text1"/>
          <w:sz w:val="28"/>
          <w:szCs w:val="28"/>
          <w:highlight w:val="none"/>
        </w:rPr>
      </w:pPr>
      <w:r>
        <w:rPr>
          <w:rFonts w:eastAsia="黑体"/>
          <w:color w:val="000000" w:themeColor="text1"/>
          <w:sz w:val="28"/>
          <w:szCs w:val="28"/>
          <w:highlight w:val="none"/>
        </w:rPr>
      </w:r>
      <w:r>
        <w:rPr>
          <w:color w:val="000000" w:themeColor="text1"/>
          <w:highlight w:val="none"/>
        </w:rPr>
      </w:r>
    </w:p>
    <w:p>
      <w:pPr>
        <w:rPr>
          <w:rFonts w:ascii="黑体" w:hAnsi="黑体" w:eastAsia="黑体" w:cs="黑体"/>
          <w:color w:val="000000" w:themeColor="text1"/>
          <w:sz w:val="28"/>
          <w:szCs w:val="28"/>
          <w:highlight w:val="none"/>
        </w:rPr>
      </w:pPr>
      <w:r>
        <w:rPr>
          <w:rFonts w:eastAsia="黑体"/>
          <w:color w:val="000000" w:themeColor="text1"/>
          <w:sz w:val="28"/>
          <w:szCs w:val="28"/>
          <w:highlight w:val="none"/>
        </w:rPr>
        <w:t xml:space="preserve">采购项目名称：</w:t>
      </w:r>
      <w:r>
        <w:rPr>
          <w:rFonts w:hint="eastAsia" w:eastAsia="黑体"/>
          <w:color w:val="000000" w:themeColor="text1"/>
          <w:sz w:val="28"/>
          <w:szCs w:val="28"/>
          <w:highlight w:val="none"/>
        </w:rPr>
        <w:t xml:space="preserve">滨湖区水质自动监测微型站第三方运维服务项目</w:t>
      </w:r>
      <w:r>
        <w:rPr>
          <w:rFonts w:hint="eastAsia" w:ascii="黑体" w:hAnsi="黑体" w:eastAsia="黑体" w:cs="黑体"/>
          <w:color w:val="000000" w:themeColor="text1"/>
          <w:sz w:val="28"/>
          <w:szCs w:val="28"/>
          <w:highlight w:val="none"/>
        </w:rPr>
        <w:t xml:space="preserve">（2025-2027）</w:t>
      </w:r>
      <w:r>
        <w:rPr>
          <w:color w:val="000000" w:themeColor="text1"/>
          <w:highlight w:val="none"/>
        </w:rPr>
      </w:r>
    </w:p>
    <w:p>
      <w:pPr>
        <w:rPr>
          <w:rFonts w:eastAsia="黑体"/>
          <w:color w:val="000000" w:themeColor="text1"/>
          <w:sz w:val="28"/>
          <w:szCs w:val="28"/>
          <w:highlight w:val="none"/>
        </w:rPr>
      </w:pPr>
      <w:r>
        <w:rPr>
          <w:rFonts w:eastAsia="黑体"/>
          <w:color w:val="000000" w:themeColor="text1"/>
          <w:sz w:val="28"/>
          <w:szCs w:val="28"/>
          <w:highlight w:val="none"/>
        </w:rPr>
      </w:r>
      <w:r>
        <w:rPr>
          <w:color w:val="000000" w:themeColor="text1"/>
          <w:highlight w:val="none"/>
        </w:rPr>
      </w:r>
    </w:p>
    <w:p>
      <w:pPr>
        <w:rPr>
          <w:rFonts w:eastAsia="黑体"/>
          <w:color w:val="000000" w:themeColor="text1"/>
          <w:sz w:val="28"/>
          <w:szCs w:val="28"/>
          <w:highlight w:val="none"/>
        </w:rPr>
      </w:pPr>
      <w:r>
        <w:rPr>
          <w:rFonts w:eastAsia="黑体"/>
          <w:color w:val="000000" w:themeColor="text1"/>
          <w:sz w:val="28"/>
          <w:szCs w:val="28"/>
          <w:highlight w:val="none"/>
        </w:rPr>
        <w:t xml:space="preserve">采购代理机构：江苏智汇锡建工程项目管理有限公司</w:t>
      </w:r>
      <w:r>
        <w:rPr>
          <w:color w:val="000000" w:themeColor="text1"/>
          <w:highlight w:val="none"/>
        </w:rPr>
      </w:r>
    </w:p>
    <w:p>
      <w:pPr>
        <w:rPr>
          <w:rFonts w:eastAsia="黑体"/>
          <w:color w:val="000000" w:themeColor="text1"/>
          <w:highlight w:val="none"/>
        </w:rPr>
      </w:pPr>
      <w:r>
        <w:rPr>
          <w:rFonts w:eastAsia="黑体"/>
          <w:color w:val="000000" w:themeColor="text1"/>
          <w:highlight w:val="none"/>
        </w:rPr>
      </w:r>
      <w:r>
        <w:rPr>
          <w:color w:val="000000" w:themeColor="text1"/>
          <w:highlight w:val="none"/>
        </w:rPr>
      </w:r>
    </w:p>
    <w:p>
      <w:pPr>
        <w:jc w:val="center"/>
        <w:rPr>
          <w:rFonts w:eastAsia="黑体"/>
          <w:bCs/>
          <w:color w:val="000000" w:themeColor="text1"/>
          <w:sz w:val="36"/>
          <w:szCs w:val="36"/>
          <w:highlight w:val="none"/>
        </w:rPr>
      </w:pPr>
      <w:r>
        <w:rPr>
          <w:rFonts w:eastAsia="黑体"/>
          <w:bCs/>
          <w:color w:val="000000" w:themeColor="text1"/>
          <w:sz w:val="36"/>
          <w:szCs w:val="36"/>
          <w:highlight w:val="none"/>
        </w:rPr>
      </w:r>
      <w:r>
        <w:rPr>
          <w:color w:val="000000" w:themeColor="text1"/>
          <w:highlight w:val="none"/>
        </w:rPr>
      </w:r>
    </w:p>
    <w:p>
      <w:pPr>
        <w:jc w:val="center"/>
        <w:rPr>
          <w:rFonts w:eastAsia="黑体"/>
          <w:bCs/>
          <w:color w:val="000000" w:themeColor="text1"/>
          <w:sz w:val="36"/>
          <w:szCs w:val="36"/>
          <w:highlight w:val="none"/>
        </w:rPr>
      </w:pPr>
      <w:r>
        <w:rPr>
          <w:rFonts w:hint="eastAsia" w:eastAsia="黑体"/>
          <w:bCs/>
          <w:color w:val="000000" w:themeColor="text1"/>
          <w:sz w:val="36"/>
          <w:szCs w:val="36"/>
          <w:highlight w:val="none"/>
        </w:rPr>
        <w:t xml:space="preserve">二〇二五</w:t>
      </w:r>
      <w:r>
        <w:rPr>
          <w:rFonts w:eastAsia="黑体"/>
          <w:bCs/>
          <w:color w:val="000000" w:themeColor="text1"/>
          <w:sz w:val="36"/>
          <w:szCs w:val="36"/>
          <w:highlight w:val="none"/>
        </w:rPr>
        <w:t xml:space="preserve">年</w:t>
      </w:r>
      <w:r>
        <w:rPr>
          <w:rFonts w:hint="eastAsia" w:eastAsia="黑体"/>
          <w:bCs/>
          <w:color w:val="000000" w:themeColor="text1"/>
          <w:sz w:val="36"/>
          <w:szCs w:val="36"/>
          <w:highlight w:val="none"/>
        </w:rPr>
        <w:t xml:space="preserve">十</w:t>
      </w:r>
      <w:r>
        <w:rPr>
          <w:rFonts w:hint="eastAsia" w:eastAsia="黑体"/>
          <w:bCs/>
          <w:color w:val="000000" w:themeColor="text1"/>
          <w:sz w:val="36"/>
          <w:szCs w:val="36"/>
          <w:highlight w:val="none"/>
          <w:lang w:val="en-US" w:eastAsia="zh-CN"/>
        </w:rPr>
        <w:t xml:space="preserve">一</w:t>
      </w:r>
      <w:r>
        <w:rPr>
          <w:rFonts w:eastAsia="黑体"/>
          <w:bCs/>
          <w:color w:val="000000" w:themeColor="text1"/>
          <w:sz w:val="36"/>
          <w:szCs w:val="36"/>
          <w:highlight w:val="none"/>
        </w:rPr>
        <w:t xml:space="preserve">月</w:t>
      </w:r>
      <w:r>
        <w:rPr>
          <w:color w:val="000000" w:themeColor="text1"/>
          <w:highlight w:val="none"/>
        </w:rPr>
      </w:r>
    </w:p>
    <w:p>
      <w:pPr>
        <w:jc w:val="center"/>
        <w:rPr>
          <w:rStyle w:val="1099"/>
          <w:rFonts w:eastAsia="黑体"/>
          <w:bCs/>
          <w:color w:val="000000" w:themeColor="text1"/>
          <w:sz w:val="48"/>
          <w:highlight w:val="none"/>
        </w:rPr>
      </w:pPr>
      <w:r>
        <w:rPr>
          <w:rStyle w:val="1099"/>
          <w:rFonts w:eastAsia="黑体"/>
          <w:bCs/>
          <w:color w:val="000000" w:themeColor="text1"/>
          <w:sz w:val="48"/>
          <w:highlight w:val="none"/>
        </w:rPr>
        <w:br w:type="page" w:clear="all"/>
      </w:r>
      <w:r>
        <w:rPr>
          <w:rStyle w:val="1099"/>
          <w:rFonts w:eastAsia="黑体"/>
          <w:bCs/>
          <w:color w:val="000000" w:themeColor="text1"/>
          <w:sz w:val="48"/>
          <w:highlight w:val="none"/>
        </w:rPr>
        <w:t xml:space="preserve">目     录</w:t>
      </w:r>
      <w:r>
        <w:rPr>
          <w:color w:val="000000" w:themeColor="text1"/>
          <w:highlight w:val="none"/>
        </w:rPr>
      </w:r>
    </w:p>
    <w:p>
      <w:pPr>
        <w:jc w:val="center"/>
        <w:rPr>
          <w:rFonts w:eastAsia="黑体"/>
          <w:bCs/>
          <w:color w:val="000000" w:themeColor="text1"/>
          <w:sz w:val="30"/>
          <w:highlight w:val="none"/>
        </w:rPr>
      </w:pPr>
      <w:r>
        <w:rPr>
          <w:rFonts w:eastAsia="黑体"/>
          <w:bCs/>
          <w:color w:val="000000" w:themeColor="text1"/>
          <w:sz w:val="30"/>
          <w:highlight w:val="none"/>
        </w:rPr>
      </w:r>
      <w:r>
        <w:rPr>
          <w:color w:val="000000" w:themeColor="text1"/>
          <w:highlight w:val="none"/>
        </w:rPr>
      </w:r>
    </w:p>
    <w:p>
      <w:pPr>
        <w:jc w:val="center"/>
        <w:rPr>
          <w:color w:val="000000" w:themeColor="text1"/>
          <w:highlight w:val="none"/>
        </w:rPr>
      </w:pPr>
      <w:r>
        <w:rPr>
          <w:color w:val="000000" w:themeColor="text1"/>
          <w:highlight w:val="none"/>
        </w:rPr>
      </w:r>
      <w:bookmarkStart w:id="0" w:name="报价方须知前附表"/>
      <w:r>
        <w:rPr>
          <w:color w:val="000000" w:themeColor="text1"/>
          <w:highlight w:val="none"/>
        </w:rPr>
      </w:r>
      <w:bookmarkEnd w:id="0"/>
      <w:r>
        <w:rPr>
          <w:color w:val="000000" w:themeColor="text1"/>
          <w:highlight w:val="none"/>
        </w:rPr>
      </w:r>
      <w:r>
        <w:rPr>
          <w:color w:val="000000" w:themeColor="text1"/>
          <w:highlight w:val="none"/>
        </w:rPr>
      </w:r>
    </w:p>
    <w:p>
      <w:pPr>
        <w:pStyle w:val="829"/>
        <w:tabs>
          <w:tab w:val="right" w:pos="9921" w:leader="dot"/>
        </w:tabs>
        <w:rPr>
          <w:color w:val="000000" w:themeColor="text1"/>
          <w:sz w:val="28"/>
          <w:szCs w:val="24"/>
          <w:highlight w:val="none"/>
        </w:rPr>
      </w:pPr>
      <w:r>
        <w:rPr>
          <w:rFonts w:hint="eastAsia" w:ascii="宋体" w:hAnsi="宋体" w:cs="宋体"/>
          <w:color w:val="000000" w:themeColor="text1"/>
          <w:sz w:val="40"/>
          <w:szCs w:val="36"/>
          <w:highlight w:val="none"/>
        </w:rPr>
        <w:fldChar w:fldCharType="begin"/>
      </w:r>
      <w:r>
        <w:rPr>
          <w:rFonts w:hint="eastAsia" w:ascii="宋体" w:hAnsi="宋体" w:cs="宋体"/>
          <w:color w:val="000000" w:themeColor="text1"/>
          <w:sz w:val="40"/>
          <w:szCs w:val="36"/>
          <w:highlight w:val="none"/>
        </w:rPr>
        <w:instrText xml:space="preserve">TOC \o "1-1" \h \u </w:instrText>
      </w:r>
      <w:r>
        <w:rPr>
          <w:rFonts w:hint="eastAsia" w:ascii="宋体" w:hAnsi="宋体" w:cs="宋体"/>
          <w:color w:val="000000" w:themeColor="text1"/>
          <w:sz w:val="40"/>
          <w:szCs w:val="36"/>
          <w:highlight w:val="none"/>
        </w:rPr>
        <w:fldChar w:fldCharType="separate"/>
      </w:r>
      <w:r>
        <w:rPr>
          <w:color w:val="000000" w:themeColor="text1"/>
          <w:highlight w:val="none"/>
        </w:rPr>
        <w:fldChar w:fldCharType="begin"/>
      </w:r>
      <w:r>
        <w:rPr>
          <w:color w:val="000000" w:themeColor="text1"/>
          <w:highlight w:val="none"/>
        </w:rPr>
        <w:instrText xml:space="preserve"> HYPERLINK \l "_Toc25501" </w:instrText>
      </w:r>
      <w:r>
        <w:rPr>
          <w:color w:val="000000" w:themeColor="text1"/>
          <w:highlight w:val="none"/>
        </w:rPr>
        <w:fldChar w:fldCharType="separate"/>
      </w:r>
      <w:r>
        <w:rPr>
          <w:rFonts w:hint="eastAsia" w:eastAsia="黑体"/>
          <w:bCs/>
          <w:color w:val="000000" w:themeColor="text1"/>
          <w:sz w:val="28"/>
          <w:szCs w:val="40"/>
          <w:highlight w:val="none"/>
        </w:rPr>
        <w:t xml:space="preserve">一、</w:t>
      </w:r>
      <w:r>
        <w:rPr>
          <w:rFonts w:eastAsia="黑体"/>
          <w:bCs/>
          <w:color w:val="000000" w:themeColor="text1"/>
          <w:sz w:val="28"/>
          <w:szCs w:val="40"/>
          <w:highlight w:val="none"/>
        </w:rPr>
        <w:t xml:space="preserve">投标邀请函</w:t>
      </w:r>
      <w:r>
        <w:rPr>
          <w:color w:val="000000" w:themeColor="text1"/>
          <w:sz w:val="28"/>
          <w:szCs w:val="24"/>
          <w:highlight w:val="none"/>
        </w:rPr>
        <w:tab/>
      </w:r>
      <w:r>
        <w:rPr>
          <w:color w:val="000000" w:themeColor="text1"/>
          <w:sz w:val="28"/>
          <w:szCs w:val="24"/>
          <w:highlight w:val="none"/>
        </w:rPr>
        <w:fldChar w:fldCharType="begin"/>
      </w:r>
      <w:r>
        <w:rPr>
          <w:color w:val="000000" w:themeColor="text1"/>
          <w:sz w:val="28"/>
          <w:szCs w:val="24"/>
          <w:highlight w:val="none"/>
        </w:rPr>
        <w:instrText xml:space="preserve"> PAGEREF _Toc25501 \h </w:instrText>
      </w:r>
      <w:r>
        <w:rPr>
          <w:color w:val="000000" w:themeColor="text1"/>
          <w:sz w:val="28"/>
          <w:szCs w:val="24"/>
          <w:highlight w:val="none"/>
        </w:rPr>
        <w:fldChar w:fldCharType="separate"/>
      </w:r>
      <w:r>
        <w:rPr>
          <w:color w:val="000000" w:themeColor="text1"/>
          <w:sz w:val="28"/>
          <w:szCs w:val="24"/>
          <w:highlight w:val="none"/>
        </w:rPr>
        <w:t xml:space="preserve">3</w:t>
      </w:r>
      <w:r>
        <w:rPr>
          <w:color w:val="000000" w:themeColor="text1"/>
          <w:sz w:val="28"/>
          <w:szCs w:val="24"/>
          <w:highlight w:val="none"/>
        </w:rPr>
        <w:fldChar w:fldCharType="end"/>
      </w:r>
      <w:r>
        <w:rPr>
          <w:color w:val="000000" w:themeColor="text1"/>
          <w:sz w:val="28"/>
          <w:szCs w:val="24"/>
          <w:highlight w:val="none"/>
        </w:rPr>
        <w:fldChar w:fldCharType="end"/>
      </w:r>
      <w:r>
        <w:rPr>
          <w:color w:val="000000" w:themeColor="text1"/>
          <w:highlight w:val="none"/>
        </w:rPr>
      </w:r>
    </w:p>
    <w:p>
      <w:pPr>
        <w:pStyle w:val="829"/>
        <w:tabs>
          <w:tab w:val="right" w:pos="9921" w:leader="dot"/>
        </w:tabs>
        <w:rPr>
          <w:color w:val="000000" w:themeColor="text1"/>
          <w:sz w:val="28"/>
          <w:szCs w:val="24"/>
          <w:highlight w:val="none"/>
        </w:rPr>
      </w:pPr>
      <w:r>
        <w:rPr>
          <w:color w:val="000000" w:themeColor="text1"/>
          <w:highlight w:val="none"/>
        </w:rPr>
        <w:fldChar w:fldCharType="begin"/>
      </w:r>
      <w:r>
        <w:rPr>
          <w:color w:val="000000" w:themeColor="text1"/>
          <w:highlight w:val="none"/>
        </w:rPr>
        <w:instrText xml:space="preserve"> HYPERLINK \l "_Toc387" </w:instrText>
      </w:r>
      <w:r>
        <w:rPr>
          <w:color w:val="000000" w:themeColor="text1"/>
          <w:highlight w:val="none"/>
        </w:rPr>
        <w:fldChar w:fldCharType="separate"/>
      </w:r>
      <w:r>
        <w:rPr>
          <w:rFonts w:hint="eastAsia" w:eastAsia="黑体"/>
          <w:bCs/>
          <w:color w:val="000000" w:themeColor="text1"/>
          <w:sz w:val="28"/>
          <w:szCs w:val="40"/>
          <w:highlight w:val="none"/>
        </w:rPr>
        <w:t xml:space="preserve">二、投标供应商</w:t>
      </w:r>
      <w:r>
        <w:rPr>
          <w:rFonts w:eastAsia="黑体"/>
          <w:bCs/>
          <w:color w:val="000000" w:themeColor="text1"/>
          <w:sz w:val="28"/>
          <w:szCs w:val="40"/>
          <w:highlight w:val="none"/>
        </w:rPr>
        <w:t xml:space="preserve">须知</w:t>
      </w:r>
      <w:r>
        <w:rPr>
          <w:color w:val="000000" w:themeColor="text1"/>
          <w:sz w:val="28"/>
          <w:szCs w:val="24"/>
          <w:highlight w:val="none"/>
        </w:rPr>
        <w:tab/>
      </w:r>
      <w:r>
        <w:rPr>
          <w:color w:val="000000" w:themeColor="text1"/>
          <w:sz w:val="28"/>
          <w:szCs w:val="24"/>
          <w:highlight w:val="none"/>
        </w:rPr>
        <w:fldChar w:fldCharType="begin"/>
      </w:r>
      <w:r>
        <w:rPr>
          <w:color w:val="000000" w:themeColor="text1"/>
          <w:sz w:val="28"/>
          <w:szCs w:val="24"/>
          <w:highlight w:val="none"/>
        </w:rPr>
        <w:instrText xml:space="preserve"> PAGEREF _Toc387 \h </w:instrText>
      </w:r>
      <w:r>
        <w:rPr>
          <w:color w:val="000000" w:themeColor="text1"/>
          <w:sz w:val="28"/>
          <w:szCs w:val="24"/>
          <w:highlight w:val="none"/>
        </w:rPr>
        <w:fldChar w:fldCharType="separate"/>
      </w:r>
      <w:r>
        <w:rPr>
          <w:color w:val="000000" w:themeColor="text1"/>
          <w:sz w:val="28"/>
          <w:szCs w:val="24"/>
          <w:highlight w:val="none"/>
        </w:rPr>
        <w:t xml:space="preserve">7</w:t>
      </w:r>
      <w:r>
        <w:rPr>
          <w:color w:val="000000" w:themeColor="text1"/>
          <w:sz w:val="28"/>
          <w:szCs w:val="24"/>
          <w:highlight w:val="none"/>
        </w:rPr>
        <w:fldChar w:fldCharType="end"/>
      </w:r>
      <w:r>
        <w:rPr>
          <w:color w:val="000000" w:themeColor="text1"/>
          <w:sz w:val="28"/>
          <w:szCs w:val="24"/>
          <w:highlight w:val="none"/>
        </w:rPr>
        <w:fldChar w:fldCharType="end"/>
      </w:r>
      <w:r>
        <w:rPr>
          <w:color w:val="000000" w:themeColor="text1"/>
          <w:highlight w:val="none"/>
        </w:rPr>
      </w:r>
    </w:p>
    <w:p>
      <w:pPr>
        <w:pStyle w:val="829"/>
        <w:tabs>
          <w:tab w:val="right" w:pos="9921" w:leader="dot"/>
        </w:tabs>
        <w:rPr>
          <w:color w:val="000000" w:themeColor="text1"/>
          <w:sz w:val="28"/>
          <w:szCs w:val="24"/>
          <w:highlight w:val="none"/>
        </w:rPr>
      </w:pPr>
      <w:r>
        <w:rPr>
          <w:color w:val="000000" w:themeColor="text1"/>
          <w:highlight w:val="none"/>
        </w:rPr>
        <w:fldChar w:fldCharType="begin"/>
      </w:r>
      <w:r>
        <w:rPr>
          <w:color w:val="000000" w:themeColor="text1"/>
          <w:highlight w:val="none"/>
        </w:rPr>
        <w:instrText xml:space="preserve"> HYPERLINK \l "_Toc22629" </w:instrText>
      </w:r>
      <w:r>
        <w:rPr>
          <w:color w:val="000000" w:themeColor="text1"/>
          <w:highlight w:val="none"/>
        </w:rPr>
        <w:fldChar w:fldCharType="separate"/>
      </w:r>
      <w:r>
        <w:rPr>
          <w:rFonts w:hint="eastAsia" w:eastAsia="黑体"/>
          <w:bCs/>
          <w:color w:val="000000" w:themeColor="text1"/>
          <w:sz w:val="28"/>
          <w:szCs w:val="40"/>
          <w:highlight w:val="none"/>
        </w:rPr>
        <w:t xml:space="preserve">三、</w:t>
      </w:r>
      <w:r>
        <w:rPr>
          <w:rFonts w:eastAsia="黑体"/>
          <w:color w:val="000000" w:themeColor="text1"/>
          <w:sz w:val="28"/>
          <w:szCs w:val="40"/>
          <w:highlight w:val="none"/>
        </w:rPr>
        <w:t xml:space="preserve">项目技术要求和有关说明</w:t>
      </w:r>
      <w:r>
        <w:rPr>
          <w:color w:val="000000" w:themeColor="text1"/>
          <w:sz w:val="28"/>
          <w:szCs w:val="24"/>
          <w:highlight w:val="none"/>
        </w:rPr>
        <w:tab/>
      </w:r>
      <w:r>
        <w:rPr>
          <w:color w:val="000000" w:themeColor="text1"/>
          <w:sz w:val="28"/>
          <w:szCs w:val="24"/>
          <w:highlight w:val="none"/>
        </w:rPr>
        <w:fldChar w:fldCharType="begin"/>
      </w:r>
      <w:r>
        <w:rPr>
          <w:color w:val="000000" w:themeColor="text1"/>
          <w:sz w:val="28"/>
          <w:szCs w:val="24"/>
          <w:highlight w:val="none"/>
        </w:rPr>
        <w:instrText xml:space="preserve"> PAGEREF _Toc22629 \h </w:instrText>
      </w:r>
      <w:r>
        <w:rPr>
          <w:color w:val="000000" w:themeColor="text1"/>
          <w:sz w:val="28"/>
          <w:szCs w:val="24"/>
          <w:highlight w:val="none"/>
        </w:rPr>
        <w:fldChar w:fldCharType="separate"/>
      </w:r>
      <w:r>
        <w:rPr>
          <w:color w:val="000000" w:themeColor="text1"/>
          <w:sz w:val="28"/>
          <w:szCs w:val="24"/>
          <w:highlight w:val="none"/>
        </w:rPr>
        <w:t xml:space="preserve">18</w:t>
      </w:r>
      <w:r>
        <w:rPr>
          <w:color w:val="000000" w:themeColor="text1"/>
          <w:sz w:val="28"/>
          <w:szCs w:val="24"/>
          <w:highlight w:val="none"/>
        </w:rPr>
        <w:fldChar w:fldCharType="end"/>
      </w:r>
      <w:r>
        <w:rPr>
          <w:color w:val="000000" w:themeColor="text1"/>
          <w:sz w:val="28"/>
          <w:szCs w:val="24"/>
          <w:highlight w:val="none"/>
        </w:rPr>
        <w:fldChar w:fldCharType="end"/>
      </w:r>
      <w:r>
        <w:rPr>
          <w:color w:val="000000" w:themeColor="text1"/>
          <w:highlight w:val="none"/>
        </w:rPr>
      </w:r>
    </w:p>
    <w:p>
      <w:pPr>
        <w:pStyle w:val="829"/>
        <w:tabs>
          <w:tab w:val="right" w:pos="9921" w:leader="dot"/>
        </w:tabs>
        <w:rPr>
          <w:color w:val="000000" w:themeColor="text1"/>
          <w:sz w:val="28"/>
          <w:szCs w:val="24"/>
          <w:highlight w:val="none"/>
        </w:rPr>
      </w:pPr>
      <w:r>
        <w:rPr>
          <w:color w:val="000000" w:themeColor="text1"/>
          <w:highlight w:val="none"/>
        </w:rPr>
        <w:fldChar w:fldCharType="begin"/>
      </w:r>
      <w:r>
        <w:rPr>
          <w:color w:val="000000" w:themeColor="text1"/>
          <w:highlight w:val="none"/>
        </w:rPr>
        <w:instrText xml:space="preserve"> HYPERLINK \l "_Toc24687" </w:instrText>
      </w:r>
      <w:r>
        <w:rPr>
          <w:color w:val="000000" w:themeColor="text1"/>
          <w:highlight w:val="none"/>
        </w:rPr>
        <w:fldChar w:fldCharType="separate"/>
      </w:r>
      <w:r>
        <w:rPr>
          <w:rFonts w:hint="eastAsia" w:eastAsia="黑体"/>
          <w:bCs/>
          <w:color w:val="000000" w:themeColor="text1"/>
          <w:sz w:val="28"/>
          <w:szCs w:val="40"/>
          <w:highlight w:val="none"/>
        </w:rPr>
        <w:t xml:space="preserve">四、</w:t>
      </w:r>
      <w:r>
        <w:rPr>
          <w:rFonts w:hint="eastAsia" w:ascii="黑体" w:eastAsia="黑体"/>
          <w:bCs/>
          <w:color w:val="000000" w:themeColor="text1"/>
          <w:sz w:val="28"/>
          <w:szCs w:val="48"/>
          <w:highlight w:val="none"/>
        </w:rPr>
        <w:t xml:space="preserve">合同协议书（格式）</w:t>
      </w:r>
      <w:bookmarkStart w:id="11" w:name="_GoBack"/>
      <w:r>
        <w:rPr>
          <w:color w:val="000000" w:themeColor="text1"/>
          <w:highlight w:val="none"/>
        </w:rPr>
      </w:r>
      <w:bookmarkEnd w:id="11"/>
      <w:r>
        <w:rPr>
          <w:color w:val="000000" w:themeColor="text1"/>
          <w:sz w:val="28"/>
          <w:szCs w:val="24"/>
          <w:highlight w:val="none"/>
        </w:rPr>
        <w:tab/>
      </w:r>
      <w:r>
        <w:rPr>
          <w:color w:val="000000" w:themeColor="text1"/>
          <w:sz w:val="28"/>
          <w:szCs w:val="24"/>
          <w:highlight w:val="none"/>
        </w:rPr>
        <w:fldChar w:fldCharType="begin"/>
      </w:r>
      <w:r>
        <w:rPr>
          <w:color w:val="000000" w:themeColor="text1"/>
          <w:sz w:val="28"/>
          <w:szCs w:val="24"/>
          <w:highlight w:val="none"/>
        </w:rPr>
        <w:instrText xml:space="preserve"> PAGEREF _Toc24687 \h </w:instrText>
      </w:r>
      <w:r>
        <w:rPr>
          <w:color w:val="000000" w:themeColor="text1"/>
          <w:sz w:val="28"/>
          <w:szCs w:val="24"/>
          <w:highlight w:val="none"/>
        </w:rPr>
        <w:fldChar w:fldCharType="separate"/>
      </w:r>
      <w:r>
        <w:rPr>
          <w:color w:val="000000" w:themeColor="text1"/>
          <w:sz w:val="28"/>
          <w:szCs w:val="24"/>
          <w:highlight w:val="none"/>
        </w:rPr>
        <w:t xml:space="preserve">37</w:t>
      </w:r>
      <w:r>
        <w:rPr>
          <w:color w:val="000000" w:themeColor="text1"/>
          <w:sz w:val="28"/>
          <w:szCs w:val="24"/>
          <w:highlight w:val="none"/>
        </w:rPr>
        <w:fldChar w:fldCharType="end"/>
      </w:r>
      <w:r>
        <w:rPr>
          <w:color w:val="000000" w:themeColor="text1"/>
          <w:sz w:val="28"/>
          <w:szCs w:val="24"/>
          <w:highlight w:val="none"/>
        </w:rPr>
        <w:fldChar w:fldCharType="end"/>
      </w:r>
      <w:r>
        <w:rPr>
          <w:color w:val="000000" w:themeColor="text1"/>
          <w:highlight w:val="none"/>
        </w:rPr>
      </w:r>
    </w:p>
    <w:p>
      <w:pPr>
        <w:pStyle w:val="829"/>
        <w:tabs>
          <w:tab w:val="right" w:pos="9921" w:leader="dot"/>
        </w:tabs>
        <w:rPr>
          <w:color w:val="000000" w:themeColor="text1"/>
          <w:sz w:val="28"/>
          <w:szCs w:val="24"/>
          <w:highlight w:val="none"/>
        </w:rPr>
      </w:pPr>
      <w:r>
        <w:rPr>
          <w:color w:val="000000" w:themeColor="text1"/>
          <w:highlight w:val="none"/>
        </w:rPr>
        <w:fldChar w:fldCharType="begin"/>
      </w:r>
      <w:r>
        <w:rPr>
          <w:color w:val="000000" w:themeColor="text1"/>
          <w:highlight w:val="none"/>
        </w:rPr>
        <w:instrText xml:space="preserve"> HYPERLINK \l "_Toc1775" </w:instrText>
      </w:r>
      <w:r>
        <w:rPr>
          <w:color w:val="000000" w:themeColor="text1"/>
          <w:highlight w:val="none"/>
        </w:rPr>
        <w:fldChar w:fldCharType="separate"/>
      </w:r>
      <w:r>
        <w:rPr>
          <w:rFonts w:hint="eastAsia" w:ascii="黑体" w:hAnsi="宋体" w:eastAsia="黑体"/>
          <w:color w:val="000000" w:themeColor="text1"/>
          <w:sz w:val="28"/>
          <w:szCs w:val="40"/>
          <w:highlight w:val="none"/>
        </w:rPr>
        <w:t xml:space="preserve">五、合同条款（格式）</w:t>
      </w:r>
      <w:r>
        <w:rPr>
          <w:color w:val="000000" w:themeColor="text1"/>
          <w:sz w:val="28"/>
          <w:szCs w:val="24"/>
          <w:highlight w:val="none"/>
        </w:rPr>
        <w:tab/>
      </w:r>
      <w:r>
        <w:rPr>
          <w:color w:val="000000" w:themeColor="text1"/>
          <w:sz w:val="28"/>
          <w:szCs w:val="24"/>
          <w:highlight w:val="none"/>
        </w:rPr>
        <w:fldChar w:fldCharType="begin"/>
      </w:r>
      <w:r>
        <w:rPr>
          <w:color w:val="000000" w:themeColor="text1"/>
          <w:sz w:val="28"/>
          <w:szCs w:val="24"/>
          <w:highlight w:val="none"/>
        </w:rPr>
        <w:instrText xml:space="preserve"> PAGEREF _Toc1775 \h </w:instrText>
      </w:r>
      <w:r>
        <w:rPr>
          <w:color w:val="000000" w:themeColor="text1"/>
          <w:sz w:val="28"/>
          <w:szCs w:val="24"/>
          <w:highlight w:val="none"/>
        </w:rPr>
        <w:fldChar w:fldCharType="separate"/>
      </w:r>
      <w:r>
        <w:rPr>
          <w:color w:val="000000" w:themeColor="text1"/>
          <w:sz w:val="28"/>
          <w:szCs w:val="24"/>
          <w:highlight w:val="none"/>
        </w:rPr>
        <w:t xml:space="preserve">38</w:t>
      </w:r>
      <w:r>
        <w:rPr>
          <w:color w:val="000000" w:themeColor="text1"/>
          <w:sz w:val="28"/>
          <w:szCs w:val="24"/>
          <w:highlight w:val="none"/>
        </w:rPr>
        <w:fldChar w:fldCharType="end"/>
      </w:r>
      <w:r>
        <w:rPr>
          <w:color w:val="000000" w:themeColor="text1"/>
          <w:sz w:val="28"/>
          <w:szCs w:val="24"/>
          <w:highlight w:val="none"/>
        </w:rPr>
        <w:fldChar w:fldCharType="end"/>
      </w:r>
      <w:r>
        <w:rPr>
          <w:color w:val="000000" w:themeColor="text1"/>
          <w:highlight w:val="none"/>
        </w:rPr>
      </w:r>
    </w:p>
    <w:p>
      <w:pPr>
        <w:pStyle w:val="829"/>
        <w:tabs>
          <w:tab w:val="right" w:pos="9921" w:leader="dot"/>
        </w:tabs>
        <w:rPr>
          <w:color w:val="000000" w:themeColor="text1"/>
          <w:sz w:val="28"/>
          <w:szCs w:val="24"/>
          <w:highlight w:val="none"/>
        </w:rPr>
      </w:pPr>
      <w:r>
        <w:rPr>
          <w:color w:val="000000" w:themeColor="text1"/>
          <w:highlight w:val="none"/>
        </w:rPr>
        <w:fldChar w:fldCharType="begin"/>
      </w:r>
      <w:r>
        <w:rPr>
          <w:color w:val="000000" w:themeColor="text1"/>
          <w:highlight w:val="none"/>
        </w:rPr>
        <w:instrText xml:space="preserve"> HYPERLINK \l "_Toc27019" </w:instrText>
      </w:r>
      <w:r>
        <w:rPr>
          <w:color w:val="000000" w:themeColor="text1"/>
          <w:highlight w:val="none"/>
        </w:rPr>
        <w:fldChar w:fldCharType="separate"/>
      </w:r>
      <w:r>
        <w:rPr>
          <w:rFonts w:hint="eastAsia" w:eastAsia="黑体"/>
          <w:bCs/>
          <w:color w:val="000000" w:themeColor="text1"/>
          <w:sz w:val="28"/>
          <w:szCs w:val="40"/>
          <w:highlight w:val="none"/>
        </w:rPr>
        <w:t xml:space="preserve">六、</w:t>
      </w:r>
      <w:r>
        <w:rPr>
          <w:rFonts w:eastAsia="黑体"/>
          <w:bCs/>
          <w:color w:val="000000" w:themeColor="text1"/>
          <w:sz w:val="28"/>
          <w:szCs w:val="40"/>
          <w:highlight w:val="none"/>
        </w:rPr>
        <w:t xml:space="preserve">附件</w:t>
      </w:r>
      <w:r>
        <w:rPr>
          <w:color w:val="000000" w:themeColor="text1"/>
          <w:sz w:val="28"/>
          <w:szCs w:val="24"/>
          <w:highlight w:val="none"/>
        </w:rPr>
        <w:tab/>
      </w:r>
      <w:r>
        <w:rPr>
          <w:color w:val="000000" w:themeColor="text1"/>
          <w:sz w:val="28"/>
          <w:szCs w:val="24"/>
          <w:highlight w:val="none"/>
        </w:rPr>
        <w:fldChar w:fldCharType="begin"/>
      </w:r>
      <w:r>
        <w:rPr>
          <w:color w:val="000000" w:themeColor="text1"/>
          <w:sz w:val="28"/>
          <w:szCs w:val="24"/>
          <w:highlight w:val="none"/>
        </w:rPr>
        <w:instrText xml:space="preserve"> PAGEREF _Toc27019 \h </w:instrText>
      </w:r>
      <w:r>
        <w:rPr>
          <w:color w:val="000000" w:themeColor="text1"/>
          <w:sz w:val="28"/>
          <w:szCs w:val="24"/>
          <w:highlight w:val="none"/>
        </w:rPr>
        <w:fldChar w:fldCharType="separate"/>
      </w:r>
      <w:r>
        <w:rPr>
          <w:color w:val="000000" w:themeColor="text1"/>
          <w:sz w:val="28"/>
          <w:szCs w:val="24"/>
          <w:highlight w:val="none"/>
        </w:rPr>
        <w:t xml:space="preserve">41</w:t>
      </w:r>
      <w:r>
        <w:rPr>
          <w:color w:val="000000" w:themeColor="text1"/>
          <w:sz w:val="28"/>
          <w:szCs w:val="24"/>
          <w:highlight w:val="none"/>
        </w:rPr>
        <w:fldChar w:fldCharType="end"/>
      </w:r>
      <w:r>
        <w:rPr>
          <w:color w:val="000000" w:themeColor="text1"/>
          <w:sz w:val="28"/>
          <w:szCs w:val="24"/>
          <w:highlight w:val="none"/>
        </w:rPr>
        <w:fldChar w:fldCharType="end"/>
      </w:r>
      <w:r>
        <w:rPr>
          <w:color w:val="000000" w:themeColor="text1"/>
          <w:highlight w:val="none"/>
        </w:rPr>
      </w:r>
    </w:p>
    <w:p>
      <w:pPr>
        <w:rPr>
          <w:color w:val="000000" w:themeColor="text1"/>
          <w:highlight w:val="none"/>
        </w:rPr>
      </w:pPr>
      <w:r>
        <w:rPr>
          <w:rFonts w:hint="eastAsia" w:ascii="宋体" w:hAnsi="宋体" w:cs="宋体"/>
          <w:color w:val="000000" w:themeColor="text1"/>
          <w:sz w:val="28"/>
          <w:szCs w:val="36"/>
          <w:highlight w:val="none"/>
        </w:rPr>
        <w:fldChar w:fldCharType="end"/>
      </w:r>
      <w:r>
        <w:rPr>
          <w:color w:val="000000" w:themeColor="text1"/>
          <w:highlight w:val="none"/>
        </w:rPr>
      </w:r>
    </w:p>
    <w:p>
      <w:pPr>
        <w:jc w:val="center"/>
        <w:spacing w:line="360" w:lineRule="auto"/>
        <w:rPr>
          <w:rFonts w:eastAsia="黑体"/>
          <w:bCs/>
          <w:color w:val="000000" w:themeColor="text1"/>
          <w:sz w:val="28"/>
          <w:szCs w:val="28"/>
          <w:highlight w:val="none"/>
        </w:rPr>
        <w:outlineLvl w:val="0"/>
      </w:pPr>
      <w:r>
        <w:rPr>
          <w:color w:val="000000" w:themeColor="text1"/>
          <w:highlight w:val="none"/>
        </w:rPr>
        <w:br w:type="page" w:clear="all"/>
      </w:r>
      <w:bookmarkStart w:id="1" w:name="_Toc25501"/>
      <w:r>
        <w:rPr>
          <w:rFonts w:hint="eastAsia" w:eastAsia="黑体"/>
          <w:bCs/>
          <w:color w:val="000000" w:themeColor="text1"/>
          <w:sz w:val="28"/>
          <w:szCs w:val="28"/>
          <w:highlight w:val="none"/>
        </w:rPr>
        <w:t xml:space="preserve">一、</w:t>
      </w:r>
      <w:r>
        <w:rPr>
          <w:rFonts w:eastAsia="黑体"/>
          <w:bCs/>
          <w:color w:val="000000" w:themeColor="text1"/>
          <w:sz w:val="28"/>
          <w:szCs w:val="28"/>
          <w:highlight w:val="none"/>
        </w:rPr>
        <w:t xml:space="preserve">投标邀请函</w:t>
      </w:r>
      <w:bookmarkEnd w:id="1"/>
      <w:r>
        <w:rPr>
          <w:color w:val="000000" w:themeColor="text1"/>
          <w:highlight w:val="none"/>
        </w:rPr>
      </w:r>
      <w:r>
        <w:rPr>
          <w:color w:val="000000" w:themeColor="text1"/>
          <w:highlight w:val="none"/>
        </w:rPr>
      </w:r>
    </w:p>
    <w:p>
      <w:pPr>
        <w:ind w:firstLine="480"/>
        <w:spacing w:line="360" w:lineRule="auto"/>
        <w:rPr>
          <w:bCs/>
          <w:color w:val="000000" w:themeColor="text1"/>
          <w:sz w:val="24"/>
          <w:szCs w:val="24"/>
          <w:highlight w:val="none"/>
        </w:rPr>
      </w:pPr>
      <w:r>
        <w:rPr>
          <w:bCs/>
          <w:color w:val="000000" w:themeColor="text1"/>
          <w:sz w:val="24"/>
          <w:szCs w:val="24"/>
          <w:highlight w:val="none"/>
        </w:rPr>
        <w:t xml:space="preserve">江苏智汇锡建工程项目管理有限公司受</w:t>
      </w:r>
      <w:r>
        <w:rPr>
          <w:rFonts w:hint="eastAsia"/>
          <w:bCs/>
          <w:color w:val="000000" w:themeColor="text1"/>
          <w:sz w:val="24"/>
          <w:szCs w:val="24"/>
          <w:highlight w:val="none"/>
        </w:rPr>
        <w:t xml:space="preserve">无锡市滨湖生态环境局</w:t>
      </w:r>
      <w:r>
        <w:rPr>
          <w:bCs/>
          <w:color w:val="000000" w:themeColor="text1"/>
          <w:sz w:val="24"/>
          <w:szCs w:val="24"/>
          <w:highlight w:val="none"/>
        </w:rPr>
        <w:t xml:space="preserve">委托，对</w:t>
      </w:r>
      <w:r>
        <w:rPr>
          <w:rFonts w:hint="eastAsia"/>
          <w:bCs/>
          <w:color w:val="000000" w:themeColor="text1"/>
          <w:sz w:val="24"/>
          <w:szCs w:val="24"/>
          <w:highlight w:val="none"/>
        </w:rPr>
        <w:t xml:space="preserve">滨湖区水质自动监测微型站第三方运维服务项</w:t>
      </w:r>
      <w:r>
        <w:rPr>
          <w:rFonts w:hint="eastAsia" w:asciiTheme="minorEastAsia" w:hAnsiTheme="minorEastAsia" w:eastAsiaTheme="minorEastAsia" w:cstheme="minorEastAsia"/>
          <w:bCs/>
          <w:color w:val="000000" w:themeColor="text1"/>
          <w:sz w:val="24"/>
          <w:szCs w:val="24"/>
          <w:highlight w:val="none"/>
        </w:rPr>
        <w:t xml:space="preserve">目（2025-2027）进</w:t>
      </w:r>
      <w:r>
        <w:rPr>
          <w:rFonts w:hint="eastAsia" w:ascii="宋体" w:hAnsi="宋体" w:cs="宋体"/>
          <w:bCs/>
          <w:color w:val="000000" w:themeColor="text1"/>
          <w:sz w:val="24"/>
          <w:szCs w:val="24"/>
          <w:highlight w:val="none"/>
        </w:rPr>
        <w:t xml:space="preserve">行公</w:t>
      </w:r>
      <w:r>
        <w:rPr>
          <w:bCs/>
          <w:color w:val="000000" w:themeColor="text1"/>
          <w:sz w:val="24"/>
          <w:szCs w:val="24"/>
          <w:highlight w:val="none"/>
        </w:rPr>
        <w:t xml:space="preserve">开招标采购，欢迎符合相关条件的</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参加投标并提请注意下列相关事项：</w:t>
      </w:r>
      <w:r>
        <w:rPr>
          <w:color w:val="000000" w:themeColor="text1"/>
          <w:highlight w:val="none"/>
        </w:rP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（一）</w:t>
      </w:r>
      <w:r>
        <w:rPr>
          <w:rFonts w:eastAsia="黑体"/>
          <w:color w:val="000000" w:themeColor="text1"/>
          <w:sz w:val="24"/>
          <w:szCs w:val="24"/>
          <w:highlight w:val="none"/>
        </w:rPr>
        <w:t xml:space="preserve">招标项目信息</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1.项目名称：滨湖区水质自动监测微型站第三方运维服务项目（2025-2027）</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2.项目编号：JSZC-320211-JSZH-G2025-0105</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3.合同履行期限：两年（以合同签订日期为准）</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4.项目预算：202.00万元</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5.项目最高限价：</w:t>
      </w:r>
      <w:r>
        <w:rPr>
          <w:rFonts w:hint="eastAsia" w:ascii="宋体" w:hAnsi="宋体" w:cs="宋体"/>
          <w:color w:val="000000" w:themeColor="text1"/>
          <w:sz w:val="24"/>
          <w:szCs w:val="24"/>
          <w:highlight w:val="none"/>
        </w:rPr>
        <w:t xml:space="preserve">180.70万元</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6.采购方式：公开招标</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7.采购人：无锡市滨湖生态环境局</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8.本项目标的所属行业：其他未列明行业；</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9.落实政府采购政策需满足的资格要求：是；</w:t>
      </w:r>
      <w:r>
        <w:rPr>
          <w:color w:val="000000" w:themeColor="text1"/>
          <w:highlight w:val="none"/>
        </w:rP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（二）</w:t>
      </w:r>
      <w:r>
        <w:rPr>
          <w:rFonts w:hint="eastAsia" w:eastAsia="黑体"/>
          <w:color w:val="000000" w:themeColor="text1"/>
          <w:sz w:val="24"/>
          <w:szCs w:val="24"/>
          <w:highlight w:val="none"/>
        </w:rPr>
        <w:t xml:space="preserve">投标供应商</w:t>
      </w:r>
      <w:r>
        <w:rPr>
          <w:rFonts w:eastAsia="黑体"/>
          <w:color w:val="000000" w:themeColor="text1"/>
          <w:sz w:val="24"/>
          <w:szCs w:val="24"/>
          <w:highlight w:val="none"/>
        </w:rPr>
        <w:t xml:space="preserve">资格要求</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highlight w:val="none"/>
        </w:rPr>
        <w:t xml:space="preserve">满足《中华人民共和国政府采购法》第二十二条</w:t>
      </w:r>
      <w:r>
        <w:rPr>
          <w:rFonts w:hint="eastAsia" w:ascii="宋体" w:hAnsi="宋体" w:cs="宋体"/>
          <w:color w:val="000000" w:themeColor="text1"/>
          <w:sz w:val="24"/>
          <w:highlight w:val="none"/>
        </w:rPr>
        <w:t xml:space="preserve">规定</w:t>
      </w:r>
      <w:r>
        <w:rPr>
          <w:rFonts w:hint="eastAsia" w:ascii="宋体" w:hAnsi="宋体"/>
          <w:color w:val="000000" w:themeColor="text1"/>
          <w:sz w:val="24"/>
          <w:szCs w:val="24"/>
          <w:highlight w:val="none"/>
        </w:rPr>
        <w:t xml:space="preserve">；</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2.落实政府采购政策需满足的资格要求：本项目专门面向中小企业采购（残疾人福利性单位、监狱企业视同小型、微型企业）；</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3.具备采购人根据招标项目的特殊要求规定的以下特定资质：</w:t>
      </w:r>
      <w:r>
        <w:rPr>
          <w:color w:val="000000" w:themeColor="text1"/>
          <w:highlight w:val="none"/>
        </w:rPr>
      </w:r>
    </w:p>
    <w:p>
      <w:pPr>
        <w:ind w:firstLine="480"/>
        <w:jc w:val="left"/>
        <w:spacing w:line="360" w:lineRule="auto"/>
        <w:widowControl/>
        <w:rPr>
          <w:color w:val="000000" w:themeColor="text1"/>
          <w:sz w:val="24"/>
          <w:szCs w:val="24"/>
          <w:highlight w:val="none"/>
        </w:rPr>
      </w:pPr>
      <w:r>
        <w:rPr>
          <w:rFonts w:hint="eastAsia" w:ascii="宋体" w:hAnsi="宋体" w:cs="宋体"/>
          <w:color w:val="000000" w:themeColor="text1"/>
          <w:sz w:val="24"/>
          <w:szCs w:val="24"/>
          <w:highlight w:val="none"/>
        </w:rPr>
        <w:t xml:space="preserve">（1）投标供应商应为中国大陆境内合法注册的独立企（事）业法人单位；（2）未被“信用中国”网站（www.creditchina.gov.cn）、中国政府采购网（www.ccgp.gov.cn）列入失信被执行人、重大税收违法案件当事人名单、政府采购严重违法失信行为记录名单；（3）授权委托人应为投标供应商企业</w:t>
      </w:r>
      <w:r>
        <w:rPr>
          <w:rFonts w:hint="eastAsia" w:ascii="宋体" w:hAnsi="宋体" w:cs="宋体"/>
          <w:color w:val="000000" w:themeColor="text1"/>
          <w:sz w:val="24"/>
          <w:szCs w:val="24"/>
          <w:highlight w:val="none"/>
          <w:lang w:eastAsia="zh-CN"/>
        </w:rPr>
        <w:t xml:space="preserve">的在职员工</w:t>
      </w:r>
      <w:r>
        <w:rPr>
          <w:rFonts w:hint="eastAsia" w:ascii="宋体" w:hAnsi="宋体" w:cs="宋体"/>
          <w:color w:val="000000" w:themeColor="text1"/>
          <w:sz w:val="24"/>
          <w:szCs w:val="24"/>
          <w:highlight w:val="none"/>
        </w:rPr>
        <w:t xml:space="preserve">；（4）本项目不接受联合体投标。</w:t>
      </w:r>
      <w:r>
        <w:rPr>
          <w:color w:val="000000" w:themeColor="text1"/>
          <w:highlight w:val="none"/>
        </w:rP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（三）</w:t>
      </w:r>
      <w:r>
        <w:rPr>
          <w:rFonts w:hint="eastAsia" w:eastAsia="黑体"/>
          <w:color w:val="000000" w:themeColor="text1"/>
          <w:sz w:val="24"/>
          <w:szCs w:val="24"/>
          <w:highlight w:val="none"/>
        </w:rPr>
        <w:t xml:space="preserve">投标供应商</w:t>
      </w:r>
      <w:r>
        <w:rPr>
          <w:rFonts w:eastAsia="黑体"/>
          <w:color w:val="000000" w:themeColor="text1"/>
          <w:sz w:val="24"/>
          <w:szCs w:val="24"/>
          <w:highlight w:val="none"/>
        </w:rPr>
        <w:t xml:space="preserve">主体信息库注册</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1.请有意参加本项目采购活动的投标供应商按以下流程进行操作：</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（1）访问“江苏政府采购网”，点击“苏采云”进行账号注册</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注册完成后</w:t>
      </w:r>
      <w:r>
        <w:rPr>
          <w:rFonts w:hint="eastAsia" w:ascii="宋体" w:hAnsi="宋体" w:cs="宋体"/>
          <w:bCs/>
          <w:color w:val="000000" w:themeColor="text1"/>
          <w:sz w:val="24"/>
          <w:szCs w:val="24"/>
          <w:highlight w:val="none"/>
          <w:lang w:eastAsia="zh-CN"/>
        </w:rPr>
        <w:t xml:space="preserve">，需</w:t>
      </w:r>
      <w:r>
        <w:rPr>
          <w:rFonts w:hint="eastAsia" w:ascii="宋体" w:hAnsi="宋体" w:cs="宋体"/>
          <w:bCs/>
          <w:color w:val="000000" w:themeColor="text1"/>
          <w:sz w:val="24"/>
          <w:szCs w:val="24"/>
          <w:highlight w:val="none"/>
        </w:rPr>
        <w:t xml:space="preserve">在系统中填写资质信息并提交审核。也可以直接通过http://jszfcg.jsczt.cn/进入注册界面。</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（2）办理“意源”CA数字证书和“方正”电子签章（办理地址：无锡市滨湖区观山路199号12号楼一楼窗口）</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办理指南链接：http://jsxcmm.com/help/help.html。</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（3）CA驱动下载：</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在“江苏省政府采购（苏采云）平台”账号登录页面，点击“驱动下载”链接中的“政务CA、方正签章控件驱动安装包及安装说明”</w:t>
      </w:r>
      <w:r>
        <w:rPr>
          <w:rFonts w:hint="eastAsia" w:ascii="宋体" w:hAnsi="宋体" w:cs="宋体"/>
          <w:bCs/>
          <w:color w:val="000000" w:themeColor="text1"/>
          <w:sz w:val="24"/>
          <w:szCs w:val="24"/>
          <w:highlight w:val="none"/>
          <w:lang w:eastAsia="zh-CN"/>
        </w:rPr>
        <w:t xml:space="preserve">，可</w:t>
      </w:r>
      <w:r>
        <w:rPr>
          <w:rFonts w:hint="eastAsia" w:ascii="宋体" w:hAnsi="宋体" w:cs="宋体"/>
          <w:bCs/>
          <w:color w:val="000000" w:themeColor="text1"/>
          <w:sz w:val="24"/>
          <w:szCs w:val="24"/>
          <w:highlight w:val="none"/>
        </w:rPr>
        <w:t xml:space="preserve">直接下载驱动安装包</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安装包中附有驱动安装手册。</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技术服务电话：0510-81827781（服务时间：工作日 9:00-11:30，13:00-17:00）</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2.完成苏采云注册的投标供应商</w:t>
      </w:r>
      <w:r>
        <w:rPr>
          <w:rFonts w:hint="eastAsia" w:ascii="宋体" w:hAnsi="宋体" w:cs="宋体"/>
          <w:bCs/>
          <w:color w:val="000000" w:themeColor="text1"/>
          <w:sz w:val="24"/>
          <w:szCs w:val="24"/>
          <w:highlight w:val="none"/>
          <w:lang w:eastAsia="zh-CN"/>
        </w:rPr>
        <w:t xml:space="preserve">，方可</w:t>
      </w:r>
      <w:r>
        <w:rPr>
          <w:rFonts w:hint="eastAsia" w:ascii="宋体" w:hAnsi="宋体" w:cs="宋体"/>
          <w:bCs/>
          <w:color w:val="000000" w:themeColor="text1"/>
          <w:sz w:val="24"/>
          <w:szCs w:val="24"/>
          <w:highlight w:val="none"/>
        </w:rPr>
        <w:t xml:space="preserve">在苏采云中进行CA绑定。登录“江苏省政府采购（苏采云）平台”，插入CA后，点击【账号设置】——【绑定CA】。</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3.投标供应商应按上述要求提供相关材料及注册登记信息，所提供的材料</w:t>
      </w:r>
      <w:r>
        <w:rPr>
          <w:rFonts w:hint="eastAsia" w:ascii="宋体" w:hAnsi="宋体" w:cs="宋体"/>
          <w:bCs/>
          <w:color w:val="000000" w:themeColor="text1"/>
          <w:sz w:val="24"/>
          <w:szCs w:val="24"/>
          <w:highlight w:val="none"/>
          <w:lang w:eastAsia="zh-CN"/>
        </w:rPr>
        <w:t xml:space="preserve">均应</w:t>
      </w:r>
      <w:r>
        <w:rPr>
          <w:rFonts w:hint="eastAsia" w:ascii="宋体" w:hAnsi="宋体" w:cs="宋体"/>
          <w:bCs/>
          <w:color w:val="000000" w:themeColor="text1"/>
          <w:sz w:val="24"/>
          <w:szCs w:val="24"/>
          <w:highlight w:val="none"/>
        </w:rPr>
        <w:t xml:space="preserve">是真实的、准确的，若有违背，投标供应商自行承担由此而产生的一切后果。</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政府采购网——资料下载——苏采云——</w:t>
      </w:r>
      <w:r>
        <w:rPr>
          <w:color w:val="000000" w:themeColor="text1"/>
          <w:highlight w:val="none"/>
        </w:rPr>
        <w:fldChar w:fldCharType="begin"/>
      </w:r>
      <w:r>
        <w:rPr>
          <w:color w:val="000000" w:themeColor="text1"/>
          <w:highlight w:val="none"/>
        </w:rPr>
        <w:instrText xml:space="preserve"> HYPERLINK "http://cz.wuxi.gov.cn/doc/2023/10/11/4080287.shtml" \t "_blank" </w:instrText>
      </w:r>
      <w:r>
        <w:rPr>
          <w:color w:val="000000" w:themeColor="text1"/>
          <w:highlight w:val="none"/>
        </w:rPr>
        <w:fldChar w:fldCharType="separate"/>
      </w:r>
      <w:r>
        <w:rPr>
          <w:rFonts w:hint="eastAsia" w:ascii="宋体" w:hAnsi="宋体" w:cs="宋体"/>
          <w:bCs/>
          <w:color w:val="000000" w:themeColor="text1"/>
          <w:sz w:val="24"/>
          <w:szCs w:val="24"/>
          <w:highlight w:val="none"/>
        </w:rPr>
        <w:t xml:space="preserve">“苏采云”系统投标供应商操作手册</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（四）完成项目报名，获取招标文件</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潜在投标供应商可在项目招标公告附件中查看公开招标文件，如确定投标，必须在苏采云平台（http://jszfcg.jscz.gov.cn/jszc/login）中免费下载公开招标文件（“江苏政府采购网”--“苏采云”或“政府采购客户端（苏采云）”中免费下载文件（“项目参与”——找到需要获取招标文件的项目，点击“我要参与”——“参与投标”——“下载文件”）），完成项目报名</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将苏采云平台中下载的招标文件（后缀名为“.kedt”）导入到“政府采购客户端”，离线按要求编制并加密投标文件（使用“CA数字证书”），导出加密的投标文件（后缀名为zip，不得超过150M）并在苏采云平台上传该加密的投标文件</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对招标文件各项内容做出实质性响应，否则其投标文件无效。</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2.招标文件（后缀名为“.kedt”）、“苏采云”系统投标供应商操作手册及政府采购客户端工具也可通过“苏采云”系统--已参与项目--报名详情页面内相应链接进行下载。</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政府采购客户端工具及“苏采云”系统投标供应商操作手册，可访问江苏政府采购网-－办事指南--“资料下载”，下载《“苏采云”系统投标供应商操作手册及政府采购客户端工具》；也可至无锡政府采购网--资料下载--“苏采云”栏目，下载《“苏采云”系统投标供应商操作手册》。</w:t>
      </w:r>
      <w:r>
        <w:rPr>
          <w:color w:val="000000" w:themeColor="text1"/>
          <w:highlight w:val="none"/>
        </w:rPr>
      </w:r>
    </w:p>
    <w:p>
      <w:pPr>
        <w:ind w:firstLine="480"/>
        <w:spacing w:line="360" w:lineRule="auto"/>
        <w:rPr>
          <w:rFonts w:eastAsia="黑体"/>
          <w:color w:val="000000" w:themeColor="text1"/>
          <w:sz w:val="24"/>
          <w:szCs w:val="24"/>
          <w:highlight w:val="none"/>
        </w:rPr>
      </w:pPr>
      <w:r>
        <w:rPr>
          <w:rFonts w:eastAsia="黑体"/>
          <w:color w:val="000000" w:themeColor="text1"/>
          <w:sz w:val="24"/>
          <w:szCs w:val="24"/>
          <w:highlight w:val="none"/>
        </w:rPr>
        <w:t xml:space="preserve">（五）公开答疑时间、地点</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采购人、</w:t>
      </w:r>
      <w:r>
        <w:rPr>
          <w:rFonts w:hint="eastAsia" w:ascii="宋体" w:hAnsi="宋体" w:cs="宋体"/>
          <w:color w:val="000000" w:themeColor="text1"/>
          <w:sz w:val="24"/>
          <w:szCs w:val="24"/>
          <w:highlight w:val="none"/>
        </w:rPr>
        <w:t xml:space="preserve">江苏智汇锡建工程项目管理有限公司</w:t>
      </w:r>
      <w:r>
        <w:rPr>
          <w:rFonts w:hint="eastAsia" w:ascii="宋体" w:hAnsi="宋体" w:cs="宋体"/>
          <w:bCs/>
          <w:color w:val="000000" w:themeColor="text1"/>
          <w:sz w:val="24"/>
          <w:szCs w:val="24"/>
          <w:highlight w:val="none"/>
        </w:rPr>
        <w:t xml:space="preserve">将以线上不见面、电话咨询、传真等方式开展答疑服务。截至</w:t>
      </w:r>
      <w:r>
        <w:rPr>
          <w:rFonts w:hint="eastAsia" w:ascii="宋体" w:hAnsi="宋体" w:cs="宋体"/>
          <w:color w:val="000000" w:themeColor="text1"/>
          <w:sz w:val="24"/>
          <w:szCs w:val="24"/>
          <w:highlight w:val="none"/>
        </w:rPr>
        <w:t xml:space="preserve">2025年11月21日10:00，</w:t>
      </w:r>
      <w:r>
        <w:rPr>
          <w:rFonts w:hint="eastAsia" w:ascii="宋体" w:hAnsi="宋体" w:cs="宋体"/>
          <w:bCs/>
          <w:color w:val="000000" w:themeColor="text1"/>
          <w:sz w:val="24"/>
          <w:szCs w:val="24"/>
          <w:highlight w:val="none"/>
        </w:rPr>
        <w:t xml:space="preserve">有关单位对招标文件的相关事项如有疑问，可通过上述方式咨询；</w:t>
      </w:r>
      <w:r>
        <w:rPr>
          <w:rFonts w:hint="eastAsia" w:ascii="宋体" w:hAnsi="宋体" w:cs="宋体"/>
          <w:color w:val="000000" w:themeColor="text1"/>
          <w:sz w:val="24"/>
          <w:szCs w:val="24"/>
          <w:highlight w:val="none"/>
        </w:rPr>
        <w:t xml:space="preserve">投标供应商如有需要对招标文件要求澄清的问题，请以书面形式</w:t>
      </w:r>
      <w:r>
        <w:rPr>
          <w:rFonts w:hint="eastAsia" w:ascii="宋体" w:hAnsi="宋体" w:cs="宋体"/>
          <w:b/>
          <w:bCs/>
          <w:color w:val="000000" w:themeColor="text1"/>
          <w:sz w:val="24"/>
          <w:szCs w:val="24"/>
          <w:highlight w:val="none"/>
        </w:rPr>
        <w:t xml:space="preserve">（必须加盖投标供应商公章，也请务必留下联系方式，以便回复）</w:t>
      </w:r>
      <w:r>
        <w:rPr>
          <w:rFonts w:hint="eastAsia" w:ascii="宋体" w:hAnsi="宋体" w:cs="宋体"/>
          <w:color w:val="000000" w:themeColor="text1"/>
          <w:sz w:val="24"/>
          <w:szCs w:val="24"/>
          <w:highlight w:val="none"/>
        </w:rPr>
        <w:t xml:space="preserve">提出“JSZC-320211-JSZH-G2025-0105项目需澄清问题”</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并于答疑</w:t>
      </w:r>
      <w:r>
        <w:rPr>
          <w:rFonts w:hint="eastAsia" w:ascii="宋体" w:hAnsi="宋体" w:cs="宋体"/>
          <w:bCs/>
          <w:color w:val="000000" w:themeColor="text1"/>
          <w:sz w:val="24"/>
          <w:szCs w:val="24"/>
          <w:highlight w:val="none"/>
        </w:rPr>
        <w:t xml:space="preserve">截止时间前</w:t>
      </w:r>
      <w:r>
        <w:rPr>
          <w:rFonts w:hint="eastAsia" w:ascii="宋体" w:hAnsi="宋体" w:cs="宋体"/>
          <w:color w:val="000000" w:themeColor="text1"/>
          <w:sz w:val="24"/>
          <w:szCs w:val="24"/>
          <w:highlight w:val="none"/>
        </w:rPr>
        <w:t xml:space="preserve">传真给项目联系人</w:t>
      </w:r>
      <w:r>
        <w:rPr>
          <w:rFonts w:hint="eastAsia" w:ascii="宋体" w:hAnsi="宋体" w:cs="宋体"/>
          <w:bCs/>
          <w:color w:val="000000" w:themeColor="text1"/>
          <w:sz w:val="24"/>
          <w:szCs w:val="24"/>
          <w:highlight w:val="none"/>
        </w:rPr>
        <w:t xml:space="preserve">。若未在规定时间内提出澄清，由此造成的损失及风险由投标供应商自行承担。</w:t>
      </w:r>
      <w:r>
        <w:rPr>
          <w:color w:val="000000" w:themeColor="text1"/>
          <w:highlight w:val="none"/>
        </w:rP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（六）网上投标及开标、定标时间、地点</w:t>
      </w:r>
      <w:r>
        <w:rPr>
          <w:color w:val="000000" w:themeColor="text1"/>
          <w:highlight w:val="none"/>
        </w:rPr>
      </w:r>
    </w:p>
    <w:p>
      <w:pPr>
        <w:ind w:firstLine="480"/>
        <w:jc w:val="left"/>
        <w:spacing w:line="360" w:lineRule="auto"/>
        <w:widowControl/>
        <w:rPr>
          <w:rFonts w:eastAsia="黑体"/>
          <w:color w:val="000000" w:themeColor="text1"/>
          <w:sz w:val="24"/>
          <w:szCs w:val="24"/>
          <w:highlight w:val="none"/>
        </w:rPr>
      </w:pPr>
      <w:r>
        <w:rPr>
          <w:rFonts w:eastAsia="黑体"/>
          <w:color w:val="000000" w:themeColor="text1"/>
          <w:sz w:val="24"/>
          <w:szCs w:val="24"/>
          <w:highlight w:val="none"/>
        </w:rPr>
        <w:t xml:space="preserve">本项目</w:t>
      </w:r>
      <w:r>
        <w:rPr>
          <w:rFonts w:hint="eastAsia" w:eastAsia="黑体"/>
          <w:color w:val="000000" w:themeColor="text1"/>
          <w:sz w:val="24"/>
          <w:szCs w:val="24"/>
          <w:highlight w:val="none"/>
        </w:rPr>
        <w:t xml:space="preserve">开展</w:t>
      </w:r>
      <w:r>
        <w:rPr>
          <w:rFonts w:eastAsia="黑体"/>
          <w:color w:val="000000" w:themeColor="text1"/>
          <w:sz w:val="24"/>
          <w:szCs w:val="24"/>
          <w:highlight w:val="none"/>
        </w:rPr>
        <w:t xml:space="preserve">线上不见面采购活动，</w:t>
      </w:r>
      <w:r>
        <w:rPr>
          <w:rFonts w:hint="eastAsia" w:eastAsia="黑体"/>
          <w:color w:val="000000" w:themeColor="text1"/>
          <w:sz w:val="24"/>
          <w:szCs w:val="24"/>
          <w:highlight w:val="none"/>
        </w:rPr>
        <w:t xml:space="preserve">投标供应商需准备</w:t>
      </w:r>
      <w:r>
        <w:rPr>
          <w:rFonts w:eastAsia="黑体"/>
          <w:color w:val="000000" w:themeColor="text1"/>
          <w:sz w:val="24"/>
          <w:szCs w:val="24"/>
          <w:highlight w:val="none"/>
        </w:rPr>
        <w:t xml:space="preserve">好</w:t>
      </w:r>
      <w:r>
        <w:rPr>
          <w:rFonts w:hint="eastAsia" w:eastAsia="黑体"/>
          <w:color w:val="000000" w:themeColor="text1"/>
          <w:sz w:val="24"/>
          <w:szCs w:val="24"/>
          <w:highlight w:val="none"/>
        </w:rPr>
        <w:t xml:space="preserve">用于制作</w:t>
      </w:r>
      <w:r>
        <w:rPr>
          <w:rFonts w:eastAsia="黑体"/>
          <w:color w:val="000000" w:themeColor="text1"/>
          <w:sz w:val="24"/>
          <w:szCs w:val="24"/>
          <w:highlight w:val="none"/>
        </w:rPr>
        <w:t xml:space="preserve">标书的笔记本电脑、CA锁（政务CA），登录苏采云网上开标大厅，等待开标流程进入“解锁环境”，点击</w:t>
      </w:r>
      <w:r>
        <w:rPr>
          <w:rFonts w:hint="eastAsia" w:eastAsia="黑体"/>
          <w:color w:val="000000" w:themeColor="text1"/>
          <w:sz w:val="24"/>
          <w:szCs w:val="24"/>
          <w:highlight w:val="none"/>
        </w:rPr>
        <w:t xml:space="preserve">“</w:t>
      </w:r>
      <w:r>
        <w:rPr>
          <w:rFonts w:eastAsia="黑体"/>
          <w:color w:val="000000" w:themeColor="text1"/>
          <w:sz w:val="24"/>
          <w:szCs w:val="24"/>
          <w:highlight w:val="none"/>
        </w:rPr>
        <w:t xml:space="preserve">立即解密”进行标书解密，解锁完成后及时关注开标大厅，请在规定时间内登录网上开标大厅参与采购活动（具体操作流程详见《“苏采云”系统</w:t>
      </w:r>
      <w:r>
        <w:rPr>
          <w:rFonts w:hint="eastAsia" w:eastAsia="黑体"/>
          <w:color w:val="000000" w:themeColor="text1"/>
          <w:sz w:val="24"/>
          <w:szCs w:val="24"/>
          <w:highlight w:val="none"/>
        </w:rPr>
        <w:t xml:space="preserve">投标供应商</w:t>
      </w:r>
      <w:r>
        <w:rPr>
          <w:rFonts w:eastAsia="黑体"/>
          <w:color w:val="000000" w:themeColor="text1"/>
          <w:sz w:val="24"/>
          <w:szCs w:val="24"/>
          <w:highlight w:val="none"/>
        </w:rPr>
        <w:t xml:space="preserve">操作手册》）。</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网上投标截止时间：2025年12月8日</w:t>
      </w: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:30（投标截止时间后提交的投标文件恕不接受）</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网上投标解密时间：2025年12月8日解密开启后的半小时内。</w:t>
      </w:r>
      <w:r>
        <w:rPr>
          <w:color w:val="000000" w:themeColor="text1"/>
          <w:highlight w:val="none"/>
        </w:rPr>
      </w:r>
    </w:p>
    <w:p>
      <w:pPr>
        <w:ind w:firstLine="480"/>
        <w:jc w:val="left"/>
        <w:spacing w:line="360" w:lineRule="auto"/>
        <w:widowControl/>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投标及开标地点：苏采云网上开标大厅。</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定标时间：评标结束</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定标地点：</w:t>
      </w:r>
      <w:r>
        <w:rPr>
          <w:rFonts w:hint="eastAsia" w:ascii="宋体" w:hAnsi="宋体" w:cs="宋体"/>
          <w:color w:val="000000" w:themeColor="text1"/>
          <w:sz w:val="24"/>
          <w:szCs w:val="24"/>
          <w:highlight w:val="none"/>
        </w:rPr>
        <w:t xml:space="preserve">无锡市滨湖区公共资源交易中心三楼评标室（无锡市滨湖区隐秀路152号）</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eastAsia="黑体"/>
          <w:bCs/>
          <w:color w:val="000000" w:themeColor="text1"/>
          <w:sz w:val="24"/>
          <w:szCs w:val="24"/>
          <w:highlight w:val="none"/>
        </w:rPr>
        <w:t xml:space="preserve">（七）投标有效期：</w:t>
      </w:r>
      <w:r>
        <w:rPr>
          <w:bCs/>
          <w:color w:val="000000" w:themeColor="text1"/>
          <w:sz w:val="24"/>
          <w:szCs w:val="24"/>
          <w:highlight w:val="none"/>
        </w:rPr>
        <w:t xml:space="preserve">开标之日</w:t>
      </w:r>
      <w:r>
        <w:rPr>
          <w:rFonts w:hint="eastAsia" w:ascii="宋体" w:hAnsi="宋体" w:cs="宋体"/>
          <w:bCs/>
          <w:color w:val="000000" w:themeColor="text1"/>
          <w:sz w:val="24"/>
          <w:szCs w:val="24"/>
          <w:highlight w:val="none"/>
        </w:rPr>
        <w:t xml:space="preserve">起90天</w:t>
      </w:r>
      <w:r>
        <w:rPr>
          <w:color w:val="000000" w:themeColor="text1"/>
          <w:highlight w:val="none"/>
        </w:rP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（八）采购方法：</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本次采购通过</w:t>
      </w:r>
      <w:r>
        <w:rPr>
          <w:rFonts w:hint="eastAsia" w:ascii="宋体" w:hAnsi="宋体" w:cs="宋体"/>
          <w:bCs/>
          <w:color w:val="000000" w:themeColor="text1"/>
          <w:sz w:val="24"/>
          <w:szCs w:val="24"/>
          <w:highlight w:val="none"/>
        </w:rPr>
        <w:t xml:space="preserve">江苏省政府采购（苏采云）平台</w:t>
      </w:r>
      <w:r>
        <w:rPr>
          <w:rFonts w:hint="eastAsia" w:ascii="宋体" w:hAnsi="宋体" w:cs="宋体"/>
          <w:color w:val="000000" w:themeColor="text1"/>
          <w:sz w:val="24"/>
          <w:szCs w:val="24"/>
          <w:highlight w:val="none"/>
        </w:rPr>
        <w:t xml:space="preserve">进行招标投标活动，招标、投标、评标和中标结果发布全程电子化。</w:t>
      </w:r>
      <w:r>
        <w:rPr>
          <w:color w:val="000000" w:themeColor="text1"/>
          <w:highlight w:val="none"/>
        </w:rPr>
      </w:r>
    </w:p>
    <w:p>
      <w:pPr>
        <w:ind w:firstLine="480"/>
        <w:spacing w:line="360" w:lineRule="auto"/>
        <w:rPr>
          <w:rFonts w:eastAsia="黑体"/>
          <w:bCs/>
          <w:color w:val="000000" w:themeColor="text1"/>
          <w:sz w:val="24"/>
          <w:szCs w:val="24"/>
          <w:highlight w:val="none"/>
        </w:rPr>
      </w:pPr>
      <w:r>
        <w:rPr>
          <w:rFonts w:hint="eastAsia" w:eastAsia="黑体"/>
          <w:bCs/>
          <w:color w:val="000000" w:themeColor="text1"/>
          <w:sz w:val="24"/>
          <w:szCs w:val="24"/>
          <w:highlight w:val="none"/>
        </w:rPr>
        <w:t xml:space="preserve">（</w:t>
      </w:r>
      <w:r>
        <w:rPr>
          <w:rFonts w:eastAsia="黑体"/>
          <w:bCs/>
          <w:color w:val="000000" w:themeColor="text1"/>
          <w:sz w:val="24"/>
          <w:szCs w:val="24"/>
          <w:highlight w:val="none"/>
        </w:rPr>
        <w:t xml:space="preserve">九</w:t>
      </w:r>
      <w:r>
        <w:rPr>
          <w:rFonts w:hint="eastAsia" w:eastAsia="黑体"/>
          <w:bCs/>
          <w:color w:val="000000" w:themeColor="text1"/>
          <w:sz w:val="24"/>
          <w:szCs w:val="24"/>
          <w:highlight w:val="none"/>
        </w:rPr>
        <w:t xml:space="preserve">）</w:t>
      </w:r>
      <w:r>
        <w:rPr>
          <w:rFonts w:eastAsia="黑体"/>
          <w:bCs/>
          <w:color w:val="000000" w:themeColor="text1"/>
          <w:sz w:val="24"/>
          <w:szCs w:val="24"/>
          <w:highlight w:val="none"/>
        </w:rPr>
        <w:t xml:space="preserve">本次采购联系方式</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有关本次采购活动程序方面的问题，可来人、来函（传真）或电话咨询。</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采购人：无锡市滨湖生态环境局</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采购人地址：无锡市滨湖区金城西路500号</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联系人：</w:t>
      </w:r>
      <w:r>
        <w:rPr>
          <w:rFonts w:hint="eastAsia" w:cs="宋体"/>
          <w:color w:val="000000" w:themeColor="text1"/>
          <w:highlight w:val="none"/>
        </w:rPr>
        <w:t xml:space="preserve">孙滢滢</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b/>
          <w:bCs/>
          <w:color w:val="000000" w:themeColor="text1"/>
          <w:highlight w:val="none"/>
        </w:rPr>
      </w:pPr>
      <w:r>
        <w:rPr>
          <w:rFonts w:hint="eastAsia" w:cs="宋体"/>
          <w:color w:val="000000" w:themeColor="text1"/>
          <w:highlight w:val="none"/>
          <w:lang w:val="zh-CN"/>
        </w:rPr>
        <w:t xml:space="preserve">联系电话：0510-81178977</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采购代理机构：江苏智汇锡建工程项目管理有限公司</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代理机构统一社会信用代码：91320214727400523L</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联系人：</w:t>
      </w:r>
      <w:r>
        <w:rPr>
          <w:rFonts w:hint="eastAsia" w:cs="宋体"/>
          <w:color w:val="000000" w:themeColor="text1"/>
          <w:highlight w:val="none"/>
        </w:rPr>
        <w:t xml:space="preserve">徐丽平、</w:t>
      </w:r>
      <w:r>
        <w:rPr>
          <w:rFonts w:hint="eastAsia" w:cs="宋体"/>
          <w:color w:val="000000" w:themeColor="text1"/>
          <w:highlight w:val="none"/>
          <w:lang w:val="zh-CN"/>
        </w:rPr>
        <w:t xml:space="preserve">吴雨洁</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联系电话：0510-82796055</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联系地址：无锡市新吴区和风路19号启迪协信中心6号楼9楼</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邮政编码：214000</w:t>
      </w:r>
      <w:r>
        <w:rPr>
          <w:color w:val="000000" w:themeColor="text1"/>
          <w:highlight w:val="none"/>
        </w:rPr>
      </w:r>
    </w:p>
    <w:p>
      <w:pPr>
        <w:pStyle w:val="1083"/>
        <w:ind w:firstLine="480"/>
        <w:spacing w:before="0" w:beforeAutospacing="0" w:after="0" w:afterAutospacing="0" w:line="360" w:lineRule="auto"/>
        <w:tabs>
          <w:tab w:val="left" w:pos="0" w:leader="none"/>
        </w:tabs>
        <w:rPr>
          <w:rFonts w:cs="宋体"/>
          <w:color w:val="000000" w:themeColor="text1"/>
          <w:highlight w:val="none"/>
        </w:rPr>
      </w:pPr>
      <w:r>
        <w:rPr>
          <w:rFonts w:hint="eastAsia" w:cs="宋体"/>
          <w:color w:val="000000" w:themeColor="text1"/>
          <w:highlight w:val="none"/>
          <w:lang w:val="zh-CN"/>
        </w:rPr>
        <w:t xml:space="preserve">电子邮件地址：jszh009@163.com</w:t>
      </w:r>
      <w:r>
        <w:rPr>
          <w:color w:val="000000" w:themeColor="text1"/>
          <w:highlight w:val="none"/>
        </w:rPr>
      </w:r>
    </w:p>
    <w:p>
      <w:pPr>
        <w:ind w:firstLine="480"/>
        <w:spacing w:line="360" w:lineRule="auto"/>
        <w:rPr>
          <w:rFonts w:eastAsia="黑体"/>
          <w:bCs/>
          <w:color w:val="000000" w:themeColor="text1"/>
          <w:sz w:val="24"/>
          <w:szCs w:val="24"/>
          <w:highlight w:val="none"/>
        </w:rPr>
      </w:pPr>
      <w:r>
        <w:rPr>
          <w:rFonts w:hint="eastAsia" w:eastAsia="黑体"/>
          <w:bCs/>
          <w:color w:val="000000" w:themeColor="text1"/>
          <w:sz w:val="24"/>
          <w:szCs w:val="24"/>
          <w:highlight w:val="none"/>
        </w:rPr>
        <w:t xml:space="preserve">（十）其他</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因投标供应商可能会存在操作不熟练、业务不熟悉等因素，为保证开评标流程顺利进行，投标供应商如有问题应及时反馈，投标供应商应在投标文件递交截止时间前网上上传电子投标文件。</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本项目为不见面开标，仅需在任意地点登录苏采云平台参加开标会议，投标供应商无需到达开标现场。</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纸质投标文件：本项目为不见面开标，投标供应商无需递交纸质投标文件至现场，</w:t>
      </w:r>
      <w:r>
        <w:rPr>
          <w:rFonts w:hint="eastAsia"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lang w:val="zh-CN"/>
        </w:rPr>
        <w:t xml:space="preserve">后中标投标供应商向采购代理机构提供与电子投标文件完全一致的纸质投标文件（</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份：一正、</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副）。</w:t>
      </w:r>
      <w:r>
        <w:rPr>
          <w:color w:val="000000" w:themeColor="text1"/>
          <w:highlight w:val="none"/>
        </w:rPr>
      </w:r>
    </w:p>
    <w:p>
      <w:pPr>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投标供应商请仔细阅读投标供应商注册流程和招标文件中关于电子开评标等相关事项，如有问题可发送邮件或电话咨询。</w:t>
      </w:r>
      <w:r>
        <w:rPr>
          <w:color w:val="000000" w:themeColor="text1"/>
          <w:highlight w:val="none"/>
        </w:rPr>
      </w:r>
    </w:p>
    <w:p>
      <w:pPr>
        <w:pStyle w:val="1083"/>
        <w:ind w:firstLine="0"/>
        <w:jc w:val="center"/>
        <w:spacing w:before="0" w:beforeAutospacing="0" w:after="0" w:afterAutospacing="0" w:line="460" w:lineRule="exact"/>
        <w:tabs>
          <w:tab w:val="left" w:pos="0" w:leader="none"/>
        </w:tabs>
        <w:rPr>
          <w:rFonts w:ascii="Times New Roman" w:hAnsi="Times New Roman" w:eastAsia="黑体"/>
          <w:bCs/>
          <w:color w:val="000000" w:themeColor="text1"/>
          <w:sz w:val="28"/>
          <w:szCs w:val="28"/>
          <w:highlight w:val="none"/>
        </w:rPr>
        <w:outlineLvl w:val="0"/>
      </w:pPr>
      <w:r>
        <w:rPr>
          <w:rFonts w:ascii="Times New Roman" w:hAnsi="Times New Roman" w:eastAsia="黑体"/>
          <w:bCs/>
          <w:color w:val="000000" w:themeColor="text1"/>
          <w:sz w:val="28"/>
          <w:szCs w:val="28"/>
          <w:highlight w:val="none"/>
        </w:rPr>
        <w:br w:type="page" w:clear="all"/>
      </w:r>
      <w:bookmarkStart w:id="2" w:name="_Toc387"/>
      <w:r>
        <w:rPr>
          <w:rFonts w:hint="eastAsia" w:ascii="Times New Roman" w:hAnsi="Times New Roman" w:eastAsia="黑体"/>
          <w:bCs/>
          <w:color w:val="000000" w:themeColor="text1"/>
          <w:sz w:val="28"/>
          <w:szCs w:val="28"/>
          <w:highlight w:val="none"/>
        </w:rPr>
        <w:t xml:space="preserve">二、投标供应商</w:t>
      </w:r>
      <w:r>
        <w:rPr>
          <w:rFonts w:ascii="Times New Roman" w:hAnsi="Times New Roman" w:eastAsia="黑体"/>
          <w:bCs/>
          <w:color w:val="000000" w:themeColor="text1"/>
          <w:sz w:val="28"/>
          <w:szCs w:val="28"/>
          <w:highlight w:val="none"/>
        </w:rPr>
        <w:t xml:space="preserve">须知</w:t>
      </w:r>
      <w:bookmarkEnd w:id="2"/>
      <w:r>
        <w:rPr>
          <w:color w:val="000000" w:themeColor="text1"/>
          <w:highlight w:val="none"/>
        </w:rPr>
      </w:r>
      <w:r>
        <w:rPr>
          <w:color w:val="000000" w:themeColor="text1"/>
          <w:highlight w:val="none"/>
        </w:rP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（一） 遵循原则：</w:t>
      </w:r>
      <w:r>
        <w:rPr>
          <w:color w:val="000000" w:themeColor="text1"/>
          <w:highlight w:val="none"/>
        </w:rPr>
      </w:r>
    </w:p>
    <w:p>
      <w:pPr>
        <w:ind w:firstLine="480"/>
        <w:spacing w:line="360" w:lineRule="auto"/>
        <w:rPr>
          <w:rFonts w:eastAsia="黑体"/>
          <w:bCs/>
          <w:color w:val="000000" w:themeColor="text1"/>
          <w:sz w:val="24"/>
          <w:szCs w:val="24"/>
          <w:highlight w:val="none"/>
        </w:rPr>
      </w:pPr>
      <w:r>
        <w:rPr>
          <w:bCs/>
          <w:color w:val="000000" w:themeColor="text1"/>
          <w:sz w:val="24"/>
          <w:szCs w:val="24"/>
          <w:highlight w:val="none"/>
        </w:rPr>
        <w:t xml:space="preserve">公开透明原则、公平竞争原则、公正原则和诚实信用原则。</w:t>
      </w:r>
      <w:r>
        <w:rPr>
          <w:color w:val="000000" w:themeColor="text1"/>
          <w:highlight w:val="none"/>
        </w:rPr>
      </w:r>
    </w:p>
    <w:p>
      <w:pPr>
        <w:ind w:left="1200" w:hanging="72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（二） 招标文件：</w:t>
      </w:r>
      <w:r>
        <w:rPr>
          <w:color w:val="000000" w:themeColor="text1"/>
          <w:highlight w:val="none"/>
        </w:rPr>
      </w:r>
    </w:p>
    <w:p>
      <w:pPr>
        <w:ind w:firstLine="480"/>
        <w:spacing w:line="360" w:lineRule="auto"/>
        <w:tabs>
          <w:tab w:val="left" w:pos="-126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1.招标文件包括本文件目录所列全部内容，投标供应商应仔细阅读，并在投标文件中充分响应招标文件的所有要求。</w:t>
      </w:r>
      <w:r>
        <w:rPr>
          <w:color w:val="000000" w:themeColor="text1"/>
          <w:highlight w:val="none"/>
        </w:rPr>
      </w:r>
    </w:p>
    <w:p>
      <w:pPr>
        <w:ind w:firstLine="480"/>
        <w:spacing w:line="360" w:lineRule="auto"/>
        <w:tabs>
          <w:tab w:val="left" w:pos="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2.招标文件中的“法定代表人”是指投标供应商营业执照上的“法定代表人”或相关部门登记证明文件中的“负责人”。</w:t>
      </w:r>
      <w:r>
        <w:rPr>
          <w:color w:val="000000" w:themeColor="text1"/>
          <w:highlight w:val="none"/>
        </w:rPr>
      </w:r>
    </w:p>
    <w:p>
      <w:pPr>
        <w:ind w:firstLine="480"/>
        <w:spacing w:line="360" w:lineRule="auto"/>
        <w:tabs>
          <w:tab w:val="left" w:pos="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3.投标供应商应在苏采云平台（http://jszfcg.jscz.gov.cn/jszc/login）下载招标文件及有关资料，</w:t>
      </w:r>
      <w:r>
        <w:rPr>
          <w:rFonts w:hint="eastAsia" w:ascii="宋体" w:hAnsi="宋体" w:cs="宋体"/>
          <w:color w:val="000000" w:themeColor="text1"/>
          <w:sz w:val="24"/>
          <w:szCs w:val="24"/>
          <w:highlight w:val="none"/>
        </w:rPr>
        <w:t xml:space="preserve">按要求制作、上传投标文件，</w:t>
      </w:r>
      <w:r>
        <w:rPr>
          <w:rFonts w:hint="eastAsia" w:ascii="宋体" w:hAnsi="宋体" w:cs="宋体"/>
          <w:bCs/>
          <w:color w:val="000000" w:themeColor="text1"/>
          <w:sz w:val="24"/>
          <w:szCs w:val="24"/>
          <w:highlight w:val="none"/>
        </w:rPr>
        <w:t xml:space="preserve">对招标文件各项内容做出实质性响应，否则投标无效。</w:t>
      </w:r>
      <w:r>
        <w:rPr>
          <w:color w:val="000000" w:themeColor="text1"/>
          <w:highlight w:val="none"/>
        </w:rPr>
      </w:r>
    </w:p>
    <w:p>
      <w:pPr>
        <w:ind w:firstLine="480"/>
        <w:spacing w:line="360" w:lineRule="auto"/>
        <w:tabs>
          <w:tab w:val="left" w:pos="0" w:leader="none"/>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4.招标文件仅作为本次招投标使用。</w:t>
      </w:r>
      <w:r>
        <w:rPr>
          <w:color w:val="000000" w:themeColor="text1"/>
          <w:highlight w:val="none"/>
        </w:rPr>
      </w:r>
    </w:p>
    <w:p>
      <w:pPr>
        <w:ind w:firstLine="480"/>
        <w:spacing w:line="360" w:lineRule="auto"/>
        <w:tabs>
          <w:tab w:val="left" w:pos="630"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（三） 招标文件的解释：</w:t>
      </w:r>
      <w:r>
        <w:rPr>
          <w:color w:val="000000" w:themeColor="text1"/>
          <w:highlight w:val="none"/>
        </w:rPr>
      </w:r>
    </w:p>
    <w:p>
      <w:pPr>
        <w:ind w:left="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本文件的最终解释权归采购人。</w:t>
      </w:r>
      <w:r>
        <w:rPr>
          <w:color w:val="000000" w:themeColor="text1"/>
          <w:highlight w:val="none"/>
        </w:rPr>
      </w:r>
    </w:p>
    <w:p>
      <w:pPr>
        <w:ind w:left="1200" w:hanging="72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（四） 招标文件的补充或修正： </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1.江苏智汇锡建工程项目管理有限公司可在投标截止时间十五日前对招标文件进行必要的澄清或修改；不足15日的，将顺延提交投标文件的截止时间。</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2.如需对招标文件进行澄清或修正，江苏智汇锡建工程项目管理有限公司将在江苏政府采购网发布更正公告，该澄清或修正的内容是招标文件的组成部分。投标供应商应在投标截止时间前</w:t>
      </w:r>
      <w:r>
        <w:rPr>
          <w:rFonts w:hint="eastAsia" w:ascii="宋体" w:hAnsi="宋体" w:cs="宋体"/>
          <w:color w:val="000000" w:themeColor="text1"/>
          <w:sz w:val="24"/>
          <w:szCs w:val="24"/>
          <w:highlight w:val="none"/>
        </w:rPr>
        <w:t xml:space="preserve">登录</w:t>
      </w:r>
      <w:r>
        <w:rPr>
          <w:rFonts w:hint="eastAsia" w:ascii="宋体" w:hAnsi="宋体" w:cs="宋体"/>
          <w:bCs/>
          <w:color w:val="000000" w:themeColor="text1"/>
          <w:sz w:val="24"/>
          <w:szCs w:val="24"/>
          <w:highlight w:val="none"/>
        </w:rPr>
        <w:t xml:space="preserve">投标客户端并关注原招标公告媒体上发布的相关更正公告</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因投标供应商未尽注意义务，未及时更新上传投标文件</w:t>
      </w:r>
      <w:r>
        <w:rPr>
          <w:rFonts w:hint="eastAsia" w:ascii="宋体" w:hAnsi="宋体" w:cs="宋体"/>
          <w:color w:val="000000" w:themeColor="text1"/>
          <w:sz w:val="24"/>
          <w:szCs w:val="24"/>
          <w:highlight w:val="none"/>
        </w:rPr>
        <w:t xml:space="preserve">或全面</w:t>
      </w:r>
      <w:r>
        <w:rPr>
          <w:rFonts w:hint="eastAsia" w:ascii="宋体" w:hAnsi="宋体" w:cs="宋体"/>
          <w:bCs/>
          <w:color w:val="000000" w:themeColor="text1"/>
          <w:sz w:val="24"/>
          <w:szCs w:val="24"/>
          <w:highlight w:val="none"/>
        </w:rPr>
        <w:t xml:space="preserve">关注更正公告，导致其提交的投标材料不符合招标文件要求而造成的损失及风险（包括但不限于未中标），由投标供应商自行承担。</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采购人、采购代理机构提出疑问。针对同一采购程序环节的质疑，须在法定质疑期内一次性提出。质疑函的质疑事项应具体、明确，并具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Fonts w:hint="eastAsia" w:ascii="宋体" w:hAnsi="宋体" w:cs="宋体"/>
          <w:bCs/>
          <w:color w:val="000000" w:themeColor="text1"/>
          <w:sz w:val="24"/>
          <w:szCs w:val="24"/>
          <w:highlight w:val="none"/>
        </w:rPr>
        <w:t xml:space="preserve">政府采购投标供应商质疑函范本</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w:t>
      </w:r>
      <w:r>
        <w:rPr>
          <w:color w:val="000000" w:themeColor="text1"/>
          <w:highlight w:val="none"/>
        </w:rPr>
      </w:r>
    </w:p>
    <w:p>
      <w:pPr>
        <w:ind w:left="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（五）质疑与投诉</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1.质疑的提出和答复、投诉的提起和处理须按《政府采购质疑和投诉办法》（中华人民共和国财政部令第94号）相关规定执行。</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2.质疑的提出</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2.1提出疑问的投标供应商应当是参与所质疑项目采购活动的投标供应商。</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2.2潜在投标供应商已依法获取其可质疑的招标文件的，可以对该文件提出疑问。对招标文件提出疑问的，应当在获取招标文件或者招标文件公告期限届满之日起7个工作日内以书面形式提出。</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投标供应商认为招标文件、采购过程、中标或者成交结果使自己的权益受到损害的，可以在知道或者应知其权益受到损害之日起7个工作日内，以书面形式向采购人提出疑问。投标供应商须在法定质疑期内一次性提出针对同一采购程序环节的质疑。</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2.4投标供应商提出疑问应当提交质疑函和必要的证明材料。质疑函应当包括下列内容：</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（1）投标供应商的姓名或者名称、地址、邮编、联系人及联系电话；</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（2）质疑项目的名称、编号；</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（3）具体、明确的质疑事项和与质疑事项相关的请求；</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（4）事实依据；</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（5）必要的法律依据；</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（6）提出疑问的日期。</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2.5投标供应商为自然人的，质疑函应当由本人签字；投标供应商为法人或者其他组织的，应当由法定代表人、主要负责人，或者其授权代表签字或者盖章，并加盖公章。质疑函须原件递交。</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投标供应商可以委托代理人进行质疑和投诉。其授权委托书应当载明代理人的姓名或者名称、代理事项、具体权限、期限和相关事项。投标供应商为自然人的，质疑函应当由本人签字；投标供应商为法人或者其他组织的，应当由法定代表人、主要负责人签字或者盖章，并加盖公章。</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2.7以联合体形式参加政府采购活动的，其投诉应当由组成联合体的所有投标供应商共同提出。</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3.质疑的受理与答复</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3.1采购人负责投标供应商质疑答复。</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3.2质疑函由采购人办理签收手续。</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3.3质疑函接收单位信息：</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接收单位：江苏智汇锡建工程项目管理有限公司</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地址：无锡市新吴区和风路19号启迪协信中心6号楼9楼</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邮编：214000</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联系人：吴雨洁</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电话：0510-82796055</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3.4采购人应当在收到质疑函后7个工作日内作出答复，并以书面形式通知质疑投标供应商和其他有关投标供应商。</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3.5采购人处理的其他要求按《政府采购质疑和投诉办法》（中华人民共和国财政部令第94号）相关规定执行。</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4.投诉的提起</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4.1质疑投标供应商对采购人的答复不满意，或者采购人未在规定时间内作出答复的，可以在答复期满后15个工作日内向采购人所属预算级次的财政部门提起投诉。</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4.2投标供应商投诉时，应当提交投诉书和必要的证明材料，并按照被投诉采购人（以下简称被投诉人）和与投诉事项有关的投标供应商数量提供投诉书的副本。投诉书应当包括下列内容：</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（1）投诉人和被投诉人的姓名或者名称、通讯地址、邮编、联系人及联系电话；</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（2）质疑和质疑答复情况说明及相关证明材料；</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（3）具体、明确的投诉事项和与投诉事项相关的投诉请求；</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（4）事实依据；</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（5）法律依据；</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（6）提起投诉的日期。</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4.3投诉人为自然人的，投诉书应当由本人签字；投诉人为法人或者其他组织的，投诉书应当由法定代表人、主要负责人，或者其授权代表签字或者盖章，并加盖公章。</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4.4投诉人提起投诉应当符合下列条件：</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（1）提起投诉前已依法进行质疑；</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（2）投诉书内容符合本办法的规定；</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（3）在投诉有效期限内提起投诉；</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（4）同一投诉事项未经财政部门投诉处理；</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（5）财政部规定的其他条件。</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4.5投标供应商投诉的事项不得超出已质疑事项的范围，但基于质疑答复内容提出的投诉事项除外。</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5.由采购人所属预算级次的财政部门根据《政府采购质疑和投诉办法》（中华人民共和国财政部令第94号）相关规定进行投诉处理。</w:t>
      </w:r>
      <w:r>
        <w:rPr>
          <w:color w:val="000000" w:themeColor="text1"/>
          <w:highlight w:val="none"/>
        </w:rPr>
      </w:r>
    </w:p>
    <w:p>
      <w:pPr>
        <w:ind w:firstLine="480"/>
        <w:spacing w:line="360" w:lineRule="auto"/>
        <w:rPr>
          <w:bCs/>
          <w:color w:val="000000" w:themeColor="text1"/>
          <w:sz w:val="24"/>
          <w:szCs w:val="24"/>
          <w:highlight w:val="none"/>
        </w:rPr>
      </w:pPr>
      <w:r>
        <w:rPr>
          <w:rFonts w:eastAsia="黑体"/>
          <w:bCs/>
          <w:color w:val="000000" w:themeColor="text1"/>
          <w:sz w:val="24"/>
          <w:szCs w:val="24"/>
          <w:highlight w:val="none"/>
        </w:rPr>
        <w:t xml:space="preserve">（六）投标文件的组成</w:t>
      </w:r>
      <w:r>
        <w:rPr>
          <w:bCs/>
          <w:color w:val="000000" w:themeColor="text1"/>
          <w:sz w:val="24"/>
          <w:szCs w:val="24"/>
          <w:highlight w:val="none"/>
        </w:rPr>
        <w:t xml:space="preserve">（</w:t>
      </w:r>
      <w:r>
        <w:rPr>
          <w:b/>
          <w:bCs/>
          <w:color w:val="000000" w:themeColor="text1"/>
          <w:sz w:val="24"/>
          <w:szCs w:val="24"/>
          <w:highlight w:val="none"/>
        </w:rPr>
        <w:t xml:space="preserve">相应内容上传至投标客户端</w:t>
      </w:r>
      <w:r>
        <w:rPr>
          <w:bCs/>
          <w:color w:val="000000" w:themeColor="text1"/>
          <w:sz w:val="24"/>
          <w:szCs w:val="24"/>
          <w:highlight w:val="none"/>
        </w:rPr>
        <w:t xml:space="preserve">）</w:t>
      </w:r>
      <w:r>
        <w:rPr>
          <w:rFonts w:eastAsia="黑体"/>
          <w:bCs/>
          <w:color w:val="000000" w:themeColor="text1"/>
          <w:sz w:val="24"/>
          <w:szCs w:val="24"/>
          <w:highlight w:val="none"/>
        </w:rPr>
        <w:t xml:space="preserve">：</w:t>
      </w:r>
      <w:r>
        <w:rPr>
          <w:color w:val="000000" w:themeColor="text1"/>
          <w:highlight w:val="none"/>
        </w:rPr>
      </w:r>
    </w:p>
    <w:p>
      <w:pPr>
        <w:numPr>
          <w:ilvl w:val="0"/>
          <w:numId w:val="4"/>
        </w:numPr>
        <w:ind w:left="1" w:firstLine="523"/>
        <w:spacing w:line="360" w:lineRule="auto"/>
        <w:tabs>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投标函（</w:t>
      </w:r>
      <w:r>
        <w:rPr>
          <w:rFonts w:hint="eastAsia" w:ascii="宋体" w:hAnsi="宋体" w:cs="宋体"/>
          <w:b/>
          <w:bCs/>
          <w:color w:val="000000" w:themeColor="text1"/>
          <w:sz w:val="24"/>
          <w:szCs w:val="24"/>
          <w:highlight w:val="none"/>
        </w:rPr>
        <w:t xml:space="preserve">格式见附件</w:t>
      </w:r>
      <w:r>
        <w:rPr>
          <w:rFonts w:hint="eastAsia" w:ascii="宋体" w:hAnsi="宋体" w:cs="宋体"/>
          <w:bCs/>
          <w:color w:val="000000" w:themeColor="text1"/>
          <w:sz w:val="24"/>
          <w:szCs w:val="24"/>
          <w:highlight w:val="none"/>
        </w:rPr>
        <w:t xml:space="preserve">）</w:t>
      </w:r>
      <w:r>
        <w:rPr>
          <w:color w:val="000000" w:themeColor="text1"/>
          <w:highlight w:val="none"/>
        </w:rPr>
      </w:r>
    </w:p>
    <w:p>
      <w:pPr>
        <w:numPr>
          <w:ilvl w:val="0"/>
          <w:numId w:val="4"/>
        </w:numPr>
        <w:ind w:left="1" w:firstLine="523"/>
        <w:spacing w:line="360" w:lineRule="auto"/>
        <w:tabs>
          <w:tab w:val="left" w:pos="52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资格、资信证明文件（</w:t>
      </w:r>
      <w:r>
        <w:rPr>
          <w:rFonts w:hint="eastAsia" w:ascii="宋体" w:hAnsi="宋体" w:cs="宋体"/>
          <w:b/>
          <w:bCs/>
          <w:color w:val="000000" w:themeColor="text1"/>
          <w:sz w:val="24"/>
          <w:szCs w:val="24"/>
          <w:highlight w:val="none"/>
        </w:rPr>
        <w:t xml:space="preserve">扫描后上传，身份证应为正、反面</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（1）关于资格的声明函（格式见附件）；</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（2）具有独立承担民事责任能力的投标供应商营业执照或相关部门的登记证明文件（投标供应商如允许以分支机构身份参加投标的，提供投标供应商分支机构的营业执照）；</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供应商法定代表人授权委托书（格式见附件，法定代表人亲自参加投标的除外）（投标供应商如允许以分支机构身份参加投标的，请自行将“法定代表人”更改为“负责人”，分支机构投标时涉及招标文件“法定代表人”要求的部分，其具体要求视同本条规定）；</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（4）投标供应商法定代表人身份证；</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（5）投标供应商法定代表人授权代表身份证（法定代表人亲自参加投标的除外）；</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（6）投标供应商近一年中任意一个月份（不含投标当月）为其法定代表人授权代表缴纳社保的证明（由相关主管部门出具，新成立公司除外、法定代表人亲自参加投标的除外）；</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投标供应商近一年中任意一个月份（不含投标当月）的财务状况报告（资产负债表和利润表）或由会计师事务所出具的近两年（2023年或2024年）中任意一个年度的审计报告和所附已审计财务报告（新成立企业只需提供从成立之年份起经审计的财务报告）；</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（8）投标供应商近一年中任意一个月份（不含投标当月）的依法缴纳税收的相关材料（提供相关主管部门证明或银行代扣证明）；</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（9）投标供应商近一年中任意一个月份（不含投标当月）的依法缴纳社会保障资金的相关材料（提供相关主管部门证明或银行代扣证明）；</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（10）承诺书（格式见附件）；</w:t>
      </w:r>
      <w:r>
        <w:rPr>
          <w:color w:val="000000" w:themeColor="text1"/>
          <w:highlight w:val="none"/>
        </w:rPr>
      </w:r>
    </w:p>
    <w:p>
      <w:pPr>
        <w:ind w:firstLine="480"/>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rPr>
          <w:color w:val="000000" w:themeColor="text1"/>
          <w:highlight w:val="none"/>
        </w:rPr>
      </w:r>
    </w:p>
    <w:p>
      <w:pPr>
        <w:ind w:firstLine="480"/>
        <w:spacing w:line="360" w:lineRule="auto"/>
        <w:tabs>
          <w:tab w:val="left" w:pos="945"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（12）采购人</w:t>
      </w:r>
      <w:r>
        <w:rPr>
          <w:rFonts w:hint="eastAsia"/>
          <w:bCs/>
          <w:color w:val="000000" w:themeColor="text1"/>
          <w:sz w:val="24"/>
          <w:szCs w:val="24"/>
          <w:highlight w:val="none"/>
        </w:rPr>
        <w:t xml:space="preserve">要求的特定资质证明扫描件（详见“投标邀请函”－“投标供应商资格要求”之3中要求）。</w:t>
      </w:r>
      <w:r>
        <w:rPr>
          <w:color w:val="000000" w:themeColor="text1"/>
          <w:highlight w:val="none"/>
        </w:rPr>
      </w:r>
    </w:p>
    <w:p>
      <w:pPr>
        <w:ind w:firstLine="480"/>
        <w:spacing w:line="360" w:lineRule="auto"/>
        <w:tabs>
          <w:tab w:val="left" w:pos="945" w:leader="none"/>
        </w:tabs>
        <w:rPr>
          <w:bCs/>
          <w:color w:val="000000" w:themeColor="text1"/>
          <w:sz w:val="24"/>
          <w:szCs w:val="24"/>
          <w:highlight w:val="none"/>
        </w:rPr>
      </w:pPr>
      <w:r>
        <w:rPr>
          <w:rFonts w:hint="eastAsia"/>
          <w:bCs/>
          <w:color w:val="000000" w:themeColor="text1"/>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p>
    <w:p>
      <w:pPr>
        <w:numPr>
          <w:ilvl w:val="0"/>
          <w:numId w:val="4"/>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开标一览表（</w:t>
      </w:r>
      <w:r>
        <w:rPr>
          <w:b/>
          <w:bCs/>
          <w:color w:val="000000" w:themeColor="text1"/>
          <w:sz w:val="24"/>
          <w:szCs w:val="24"/>
          <w:highlight w:val="none"/>
        </w:rPr>
        <w:t xml:space="preserve">格式见附件</w:t>
      </w:r>
      <w:r>
        <w:rPr>
          <w:bCs/>
          <w:color w:val="000000" w:themeColor="text1"/>
          <w:sz w:val="24"/>
          <w:szCs w:val="24"/>
          <w:highlight w:val="none"/>
        </w:rPr>
        <w:t xml:space="preserve">）</w:t>
      </w:r>
      <w:r>
        <w:rPr>
          <w:color w:val="000000" w:themeColor="text1"/>
          <w:highlight w:val="none"/>
        </w:rPr>
      </w:r>
    </w:p>
    <w:p>
      <w:pPr>
        <w:numPr>
          <w:ilvl w:val="0"/>
          <w:numId w:val="4"/>
        </w:numPr>
        <w:ind w:left="1" w:firstLine="523"/>
        <w:spacing w:line="360" w:lineRule="auto"/>
        <w:tabs>
          <w:tab w:val="left" w:pos="525" w:leader="none"/>
          <w:tab w:val="left" w:pos="945" w:leader="none"/>
        </w:tabs>
        <w:rPr>
          <w:b/>
          <w:bCs/>
          <w:color w:val="000000" w:themeColor="text1"/>
          <w:sz w:val="24"/>
          <w:szCs w:val="24"/>
          <w:highlight w:val="none"/>
        </w:rPr>
      </w:pPr>
      <w:r>
        <w:rPr>
          <w:bCs/>
          <w:color w:val="000000" w:themeColor="text1"/>
          <w:sz w:val="24"/>
          <w:szCs w:val="24"/>
          <w:highlight w:val="none"/>
        </w:rPr>
        <w:t xml:space="preserve">投标报价明细表</w:t>
      </w:r>
      <w:r>
        <w:rPr>
          <w:b/>
          <w:bCs/>
          <w:color w:val="000000" w:themeColor="text1"/>
          <w:sz w:val="24"/>
          <w:szCs w:val="24"/>
          <w:highlight w:val="none"/>
        </w:rPr>
        <w:t xml:space="preserve">（格式见附件）</w:t>
      </w:r>
      <w:r>
        <w:rPr>
          <w:color w:val="000000" w:themeColor="text1"/>
          <w:highlight w:val="none"/>
        </w:rPr>
      </w:r>
    </w:p>
    <w:p>
      <w:pPr>
        <w:numPr>
          <w:ilvl w:val="0"/>
          <w:numId w:val="4"/>
        </w:numPr>
        <w:ind w:left="1" w:firstLine="523"/>
        <w:spacing w:line="360" w:lineRule="auto"/>
        <w:tabs>
          <w:tab w:val="left" w:pos="525" w:leader="none"/>
          <w:tab w:val="left" w:pos="945" w:leader="none"/>
        </w:tabs>
        <w:rPr>
          <w:b/>
          <w:bCs/>
          <w:color w:val="000000" w:themeColor="text1"/>
          <w:sz w:val="24"/>
          <w:szCs w:val="24"/>
          <w:highlight w:val="none"/>
        </w:rPr>
      </w:pPr>
      <w:r>
        <w:rPr>
          <w:bCs/>
          <w:color w:val="000000" w:themeColor="text1"/>
          <w:sz w:val="24"/>
          <w:szCs w:val="24"/>
          <w:highlight w:val="none"/>
        </w:rPr>
        <w:t xml:space="preserve">投标偏离表</w:t>
      </w:r>
      <w:r>
        <w:rPr>
          <w:b/>
          <w:bCs/>
          <w:color w:val="000000" w:themeColor="text1"/>
          <w:sz w:val="24"/>
          <w:szCs w:val="24"/>
          <w:highlight w:val="none"/>
        </w:rPr>
        <w:t xml:space="preserve">（格式见附件）</w:t>
      </w:r>
      <w:r>
        <w:rPr>
          <w:color w:val="000000" w:themeColor="text1"/>
          <w:highlight w:val="none"/>
        </w:rPr>
      </w:r>
    </w:p>
    <w:p>
      <w:pPr>
        <w:numPr>
          <w:ilvl w:val="0"/>
          <w:numId w:val="4"/>
        </w:numPr>
        <w:ind w:left="1" w:firstLine="523"/>
        <w:spacing w:line="360" w:lineRule="auto"/>
        <w:tabs>
          <w:tab w:val="left" w:pos="525" w:leader="none"/>
          <w:tab w:val="left" w:pos="945" w:leader="none"/>
        </w:tabs>
        <w:rPr>
          <w:b/>
          <w:bCs/>
          <w:color w:val="000000" w:themeColor="text1"/>
          <w:sz w:val="24"/>
          <w:szCs w:val="24"/>
          <w:highlight w:val="none"/>
        </w:rPr>
      </w:pPr>
      <w:r>
        <w:rPr>
          <w:bCs/>
          <w:color w:val="000000" w:themeColor="text1"/>
          <w:sz w:val="24"/>
          <w:szCs w:val="24"/>
          <w:highlight w:val="none"/>
        </w:rPr>
        <w:t xml:space="preserve">项目组人员配备计划表</w:t>
      </w:r>
      <w:r>
        <w:rPr>
          <w:b/>
          <w:color w:val="000000" w:themeColor="text1"/>
          <w:sz w:val="24"/>
          <w:szCs w:val="24"/>
          <w:highlight w:val="none"/>
        </w:rPr>
        <w:t xml:space="preserve">（</w:t>
      </w:r>
      <w:r>
        <w:rPr>
          <w:b/>
          <w:bCs/>
          <w:color w:val="000000" w:themeColor="text1"/>
          <w:sz w:val="24"/>
          <w:szCs w:val="24"/>
          <w:highlight w:val="none"/>
        </w:rPr>
        <w:t xml:space="preserve">格式见附件）</w:t>
      </w:r>
      <w:r>
        <w:rPr>
          <w:color w:val="000000" w:themeColor="text1"/>
          <w:highlight w:val="none"/>
        </w:rPr>
      </w:r>
    </w:p>
    <w:p>
      <w:pPr>
        <w:numPr>
          <w:ilvl w:val="0"/>
          <w:numId w:val="4"/>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技术文件</w:t>
      </w:r>
      <w:r>
        <w:rPr>
          <w:b/>
          <w:bCs/>
          <w:color w:val="000000" w:themeColor="text1"/>
          <w:sz w:val="24"/>
          <w:szCs w:val="24"/>
          <w:highlight w:val="none"/>
        </w:rPr>
        <w:t xml:space="preserve">（</w:t>
      </w:r>
      <w:r>
        <w:rPr>
          <w:rFonts w:hint="eastAsia"/>
          <w:b/>
          <w:bCs/>
          <w:color w:val="000000" w:themeColor="text1"/>
          <w:sz w:val="24"/>
          <w:szCs w:val="24"/>
          <w:highlight w:val="none"/>
        </w:rPr>
        <w:t xml:space="preserve">内容参照评标办法</w:t>
      </w:r>
      <w:r>
        <w:rPr>
          <w:b/>
          <w:bCs/>
          <w:color w:val="000000" w:themeColor="text1"/>
          <w:sz w:val="24"/>
          <w:szCs w:val="24"/>
          <w:highlight w:val="none"/>
        </w:rPr>
        <w:t xml:space="preserve">）</w:t>
      </w:r>
      <w:r>
        <w:rPr>
          <w:color w:val="000000" w:themeColor="text1"/>
          <w:highlight w:val="none"/>
        </w:rPr>
      </w:r>
    </w:p>
    <w:p>
      <w:pPr>
        <w:numPr>
          <w:ilvl w:val="0"/>
          <w:numId w:val="4"/>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评分标准中对应</w:t>
      </w:r>
      <w:r>
        <w:rPr>
          <w:rFonts w:hint="eastAsia"/>
          <w:bCs/>
          <w:color w:val="000000" w:themeColor="text1"/>
          <w:sz w:val="24"/>
          <w:szCs w:val="24"/>
          <w:highlight w:val="none"/>
        </w:rPr>
        <w:t xml:space="preserve">的其他</w:t>
      </w:r>
      <w:r>
        <w:rPr>
          <w:bCs/>
          <w:color w:val="000000" w:themeColor="text1"/>
          <w:sz w:val="24"/>
          <w:szCs w:val="24"/>
          <w:highlight w:val="none"/>
        </w:rPr>
        <w:t xml:space="preserve">所需证明材料</w:t>
      </w:r>
      <w:r>
        <w:rPr>
          <w:b/>
          <w:color w:val="000000" w:themeColor="text1"/>
          <w:sz w:val="24"/>
          <w:szCs w:val="24"/>
          <w:highlight w:val="none"/>
        </w:rPr>
        <w:t xml:space="preserve">（如有自行添加）</w:t>
      </w:r>
      <w:r>
        <w:rPr>
          <w:color w:val="000000" w:themeColor="text1"/>
          <w:highlight w:val="none"/>
        </w:rPr>
      </w:r>
    </w:p>
    <w:p>
      <w:pPr>
        <w:numPr>
          <w:ilvl w:val="0"/>
          <w:numId w:val="4"/>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要求采购人提供的配合</w:t>
      </w:r>
      <w:r>
        <w:rPr>
          <w:b/>
          <w:color w:val="000000" w:themeColor="text1"/>
          <w:sz w:val="24"/>
          <w:szCs w:val="24"/>
          <w:highlight w:val="none"/>
        </w:rPr>
        <w:t xml:space="preserve">（如有自拟并自行添加）</w:t>
      </w:r>
      <w:r>
        <w:rPr>
          <w:color w:val="000000" w:themeColor="text1"/>
          <w:highlight w:val="none"/>
        </w:rPr>
      </w:r>
    </w:p>
    <w:p>
      <w:pPr>
        <w:numPr>
          <w:ilvl w:val="0"/>
          <w:numId w:val="4"/>
        </w:numPr>
        <w:ind w:left="1" w:firstLine="523"/>
        <w:spacing w:line="360" w:lineRule="auto"/>
        <w:tabs>
          <w:tab w:val="left" w:pos="525" w:leader="none"/>
          <w:tab w:val="left" w:pos="945" w:leader="none"/>
        </w:tabs>
        <w:rPr>
          <w:bCs/>
          <w:color w:val="000000" w:themeColor="text1"/>
          <w:sz w:val="24"/>
          <w:szCs w:val="24"/>
          <w:highlight w:val="none"/>
        </w:rPr>
      </w:pPr>
      <w:r>
        <w:rPr>
          <w:rFonts w:hint="eastAsia"/>
          <w:bCs/>
          <w:color w:val="000000" w:themeColor="text1"/>
          <w:sz w:val="24"/>
          <w:szCs w:val="24"/>
          <w:highlight w:val="none"/>
        </w:rPr>
        <w:t xml:space="preserve">其他</w:t>
      </w:r>
      <w:r>
        <w:rPr>
          <w:bCs/>
          <w:color w:val="000000" w:themeColor="text1"/>
          <w:sz w:val="24"/>
          <w:szCs w:val="24"/>
          <w:highlight w:val="none"/>
        </w:rPr>
        <w:t xml:space="preserve">（</w:t>
      </w:r>
      <w:r>
        <w:rPr>
          <w:rFonts w:hint="eastAsia"/>
          <w:b/>
          <w:bCs/>
          <w:color w:val="000000" w:themeColor="text1"/>
          <w:sz w:val="24"/>
          <w:szCs w:val="24"/>
          <w:highlight w:val="none"/>
        </w:rPr>
        <w:t xml:space="preserve">投标供应商</w:t>
      </w:r>
      <w:r>
        <w:rPr>
          <w:b/>
          <w:bCs/>
          <w:color w:val="000000" w:themeColor="text1"/>
          <w:sz w:val="24"/>
          <w:szCs w:val="24"/>
          <w:highlight w:val="none"/>
        </w:rPr>
        <w:t xml:space="preserve">认为有必要提供的声明和文件，如有自拟并自行添加</w:t>
      </w:r>
      <w:r>
        <w:rPr>
          <w:bCs/>
          <w:color w:val="000000" w:themeColor="text1"/>
          <w:sz w:val="24"/>
          <w:szCs w:val="24"/>
          <w:highlight w:val="none"/>
        </w:rPr>
        <w:t xml:space="preserve">）</w:t>
      </w:r>
      <w:r>
        <w:rPr>
          <w:color w:val="000000" w:themeColor="text1"/>
          <w:highlight w:val="none"/>
        </w:rPr>
      </w:r>
    </w:p>
    <w:p>
      <w:pPr>
        <w:ind w:firstLine="480"/>
        <w:spacing w:line="360" w:lineRule="auto"/>
        <w:tabs>
          <w:tab w:val="left" w:pos="945"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上述1-6项投标供应商必须按要求全部提供，否则投标文件无效。</w:t>
      </w:r>
      <w:r>
        <w:rPr>
          <w:rFonts w:hint="eastAsia" w:ascii="宋体" w:hAnsi="宋体" w:cs="宋体"/>
          <w:color w:val="000000" w:themeColor="text1"/>
          <w:sz w:val="24"/>
          <w:szCs w:val="24"/>
          <w:highlight w:val="none"/>
        </w:rPr>
        <w:t xml:space="preserve">如上述资格证明文件遇年检、换证，则必须提供法定年检、换证单位出具的有效证明扫描件。如上述资格证明文件第（6）（7）（8）（9）四项遇有国家相关政策规定可不具备的，必须提供相关政策规定或相关单位出具的有效证明扫描件。</w:t>
      </w:r>
      <w:r>
        <w:rPr>
          <w:rFonts w:hint="eastAsia" w:ascii="宋体" w:hAnsi="宋体" w:cs="宋体"/>
          <w:bCs/>
          <w:color w:val="000000" w:themeColor="text1"/>
          <w:sz w:val="24"/>
          <w:szCs w:val="24"/>
          <w:highlight w:val="none"/>
        </w:rPr>
        <w:t xml:space="preserve">投标供应商法定代表人或法定代表人授权代表为外籍、港、澳、台地区人士的，其身</w:t>
      </w:r>
      <w:r>
        <w:rPr>
          <w:bCs/>
          <w:color w:val="000000" w:themeColor="text1"/>
          <w:sz w:val="24"/>
          <w:szCs w:val="24"/>
          <w:highlight w:val="none"/>
        </w:rPr>
        <w:t xml:space="preserve">份证明须提供有效的护照或港澳同胞来往内地通行证、台湾同胞来往大陆通行证，</w:t>
      </w:r>
      <w:r>
        <w:rPr>
          <w:rFonts w:hint="eastAsia"/>
          <w:bCs/>
          <w:color w:val="000000" w:themeColor="text1"/>
          <w:sz w:val="24"/>
          <w:szCs w:val="24"/>
          <w:highlight w:val="none"/>
        </w:rPr>
        <w:t xml:space="preserve">或其他可以</w:t>
      </w:r>
      <w:r>
        <w:rPr>
          <w:bCs/>
          <w:color w:val="000000" w:themeColor="text1"/>
          <w:sz w:val="24"/>
          <w:szCs w:val="24"/>
          <w:highlight w:val="none"/>
        </w:rPr>
        <w:t xml:space="preserve">在中国大陆有效居留的许可证明。</w:t>
      </w:r>
      <w:r>
        <w:rPr>
          <w:color w:val="000000" w:themeColor="text1"/>
          <w:highlight w:val="none"/>
        </w:rP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（七） 投标文件的制作：</w:t>
      </w:r>
      <w:r>
        <w:rPr>
          <w:color w:val="000000" w:themeColor="text1"/>
          <w:highlight w:val="none"/>
        </w:rPr>
      </w:r>
    </w:p>
    <w:p>
      <w:pPr>
        <w:numPr>
          <w:ilvl w:val="0"/>
          <w:numId w:val="5"/>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所有文件、往来函件均应使用简体中文（规格、型号辅助符号</w:t>
      </w:r>
      <w:r>
        <w:rPr>
          <w:rFonts w:hint="eastAsia"/>
          <w:bCs/>
          <w:color w:val="000000" w:themeColor="text1"/>
          <w:sz w:val="24"/>
          <w:szCs w:val="24"/>
          <w:highlight w:val="none"/>
          <w:lang w:eastAsia="zh-CN"/>
        </w:rPr>
        <w:t xml:space="preserve">除外</w:t>
      </w:r>
      <w:r>
        <w:rPr>
          <w:bCs/>
          <w:color w:val="000000" w:themeColor="text1"/>
          <w:sz w:val="24"/>
          <w:szCs w:val="24"/>
          <w:highlight w:val="none"/>
        </w:rPr>
        <w:t xml:space="preserve">）。</w:t>
      </w:r>
      <w:r>
        <w:rPr>
          <w:color w:val="000000" w:themeColor="text1"/>
          <w:highlight w:val="none"/>
        </w:rPr>
      </w:r>
    </w:p>
    <w:p>
      <w:pPr>
        <w:numPr>
          <w:ilvl w:val="0"/>
          <w:numId w:val="5"/>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投标文件由</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按要求如实填写，须有</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（签章）、法定代表人或法定代表人授权代表签章，方为有效，未尽事宜可自行补充。</w:t>
      </w:r>
      <w:r>
        <w:rPr>
          <w:color w:val="000000" w:themeColor="text1"/>
          <w:highlight w:val="none"/>
        </w:rPr>
      </w:r>
    </w:p>
    <w:p>
      <w:pPr>
        <w:numPr>
          <w:ilvl w:val="0"/>
          <w:numId w:val="5"/>
        </w:numPr>
        <w:ind w:left="0" w:firstLine="523"/>
        <w:spacing w:line="360" w:lineRule="auto"/>
        <w:tabs>
          <w:tab w:val="left" w:pos="525" w:leader="none"/>
          <w:tab w:val="left" w:pos="945" w:leader="none"/>
        </w:tabs>
        <w:rPr>
          <w:bCs/>
          <w:color w:val="000000" w:themeColor="text1"/>
          <w:sz w:val="24"/>
          <w:szCs w:val="24"/>
          <w:highlight w:val="none"/>
        </w:rPr>
      </w:pPr>
      <w:r>
        <w:rPr>
          <w:color w:val="000000" w:themeColor="text1"/>
          <w:sz w:val="24"/>
          <w:szCs w:val="24"/>
          <w:highlight w:val="none"/>
          <w:lang w:val="zh-CN"/>
        </w:rPr>
        <w:t xml:space="preserve">如无特别说明，</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报价一律以人民币为投标结算货币</w:t>
      </w:r>
      <w:r>
        <w:rPr>
          <w:rFonts w:hint="eastAsia"/>
          <w:bCs/>
          <w:color w:val="000000" w:themeColor="text1"/>
          <w:sz w:val="24"/>
          <w:szCs w:val="24"/>
          <w:highlight w:val="none"/>
        </w:rPr>
        <w:t xml:space="preserve">，</w:t>
      </w:r>
      <w:r>
        <w:rPr>
          <w:bCs/>
          <w:color w:val="000000" w:themeColor="text1"/>
          <w:sz w:val="24"/>
          <w:szCs w:val="24"/>
          <w:highlight w:val="none"/>
        </w:rPr>
        <w:t xml:space="preserve">结算单位为“元”。</w:t>
      </w:r>
      <w:r>
        <w:rPr>
          <w:color w:val="000000" w:themeColor="text1"/>
          <w:highlight w:val="none"/>
        </w:rPr>
      </w:r>
    </w:p>
    <w:p>
      <w:pPr>
        <w:numPr>
          <w:ilvl w:val="0"/>
          <w:numId w:val="5"/>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投标费用自理。</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（八）网上投标</w:t>
      </w:r>
      <w:r>
        <w:rPr>
          <w:color w:val="000000" w:themeColor="text1"/>
          <w:highlight w:val="none"/>
        </w:rP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所有文件、往来函件均应使用简体中文（规格、型号辅助符号</w:t>
      </w:r>
      <w:r>
        <w:rPr>
          <w:rFonts w:hint="eastAsia"/>
          <w:bCs/>
          <w:color w:val="000000" w:themeColor="text1"/>
          <w:sz w:val="24"/>
          <w:szCs w:val="24"/>
          <w:highlight w:val="none"/>
          <w:lang w:eastAsia="zh-CN"/>
        </w:rPr>
        <w:t xml:space="preserve">除外</w:t>
      </w:r>
      <w:r>
        <w:rPr>
          <w:bCs/>
          <w:color w:val="000000" w:themeColor="text1"/>
          <w:sz w:val="24"/>
          <w:szCs w:val="24"/>
          <w:highlight w:val="none"/>
        </w:rPr>
        <w:t xml:space="preserve">）。</w:t>
      </w:r>
      <w:r>
        <w:rPr>
          <w:color w:val="000000" w:themeColor="text1"/>
          <w:highlight w:val="none"/>
        </w:rP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投标文件由</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按要求如实填写，须有</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（签章）、法定代表人或法定代表人授权代表签章，方为有效，未尽事宜可自行补充。</w:t>
      </w:r>
      <w:r>
        <w:rPr>
          <w:color w:val="000000" w:themeColor="text1"/>
          <w:highlight w:val="none"/>
        </w:rP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color w:val="000000" w:themeColor="text1"/>
          <w:sz w:val="24"/>
          <w:szCs w:val="24"/>
          <w:highlight w:val="none"/>
          <w:lang w:val="zh-CN"/>
        </w:rPr>
        <w:t xml:space="preserve">如无特别说明，</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报价一律以人民币为投标结算货币</w:t>
      </w:r>
      <w:r>
        <w:rPr>
          <w:rFonts w:hint="eastAsia"/>
          <w:bCs/>
          <w:color w:val="000000" w:themeColor="text1"/>
          <w:sz w:val="24"/>
          <w:szCs w:val="24"/>
          <w:highlight w:val="none"/>
        </w:rPr>
        <w:t xml:space="preserve">，</w:t>
      </w:r>
      <w:r>
        <w:rPr>
          <w:bCs/>
          <w:color w:val="000000" w:themeColor="text1"/>
          <w:sz w:val="24"/>
          <w:szCs w:val="24"/>
          <w:highlight w:val="none"/>
        </w:rPr>
        <w:t xml:space="preserve">结算单位为“元”。</w:t>
      </w:r>
      <w:r>
        <w:rPr>
          <w:color w:val="000000" w:themeColor="text1"/>
          <w:highlight w:val="none"/>
        </w:rPr>
      </w:r>
    </w:p>
    <w:p>
      <w:pPr>
        <w:numPr>
          <w:ilvl w:val="0"/>
          <w:numId w:val="6"/>
        </w:numPr>
        <w:ind w:left="0"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投标费用自理。</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（八）网上投标</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投标供应商应由其法定代表人或法定代表人授权代表在规定的网上投标时间内，凭CA数字证书</w:t>
      </w:r>
      <w:r>
        <w:rPr>
          <w:rFonts w:hint="eastAsia" w:ascii="宋体" w:hAnsi="宋体"/>
          <w:bCs/>
          <w:color w:val="000000" w:themeColor="text1"/>
          <w:sz w:val="24"/>
          <w:szCs w:val="24"/>
          <w:highlight w:val="none"/>
          <w:lang w:eastAsia="zh-CN"/>
        </w:rPr>
        <w:t xml:space="preserve">登录</w:t>
      </w:r>
      <w:r>
        <w:rPr>
          <w:rFonts w:hint="eastAsia" w:ascii="宋体" w:hAnsi="宋体"/>
          <w:bCs/>
          <w:color w:val="000000" w:themeColor="text1"/>
          <w:sz w:val="24"/>
          <w:szCs w:val="24"/>
          <w:highlight w:val="none"/>
        </w:rPr>
        <w:t xml:space="preserve">苏采云平台获取招标文件，在投标客户端制作投标文件（电子数据），并在投标截止时间之前上传投标文件。</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投标供应商应对CA数字证书妥善保管，如被他人盗用投标，后果自负。</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投标供应商按招标文件规定的网上解密时间进行解密，如未按时解密后果自负。</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投标供应商应当对招标文件提出的要求和条件作出实质性响应，并在电子投标系统逐条应答。</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投标供应商应对要求提供的资格证明文件（如资质证书、资格证书）、技术资料（如白皮书、彩页、手册、检测报告等）扫描上传至投标系统。</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投标供应商进行网上投标请参照《政府采购项目电子交易管理操作指南－供应商》。</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
          <w:color w:val="000000" w:themeColor="text1"/>
          <w:sz w:val="24"/>
          <w:szCs w:val="24"/>
          <w:highlight w:val="none"/>
        </w:rPr>
      </w:pPr>
      <w:r>
        <w:rPr>
          <w:rFonts w:hint="eastAsia" w:ascii="宋体" w:hAnsi="宋体"/>
          <w:bCs/>
          <w:color w:val="000000" w:themeColor="text1"/>
          <w:sz w:val="24"/>
          <w:szCs w:val="24"/>
          <w:highlight w:val="none"/>
        </w:rPr>
        <w:t xml:space="preserve">因投标供应商原因造成投标文件未解密的，视为撤销其投标文件，部分投标文件未解密的，其他投标文件的开标可以继续进行。</w:t>
      </w:r>
      <w:r>
        <w:rPr>
          <w:color w:val="000000" w:themeColor="text1"/>
          <w:highlight w:val="none"/>
        </w:rPr>
      </w:r>
    </w:p>
    <w:p>
      <w:pPr>
        <w:numPr>
          <w:ilvl w:val="0"/>
          <w:numId w:val="7"/>
        </w:numPr>
        <w:ind w:left="1" w:firstLine="523"/>
        <w:spacing w:line="360" w:lineRule="auto"/>
        <w:tabs>
          <w:tab w:val="left" w:pos="525" w:leader="none"/>
          <w:tab w:val="left" w:pos="945"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（九）无效投标文件的确认：</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有下列情况之一者，投标文件无效：</w:t>
      </w:r>
      <w:r>
        <w:rPr>
          <w:color w:val="000000" w:themeColor="text1"/>
          <w:highlight w:val="none"/>
        </w:rPr>
      </w:r>
    </w:p>
    <w:p>
      <w:pPr>
        <w:numPr>
          <w:ilvl w:val="0"/>
          <w:numId w:val="8"/>
        </w:numPr>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未按规定在江苏省政府采购（苏采云）平台注册的；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投标人未按招标文件要求解密电子投标文件的；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投标人的法定代表人授权代表，无法定代表人授权委托书的；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不具备招标文件中规定的资格要求或未按招标文件规定的要求提供资格、资信证明文件的；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被“信用中国”网站（</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Fonts w:hint="eastAsia" w:ascii="宋体" w:hAnsi="宋体"/>
          <w:color w:val="000000" w:themeColor="text1"/>
          <w:sz w:val="24"/>
          <w:szCs w:val="24"/>
          <w:highlight w:val="none"/>
        </w:rPr>
        <w:t xml:space="preserve">www.creditchina.gov.cn</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）、中国政府采购网（www.ccgp.gov.cn）列入失信被执行人、重大税收违法案件当事人名单、政府采购严重违法失信行为记录名单的；</w:t>
      </w:r>
      <w:r>
        <w:rPr>
          <w:color w:val="000000" w:themeColor="text1"/>
          <w:highlight w:val="none"/>
        </w:rPr>
      </w:r>
    </w:p>
    <w:p>
      <w:pPr>
        <w:numPr>
          <w:ilvl w:val="0"/>
          <w:numId w:val="8"/>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投标文件未按招标文件规定的内容和要求填写的；没有在投标系统指定位置上传对应文件、材料的；</w:t>
      </w:r>
      <w:r>
        <w:rPr>
          <w:color w:val="000000" w:themeColor="text1"/>
          <w:highlight w:val="none"/>
        </w:rPr>
      </w:r>
    </w:p>
    <w:p>
      <w:pPr>
        <w:numPr>
          <w:ilvl w:val="0"/>
          <w:numId w:val="8"/>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电子投标文件图片、字迹模糊不清、无法辨认的；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电子投标文件中技术文件暗标（如有）部分有体现投标人身份的内容；</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投标文件中有招标文件未允许提供的选择性内容；</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p>
    <w:p>
      <w:pPr>
        <w:numPr>
          <w:ilvl w:val="0"/>
          <w:numId w:val="8"/>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不同投标人的投标文件的上传形式、目录序号、排版格式、文字风格等存在明显的相似性或一致性，特征显示由同一单位或者同一个人编制的；</w:t>
      </w:r>
      <w:r>
        <w:rPr>
          <w:color w:val="000000" w:themeColor="text1"/>
          <w:highlight w:val="none"/>
        </w:rPr>
      </w:r>
    </w:p>
    <w:p>
      <w:pPr>
        <w:numPr>
          <w:ilvl w:val="0"/>
          <w:numId w:val="8"/>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color w:val="000000" w:themeColor="text1"/>
          <w:highlight w:val="none"/>
        </w:rPr>
      </w:r>
    </w:p>
    <w:p>
      <w:pPr>
        <w:numPr>
          <w:ilvl w:val="0"/>
          <w:numId w:val="8"/>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项目（标段）投标总价超过本项目（标段）预算或最高限价的；</w:t>
      </w:r>
      <w:r>
        <w:rPr>
          <w:color w:val="000000" w:themeColor="text1"/>
          <w:highlight w:val="none"/>
        </w:rPr>
      </w:r>
    </w:p>
    <w:p>
      <w:pPr>
        <w:numPr>
          <w:ilvl w:val="0"/>
          <w:numId w:val="8"/>
        </w:numPr>
        <w:ind w:left="1"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p>
    <w:p>
      <w:pPr>
        <w:numPr>
          <w:ilvl w:val="0"/>
          <w:numId w:val="8"/>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投标文件含有采购人不能接受的附加条件的；</w:t>
      </w:r>
      <w:r>
        <w:rPr>
          <w:color w:val="000000" w:themeColor="text1"/>
          <w:highlight w:val="none"/>
        </w:rPr>
      </w:r>
    </w:p>
    <w:p>
      <w:pPr>
        <w:numPr>
          <w:ilvl w:val="0"/>
          <w:numId w:val="8"/>
        </w:numPr>
        <w:ind w:left="1" w:firstLine="523"/>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themeColor="text1"/>
          <w:highlight w:val="none"/>
        </w:rP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评标委员会启动异常低价投标（响应）审查的情形和具体要求，包括：</w:t>
      </w:r>
      <w:r>
        <w:rPr>
          <w:color w:val="000000" w:themeColor="text1"/>
          <w:highlight w:val="none"/>
        </w:rP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（1）评审过程中出现下列情形之一的，评标委员会应当启动异常低价投标（响应）审查程序：</w:t>
      </w:r>
      <w:r>
        <w:rPr>
          <w:color w:val="000000" w:themeColor="text1"/>
          <w:highlight w:val="none"/>
        </w:rP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①投标（响应）报价低于采购项目预算50%的，即投标（响应）报价＜采购项目预算×50%；</w:t>
      </w:r>
      <w:r>
        <w:rPr>
          <w:color w:val="000000" w:themeColor="text1"/>
          <w:highlight w:val="none"/>
        </w:rP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②投标（响应）报价低于采购项目最高限价45%的，即投标（响应）报价＜采购项目最高限价×45%；</w:t>
      </w:r>
      <w:r>
        <w:rPr>
          <w:color w:val="000000" w:themeColor="text1"/>
          <w:highlight w:val="none"/>
        </w:rP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③评标委员会认定的供应商报价过低、有可能影响产品质量或者不能诚信履约的其他情形。</w:t>
      </w:r>
      <w:r>
        <w:rPr>
          <w:color w:val="000000" w:themeColor="text1"/>
          <w:highlight w:val="none"/>
        </w:rPr>
      </w:r>
    </w:p>
    <w:p>
      <w:pPr>
        <w:ind w:firstLine="480"/>
        <w:spacing w:line="360" w:lineRule="auto"/>
        <w:tabs>
          <w:tab w:val="left" w:pos="94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color w:val="000000" w:themeColor="text1"/>
          <w:highlight w:val="none"/>
        </w:rPr>
      </w:r>
    </w:p>
    <w:p>
      <w:pPr>
        <w:numPr>
          <w:ilvl w:val="0"/>
          <w:numId w:val="8"/>
        </w:numPr>
        <w:ind w:left="1" w:firstLine="523"/>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p>
    <w:p>
      <w:pPr>
        <w:numPr>
          <w:ilvl w:val="0"/>
          <w:numId w:val="8"/>
        </w:numPr>
        <w:ind w:left="1" w:firstLine="523"/>
        <w:spacing w:line="360" w:lineRule="auto"/>
        <w:tabs>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投标文件内容不全或不符合招标文件中规定的其他实质性要求的；</w:t>
      </w:r>
      <w:r>
        <w:rPr>
          <w:color w:val="000000" w:themeColor="text1"/>
          <w:highlight w:val="none"/>
        </w:rPr>
      </w:r>
    </w:p>
    <w:p>
      <w:pPr>
        <w:numPr>
          <w:ilvl w:val="0"/>
          <w:numId w:val="8"/>
        </w:numPr>
        <w:ind w:left="1" w:firstLine="523"/>
        <w:spacing w:line="360" w:lineRule="auto"/>
        <w:tabs>
          <w:tab w:val="left" w:pos="945"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法律法规和招标文件规定的其他无效情形。</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（十）开标、评标：</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所有投标单位在招标文件规定的时间内解密各自投标文件；</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投标截止时间后参加投标的</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或解密投标文件的</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不足三家的，不开标；开标后，所有</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可在线上开标大厅中看到所有</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的投标报价；</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开标时，投标文件报价出现前后不一致的，按照下列规定修正：</w:t>
      </w:r>
      <w:r>
        <w:rPr>
          <w:color w:val="000000" w:themeColor="text1"/>
          <w:highlight w:val="none"/>
        </w:rPr>
      </w:r>
    </w:p>
    <w:p>
      <w:pPr>
        <w:ind w:firstLine="480"/>
        <w:spacing w:line="360" w:lineRule="auto"/>
        <w:tabs>
          <w:tab w:val="left" w:pos="630" w:leader="none"/>
          <w:tab w:val="left" w:pos="945" w:leader="none"/>
          <w:tab w:val="left" w:pos="1155" w:leader="none"/>
          <w:tab w:val="left" w:pos="1554" w:leader="none"/>
        </w:tabs>
        <w:rPr>
          <w:bCs/>
          <w:color w:val="000000" w:themeColor="text1"/>
          <w:sz w:val="24"/>
          <w:szCs w:val="24"/>
          <w:highlight w:val="none"/>
        </w:rPr>
      </w:pPr>
      <w:r>
        <w:rPr>
          <w:bCs/>
          <w:color w:val="000000" w:themeColor="text1"/>
          <w:sz w:val="24"/>
          <w:szCs w:val="24"/>
          <w:highlight w:val="none"/>
        </w:rPr>
        <w:t xml:space="preserve">（一）投标文件中开标一览表（报价表）内容与投标文件中相应内容不一致的，以开标一览表（报价表）为准；</w:t>
      </w:r>
      <w:r>
        <w:rPr>
          <w:color w:val="000000" w:themeColor="text1"/>
          <w:highlight w:val="none"/>
        </w:rPr>
      </w:r>
    </w:p>
    <w:p>
      <w:pPr>
        <w:ind w:firstLine="480"/>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（二）大写金额和小写金额不一致的，以大写金额为准；</w:t>
      </w:r>
      <w:r>
        <w:rPr>
          <w:color w:val="000000" w:themeColor="text1"/>
          <w:highlight w:val="none"/>
        </w:rPr>
      </w:r>
    </w:p>
    <w:p>
      <w:pPr>
        <w:ind w:firstLine="480"/>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（三）单价金额小数点或者百分比有明显错位的，以开标一览表的总价为准，并修改单价；</w:t>
      </w:r>
      <w:r>
        <w:rPr>
          <w:color w:val="000000" w:themeColor="text1"/>
          <w:highlight w:val="none"/>
        </w:rPr>
      </w:r>
    </w:p>
    <w:p>
      <w:pPr>
        <w:ind w:firstLine="480"/>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（四）总价金额与按单价汇总金额不一致的，以单价金额计算结果为准。</w:t>
      </w:r>
      <w:r>
        <w:rPr>
          <w:color w:val="000000" w:themeColor="text1"/>
          <w:highlight w:val="none"/>
        </w:rPr>
      </w:r>
    </w:p>
    <w:p>
      <w:pPr>
        <w:ind w:firstLine="480"/>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同时出现两种以上不一致的，按照前款规定的顺序修正。修正后的报价评标委员会应当以书面形式要求</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作出必要的澄清、说明或者补正，经</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确认后产生约束力，</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不确认的，其投标无效。</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电子投标文件与纸质投标文件（如有）不符的，以电子投标文件为准。</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未参加开标的，视同认可开标结果。</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评标程序</w:t>
      </w:r>
      <w:r>
        <w:rPr>
          <w:color w:val="000000" w:themeColor="text1"/>
          <w:highlight w:val="none"/>
        </w:rPr>
      </w:r>
    </w:p>
    <w:p>
      <w:pPr>
        <w:ind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评标工作由江苏智汇锡建工程项目管理有限公司负责组织，具体评标事务由依法组建的评标委员会负责。</w:t>
      </w:r>
      <w:r>
        <w:rPr>
          <w:color w:val="000000" w:themeColor="text1"/>
          <w:highlight w:val="none"/>
        </w:rPr>
      </w:r>
    </w:p>
    <w:p>
      <w:pPr>
        <w:numPr>
          <w:ilvl w:val="0"/>
          <w:numId w:val="10"/>
        </w:numPr>
        <w:ind w:left="0" w:firstLine="523"/>
        <w:spacing w:line="360" w:lineRule="auto"/>
        <w:tabs>
          <w:tab w:val="left" w:pos="63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投标文件初审。初审分为资格性检查和符合性检查。</w:t>
      </w:r>
      <w:r>
        <w:rPr>
          <w:color w:val="000000" w:themeColor="text1"/>
          <w:highlight w:val="none"/>
        </w:rP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000000" w:themeColor="text1"/>
          <w:sz w:val="24"/>
          <w:szCs w:val="24"/>
          <w:highlight w:val="none"/>
        </w:rPr>
      </w:pPr>
      <w:r>
        <w:rPr>
          <w:bCs/>
          <w:color w:val="000000" w:themeColor="text1"/>
          <w:sz w:val="24"/>
          <w:szCs w:val="24"/>
          <w:highlight w:val="none"/>
        </w:rPr>
        <w:t xml:space="preserve">资格性检查。采购人依据法律法规和招标文件的规定，对投标文件中的资格证明、投标（报价）承诺函等进行审查；通过“信用中国”网站（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bCs/>
          <w:color w:val="000000" w:themeColor="text1"/>
          <w:sz w:val="24"/>
          <w:szCs w:val="24"/>
          <w:highlight w:val="none"/>
        </w:rPr>
        <w:t xml:space="preserve">www.creditchina.gov.cn</w:t>
      </w:r>
      <w:r>
        <w:rPr>
          <w:bCs/>
          <w:color w:val="000000" w:themeColor="text1"/>
          <w:sz w:val="24"/>
          <w:szCs w:val="24"/>
          <w:highlight w:val="none"/>
        </w:rPr>
        <w:fldChar w:fldCharType="end"/>
      </w:r>
      <w:r>
        <w:rPr>
          <w:bCs/>
          <w:color w:val="000000" w:themeColor="text1"/>
          <w:sz w:val="24"/>
          <w:szCs w:val="24"/>
          <w:highlight w:val="none"/>
        </w:rPr>
        <w:t xml:space="preserve">）、</w:t>
      </w:r>
      <w:r>
        <w:rPr>
          <w:color w:val="000000" w:themeColor="text1"/>
          <w:sz w:val="24"/>
          <w:szCs w:val="24"/>
          <w:highlight w:val="none"/>
        </w:rPr>
        <w:t xml:space="preserve">中国政府采购网</w:t>
      </w:r>
      <w:r>
        <w:rPr>
          <w:rFonts w:hint="eastAsia"/>
          <w:color w:val="000000" w:themeColor="text1"/>
          <w:sz w:val="24"/>
          <w:szCs w:val="24"/>
          <w:highlight w:val="none"/>
        </w:rPr>
        <w:t xml:space="preserve">（</w:t>
      </w:r>
      <w:r>
        <w:rPr>
          <w:color w:val="000000" w:themeColor="text1"/>
          <w:sz w:val="24"/>
          <w:szCs w:val="24"/>
          <w:highlight w:val="none"/>
        </w:rPr>
        <w:t xml:space="preserve">www.ccgp.gov.cn</w:t>
      </w:r>
      <w:r>
        <w:rPr>
          <w:rFonts w:hint="eastAsia"/>
          <w:color w:val="000000" w:themeColor="text1"/>
          <w:sz w:val="24"/>
          <w:szCs w:val="24"/>
          <w:highlight w:val="none"/>
        </w:rPr>
        <w:t xml:space="preserve">）</w:t>
      </w:r>
      <w:r>
        <w:rPr>
          <w:bCs/>
          <w:color w:val="000000" w:themeColor="text1"/>
          <w:sz w:val="24"/>
          <w:szCs w:val="24"/>
          <w:highlight w:val="none"/>
        </w:rPr>
        <w:t xml:space="preserve">查询</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在投标截止时间之前，是否被列入</w:t>
      </w:r>
      <w:r>
        <w:rPr>
          <w:color w:val="000000" w:themeColor="text1"/>
          <w:sz w:val="24"/>
          <w:szCs w:val="24"/>
          <w:highlight w:val="none"/>
        </w:rPr>
        <w:t xml:space="preserve">失信被执行人、重大税收违法案件当事人名单、政府采购严重违法失信行为记录名单，</w:t>
      </w:r>
      <w:r>
        <w:rPr>
          <w:bCs/>
          <w:color w:val="000000" w:themeColor="text1"/>
          <w:sz w:val="24"/>
          <w:szCs w:val="24"/>
          <w:highlight w:val="none"/>
        </w:rPr>
        <w:t xml:space="preserve">以确定</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是否具备投标资格。信用</w:t>
      </w:r>
      <w:r>
        <w:rPr>
          <w:color w:val="000000" w:themeColor="text1"/>
          <w:sz w:val="24"/>
          <w:szCs w:val="24"/>
          <w:highlight w:val="none"/>
        </w:rPr>
        <w:t xml:space="preserve">查询结果以网页打印的形式留存并归档。</w:t>
      </w:r>
      <w:r>
        <w:rPr>
          <w:color w:val="000000" w:themeColor="text1"/>
          <w:highlight w:val="none"/>
        </w:rP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000000" w:themeColor="text1"/>
          <w:sz w:val="24"/>
          <w:szCs w:val="24"/>
          <w:highlight w:val="none"/>
        </w:rPr>
      </w:pPr>
      <w:r>
        <w:rPr>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000000" w:themeColor="text1"/>
          <w:highlight w:val="none"/>
        </w:rPr>
      </w:r>
    </w:p>
    <w:p>
      <w:pPr>
        <w:numPr>
          <w:ilvl w:val="0"/>
          <w:numId w:val="10"/>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澄清有关问题。对投标文件中含义不明确、同类问题表述不一致或者有明显文字和计算错误的内容，评标委员会可以通过苏采云平台发起询标要求</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作出必要的澄清、说明或者纠正。</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的澄清、说明或者补正应当通过苏采云平台，由其授权的代表应答并加盖电子公章，且不得超出投标文件的范围或者改变投标文件的实质性内容。</w:t>
      </w:r>
      <w:r>
        <w:rPr>
          <w:color w:val="000000" w:themeColor="text1"/>
          <w:highlight w:val="none"/>
        </w:rPr>
      </w:r>
    </w:p>
    <w:p>
      <w:pPr>
        <w:numPr>
          <w:ilvl w:val="0"/>
          <w:numId w:val="10"/>
        </w:numPr>
        <w:ind w:left="0" w:firstLine="523"/>
        <w:spacing w:line="360" w:lineRule="auto"/>
        <w:tabs>
          <w:tab w:val="left" w:pos="945" w:leader="none"/>
          <w:tab w:val="left" w:pos="1155" w:leader="none"/>
          <w:tab w:val="left" w:pos="1365" w:leader="none"/>
        </w:tabs>
        <w:rPr>
          <w:bCs/>
          <w:color w:val="000000" w:themeColor="text1"/>
          <w:sz w:val="24"/>
          <w:szCs w:val="24"/>
          <w:highlight w:val="none"/>
        </w:rPr>
      </w:pPr>
      <w:r>
        <w:rPr>
          <w:bCs/>
          <w:color w:val="000000" w:themeColor="text1"/>
          <w:sz w:val="24"/>
          <w:highlight w:val="none"/>
        </w:rPr>
        <w:t xml:space="preserve">比较与评价。按招标文件中规定的评标方法和标准，对资格性检查和符合性检查合格的投标文件进行商务和技术评估，综合比较与评价</w:t>
      </w:r>
      <w:r>
        <w:rPr>
          <w:bCs/>
          <w:color w:val="000000" w:themeColor="text1"/>
          <w:sz w:val="24"/>
          <w:szCs w:val="24"/>
          <w:highlight w:val="none"/>
        </w:rPr>
        <w:t xml:space="preserve">。</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评标方法</w:t>
      </w:r>
      <w:r>
        <w:rPr>
          <w:color w:val="000000" w:themeColor="text1"/>
          <w:highlight w:val="none"/>
        </w:rPr>
      </w:r>
    </w:p>
    <w:p>
      <w:pPr>
        <w:ind w:firstLine="523"/>
        <w:spacing w:line="360" w:lineRule="auto"/>
        <w:tabs>
          <w:tab w:val="left" w:pos="945" w:leader="none"/>
        </w:tabs>
        <w:rPr>
          <w:bCs/>
          <w:color w:val="000000" w:themeColor="text1"/>
          <w:sz w:val="24"/>
          <w:szCs w:val="24"/>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通过初审的，方可进入</w:t>
      </w:r>
      <w:r>
        <w:rPr>
          <w:bCs/>
          <w:color w:val="000000" w:themeColor="text1"/>
          <w:sz w:val="24"/>
          <w:highlight w:val="none"/>
        </w:rPr>
        <w:t xml:space="preserve">比较与评价程序</w:t>
      </w:r>
      <w:r>
        <w:rPr>
          <w:bCs/>
          <w:color w:val="000000" w:themeColor="text1"/>
          <w:sz w:val="24"/>
          <w:szCs w:val="24"/>
          <w:highlight w:val="none"/>
        </w:rPr>
        <w:t xml:space="preserve">。</w:t>
      </w:r>
      <w:r>
        <w:rPr>
          <w:color w:val="000000" w:themeColor="text1"/>
          <w:highlight w:val="none"/>
        </w:rPr>
      </w:r>
    </w:p>
    <w:p>
      <w:pPr>
        <w:ind w:firstLine="523"/>
        <w:spacing w:line="360" w:lineRule="auto"/>
        <w:tabs>
          <w:tab w:val="left" w:pos="945" w:leader="none"/>
        </w:tabs>
        <w:rPr>
          <w:bCs/>
          <w:color w:val="000000" w:themeColor="text1"/>
          <w:sz w:val="24"/>
          <w:szCs w:val="24"/>
          <w:highlight w:val="none"/>
        </w:rPr>
      </w:pPr>
      <w:r>
        <w:rPr>
          <w:bCs/>
          <w:color w:val="000000" w:themeColor="text1"/>
          <w:sz w:val="24"/>
          <w:highlight w:val="none"/>
        </w:rPr>
        <w:t xml:space="preserve">比较与评价</w:t>
      </w:r>
      <w:r>
        <w:rPr>
          <w:bCs/>
          <w:color w:val="000000" w:themeColor="text1"/>
          <w:sz w:val="24"/>
          <w:szCs w:val="24"/>
          <w:highlight w:val="none"/>
        </w:rPr>
        <w:t xml:space="preserve">采用综合评分法。 </w:t>
      </w:r>
      <w:r>
        <w:rPr>
          <w:color w:val="000000" w:themeColor="text1"/>
          <w:highlight w:val="none"/>
        </w:rPr>
      </w:r>
    </w:p>
    <w:p>
      <w:pPr>
        <w:ind w:firstLine="523"/>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评标委员会遵循公平、公正、择优原则，独立按照评分标准分别评定</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的分值；各</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排名第一，为中标单位。</w:t>
      </w:r>
      <w:r>
        <w:rPr>
          <w:color w:val="000000" w:themeColor="text1"/>
          <w:highlight w:val="none"/>
        </w:rPr>
      </w:r>
    </w:p>
    <w:p>
      <w:pPr>
        <w:numPr>
          <w:ilvl w:val="1"/>
          <w:numId w:val="9"/>
        </w:numPr>
        <w:ind w:left="1" w:firstLine="523"/>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评分标准</w:t>
      </w:r>
      <w:r>
        <w:rPr>
          <w:color w:val="000000" w:themeColor="text1"/>
          <w:highlight w:val="none"/>
        </w:rPr>
      </w:r>
    </w:p>
    <w:p>
      <w:pPr>
        <w:ind w:left="524"/>
        <w:spacing w:line="360" w:lineRule="auto"/>
        <w:tabs>
          <w:tab w:val="left" w:pos="525" w:leader="none"/>
          <w:tab w:val="left" w:pos="945" w:leader="none"/>
        </w:tabs>
        <w:rPr>
          <w:bCs/>
          <w:color w:val="000000" w:themeColor="text1"/>
          <w:sz w:val="24"/>
          <w:szCs w:val="24"/>
          <w:highlight w:val="none"/>
        </w:rPr>
      </w:pPr>
      <w:r>
        <w:rPr>
          <w:bCs/>
          <w:color w:val="000000" w:themeColor="text1"/>
          <w:sz w:val="24"/>
          <w:szCs w:val="24"/>
          <w:highlight w:val="none"/>
        </w:rPr>
        <w:t xml:space="preserve">详见附件。</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（十一） 定标：</w:t>
      </w:r>
      <w:r>
        <w:rPr>
          <w:color w:val="000000" w:themeColor="text1"/>
          <w:highlight w:val="none"/>
        </w:rPr>
      </w:r>
    </w:p>
    <w:p>
      <w:pPr>
        <w:numPr>
          <w:ilvl w:val="0"/>
          <w:numId w:val="2"/>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评标委员会根据招标文件规定的评标方法和评标标准进行评审，按招标文件的要求依法确定中标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。江苏智汇锡建工程项目管理有限公司将在</w:t>
      </w:r>
      <w:r>
        <w:rPr>
          <w:rFonts w:hint="eastAsia"/>
          <w:bCs/>
          <w:color w:val="000000" w:themeColor="text1"/>
          <w:sz w:val="24"/>
          <w:szCs w:val="24"/>
          <w:highlight w:val="none"/>
        </w:rPr>
        <w:t xml:space="preserve">江苏政府采购网</w:t>
      </w:r>
      <w:r>
        <w:rPr>
          <w:bCs/>
          <w:color w:val="000000" w:themeColor="text1"/>
          <w:sz w:val="24"/>
          <w:szCs w:val="24"/>
          <w:highlight w:val="none"/>
        </w:rPr>
        <w:t xml:space="preserve">发布中标公告。如有质疑，应在法定质疑期限内，即</w:t>
      </w:r>
      <w:r>
        <w:rPr>
          <w:color w:val="000000" w:themeColor="text1"/>
          <w:sz w:val="24"/>
          <w:szCs w:val="24"/>
          <w:highlight w:val="none"/>
        </w:rPr>
        <w:t xml:space="preserve">中标公告</w:t>
      </w:r>
      <w:r>
        <w:rPr>
          <w:bCs/>
          <w:color w:val="000000" w:themeColor="text1"/>
          <w:sz w:val="24"/>
          <w:highlight w:val="none"/>
        </w:rPr>
        <w:t xml:space="preserve">期限届满之日</w:t>
      </w:r>
      <w:r>
        <w:rPr>
          <w:color w:val="000000" w:themeColor="text1"/>
          <w:sz w:val="24"/>
          <w:szCs w:val="24"/>
          <w:highlight w:val="none"/>
        </w:rPr>
        <w:t xml:space="preserve">起7个工作日</w:t>
      </w:r>
      <w:r>
        <w:rPr>
          <w:bCs/>
          <w:color w:val="000000" w:themeColor="text1"/>
          <w:sz w:val="24"/>
          <w:szCs w:val="24"/>
          <w:highlight w:val="none"/>
        </w:rPr>
        <w:t xml:space="preserve">内，以书面形式（原件）送达江苏智汇锡建工程项目管理有限公司，并且针对同一采购程序环节的质疑，须在法定质疑期内一次性提出。质疑函的质疑事项应具体、明确，</w:t>
      </w:r>
      <w:r>
        <w:rPr>
          <w:rFonts w:hint="eastAsia"/>
          <w:bCs/>
          <w:color w:val="000000" w:themeColor="text1"/>
          <w:sz w:val="24"/>
          <w:szCs w:val="24"/>
          <w:highlight w:val="none"/>
        </w:rPr>
        <w:t xml:space="preserve">并具</w:t>
      </w:r>
      <w:r>
        <w:rPr>
          <w:bCs/>
          <w:color w:val="000000" w:themeColor="text1"/>
          <w:sz w:val="24"/>
          <w:szCs w:val="24"/>
          <w:highlight w:val="none"/>
        </w:rPr>
        <w:t xml:space="preserve">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bCs/>
          <w:color w:val="000000" w:themeColor="text1"/>
          <w:sz w:val="24"/>
          <w:szCs w:val="24"/>
          <w:highlight w:val="none"/>
        </w:rPr>
        <w:t xml:space="preserve">政府采购</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质疑函范本</w:t>
      </w:r>
      <w:r>
        <w:rPr>
          <w:bCs/>
          <w:color w:val="000000" w:themeColor="text1"/>
          <w:sz w:val="24"/>
          <w:szCs w:val="24"/>
          <w:highlight w:val="none"/>
        </w:rPr>
        <w:fldChar w:fldCharType="end"/>
      </w:r>
      <w:r>
        <w:rPr>
          <w:bCs/>
          <w:color w:val="000000" w:themeColor="text1"/>
          <w:sz w:val="24"/>
          <w:szCs w:val="24"/>
          <w:highlight w:val="none"/>
        </w:rPr>
        <w:t xml:space="preserve">》）。江苏智汇锡建工程项目管理有限公司将在收到符合上述要求的书面质疑后七个工作日内，对质疑内容</w:t>
      </w:r>
      <w:r>
        <w:rPr>
          <w:rFonts w:hint="eastAsia"/>
          <w:bCs/>
          <w:color w:val="000000" w:themeColor="text1"/>
          <w:sz w:val="24"/>
          <w:szCs w:val="24"/>
          <w:highlight w:val="none"/>
        </w:rPr>
        <w:t xml:space="preserve">作出</w:t>
      </w:r>
      <w:r>
        <w:rPr>
          <w:bCs/>
          <w:color w:val="000000" w:themeColor="text1"/>
          <w:sz w:val="24"/>
          <w:szCs w:val="24"/>
          <w:highlight w:val="none"/>
        </w:rPr>
        <w:t xml:space="preserve">答复。</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在法定质疑期限外送达的质疑函或法定质疑期限内送达的质疑函不符合上述要求的均为无效质疑，江苏智汇锡建工程项目管理有限公司对无效质疑不予受理。如质疑查无实据或</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捏造事实，提供虚假材料进行恶意举报，不配合或采用不正当手段干扰政府采购质疑的，将记入</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在江苏省和无锡市的政府采购“</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诚信记录”，并按相关规定处理。</w:t>
      </w:r>
      <w:r>
        <w:rPr>
          <w:color w:val="000000" w:themeColor="text1"/>
          <w:highlight w:val="none"/>
        </w:rPr>
      </w:r>
    </w:p>
    <w:p>
      <w:pPr>
        <w:numPr>
          <w:ilvl w:val="0"/>
          <w:numId w:val="2"/>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江苏智汇锡建工程项目管理有限公司向中标</w:t>
      </w:r>
      <w:r>
        <w:rPr>
          <w:rFonts w:hint="eastAsia"/>
          <w:bCs/>
          <w:color w:val="000000" w:themeColor="text1"/>
          <w:sz w:val="24"/>
          <w:szCs w:val="24"/>
          <w:highlight w:val="none"/>
        </w:rPr>
        <w:t xml:space="preserve">投标供应商发出</w:t>
      </w:r>
      <w:r>
        <w:rPr>
          <w:bCs/>
          <w:color w:val="000000" w:themeColor="text1"/>
          <w:sz w:val="24"/>
          <w:szCs w:val="24"/>
          <w:highlight w:val="none"/>
        </w:rPr>
        <w:t xml:space="preserve">中标通知书。</w:t>
      </w:r>
      <w:r>
        <w:rPr>
          <w:color w:val="000000" w:themeColor="text1"/>
          <w:highlight w:val="none"/>
        </w:rPr>
      </w:r>
    </w:p>
    <w:p>
      <w:pPr>
        <w:numPr>
          <w:ilvl w:val="0"/>
          <w:numId w:val="2"/>
        </w:numPr>
        <w:ind w:left="0" w:firstLine="523"/>
        <w:spacing w:line="360" w:lineRule="auto"/>
        <w:tabs>
          <w:tab w:val="left" w:pos="525" w:leader="none"/>
          <w:tab w:val="left" w:pos="945" w:leader="none"/>
          <w:tab w:val="left" w:pos="1155" w:leader="none"/>
        </w:tabs>
        <w:rPr>
          <w:bCs/>
          <w:color w:val="000000" w:themeColor="text1"/>
          <w:sz w:val="24"/>
          <w:szCs w:val="24"/>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电子投标文件将作为电子档案保存。</w:t>
      </w:r>
      <w:r>
        <w:rPr>
          <w:color w:val="000000" w:themeColor="text1"/>
          <w:highlight w:val="none"/>
        </w:rP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（十二） 废标的确认：</w:t>
      </w:r>
      <w:r>
        <w:rPr>
          <w:color w:val="000000" w:themeColor="text1"/>
          <w:highlight w:val="none"/>
        </w:rPr>
      </w:r>
    </w:p>
    <w:p>
      <w:pPr>
        <w:ind w:firstLine="480"/>
        <w:spacing w:line="360" w:lineRule="auto"/>
        <w:rPr>
          <w:bCs/>
          <w:color w:val="000000" w:themeColor="text1"/>
          <w:sz w:val="24"/>
          <w:szCs w:val="24"/>
          <w:highlight w:val="none"/>
        </w:rPr>
      </w:pPr>
      <w:r>
        <w:rPr>
          <w:bCs/>
          <w:color w:val="000000" w:themeColor="text1"/>
          <w:sz w:val="24"/>
          <w:szCs w:val="24"/>
          <w:highlight w:val="none"/>
        </w:rPr>
        <w:t xml:space="preserve">在招标采购中，出现下列情况之一的，应予废标：</w:t>
      </w:r>
      <w:r>
        <w:rPr>
          <w:color w:val="000000" w:themeColor="text1"/>
          <w:highlight w:val="none"/>
        </w:rPr>
      </w:r>
    </w:p>
    <w:p>
      <w:pPr>
        <w:numPr>
          <w:ilvl w:val="0"/>
          <w:numId w:val="12"/>
        </w:numPr>
        <w:ind w:left="0" w:firstLine="525"/>
        <w:spacing w:line="360" w:lineRule="auto"/>
        <w:tabs>
          <w:tab w:val="left" w:pos="525" w:leader="none"/>
          <w:tab w:val="left" w:pos="945" w:leader="none"/>
          <w:tab w:val="left" w:pos="1260" w:leader="none"/>
        </w:tabs>
        <w:rPr>
          <w:bCs/>
          <w:color w:val="000000" w:themeColor="text1"/>
          <w:sz w:val="24"/>
          <w:szCs w:val="24"/>
          <w:highlight w:val="none"/>
        </w:rPr>
      </w:pPr>
      <w:r>
        <w:rPr>
          <w:bCs/>
          <w:color w:val="000000" w:themeColor="text1"/>
          <w:sz w:val="24"/>
          <w:szCs w:val="24"/>
          <w:highlight w:val="none"/>
        </w:rPr>
        <w:t xml:space="preserve">符合专业条件的</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或者对招标文件作出实质性响应的</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不足三家；</w:t>
      </w:r>
      <w:r>
        <w:rPr>
          <w:color w:val="000000" w:themeColor="text1"/>
          <w:highlight w:val="none"/>
        </w:rPr>
      </w:r>
    </w:p>
    <w:p>
      <w:pPr>
        <w:numPr>
          <w:ilvl w:val="0"/>
          <w:numId w:val="12"/>
        </w:numPr>
        <w:ind w:left="0" w:firstLine="525"/>
        <w:spacing w:line="360" w:lineRule="auto"/>
        <w:tabs>
          <w:tab w:val="left" w:pos="525" w:leader="none"/>
          <w:tab w:val="left" w:pos="945" w:leader="none"/>
          <w:tab w:val="left" w:pos="1260" w:leader="none"/>
        </w:tabs>
        <w:rPr>
          <w:bCs/>
          <w:color w:val="000000" w:themeColor="text1"/>
          <w:sz w:val="24"/>
          <w:szCs w:val="24"/>
          <w:highlight w:val="none"/>
        </w:rPr>
      </w:pPr>
      <w:r>
        <w:rPr>
          <w:bCs/>
          <w:color w:val="000000" w:themeColor="text1"/>
          <w:sz w:val="24"/>
          <w:szCs w:val="24"/>
          <w:highlight w:val="none"/>
        </w:rPr>
        <w:t xml:space="preserve">出现影响采购公正的违法、违规行为；</w:t>
      </w:r>
      <w:r>
        <w:rPr>
          <w:color w:val="000000" w:themeColor="text1"/>
          <w:highlight w:val="none"/>
        </w:rPr>
      </w:r>
    </w:p>
    <w:p>
      <w:pPr>
        <w:numPr>
          <w:ilvl w:val="0"/>
          <w:numId w:val="12"/>
        </w:numPr>
        <w:ind w:left="0" w:firstLine="525"/>
        <w:spacing w:line="360" w:lineRule="auto"/>
        <w:tabs>
          <w:tab w:val="left" w:pos="525" w:leader="none"/>
          <w:tab w:val="left" w:pos="945" w:leader="none"/>
          <w:tab w:val="left" w:pos="1260" w:leader="none"/>
        </w:tabs>
        <w:rPr>
          <w:bCs/>
          <w:color w:val="000000" w:themeColor="text1"/>
          <w:sz w:val="24"/>
          <w:szCs w:val="24"/>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的报价均超过采购预算，采购人不能支付的；</w:t>
      </w:r>
      <w:r>
        <w:rPr>
          <w:color w:val="000000" w:themeColor="text1"/>
          <w:highlight w:val="none"/>
        </w:rP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000000" w:themeColor="text1"/>
          <w:sz w:val="24"/>
          <w:szCs w:val="24"/>
          <w:highlight w:val="none"/>
        </w:rPr>
      </w:pPr>
      <w:r>
        <w:rPr>
          <w:bCs/>
          <w:color w:val="000000" w:themeColor="text1"/>
          <w:sz w:val="24"/>
          <w:szCs w:val="24"/>
          <w:highlight w:val="none"/>
        </w:rPr>
        <w:t xml:space="preserve">因重大变故，采购任务取消。</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（十三）中标无效的确认：</w:t>
      </w:r>
      <w:r>
        <w:rPr>
          <w:color w:val="000000" w:themeColor="text1"/>
          <w:highlight w:val="none"/>
        </w:rP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提供虚假材料谋取中标的；</w:t>
      </w:r>
      <w:r>
        <w:rPr>
          <w:color w:val="000000" w:themeColor="text1"/>
          <w:highlight w:val="none"/>
        </w:rP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采取不正当手段诋毁、排挤其他</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的；</w:t>
      </w:r>
      <w:r>
        <w:rPr>
          <w:color w:val="000000" w:themeColor="text1"/>
          <w:highlight w:val="none"/>
        </w:rP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与招标采购单位、其他</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恶意串通的；</w:t>
      </w:r>
      <w:r>
        <w:rPr>
          <w:color w:val="000000" w:themeColor="text1"/>
          <w:highlight w:val="none"/>
        </w:rP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向招标采购单位行贿或者提供其他不正当利益的；</w:t>
      </w:r>
      <w:r>
        <w:rPr>
          <w:color w:val="000000" w:themeColor="text1"/>
          <w:highlight w:val="none"/>
        </w:rP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在招标过程中与招标采购单位进行协商谈判、不按照招标文件和中标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的投标文件订立合同，或者与采购人另行订立背离合同实质性内容的协议的；</w:t>
      </w:r>
      <w:r>
        <w:rPr>
          <w:color w:val="000000" w:themeColor="text1"/>
          <w:highlight w:val="none"/>
        </w:rPr>
      </w:r>
    </w:p>
    <w:p>
      <w:pPr>
        <w:numPr>
          <w:ilvl w:val="0"/>
          <w:numId w:val="13"/>
        </w:numPr>
        <w:ind w:left="0" w:firstLine="523"/>
        <w:spacing w:line="360" w:lineRule="auto"/>
        <w:tabs>
          <w:tab w:val="left" w:pos="420"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拒绝有关部门监督检查或者提供虚假情况的。</w:t>
      </w:r>
      <w:r>
        <w:rPr>
          <w:color w:val="000000" w:themeColor="text1"/>
          <w:highlight w:val="none"/>
        </w:rPr>
      </w:r>
    </w:p>
    <w:p>
      <w:pPr>
        <w:ind w:firstLine="480"/>
        <w:spacing w:line="360" w:lineRule="auto"/>
        <w:tabs>
          <w:tab w:val="left" w:pos="945" w:leader="none"/>
        </w:tabs>
        <w:rPr>
          <w:bCs/>
          <w:color w:val="000000" w:themeColor="text1"/>
          <w:sz w:val="24"/>
          <w:szCs w:val="24"/>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（十四）签订</w:t>
      </w:r>
      <w:r>
        <w:rPr>
          <w:rFonts w:eastAsia="黑体"/>
          <w:b/>
          <w:color w:val="000000" w:themeColor="text1"/>
          <w:sz w:val="24"/>
          <w:szCs w:val="24"/>
          <w:highlight w:val="none"/>
        </w:rPr>
        <w:t xml:space="preserve">、履行</w:t>
      </w:r>
      <w:r>
        <w:rPr>
          <w:rFonts w:eastAsia="黑体"/>
          <w:bCs/>
          <w:color w:val="000000" w:themeColor="text1"/>
          <w:sz w:val="24"/>
          <w:szCs w:val="24"/>
          <w:highlight w:val="none"/>
        </w:rPr>
        <w:t xml:space="preserve">合同：</w:t>
      </w:r>
      <w:r>
        <w:rPr>
          <w:color w:val="000000" w:themeColor="text1"/>
          <w:highlight w:val="none"/>
        </w:rPr>
      </w:r>
    </w:p>
    <w:p>
      <w:pPr>
        <w:numPr>
          <w:ilvl w:val="0"/>
          <w:numId w:val="3"/>
        </w:numPr>
        <w:ind w:left="0" w:firstLine="525"/>
        <w:spacing w:line="360" w:lineRule="auto"/>
        <w:tabs>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采购人应当自中标通知书发出之日起三十日内，按照招标文件和中标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投标文件的约定，在</w:t>
      </w:r>
      <w:r>
        <w:rPr>
          <w:color w:val="000000" w:themeColor="text1"/>
          <w:sz w:val="24"/>
          <w:highlight w:val="none"/>
        </w:rPr>
        <w:t xml:space="preserve">江苏智汇锡建工程项目管理有限公司</w:t>
      </w:r>
      <w:r>
        <w:rPr>
          <w:bCs/>
          <w:color w:val="000000" w:themeColor="text1"/>
          <w:sz w:val="24"/>
          <w:szCs w:val="24"/>
          <w:highlight w:val="none"/>
        </w:rPr>
        <w:t xml:space="preserve">就实质性条款见证后，与中标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签订合同。所签订的合同不得对招标文件和中标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投标文件作实质性修改。采购人不得向中标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提出任何不合理的要求，作为签订合同的条件，不得与中标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私下订立背离合同实质性内容的协议。</w:t>
      </w:r>
      <w:r>
        <w:rPr>
          <w:color w:val="000000" w:themeColor="text1"/>
          <w:sz w:val="24"/>
          <w:highlight w:val="none"/>
        </w:rPr>
        <w:t xml:space="preserve">江苏智汇锡建工程项目管理有限公司</w:t>
      </w:r>
      <w:r>
        <w:rPr>
          <w:bCs/>
          <w:color w:val="000000" w:themeColor="text1"/>
          <w:sz w:val="24"/>
          <w:szCs w:val="24"/>
          <w:highlight w:val="none"/>
        </w:rPr>
        <w:t xml:space="preserve">见证部分详见招标文件合同书（格式条款），见证后的格式条款不得作任何修改。</w:t>
      </w:r>
      <w:r>
        <w:rPr>
          <w:color w:val="000000" w:themeColor="text1"/>
          <w:highlight w:val="none"/>
        </w:rPr>
      </w:r>
    </w:p>
    <w:p>
      <w:pPr>
        <w:numPr>
          <w:ilvl w:val="0"/>
          <w:numId w:val="3"/>
        </w:numPr>
        <w:ind w:left="0" w:firstLine="525"/>
        <w:spacing w:line="360" w:lineRule="auto"/>
        <w:tabs>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中标方非因不可抗力未履行招、投标文件和合同规定的义务，一经查实，</w:t>
      </w:r>
      <w:r>
        <w:rPr>
          <w:color w:val="000000" w:themeColor="text1"/>
          <w:sz w:val="24"/>
          <w:highlight w:val="none"/>
        </w:rPr>
        <w:t xml:space="preserve">江苏智汇锡建工程项目管理有限公司</w:t>
      </w:r>
      <w:r>
        <w:rPr>
          <w:bCs/>
          <w:color w:val="000000" w:themeColor="text1"/>
          <w:sz w:val="24"/>
          <w:szCs w:val="24"/>
          <w:highlight w:val="none"/>
        </w:rPr>
        <w:t xml:space="preserve">将根据具体情况提请政府采购管理部门作出相应处理。</w:t>
      </w:r>
      <w:r>
        <w:rPr>
          <w:color w:val="000000" w:themeColor="text1"/>
          <w:highlight w:val="none"/>
        </w:rPr>
      </w:r>
    </w:p>
    <w:p>
      <w:pPr>
        <w:ind w:firstLine="480"/>
        <w:spacing w:line="360" w:lineRule="auto"/>
        <w:tabs>
          <w:tab w:val="left" w:pos="945" w:leader="none"/>
        </w:tabs>
        <w:rPr>
          <w:rFonts w:eastAsia="黑体"/>
          <w:bCs/>
          <w:color w:val="000000" w:themeColor="text1"/>
          <w:sz w:val="24"/>
          <w:szCs w:val="24"/>
          <w:highlight w:val="none"/>
        </w:rPr>
      </w:pPr>
      <w:r>
        <w:rPr>
          <w:rFonts w:eastAsia="黑体"/>
          <w:bCs/>
          <w:color w:val="000000" w:themeColor="text1"/>
          <w:sz w:val="24"/>
          <w:szCs w:val="24"/>
          <w:highlight w:val="none"/>
        </w:rPr>
        <w:t xml:space="preserve">（十五）注意事项：</w:t>
      </w:r>
      <w:r>
        <w:rPr>
          <w:color w:val="000000" w:themeColor="text1"/>
          <w:highlight w:val="none"/>
        </w:rPr>
      </w:r>
    </w:p>
    <w:p>
      <w:pPr>
        <w:ind w:firstLine="480"/>
        <w:spacing w:line="360" w:lineRule="auto"/>
        <w:tabs>
          <w:tab w:val="left" w:pos="945" w:leader="none"/>
        </w:tabs>
        <w:rPr>
          <w:bCs/>
          <w:color w:val="000000" w:themeColor="text1"/>
          <w:sz w:val="24"/>
          <w:szCs w:val="24"/>
          <w:highlight w:val="none"/>
        </w:rPr>
      </w:pPr>
      <w:r>
        <w:rPr>
          <w:bCs/>
          <w:color w:val="000000" w:themeColor="text1"/>
          <w:sz w:val="24"/>
          <w:szCs w:val="24"/>
          <w:highlight w:val="none"/>
        </w:rPr>
        <w:t xml:space="preserve">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有下列情形之一的，情节严重的，由财政部门将其列入不良行为记录名单，在一至三年内禁止参加政府采购活动，并予以通报：</w:t>
      </w:r>
      <w:r>
        <w:rPr>
          <w:color w:val="000000" w:themeColor="text1"/>
          <w:highlight w:val="none"/>
        </w:rPr>
      </w:r>
    </w:p>
    <w:p>
      <w:pPr>
        <w:numPr>
          <w:ilvl w:val="3"/>
          <w:numId w:val="9"/>
        </w:numPr>
        <w:ind w:left="0" w:firstLine="523"/>
        <w:spacing w:line="360" w:lineRule="auto"/>
        <w:tabs>
          <w:tab w:val="left" w:pos="73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中标后无正当理由不与采购人签订合同的；</w:t>
      </w:r>
      <w:r>
        <w:rPr>
          <w:color w:val="000000" w:themeColor="text1"/>
          <w:highlight w:val="none"/>
        </w:rPr>
      </w:r>
    </w:p>
    <w:p>
      <w:pPr>
        <w:numPr>
          <w:ilvl w:val="3"/>
          <w:numId w:val="9"/>
        </w:numPr>
        <w:ind w:left="0" w:firstLine="523"/>
        <w:spacing w:line="360" w:lineRule="auto"/>
        <w:tabs>
          <w:tab w:val="left" w:pos="73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将中标项目转让给他人，或者在投标文件中未说明，且未经过采购人同意，将中标项目分包给他人的；</w:t>
      </w:r>
      <w:r>
        <w:rPr>
          <w:color w:val="000000" w:themeColor="text1"/>
          <w:highlight w:val="none"/>
        </w:rPr>
      </w:r>
    </w:p>
    <w:p>
      <w:pPr>
        <w:numPr>
          <w:ilvl w:val="3"/>
          <w:numId w:val="9"/>
        </w:numPr>
        <w:ind w:left="0" w:firstLine="523"/>
        <w:spacing w:line="360" w:lineRule="auto"/>
        <w:tabs>
          <w:tab w:val="left" w:pos="735" w:leader="none"/>
          <w:tab w:val="left" w:pos="945" w:leader="none"/>
          <w:tab w:val="left" w:pos="1155" w:leader="none"/>
        </w:tabs>
        <w:rPr>
          <w:bCs/>
          <w:color w:val="000000" w:themeColor="text1"/>
          <w:sz w:val="24"/>
          <w:szCs w:val="24"/>
          <w:highlight w:val="none"/>
        </w:rPr>
      </w:pPr>
      <w:r>
        <w:rPr>
          <w:bCs/>
          <w:color w:val="000000" w:themeColor="text1"/>
          <w:sz w:val="24"/>
          <w:szCs w:val="24"/>
          <w:highlight w:val="none"/>
        </w:rPr>
        <w:t xml:space="preserve">拒绝履行合同义务的。</w:t>
      </w:r>
      <w:r>
        <w:rPr>
          <w:color w:val="000000" w:themeColor="text1"/>
          <w:highlight w:val="none"/>
        </w:rPr>
      </w:r>
    </w:p>
    <w:p>
      <w:pPr>
        <w:ind w:firstLine="4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（十六）中标服务费：</w:t>
      </w:r>
      <w:r>
        <w:rPr>
          <w:color w:val="000000" w:themeColor="text1"/>
          <w:highlight w:val="none"/>
        </w:rPr>
      </w:r>
    </w:p>
    <w:p>
      <w:pPr>
        <w:ind w:firstLine="480"/>
        <w:spacing w:line="360" w:lineRule="auto"/>
        <w:tabs>
          <w:tab w:val="left" w:pos="1140" w:leader="none"/>
        </w:tabs>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1.本项目招标代理服务费以中标金额为计费基础，按差额定率累进法计算：100万以下费率为1.5%，100万－500万费率为0.8%；在此基础上打八折计取。</w:t>
      </w:r>
      <w:r>
        <w:rPr>
          <w:color w:val="000000" w:themeColor="text1"/>
          <w:highlight w:val="none"/>
        </w:rPr>
      </w:r>
    </w:p>
    <w:p>
      <w:pPr>
        <w:ind w:firstLine="480"/>
        <w:spacing w:line="360" w:lineRule="auto"/>
        <w:tabs>
          <w:tab w:val="left" w:pos="1140" w:leader="none"/>
        </w:tabs>
        <w:rPr>
          <w:bCs/>
          <w:color w:val="000000" w:themeColor="text1"/>
          <w:sz w:val="24"/>
          <w:highlight w:val="none"/>
        </w:rPr>
      </w:pPr>
      <w:r>
        <w:rPr>
          <w:rFonts w:hint="eastAsia" w:ascii="宋体" w:hAnsi="宋体" w:cs="宋体"/>
          <w:bCs/>
          <w:color w:val="000000" w:themeColor="text1"/>
          <w:sz w:val="24"/>
          <w:highlight w:val="none"/>
        </w:rPr>
        <w:t xml:space="preserve">2.领取中标通知书时由中</w:t>
      </w:r>
      <w:r>
        <w:rPr>
          <w:bCs/>
          <w:color w:val="000000" w:themeColor="text1"/>
          <w:sz w:val="24"/>
          <w:highlight w:val="none"/>
        </w:rPr>
        <w:t xml:space="preserve">标</w:t>
      </w:r>
      <w:r>
        <w:rPr>
          <w:rFonts w:hint="eastAsia"/>
          <w:bCs/>
          <w:color w:val="000000" w:themeColor="text1"/>
          <w:sz w:val="24"/>
          <w:highlight w:val="none"/>
        </w:rPr>
        <w:t xml:space="preserve">投标供应商</w:t>
      </w:r>
      <w:r>
        <w:rPr>
          <w:bCs/>
          <w:color w:val="000000" w:themeColor="text1"/>
          <w:sz w:val="24"/>
          <w:highlight w:val="none"/>
        </w:rPr>
        <w:t xml:space="preserve">向采购代理机构一次性付清。</w:t>
      </w:r>
      <w:r>
        <w:rPr>
          <w:color w:val="000000" w:themeColor="text1"/>
          <w:highlight w:val="none"/>
        </w:rPr>
      </w:r>
    </w:p>
    <w:p>
      <w:pPr>
        <w:ind w:firstLine="480"/>
        <w:spacing w:line="360" w:lineRule="auto"/>
        <w:tabs>
          <w:tab w:val="left" w:pos="1140" w:leader="none"/>
        </w:tabs>
        <w:rPr>
          <w:bCs/>
          <w:color w:val="000000" w:themeColor="text1"/>
          <w:sz w:val="24"/>
          <w:highlight w:val="none"/>
        </w:rPr>
      </w:pPr>
      <w:r>
        <w:rPr>
          <w:bCs/>
          <w:color w:val="000000" w:themeColor="text1"/>
          <w:sz w:val="24"/>
          <w:highlight w:val="none"/>
        </w:rPr>
        <w:t xml:space="preserve">3.中标</w:t>
      </w:r>
      <w:r>
        <w:rPr>
          <w:rFonts w:hint="eastAsia"/>
          <w:bCs/>
          <w:color w:val="000000" w:themeColor="text1"/>
          <w:sz w:val="24"/>
          <w:highlight w:val="none"/>
        </w:rPr>
        <w:t xml:space="preserve">投标供应商</w:t>
      </w:r>
      <w:r>
        <w:rPr>
          <w:bCs/>
          <w:color w:val="000000" w:themeColor="text1"/>
          <w:sz w:val="24"/>
          <w:highlight w:val="none"/>
        </w:rPr>
        <w:t xml:space="preserve">如果未按规定缴纳采购代理服务费</w:t>
      </w:r>
      <w:r>
        <w:rPr>
          <w:rFonts w:hint="eastAsia"/>
          <w:bCs/>
          <w:color w:val="000000" w:themeColor="text1"/>
          <w:sz w:val="24"/>
          <w:highlight w:val="none"/>
        </w:rPr>
        <w:t xml:space="preserve">，</w:t>
      </w:r>
      <w:r>
        <w:rPr>
          <w:bCs/>
          <w:color w:val="000000" w:themeColor="text1"/>
          <w:sz w:val="24"/>
          <w:highlight w:val="none"/>
        </w:rPr>
        <w:t xml:space="preserve">采购代理机构将保留诉讼的权利。</w:t>
      </w:r>
      <w:r>
        <w:rPr>
          <w:color w:val="000000" w:themeColor="text1"/>
          <w:highlight w:val="none"/>
        </w:rPr>
      </w:r>
    </w:p>
    <w:p>
      <w:pPr>
        <w:ind w:firstLine="480"/>
        <w:spacing w:line="360" w:lineRule="auto"/>
        <w:tabs>
          <w:tab w:val="left" w:pos="630" w:leader="none"/>
          <w:tab w:val="left" w:pos="735" w:leader="none"/>
          <w:tab w:val="left" w:pos="945" w:leader="none"/>
        </w:tabs>
        <w:rPr>
          <w:rFonts w:eastAsia="黑体"/>
          <w:bCs/>
          <w:color w:val="000000" w:themeColor="text1"/>
          <w:sz w:val="24"/>
          <w:szCs w:val="24"/>
          <w:highlight w:val="none"/>
        </w:rPr>
      </w:pPr>
      <w:r>
        <w:rPr>
          <w:rFonts w:hint="eastAsia" w:eastAsia="黑体"/>
          <w:bCs/>
          <w:color w:val="000000" w:themeColor="text1"/>
          <w:sz w:val="24"/>
          <w:szCs w:val="24"/>
          <w:highlight w:val="none"/>
        </w:rPr>
        <w:t xml:space="preserve">（十七）合同融资、履约担保</w:t>
      </w:r>
      <w:r>
        <w:rPr>
          <w:color w:val="000000" w:themeColor="text1"/>
          <w:highlight w:val="none"/>
        </w:rPr>
      </w:r>
    </w:p>
    <w:p>
      <w:pPr>
        <w:ind w:firstLine="480"/>
        <w:spacing w:line="360" w:lineRule="auto"/>
        <w:tabs>
          <w:tab w:val="left" w:pos="630" w:leader="none"/>
          <w:tab w:val="left" w:pos="73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1.中标、成交投标供应商可采用合同融资形式，中标人可凭政府采购合同办理融资贷款，详见无锡政府采购网“政采贷”专栏。</w:t>
      </w:r>
      <w:r>
        <w:rPr>
          <w:color w:val="000000" w:themeColor="text1"/>
          <w:highlight w:val="none"/>
        </w:rPr>
      </w:r>
    </w:p>
    <w:p>
      <w:pPr>
        <w:ind w:firstLine="480"/>
        <w:spacing w:line="360" w:lineRule="auto"/>
        <w:tabs>
          <w:tab w:val="left" w:pos="630" w:leader="none"/>
          <w:tab w:val="left" w:pos="735" w:leader="none"/>
          <w:tab w:val="left" w:pos="94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履约担保，是指由专业担保机构为中标、成交投标供应商支付履约保证金的义务向采购人提供的保函担保。专业担保机构根据中标、成交投标供应商的中标（成交）通知书为凭据，进行资信审查后出具保函，中标、成交投标供应商以保函形式缴纳履约保证金；投标供应商未按政府采购合同履行约定义务而应实际支付保证金的，由专业担保机构按照保函约定履行担保责任。</w:t>
      </w:r>
      <w:r>
        <w:rPr>
          <w:color w:val="000000" w:themeColor="text1"/>
          <w:highlight w:val="none"/>
        </w:rPr>
      </w:r>
    </w:p>
    <w:p>
      <w:pPr>
        <w:ind w:firstLine="480"/>
        <w:spacing w:line="360" w:lineRule="auto"/>
        <w:tabs>
          <w:tab w:val="left" w:pos="630" w:leader="none"/>
          <w:tab w:val="left" w:pos="735" w:leader="none"/>
          <w:tab w:val="left" w:pos="945" w:leader="none"/>
        </w:tabs>
        <w:rPr>
          <w:bCs/>
          <w:color w:val="000000" w:themeColor="text1"/>
          <w:sz w:val="24"/>
          <w:szCs w:val="24"/>
          <w:highlight w:val="none"/>
        </w:rPr>
      </w:pPr>
      <w:r>
        <w:rPr>
          <w:rFonts w:hint="eastAsia" w:ascii="宋体" w:hAnsi="宋体" w:cs="宋体"/>
          <w:bCs/>
          <w:color w:val="000000" w:themeColor="text1"/>
          <w:sz w:val="24"/>
          <w:szCs w:val="24"/>
          <w:highlight w:val="none"/>
        </w:rPr>
        <w:t xml:space="preserve">中标、成交投标供应商可以采用电子履约保函形式，具体操作可登录江苏政府采购网的保险保函模块进行办理，也可通过无锡政府采购网、“苏采云”系统链接访问（首次使用需注册）。</w:t>
      </w:r>
      <w:r>
        <w:rPr>
          <w:color w:val="000000" w:themeColor="text1"/>
          <w:highlight w:val="none"/>
        </w:rPr>
      </w:r>
    </w:p>
    <w:p>
      <w:pPr>
        <w:jc w:val="center"/>
        <w:spacing w:line="360" w:lineRule="auto"/>
        <w:rPr>
          <w:rFonts w:eastAsia="黑体"/>
          <w:bCs/>
          <w:color w:val="000000" w:themeColor="text1"/>
          <w:sz w:val="30"/>
          <w:szCs w:val="30"/>
          <w:highlight w:val="none"/>
        </w:rPr>
        <w:outlineLvl w:val="0"/>
      </w:pPr>
      <w:r>
        <w:rPr>
          <w:rFonts w:eastAsia="黑体"/>
          <w:bCs/>
          <w:color w:val="000000" w:themeColor="text1"/>
          <w:sz w:val="30"/>
          <w:szCs w:val="30"/>
          <w:highlight w:val="none"/>
        </w:rPr>
        <w:br w:type="page" w:clear="all"/>
      </w:r>
      <w:bookmarkStart w:id="3" w:name="_Toc22629"/>
      <w:r>
        <w:rPr>
          <w:rFonts w:hint="eastAsia" w:eastAsia="黑体"/>
          <w:bCs/>
          <w:color w:val="000000" w:themeColor="text1"/>
          <w:sz w:val="30"/>
          <w:szCs w:val="30"/>
          <w:highlight w:val="none"/>
        </w:rPr>
        <w:t xml:space="preserve">三、</w:t>
      </w:r>
      <w:r>
        <w:rPr>
          <w:rFonts w:eastAsia="黑体"/>
          <w:b/>
          <w:color w:val="000000" w:themeColor="text1"/>
          <w:sz w:val="30"/>
          <w:szCs w:val="30"/>
          <w:highlight w:val="none"/>
        </w:rPr>
        <w:t xml:space="preserve">项目技术要求和有关说明</w:t>
      </w:r>
      <w:bookmarkEnd w:id="3"/>
      <w:r>
        <w:rPr>
          <w:color w:val="000000" w:themeColor="text1"/>
          <w:highlight w:val="none"/>
        </w:rPr>
      </w:r>
      <w:r>
        <w:rPr>
          <w:color w:val="000000" w:themeColor="text1"/>
          <w:highlight w:val="none"/>
        </w:rPr>
      </w:r>
    </w:p>
    <w:p>
      <w:pPr>
        <w:spacing w:line="500" w:lineRule="exact"/>
        <w:rPr>
          <w:color w:val="000000" w:themeColor="text1"/>
          <w:highlight w:val="none"/>
        </w:rPr>
      </w:pPr>
      <w:r>
        <w:rPr>
          <w:rFonts w:hint="eastAsia" w:ascii="宋体" w:hAnsi="宋体" w:cs="宋体"/>
          <w:b/>
          <w:color w:val="000000" w:themeColor="text1"/>
          <w:sz w:val="24"/>
          <w:szCs w:val="24"/>
          <w:highlight w:val="none"/>
        </w:rPr>
        <w:t xml:space="preserve">一、项目概况：</w:t>
      </w:r>
      <w:r>
        <w:rPr>
          <w:color w:val="000000" w:themeColor="text1"/>
          <w:highlight w:val="none"/>
        </w:rPr>
      </w:r>
    </w:p>
    <w:p>
      <w:pPr>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1.项目名称：滨湖区水质自动监测微型站第三方运维服务项目（2025-2027）</w:t>
      </w:r>
      <w:r>
        <w:rPr>
          <w:color w:val="000000" w:themeColor="text1"/>
          <w:highlight w:val="none"/>
        </w:rPr>
      </w:r>
    </w:p>
    <w:p>
      <w:pPr>
        <w:spacing w:line="500" w:lineRule="exact"/>
        <w:rPr>
          <w:color w:val="000000" w:themeColor="text1"/>
          <w:highlight w:val="none"/>
        </w:rPr>
      </w:pPr>
      <w:r>
        <w:rPr>
          <w:rFonts w:hint="eastAsia" w:ascii="宋体" w:hAnsi="宋体" w:cs="宋体"/>
          <w:color w:val="000000" w:themeColor="text1"/>
          <w:sz w:val="24"/>
          <w:szCs w:val="24"/>
          <w:highlight w:val="none"/>
        </w:rPr>
        <w:t xml:space="preserve">2.运维服务内容：滨湖区水质自动监测微型站第三方运维服务（2025-2027）</w:t>
      </w:r>
      <w:r>
        <w:rPr>
          <w:color w:val="000000" w:themeColor="text1"/>
          <w:highlight w:val="none"/>
        </w:rPr>
      </w:r>
    </w:p>
    <w:p>
      <w:pPr>
        <w:spacing w:line="500" w:lineRule="exact"/>
        <w:rPr>
          <w:color w:val="000000" w:themeColor="text1"/>
          <w:highlight w:val="none"/>
        </w:rPr>
      </w:pPr>
      <w:r>
        <w:rPr>
          <w:rFonts w:hint="eastAsia" w:ascii="宋体" w:hAnsi="宋体" w:cs="宋体"/>
          <w:color w:val="000000" w:themeColor="text1"/>
          <w:sz w:val="24"/>
          <w:szCs w:val="24"/>
          <w:highlight w:val="none"/>
        </w:rPr>
        <w:t xml:space="preserve">3.服务期限：两年（以合同签订日期为准）</w:t>
      </w:r>
      <w:r>
        <w:rPr>
          <w:color w:val="000000" w:themeColor="text1"/>
          <w:highlight w:val="none"/>
        </w:rPr>
      </w:r>
    </w:p>
    <w:p>
      <w:pPr>
        <w:spacing w:line="500" w:lineRule="exact"/>
        <w:rPr>
          <w:color w:val="000000" w:themeColor="text1"/>
          <w:highlight w:val="none"/>
        </w:rPr>
      </w:pPr>
      <w:r>
        <w:rPr>
          <w:rFonts w:hint="eastAsia" w:ascii="宋体" w:hAnsi="宋体" w:cs="宋体"/>
          <w:color w:val="000000" w:themeColor="text1"/>
          <w:sz w:val="24"/>
          <w:szCs w:val="24"/>
          <w:highlight w:val="none"/>
        </w:rPr>
        <w:t xml:space="preserve">4.项目实施地点：采购人指定地点</w:t>
      </w:r>
      <w:r>
        <w:rPr>
          <w:color w:val="000000" w:themeColor="text1"/>
          <w:highlight w:val="none"/>
        </w:rPr>
      </w:r>
    </w:p>
    <w:p>
      <w:pPr>
        <w:spacing w:line="500" w:lineRule="exact"/>
        <w:rPr>
          <w:color w:val="000000" w:themeColor="text1"/>
          <w:highlight w:val="none"/>
        </w:rPr>
      </w:pPr>
      <w:r>
        <w:rPr>
          <w:rFonts w:hint="eastAsia" w:ascii="宋体" w:hAnsi="宋体" w:cs="宋体"/>
          <w:b/>
          <w:color w:val="000000" w:themeColor="text1"/>
          <w:sz w:val="24"/>
          <w:szCs w:val="24"/>
          <w:highlight w:val="none"/>
        </w:rPr>
        <w:t xml:space="preserve">二、项目服务内容：</w:t>
      </w:r>
      <w:r>
        <w:rPr>
          <w:color w:val="000000" w:themeColor="text1"/>
          <w:highlight w:val="none"/>
        </w:rPr>
      </w:r>
    </w:p>
    <w:p>
      <w:pPr>
        <w:ind w:firstLine="482"/>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运行维护站点情况见下表：</w:t>
      </w:r>
      <w:r>
        <w:rPr>
          <w:color w:val="000000" w:themeColor="text1"/>
          <w:highlight w:val="none"/>
        </w:rPr>
      </w:r>
    </w:p>
    <w:p>
      <w:pPr>
        <w:ind w:firstLine="361"/>
        <w:jc w:val="center"/>
        <w:spacing w:line="480" w:lineRule="exact"/>
        <w:rPr>
          <w:color w:val="000000" w:themeColor="text1"/>
          <w:highlight w:val="none"/>
        </w:rPr>
      </w:pPr>
      <w:r>
        <w:rPr>
          <w:rFonts w:hint="eastAsia" w:ascii="宋体" w:hAnsi="宋体" w:cs="宋体"/>
          <w:b/>
          <w:bCs/>
          <w:color w:val="000000" w:themeColor="text1"/>
          <w:sz w:val="24"/>
          <w:szCs w:val="24"/>
          <w:highlight w:val="none"/>
        </w:rPr>
        <w:t xml:space="preserve">表1 站点监测仪器及监测项目</w:t>
      </w:r>
      <w:r>
        <w:rPr>
          <w:color w:val="000000" w:themeColor="text1"/>
          <w:highlight w:val="none"/>
        </w:rPr>
      </w:r>
    </w:p>
    <w:tbl>
      <w:tblPr>
        <w:tblStyle w:val="81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01"/>
        <w:gridCol w:w="1342"/>
        <w:gridCol w:w="1728"/>
        <w:gridCol w:w="1692"/>
        <w:gridCol w:w="1896"/>
        <w:gridCol w:w="1739"/>
      </w:tblGrid>
      <w:tr>
        <w:trPr>
          <w:trHeight w:val="503"/>
        </w:trPr>
        <w:tc>
          <w:tcPr>
            <w:shd w:val="clear" w:color="auto" w:fill="f2f2f2"/>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序号</w:t>
            </w:r>
            <w:r>
              <w:rPr>
                <w:color w:val="000000" w:themeColor="text1"/>
                <w:highlight w:val="none"/>
              </w:rPr>
            </w:r>
          </w:p>
        </w:tc>
        <w:tc>
          <w:tcPr>
            <w:shd w:val="clear" w:color="auto" w:fill="f2f2f2"/>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站点名称</w:t>
            </w:r>
            <w:r>
              <w:rPr>
                <w:color w:val="000000" w:themeColor="text1"/>
                <w:highlight w:val="none"/>
              </w:rPr>
            </w:r>
          </w:p>
        </w:tc>
        <w:tc>
          <w:tcPr>
            <w:gridSpan w:val="4"/>
            <w:shd w:val="clear" w:color="auto" w:fill="f2f2f2"/>
            <w:tcBorders>
              <w:top w:val="single" w:color="000000" w:sz="4" w:space="0"/>
              <w:bottom w:val="single" w:color="000000" w:sz="4" w:space="0"/>
              <w:right w:val="single" w:color="000000" w:sz="4" w:space="0"/>
            </w:tcBorders>
            <w:tcW w:w="7055" w:type="dxa"/>
            <w:vAlign w:val="center"/>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监测仪器品牌、参数及监测项目</w:t>
            </w:r>
            <w:r>
              <w:rPr>
                <w:color w:val="000000" w:themeColor="text1"/>
                <w:highlight w:val="none"/>
              </w:rPr>
            </w:r>
          </w:p>
        </w:tc>
      </w:tr>
      <w:tr>
        <w:trPr>
          <w:trHeight w:val="1526"/>
        </w:trPr>
        <w:tc>
          <w:tcPr>
            <w:shd w:val="clear" w:color="auto" w:fill="f2f2f2"/>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widowControl/>
              <w:rPr>
                <w:rFonts w:ascii="宋体" w:hAnsi="宋体" w:cs="宋体"/>
                <w:b/>
                <w:sz w:val="24"/>
                <w:szCs w:val="24"/>
              </w:rPr>
            </w:pPr>
            <w:r>
              <w:rPr>
                <w:rFonts w:ascii="宋体" w:hAnsi="宋体" w:cs="宋体"/>
                <w:b/>
                <w:sz w:val="24"/>
                <w:szCs w:val="24"/>
              </w:rPr>
            </w:r>
            <w:r/>
          </w:p>
        </w:tc>
        <w:tc>
          <w:tcPr>
            <w:shd w:val="clear" w:color="auto" w:fill="f2f2f2"/>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jc w:val="left"/>
              <w:widowControl/>
              <w:rPr>
                <w:rFonts w:ascii="宋体" w:hAnsi="宋体" w:cs="宋体"/>
                <w:b/>
                <w:sz w:val="24"/>
                <w:szCs w:val="24"/>
              </w:rPr>
            </w:pPr>
            <w:r>
              <w:rPr>
                <w:rFonts w:ascii="宋体" w:hAnsi="宋体" w:cs="宋体"/>
                <w:b/>
                <w:sz w:val="24"/>
                <w:szCs w:val="24"/>
              </w:rPr>
            </w:r>
            <w:r/>
          </w:p>
        </w:tc>
        <w:tc>
          <w:tcPr>
            <w:shd w:val="clear" w:color="auto" w:fill="f2f2f2"/>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五参数分析仪（溶解氧）</w:t>
            </w:r>
            <w:r>
              <w:rPr>
                <w:color w:val="000000" w:themeColor="text1"/>
                <w:highlight w:val="none"/>
              </w:rPr>
            </w:r>
          </w:p>
        </w:tc>
        <w:tc>
          <w:tcPr>
            <w:shd w:val="clear" w:color="auto" w:fill="f2f2f2"/>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CODmn分析仪</w:t>
            </w:r>
            <w:r>
              <w:rPr>
                <w:color w:val="000000" w:themeColor="text1"/>
                <w:highlight w:val="none"/>
              </w:rPr>
            </w:r>
          </w:p>
        </w:tc>
        <w:tc>
          <w:tcPr>
            <w:shd w:val="clear" w:color="auto" w:fill="f2f2f2"/>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氨氮分析仪</w:t>
            </w:r>
            <w:r>
              <w:rPr>
                <w:color w:val="000000" w:themeColor="text1"/>
                <w:highlight w:val="none"/>
              </w:rPr>
            </w:r>
          </w:p>
        </w:tc>
        <w:tc>
          <w:tcPr>
            <w:shd w:val="clear" w:color="auto" w:fill="f2f2f2"/>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总磷分析仪</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蠡桥泵</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猫桥河</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漆塘浜</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大成浜</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孙蒋泵站</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荣巷西浜</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秦巷浜</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蠡溪河</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r>
      <w:tr>
        <w:trPr>
          <w:trHeight w:val="61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9</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徐巷浜</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color w:val="000000" w:themeColor="text1"/>
                <w:highlight w:val="none"/>
              </w:rPr>
              <w:t xml:space="preserve">——</w:t>
            </w:r>
            <w:r>
              <w:rPr>
                <w:color w:val="000000" w:themeColor="text1"/>
                <w:highlight w:val="none"/>
              </w:rPr>
            </w:r>
          </w:p>
        </w:tc>
      </w:tr>
      <w:tr>
        <w:trPr>
          <w:trHeight w:val="626"/>
        </w:trPr>
        <w:tc>
          <w:tcPr>
            <w:tcBorders>
              <w:left w:val="single" w:color="000000" w:sz="4" w:space="0"/>
              <w:bottom w:val="single" w:color="000000" w:sz="4" w:space="0"/>
              <w:right w:val="single" w:color="000000" w:sz="4" w:space="0"/>
            </w:tcBorders>
            <w:tcW w:w="801"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c>
          <w:tcPr>
            <w:tcBorders>
              <w:bottom w:val="single" w:color="000000" w:sz="4" w:space="0"/>
              <w:right w:val="single" w:color="000000" w:sz="4" w:space="0"/>
            </w:tcBorders>
            <w:tcW w:w="1342"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半夜浜</w:t>
            </w:r>
            <w:r>
              <w:rPr>
                <w:color w:val="000000" w:themeColor="text1"/>
                <w:highlight w:val="none"/>
              </w:rPr>
            </w:r>
          </w:p>
        </w:tc>
        <w:tc>
          <w:tcPr>
            <w:tcBorders>
              <w:bottom w:val="single" w:color="000000" w:sz="4" w:space="0"/>
              <w:right w:val="single" w:color="000000" w:sz="4" w:space="0"/>
            </w:tcBorders>
            <w:tcW w:w="1728"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泽铭HQ-100</w:t>
            </w:r>
            <w:r>
              <w:rPr>
                <w:color w:val="000000" w:themeColor="text1"/>
                <w:highlight w:val="none"/>
              </w:rPr>
            </w:r>
          </w:p>
        </w:tc>
        <w:tc>
          <w:tcPr>
            <w:tcBorders>
              <w:bottom w:val="single" w:color="000000" w:sz="4" w:space="0"/>
              <w:right w:val="single" w:color="000000" w:sz="4" w:space="0"/>
            </w:tcBorders>
            <w:tcW w:w="1692"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泽铭HQ-350</w:t>
            </w:r>
            <w:r>
              <w:rPr>
                <w:color w:val="000000" w:themeColor="text1"/>
                <w:highlight w:val="none"/>
              </w:rPr>
            </w:r>
          </w:p>
        </w:tc>
        <w:tc>
          <w:tcPr>
            <w:tcBorders>
              <w:bottom w:val="single" w:color="000000" w:sz="4" w:space="0"/>
              <w:right w:val="single" w:color="000000" w:sz="4" w:space="0"/>
            </w:tcBorders>
            <w:tcW w:w="189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泽铭HQ-610</w:t>
            </w:r>
            <w:r>
              <w:rPr>
                <w:color w:val="000000" w:themeColor="text1"/>
                <w:highlight w:val="none"/>
              </w:rPr>
            </w:r>
          </w:p>
        </w:tc>
        <w:tc>
          <w:tcPr>
            <w:tcBorders>
              <w:bottom w:val="single" w:color="000000" w:sz="4" w:space="0"/>
              <w:right w:val="single" w:color="000000" w:sz="4" w:space="0"/>
            </w:tcBorders>
            <w:tcW w:w="173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r>
    </w:tbl>
    <w:p>
      <w:pPr>
        <w:ind w:firstLine="482"/>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2.运行维护工作内容：</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本次采购的服务内容为无锡市滨湖生态环境局10个水质自动监测微型站的运行维护服务及仪器升级服务。要求投标供应商根据采购文件的要求负责水质自动监测系统的日常运行维护和管理工作，负责水质自动监测系统的数据一级审核和数据质量管理，包括但不限于备件、耗材、试剂、标准物质、备机、仪器和辅助设备的维修、站房维修费、水电费、通讯费、废液处理等由成交投标供应商负责（因自然灾害造成的设备损坏，成交投标供应商不负责维修费用）。同时根据生态环境部发布的“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-N、TP、TN）安装验收技术”（HJ915.2-2024）和“地表水水质自动监测站（常规五参数、CODmn、NH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运行维护技术规范”（HJ915.3-2024）的相关规定，做好站点仪器升级工作，以满足最新规范要求，升级、安装调试工作需要在合同签订后30天内完成。投标供应商在报价中应包含（但不限于）表2所列各部分工作的费用：</w:t>
      </w:r>
      <w:r>
        <w:rPr>
          <w:color w:val="000000" w:themeColor="text1"/>
          <w:highlight w:val="none"/>
        </w:rPr>
      </w:r>
    </w:p>
    <w:p>
      <w:pPr>
        <w:ind w:firstLine="361"/>
        <w:jc w:val="center"/>
        <w:spacing w:line="480" w:lineRule="exact"/>
        <w:rPr>
          <w:color w:val="000000" w:themeColor="text1"/>
          <w:highlight w:val="none"/>
        </w:rPr>
      </w:pPr>
      <w:r>
        <w:rPr>
          <w:rFonts w:hint="eastAsia" w:ascii="宋体" w:hAnsi="宋体" w:cs="宋体"/>
          <w:b/>
          <w:bCs/>
          <w:color w:val="000000" w:themeColor="text1"/>
          <w:sz w:val="24"/>
          <w:szCs w:val="24"/>
          <w:highlight w:val="none"/>
        </w:rPr>
        <w:t xml:space="preserve">表2  报价应含的各部分工作费用</w:t>
      </w:r>
      <w:r>
        <w:rPr>
          <w:color w:val="000000" w:themeColor="text1"/>
          <w:highlight w:val="none"/>
        </w:rPr>
      </w:r>
    </w:p>
    <w:tbl>
      <w:tblPr>
        <w:tblStyle w:val="816"/>
        <w:tblW w:w="0" w:type="auto"/>
        <w:jc w:val="center"/>
        <w:tblLayout w:type="fixed"/>
        <w:tblCellMar>
          <w:left w:w="108" w:type="dxa"/>
          <w:top w:w="0" w:type="dxa"/>
          <w:right w:w="108" w:type="dxa"/>
          <w:bottom w:w="0" w:type="dxa"/>
        </w:tblCellMar>
        <w:tblLook w:val="04A0" w:firstRow="1" w:lastRow="0" w:firstColumn="1" w:lastColumn="0" w:noHBand="0" w:noVBand="1"/>
      </w:tblPr>
      <w:tblGrid>
        <w:gridCol w:w="978"/>
        <w:gridCol w:w="2245"/>
        <w:gridCol w:w="6722"/>
      </w:tblGrid>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服务项目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明细</w:t>
            </w:r>
            <w:r>
              <w:rPr>
                <w:color w:val="000000" w:themeColor="text1"/>
                <w:highlight w:val="none"/>
              </w:rPr>
            </w:r>
          </w:p>
        </w:tc>
      </w:tr>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站点运行耗材费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电极、泵、水样管、烧杯、排阀、消解管、试剂费等所有耗材</w:t>
            </w:r>
            <w:r>
              <w:rPr>
                <w:color w:val="000000" w:themeColor="text1"/>
                <w:highlight w:val="none"/>
              </w:rPr>
            </w:r>
          </w:p>
        </w:tc>
      </w:tr>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站点仪器升级</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10台CODmn分析仪、10台NH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-N分析仪、2台TP分析仪，新增1台TP分析仪</w:t>
            </w:r>
            <w:r>
              <w:rPr>
                <w:color w:val="000000" w:themeColor="text1"/>
                <w:highlight w:val="none"/>
              </w:rPr>
            </w:r>
          </w:p>
        </w:tc>
      </w:tr>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人员服务费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站点运行维护人员2名、数据审核人员1名</w:t>
            </w:r>
            <w:r>
              <w:rPr>
                <w:color w:val="000000" w:themeColor="text1"/>
                <w:highlight w:val="none"/>
              </w:rPr>
            </w:r>
          </w:p>
        </w:tc>
      </w:tr>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站点维修服务费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站点所有仪器设备及站房的维护、修理费</w:t>
            </w:r>
            <w:r>
              <w:rPr>
                <w:color w:val="000000" w:themeColor="text1"/>
                <w:highlight w:val="none"/>
              </w:rPr>
            </w:r>
          </w:p>
        </w:tc>
      </w:tr>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废液处置服务费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设备产生废液的处置费</w:t>
            </w:r>
            <w:r>
              <w:rPr>
                <w:color w:val="000000" w:themeColor="text1"/>
                <w:highlight w:val="none"/>
              </w:rPr>
            </w:r>
          </w:p>
        </w:tc>
      </w:tr>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设备日常运行费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设备运行所需的电费，数据传输、视频监控所需的通讯费，运维车辆服务费等</w:t>
            </w:r>
            <w:r>
              <w:rPr>
                <w:color w:val="000000" w:themeColor="text1"/>
                <w:highlight w:val="none"/>
              </w:rPr>
            </w:r>
          </w:p>
        </w:tc>
      </w:tr>
      <w:tr>
        <w:trPr>
          <w:jc w:val="center"/>
          <w:trHeight w:val="284"/>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其他费用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2套备机（含溶解氧、CODmn、NH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-N、TP）租赁费</w:t>
            </w:r>
            <w:r>
              <w:rPr>
                <w:color w:val="000000" w:themeColor="text1"/>
                <w:highlight w:val="none"/>
              </w:rPr>
            </w:r>
          </w:p>
        </w:tc>
      </w:tr>
    </w:tbl>
    <w:p>
      <w:pPr>
        <w:ind w:firstLine="361"/>
        <w:jc w:val="center"/>
        <w:spacing w:line="480" w:lineRule="exact"/>
        <w:rPr>
          <w:color w:val="000000" w:themeColor="text1"/>
          <w:highlight w:val="none"/>
        </w:rPr>
      </w:pPr>
      <w:r>
        <w:rPr>
          <w:rFonts w:hint="eastAsia" w:ascii="宋体" w:hAnsi="宋体" w:cs="宋体"/>
          <w:b/>
          <w:bCs/>
          <w:color w:val="000000" w:themeColor="text1"/>
          <w:sz w:val="24"/>
          <w:szCs w:val="24"/>
          <w:highlight w:val="none"/>
        </w:rPr>
        <w:t xml:space="preserve">表3   耗材和备件清单</w:t>
      </w:r>
      <w:r>
        <w:rPr>
          <w:color w:val="000000" w:themeColor="text1"/>
          <w:highlight w:val="none"/>
        </w:rPr>
      </w:r>
    </w:p>
    <w:tbl>
      <w:tblPr>
        <w:tblStyle w:val="816"/>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2129"/>
        <w:gridCol w:w="5116"/>
        <w:gridCol w:w="2799"/>
      </w:tblGrid>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仪器型号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易耗件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更换周期</w:t>
            </w:r>
            <w:r>
              <w:rPr>
                <w:color w:val="000000" w:themeColor="text1"/>
                <w:highlight w:val="none"/>
              </w:rPr>
            </w:r>
          </w:p>
        </w:tc>
      </w:tr>
      <w:tr>
        <w:trPr>
          <w:trHeight w:val="338"/>
        </w:trPr>
        <w:tc>
          <w:tcPr>
            <w:tcBorders>
              <w:top w:val="single" w:color="000000" w:sz="4" w:space="0"/>
              <w:left w:val="single" w:color="000000" w:sz="4" w:space="0"/>
              <w:bottom w:val="single" w:color="000000" w:sz="4" w:space="0"/>
              <w:right w:val="single" w:color="000000" w:sz="4" w:space="0"/>
            </w:tcBorders>
            <w:tcW w:w="2129" w:type="dxa"/>
            <w:vAlign w:val="center"/>
            <w:vMerge w:val="restart"/>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五参数分析仪（溶解氧）HQ-100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116" w:type="dxa"/>
            <w:vAlign w:val="bottom"/>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溶解氧膜帽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溶解氧标液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1个月</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restart"/>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氨氮分析仪HQ-610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试剂、标液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1个月</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分析仪管路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半年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蠕动泵组合泵管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半年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蠕动泵</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排阀</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消解管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风扇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restart"/>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总磷分析仪HQ-610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试剂、标液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1个月</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分析仪管路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半年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蠕动泵组合泵管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半年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蠕动泵</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排阀</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消解管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风扇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restart"/>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高锰酸盐指数分析仪HQ-350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试剂、标液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1个月</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分析仪管路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半年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蠕动泵组合泵管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lang w:bidi="ar"/>
              </w:rPr>
              <w:t xml:space="preserve">半年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ORP电极</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搅拌电机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反应室石英烧杯套件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蠕动泵</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排阀</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r>
        <w:trPr>
          <w:trHeight w:val="270"/>
        </w:trPr>
        <w:tc>
          <w:tcPr>
            <w:tcBorders>
              <w:top w:val="single" w:color="000000" w:sz="4" w:space="0"/>
              <w:left w:val="single" w:color="000000" w:sz="4" w:space="0"/>
              <w:bottom w:val="single" w:color="000000" w:sz="4" w:space="0"/>
              <w:right w:val="single" w:color="000000" w:sz="4" w:space="0"/>
            </w:tcBorders>
            <w:tcW w:w="212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16" w:type="dxa"/>
            <w:vAlign w:val="center"/>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风扇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799" w:type="dxa"/>
            <w:textDirection w:val="lrTb"/>
            <w:noWrap w:val="false"/>
          </w:tcPr>
          <w:p>
            <w:pPr>
              <w:jc w:val="center"/>
              <w:widowControl/>
              <w:rPr>
                <w:color w:val="000000" w:themeColor="text1"/>
                <w:highlight w:val="none"/>
              </w:rPr>
            </w:pPr>
            <w:r>
              <w:rPr>
                <w:rFonts w:hint="eastAsia" w:ascii="宋体" w:hAnsi="宋体" w:cs="宋体"/>
                <w:color w:val="000000" w:themeColor="text1"/>
                <w:sz w:val="24"/>
                <w:szCs w:val="24"/>
                <w:highlight w:val="none"/>
              </w:rPr>
              <w:t xml:space="preserve">1年</w:t>
            </w:r>
            <w:r>
              <w:rPr>
                <w:color w:val="000000" w:themeColor="text1"/>
                <w:highlight w:val="none"/>
              </w:rPr>
            </w:r>
          </w:p>
        </w:tc>
      </w:tr>
    </w:tbl>
    <w:p>
      <w:pPr>
        <w:ind w:right="-168"/>
        <w:jc w:val="left"/>
        <w:spacing w:line="480" w:lineRule="exact"/>
        <w:rPr>
          <w:color w:val="000000" w:themeColor="text1"/>
          <w:highlight w:val="none"/>
        </w:rPr>
      </w:pPr>
      <w:r>
        <w:rPr>
          <w:rFonts w:hint="eastAsia" w:ascii="宋体" w:hAnsi="宋体" w:cs="宋体"/>
          <w:b/>
          <w:bCs/>
          <w:color w:val="000000" w:themeColor="text1"/>
          <w:sz w:val="24"/>
          <w:szCs w:val="24"/>
          <w:highlight w:val="none"/>
        </w:rPr>
        <w:t xml:space="preserve">三、项目服务要求</w:t>
      </w:r>
      <w:r>
        <w:rPr>
          <w:rFonts w:hint="eastAsia" w:ascii="宋体" w:hAnsi="宋体" w:cs="宋体"/>
          <w:b/>
          <w:color w:val="000000" w:themeColor="text1"/>
          <w:sz w:val="24"/>
          <w:szCs w:val="24"/>
          <w:highlight w:val="none"/>
        </w:rPr>
        <w:t xml:space="preserve">（包括但不限于以下要求）：</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1.总体要求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1.1按照《地表水自动监测技术规范》（HJ915-2017）、“地表水水质自动监测站（常规五参数、CODmn、NH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-N、TP、TN）安装验收技术”（HJ915.2-2024）、“地表水水质自动监测站（常规五参数、CODmn、NH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运行维护技术规范”（HJ915.3-2024）、《江苏省环境水质（地表水）自动监测预警系统运行管理办法（试行）》《江苏省地表水自动监测站运行管理办法（试行）》（苏环办〔2020〕174号）等相关技术规范和管理规定要求对水站进行运行维护。采购文件中未明确的质控管理要求，按照国家和江苏省已制定的相关规范性文件执行，若实施新的管理办法或技术规范时，按新要求执行。</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1.2本项目在无锡市范围内设立固定运维服务点，派驻2名运维人员和1名数据审核人员。运维人员应从事水质自动站运维工作2年以上，必须定点在无锡市范围内运维。数据审核人员（非运维人员）常驻采购人指定单位，包括但不限于数据监控、审核、统计、分析等内容，具体工作由采购人统一安排。</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1.3本项目派驻2辆运行维护车辆。</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1.4投标供应商应提供完整的运维实施方案（含应急事故处理方案），明确维护方法、周期、内容及技术保障。</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1.5投标供应商应提供完整的质量控制管理方案，明确质量控制管理的方法、周期、内容及技术保障。</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1.6投标供应商应提供完整的数据质量管理及审核方案，明确数据质量管理及审核的方法、周期、内容及技术保障。</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1.7在水质自动监测系统运维及管理期间，在合同约束范围内成交投标供应商拥有管理自主权。委托运行维护及管理的全部资产（包括建筑物、设备、软件、配套设施、水质自动站和配套监控系统产生的各类数据信息及相关文档资料）属采购人所有。投标供应商不得以任何方式对各类资产进行出售、抵押或转移；同时，投标供应商有责任保证上述全部资产的完整、安全并处于良好状态，协助采购人做好固定资产的管理、设备升级、备品配件的登记等工作。</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1.8投标供应商应严格按照操作规范，对所管理的系统及仪器设备进行精心维护及必要维修，必要时更换备机，保证系统及仪器设备的正常运行，达到采购人提出的考核要求。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1.9不论何时，投标供应商都应承担监测数据的保密责任，不得以任何方式和渠道向外界传递任何监测数据。</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1.10重要的试剂和标准溶液必须由具备CMA资质的实验室（委托或自有）配制，每批次有配制证明材料备查。</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1.11产生的废液由供应商统一委托有资质的第三方处置，并依法做好台账记录</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废液桶由供应商自备，产生的费用由成交供应商承担。</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1.1</w:t>
      </w: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其他未明确的要求，根据实际运维工作需要确定，投标供应商必须服从安排。</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2.日常管理要求：</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2.1每天定期远程检查</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投标供应商技术人员至少每天2次远程查看水站监测数据，并对站点运行情况进行远程管理和巡视，内容包括：</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（1）根据仪器分析数据判断仪器运行情况。</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（2）根据管路压力数据判断水泵运行情况。</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（3）根据电源电压、站房温度、湿度数据判断站房内部情况，发现数据有持续异常值出现时，应立即前往现场进行调查处理。</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2.2每周定期巡视</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每周根据水站实际运行情况巡视水站，主要内容包括：</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（1）查看各台分析仪器及辅助设备的运行状态和主要技术参数，判断运行是否正常。</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（2）检查水站电路系统、通讯线路是否正常。</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（3）检查采水系统、配水系统是否正常，如电动球阀工作状态、采水泵固定情况，采水泵运行情况等。</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（4）巡视工作必须记录备查，记录格式由采购人提供。</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2.3仪器设备有关部件定期清洗与维护</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w:t>
      </w:r>
      <w:r>
        <w:rPr>
          <w:rFonts w:hint="eastAsia" w:ascii="宋体" w:hAnsi="宋体" w:cs="宋体"/>
          <w:bCs/>
          <w:color w:val="000000" w:themeColor="text1"/>
          <w:sz w:val="24"/>
          <w:szCs w:val="24"/>
          <w:highlight w:val="none"/>
        </w:rPr>
        <w:t xml:space="preserve">水泵与取水管路：</w:t>
      </w:r>
      <w:r>
        <w:rPr>
          <w:rFonts w:hint="eastAsia" w:ascii="宋体" w:hAnsi="宋体" w:cs="宋体"/>
          <w:color w:val="000000" w:themeColor="text1"/>
          <w:sz w:val="24"/>
          <w:szCs w:val="24"/>
          <w:highlight w:val="none"/>
        </w:rPr>
        <w:t xml:space="preserve">水泵应定期清洗过滤网。对于自吸泵，应定期清洗采水头；对于潜水泵，应定期清洗泵体。取水管路应检查是否出现弯折现象，是否畅通，并清理管路周边杂物，在泥沙含量大或藻类密集的水体断面应视情况加密进行人工清洗，一般每月一次。</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w:t>
      </w:r>
      <w:r>
        <w:rPr>
          <w:rFonts w:hint="eastAsia" w:ascii="宋体" w:hAnsi="宋体" w:cs="宋体"/>
          <w:bCs/>
          <w:color w:val="000000" w:themeColor="text1"/>
          <w:sz w:val="24"/>
          <w:szCs w:val="24"/>
          <w:highlight w:val="none"/>
        </w:rPr>
        <w:t xml:space="preserve">配水与进水系统：</w:t>
      </w:r>
      <w:r>
        <w:rPr>
          <w:rFonts w:hint="eastAsia" w:ascii="宋体" w:hAnsi="宋体" w:cs="宋体"/>
          <w:color w:val="000000" w:themeColor="text1"/>
          <w:sz w:val="24"/>
          <w:szCs w:val="24"/>
          <w:highlight w:val="none"/>
        </w:rPr>
        <w:t xml:space="preserve">根据原水浊度情况对过滤器、配水杯、仪器进样管、沉淀池等进行清洗。每月1次以上。浊度大于100NTU时，每周1次。</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w:t>
      </w:r>
      <w:r>
        <w:rPr>
          <w:rFonts w:hint="eastAsia" w:ascii="宋体" w:hAnsi="宋体" w:cs="宋体"/>
          <w:bCs/>
          <w:color w:val="000000" w:themeColor="text1"/>
          <w:sz w:val="24"/>
          <w:szCs w:val="24"/>
          <w:highlight w:val="none"/>
        </w:rPr>
        <w:t xml:space="preserve">仪器分析系统：</w:t>
      </w:r>
      <w:r>
        <w:rPr>
          <w:rFonts w:hint="eastAsia" w:ascii="宋体" w:hAnsi="宋体" w:cs="宋体"/>
          <w:color w:val="000000" w:themeColor="text1"/>
          <w:sz w:val="24"/>
          <w:szCs w:val="24"/>
          <w:highlight w:val="none"/>
        </w:rPr>
        <w:t xml:space="preserve">五参数仪电极（溶解氧）每月清洗1次；其他仪器采样杯、进样管路、泵管、测量室等每月清洗1次。</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w:t>
      </w:r>
      <w:r>
        <w:rPr>
          <w:rFonts w:hint="eastAsia" w:ascii="宋体" w:hAnsi="宋体" w:cs="宋体"/>
          <w:bCs/>
          <w:color w:val="000000" w:themeColor="text1"/>
          <w:sz w:val="24"/>
          <w:szCs w:val="24"/>
          <w:highlight w:val="none"/>
        </w:rPr>
        <w:t xml:space="preserve">空气压缩机：</w:t>
      </w:r>
      <w:r>
        <w:rPr>
          <w:rFonts w:hint="eastAsia" w:ascii="宋体" w:hAnsi="宋体" w:cs="宋体"/>
          <w:color w:val="000000" w:themeColor="text1"/>
          <w:sz w:val="24"/>
          <w:szCs w:val="24"/>
          <w:highlight w:val="none"/>
        </w:rPr>
        <w:t xml:space="preserve">每月检查气泵和清水增压泵工作状况一次，并对空气过滤器放水。</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（5）检查通讯设备是否正常，一般每月一次。</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2.4停机维护</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（1）短时间停机（停机时间小于24小时）：一般关机即可，再次运行时仪器需重新校准。</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长时间停机（连续停机时间超过24小时）：如果分析仪需要停机24小时或更长时间，一般需关闭分析仪器和进样阀，关闭电源。并用蒸馏水清洗分析仪器的蠕动泵以及试剂管路；清洗测量室并排空；对于测量电极，应取下并将电极头浸入保护液中存放。</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2.5试剂更换</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按仪器说明书的要求定期更换试剂，试剂更换周期一般不超过15天（部分试剂最长不超过30天），标签信息完整可溯源，确保监测数据的准确可靠。</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2.6 耗材及备件更换</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（1）应依据断面水质状况和水站环境条件制订耗材及备件的更换周期，主要耗材及备件的更换要求参考表3，其他耗材及备件根据仪器具体情况确定。所有耗材及备件做到定期更换，确保监测数据的准确可靠。</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（2）所用备品备件及耗材等应达到相应的质量要求，整个服务期间的耗材及备件由投标供应商提供。</w:t>
      </w:r>
      <w:r>
        <w:rPr>
          <w:color w:val="000000" w:themeColor="text1"/>
          <w:highlight w:val="none"/>
        </w:rPr>
      </w:r>
    </w:p>
    <w:p>
      <w:pPr>
        <w:ind w:firstLine="482"/>
        <w:jc w:val="left"/>
        <w:spacing w:line="360" w:lineRule="auto"/>
        <w:tabs>
          <w:tab w:val="left" w:pos="9007" w:leader="none"/>
        </w:tabs>
        <w:rPr>
          <w:color w:val="000000" w:themeColor="text1"/>
          <w:highlight w:val="none"/>
        </w:rPr>
      </w:pPr>
      <w:r>
        <w:rPr>
          <w:rFonts w:hint="eastAsia" w:ascii="宋体" w:hAnsi="宋体" w:cs="宋体"/>
          <w:bCs/>
          <w:color w:val="000000" w:themeColor="text1"/>
          <w:sz w:val="24"/>
          <w:szCs w:val="24"/>
          <w:highlight w:val="none"/>
        </w:rPr>
        <w:t xml:space="preserve">（3）备品备件及耗材必须附有详细使用清单。</w:t>
      </w:r>
      <w:r>
        <w:rPr>
          <w:rFonts w:hint="eastAsia" w:ascii="宋体" w:hAnsi="宋体" w:cs="宋体"/>
          <w:b/>
          <w:color w:val="000000" w:themeColor="text1"/>
          <w:sz w:val="24"/>
          <w:szCs w:val="24"/>
          <w:highlight w:val="none"/>
        </w:rPr>
        <w:tab/>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3.运维记录</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3.1根据采购人提供的各类运维记录表，成交投标供应商需做好日常运维工作的记录。</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3.2对耗材、备件的更换和设备的维修等，需做好相应的记录，确保信息完整。</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3.3投标供应商每月定期向采购人提交各类运维记录表，提交水站运行月度报告，陈述水站的运行状况和事件处理情况。</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4.数据质量</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4.1投标供应商按照国家、江苏省及采购人的水站运行管理办法要求，定期开展仪器校准、标液核查、质控考核、水样比对、加标回收和系统审核等工作，并将结果报告采购人。</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4.2采用间歇测定情况下（2小时/次或4小时/次），各自动分析仪至少每天保证有6组有效数据。</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4.3投标供应商需每天10点前在采购人的数据平台上进行数据审核，对异常数据进行确认和标记。</w:t>
      </w:r>
      <w:r>
        <w:rPr>
          <w:color w:val="000000" w:themeColor="text1"/>
          <w:highlight w:val="none"/>
        </w:rPr>
      </w:r>
    </w:p>
    <w:p>
      <w:pPr>
        <w:ind w:firstLine="480"/>
        <w:spacing w:line="360" w:lineRule="auto"/>
        <w:rPr>
          <w:rFonts w:hint="default" w:eastAsia="宋体"/>
          <w:b/>
          <w:bCs/>
          <w:color w:val="000000" w:themeColor="text1"/>
          <w:highlight w:val="none"/>
        </w:rPr>
      </w:pPr>
      <w:r>
        <w:rPr>
          <w:rFonts w:hint="eastAsia" w:ascii="宋体" w:hAnsi="宋体" w:cs="宋体"/>
          <w:color w:val="000000" w:themeColor="text1"/>
          <w:sz w:val="24"/>
          <w:szCs w:val="24"/>
          <w:highlight w:val="none"/>
        </w:rPr>
        <w:t xml:space="preserve">4.4因仪器故障造成站点停运超过72小时不能修复时，直接使用备用设备替代工作，备用设备应和原系统匹配。因断电原因造成站点无法运行时，投标供应商要每周2次在通过计量认证的实验室（自有的或委托的）进行水样检测，在上报数据的同时出具检测报告，相关检测费用由投标供应商承担，不单独报价。</w:t>
      </w:r>
      <w:r>
        <w:rPr>
          <w:rFonts w:hint="eastAsia" w:ascii="宋体" w:hAnsi="宋体" w:cs="宋体"/>
          <w:b/>
          <w:bCs/>
          <w:color w:val="000000" w:themeColor="text1"/>
          <w:sz w:val="24"/>
          <w:szCs w:val="24"/>
          <w:highlight w:val="none"/>
          <w:lang w:val="en-US" w:eastAsia="zh-CN"/>
        </w:rPr>
        <w:t xml:space="preserve">如未进行手工水样监测，则停站期间缺失数据纳入该站点所有仪器应产生正常数据量加以考核。</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5.硬件配备</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5.1投标供应商自有通过资质认定的实验室或委托通过资质认定的实验室，满足试剂配制、标液配制（成交投标供应商用于质量内控）及实样比对（成交投标供应商用于质量内控）分析技术要求。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5.2投标供应商应具有检测常规参数（溶解氧）的便携式仪器一套，经计量检定部门检定合格，用于本项目的运维工作。</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5.3投标供应商应提供运维质控所必备的手机、平板等移动设备以安装相应的质控管理软件。</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5.4运维人员必须配备专用工具，包括便携式电脑、万用表、远程数据查询系统等；还须配备通讯调试工具，包括各种硬件接口线、改线工具、接口调试软件及常用零部件等。</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5.6投标供应商应保证配备至少2套（常规站）系统所需全部设备（水质监测设备、监控设备、通讯设备等），作为应急备用。在仪器设备发生故障72小时不能修复时，直接使用备用设备替代工作，备用设备应和原系统匹配。主要备用设备（高锰酸盐指数分析仪、氨氮分析仪套、总</w:t>
      </w:r>
      <w:r>
        <w:rPr>
          <w:rFonts w:hint="eastAsia" w:ascii="宋体" w:hAnsi="宋体" w:cs="宋体"/>
          <w:color w:val="000000" w:themeColor="text1"/>
          <w:sz w:val="24"/>
          <w:szCs w:val="24"/>
          <w:highlight w:val="none"/>
          <w:lang w:eastAsia="zh-CN"/>
        </w:rPr>
        <w:t xml:space="preserve">磷分</w:t>
      </w:r>
      <w:r>
        <w:rPr>
          <w:rFonts w:hint="eastAsia" w:ascii="宋体" w:hAnsi="宋体" w:cs="宋体"/>
          <w:color w:val="000000" w:themeColor="text1"/>
          <w:sz w:val="24"/>
          <w:szCs w:val="24"/>
          <w:highlight w:val="none"/>
        </w:rPr>
        <w:t xml:space="preserve">析仪、五参数（溶解氧）分析仪。</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6.污染事故处理要求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6.1当水站监测数据发现异常或发现所在断面发生污染事故时，</w:t>
      </w:r>
      <w:r>
        <w:rPr>
          <w:rFonts w:hint="eastAsia" w:ascii="宋体" w:hAnsi="宋体" w:cs="宋体"/>
          <w:color w:val="000000" w:themeColor="text1"/>
          <w:sz w:val="24"/>
          <w:szCs w:val="24"/>
          <w:highlight w:val="none"/>
          <w:lang w:eastAsia="zh-CN"/>
        </w:rPr>
        <w:t xml:space="preserve">须在</w:t>
      </w:r>
      <w:r>
        <w:rPr>
          <w:rFonts w:hint="eastAsia" w:ascii="宋体" w:hAnsi="宋体" w:cs="宋体"/>
          <w:color w:val="000000" w:themeColor="text1"/>
          <w:sz w:val="24"/>
          <w:szCs w:val="24"/>
          <w:highlight w:val="none"/>
        </w:rPr>
        <w:t xml:space="preserve">2小时内报告采购人，并及时核查仪器运行状态，保证系统仪器正常运行，监测数据准确，传输畅通，并协助进行手工监测复核。</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6.2仪器（设备）故障处理要求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（1）系统所需全部设备（包括水质监测设备、监控设备、通讯设备等）发生故障，由投标供应商负责维修。</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当水质自动站系统仪器设备出现故障时，保证白天4小时、夜间8小时内到达现场检修。如果故障在72小时内无法排除，应立即用备机替换，待修复并经校准合格后重新使用。仪器设备无法维修，需及时向采购人汇报，待采购人确认后由采购人负责购买新仪器设备，新仪器投入使用前的性能测试等工作由投标供应商负责，对故障排除过程应有相应记录。</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7.具体工作要求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7.1投标供应商必须根据本部分要求作出相应应答，明确维护方法、周期及技术保障等。</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7.2必须严格按照“日监控，周巡查、月比对”的要求，开展日常维护和管理工作。</w:t>
      </w:r>
      <w:r>
        <w:rPr>
          <w:color w:val="000000" w:themeColor="text1"/>
          <w:highlight w:val="none"/>
        </w:rPr>
      </w:r>
    </w:p>
    <w:p>
      <w:pPr>
        <w:ind w:firstLine="482"/>
        <w:spacing w:line="360" w:lineRule="auto"/>
        <w:rPr>
          <w:color w:val="000000" w:themeColor="text1"/>
          <w:highlight w:val="none"/>
        </w:rPr>
      </w:pPr>
      <w:r>
        <w:rPr>
          <w:rFonts w:hint="eastAsia" w:ascii="宋体" w:hAnsi="宋体" w:cs="宋体"/>
          <w:b/>
          <w:color w:val="000000" w:themeColor="text1"/>
          <w:sz w:val="24"/>
          <w:szCs w:val="24"/>
          <w:highlight w:val="none"/>
        </w:rPr>
        <w:t xml:space="preserve">（1）每周工作内容</w:t>
      </w:r>
      <w:r>
        <w:rPr>
          <w:color w:val="000000" w:themeColor="text1"/>
          <w:highlight w:val="none"/>
        </w:rPr>
      </w:r>
    </w:p>
    <w:tbl>
      <w:tblPr>
        <w:tblStyle w:val="816"/>
        <w:tblW w:w="0" w:type="auto"/>
        <w:jc w:val="center"/>
        <w:tblLayout w:type="fixed"/>
        <w:tblCellMar>
          <w:left w:w="108" w:type="dxa"/>
          <w:top w:w="0" w:type="dxa"/>
          <w:right w:w="108" w:type="dxa"/>
          <w:bottom w:w="0" w:type="dxa"/>
        </w:tblCellMar>
        <w:tblLook w:val="04A0" w:firstRow="1" w:lastRow="0" w:firstColumn="1" w:lastColumn="0" w:noHBand="0" w:noVBand="1"/>
      </w:tblPr>
      <w:tblGrid>
        <w:gridCol w:w="709"/>
        <w:gridCol w:w="1263"/>
        <w:gridCol w:w="1984"/>
        <w:gridCol w:w="5940"/>
      </w:tblGrid>
      <w:tr>
        <w:trPr>
          <w:jc w:val="center"/>
          <w:trHeight w:val="61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维护内容</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维护周期及目标</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维护要求</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通讯检查</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1次/周，确保控制和数据上传通道畅通</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1）确保工控机各个串口和PLC以及分析仪器连接正确且牢固；</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2）通过现场监控软件测试工控机与PLC及各个仪器之间是否连接正确。</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PLC检查</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1）检查PLC状态数据传输和报警灯，确保无数据传输报警；</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2）确保取水过程中PLC上各个点输入输出状态正确；</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3）测量并确保PLC时钟电池电压正常；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4）确保PLC串口模块连接牢固。</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面板开关检查</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1次/周，确保各开关功能正常</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检查控制柜面板开关和指示灯，确保其工作正常。</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配电板清扫</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清扫配电板各个元件上的灰尘等。</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配电板状态检查</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检查确保配电板上各个接线接头不松动，并清除锈蚀接头。确保各个接触器和继电器工作正常。</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接地检查</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确保各个机柜和用电器接地良好，尤其注意防雷保护器接地。</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温湿度仪检查</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检查温湿度仪是否显示合理，保证温度探头反应灵敏。</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机柜台面清扫及检查</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1）检查机柜台面及玻璃是否清洁；</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2）检查机柜各门是否关闭完好。</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9</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高锰酸盐指数分析仪</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1次/周，确保监测仪器所需试剂充足，管路、阀门处于正常状态，仪器电极无玷污，运行稳定，比对数据合格</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1）检查数据传输和报警模块是否正常；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2）确保清洗水供应正常；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3）清除水浴锅内水垢，疏通管道；</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4）确保各个阀门正常；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5）检查并更换老化的输送硫酸软管。</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氨氮分析仪</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1）检查氨氮分析仪加热模块是否正常，是否维持在合适温度；</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2）检查并更换老化的氨氮管路系统；</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3）检查并更换老化的氨氮蠕动泵管；</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4）检查并更换老化的加热迂回管路。</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总磷分析仪</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1）检查数据传输和报警模块是否正常；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2）确保纯水供应正常；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3）清除水浴锅内水垢，疏通管道；</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4）检查并更换老化的UV灯；</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5）确保各个阀门正常。</w:t>
            </w:r>
            <w:r>
              <w:rPr>
                <w:color w:val="000000" w:themeColor="text1"/>
                <w:highlight w:val="none"/>
              </w:rPr>
            </w:r>
          </w:p>
        </w:tc>
      </w:tr>
      <w:tr>
        <w:trPr>
          <w:jc w:val="center"/>
          <w:trHeight w:val="227"/>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12</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五参数分析仪</w:t>
            </w:r>
            <w:r>
              <w:rPr>
                <w:color w:val="000000" w:themeColor="text1"/>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1）检查数据传输和报警模块是否正常；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2）检查电极是否被泥沙和藻类玷污；</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3）清洗电极更换电极液；</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4）检查并更换老化的电极；</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5）确保清洗水供应正常；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6）对溶解氧电极进行校准。</w:t>
            </w:r>
            <w:r>
              <w:rPr>
                <w:color w:val="000000" w:themeColor="text1"/>
                <w:highlight w:val="none"/>
              </w:rPr>
            </w:r>
          </w:p>
        </w:tc>
      </w:tr>
    </w:tbl>
    <w:p>
      <w:pPr>
        <w:ind w:firstLine="241"/>
        <w:spacing w:line="480" w:lineRule="exact"/>
        <w:rPr>
          <w:color w:val="000000" w:themeColor="text1"/>
          <w:highlight w:val="none"/>
        </w:rPr>
      </w:pPr>
      <w:r>
        <w:rPr>
          <w:rFonts w:hint="eastAsia" w:ascii="宋体" w:hAnsi="宋体" w:cs="宋体"/>
          <w:b/>
          <w:color w:val="000000" w:themeColor="text1"/>
          <w:sz w:val="24"/>
          <w:szCs w:val="24"/>
          <w:highlight w:val="none"/>
        </w:rPr>
        <w:t xml:space="preserve">（2）每月工作内容</w:t>
      </w:r>
      <w:r>
        <w:rPr>
          <w:color w:val="000000" w:themeColor="text1"/>
          <w:highlight w:val="none"/>
        </w:rPr>
      </w:r>
    </w:p>
    <w:tbl>
      <w:tblPr>
        <w:tblStyle w:val="816"/>
        <w:tblW w:w="0" w:type="auto"/>
        <w:jc w:val="center"/>
        <w:tblLayout w:type="fixed"/>
        <w:tblCellMar>
          <w:left w:w="108" w:type="dxa"/>
          <w:top w:w="0" w:type="dxa"/>
          <w:right w:w="108" w:type="dxa"/>
          <w:bottom w:w="0" w:type="dxa"/>
        </w:tblCellMar>
        <w:tblLook w:val="04A0" w:firstRow="1" w:lastRow="0" w:firstColumn="1" w:lastColumn="0" w:noHBand="0" w:noVBand="1"/>
      </w:tblPr>
      <w:tblGrid>
        <w:gridCol w:w="724"/>
        <w:gridCol w:w="1261"/>
        <w:gridCol w:w="1984"/>
        <w:gridCol w:w="5954"/>
      </w:tblGrid>
      <w:tr>
        <w:trPr>
          <w:jc w:val="center"/>
          <w:trHeight w:val="554"/>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维护周期及目标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维护要求</w:t>
            </w:r>
            <w:r>
              <w:rPr>
                <w:color w:val="000000" w:themeColor="text1"/>
                <w:highlight w:val="none"/>
              </w:rPr>
            </w:r>
          </w:p>
        </w:tc>
      </w:tr>
      <w:tr>
        <w:trPr>
          <w:jc w:val="center"/>
          <w:trHeight w:val="187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室外取水管路清洗清淤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1次/月，确保管路无泥沙附着</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1）将室外取水管路淤泥吹出。至少三次空气吹洗，以便达到良好清淤效果；</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2）采用3%稀盐酸，对取水管路进行清洗。清洗完毕后15分钟手动运行一次采水流程，以便将管路中残余药剂清洗掉；</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3）恢复取水管路原状。</w:t>
            </w:r>
            <w:r>
              <w:rPr>
                <w:color w:val="000000" w:themeColor="text1"/>
                <w:highlight w:val="none"/>
              </w:rPr>
            </w:r>
          </w:p>
        </w:tc>
      </w:tr>
      <w:tr>
        <w:trPr>
          <w:jc w:val="center"/>
          <w:trHeight w:val="126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室内管路清洗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2次/月，确保管路透明，无泥沙藻类附着</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1）手动拆卸阀门、弯头、过滤网和样水杯等部件，用试管刷清洗，清洗后原样装回；</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2）检查蠕动泵进水塑胶软管脏污情况，在必要的情况更换。</w:t>
            </w:r>
            <w:r>
              <w:rPr>
                <w:color w:val="000000" w:themeColor="text1"/>
                <w:highlight w:val="none"/>
              </w:rPr>
            </w:r>
          </w:p>
        </w:tc>
      </w:tr>
      <w:tr>
        <w:trPr>
          <w:jc w:val="center"/>
          <w:trHeight w:val="169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清洗液位计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1次/月，确保液位计工作正常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1）将液位计拆下，用3%盐酸擦洗浮球和导杆，清除表面钙化物和污物；</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2）测量浮球导通电阻，导通电阻必须小于20欧姆，且反应灵敏；</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3）原样装回液位计；</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4）在必要的情况更换新液位计。</w:t>
            </w:r>
            <w:r>
              <w:rPr>
                <w:color w:val="000000" w:themeColor="text1"/>
                <w:highlight w:val="none"/>
              </w:rPr>
            </w:r>
          </w:p>
        </w:tc>
      </w:tr>
      <w:tr>
        <w:trPr>
          <w:jc w:val="center"/>
          <w:trHeight w:val="109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清洗样水杯喷头</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1次/月，确保喷头工作正常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1）将样水杯清洗喷头拆下，检查是否有锈蚀状况，轻微锈蚀可采用3%稀盐酸浸泡方法清除锈蚀，严重锈蚀状况直接换新的；</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2）将喷头原样装回后注意调节喷头配水强度。</w:t>
            </w:r>
            <w:r>
              <w:rPr>
                <w:color w:val="000000" w:themeColor="text1"/>
                <w:highlight w:val="none"/>
              </w:rPr>
            </w:r>
          </w:p>
        </w:tc>
      </w:tr>
      <w:tr>
        <w:trPr>
          <w:jc w:val="center"/>
          <w:trHeight w:val="75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蠕动泵负载检查</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1次/月，确保蠕动泵无堵塞和渗漏，计量准确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1）按蠕动泵说明书要求，检查输出扭矩；</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2）若不符合说明书规定要求，及时更换泵管。</w:t>
            </w:r>
            <w:r>
              <w:rPr>
                <w:color w:val="000000" w:themeColor="text1"/>
                <w:highlight w:val="none"/>
              </w:rPr>
            </w:r>
          </w:p>
        </w:tc>
      </w:tr>
      <w:tr>
        <w:trPr>
          <w:jc w:val="center"/>
          <w:trHeight w:val="73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液位观察管清洗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1次/月，确保液位观察管清洗透明</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1）拆下透明管清除脏污，用试管刷清洗干净；</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2）拆卸部件原样装回。</w:t>
            </w:r>
            <w:r>
              <w:rPr>
                <w:color w:val="000000" w:themeColor="text1"/>
                <w:highlight w:val="none"/>
              </w:rPr>
            </w:r>
          </w:p>
        </w:tc>
      </w:tr>
      <w:tr>
        <w:trPr>
          <w:jc w:val="center"/>
          <w:trHeight w:val="135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取水系统综合测试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1次/1月，确保系统取水正常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1）完成上述测试后复原所有阀门到正确位置；</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2）检查各个接头是否松动，各个电动球阀接线是否完好；</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3）检查无误情况下，系统复电，检查整个取水流程是否正常。</w:t>
            </w:r>
            <w:r>
              <w:rPr>
                <w:color w:val="000000" w:themeColor="text1"/>
                <w:highlight w:val="none"/>
              </w:rPr>
            </w:r>
          </w:p>
        </w:tc>
      </w:tr>
      <w:tr>
        <w:trPr>
          <w:jc w:val="center"/>
          <w:trHeight w:val="133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高锰酸盐指数分析仪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2次/月，更换试剂并校正，确保数据正常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1）更换标准校对液和分析试剂，一般不超过15天，夏天视情况缩短更换周期，更换试剂时要将前一批的试剂全部更换干净，而不是补充试剂；</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2）试剂更换完毕须校正仪器，确保校正数据符合仪器要求。</w:t>
            </w:r>
            <w:r>
              <w:rPr>
                <w:color w:val="000000" w:themeColor="text1"/>
                <w:highlight w:val="none"/>
              </w:rPr>
            </w:r>
          </w:p>
        </w:tc>
      </w:tr>
      <w:tr>
        <w:trPr>
          <w:jc w:val="center"/>
          <w:trHeight w:val="77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氨氮分析仪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1次/月，更换试剂并校正，确保数据正常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vMerge w:val="restart"/>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1）更换标准校对液和分析试剂，一般不超过30天，夏天视情况缩短更换周期。更换试剂时要将前一批的试剂全部更换干净，而不是补充试剂；</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2）试剂更换完毕须校正仪器，确保校正数据符合仪器要求。</w:t>
            </w:r>
            <w:r>
              <w:rPr>
                <w:color w:val="000000" w:themeColor="text1"/>
                <w:highlight w:val="none"/>
              </w:rPr>
            </w:r>
          </w:p>
        </w:tc>
      </w:tr>
      <w:tr>
        <w:trPr>
          <w:jc w:val="center"/>
          <w:trHeight w:val="62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总磷分析仪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五参数分析仪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1次/月，校正溶解氧电极，确保数据正常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校正溶解氧电极，确保校正数据符合仪器要求。</w:t>
            </w:r>
            <w:r>
              <w:rPr>
                <w:color w:val="000000" w:themeColor="text1"/>
                <w:highlight w:val="none"/>
              </w:rPr>
            </w:r>
          </w:p>
        </w:tc>
      </w:tr>
    </w:tbl>
    <w:p>
      <w:pPr>
        <w:ind w:firstLine="361"/>
        <w:spacing w:line="440" w:lineRule="exact"/>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p>
    <w:p>
      <w:pPr>
        <w:ind w:firstLine="361"/>
        <w:spacing w:line="440" w:lineRule="exact"/>
        <w:rPr>
          <w:color w:val="000000" w:themeColor="text1"/>
          <w:highlight w:val="none"/>
        </w:rPr>
      </w:pPr>
      <w:r>
        <w:rPr>
          <w:rFonts w:hint="eastAsia" w:ascii="宋体" w:hAnsi="宋体" w:cs="宋体"/>
          <w:b/>
          <w:color w:val="000000" w:themeColor="text1"/>
          <w:sz w:val="24"/>
          <w:szCs w:val="24"/>
          <w:highlight w:val="none"/>
        </w:rPr>
        <w:t xml:space="preserve">（3）每2月或半年工作内容</w:t>
      </w:r>
      <w:r>
        <w:rPr>
          <w:color w:val="000000" w:themeColor="text1"/>
          <w:highlight w:val="none"/>
        </w:rPr>
      </w:r>
    </w:p>
    <w:tbl>
      <w:tblPr>
        <w:tblStyle w:val="816"/>
        <w:tblW w:w="0" w:type="auto"/>
        <w:jc w:val="center"/>
        <w:tblLayout w:type="fixed"/>
        <w:tblCellMar>
          <w:left w:w="108" w:type="dxa"/>
          <w:top w:w="0" w:type="dxa"/>
          <w:right w:w="108" w:type="dxa"/>
          <w:bottom w:w="0" w:type="dxa"/>
        </w:tblCellMar>
        <w:tblLook w:val="04A0" w:firstRow="1" w:lastRow="0" w:firstColumn="1" w:lastColumn="0" w:noHBand="0" w:noVBand="1"/>
      </w:tblPr>
      <w:tblGrid>
        <w:gridCol w:w="724"/>
        <w:gridCol w:w="1269"/>
        <w:gridCol w:w="2268"/>
        <w:gridCol w:w="5677"/>
      </w:tblGrid>
      <w:tr>
        <w:trPr>
          <w:jc w:val="center"/>
          <w:trHeight w:val="614"/>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维护周期及目标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维护要求</w:t>
            </w:r>
            <w:r>
              <w:rPr>
                <w:color w:val="000000" w:themeColor="text1"/>
                <w:highlight w:val="none"/>
              </w:rPr>
            </w:r>
          </w:p>
        </w:tc>
      </w:tr>
      <w:tr>
        <w:trPr>
          <w:jc w:val="center"/>
          <w:trHeight w:val="8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采水系统维护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根据不同水期，适当调整，保证采水系统正常运行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对季节性断流、河道改变明显的断面水质自动站采水系统进行加固、调整采水泵。</w:t>
            </w:r>
            <w:r>
              <w:rPr>
                <w:color w:val="000000" w:themeColor="text1"/>
                <w:highlight w:val="none"/>
              </w:rPr>
            </w:r>
          </w:p>
        </w:tc>
      </w:tr>
      <w:tr>
        <w:trPr>
          <w:jc w:val="center"/>
          <w:trHeight w:val="13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室内管路清洗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1次/2月，确保管路透明，无泥沙藻类附着</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1）手动拆卸阀门、弯头、过滤网和样水杯等部件，用试管刷清洗，清洗后原样装回；</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2）检查蠕动泵进水塑胶软管脏污情况，在必要的情况更换。</w:t>
            </w:r>
            <w:r>
              <w:rPr>
                <w:color w:val="000000" w:themeColor="text1"/>
                <w:highlight w:val="none"/>
              </w:rPr>
            </w:r>
          </w:p>
        </w:tc>
      </w:tr>
      <w:tr>
        <w:trPr>
          <w:jc w:val="center"/>
          <w:trHeight w:val="158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电动球阀清洗检查</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1次/2月，确保清洗后电动球阀吸合自如，无堵塞和渗漏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1）将电动球阀手动拆下，用试管刷清洗后，将电动球阀装回管路；</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2）开启组态单阀测试程序，单独控制阀门开关，检查阀门开关时间是否符合要求（10s以内）；</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3）在必要的情况替换电动球阀。</w:t>
            </w:r>
            <w:r>
              <w:rPr>
                <w:color w:val="000000" w:themeColor="text1"/>
                <w:highlight w:val="none"/>
              </w:rPr>
            </w:r>
          </w:p>
        </w:tc>
      </w:tr>
      <w:tr>
        <w:trPr>
          <w:jc w:val="center"/>
          <w:trHeight w:val="124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单向阀清洗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1次/2月，确保清洗后电动球阀吸合自如，无堵塞和渗漏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1）拆下单向阀，用试管刷清洗单向阀阀体及密封橡胶上附着的脏污物，检查密封性是否完好后，原样装回管路；</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2）必要情况更换单向阀。</w:t>
            </w:r>
            <w:r>
              <w:rPr>
                <w:color w:val="000000" w:themeColor="text1"/>
                <w:highlight w:val="none"/>
              </w:rPr>
            </w:r>
          </w:p>
        </w:tc>
      </w:tr>
      <w:tr>
        <w:trPr>
          <w:jc w:val="center"/>
          <w:trHeight w:val="211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压力表测试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1次/2月，确保清洗后压力表读数正常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1）拆下压力表表头，清洗清除压力导管内泥沙。</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压缩空气吹脱表头内残留脏污；</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2）调节空压机输出压力为0.6Mpa，输出气管连接到待测压力表，检查待测压力表显示是否和空压机一致，反应是否灵敏；</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3）原样装回压力表，注意气密性；</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4）必要情况更换压力表。</w:t>
            </w:r>
            <w:r>
              <w:rPr>
                <w:color w:val="000000" w:themeColor="text1"/>
                <w:highlight w:val="none"/>
              </w:rPr>
            </w:r>
          </w:p>
        </w:tc>
      </w:tr>
      <w:tr>
        <w:trPr>
          <w:jc w:val="center"/>
          <w:trHeight w:val="111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工控机检查</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color w:val="000000" w:themeColor="text1"/>
                <w:highlight w:val="none"/>
              </w:rPr>
            </w:pPr>
            <w:r>
              <w:rPr>
                <w:rFonts w:hint="eastAsia" w:ascii="宋体" w:hAnsi="宋体" w:cs="宋体"/>
                <w:color w:val="000000" w:themeColor="text1"/>
                <w:sz w:val="24"/>
                <w:szCs w:val="24"/>
                <w:highlight w:val="none"/>
              </w:rPr>
              <w:t xml:space="preserve">1次/2月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rPr>
                <w:color w:val="000000" w:themeColor="text1"/>
                <w:highlight w:val="none"/>
              </w:rPr>
            </w:pPr>
            <w:r>
              <w:rPr>
                <w:rFonts w:hint="eastAsia" w:ascii="宋体" w:hAnsi="宋体" w:cs="宋体"/>
                <w:color w:val="000000" w:themeColor="text1"/>
                <w:sz w:val="24"/>
                <w:szCs w:val="24"/>
                <w:highlight w:val="none"/>
              </w:rPr>
              <w:t xml:space="preserve">1）检查开机过程中硬件自检过程是否有异常数据传输和报警；</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2）强制切断电源后复电工控机是否可以自动启动，并运行windows系统、加载现场监控软件，串口连接是否正常；</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3）插入备份光盘，用ghost软件备份操作系统。将备份好的操作系统和分区D内的文件拷贝到备份移动硬盘上；</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4）断电后拆下工控机，打开后盖，用细毛刷清；</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5）除电源和主板上的灰尘，尤其注意cpu板、内存和各个串口卡上的灰尘清除。检查各个功能卡接口是否连接牢固；</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6）检查硬盘SATA连接线是否松动；</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7）定期对杀毒软件升级，专机专用，禁止从事与工作无关的活动；</w:t>
            </w:r>
            <w:r>
              <w:rPr>
                <w:color w:val="000000" w:themeColor="text1"/>
                <w:highlight w:val="none"/>
              </w:rPr>
            </w:r>
          </w:p>
          <w:p>
            <w:pPr>
              <w:rPr>
                <w:color w:val="000000" w:themeColor="text1"/>
                <w:highlight w:val="none"/>
              </w:rPr>
            </w:pPr>
            <w:r>
              <w:rPr>
                <w:rFonts w:hint="eastAsia" w:ascii="宋体" w:hAnsi="宋体" w:cs="宋体"/>
                <w:color w:val="000000" w:themeColor="text1"/>
                <w:sz w:val="24"/>
                <w:szCs w:val="24"/>
                <w:highlight w:val="none"/>
              </w:rPr>
              <w:t xml:space="preserve">8）装回工控机重复1）、2）步骤。</w:t>
            </w:r>
            <w:r>
              <w:rPr>
                <w:color w:val="000000" w:themeColor="text1"/>
                <w:highlight w:val="none"/>
              </w:rPr>
            </w:r>
          </w:p>
        </w:tc>
      </w:tr>
    </w:tbl>
    <w:p>
      <w:pPr>
        <w:ind w:firstLine="480"/>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8.站点仪器升级</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站点升级仪器数量：10台CODmn分析仪、10台NH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-N分析仪、2台TP分析仪，新增1台TP分析仪。</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站点仪器升级需求：为贯彻《中华人民共和国环境保护法</w:t>
      </w:r>
      <w:r>
        <w:rPr>
          <w:rFonts w:hint="eastAsia" w:ascii="宋体" w:hAnsi="宋体" w:cs="宋体"/>
          <w:color w:val="000000" w:themeColor="text1"/>
          <w:sz w:val="24"/>
          <w:szCs w:val="24"/>
          <w:highlight w:val="none"/>
          <w:lang w:eastAsia="zh-CN"/>
        </w:rPr>
        <w:t xml:space="preserve">》和</w:t>
      </w:r>
      <w:r>
        <w:rPr>
          <w:rFonts w:hint="eastAsia" w:ascii="宋体" w:hAnsi="宋体" w:cs="宋体"/>
          <w:color w:val="000000" w:themeColor="text1"/>
          <w:sz w:val="24"/>
          <w:szCs w:val="24"/>
          <w:highlight w:val="none"/>
        </w:rPr>
        <w:t xml:space="preserve">《中华人民共和国水污染防治法》，防治生态环境污染，改善生态环境质量，规范地表水水质自动监测站运行维护工作。2025年1月26日，生态环境部正式发布关于“地表水水质自动监测站（常规五参数、CODmn、NH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-N、TP、TN）”相关三项技术规范，包含：运行维护技术规范915.3-2024、安装验收技术规范915.2-2024、选址与基础设施建设915.1-2024，新标准于2025年7月1日正式实施，并部分替代原HJ915-2017版本。</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在监测仪器的质控技术要求方面，“地表水水质自动监测站（常规五参数、CODmn、NH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-N、TP、TN）安装验收技术”（HJ915.2-2024）和“地表水水质自动监测站（常规五参数、CODmn、NH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-N、TP、TN）运行维护技术规范”（HJ915.3-2024）提出了新的要求：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高锰酸盐指数、氨氮、总磷、总氮水质自动监测仪器</w:t>
      </w:r>
      <w:r>
        <w:rPr>
          <w:rFonts w:hint="eastAsia" w:ascii="宋体" w:hAnsi="宋体" w:cs="宋体"/>
          <w:color w:val="000000" w:themeColor="text1"/>
          <w:sz w:val="24"/>
          <w:szCs w:val="24"/>
          <w:highlight w:val="none"/>
        </w:rPr>
        <w:t xml:space="preserve">具有自动开展低浓度和高浓度标样核查、空白校准、标样校准等功能</w:t>
      </w:r>
      <w:r>
        <w:rPr>
          <w:rFonts w:hint="eastAsia"/>
          <w:color w:val="000000" w:themeColor="text1"/>
          <w:highlight w:val="none"/>
        </w:rPr>
        <w:t xml:space="preserve">；</w:t>
      </w:r>
      <w:r>
        <w:rPr>
          <w:rFonts w:ascii="宋体" w:hAnsi="宋体" w:cs="宋体"/>
          <w:color w:val="000000" w:themeColor="text1"/>
          <w:sz w:val="24"/>
          <w:szCs w:val="24"/>
          <w:highlight w:val="none"/>
        </w:rPr>
        <w:t xml:space="preserve">每24 h应至少开展一次期间自动标样核查，自动标样核查包括低、高2个浓度，每个浓度各测试一次，核查性能指标应满足</w:t>
      </w:r>
      <w:r>
        <w:rPr>
          <w:rFonts w:hint="eastAsia" w:ascii="宋体" w:hAnsi="宋体" w:cs="宋体"/>
          <w:color w:val="000000" w:themeColor="text1"/>
          <w:sz w:val="24"/>
          <w:szCs w:val="24"/>
          <w:highlight w:val="none"/>
        </w:rPr>
        <w:t xml:space="preserve">相关</w:t>
      </w:r>
      <w:r>
        <w:rPr>
          <w:rFonts w:ascii="宋体" w:hAnsi="宋体" w:cs="宋体"/>
          <w:color w:val="000000" w:themeColor="text1"/>
          <w:sz w:val="24"/>
          <w:szCs w:val="24"/>
          <w:highlight w:val="none"/>
        </w:rPr>
        <w:t xml:space="preserve">要求</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2.水质自动监测仪器具有量程切换功能；</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3.水质自动监测仪器应具有异常信息记录、上传功能，包括部件故障、超标报警、缺试剂报警等信息；</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4.水质自动监测仪器应具有过程日志记录功能；</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5.水质自动监测仪器应具有RS-232/485、传输控制协议/网际协议（TCP/IP）等标准通讯接口；</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6.水质自动监测仪器检测周期不大于60min。</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目前本项目现有的10套水质监测微型站（涉及监测仪器包括10台CODmn分析仪、10台NH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-N分析仪、2台TP分析仪），不具备上述所列的质控功能，需要升级相关仪器，以保证具备上述质控功能，满足“地表水水质自动监测站（常规五参数、CODmn、NH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-N、TP、TN）安装验收技术”（HJ915.2-2024）和“地表水水质自动监测站（常规五参数、CODmn、NH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-N、TP、TN）运行维护技术规范”（HJ915.3-2024）相关要求。</w:t>
      </w:r>
      <w:r>
        <w:rPr>
          <w:color w:val="000000" w:themeColor="text1"/>
          <w:highlight w:val="none"/>
        </w:rPr>
      </w:r>
    </w:p>
    <w:p>
      <w:pPr>
        <w:spacing w:line="440" w:lineRule="exact"/>
        <w:rPr>
          <w:color w:val="000000" w:themeColor="text1"/>
          <w:highlight w:val="none"/>
        </w:rPr>
      </w:pPr>
      <w:r>
        <w:rPr>
          <w:rFonts w:hint="eastAsia" w:ascii="宋体" w:hAnsi="宋体" w:cs="宋体"/>
          <w:b/>
          <w:bCs/>
          <w:color w:val="000000" w:themeColor="text1"/>
          <w:sz w:val="24"/>
          <w:szCs w:val="24"/>
          <w:highlight w:val="none"/>
        </w:rPr>
        <w:t xml:space="preserve">四、考核管理办法：</w:t>
      </w:r>
      <w:r>
        <w:rPr>
          <w:color w:val="000000" w:themeColor="text1"/>
          <w:highlight w:val="none"/>
        </w:rPr>
      </w:r>
    </w:p>
    <w:p>
      <w:pPr>
        <w:ind w:firstLine="482"/>
        <w:jc w:val="left"/>
        <w:spacing w:line="360" w:lineRule="auto"/>
        <w:rPr>
          <w:color w:val="000000" w:themeColor="text1"/>
          <w:highlight w:val="none"/>
        </w:rPr>
      </w:pPr>
      <w:r>
        <w:rPr>
          <w:rFonts w:hint="eastAsia" w:ascii="宋体" w:hAnsi="宋体" w:cs="宋体"/>
          <w:b/>
          <w:color w:val="000000" w:themeColor="text1"/>
          <w:sz w:val="24"/>
          <w:szCs w:val="24"/>
          <w:highlight w:val="none"/>
        </w:rPr>
        <w:t xml:space="preserve">1.质量考核</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采购人根据仪器的实际有效运行率按月核算运维款项，具体如下：</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1.1单个参数月有效运行率≥90%，拨付该参数全部运维款。</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1.2单个参数月有效运行率＜90%，但≥60%时，该参数当月实付运维款=有效运行率×该参数运维款。</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1.3单个参数月有效运行率＜60%时，扣除该参数当月全部运维款。</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1.4当站点因河道整治、恶劣天气等不可抗拒因素，造成站点无法采水停运时，应采用清水运行；因断电造成站点无法运行时，必须以书面形式汇报采购人，经采购人确认后方能停运，停运期间中标人需做好站点安全巡查、设备养护工作，停运期间数据不纳入有效运行率统计。</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有效运行率的计算方法参照《江苏省环境水质（地表水）自动监测预警系统运行管理办法（试行）》中有关规定执行，其中：</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仪器有效运行率=该仪器实际采用数据量</w:t>
      </w:r>
      <w:r>
        <w:rPr>
          <w:rFonts w:ascii="Arial" w:hAnsi="Arial" w:cs="Arial"/>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该仪器正常产生数据量</w:t>
      </w:r>
      <w:r>
        <w:rPr>
          <w:rFonts w:ascii="Arial" w:hAnsi="Arial" w:cs="Arial"/>
          <w:color w:val="000000" w:themeColor="text1"/>
          <w:sz w:val="24"/>
          <w:szCs w:val="24"/>
          <w:highlight w:val="none"/>
        </w:rPr>
        <w:t xml:space="preserve">×</w:t>
      </w:r>
      <w:r>
        <w:rPr>
          <w:rFonts w:hint="eastAsia" w:ascii="宋体" w:hAnsi="宋体" w:cs="宋体"/>
          <w:color w:val="000000" w:themeColor="text1"/>
          <w:sz w:val="24"/>
          <w:szCs w:val="24"/>
          <w:highlight w:val="none"/>
        </w:rPr>
        <w:t xml:space="preserve">100%；</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站点有效运行率=该站点所有仪器实际采用数据量</w:t>
      </w:r>
      <w:r>
        <w:rPr>
          <w:rFonts w:ascii="Arial" w:hAnsi="Arial" w:cs="Arial"/>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该站点所有仪器正常产生数据量</w:t>
      </w:r>
      <w:r>
        <w:rPr>
          <w:rFonts w:ascii="Arial" w:hAnsi="Arial" w:cs="Arial"/>
          <w:color w:val="000000" w:themeColor="text1"/>
          <w:sz w:val="24"/>
          <w:szCs w:val="24"/>
          <w:highlight w:val="none"/>
        </w:rPr>
        <w:t xml:space="preserve">×</w:t>
      </w:r>
      <w:r>
        <w:rPr>
          <w:rFonts w:hint="eastAsia" w:ascii="宋体" w:hAnsi="宋体" w:cs="宋体"/>
          <w:color w:val="000000" w:themeColor="text1"/>
          <w:sz w:val="24"/>
          <w:szCs w:val="24"/>
          <w:highlight w:val="none"/>
        </w:rPr>
        <w:t xml:space="preserve">100%；</w:t>
      </w:r>
      <w:r>
        <w:rPr>
          <w:color w:val="000000" w:themeColor="text1"/>
          <w:highlight w:val="none"/>
        </w:rPr>
      </w:r>
    </w:p>
    <w:p>
      <w:pPr>
        <w:ind w:firstLine="482"/>
        <w:jc w:val="left"/>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站点仪器（单个参数）月度运维款按照中标总价平均到每个站点及每台仪器的运维款计算。其余的按照均分的原则以此类推。</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实际采用数据量应扣除因质量考核不合格删除的数据，及因性能测试、质量考核等原因标记的数据；正常产生数据量应扣除因性能测试、质量考核等原因标记的数据。</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投标供应商按照《地表水自动监测技术规范（试行）》（HJ915-2017）、《地表水水质自动监测站（常规五参数、CODmn、NH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-N、TP、TN）安装验收技术》（HJ915.2-2024）、《地表水水质自动监测站（常规五参数、CODmn、NH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运行维护技术规范》（HJ915.3-2024）、《江苏省环境水质（地表水）自动监测预警系统运行管理办法（试行）》和《江苏省水质自动监测质量管理暂行规定》等规定要求，定期开展质量保证内控工作。高锰酸盐指数、氨氮、总磷至少每月进行一次仪器校准和标液核查；溶解氧每月至少进行一次仪器校准；至少每半年进行一次系统核查。结果（包括图片等佐证材料）应及时报采购人，结果未报、频次未达标或未附佐证材料视为未考核，同时扣除该参数当月全部运维款。</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采购人定期对投标供应商进行质控考核，考核不合格时投标供应商应立即查找原因，并在考核结束的48小时内完成补测。补测仍不合格仪器（或系统）视为故障，需按规范替换备机或开展手工补测工作。质控考核不合格的数据直至下次测试合格前均按无效数据剔除。投标供应商未按要求提出补测的，相关数据将全部视作无效数据，并同时扣除该参数当月运维款。</w:t>
      </w:r>
      <w:r>
        <w:rPr>
          <w:color w:val="000000" w:themeColor="text1"/>
          <w:highlight w:val="none"/>
        </w:rPr>
      </w:r>
    </w:p>
    <w:p>
      <w:pPr>
        <w:ind w:firstLine="482"/>
        <w:jc w:val="left"/>
        <w:spacing w:line="360" w:lineRule="auto"/>
        <w:rPr>
          <w:color w:val="000000" w:themeColor="text1"/>
          <w:highlight w:val="none"/>
        </w:rPr>
      </w:pPr>
      <w:r>
        <w:rPr>
          <w:rFonts w:hint="eastAsia" w:ascii="宋体" w:hAnsi="宋体" w:cs="宋体"/>
          <w:b/>
          <w:color w:val="000000" w:themeColor="text1"/>
          <w:sz w:val="24"/>
          <w:szCs w:val="24"/>
          <w:highlight w:val="none"/>
        </w:rPr>
        <w:t xml:space="preserve">2.半年度考核</w:t>
      </w:r>
      <w:r>
        <w:rPr>
          <w:color w:val="000000" w:themeColor="text1"/>
          <w:highlight w:val="none"/>
        </w:rPr>
      </w:r>
    </w:p>
    <w:p>
      <w:pPr>
        <w:ind w:firstLine="482"/>
        <w:jc w:val="left"/>
        <w:spacing w:line="360" w:lineRule="auto"/>
        <w:rPr>
          <w:color w:val="000000" w:themeColor="text1"/>
          <w:highlight w:val="none"/>
        </w:rPr>
      </w:pPr>
      <w:r>
        <w:rPr>
          <w:rFonts w:hint="eastAsia" w:ascii="宋体" w:hAnsi="宋体" w:cs="宋体"/>
          <w:b/>
          <w:color w:val="000000" w:themeColor="text1"/>
          <w:sz w:val="24"/>
          <w:szCs w:val="24"/>
          <w:highlight w:val="none"/>
        </w:rPr>
        <w:t xml:space="preserve">2.1考核方法</w:t>
      </w:r>
      <w:r>
        <w:rPr>
          <w:color w:val="000000" w:themeColor="text1"/>
          <w:highlight w:val="none"/>
        </w:rPr>
      </w:r>
    </w:p>
    <w:p>
      <w:pPr>
        <w:ind w:firstLine="480"/>
        <w:spacing w:line="360" w:lineRule="auto"/>
        <w:rPr>
          <w:color w:val="000000" w:themeColor="text1"/>
          <w:highlight w:val="none"/>
        </w:rPr>
        <w:sectPr>
          <w:headerReference w:type="default" r:id="rId9"/>
          <w:footerReference w:type="default" r:id="rId11"/>
          <w:footerReference w:type="first" r:id="rId12"/>
          <w:footnotePr>
            <w:pos w:val="beneathText"/>
          </w:footnotePr>
          <w:endnotePr/>
          <w:type w:val="nextPage"/>
          <w:pgSz w:w="11906" w:h="16838" w:orient="portrait"/>
          <w:pgMar w:top="567" w:right="851" w:bottom="963" w:left="1134" w:header="720" w:footer="907" w:gutter="0"/>
          <w:cols w:num="1" w:sep="0" w:space="720" w:equalWidth="1"/>
          <w:docGrid w:linePitch="360"/>
        </w:sectPr>
      </w:pPr>
      <w:r>
        <w:rPr>
          <w:rFonts w:hint="eastAsia" w:ascii="宋体" w:hAnsi="宋体" w:cs="宋体"/>
          <w:color w:val="000000" w:themeColor="text1"/>
          <w:sz w:val="24"/>
          <w:szCs w:val="24"/>
          <w:highlight w:val="none"/>
        </w:rPr>
        <w:t xml:space="preserve">采购人对投标供应商开展半年度运行维护工作考核，以每个水质自动站为单位进行。依据上述维护内容就维护质量和相关指标相结合的方式进行评分，满分为100分，分为四个等级，优≥90分、90分＞良≥80分、80分＞中≥60分、差＜60分；“考核评价、现场运维考核评价”大项得分出现低于35分时，当月评分降低一个等级。具体考核内容见表5《水质自动站质控巡查表》。</w:t>
      </w:r>
      <w:r>
        <w:rPr>
          <w:color w:val="000000" w:themeColor="text1"/>
          <w:highlight w:val="none"/>
        </w:rPr>
      </w:r>
    </w:p>
    <w:tbl>
      <w:tblPr>
        <w:tblStyle w:val="81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76"/>
        <w:gridCol w:w="3865"/>
        <w:gridCol w:w="3685"/>
        <w:gridCol w:w="4357"/>
        <w:gridCol w:w="709"/>
        <w:gridCol w:w="709"/>
      </w:tblGrid>
      <w:tr>
        <w:trPr>
          <w:jc w:val="center"/>
          <w:trHeight w:val="639"/>
        </w:trPr>
        <w:tc>
          <w:tcPr>
            <w:gridSpan w:val="6"/>
            <w:tcW w:w="14601" w:type="dxa"/>
            <w:vAlign w:val="center"/>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表5 水质自动站质控巡查表</w:t>
            </w:r>
            <w:r>
              <w:rPr>
                <w:color w:val="000000" w:themeColor="text1"/>
                <w:highlight w:val="none"/>
              </w:rPr>
            </w:r>
          </w:p>
        </w:tc>
      </w:tr>
      <w:tr>
        <w:trPr>
          <w:jc w:val="center"/>
          <w:trHeight w:val="495"/>
        </w:trPr>
        <w:tc>
          <w:tcPr>
            <w:gridSpan w:val="2"/>
            <w:tcW w:w="5141" w:type="dxa"/>
            <w:vAlign w:val="center"/>
            <w:textDirection w:val="lrTb"/>
            <w:noWrap w:val="false"/>
          </w:tcPr>
          <w:p>
            <w:pPr>
              <w:widowControl/>
              <w:rPr>
                <w:color w:val="000000" w:themeColor="text1"/>
                <w:highlight w:val="none"/>
              </w:rPr>
            </w:pPr>
            <w:r>
              <w:rPr>
                <w:rFonts w:hint="eastAsia" w:ascii="宋体" w:hAnsi="宋体" w:cs="宋体"/>
                <w:color w:val="000000" w:themeColor="text1"/>
                <w:sz w:val="24"/>
                <w:szCs w:val="24"/>
                <w:highlight w:val="none"/>
              </w:rPr>
              <w:t xml:space="preserve">巡查站点：</w:t>
            </w:r>
            <w:r>
              <w:rPr>
                <w:color w:val="000000" w:themeColor="text1"/>
                <w:highlight w:val="none"/>
              </w:rPr>
            </w:r>
          </w:p>
        </w:tc>
        <w:tc>
          <w:tcPr>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运维公司：</w:t>
            </w:r>
            <w:r>
              <w:rPr>
                <w:color w:val="000000" w:themeColor="text1"/>
                <w:highlight w:val="none"/>
              </w:rPr>
            </w:r>
          </w:p>
        </w:tc>
        <w:tc>
          <w:tcPr>
            <w:gridSpan w:val="3"/>
            <w:tcW w:w="577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运维责任人（签字）：</w:t>
            </w:r>
            <w:r>
              <w:rPr>
                <w:color w:val="000000" w:themeColor="text1"/>
                <w:highlight w:val="none"/>
              </w:rPr>
            </w:r>
          </w:p>
        </w:tc>
      </w:tr>
      <w:tr>
        <w:trPr>
          <w:jc w:val="center"/>
          <w:trHeight w:val="470"/>
        </w:trPr>
        <w:tc>
          <w:tcPr>
            <w:gridSpan w:val="2"/>
            <w:tcBorders>
              <w:bottom w:val="single" w:color="000000" w:sz="4" w:space="0"/>
            </w:tcBorders>
            <w:tcW w:w="5141"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巡查日期：</w:t>
            </w:r>
            <w:r>
              <w:rPr>
                <w:color w:val="000000" w:themeColor="text1"/>
                <w:highlight w:val="none"/>
              </w:rPr>
            </w:r>
          </w:p>
        </w:tc>
        <w:tc>
          <w:tcPr>
            <w:tcBorders>
              <w:bottom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质控单位：</w:t>
            </w:r>
            <w:r>
              <w:rPr>
                <w:color w:val="000000" w:themeColor="text1"/>
                <w:highlight w:val="none"/>
              </w:rPr>
            </w:r>
          </w:p>
        </w:tc>
        <w:tc>
          <w:tcPr>
            <w:gridSpan w:val="3"/>
            <w:tcBorders>
              <w:bottom w:val="single" w:color="000000" w:sz="4" w:space="0"/>
            </w:tcBorders>
            <w:tcW w:w="577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质控责任人（签字）：</w:t>
            </w:r>
            <w:r>
              <w:rPr>
                <w:color w:val="000000" w:themeColor="text1"/>
                <w:highlight w:val="none"/>
              </w:rPr>
            </w:r>
          </w:p>
        </w:tc>
      </w:tr>
      <w:tr>
        <w:trPr>
          <w:jc w:val="center"/>
          <w:trHeight w:val="412"/>
        </w:trPr>
        <w:tc>
          <w:tcPr>
            <w:shd w:val="clear" w:color="auto"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color w:val="000000" w:themeColor="text1"/>
                <w:highlight w:val="none"/>
              </w:rPr>
            </w:pPr>
            <w:r>
              <w:rPr>
                <w:rFonts w:hint="eastAsia" w:ascii="宋体" w:hAnsi="宋体" w:cs="宋体"/>
                <w:b/>
                <w:bCs/>
                <w:color w:val="000000" w:themeColor="text1"/>
                <w:sz w:val="24"/>
                <w:szCs w:val="24"/>
                <w:highlight w:val="none"/>
              </w:rPr>
              <w:t xml:space="preserve">考核内容</w:t>
            </w:r>
            <w:r>
              <w:rPr>
                <w:color w:val="000000" w:themeColor="text1"/>
                <w:highlight w:val="none"/>
              </w:rPr>
            </w:r>
          </w:p>
        </w:tc>
        <w:tc>
          <w:tcPr>
            <w:shd w:val="clear" w:color="auto" w:fill="d9d9d9"/>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center"/>
              <w:widowControl/>
              <w:rPr>
                <w:color w:val="000000" w:themeColor="text1"/>
                <w:highlight w:val="none"/>
              </w:rPr>
            </w:pPr>
            <w:r>
              <w:rPr>
                <w:rFonts w:hint="eastAsia" w:ascii="宋体" w:hAnsi="宋体" w:cs="宋体"/>
                <w:b/>
                <w:bCs/>
                <w:color w:val="000000" w:themeColor="text1"/>
                <w:sz w:val="24"/>
                <w:szCs w:val="24"/>
                <w:highlight w:val="none"/>
              </w:rPr>
              <w:t xml:space="preserve">考核要求</w:t>
            </w:r>
            <w:r>
              <w:rPr>
                <w:color w:val="000000" w:themeColor="text1"/>
                <w:highlight w:val="none"/>
              </w:rPr>
            </w:r>
          </w:p>
        </w:tc>
        <w:tc>
          <w:tcPr>
            <w:shd w:val="clear" w:color="auto" w:fill="d9d9d9"/>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widowControl/>
              <w:rPr>
                <w:color w:val="000000" w:themeColor="text1"/>
                <w:highlight w:val="none"/>
              </w:rPr>
            </w:pPr>
            <w:r>
              <w:rPr>
                <w:rFonts w:hint="eastAsia" w:ascii="宋体" w:hAnsi="宋体" w:cs="宋体"/>
                <w:b/>
                <w:bCs/>
                <w:color w:val="000000" w:themeColor="text1"/>
                <w:sz w:val="24"/>
                <w:szCs w:val="24"/>
                <w:highlight w:val="none"/>
              </w:rPr>
              <w:t xml:space="preserve">评分细则</w:t>
            </w:r>
            <w:r>
              <w:rPr>
                <w:color w:val="000000" w:themeColor="text1"/>
                <w:highlight w:val="none"/>
              </w:rPr>
            </w:r>
          </w:p>
        </w:tc>
        <w:tc>
          <w:tcPr>
            <w:shd w:val="clear" w:color="auto" w:fill="d9d9d9"/>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center"/>
              <w:widowControl/>
              <w:rPr>
                <w:color w:val="000000" w:themeColor="text1"/>
                <w:highlight w:val="none"/>
              </w:rPr>
            </w:pPr>
            <w:r>
              <w:rPr>
                <w:rFonts w:hint="eastAsia" w:ascii="宋体" w:hAnsi="宋体" w:cs="宋体"/>
                <w:b/>
                <w:bCs/>
                <w:color w:val="000000" w:themeColor="text1"/>
                <w:sz w:val="24"/>
                <w:szCs w:val="24"/>
                <w:highlight w:val="none"/>
              </w:rPr>
              <w:t xml:space="preserve">评分标准</w:t>
            </w:r>
            <w:r>
              <w:rPr>
                <w:color w:val="000000" w:themeColor="text1"/>
                <w:highlight w:val="none"/>
              </w:rPr>
            </w:r>
          </w:p>
        </w:tc>
        <w:tc>
          <w:tcPr>
            <w:shd w:val="clear" w:color="auto"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color w:val="000000" w:themeColor="text1"/>
                <w:highlight w:val="none"/>
              </w:rPr>
            </w:pPr>
            <w:r>
              <w:rPr>
                <w:rFonts w:hint="eastAsia" w:ascii="宋体" w:hAnsi="宋体" w:cs="宋体"/>
                <w:b/>
                <w:bCs/>
                <w:color w:val="000000" w:themeColor="text1"/>
                <w:sz w:val="24"/>
                <w:szCs w:val="24"/>
                <w:highlight w:val="none"/>
              </w:rPr>
              <w:t xml:space="preserve">得分</w:t>
            </w:r>
            <w:r>
              <w:rPr>
                <w:color w:val="000000" w:themeColor="text1"/>
                <w:highlight w:val="none"/>
              </w:rPr>
            </w:r>
          </w:p>
        </w:tc>
        <w:tc>
          <w:tcPr>
            <w:shd w:val="clear" w:color="auto"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color w:val="000000" w:themeColor="text1"/>
                <w:highlight w:val="none"/>
              </w:rPr>
            </w:pPr>
            <w:r>
              <w:rPr>
                <w:rFonts w:hint="eastAsia" w:ascii="宋体" w:hAnsi="宋体" w:cs="宋体"/>
                <w:b/>
                <w:bCs/>
                <w:color w:val="000000" w:themeColor="text1"/>
                <w:sz w:val="24"/>
                <w:szCs w:val="24"/>
                <w:highlight w:val="none"/>
              </w:rPr>
              <w:t xml:space="preserve">备注</w:t>
            </w:r>
            <w:r>
              <w:rPr>
                <w:color w:val="000000" w:themeColor="text1"/>
                <w:highlight w:val="none"/>
              </w:rPr>
            </w:r>
          </w:p>
        </w:tc>
      </w:tr>
      <w:tr>
        <w:trPr>
          <w:jc w:val="center"/>
          <w:trHeight w:val="405"/>
        </w:trPr>
        <w:tc>
          <w:tcPr>
            <w:gridSpan w:val="6"/>
            <w:shd w:val="clear" w:color="auto" w:fill="f2f2f2"/>
            <w:tcBorders>
              <w:top w:val="single" w:color="000000" w:sz="4" w:space="0"/>
              <w:left w:val="single" w:color="000000" w:sz="4" w:space="0"/>
              <w:bottom w:val="single" w:color="000000" w:sz="4" w:space="0"/>
              <w:right w:val="single" w:color="000000" w:sz="4" w:space="0"/>
            </w:tcBorders>
            <w:tcW w:w="14601" w:type="dxa"/>
            <w:vAlign w:val="center"/>
            <w:textDirection w:val="lrTb"/>
            <w:noWrap w:val="false"/>
          </w:tcPr>
          <w:p>
            <w:pPr>
              <w:jc w:val="left"/>
              <w:widowControl/>
              <w:rPr>
                <w:color w:val="000000" w:themeColor="text1"/>
                <w:highlight w:val="none"/>
              </w:rPr>
            </w:pPr>
            <w:r>
              <w:rPr>
                <w:rFonts w:hint="eastAsia" w:ascii="宋体" w:hAnsi="宋体" w:cs="宋体"/>
                <w:b/>
                <w:color w:val="000000" w:themeColor="text1"/>
                <w:sz w:val="24"/>
                <w:szCs w:val="24"/>
                <w:highlight w:val="none"/>
              </w:rPr>
              <w:t xml:space="preserve">一、考核评价（50分）</w:t>
            </w:r>
            <w:r>
              <w:rPr>
                <w:color w:val="000000" w:themeColor="text1"/>
                <w:highlight w:val="none"/>
              </w:rPr>
            </w:r>
          </w:p>
        </w:tc>
      </w:tr>
      <w:tr>
        <w:trPr>
          <w:jc w:val="center"/>
          <w:trHeight w:val="1230"/>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站点有效运行率（15分）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rFonts w:ascii="宋体" w:hAnsi="宋体" w:cs="宋体"/>
                <w:color w:val="000000" w:themeColor="text1"/>
                <w:sz w:val="24"/>
                <w:szCs w:val="24"/>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wp:posOffset>
                      </wp:positionH>
                      <wp:positionV relativeFrom="paragraph">
                        <wp:posOffset>297180</wp:posOffset>
                      </wp:positionV>
                      <wp:extent cx="2329180" cy="320675"/>
                      <wp:effectExtent l="0" t="0" r="13970" b="317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9"/>
                              <a:stretch/>
                            </pic:blipFill>
                            <pic:spPr bwMode="auto">
                              <a:xfrm>
                                <a:off x="0" y="0"/>
                                <a:ext cx="2329180" cy="320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5pt;mso-position-horizontal:absolute;mso-position-vertical-relative:text;margin-top:23.4pt;mso-position-vertical:absolute;width:183.4pt;height:25.2pt;mso-wrap-distance-left:9.0pt;mso-wrap-distance-top:0.0pt;mso-wrap-distance-right:9.0pt;mso-wrap-distance-bottom:0.0pt;" stroked="f">
                      <v:path textboxrect="0,0,0,0"/>
                      <v:imagedata r:id="rId19" o:title=""/>
                    </v:shape>
                  </w:pict>
                </mc:Fallback>
              </mc:AlternateConten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站点有效运行率≥95%得满分；95%＞站点有效运行率≥90%得10分；90%＞站点有效运行率≥80%的得5分；站点有效运行率＜80%的不得分。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核查有效率：统计站点运行有效率实际结果。</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2283"/>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质控考核合格率（10分）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盲样考核（10分）</w:t>
            </w:r>
            <w:r>
              <w:rPr>
                <w:color w:val="000000" w:themeColor="text1"/>
                <w:highlight w:val="none"/>
              </w:rPr>
            </w:r>
          </w:p>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标样考核合格率为100%得满分；100%＞标样考核合格率≥80%得8分；80%＞标样考核合格率≥50%得5分，50%＞得0分。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按本次盲样考核结果进行评分，非自然灾害及其他特殊原因导致盲样未考核的，按不合格进行扣分，氨氮、总磷、高锰酸盐指数相对误差要求为≤±10%为合格，其他项目按具体标准进行判定。</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*考核记录须可在仪器或照片上查到，照片上必须有仪器的特征号。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365"/>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日常质控结果</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标液核查（2分）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标液核查合格率100%为满分，100%＞标样考核合格率≥90%得1分得1分，低于90%不得分。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运维商内控，对氨氮、总磷、高锰酸盐指数至少进行1次标液核查，相对误差要求为≤±10%，其他项目按具体标准进行判定。</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*考核记录须可在仪器或照片上查到，照片上必须有仪器的特征号。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32"/>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巡查结果</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（11分）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到站率（5分）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站点每周巡检一次得满分；到站率不足一周一次不得分。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结合纸质版运维巡检表或APP进行检查。</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780"/>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站房卫生（2分）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站房卫生整洁、物品摆放有序得满分，否则酌情扣分。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保持站房/微型站机柜清洁，试剂、药品、玻璃器皿等放置整齐；保持院落/微型站机柜整洁，不堆放杂物；废液及时处理；任何一处不合格扣1分。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63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运维记录（4分）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各项记录完整、准确、整洁得满分，否则酌情扣分。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巡检记录、质控记录、试剂及标液更换记录、仪器及备品备件更换记录、异常情况登记记录内容应满足巡检频次，按实际情况填写，内容完整、准确，字迹工整，并存放在水站现场，内容需符合实际情况及标准。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975"/>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运维响应</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（7分）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应急响应（2分）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对水质异常响应及时，能够及时判断仪器状态得满分，否则酌情扣分。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实现日监控，监控人员能第一时间发现水质异常并上报，确保仪器正常运行，日监测数据超出预警值或单个数据异常高未进行响应每次扣0.5分。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61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故障响应（3分）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站点故障时响应迅速，解决及时得满分，否则酌情扣分。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仪器故障当天无法修复未反馈或者超出48小时未解决，每次扣1分。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12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反馈信息（2分）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能够及时反映水质、仪器故障信息得满分，否则酌情扣分。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运维人员每日进行两次数据查看，每日上午10:00前完成数据一级审核，未及时审核，每次扣0.5分；对于二级审核提出疑问，未在两小时内响应，每次扣0.5分。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780"/>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运维保障</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技术保障（2分）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人员技术水平高，能及时解决相关故障，否则酌情扣分。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水站运维人员数据符合相关文件要求，运维人员持有上岗证，且能熟练操作，无上岗证扣2分。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人员、车辆保障（2分）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满足每5个站1人1车得满分，否则酌情扣分。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运维人员数量不符扣1分，运维车辆不符扣1分。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58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实验室保障（1分）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在具有CMA资质的实验室配置试剂，否则不得分。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未在具有CMA资质的实验室配置试剂扣1分。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416"/>
        </w:trPr>
        <w:tc>
          <w:tcPr>
            <w:gridSpan w:val="6"/>
            <w:shd w:val="clear" w:color="auto" w:fill="f2f2f2"/>
            <w:tcBorders>
              <w:top w:val="single" w:color="000000" w:sz="4" w:space="0"/>
              <w:left w:val="single" w:color="000000" w:sz="4" w:space="0"/>
              <w:bottom w:val="single" w:color="000000" w:sz="4" w:space="0"/>
              <w:right w:val="single" w:color="000000" w:sz="4" w:space="0"/>
            </w:tcBorders>
            <w:tcW w:w="14601" w:type="dxa"/>
            <w:vAlign w:val="center"/>
            <w:textDirection w:val="lrTb"/>
            <w:noWrap w:val="false"/>
          </w:tcPr>
          <w:p>
            <w:pPr>
              <w:jc w:val="left"/>
              <w:widowControl/>
              <w:rPr>
                <w:color w:val="000000" w:themeColor="text1"/>
                <w:highlight w:val="none"/>
              </w:rPr>
            </w:pPr>
            <w:r>
              <w:rPr>
                <w:rFonts w:hint="eastAsia" w:ascii="宋体" w:hAnsi="宋体" w:cs="宋体"/>
                <w:b/>
                <w:color w:val="000000" w:themeColor="text1"/>
                <w:sz w:val="24"/>
                <w:szCs w:val="24"/>
                <w:highlight w:val="none"/>
              </w:rPr>
              <w:t xml:space="preserve">二、现场运维考核评价（50分）</w:t>
            </w:r>
            <w:r>
              <w:rPr>
                <w:color w:val="000000" w:themeColor="text1"/>
                <w:highlight w:val="none"/>
              </w:rPr>
            </w:r>
          </w:p>
        </w:tc>
      </w:tr>
      <w:tr>
        <w:trPr>
          <w:jc w:val="center"/>
          <w:trHeight w:val="1110"/>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现场环境</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环境（2分）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水、电、电话（网络）、空调（去湿）等满足要求，保证自动仪器具有良好的运行环境，站房卫生整洁，采水点周围无垃圾堆积，根据站房卫生及采水口情况酌情扣分。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水电网异常，未及时反馈或者恢复，每次各扣1分； 院落及取水口需保持良好环境，院落及取水口杂草/水草等影响正常运维，不及时清理或上报的每次各扣1分。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095"/>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仪器维护</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（35分）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维护频次（5分）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运维频次满足每周运维1次，定期进行电极清洗和管路清洗，管路和电极表面清洁；不满足运维频次不得分，管路或电极不清洁酌情扣分。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不满足每周运维1次的扣5分。</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因维护原因致使仪器水路或气路发生堵塞或泄漏，每处扣1分；仪器管路、电极不洁的每处扣1分。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15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仪器运行情况（10分）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仪器、系统运行状态正常。定期校准仪器；仪器故障及时报修，相应仪器的校正参数在正常范围内，一个参数不正常扣1分，扣完为止。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私自更换仪器扣10分；</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所有仪器：运行状态未标识或者标识不清，每处扣1分；仪器未及时校准，每项目扣2分；仪器的校正参数不在正常范围内，每处扣1分。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06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试剂、备件更换（10分）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定期更换试剂、定期更换易耗品和备品备件，试剂标签完整、状态正常（缺一个标签扣1分，试剂状态不正常或备件未及时更换扣2分，扣完为止）。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未按要求更换试剂或备品备件每处扣2分；使用的试剂需张贴标签（配制日期、配制人、浓度、试剂名称、有效期等），不符合要求的，每处扣2分。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264"/>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采配水系统的维护（5分）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及时维护，保证采水系统通畅运行，采水浮筒正常、采水管路、保温层正常。定期检查，防止管路堵塞或破裂；样水杯、管路、沉砂池清洁无异物。对不正常情况酌情扣分，扣完为止。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采水浮筒、航道灯、采水管路、保温层不正常，每处扣1分；采水管路堵塞或破裂每处扣1分；采样杯、给排水管路、过滤器、沉淀池未及时清洗，每处扣1分。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264"/>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仪器运行记录（5分）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运维记录、质控记录、试剂更换，备品备件更换等记录齐全，档案完整；错写、漏写一处扣1分，扣完为止。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巡检记录、质控记录、试剂及标液更换记录、仪器及备品备件更换记录、异常情况登记记录内容有一处填写错误扣1分。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1605"/>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数据一致性（5分）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数据一致性（5分）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水站控制及通信系统正常；检查仪器、工控机与平台的数据一致情况，核查数据的真实性，采集模拟量的仪器数据与工控机数据偏差不得超过±2%。对不正常情况酌情扣分，扣完为止。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发现任何私自修改参数行为扣5分；</w:t>
            </w:r>
            <w:r>
              <w:rPr>
                <w:color w:val="000000" w:themeColor="text1"/>
                <w:highlight w:val="none"/>
              </w:rPr>
            </w:r>
          </w:p>
          <w:p>
            <w:pPr>
              <w:jc w:val="left"/>
              <w:widowControl/>
              <w:rPr>
                <w:color w:val="000000" w:themeColor="text1"/>
                <w:highlight w:val="none"/>
              </w:rPr>
            </w:pPr>
            <w:r>
              <w:rPr>
                <w:rFonts w:hint="eastAsia" w:ascii="宋体" w:hAnsi="宋体" w:cs="宋体"/>
                <w:color w:val="000000" w:themeColor="text1"/>
                <w:sz w:val="24"/>
                <w:szCs w:val="24"/>
                <w:highlight w:val="none"/>
              </w:rPr>
              <w:t xml:space="preserve">仪器、工控机与平台采集数据不一致的每项目扣1分；采集模拟量的仪器数据与工控机数据偏差超过±2%的每项目扣1分。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852"/>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质控考核合格率（8分）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6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现场质控考核（8分）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现场质控考核全部合格得满分，否则一项不合格扣2分，扣完为止。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357"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考核内容包括水样比对、加标回收，每单项监测因子考核不合格扣2分。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585"/>
        </w:trPr>
        <w:tc>
          <w:tcPr>
            <w:gridSpan w:val="4"/>
            <w:shd w:val="clear" w:color="auto" w:fill="f2f2f2"/>
            <w:tcBorders>
              <w:top w:val="single" w:color="000000" w:sz="4" w:space="0"/>
              <w:left w:val="single" w:color="000000" w:sz="4" w:space="0"/>
              <w:bottom w:val="single" w:color="000000" w:sz="4" w:space="0"/>
              <w:right w:val="single" w:color="000000" w:sz="4" w:space="0"/>
            </w:tcBorders>
            <w:tcW w:w="13183" w:type="dxa"/>
            <w:vAlign w:val="center"/>
            <w:textDirection w:val="lrTb"/>
            <w:noWrap w:val="false"/>
          </w:tcPr>
          <w:p>
            <w:pPr>
              <w:jc w:val="center"/>
              <w:widowControl/>
              <w:rPr>
                <w:color w:val="000000" w:themeColor="text1"/>
                <w:highlight w:val="none"/>
              </w:rPr>
            </w:pPr>
            <w:r>
              <w:rPr>
                <w:rFonts w:hint="eastAsia" w:ascii="宋体" w:hAnsi="宋体" w:cs="宋体"/>
                <w:b/>
                <w:color w:val="000000" w:themeColor="text1"/>
                <w:sz w:val="24"/>
                <w:szCs w:val="24"/>
                <w:highlight w:val="none"/>
              </w:rPr>
              <w:t xml:space="preserve">合计（100分）</w:t>
            </w:r>
            <w:r>
              <w:rPr>
                <w:color w:val="000000" w:themeColor="text1"/>
                <w:highlight w:val="none"/>
              </w:rPr>
            </w:r>
          </w:p>
        </w:tc>
        <w:tc>
          <w:tcPr>
            <w:shd w:val="clear" w:color="auto" w:fill="f2f2f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p>
        </w:tc>
        <w:tc>
          <w:tcPr>
            <w:shd w:val="clear" w:color="auto" w:fill="f2f2f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jc w:val="center"/>
          <w:trHeight w:val="525"/>
        </w:trPr>
        <w:tc>
          <w:tcPr>
            <w:gridSpan w:val="6"/>
            <w:tcBorders>
              <w:top w:val="single" w:color="000000" w:sz="4" w:space="0"/>
            </w:tcBorders>
            <w:tcW w:w="14601" w:type="dxa"/>
            <w:vAlign w:val="center"/>
            <w:textDirection w:val="lrTb"/>
            <w:noWrap w:val="false"/>
          </w:tcPr>
          <w:p>
            <w:pPr>
              <w:jc w:val="left"/>
              <w:widowControl/>
              <w:rPr>
                <w:color w:val="000000" w:themeColor="text1"/>
                <w:highlight w:val="none"/>
              </w:rPr>
            </w:pPr>
            <w:r>
              <w:rPr>
                <w:rFonts w:hint="eastAsia" w:ascii="宋体" w:hAnsi="宋体" w:cs="宋体"/>
                <w:b/>
                <w:bCs/>
                <w:color w:val="000000" w:themeColor="text1"/>
                <w:sz w:val="24"/>
                <w:szCs w:val="24"/>
                <w:highlight w:val="none"/>
              </w:rPr>
              <w:t xml:space="preserve">评级：优≥90分、90分＞良≥80分、80分＞中≥60分、差＜60分；“月度考核评价、现场运维考核评价”大项得分出现低于35分时，当月评分降低一个等级。</w:t>
            </w:r>
            <w:r>
              <w:rPr>
                <w:color w:val="000000" w:themeColor="text1"/>
                <w:highlight w:val="none"/>
              </w:rPr>
            </w:r>
          </w:p>
        </w:tc>
      </w:tr>
      <w:tr>
        <w:trPr>
          <w:jc w:val="center"/>
          <w:trHeight w:val="270"/>
        </w:trPr>
        <w:tc>
          <w:tcPr>
            <w:gridSpan w:val="6"/>
            <w:tcW w:w="14601" w:type="dxa"/>
            <w:vAlign w:val="center"/>
            <w:textDirection w:val="lrTb"/>
            <w:noWrap w:val="false"/>
          </w:tcPr>
          <w:p>
            <w:pPr>
              <w:jc w:val="left"/>
              <w:widowControl/>
              <w:rPr>
                <w:color w:val="000000" w:themeColor="text1"/>
                <w:highlight w:val="none"/>
              </w:rPr>
            </w:pPr>
            <w:r>
              <w:rPr>
                <w:rFonts w:hint="eastAsia" w:ascii="宋体" w:hAnsi="宋体" w:cs="宋体"/>
                <w:color w:val="000000" w:themeColor="text1"/>
                <w:sz w:val="24"/>
                <w:szCs w:val="24"/>
                <w:highlight w:val="none"/>
              </w:rPr>
              <w:t xml:space="preserve">实际采用数据量应扣除因质量考核不合格删除的数据，及因性能测试、质量考核等原因标记的数据；正常产生数据量应扣除因性能测试、质量考核等原因标记的数据。</w:t>
            </w:r>
            <w:r>
              <w:rPr>
                <w:color w:val="000000" w:themeColor="text1"/>
                <w:highlight w:val="none"/>
              </w:rPr>
            </w:r>
          </w:p>
        </w:tc>
      </w:tr>
    </w:tbl>
    <w:p>
      <w:pPr>
        <w:rPr>
          <w:color w:val="000000" w:themeColor="text1"/>
          <w:highlight w:val="none"/>
        </w:rPr>
        <w:sectPr>
          <w:footerReference w:type="default" r:id="rId13"/>
          <w:footerReference w:type="even" r:id="rId14"/>
          <w:footerReference w:type="first" r:id="rId15"/>
          <w:footnotePr>
            <w:pos w:val="beneathText"/>
          </w:footnotePr>
          <w:endnotePr/>
          <w:type w:val="nextPage"/>
          <w:pgSz w:w="16838" w:h="11906" w:orient="landscape"/>
          <w:pgMar w:top="1134" w:right="567" w:bottom="963" w:left="567" w:header="720" w:footer="907" w:gutter="0"/>
          <w:cols w:num="1" w:sep="0" w:space="720" w:equalWidth="1"/>
          <w:docGrid w:linePitch="360"/>
        </w:sectPr>
      </w:pPr>
      <w:r>
        <w:rPr>
          <w:color w:val="000000" w:themeColor="text1"/>
          <w:highlight w:val="none"/>
        </w:rPr>
      </w:r>
      <w:r>
        <w:rPr>
          <w:color w:val="000000" w:themeColor="text1"/>
          <w:highlight w:val="none"/>
        </w:rPr>
      </w:r>
    </w:p>
    <w:p>
      <w:pPr>
        <w:ind w:firstLine="482"/>
        <w:jc w:val="left"/>
        <w:spacing w:line="360" w:lineRule="auto"/>
        <w:rPr>
          <w:color w:val="000000" w:themeColor="text1"/>
          <w:highlight w:val="none"/>
        </w:rPr>
      </w:pPr>
      <w:r>
        <w:rPr>
          <w:rFonts w:hint="eastAsia" w:ascii="宋体" w:hAnsi="宋体" w:cs="宋体"/>
          <w:b/>
          <w:color w:val="000000" w:themeColor="text1"/>
          <w:sz w:val="24"/>
          <w:szCs w:val="24"/>
          <w:highlight w:val="none"/>
        </w:rPr>
        <w:t xml:space="preserve">2.2惩罚办法</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2.2.1一旦发现虚假数据，采购人有权终止合同，并按已支付费用的双倍进行经济处罚。</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2.2.2采购人对投标供应商开展月度运行维护工作考核，对每个站点单独考核，其中：</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（1）单站考核结果在60分以上，80分以下，为初级警告，扣除该站点月度运维费的5%，并责令整改。</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（2）单站考核结果在60分以下，为二级警告，扣除该站点月度运维费的10%，并责令整改。</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（3）所有站点考核结果平均分在60分以下，取消合同，并罚款合同额的两倍。</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2.2.3如果投标供应商的运维人员队伍发生重大变更，无法按质开展运维工作，或者发生重大责任事故，采购人有权提前取消合同。</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2.2.4如果投标供应商未能有效开展运维工作，水站或仪器平均有效运行率连续2周低于70%或2个以上水站有效运行率连续2月低于70%、质控考核合格率连续2月低于70%，或在检查中发现与招标文件或合同不符的重大不符合项，采购人有权提前取消合同。</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2.2.5因考核不合格解除合同前，或合同到期前，采购人将对水质自动站进行资产后评估，若达不到考核要求，将由投标供应商进行限期修复，所需费用由投标供应商承担。 </w:t>
      </w:r>
      <w:r>
        <w:rPr>
          <w:color w:val="000000" w:themeColor="text1"/>
          <w:highlight w:val="none"/>
        </w:rPr>
      </w:r>
    </w:p>
    <w:p>
      <w:pPr>
        <w:ind w:firstLine="482"/>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五、交接方式：</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1.采购人在合同生效前向中标人提供以下技术资料：</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1.1系统、仪表技术说明书（包括软件部分）。</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1.2电气原理图。</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1.3电气接线图。</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1.4操作手册。</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1.5仪表试剂配方。</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1.6通讯协议。</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2.在合同生效前中标人与采购人共同对系统运行情况，仪器运行情况，数据采集情况进行实际考察，并且做好备案。</w:t>
      </w:r>
      <w:r>
        <w:rPr>
          <w:color w:val="000000" w:themeColor="text1"/>
          <w:highlight w:val="none"/>
        </w:rPr>
      </w:r>
    </w:p>
    <w:p>
      <w:pPr>
        <w:ind w:firstLine="482"/>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六、参考技术规范和标准：</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1.《地表水自动监测技术规范（试行）》（HJ915-2017）</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-N、TP、TN）安装验收技术》（HJ915.2-2024）</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3.《地表水水质自动监测站（常规五参数、CODmn、NH</w:t>
      </w:r>
      <w:r>
        <w:rPr>
          <w:rFonts w:hint="eastAsia" w:ascii="宋体" w:hAnsi="宋体" w:cs="宋体"/>
          <w:color w:val="000000" w:themeColor="text1"/>
          <w:sz w:val="24"/>
          <w:szCs w:val="24"/>
          <w:highlight w:val="none"/>
          <w:vertAlign w:val="subscript"/>
        </w:rPr>
        <w:t xml:space="preserve">3</w:t>
      </w:r>
      <w:r>
        <w:rPr>
          <w:rFonts w:hint="eastAsia" w:ascii="宋体" w:hAnsi="宋体" w:cs="宋体"/>
          <w:color w:val="000000" w:themeColor="text1"/>
          <w:sz w:val="24"/>
          <w:szCs w:val="24"/>
          <w:highlight w:val="none"/>
        </w:rPr>
        <w:t xml:space="preserve">-N、TP、TN）运行维护技术规范》（HJ915.3-2024）</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4.《水和废水监测分析方法》（第四版增补版）</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5.《江苏省环境水质（地表水）自动监测预警系统运行管理办法（试行）》</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6.《江苏省地表水自动监测站运行管理办法（试行）》（苏环办〔2020〕174号）</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7.《地表水环境质量监测数据统计技术规定（试行）》（环办监测函〔2020〕82号）</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8.《地表水自动监测数据处理方法及修约规则（试行）》（总站水字〔2020〕90号）</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9. 《</w:t>
      </w:r>
      <w:r>
        <w:rPr>
          <w:color w:val="000000" w:themeColor="text1"/>
          <w:highlight w:val="none"/>
        </w:rPr>
        <w:fldChar w:fldCharType="begin"/>
      </w:r>
      <w:r>
        <w:rPr>
          <w:color w:val="000000" w:themeColor="text1"/>
          <w:highlight w:val="none"/>
        </w:rPr>
        <w:instrText xml:space="preserve"> HYPERLINK "http://www.sepa.gov.cn/image20010518/1782.pdf"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地表水环境质量监测技术规范》（HJ91.2-2022）</w:t>
      </w:r>
      <w:r>
        <w:rPr>
          <w:rFonts w:hint="eastAsia" w:ascii="宋体" w:hAnsi="宋体" w:cs="宋体"/>
          <w:color w:val="000000" w:themeColor="text1"/>
          <w:sz w:val="24"/>
          <w:szCs w:val="24"/>
          <w:highlight w:val="none"/>
        </w:rPr>
        <w:fldChar w:fldCharType="end"/>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10.《溶解氧（DO）水质自动分析仪技术要求》（HJ/T99-2003）</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11.《高锰酸盐指数水质自动分析仪技术要求》（HJ/T100-2003）</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12.《氨氮水质自动分析仪技术要求》（HJ/T101-2019）</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13.《总磷水质自动分析仪技术要求》（HJ/T 103-2003）</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14.其他现行有效的技术规范及国家标准。</w:t>
      </w:r>
      <w:r>
        <w:rPr>
          <w:color w:val="000000" w:themeColor="text1"/>
          <w:highlight w:val="none"/>
        </w:rPr>
      </w:r>
    </w:p>
    <w:p>
      <w:pPr>
        <w:ind w:firstLine="482"/>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注：上述技术标准如作废或有替代标准，则以现行的最新标准为准。</w:t>
      </w:r>
      <w:r>
        <w:rPr>
          <w:color w:val="000000" w:themeColor="text1"/>
          <w:highlight w:val="none"/>
        </w:rPr>
      </w:r>
    </w:p>
    <w:p>
      <w:pPr>
        <w:ind w:firstLine="482"/>
        <w:spacing w:line="360" w:lineRule="auto"/>
        <w:rPr>
          <w:color w:val="000000" w:themeColor="text1"/>
          <w:highlight w:val="none"/>
        </w:rPr>
      </w:pPr>
      <w:r>
        <w:rPr>
          <w:rFonts w:hint="eastAsia" w:ascii="宋体" w:hAnsi="宋体" w:cs="宋体"/>
          <w:b/>
          <w:bCs/>
          <w:color w:val="000000" w:themeColor="text1"/>
          <w:sz w:val="24"/>
          <w:szCs w:val="24"/>
          <w:highlight w:val="none"/>
        </w:rPr>
        <w:t xml:space="preserve">七、报价要求：</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1.投标供应商须对本项目中的所有服务进行投报，不得拆开投报或只投其中的部分内容，否则将失去投标资格。</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项目报价包括完成该项目工作所需的所有费用，包括运维费（含人工费、食宿费、交通工具使用费、各部分工作费用等）、设备升级、专利技术、成交服务费、项目利润、税费及政策性文件规定和合同所包含的所有风险、责任等各项应有费用。</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3.投标供应商在报价时应考虑各种风险因素，相关风险因素费用包含在报价总价中。风险因素包括遇重大活动、检查、突发情况、最低工资调整、物价调整、税费调整等。</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4.投标文件中的报价总价为水质自动监测站的运维及管理报价，单价和总价采用人民币报价。单价按站点具体参数分别报价，以月度为单位（不同站点的相同参数，单价可以相同也可以不同）。</w:t>
      </w:r>
      <w:r>
        <w:rPr>
          <w:color w:val="000000" w:themeColor="text1"/>
          <w:highlight w:val="none"/>
        </w:rPr>
      </w:r>
    </w:p>
    <w:p>
      <w:pPr>
        <w:ind w:firstLine="480"/>
        <w:jc w:val="left"/>
        <w:spacing w:line="360" w:lineRule="auto"/>
        <w:rPr>
          <w:color w:val="000000" w:themeColor="text1"/>
          <w:highlight w:val="none"/>
        </w:rPr>
      </w:pPr>
      <w:r>
        <w:rPr>
          <w:rFonts w:hint="eastAsia" w:ascii="宋体" w:hAnsi="宋体" w:cs="宋体"/>
          <w:color w:val="000000" w:themeColor="text1"/>
          <w:sz w:val="24"/>
          <w:szCs w:val="24"/>
          <w:highlight w:val="none"/>
        </w:rPr>
        <w:t xml:space="preserve">（1）单站点报价=</w:t>
      </w:r>
      <w:r>
        <w:rPr>
          <w:color w:val="000000" w:themeColor="text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8.2pt;height:21.0pt;mso-wrap-distance-left:0.0pt;mso-wrap-distance-top:0.0pt;mso-wrap-distance-right:0.0pt;mso-wrap-distance-bottom:0.0pt;" filled="f" stroked="f">
            <v:path textboxrect="0,0,0,0"/>
            <v:imagedata r:id="rId20" o:title=""/>
          </v:shape>
          <o:OLEObject DrawAspect="Content" r:id="rId21" ObjectID="_1525042" ProgID="" ShapeID="_x0000_i2" Type="Embed"/>
        </w:object>
      </w:r>
      <w:r>
        <w:rPr>
          <w:rFonts w:hint="eastAsia" w:ascii="宋体" w:hAnsi="宋体" w:cs="宋体"/>
          <w:color w:val="000000" w:themeColor="text1"/>
          <w:sz w:val="24"/>
          <w:szCs w:val="24"/>
          <w:highlight w:val="none"/>
        </w:rPr>
        <w:t xml:space="preserve">，其中，i=五参数，COD</w:t>
      </w:r>
      <w:r>
        <w:rPr>
          <w:rFonts w:hint="eastAsia" w:ascii="宋体" w:hAnsi="宋体" w:cs="宋体"/>
          <w:color w:val="000000" w:themeColor="text1"/>
          <w:sz w:val="24"/>
          <w:szCs w:val="24"/>
          <w:highlight w:val="none"/>
          <w:vertAlign w:val="subscript"/>
        </w:rPr>
        <w:t xml:space="preserve">Mn</w:t>
      </w:r>
      <w:r>
        <w:rPr>
          <w:rFonts w:hint="eastAsia" w:ascii="宋体" w:hAnsi="宋体" w:cs="宋体"/>
          <w:color w:val="000000" w:themeColor="text1"/>
          <w:sz w:val="24"/>
          <w:szCs w:val="24"/>
          <w:highlight w:val="none"/>
        </w:rPr>
        <w:t xml:space="preserve">，氨氮，总磷等（</w:t>
      </w:r>
      <w:r>
        <w:rPr>
          <w:rFonts w:hint="eastAsia" w:ascii="宋体" w:hAnsi="宋体" w:cs="宋体"/>
          <w:b/>
          <w:color w:val="000000" w:themeColor="text1"/>
          <w:sz w:val="24"/>
          <w:szCs w:val="24"/>
          <w:highlight w:val="none"/>
        </w:rPr>
        <w:t xml:space="preserve">具体站点监测项目见表1、表2</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360" w:lineRule="auto"/>
        <w:rPr>
          <w:color w:val="000000" w:themeColor="text1"/>
          <w:highlight w:val="none"/>
        </w:rPr>
      </w:pPr>
      <w:r>
        <w:rPr>
          <w:rFonts w:hint="eastAsia" w:ascii="宋体" w:hAnsi="宋体" w:cs="宋体"/>
          <w:color w:val="000000" w:themeColor="text1"/>
          <w:sz w:val="24"/>
          <w:szCs w:val="24"/>
          <w:highlight w:val="none"/>
        </w:rPr>
        <w:t xml:space="preserve">（2）总价=服务期（月）×</w:t>
      </w:r>
      <w:r>
        <w:rPr>
          <w:color w:val="000000" w:themeColor="text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4.8pt;height:20.2pt;mso-wrap-distance-left:0.0pt;mso-wrap-distance-top:0.0pt;mso-wrap-distance-right:0.0pt;mso-wrap-distance-bottom:0.0pt;" filled="f" stroked="f">
            <v:path textboxrect="0,0,0,0"/>
            <v:imagedata r:id="rId22" o:title=""/>
          </v:shape>
          <o:OLEObject DrawAspect="Content" r:id="rId23" ObjectID="_1525043" ProgID="" ShapeID="_x0000_i3" Type="Embed"/>
        </w:object>
      </w:r>
      <w:r>
        <w:rPr>
          <w:rFonts w:hint="eastAsia" w:ascii="宋体" w:hAnsi="宋体" w:cs="宋体"/>
          <w:color w:val="000000" w:themeColor="text1"/>
          <w:sz w:val="24"/>
          <w:szCs w:val="24"/>
          <w:highlight w:val="none"/>
        </w:rPr>
        <w:t xml:space="preserve">，j=站点名称。（</w:t>
      </w:r>
      <w:r>
        <w:rPr>
          <w:rFonts w:hint="eastAsia" w:ascii="宋体" w:hAnsi="宋体" w:cs="宋体"/>
          <w:b/>
          <w:color w:val="000000" w:themeColor="text1"/>
          <w:sz w:val="24"/>
          <w:szCs w:val="24"/>
          <w:highlight w:val="none"/>
        </w:rPr>
        <w:t xml:space="preserve">具体站点监测项目见表1、表2</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2"/>
        <w:spacing w:line="360" w:lineRule="auto"/>
        <w:shd w:val="clear" w:color="auto" w:fill="ffffff"/>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八、其他要求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1.采购文件中所提要求为项目实施的基本技术要求，投标供应商应根据采购需求等前期调研情况，提供满足本技术规范和所列标准要求的服务。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运维单位人员在履行工作职责期间（包括上下班途中），发生自身的人身伤害、伤亡以及事故等，均由中标供应商负责处理并承担经济和道义上的责任，采购人不承担任何责任。中标供应商与所派遣的运维人员发生纠纷，均由中标供应商负责调解与处理，采购人不承担责任。</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供应商必须承诺采购文件中提出的全部技术规格与要求，如果其中某些条款不响应时，应在文件中逐条列出，未列出的视同响应。投标单位提供的材料如有虚假，视为不实质性响应采购文件要求，已中标的取消其中标资格，并按照《政府采购货物和服务招标投标管理办法》第七十四条“提供虚假材料谋取中标”相关处理办法处理。</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6.验收标准：按招标文件所规定的服务标准和乙方投标文件的承诺，根据《无锡市政府采购验收管理暂行办法》程序组织验收，费用由乙方承担。</w:t>
      </w:r>
      <w:r>
        <w:rPr>
          <w:color w:val="000000" w:themeColor="text1"/>
          <w:highlight w:val="none"/>
        </w:rPr>
      </w:r>
    </w:p>
    <w:p>
      <w:pPr>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六、付款方式：</w:t>
      </w:r>
      <w:r>
        <w:rPr>
          <w:rFonts w:hint="eastAsia" w:ascii="宋体" w:hAnsi="宋体" w:cs="宋体"/>
          <w:b/>
          <w:bCs/>
          <w:color w:val="000000" w:themeColor="text1"/>
          <w:sz w:val="24"/>
          <w:szCs w:val="24"/>
          <w:highlight w:val="none"/>
        </w:rPr>
        <w:t xml:space="preserve">合同签订后支付合同金额的</w:t>
      </w:r>
      <w:r>
        <w:rPr>
          <w:rFonts w:ascii="宋体" w:hAnsi="宋体" w:cs="宋体"/>
          <w:b/>
          <w:bCs/>
          <w:color w:val="000000" w:themeColor="text1"/>
          <w:sz w:val="24"/>
          <w:szCs w:val="24"/>
          <w:highlight w:val="none"/>
        </w:rPr>
        <w:t xml:space="preserve">2</w:t>
      </w:r>
      <w:r>
        <w:rPr>
          <w:rFonts w:hint="eastAsia" w:ascii="宋体" w:hAnsi="宋体" w:cs="宋体"/>
          <w:b/>
          <w:bCs/>
          <w:color w:val="000000" w:themeColor="text1"/>
          <w:sz w:val="24"/>
          <w:szCs w:val="24"/>
          <w:highlight w:val="none"/>
        </w:rPr>
        <w:t xml:space="preserve">0%作为预付款，运维期满</w:t>
      </w:r>
      <w:r>
        <w:rPr>
          <w:rFonts w:ascii="宋体" w:hAnsi="宋体" w:cs="宋体"/>
          <w:b/>
          <w:bCs/>
          <w:color w:val="000000" w:themeColor="text1"/>
          <w:sz w:val="24"/>
          <w:szCs w:val="24"/>
          <w:highlight w:val="none"/>
        </w:rPr>
        <w:t xml:space="preserve">1年支付合同价款的20</w:t>
      </w:r>
      <w:r>
        <w:rPr>
          <w:rFonts w:hint="eastAsia" w:ascii="宋体" w:hAnsi="宋体" w:cs="宋体"/>
          <w:b/>
          <w:bCs/>
          <w:color w:val="000000" w:themeColor="text1"/>
          <w:sz w:val="24"/>
          <w:szCs w:val="24"/>
          <w:highlight w:val="none"/>
        </w:rPr>
        <w:t xml:space="preserve">%，运维期满1</w:t>
      </w:r>
      <w:r>
        <w:rPr>
          <w:rFonts w:ascii="宋体" w:hAnsi="宋体" w:cs="宋体"/>
          <w:b/>
          <w:bCs/>
          <w:color w:val="000000" w:themeColor="text1"/>
          <w:sz w:val="24"/>
          <w:szCs w:val="24"/>
          <w:highlight w:val="none"/>
        </w:rPr>
        <w:t xml:space="preserve">8个月</w:t>
      </w:r>
      <w:r>
        <w:rPr>
          <w:rFonts w:hint="eastAsia" w:ascii="宋体" w:hAnsi="宋体" w:cs="宋体"/>
          <w:b/>
          <w:bCs/>
          <w:color w:val="000000" w:themeColor="text1"/>
          <w:sz w:val="24"/>
          <w:szCs w:val="24"/>
          <w:highlight w:val="none"/>
        </w:rPr>
        <w:t xml:space="preserve">支付合同价款的</w:t>
      </w:r>
      <w:r>
        <w:rPr>
          <w:rFonts w:ascii="宋体" w:hAnsi="宋体" w:cs="宋体"/>
          <w:b/>
          <w:bCs/>
          <w:color w:val="000000" w:themeColor="text1"/>
          <w:sz w:val="24"/>
          <w:szCs w:val="24"/>
          <w:highlight w:val="none"/>
        </w:rPr>
        <w:t xml:space="preserve">20</w:t>
      </w:r>
      <w:r>
        <w:rPr>
          <w:rFonts w:hint="eastAsia" w:ascii="宋体" w:hAnsi="宋体" w:cs="宋体"/>
          <w:b/>
          <w:bCs/>
          <w:color w:val="000000" w:themeColor="text1"/>
          <w:sz w:val="24"/>
          <w:szCs w:val="24"/>
          <w:highlight w:val="none"/>
        </w:rPr>
        <w:t xml:space="preserve">%，待完成合同内容并且通过项目考核后付清余款。</w:t>
      </w:r>
      <w:r>
        <w:rPr>
          <w:rFonts w:ascii="宋体" w:hAnsi="宋体" w:cs="宋体"/>
          <w:b/>
          <w:bCs/>
          <w:color w:val="000000" w:themeColor="text1"/>
          <w:sz w:val="24"/>
          <w:szCs w:val="24"/>
          <w:highlight w:val="none"/>
        </w:rPr>
        <w:br w:type="page" w:clear="all"/>
      </w:r>
      <w:r>
        <w:rPr>
          <w:color w:val="000000" w:themeColor="text1"/>
          <w:highlight w:val="none"/>
        </w:rPr>
      </w:r>
    </w:p>
    <w:p>
      <w:pPr>
        <w:pStyle w:val="839"/>
        <w:ind w:left="0" w:firstLine="0"/>
        <w:jc w:val="center"/>
        <w:rPr>
          <w:rFonts w:eastAsia="黑体"/>
          <w:bCs/>
          <w:color w:val="000000" w:themeColor="text1"/>
          <w:sz w:val="28"/>
          <w:szCs w:val="28"/>
          <w:highlight w:val="none"/>
        </w:rPr>
        <w:sectPr>
          <w:headerReference w:type="default" r:id="rId10"/>
          <w:footerReference w:type="default" r:id="rId16"/>
          <w:footnotePr/>
          <w:endnotePr/>
          <w:type w:val="nextPage"/>
          <w:pgSz w:w="11906" w:h="16838" w:orient="portrait"/>
          <w:pgMar w:top="567" w:right="851" w:bottom="567" w:left="1134" w:header="624" w:footer="907" w:gutter="0"/>
          <w:cols w:num="1" w:sep="0" w:space="1701" w:equalWidth="1"/>
          <w:docGrid w:linePitch="360"/>
        </w:sectPr>
        <w:outlineLvl w:val="0"/>
      </w:pPr>
      <w:r>
        <w:rPr>
          <w:rFonts w:eastAsia="黑体"/>
          <w:bCs/>
          <w:color w:val="000000" w:themeColor="text1"/>
          <w:sz w:val="28"/>
          <w:szCs w:val="28"/>
          <w:highlight w:val="none"/>
        </w:rPr>
      </w:r>
      <w:r>
        <w:rPr>
          <w:color w:val="000000" w:themeColor="text1"/>
          <w:highlight w:val="none"/>
        </w:rPr>
      </w:r>
    </w:p>
    <w:p>
      <w:pPr>
        <w:pStyle w:val="839"/>
        <w:ind w:left="0" w:firstLine="0"/>
        <w:jc w:val="center"/>
        <w:rPr>
          <w:rFonts w:ascii="宋体" w:hAnsi="宋体"/>
          <w:color w:val="000000" w:themeColor="text1"/>
          <w:sz w:val="28"/>
          <w:highlight w:val="none"/>
        </w:rPr>
        <w:outlineLvl w:val="0"/>
      </w:pPr>
      <w:r>
        <w:rPr>
          <w:color w:val="000000" w:themeColor="text1"/>
          <w:highlight w:val="none"/>
        </w:rPr>
      </w:r>
      <w:bookmarkStart w:id="4" w:name="_Toc24687"/>
      <w:r>
        <w:rPr>
          <w:rFonts w:hint="eastAsia" w:eastAsia="黑体"/>
          <w:bCs/>
          <w:color w:val="000000" w:themeColor="text1"/>
          <w:sz w:val="28"/>
          <w:szCs w:val="28"/>
          <w:highlight w:val="none"/>
        </w:rPr>
        <w:t xml:space="preserve">四、</w:t>
      </w:r>
      <w:r>
        <w:rPr>
          <w:rFonts w:hint="eastAsia" w:ascii="黑体" w:eastAsia="黑体"/>
          <w:bCs/>
          <w:color w:val="000000" w:themeColor="text1"/>
          <w:sz w:val="36"/>
          <w:szCs w:val="36"/>
          <w:highlight w:val="none"/>
        </w:rPr>
        <w:t xml:space="preserve">合同协议书（格式）</w:t>
      </w:r>
      <w:bookmarkEnd w:id="4"/>
      <w:r>
        <w:rPr>
          <w:color w:val="000000" w:themeColor="text1"/>
          <w:highlight w:val="none"/>
        </w:rPr>
      </w:r>
      <w:r>
        <w:rPr>
          <w:color w:val="000000" w:themeColor="text1"/>
          <w:highlight w:val="none"/>
        </w:rPr>
      </w:r>
    </w:p>
    <w:p>
      <w:pPr>
        <w:spacing w:line="420" w:lineRule="exact"/>
        <w:rPr>
          <w:rFonts w:ascii="宋体" w:hAnsi="宋体"/>
          <w:bCs/>
          <w:color w:val="000000" w:themeColor="text1"/>
          <w:sz w:val="24"/>
          <w:highlight w:val="none"/>
          <w:u w:val="single"/>
        </w:rPr>
      </w:pPr>
      <w:r>
        <w:rPr>
          <w:rFonts w:hint="eastAsia" w:ascii="宋体" w:hAnsi="宋体"/>
          <w:bCs/>
          <w:color w:val="000000" w:themeColor="text1"/>
          <w:sz w:val="24"/>
          <w:highlight w:val="none"/>
        </w:rPr>
        <w:t xml:space="preserve">甲方（采购人）：</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rPr>
          <w:rFonts w:ascii="宋体" w:hAnsi="宋体"/>
          <w:bCs/>
          <w:color w:val="000000" w:themeColor="text1"/>
          <w:sz w:val="24"/>
          <w:highlight w:val="none"/>
          <w:u w:val="single"/>
        </w:rPr>
      </w:pPr>
      <w:r>
        <w:rPr>
          <w:rFonts w:hint="eastAsia" w:ascii="宋体" w:hAnsi="宋体"/>
          <w:bCs/>
          <w:color w:val="000000" w:themeColor="text1"/>
          <w:sz w:val="24"/>
          <w:highlight w:val="none"/>
        </w:rPr>
        <w:t xml:space="preserve">乙方（中标单位）：</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一、政府采购编号：</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二、采购内容：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三、中标总金额：（大写）</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；（小写）</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四、质量及验收标准：</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五、服务期：</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六、服务地点和方式：</w:t>
      </w:r>
      <w:r>
        <w:rPr>
          <w:rFonts w:hint="eastAsia" w:ascii="宋体" w:hAnsi="宋体"/>
          <w:bCs/>
          <w:color w:val="000000" w:themeColor="text1"/>
          <w:sz w:val="24"/>
          <w:highlight w:val="none"/>
          <w:u w:val="single"/>
        </w:rPr>
        <w:t xml:space="preserve">　　　　　　　　　　　　　　　　　　　　　</w:t>
      </w:r>
      <w:r>
        <w:rPr>
          <w:color w:val="000000" w:themeColor="text1"/>
          <w:highlight w:val="none"/>
        </w:rPr>
      </w:r>
    </w:p>
    <w:p>
      <w:pPr>
        <w:spacing w:line="360" w:lineRule="auto"/>
        <w:rPr>
          <w:rFonts w:ascii="宋体" w:hAnsi="宋体" w:cs="宋体"/>
          <w:bCs/>
          <w:color w:val="000000" w:themeColor="text1"/>
          <w:sz w:val="24"/>
          <w:szCs w:val="24"/>
          <w:highlight w:val="none"/>
          <w:u w:val="single"/>
        </w:rPr>
      </w:pPr>
      <w:r>
        <w:rPr>
          <w:rFonts w:hint="eastAsia" w:ascii="宋体" w:hAnsi="宋体"/>
          <w:bCs/>
          <w:color w:val="000000" w:themeColor="text1"/>
          <w:sz w:val="24"/>
          <w:highlight w:val="none"/>
        </w:rPr>
        <w:t xml:space="preserve">七、货款支付步骤和办法：</w:t>
      </w:r>
      <w:r>
        <w:rPr>
          <w:rFonts w:hint="eastAsia" w:ascii="宋体" w:hAnsi="宋体" w:cs="宋体"/>
          <w:b/>
          <w:bCs/>
          <w:color w:val="000000" w:themeColor="text1"/>
          <w:sz w:val="24"/>
          <w:szCs w:val="24"/>
          <w:highlight w:val="none"/>
        </w:rPr>
        <w:t xml:space="preserve">合同签订后支付合同金额的</w:t>
      </w:r>
      <w:r>
        <w:rPr>
          <w:rFonts w:ascii="宋体" w:hAnsi="宋体" w:cs="宋体"/>
          <w:b/>
          <w:bCs/>
          <w:color w:val="000000" w:themeColor="text1"/>
          <w:sz w:val="24"/>
          <w:szCs w:val="24"/>
          <w:highlight w:val="none"/>
        </w:rPr>
        <w:t xml:space="preserve">2</w:t>
      </w:r>
      <w:r>
        <w:rPr>
          <w:rFonts w:hint="eastAsia" w:ascii="宋体" w:hAnsi="宋体" w:cs="宋体"/>
          <w:b/>
          <w:bCs/>
          <w:color w:val="000000" w:themeColor="text1"/>
          <w:sz w:val="24"/>
          <w:szCs w:val="24"/>
          <w:highlight w:val="none"/>
        </w:rPr>
        <w:t xml:space="preserve">0%作为预付款，运维期满</w:t>
      </w:r>
      <w:r>
        <w:rPr>
          <w:rFonts w:ascii="宋体" w:hAnsi="宋体" w:cs="宋体"/>
          <w:b/>
          <w:bCs/>
          <w:color w:val="000000" w:themeColor="text1"/>
          <w:sz w:val="24"/>
          <w:szCs w:val="24"/>
          <w:highlight w:val="none"/>
        </w:rPr>
        <w:t xml:space="preserve">1年支付合同价款的20</w:t>
      </w:r>
      <w:r>
        <w:rPr>
          <w:rFonts w:hint="eastAsia" w:ascii="宋体" w:hAnsi="宋体" w:cs="宋体"/>
          <w:b/>
          <w:bCs/>
          <w:color w:val="000000" w:themeColor="text1"/>
          <w:sz w:val="24"/>
          <w:szCs w:val="24"/>
          <w:highlight w:val="none"/>
        </w:rPr>
        <w:t xml:space="preserve">%，运维期满1</w:t>
      </w:r>
      <w:r>
        <w:rPr>
          <w:rFonts w:ascii="宋体" w:hAnsi="宋体" w:cs="宋体"/>
          <w:b/>
          <w:bCs/>
          <w:color w:val="000000" w:themeColor="text1"/>
          <w:sz w:val="24"/>
          <w:szCs w:val="24"/>
          <w:highlight w:val="none"/>
        </w:rPr>
        <w:t xml:space="preserve">8个月</w:t>
      </w:r>
      <w:r>
        <w:rPr>
          <w:rFonts w:hint="eastAsia" w:ascii="宋体" w:hAnsi="宋体" w:cs="宋体"/>
          <w:b/>
          <w:bCs/>
          <w:color w:val="000000" w:themeColor="text1"/>
          <w:sz w:val="24"/>
          <w:szCs w:val="24"/>
          <w:highlight w:val="none"/>
        </w:rPr>
        <w:t xml:space="preserve">支付合同价款的</w:t>
      </w:r>
      <w:r>
        <w:rPr>
          <w:rFonts w:ascii="宋体" w:hAnsi="宋体" w:cs="宋体"/>
          <w:b/>
          <w:bCs/>
          <w:color w:val="000000" w:themeColor="text1"/>
          <w:sz w:val="24"/>
          <w:szCs w:val="24"/>
          <w:highlight w:val="none"/>
        </w:rPr>
        <w:t xml:space="preserve">20</w:t>
      </w:r>
      <w:r>
        <w:rPr>
          <w:rFonts w:hint="eastAsia" w:ascii="宋体" w:hAnsi="宋体" w:cs="宋体"/>
          <w:b/>
          <w:bCs/>
          <w:color w:val="000000" w:themeColor="text1"/>
          <w:sz w:val="24"/>
          <w:szCs w:val="24"/>
          <w:highlight w:val="none"/>
        </w:rPr>
        <w:t xml:space="preserve">%，待完成合同内容并且通过项目考核后付清余款。</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八、违约责任：</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color w:val="000000" w:themeColor="text1"/>
          <w:sz w:val="24"/>
          <w:highlight w:val="none"/>
        </w:rPr>
        <w:t xml:space="preserve">九、解决争议的方式：</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十、其他事项：</w:t>
      </w:r>
      <w:r>
        <w:rPr>
          <w:rFonts w:hint="eastAsia" w:ascii="宋体" w:hAnsi="宋体"/>
          <w:bCs/>
          <w:color w:val="000000" w:themeColor="text1"/>
          <w:sz w:val="24"/>
          <w:highlight w:val="none"/>
          <w:u w:val="single"/>
        </w:rPr>
        <w:t xml:space="preserve">　　　　　　　　　　　　　　　　　　　　　　　　</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十一、合同不可分割部分：</w:t>
      </w:r>
      <w:r>
        <w:rPr>
          <w:color w:val="000000" w:themeColor="text1"/>
          <w:highlight w:val="none"/>
        </w:rPr>
      </w:r>
    </w:p>
    <w:p>
      <w:pPr>
        <w:ind w:firstLine="480"/>
        <w:spacing w:line="420" w:lineRule="exact"/>
        <w:tabs>
          <w:tab w:val="left" w:pos="210" w:leader="none"/>
          <w:tab w:val="left" w:pos="42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招标文件、投标文件、合同条款及中标通知书，中标人在投标、评标过程中所作其他有关承诺、声明、书面澄清等均为合同不可分割的部分，与主合同具有同等法律效力。</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十三、合同备案：合同一式五份，甲乙双方各执两份、采购代理机构一份。</w:t>
      </w:r>
      <w:r>
        <w:rPr>
          <w:color w:val="000000" w:themeColor="text1"/>
          <w:highlight w:val="none"/>
        </w:rPr>
      </w:r>
    </w:p>
    <w:p>
      <w:pPr>
        <w:spacing w:line="420" w:lineRule="exact"/>
        <w:tabs>
          <w:tab w:val="left" w:pos="210" w:leader="none"/>
          <w:tab w:val="left" w:pos="840" w:leader="none"/>
          <w:tab w:val="left" w:pos="115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十四、合同生效：本合同由甲乙双方签字、盖章，并经采购代理机构见证。</w:t>
      </w:r>
      <w:r>
        <w:rPr>
          <w:color w:val="000000" w:themeColor="text1"/>
          <w:highlight w:val="none"/>
        </w:rPr>
      </w:r>
    </w:p>
    <w:p>
      <w:pPr>
        <w:spacing w:line="360" w:lineRule="exact"/>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tbl>
      <w:tblPr>
        <w:tblStyle w:val="816"/>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Pr>
        <w:tc>
          <w:tcPr>
            <w:tcW w:w="4536" w:type="dxa"/>
            <w:textDirection w:val="lrTb"/>
            <w:noWrap w:val="false"/>
          </w:tcPr>
          <w:p>
            <w:pPr>
              <w:spacing w:line="360" w:lineRule="exact"/>
              <w:rPr>
                <w:rFonts w:ascii="宋体" w:hAnsi="宋体"/>
                <w:bCs/>
                <w:color w:val="000000" w:themeColor="text1"/>
                <w:sz w:val="24"/>
                <w:highlight w:val="none"/>
                <w:u w:val="single"/>
              </w:rPr>
            </w:pPr>
            <w:r>
              <w:rPr>
                <w:rFonts w:hint="eastAsia" w:ascii="宋体" w:hAnsi="宋体"/>
                <w:bCs/>
                <w:color w:val="000000" w:themeColor="text1"/>
                <w:sz w:val="24"/>
                <w:highlight w:val="none"/>
              </w:rPr>
              <w:t xml:space="preserve">甲方（采购人）：</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（盖章）</w:t>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spacing w:line="360" w:lineRule="exact"/>
              <w:rPr>
                <w:rFonts w:ascii="宋体" w:hAnsi="宋体"/>
                <w:color w:val="000000" w:themeColor="text1"/>
                <w:sz w:val="24"/>
                <w:highlight w:val="none"/>
              </w:rPr>
            </w:pPr>
            <w:r>
              <w:rPr>
                <w:rFonts w:hint="eastAsia" w:ascii="宋体" w:hAnsi="宋体"/>
                <w:bCs/>
                <w:color w:val="000000" w:themeColor="text1"/>
                <w:sz w:val="24"/>
                <w:highlight w:val="none"/>
              </w:rPr>
              <w:t xml:space="preserve">乙方（中标单位）：</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（盖章）</w:t>
            </w:r>
            <w:r>
              <w:rPr>
                <w:color w:val="000000" w:themeColor="text1"/>
                <w:highlight w:val="none"/>
              </w:rPr>
            </w:r>
          </w:p>
        </w:tc>
      </w:tr>
      <w:tr>
        <w:trPr>
          <w:jc w:val="center"/>
        </w:trPr>
        <w:tc>
          <w:tcPr>
            <w:tcW w:w="4536" w:type="dxa"/>
            <w:textDirection w:val="lrTb"/>
            <w:noWrap w:val="false"/>
          </w:tcPr>
          <w:p>
            <w:pPr>
              <w:spacing w:line="360" w:lineRule="exact"/>
              <w:rPr>
                <w:rFonts w:ascii="宋体" w:hAnsi="宋体"/>
                <w:color w:val="000000" w:themeColor="text1"/>
                <w:sz w:val="24"/>
                <w:highlight w:val="none"/>
              </w:rPr>
            </w:pPr>
            <w:r>
              <w:rPr>
                <w:rFonts w:hint="eastAsia" w:ascii="宋体" w:hAnsi="宋体"/>
                <w:bCs/>
                <w:color w:val="000000" w:themeColor="text1"/>
                <w:sz w:val="24"/>
                <w:highlight w:val="none"/>
              </w:rPr>
              <w:t xml:space="preserve">地址：</w:t>
            </w:r>
            <w:r>
              <w:rPr>
                <w:rFonts w:hint="eastAsia" w:ascii="宋体" w:hAnsi="宋体"/>
                <w:bCs/>
                <w:color w:val="000000" w:themeColor="text1"/>
                <w:sz w:val="24"/>
                <w:highlight w:val="none"/>
                <w:u w:val="single"/>
              </w:rPr>
              <w:t xml:space="preserve">　　　　　　　　　　　　　　　</w:t>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spacing w:line="360" w:lineRule="exact"/>
              <w:rPr>
                <w:rFonts w:ascii="宋体" w:hAnsi="宋体"/>
                <w:color w:val="000000" w:themeColor="text1"/>
                <w:sz w:val="24"/>
                <w:highlight w:val="none"/>
              </w:rPr>
            </w:pPr>
            <w:r>
              <w:rPr>
                <w:rFonts w:hint="eastAsia" w:ascii="宋体" w:hAnsi="宋体"/>
                <w:bCs/>
                <w:color w:val="000000" w:themeColor="text1"/>
                <w:sz w:val="24"/>
                <w:highlight w:val="none"/>
              </w:rPr>
              <w:t xml:space="preserve">地址：</w:t>
            </w:r>
            <w:r>
              <w:rPr>
                <w:rFonts w:hint="eastAsia" w:ascii="宋体" w:hAnsi="宋体"/>
                <w:bCs/>
                <w:color w:val="000000" w:themeColor="text1"/>
                <w:sz w:val="24"/>
                <w:highlight w:val="none"/>
                <w:u w:val="single"/>
              </w:rPr>
              <w:t xml:space="preserve">　　　　　　　　　　　　　　　</w:t>
            </w:r>
            <w:r>
              <w:rPr>
                <w:color w:val="000000" w:themeColor="text1"/>
                <w:highlight w:val="none"/>
              </w:rPr>
            </w:r>
          </w:p>
        </w:tc>
      </w:tr>
      <w:tr>
        <w:trPr>
          <w:jc w:val="center"/>
        </w:trPr>
        <w:tc>
          <w:tcPr>
            <w:tcW w:w="4536" w:type="dxa"/>
            <w:textDirection w:val="lrTb"/>
            <w:noWrap w:val="false"/>
          </w:tcPr>
          <w:p>
            <w:pPr>
              <w:spacing w:line="360" w:lineRule="exact"/>
              <w:rPr>
                <w:rFonts w:ascii="宋体" w:hAnsi="宋体"/>
                <w:color w:val="000000" w:themeColor="text1"/>
                <w:sz w:val="24"/>
                <w:highlight w:val="none"/>
              </w:rPr>
            </w:pPr>
            <w:r>
              <w:rPr>
                <w:rFonts w:hint="eastAsia" w:ascii="宋体" w:hAnsi="宋体"/>
                <w:bCs/>
                <w:color w:val="000000" w:themeColor="text1"/>
                <w:sz w:val="24"/>
                <w:highlight w:val="none"/>
              </w:rPr>
              <w:t xml:space="preserve">法定（授权）代表人：</w:t>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spacing w:line="360" w:lineRule="exact"/>
              <w:rPr>
                <w:rFonts w:ascii="宋体" w:hAnsi="宋体"/>
                <w:color w:val="000000" w:themeColor="text1"/>
                <w:sz w:val="24"/>
                <w:highlight w:val="none"/>
              </w:rPr>
            </w:pPr>
            <w:r>
              <w:rPr>
                <w:rFonts w:hint="eastAsia" w:ascii="宋体" w:hAnsi="宋体"/>
                <w:bCs/>
                <w:color w:val="000000" w:themeColor="text1"/>
                <w:sz w:val="24"/>
                <w:highlight w:val="none"/>
              </w:rPr>
              <w:t xml:space="preserve">法定（授权）代表人：</w:t>
            </w:r>
            <w:r>
              <w:rPr>
                <w:color w:val="000000" w:themeColor="text1"/>
                <w:highlight w:val="none"/>
              </w:rPr>
            </w:r>
          </w:p>
        </w:tc>
      </w:tr>
      <w:tr>
        <w:trPr>
          <w:jc w:val="center"/>
        </w:trPr>
        <w:tc>
          <w:tcPr>
            <w:tcW w:w="4536" w:type="dxa"/>
            <w:textDirection w:val="lrTb"/>
            <w:noWrap w:val="false"/>
          </w:tcPr>
          <w:p>
            <w:pPr>
              <w:jc w:val="right"/>
              <w:spacing w:line="360" w:lineRule="exact"/>
              <w:rPr>
                <w:rFonts w:ascii="宋体" w:hAnsi="宋体"/>
                <w:color w:val="000000" w:themeColor="text1"/>
                <w:sz w:val="24"/>
                <w:highlight w:val="none"/>
              </w:rPr>
            </w:pP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年</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月</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日</w:t>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jc w:val="right"/>
              <w:spacing w:line="360" w:lineRule="exact"/>
              <w:rPr>
                <w:rFonts w:ascii="宋体" w:hAnsi="宋体"/>
                <w:color w:val="000000" w:themeColor="text1"/>
                <w:sz w:val="24"/>
                <w:highlight w:val="none"/>
              </w:rPr>
            </w:pP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年</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月</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日</w:t>
            </w:r>
            <w:r>
              <w:rPr>
                <w:color w:val="000000" w:themeColor="text1"/>
                <w:highlight w:val="none"/>
              </w:rPr>
            </w:r>
          </w:p>
        </w:tc>
      </w:tr>
      <w:tr>
        <w:trPr>
          <w:jc w:val="center"/>
        </w:trPr>
        <w:tc>
          <w:tcPr>
            <w:tcW w:w="4536"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Pr>
        <w:tc>
          <w:tcPr>
            <w:tcW w:w="4536" w:type="dxa"/>
            <w:textDirection w:val="lrTb"/>
            <w:noWrap w:val="false"/>
          </w:tcPr>
          <w:p>
            <w:pPr>
              <w:spacing w:line="3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见证方： </w:t>
            </w:r>
            <w:r>
              <w:rPr>
                <w:color w:val="000000" w:themeColor="text1"/>
                <w:highlight w:val="none"/>
              </w:rPr>
            </w:r>
          </w:p>
          <w:p>
            <w:pPr>
              <w:ind w:firstLine="2880"/>
              <w:spacing w:line="36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（盖章）</w:t>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Height w:val="80"/>
        </w:trPr>
        <w:tc>
          <w:tcPr>
            <w:tcW w:w="4536" w:type="dxa"/>
            <w:textDirection w:val="lrTb"/>
            <w:noWrap w:val="false"/>
          </w:tcPr>
          <w:p>
            <w:pPr>
              <w:spacing w:line="360" w:lineRule="exact"/>
              <w:rPr>
                <w:rFonts w:ascii="宋体" w:hAnsi="宋体"/>
                <w:color w:val="000000" w:themeColor="text1"/>
                <w:sz w:val="24"/>
                <w:highlight w:val="none"/>
              </w:rPr>
            </w:pPr>
            <w:r>
              <w:rPr>
                <w:rFonts w:hint="eastAsia" w:ascii="宋体" w:hAnsi="宋体"/>
                <w:bCs/>
                <w:color w:val="000000" w:themeColor="text1"/>
                <w:sz w:val="24"/>
                <w:highlight w:val="none"/>
              </w:rPr>
              <w:t xml:space="preserve">见证方代表：</w:t>
            </w:r>
            <w:r>
              <w:rPr>
                <w:rFonts w:hint="eastAsia" w:ascii="宋体" w:hAnsi="宋体"/>
                <w:bCs/>
                <w:color w:val="000000" w:themeColor="text1"/>
                <w:sz w:val="24"/>
                <w:highlight w:val="none"/>
                <w:u w:val="single"/>
              </w:rPr>
              <w:t xml:space="preserve">        　   　　       </w:t>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jc w:val="center"/>
        </w:trPr>
        <w:tc>
          <w:tcPr>
            <w:tcW w:w="4536" w:type="dxa"/>
            <w:textDirection w:val="lrTb"/>
            <w:noWrap w:val="false"/>
          </w:tcPr>
          <w:p>
            <w:pPr>
              <w:jc w:val="right"/>
              <w:spacing w:line="360" w:lineRule="exact"/>
              <w:rPr>
                <w:rFonts w:ascii="宋体" w:hAnsi="宋体"/>
                <w:bCs/>
                <w:color w:val="000000" w:themeColor="text1"/>
                <w:sz w:val="24"/>
                <w:highlight w:val="none"/>
              </w:rPr>
            </w:pP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年</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月</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日</w:t>
            </w:r>
            <w:r>
              <w:rPr>
                <w:color w:val="000000" w:themeColor="text1"/>
                <w:highlight w:val="none"/>
              </w:rPr>
            </w:r>
          </w:p>
        </w:tc>
        <w:tc>
          <w:tcPr>
            <w:tcW w:w="284"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4536" w:type="dxa"/>
            <w:textDirection w:val="lrTb"/>
            <w:noWrap w:val="false"/>
          </w:tcPr>
          <w:p>
            <w:pPr>
              <w:spacing w:line="3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jc w:val="center"/>
        <w:spacing w:line="400" w:lineRule="exact"/>
        <w:rPr>
          <w:rFonts w:ascii="黑体" w:hAnsi="宋体" w:eastAsia="黑体"/>
          <w:color w:val="000000" w:themeColor="text1"/>
          <w:sz w:val="30"/>
          <w:szCs w:val="30"/>
          <w:highlight w:val="none"/>
        </w:rPr>
      </w:pPr>
      <w:r>
        <w:rPr>
          <w:color w:val="000000" w:themeColor="text1"/>
          <w:highlight w:val="none"/>
        </w:rPr>
      </w:r>
      <w:bookmarkStart w:id="5" w:name="_Toc251268363"/>
      <w:r>
        <w:rPr>
          <w:color w:val="000000" w:themeColor="text1"/>
          <w:highlight w:val="none"/>
        </w:rPr>
      </w:r>
      <w:r>
        <w:rPr>
          <w:color w:val="000000" w:themeColor="text1"/>
          <w:highlight w:val="none"/>
        </w:rPr>
      </w:r>
    </w:p>
    <w:p>
      <w:pPr>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br w:type="page" w:clear="all"/>
      </w:r>
      <w:r>
        <w:rPr>
          <w:color w:val="000000" w:themeColor="text1"/>
          <w:highlight w:val="none"/>
        </w:rPr>
      </w:r>
    </w:p>
    <w:p>
      <w:pPr>
        <w:jc w:val="center"/>
        <w:spacing w:line="400" w:lineRule="exact"/>
        <w:rPr>
          <w:rFonts w:ascii="黑体" w:hAnsi="宋体" w:eastAsia="黑体"/>
          <w:color w:val="000000" w:themeColor="text1"/>
          <w:sz w:val="30"/>
          <w:szCs w:val="30"/>
          <w:highlight w:val="none"/>
        </w:rPr>
        <w:outlineLvl w:val="0"/>
      </w:pPr>
      <w:r>
        <w:rPr>
          <w:color w:val="000000" w:themeColor="text1"/>
          <w:highlight w:val="none"/>
        </w:rPr>
      </w:r>
      <w:bookmarkStart w:id="6" w:name="_Toc1775"/>
      <w:r>
        <w:rPr>
          <w:rFonts w:hint="eastAsia" w:ascii="黑体" w:hAnsi="宋体" w:eastAsia="黑体"/>
          <w:color w:val="000000" w:themeColor="text1"/>
          <w:sz w:val="30"/>
          <w:szCs w:val="30"/>
          <w:highlight w:val="none"/>
        </w:rPr>
        <w:t xml:space="preserve">五、合同条款（格式）</w:t>
      </w:r>
      <w:bookmarkEnd w:id="5"/>
      <w:r>
        <w:rPr>
          <w:color w:val="000000" w:themeColor="text1"/>
          <w:highlight w:val="none"/>
        </w:rPr>
      </w:r>
      <w:bookmarkEnd w:id="6"/>
      <w:r>
        <w:rPr>
          <w:color w:val="000000" w:themeColor="text1"/>
          <w:highlight w:val="none"/>
        </w:rPr>
      </w:r>
      <w:r>
        <w:rPr>
          <w:color w:val="000000" w:themeColor="text1"/>
          <w:highlight w:val="none"/>
        </w:rPr>
      </w:r>
    </w:p>
    <w:p>
      <w:pPr>
        <w:ind w:firstLine="420"/>
        <w:jc w:val="left"/>
        <w:spacing w:line="400" w:lineRule="exact"/>
        <w:rPr>
          <w:rFonts w:ascii="宋体" w:hAnsi="宋体"/>
          <w:color w:val="000000" w:themeColor="text1"/>
          <w:sz w:val="24"/>
          <w:highlight w:val="none"/>
        </w:rPr>
      </w:pPr>
      <w:r>
        <w:rPr>
          <w:rFonts w:hint="eastAsia" w:ascii="宋体" w:hAnsi="宋体"/>
          <w:color w:val="000000" w:themeColor="text1"/>
          <w:sz w:val="24"/>
          <w:highlight w:val="none"/>
          <w:lang w:val="zh-CN"/>
        </w:rPr>
        <w:t xml:space="preserve">根据《中华人民共和国政府采购法》《中华人民共和国民法典》等法律法规的规定，甲乙双方按照采购结果签订本合同。</w:t>
      </w:r>
      <w:r>
        <w:rPr>
          <w:color w:val="000000" w:themeColor="text1"/>
          <w:highlight w:val="none"/>
        </w:rPr>
      </w:r>
    </w:p>
    <w:p>
      <w:pPr>
        <w:spacing w:line="400" w:lineRule="exact"/>
        <w:rPr>
          <w:rFonts w:ascii="楷体_GB2312" w:eastAsia="楷体_GB2312"/>
          <w:color w:val="000000" w:themeColor="text1"/>
          <w:sz w:val="24"/>
          <w:highlight w:val="none"/>
        </w:rPr>
      </w:pPr>
      <w:r>
        <w:rPr>
          <w:rFonts w:ascii="楷体_GB2312" w:eastAsia="楷体_GB2312"/>
          <w:color w:val="000000" w:themeColor="text1"/>
          <w:sz w:val="24"/>
          <w:highlight w:val="none"/>
        </w:rPr>
      </w:r>
      <w:r>
        <w:rPr>
          <w:color w:val="000000" w:themeColor="text1"/>
          <w:highlight w:val="none"/>
        </w:rPr>
      </w:r>
    </w:p>
    <w:p>
      <w:pPr>
        <w:spacing w:line="360" w:lineRule="auto"/>
        <w:rPr>
          <w:rFonts w:ascii="黑体" w:hAnsi="黑体" w:eastAsia="黑体"/>
          <w:color w:val="000000" w:themeColor="text1"/>
          <w:sz w:val="24"/>
          <w:highlight w:val="none"/>
        </w:rPr>
      </w:pPr>
      <w:r>
        <w:rPr>
          <w:rFonts w:hint="eastAsia" w:ascii="黑体" w:hAnsi="黑体" w:eastAsia="黑体"/>
          <w:color w:val="000000" w:themeColor="text1"/>
          <w:sz w:val="24"/>
          <w:highlight w:val="none"/>
        </w:rPr>
        <w:t xml:space="preserve">第一条　采购内容</w:t>
      </w:r>
      <w:r>
        <w:rPr>
          <w:color w:val="000000" w:themeColor="text1"/>
          <w:highlight w:val="none"/>
        </w:rPr>
      </w:r>
    </w:p>
    <w:p>
      <w:pPr>
        <w:ind w:firstLine="480"/>
        <w:spacing w:line="360" w:lineRule="auto"/>
        <w:rPr>
          <w:rFonts w:ascii="宋体" w:hAnsi="宋体"/>
          <w:color w:val="000000" w:themeColor="text1"/>
          <w:sz w:val="24"/>
          <w:highlight w:val="none"/>
          <w:u w:val="single"/>
        </w:rPr>
      </w:pPr>
      <w:r>
        <w:rPr>
          <w:rFonts w:hint="eastAsia" w:ascii="宋体" w:hAnsi="宋体"/>
          <w:color w:val="000000" w:themeColor="text1"/>
          <w:sz w:val="24"/>
          <w:highlight w:val="none"/>
        </w:rPr>
        <w:t xml:space="preserve">1.项目名称（项目编号）：</w:t>
      </w:r>
      <w:r>
        <w:rPr>
          <w:rFonts w:hint="eastAsia" w:ascii="宋体" w:hAnsi="宋体"/>
          <w:color w:val="000000" w:themeColor="text1"/>
          <w:sz w:val="24"/>
          <w:highlight w:val="none"/>
          <w:u w:val="single"/>
        </w:rPr>
        <w:t xml:space="preserve">　　　　　　　　　　　　　　　　　　　　</w:t>
      </w:r>
      <w:r>
        <w:rPr>
          <w:color w:val="000000" w:themeColor="text1"/>
          <w:highlight w:val="none"/>
        </w:rPr>
      </w:r>
    </w:p>
    <w:p>
      <w:pPr>
        <w:ind w:firstLine="480"/>
        <w:spacing w:line="360" w:lineRule="auto"/>
        <w:rPr>
          <w:rFonts w:ascii="宋体" w:hAnsi="宋体"/>
          <w:color w:val="000000" w:themeColor="text1"/>
          <w:sz w:val="24"/>
          <w:highlight w:val="none"/>
          <w:u w:val="single"/>
        </w:rPr>
      </w:pPr>
      <w:r>
        <w:rPr>
          <w:rFonts w:hint="eastAsia" w:ascii="宋体" w:hAnsi="宋体"/>
          <w:color w:val="000000" w:themeColor="text1"/>
          <w:sz w:val="24"/>
          <w:highlight w:val="none"/>
        </w:rPr>
        <w:t xml:space="preserve">2、服务内容：</w:t>
      </w:r>
      <w:r>
        <w:rPr>
          <w:rFonts w:hint="eastAsia" w:ascii="宋体" w:hAnsi="宋体"/>
          <w:color w:val="000000" w:themeColor="text1"/>
          <w:sz w:val="24"/>
          <w:highlight w:val="none"/>
          <w:u w:val="single"/>
        </w:rPr>
        <w:t xml:space="preserve">　　　　　　　　　　　　　　　　　　　　　　　　　　</w:t>
      </w:r>
      <w:r>
        <w:rPr>
          <w:color w:val="000000" w:themeColor="text1"/>
          <w:highlight w:val="none"/>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3、服务范围：</w:t>
      </w:r>
      <w:r>
        <w:rPr>
          <w:rFonts w:hint="eastAsia" w:ascii="宋体" w:hAnsi="宋体"/>
          <w:color w:val="000000" w:themeColor="text1"/>
          <w:sz w:val="24"/>
          <w:highlight w:val="none"/>
          <w:u w:val="single"/>
        </w:rPr>
        <w:t xml:space="preserve">　　　　　　　　　　　　　　　　　　　　　　　　　　</w:t>
      </w:r>
      <w:r>
        <w:rPr>
          <w:color w:val="000000" w:themeColor="text1"/>
          <w:highlight w:val="none"/>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4、服务期限：</w:t>
      </w:r>
      <w:r>
        <w:rPr>
          <w:rFonts w:hint="eastAsia" w:ascii="宋体" w:hAnsi="宋体"/>
          <w:color w:val="000000" w:themeColor="text1"/>
          <w:sz w:val="24"/>
          <w:highlight w:val="none"/>
          <w:u w:val="single"/>
        </w:rPr>
        <w:t xml:space="preserve">　　　　　　　　　　　　　　　　　　　　　　　　　　</w:t>
      </w:r>
      <w:r>
        <w:rPr>
          <w:color w:val="000000" w:themeColor="text1"/>
          <w:highlight w:val="none"/>
        </w:rPr>
      </w:r>
    </w:p>
    <w:p>
      <w:pPr>
        <w:ind w:firstLine="480"/>
        <w:spacing w:line="360" w:lineRule="auto"/>
        <w:rPr>
          <w:rFonts w:ascii="宋体" w:hAnsi="宋体"/>
          <w:color w:val="000000" w:themeColor="text1"/>
          <w:sz w:val="24"/>
          <w:highlight w:val="none"/>
          <w:u w:val="single"/>
        </w:rPr>
      </w:pPr>
      <w:r>
        <w:rPr>
          <w:rFonts w:hint="eastAsia" w:ascii="宋体" w:hAnsi="宋体"/>
          <w:color w:val="000000" w:themeColor="text1"/>
          <w:sz w:val="24"/>
          <w:highlight w:val="none"/>
        </w:rPr>
        <w:t xml:space="preserve">5、其他：</w:t>
      </w:r>
      <w:r>
        <w:rPr>
          <w:rFonts w:hint="eastAsia" w:ascii="宋体" w:hAnsi="宋体"/>
          <w:color w:val="000000" w:themeColor="text1"/>
          <w:sz w:val="24"/>
          <w:highlight w:val="none"/>
          <w:u w:val="single"/>
        </w:rPr>
        <w:t xml:space="preserve">　　　　　　　　　　　　　　　　　　　　　　　　　　　　</w:t>
      </w:r>
      <w:r>
        <w:rPr>
          <w:color w:val="000000" w:themeColor="text1"/>
          <w:highlight w:val="none"/>
        </w:rPr>
      </w:r>
    </w:p>
    <w:p>
      <w:pPr>
        <w:jc w:val="left"/>
        <w:spacing w:line="360" w:lineRule="auto"/>
        <w:rPr>
          <w:rFonts w:ascii="黑体" w:hAnsi="黑体" w:eastAsia="黑体"/>
          <w:color w:val="000000" w:themeColor="text1"/>
          <w:sz w:val="24"/>
          <w:highlight w:val="none"/>
        </w:rPr>
      </w:pPr>
      <w:r>
        <w:rPr>
          <w:rFonts w:hint="eastAsia" w:ascii="黑体" w:hAnsi="黑体" w:eastAsia="黑体"/>
          <w:bCs/>
          <w:color w:val="000000" w:themeColor="text1"/>
          <w:sz w:val="24"/>
          <w:highlight w:val="none"/>
          <w:lang w:val="zh-CN"/>
        </w:rPr>
        <w:t xml:space="preserve">第二条　合同总价款</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本合同人民币总价款为</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lang w:val="zh-CN"/>
        </w:rPr>
        <w:t xml:space="preserve">（小写），</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lang w:val="zh-CN"/>
        </w:rPr>
        <w:t xml:space="preserve">（大写）。</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本合同服务期限内合同总价款不变。（有另行规定的除外）</w:t>
      </w:r>
      <w:r>
        <w:rPr>
          <w:color w:val="000000" w:themeColor="text1"/>
          <w:highlight w:val="none"/>
        </w:rPr>
      </w:r>
    </w:p>
    <w:p>
      <w:pPr>
        <w:spacing w:line="360" w:lineRule="auto"/>
        <w:rPr>
          <w:rFonts w:ascii="黑体" w:hAnsi="黑体" w:eastAsia="黑体"/>
          <w:color w:val="000000" w:themeColor="text1"/>
          <w:sz w:val="24"/>
          <w:highlight w:val="none"/>
        </w:rPr>
      </w:pPr>
      <w:r>
        <w:rPr>
          <w:rFonts w:hint="eastAsia" w:ascii="黑体" w:hAnsi="黑体" w:eastAsia="黑体"/>
          <w:bCs/>
          <w:color w:val="000000" w:themeColor="text1"/>
          <w:sz w:val="24"/>
          <w:highlight w:val="none"/>
          <w:lang w:val="zh-CN"/>
        </w:rPr>
        <w:t xml:space="preserve">第三条　组成本合同的有关文件</w:t>
      </w:r>
      <w:r>
        <w:rPr>
          <w:color w:val="000000" w:themeColor="text1"/>
          <w:highlight w:val="none"/>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下列关于本次采购活动方式相适应的文件及有关附件是本合同不可分割的组成部分，与本合同具有同等法律效力，这些文件包括但不限于：</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（1）招标文件；</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（2）投标文件；</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（3）中标通知书；</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（4）中标人在投标、评标过程中所作其他有关承诺、声明、书面澄清；</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（5）甲乙双方商定的其他文件等。</w:t>
      </w:r>
      <w:r>
        <w:rPr>
          <w:color w:val="000000" w:themeColor="text1"/>
          <w:highlight w:val="none"/>
        </w:rPr>
      </w:r>
    </w:p>
    <w:p>
      <w:pPr>
        <w:jc w:val="left"/>
        <w:spacing w:line="360" w:lineRule="auto"/>
        <w:rPr>
          <w:rFonts w:ascii="黑体" w:hAnsi="黑体" w:eastAsia="黑体"/>
          <w:bCs/>
          <w:color w:val="000000" w:themeColor="text1"/>
          <w:sz w:val="24"/>
          <w:highlight w:val="none"/>
        </w:rPr>
      </w:pPr>
      <w:r>
        <w:rPr>
          <w:rFonts w:hint="eastAsia" w:ascii="黑体" w:hAnsi="黑体" w:eastAsia="黑体"/>
          <w:bCs/>
          <w:color w:val="000000" w:themeColor="text1"/>
          <w:sz w:val="24"/>
          <w:highlight w:val="none"/>
          <w:lang w:val="zh-CN"/>
        </w:rPr>
        <w:t xml:space="preserve">第四条　权利保证</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乙方应保证甲方在合同履行期限内不受第三方提出侵犯其专利权、版权、商标权或其他权利的起诉。一旦出现侵权，乙方应承担全部责任。</w:t>
      </w:r>
      <w:r>
        <w:rPr>
          <w:color w:val="000000" w:themeColor="text1"/>
          <w:highlight w:val="none"/>
        </w:rPr>
      </w:r>
    </w:p>
    <w:p>
      <w:pPr>
        <w:jc w:val="left"/>
        <w:spacing w:line="360" w:lineRule="auto"/>
        <w:rPr>
          <w:rFonts w:ascii="黑体" w:hAnsi="黑体" w:eastAsia="黑体"/>
          <w:bCs/>
          <w:color w:val="000000" w:themeColor="text1"/>
          <w:sz w:val="24"/>
          <w:highlight w:val="none"/>
        </w:rPr>
      </w:pPr>
      <w:r>
        <w:rPr>
          <w:rFonts w:hint="eastAsia" w:ascii="黑体" w:hAnsi="黑体" w:eastAsia="黑体"/>
          <w:bCs/>
          <w:color w:val="000000" w:themeColor="text1"/>
          <w:sz w:val="24"/>
          <w:highlight w:val="none"/>
          <w:lang w:val="zh-CN"/>
        </w:rPr>
        <w:t xml:space="preserve">第五条　质量保证和售后服务</w:t>
      </w:r>
      <w:r>
        <w:rPr>
          <w:color w:val="000000" w:themeColor="text1"/>
          <w:highlight w:val="none"/>
        </w:rP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1.乙方应按招标文件规定的服务要求、技术要求、质量标准向甲方提供服务。</w:t>
      </w:r>
      <w:r>
        <w:rPr>
          <w:color w:val="000000" w:themeColor="text1"/>
          <w:highlight w:val="none"/>
        </w:rPr>
      </w:r>
    </w:p>
    <w:p>
      <w:pPr>
        <w:ind w:firstLine="480"/>
        <w:jc w:val="left"/>
        <w:spacing w:line="360" w:lineRule="auto"/>
        <w:rPr>
          <w:rFonts w:ascii="宋体" w:hAnsi="宋体"/>
          <w:bCs/>
          <w:color w:val="000000" w:themeColor="text1"/>
          <w:sz w:val="24"/>
          <w:highlight w:val="none"/>
          <w:u w:val="single"/>
        </w:rPr>
      </w:pPr>
      <w:r>
        <w:rPr>
          <w:rFonts w:hint="eastAsia" w:ascii="宋体" w:hAnsi="宋体"/>
          <w:bCs/>
          <w:color w:val="000000" w:themeColor="text1"/>
          <w:sz w:val="24"/>
          <w:highlight w:val="none"/>
          <w:lang w:val="zh-CN"/>
        </w:rPr>
        <w:t xml:space="preserve">2、质量保证：</w:t>
      </w:r>
      <w:r>
        <w:rPr>
          <w:rFonts w:hint="eastAsia" w:ascii="宋体" w:hAnsi="宋体"/>
          <w:bCs/>
          <w:color w:val="000000" w:themeColor="text1"/>
          <w:sz w:val="24"/>
          <w:highlight w:val="none"/>
          <w:u w:val="single"/>
          <w:lang w:val="zh-CN"/>
        </w:rPr>
        <w:t xml:space="preserve">　　　　　　　　　　　　　　　　　　　　　　　　　　</w:t>
      </w:r>
      <w:r>
        <w:rPr>
          <w:color w:val="000000" w:themeColor="text1"/>
          <w:highlight w:val="none"/>
        </w:rPr>
      </w:r>
    </w:p>
    <w:p>
      <w:pPr>
        <w:ind w:firstLine="480"/>
        <w:jc w:val="left"/>
        <w:spacing w:line="360" w:lineRule="auto"/>
        <w:rPr>
          <w:rFonts w:ascii="宋体" w:hAnsi="宋体"/>
          <w:bCs/>
          <w:color w:val="000000" w:themeColor="text1"/>
          <w:sz w:val="24"/>
          <w:highlight w:val="none"/>
          <w:u w:val="single"/>
        </w:rPr>
      </w:pPr>
      <w:r>
        <w:rPr>
          <w:rFonts w:hint="eastAsia" w:ascii="宋体" w:hAnsi="宋体"/>
          <w:bCs/>
          <w:color w:val="000000" w:themeColor="text1"/>
          <w:sz w:val="24"/>
          <w:highlight w:val="none"/>
          <w:lang w:val="zh-CN"/>
        </w:rPr>
        <w:t xml:space="preserve">3、售后服务：</w:t>
      </w:r>
      <w:r>
        <w:rPr>
          <w:rFonts w:hint="eastAsia" w:ascii="宋体" w:hAnsi="宋体"/>
          <w:bCs/>
          <w:color w:val="000000" w:themeColor="text1"/>
          <w:sz w:val="24"/>
          <w:highlight w:val="none"/>
          <w:u w:val="single"/>
          <w:lang w:val="zh-CN"/>
        </w:rPr>
        <w:t xml:space="preserve">　　　　　　　　　　　　　　　　　　　　　　　　　　</w:t>
      </w:r>
      <w:r>
        <w:rPr>
          <w:color w:val="000000" w:themeColor="text1"/>
          <w:highlight w:val="none"/>
        </w:rPr>
      </w:r>
    </w:p>
    <w:p>
      <w:pPr>
        <w:jc w:val="left"/>
        <w:spacing w:line="360" w:lineRule="auto"/>
        <w:rPr>
          <w:rFonts w:ascii="黑体" w:hAnsi="黑体" w:eastAsia="黑体"/>
          <w:bCs/>
          <w:color w:val="000000" w:themeColor="text1"/>
          <w:sz w:val="24"/>
          <w:highlight w:val="none"/>
        </w:rPr>
      </w:pPr>
      <w:r>
        <w:rPr>
          <w:rFonts w:hint="eastAsia" w:ascii="黑体" w:hAnsi="黑体" w:eastAsia="黑体"/>
          <w:bCs/>
          <w:color w:val="000000" w:themeColor="text1"/>
          <w:sz w:val="24"/>
          <w:highlight w:val="none"/>
          <w:lang w:val="zh-CN"/>
        </w:rPr>
        <w:t xml:space="preserve">第六条　验收</w:t>
      </w:r>
      <w:r>
        <w:rPr>
          <w:color w:val="000000" w:themeColor="text1"/>
          <w:highlight w:val="none"/>
        </w:rPr>
      </w:r>
    </w:p>
    <w:p>
      <w:pPr>
        <w:ind w:firstLine="480"/>
        <w:jc w:val="left"/>
        <w:spacing w:line="360" w:lineRule="auto"/>
        <w:rPr>
          <w:rFonts w:ascii="宋体" w:hAnsi="宋体"/>
          <w:color w:val="000000" w:themeColor="text1"/>
          <w:sz w:val="24"/>
          <w:highlight w:val="none"/>
        </w:rPr>
      </w:pPr>
      <w:r>
        <w:rPr>
          <w:rFonts w:hint="eastAsia" w:ascii="宋体" w:hAnsi="宋体"/>
          <w:bCs/>
          <w:color w:val="000000" w:themeColor="text1"/>
          <w:sz w:val="24"/>
          <w:highlight w:val="none"/>
          <w:lang w:val="zh-CN"/>
        </w:rPr>
        <w:t xml:space="preserve">验收标准：</w:t>
      </w:r>
      <w:r>
        <w:rPr>
          <w:rFonts w:hint="eastAsia" w:ascii="宋体" w:hAnsi="宋体"/>
          <w:color w:val="000000" w:themeColor="text1"/>
          <w:sz w:val="24"/>
          <w:highlight w:val="none"/>
          <w:lang w:val="zh-CN"/>
        </w:rPr>
        <w:t xml:space="preserve">按招标文件所规定的服务标准和乙方投标文件的承诺，</w:t>
      </w:r>
      <w:r>
        <w:rPr>
          <w:rFonts w:hint="eastAsia" w:ascii="宋体" w:hAnsi="宋体"/>
          <w:color w:val="000000" w:themeColor="text1"/>
          <w:sz w:val="24"/>
          <w:highlight w:val="none"/>
        </w:rPr>
        <w:t xml:space="preserve">根据《无锡市政府采购验收管理暂行办法》程序组织验收，费用由乙方承担。</w:t>
      </w:r>
      <w:r>
        <w:rPr>
          <w:color w:val="000000" w:themeColor="text1"/>
          <w:highlight w:val="none"/>
        </w:rPr>
      </w:r>
    </w:p>
    <w:p>
      <w:pPr>
        <w:jc w:val="left"/>
        <w:spacing w:line="360" w:lineRule="auto"/>
        <w:rPr>
          <w:rFonts w:ascii="黑体" w:hAnsi="黑体" w:eastAsia="黑体"/>
          <w:bCs/>
          <w:color w:val="000000" w:themeColor="text1"/>
          <w:sz w:val="24"/>
          <w:highlight w:val="none"/>
        </w:rPr>
      </w:pPr>
      <w:r>
        <w:rPr>
          <w:rFonts w:hint="eastAsia" w:ascii="黑体" w:hAnsi="黑体" w:eastAsia="黑体"/>
          <w:bCs/>
          <w:color w:val="000000" w:themeColor="text1"/>
          <w:sz w:val="24"/>
          <w:highlight w:val="none"/>
          <w:lang w:val="zh-CN"/>
        </w:rPr>
        <w:t xml:space="preserve">第七条　付款</w:t>
      </w:r>
      <w:r>
        <w:rPr>
          <w:color w:val="000000" w:themeColor="text1"/>
          <w:highlight w:val="none"/>
        </w:rPr>
      </w:r>
    </w:p>
    <w:p>
      <w:pPr>
        <w:ind w:firstLine="482"/>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合同签订后支付合同金额的</w:t>
      </w:r>
      <w:r>
        <w:rPr>
          <w:rFonts w:ascii="宋体" w:hAnsi="宋体" w:cs="宋体"/>
          <w:b/>
          <w:bCs/>
          <w:color w:val="000000" w:themeColor="text1"/>
          <w:sz w:val="24"/>
          <w:szCs w:val="24"/>
          <w:highlight w:val="none"/>
        </w:rPr>
        <w:t xml:space="preserve">2</w:t>
      </w:r>
      <w:r>
        <w:rPr>
          <w:rFonts w:hint="eastAsia" w:ascii="宋体" w:hAnsi="宋体" w:cs="宋体"/>
          <w:b/>
          <w:bCs/>
          <w:color w:val="000000" w:themeColor="text1"/>
          <w:sz w:val="24"/>
          <w:szCs w:val="24"/>
          <w:highlight w:val="none"/>
        </w:rPr>
        <w:t xml:space="preserve">0%作为预付款，运维期满</w:t>
      </w:r>
      <w:r>
        <w:rPr>
          <w:rFonts w:ascii="宋体" w:hAnsi="宋体" w:cs="宋体"/>
          <w:b/>
          <w:bCs/>
          <w:color w:val="000000" w:themeColor="text1"/>
          <w:sz w:val="24"/>
          <w:szCs w:val="24"/>
          <w:highlight w:val="none"/>
        </w:rPr>
        <w:t xml:space="preserve">1年支付合同价款的20</w:t>
      </w:r>
      <w:r>
        <w:rPr>
          <w:rFonts w:hint="eastAsia" w:ascii="宋体" w:hAnsi="宋体" w:cs="宋体"/>
          <w:b/>
          <w:bCs/>
          <w:color w:val="000000" w:themeColor="text1"/>
          <w:sz w:val="24"/>
          <w:szCs w:val="24"/>
          <w:highlight w:val="none"/>
        </w:rPr>
        <w:t xml:space="preserve">%，运维期满1</w:t>
      </w:r>
      <w:r>
        <w:rPr>
          <w:rFonts w:ascii="宋体" w:hAnsi="宋体" w:cs="宋体"/>
          <w:b/>
          <w:bCs/>
          <w:color w:val="000000" w:themeColor="text1"/>
          <w:sz w:val="24"/>
          <w:szCs w:val="24"/>
          <w:highlight w:val="none"/>
        </w:rPr>
        <w:t xml:space="preserve">8个月</w:t>
      </w:r>
      <w:r>
        <w:rPr>
          <w:rFonts w:hint="eastAsia" w:ascii="宋体" w:hAnsi="宋体" w:cs="宋体"/>
          <w:b/>
          <w:bCs/>
          <w:color w:val="000000" w:themeColor="text1"/>
          <w:sz w:val="24"/>
          <w:szCs w:val="24"/>
          <w:highlight w:val="none"/>
        </w:rPr>
        <w:t xml:space="preserve">支付合同价款的</w:t>
      </w:r>
      <w:r>
        <w:rPr>
          <w:rFonts w:ascii="宋体" w:hAnsi="宋体" w:cs="宋体"/>
          <w:b/>
          <w:bCs/>
          <w:color w:val="000000" w:themeColor="text1"/>
          <w:sz w:val="24"/>
          <w:szCs w:val="24"/>
          <w:highlight w:val="none"/>
        </w:rPr>
        <w:t xml:space="preserve">20</w:t>
      </w:r>
      <w:r>
        <w:rPr>
          <w:rFonts w:hint="eastAsia" w:ascii="宋体" w:hAnsi="宋体" w:cs="宋体"/>
          <w:b/>
          <w:bCs/>
          <w:color w:val="000000" w:themeColor="text1"/>
          <w:sz w:val="24"/>
          <w:szCs w:val="24"/>
          <w:highlight w:val="none"/>
        </w:rPr>
        <w:t xml:space="preserve">%，待完成合同内容并且通过项目考核后付清余款。</w:t>
      </w:r>
      <w:r>
        <w:rPr>
          <w:color w:val="000000" w:themeColor="text1"/>
          <w:highlight w:val="none"/>
        </w:rPr>
      </w:r>
    </w:p>
    <w:p>
      <w:pPr>
        <w:spacing w:line="360" w:lineRule="auto"/>
        <w:rPr>
          <w:rFonts w:ascii="黑体" w:hAnsi="黑体" w:eastAsia="黑体"/>
          <w:bCs/>
          <w:color w:val="000000" w:themeColor="text1"/>
          <w:sz w:val="24"/>
          <w:highlight w:val="none"/>
        </w:rPr>
      </w:pPr>
      <w:r>
        <w:rPr>
          <w:rFonts w:hint="eastAsia" w:ascii="黑体" w:hAnsi="黑体" w:eastAsia="黑体"/>
          <w:bCs/>
          <w:color w:val="000000" w:themeColor="text1"/>
          <w:sz w:val="24"/>
          <w:highlight w:val="none"/>
          <w:lang w:val="zh-CN"/>
        </w:rPr>
        <w:t xml:space="preserve">第八条　违约责任</w:t>
      </w:r>
      <w:r>
        <w:rPr>
          <w:color w:val="000000" w:themeColor="text1"/>
          <w:highlight w:val="none"/>
        </w:rPr>
      </w:r>
    </w:p>
    <w:p>
      <w:pPr>
        <w:ind w:firstLine="480"/>
        <w:jc w:val="left"/>
        <w:spacing w:line="360" w:lineRule="auto"/>
        <w:widowControl/>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                          </w:t>
      </w:r>
      <w:r>
        <w:rPr>
          <w:color w:val="000000" w:themeColor="text1"/>
          <w:highlight w:val="none"/>
        </w:rPr>
      </w:r>
    </w:p>
    <w:p>
      <w:pPr>
        <w:ind w:firstLine="480"/>
        <w:jc w:val="left"/>
        <w:spacing w:line="360" w:lineRule="auto"/>
        <w:widowControl/>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                          </w:t>
      </w:r>
      <w:r>
        <w:rPr>
          <w:color w:val="000000" w:themeColor="text1"/>
          <w:highlight w:val="none"/>
        </w:rPr>
      </w:r>
    </w:p>
    <w:p>
      <w:pPr>
        <w:jc w:val="left"/>
        <w:spacing w:line="360" w:lineRule="auto"/>
        <w:widowControl/>
        <w:rPr>
          <w:rFonts w:ascii="黑体" w:hAnsi="黑体" w:eastAsia="黑体" w:cs="宋体"/>
          <w:bCs/>
          <w:color w:val="000000" w:themeColor="text1"/>
          <w:sz w:val="24"/>
          <w:highlight w:val="none"/>
        </w:rPr>
      </w:pPr>
      <w:r>
        <w:rPr>
          <w:rFonts w:hint="eastAsia" w:ascii="黑体" w:hAnsi="黑体" w:eastAsia="黑体" w:cs="宋体"/>
          <w:bCs/>
          <w:color w:val="000000" w:themeColor="text1"/>
          <w:sz w:val="24"/>
          <w:highlight w:val="none"/>
          <w:lang w:val="zh-CN"/>
        </w:rPr>
        <w:t xml:space="preserve">第九条　</w:t>
      </w:r>
      <w:r>
        <w:rPr>
          <w:rFonts w:hint="eastAsia" w:ascii="黑体" w:hAnsi="黑体" w:eastAsia="黑体" w:cs="宋体"/>
          <w:bCs/>
          <w:color w:val="000000" w:themeColor="text1"/>
          <w:sz w:val="24"/>
          <w:highlight w:val="none"/>
        </w:rPr>
        <w:t xml:space="preserve">不可抗力</w:t>
      </w:r>
      <w:r>
        <w:rPr>
          <w:color w:val="000000" w:themeColor="text1"/>
          <w:highlight w:val="none"/>
        </w:rPr>
      </w:r>
    </w:p>
    <w:p>
      <w:pPr>
        <w:ind w:firstLine="480"/>
        <w:jc w:val="left"/>
        <w:spacing w:line="360" w:lineRule="auto"/>
        <w:widowControl/>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1.不可抗力，是指不能预见、不能避免并不能克服的客观情况，如战争、动乱、瘟疫、严重火灾、洪水、地震、风暴或其他自然灾害等。</w:t>
      </w:r>
      <w:r>
        <w:rPr>
          <w:color w:val="000000" w:themeColor="text1"/>
          <w:highlight w:val="none"/>
        </w:rPr>
      </w:r>
    </w:p>
    <w:p>
      <w:pPr>
        <w:ind w:firstLine="480"/>
        <w:jc w:val="left"/>
        <w:spacing w:line="360" w:lineRule="auto"/>
        <w:widowControl/>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color w:val="000000" w:themeColor="text1"/>
          <w:highlight w:val="none"/>
        </w:rPr>
      </w:r>
    </w:p>
    <w:p>
      <w:pPr>
        <w:ind w:firstLine="480"/>
        <w:jc w:val="left"/>
        <w:spacing w:line="360" w:lineRule="auto"/>
        <w:widowControl/>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3.发生不可抗力事件，任何一方均不对因不可抗力无法履行或迟延履行本合同义务而使另一方蒙受的任何损失承担责任，法律另有规定的除外。</w:t>
      </w:r>
      <w:r>
        <w:rPr>
          <w:color w:val="000000" w:themeColor="text1"/>
          <w:highlight w:val="none"/>
        </w:rPr>
      </w:r>
    </w:p>
    <w:p>
      <w:pPr>
        <w:ind w:firstLine="480"/>
        <w:jc w:val="left"/>
        <w:spacing w:line="360" w:lineRule="auto"/>
        <w:widowControl/>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4.合同各方应根据不可抗力对本合同履行的影响程度，协商确定是否终止本合同或继续履行本合同。</w:t>
      </w:r>
      <w:r>
        <w:rPr>
          <w:color w:val="000000" w:themeColor="text1"/>
          <w:highlight w:val="none"/>
        </w:rPr>
      </w:r>
    </w:p>
    <w:p>
      <w:pPr>
        <w:jc w:val="left"/>
        <w:spacing w:line="360" w:lineRule="auto"/>
        <w:widowControl/>
        <w:rPr>
          <w:rFonts w:ascii="黑体" w:hAnsi="黑体" w:eastAsia="黑体" w:cs="宋体"/>
          <w:bCs/>
          <w:color w:val="000000" w:themeColor="text1"/>
          <w:sz w:val="24"/>
          <w:highlight w:val="none"/>
        </w:rPr>
      </w:pPr>
      <w:r>
        <w:rPr>
          <w:rFonts w:hint="eastAsia" w:ascii="黑体" w:hAnsi="黑体" w:eastAsia="黑体" w:cs="宋体"/>
          <w:color w:val="000000" w:themeColor="text1"/>
          <w:sz w:val="24"/>
          <w:highlight w:val="none"/>
        </w:rPr>
        <w:t xml:space="preserve">第十条　</w:t>
      </w:r>
      <w:r>
        <w:rPr>
          <w:rFonts w:hint="eastAsia" w:ascii="黑体" w:hAnsi="黑体" w:eastAsia="黑体" w:cs="宋体"/>
          <w:bCs/>
          <w:color w:val="000000" w:themeColor="text1"/>
          <w:sz w:val="24"/>
          <w:highlight w:val="none"/>
          <w:lang w:val="zh-CN"/>
        </w:rPr>
        <w:t xml:space="preserve">合同的变更和终止</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olor w:val="000000" w:themeColor="text1"/>
          <w:sz w:val="24"/>
          <w:highlight w:val="none"/>
          <w:lang w:val="zh-CN"/>
        </w:rPr>
        <w:t xml:space="preserve">1.</w:t>
      </w:r>
      <w:r>
        <w:rPr>
          <w:rFonts w:hint="eastAsia" w:ascii="宋体" w:hAnsi="宋体" w:cs="宋体"/>
          <w:color w:val="000000" w:themeColor="text1"/>
          <w:sz w:val="24"/>
          <w:highlight w:val="none"/>
          <w:lang w:val="zh-CN"/>
        </w:rPr>
        <w:t xml:space="preserve">除《中华人民共和国政府采购法》第</w:t>
      </w:r>
      <w:r>
        <w:rPr>
          <w:rFonts w:hint="eastAsia" w:ascii="宋体" w:hAnsi="宋体"/>
          <w:color w:val="000000" w:themeColor="text1"/>
          <w:sz w:val="24"/>
          <w:highlight w:val="none"/>
          <w:lang w:val="zh-CN"/>
        </w:rPr>
        <w:t xml:space="preserve">五十</w:t>
      </w:r>
      <w:r>
        <w:rPr>
          <w:rFonts w:hint="eastAsia" w:ascii="宋体" w:hAnsi="宋体" w:cs="宋体"/>
          <w:color w:val="000000" w:themeColor="text1"/>
          <w:sz w:val="24"/>
          <w:highlight w:val="none"/>
          <w:lang w:val="zh-CN"/>
        </w:rPr>
        <w:t xml:space="preserve">条规定的情形外，本合同一经签订，甲乙双方不得擅自变更、中止或终止合同。</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s="宋体"/>
          <w:color w:val="000000" w:themeColor="text1"/>
          <w:sz w:val="24"/>
          <w:highlight w:val="none"/>
        </w:rPr>
        <w:t xml:space="preserve">除发生法律规定的不能预见、不能避免并不能克服的客观情况外，甲乙双方不得放弃或拒绝履行合同。</w:t>
      </w:r>
      <w:r>
        <w:rPr>
          <w:color w:val="000000" w:themeColor="text1"/>
          <w:highlight w:val="none"/>
        </w:rPr>
      </w:r>
    </w:p>
    <w:p>
      <w:pPr>
        <w:jc w:val="left"/>
        <w:spacing w:line="360" w:lineRule="auto"/>
        <w:widowControl/>
        <w:rPr>
          <w:rFonts w:ascii="黑体" w:hAnsi="黑体" w:eastAsia="黑体" w:cs="宋体"/>
          <w:color w:val="000000" w:themeColor="text1"/>
          <w:sz w:val="24"/>
          <w:highlight w:val="none"/>
        </w:rPr>
      </w:pPr>
      <w:r>
        <w:rPr>
          <w:rFonts w:hint="eastAsia" w:ascii="黑体" w:hAnsi="黑体" w:eastAsia="黑体" w:cs="宋体"/>
          <w:color w:val="000000" w:themeColor="text1"/>
          <w:sz w:val="24"/>
          <w:highlight w:val="none"/>
        </w:rPr>
        <w:t xml:space="preserve">第十一条  合同的终止</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本合同因下列原因而终止：</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（1）本合同正常履行完毕；</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（2）因不可抗力导致本合同无法履行或履行不必要；</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（3）任何一方行使解除权解除本合同；</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（4）合同的继续履行将损害国家利益和社会公共利益。</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除上述情形外，甲乙双方不得擅自终止合同。</w:t>
      </w:r>
      <w:r>
        <w:rPr>
          <w:color w:val="000000" w:themeColor="text1"/>
          <w:highlight w:val="none"/>
        </w:rPr>
      </w:r>
    </w:p>
    <w:p>
      <w:pPr>
        <w:jc w:val="left"/>
        <w:spacing w:line="360" w:lineRule="auto"/>
        <w:widowControl/>
        <w:rPr>
          <w:rFonts w:ascii="黑体" w:hAnsi="黑体" w:eastAsia="黑体" w:cs="宋体"/>
          <w:bCs/>
          <w:color w:val="000000" w:themeColor="text1"/>
          <w:sz w:val="24"/>
          <w:highlight w:val="none"/>
        </w:rPr>
      </w:pPr>
      <w:r>
        <w:rPr>
          <w:rFonts w:hint="eastAsia" w:ascii="黑体" w:hAnsi="黑体" w:eastAsia="黑体" w:cs="宋体"/>
          <w:bCs/>
          <w:color w:val="000000" w:themeColor="text1"/>
          <w:sz w:val="24"/>
          <w:highlight w:val="none"/>
          <w:lang w:val="zh-CN"/>
        </w:rPr>
        <w:t xml:space="preserve">第十二条　争议的解决</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1.因履行本合同引起的或与本合同有关的争议，甲、乙双方应首先通过友好协商解决，如果协商不能解决争议，则采取以下2种方式解决争议：</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（1）向甲方所在地有管辖权的人民法院提起诉讼；</w:t>
      </w:r>
      <w:r>
        <w:rPr>
          <w:color w:val="000000" w:themeColor="text1"/>
          <w:highlight w:val="none"/>
        </w:rPr>
      </w:r>
    </w:p>
    <w:p>
      <w:pPr>
        <w:ind w:firstLine="48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（2）向甲方所在地仲裁委员会按其仲裁规则申请仲裁。</w:t>
      </w:r>
      <w:r>
        <w:rPr>
          <w:color w:val="000000" w:themeColor="text1"/>
          <w:highlight w:val="none"/>
        </w:rPr>
      </w:r>
    </w:p>
    <w:p>
      <w:pPr>
        <w:ind w:firstLine="420"/>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2.在仲裁期间，本合同应继续履行。</w:t>
      </w:r>
      <w:r>
        <w:rPr>
          <w:color w:val="000000" w:themeColor="text1"/>
          <w:highlight w:val="none"/>
        </w:rPr>
      </w:r>
    </w:p>
    <w:p>
      <w:pPr>
        <w:jc w:val="left"/>
        <w:spacing w:line="360" w:lineRule="auto"/>
        <w:widowControl/>
        <w:rPr>
          <w:rFonts w:ascii="黑体" w:hAnsi="黑体" w:eastAsia="黑体" w:cs="宋体"/>
          <w:bCs/>
          <w:color w:val="000000" w:themeColor="text1"/>
          <w:sz w:val="24"/>
          <w:highlight w:val="none"/>
        </w:rPr>
      </w:pPr>
      <w:r>
        <w:rPr>
          <w:rFonts w:hint="eastAsia" w:ascii="黑体" w:hAnsi="黑体" w:eastAsia="黑体" w:cs="宋体"/>
          <w:bCs/>
          <w:color w:val="000000" w:themeColor="text1"/>
          <w:sz w:val="24"/>
          <w:highlight w:val="none"/>
          <w:lang w:val="zh-CN"/>
        </w:rPr>
        <w:t xml:space="preserve">第十三条　合同生效及其他</w:t>
      </w:r>
      <w:r>
        <w:rPr>
          <w:color w:val="000000" w:themeColor="text1"/>
          <w:highlight w:val="none"/>
        </w:rPr>
      </w:r>
    </w:p>
    <w:p>
      <w:pPr>
        <w:ind w:firstLine="480"/>
        <w:jc w:val="left"/>
        <w:spacing w:line="360" w:lineRule="auto"/>
        <w:widowControl/>
        <w:rPr>
          <w:rFonts w:ascii="宋体" w:hAnsi="宋体" w:cs="宋体"/>
          <w:bCs/>
          <w:color w:val="000000" w:themeColor="text1"/>
          <w:sz w:val="24"/>
          <w:highlight w:val="none"/>
        </w:rPr>
      </w:pPr>
      <w:r>
        <w:rPr>
          <w:rFonts w:hint="eastAsia" w:ascii="宋体" w:hAnsi="宋体" w:cs="宋体"/>
          <w:color w:val="000000" w:themeColor="text1"/>
          <w:sz w:val="24"/>
          <w:highlight w:val="none"/>
          <w:lang w:val="zh-CN"/>
        </w:rPr>
        <w:t xml:space="preserve">1.</w:t>
      </w:r>
      <w:r>
        <w:rPr>
          <w:rFonts w:hint="eastAsia" w:ascii="宋体" w:hAnsi="宋体" w:cs="宋体"/>
          <w:color w:val="000000" w:themeColor="text1"/>
          <w:sz w:val="24"/>
          <w:highlight w:val="none"/>
        </w:rPr>
        <w:t xml:space="preserve">本合同由甲乙双方签字、盖章，并经</w:t>
      </w:r>
      <w:r>
        <w:rPr>
          <w:rFonts w:hint="eastAsia" w:ascii="宋体" w:hAnsi="宋体" w:cs="宋体"/>
          <w:bCs/>
          <w:color w:val="000000" w:themeColor="text1"/>
          <w:sz w:val="24"/>
          <w:highlight w:val="none"/>
        </w:rPr>
        <w:t xml:space="preserve">采购代理机构</w:t>
      </w:r>
      <w:r>
        <w:rPr>
          <w:rFonts w:hint="eastAsia" w:ascii="宋体" w:hAnsi="宋体" w:cs="宋体"/>
          <w:color w:val="000000" w:themeColor="text1"/>
          <w:sz w:val="24"/>
          <w:highlight w:val="none"/>
        </w:rPr>
        <w:t xml:space="preserve">见证后生效。</w:t>
      </w:r>
      <w:r>
        <w:rPr>
          <w:color w:val="000000" w:themeColor="text1"/>
          <w:highlight w:val="none"/>
        </w:rPr>
      </w:r>
    </w:p>
    <w:p>
      <w:pPr>
        <w:ind w:firstLine="480"/>
        <w:jc w:val="left"/>
        <w:spacing w:line="360" w:lineRule="auto"/>
        <w:widowControl/>
        <w:rPr>
          <w:rFonts w:ascii="宋体" w:hAnsi="宋体" w:cs="宋体"/>
          <w:bCs/>
          <w:color w:val="000000" w:themeColor="text1"/>
          <w:sz w:val="24"/>
          <w:highlight w:val="none"/>
        </w:rPr>
      </w:pPr>
      <w:r>
        <w:rPr>
          <w:rFonts w:hint="eastAsia" w:ascii="宋体" w:hAnsi="宋体" w:cs="宋体"/>
          <w:color w:val="000000" w:themeColor="text1"/>
          <w:sz w:val="24"/>
          <w:highlight w:val="none"/>
          <w:lang w:val="zh-CN"/>
        </w:rPr>
        <w:t xml:space="preserve">2.</w:t>
      </w:r>
      <w:r>
        <w:rPr>
          <w:rFonts w:hint="eastAsia" w:ascii="宋体" w:hAnsi="宋体" w:cs="宋体"/>
          <w:color w:val="000000" w:themeColor="text1"/>
          <w:sz w:val="24"/>
          <w:highlight w:val="none"/>
        </w:rPr>
        <w:t xml:space="preserve">本</w:t>
      </w:r>
      <w:r>
        <w:rPr>
          <w:rFonts w:hint="eastAsia" w:ascii="宋体" w:hAnsi="宋体" w:cs="宋体"/>
          <w:color w:val="000000" w:themeColor="text1"/>
          <w:sz w:val="24"/>
          <w:highlight w:val="none"/>
          <w:lang w:val="zh-CN"/>
        </w:rPr>
        <w:t xml:space="preserve">合同一式五份，甲乙双方各执</w:t>
      </w:r>
      <w:r>
        <w:rPr>
          <w:rFonts w:hint="eastAsia" w:ascii="宋体" w:hAnsi="宋体" w:cs="宋体"/>
          <w:color w:val="000000" w:themeColor="text1"/>
          <w:sz w:val="24"/>
          <w:highlight w:val="none"/>
        </w:rPr>
        <w:t xml:space="preserve">两</w:t>
      </w:r>
      <w:r>
        <w:rPr>
          <w:rFonts w:hint="eastAsia" w:ascii="宋体" w:hAnsi="宋体" w:cs="宋体"/>
          <w:color w:val="000000" w:themeColor="text1"/>
          <w:sz w:val="24"/>
          <w:highlight w:val="none"/>
          <w:lang w:val="zh-CN"/>
        </w:rPr>
        <w:t xml:space="preserve">份、采购代理机构</w:t>
      </w:r>
      <w:r>
        <w:rPr>
          <w:rFonts w:hint="eastAsia" w:ascii="宋体" w:hAnsi="宋体" w:cs="宋体"/>
          <w:color w:val="000000" w:themeColor="text1"/>
          <w:sz w:val="24"/>
          <w:highlight w:val="none"/>
        </w:rPr>
        <w:t xml:space="preserve">一</w:t>
      </w:r>
      <w:r>
        <w:rPr>
          <w:rFonts w:hint="eastAsia" w:ascii="宋体" w:hAnsi="宋体" w:cs="宋体"/>
          <w:color w:val="000000" w:themeColor="text1"/>
          <w:sz w:val="24"/>
          <w:highlight w:val="none"/>
          <w:lang w:val="zh-CN"/>
        </w:rPr>
        <w:t xml:space="preserve">份。</w:t>
      </w:r>
      <w:r>
        <w:rPr>
          <w:color w:val="000000" w:themeColor="text1"/>
          <w:highlight w:val="none"/>
        </w:rPr>
      </w:r>
    </w:p>
    <w:p>
      <w:pPr>
        <w:pStyle w:val="1019"/>
        <w:ind w:firstLine="480"/>
        <w:spacing w:line="360" w:lineRule="auto"/>
        <w:rPr>
          <w:color w:val="000000" w:themeColor="text1"/>
          <w:sz w:val="24"/>
          <w:highlight w:val="none"/>
        </w:rPr>
      </w:pPr>
      <w:r>
        <w:rPr>
          <w:rFonts w:hint="eastAsia" w:ascii="宋体" w:hAnsi="宋体" w:cs="宋体"/>
          <w:color w:val="000000" w:themeColor="text1"/>
          <w:sz w:val="24"/>
          <w:highlight w:val="none"/>
          <w:lang w:val="zh-CN"/>
        </w:rPr>
        <w:t xml:space="preserve">3.本合同应按照中华人民共和国的现行法律进行解释。</w:t>
      </w:r>
      <w:r>
        <w:rPr>
          <w:color w:val="000000" w:themeColor="text1"/>
          <w:highlight w:val="none"/>
        </w:rPr>
      </w:r>
    </w:p>
    <w:p>
      <w:pPr>
        <w:pStyle w:val="1019"/>
        <w:ind w:firstLine="480"/>
        <w:jc w:val="center"/>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1019"/>
        <w:ind w:firstLine="480"/>
        <w:jc w:val="center"/>
        <w:spacing w:line="360" w:lineRule="auto"/>
        <w:rPr>
          <w:rFonts w:eastAsia="黑体"/>
          <w:bCs/>
          <w:color w:val="000000" w:themeColor="text1"/>
          <w:sz w:val="28"/>
          <w:szCs w:val="28"/>
          <w:highlight w:val="none"/>
        </w:rPr>
        <w:outlineLvl w:val="0"/>
      </w:pPr>
      <w:r>
        <w:rPr>
          <w:rFonts w:eastAsia="黑体"/>
          <w:bCs/>
          <w:color w:val="000000" w:themeColor="text1"/>
          <w:sz w:val="28"/>
          <w:szCs w:val="28"/>
          <w:highlight w:val="none"/>
        </w:rPr>
        <w:br w:type="page" w:clear="all"/>
      </w:r>
      <w:bookmarkStart w:id="7" w:name="_Toc27019"/>
      <w:r>
        <w:rPr>
          <w:color w:val="000000" w:themeColor="text1"/>
          <w:highlight w:val="none"/>
        </w:rPr>
      </w:r>
      <w:bookmarkStart w:id="8" w:name="_Toc27834"/>
      <w:r>
        <w:rPr>
          <w:rFonts w:hint="eastAsia" w:eastAsia="黑体"/>
          <w:bCs/>
          <w:color w:val="000000" w:themeColor="text1"/>
          <w:sz w:val="28"/>
          <w:szCs w:val="28"/>
          <w:highlight w:val="none"/>
        </w:rPr>
        <w:t xml:space="preserve">六、</w:t>
      </w:r>
      <w:r>
        <w:rPr>
          <w:rFonts w:eastAsia="黑体"/>
          <w:bCs/>
          <w:color w:val="000000" w:themeColor="text1"/>
          <w:sz w:val="28"/>
          <w:szCs w:val="28"/>
          <w:highlight w:val="none"/>
        </w:rPr>
        <w:t xml:space="preserve">附件</w:t>
      </w:r>
      <w:bookmarkEnd w:id="7"/>
      <w:r>
        <w:rPr>
          <w:color w:val="000000" w:themeColor="text1"/>
          <w:highlight w:val="none"/>
        </w:rPr>
      </w:r>
      <w:bookmarkEnd w:id="8"/>
      <w:r>
        <w:rPr>
          <w:color w:val="000000" w:themeColor="text1"/>
          <w:highlight w:val="none"/>
        </w:rPr>
      </w:r>
      <w:r>
        <w:rPr>
          <w:color w:val="000000" w:themeColor="text1"/>
          <w:highlight w:val="none"/>
        </w:rPr>
      </w:r>
    </w:p>
    <w:p>
      <w:pPr>
        <w:jc w:val="left"/>
        <w:spacing w:line="360" w:lineRule="auto"/>
        <w:rPr>
          <w:b/>
          <w:color w:val="000000" w:themeColor="text1"/>
          <w:sz w:val="24"/>
          <w:szCs w:val="24"/>
          <w:highlight w:val="none"/>
        </w:rPr>
        <w:outlineLvl w:val="1"/>
      </w:pPr>
      <w:r>
        <w:rPr>
          <w:b/>
          <w:color w:val="000000" w:themeColor="text1"/>
          <w:sz w:val="24"/>
          <w:szCs w:val="24"/>
          <w:highlight w:val="none"/>
        </w:rPr>
        <w:t xml:space="preserve">附件一：评分标准</w:t>
      </w:r>
      <w:r>
        <w:rPr>
          <w:color w:val="000000" w:themeColor="text1"/>
          <w:highlight w:val="none"/>
        </w:rPr>
      </w:r>
    </w:p>
    <w:p>
      <w:pPr>
        <w:ind w:firstLine="482"/>
        <w:jc w:val="left"/>
        <w:spacing w:line="360" w:lineRule="auto"/>
        <w:rPr>
          <w:b/>
          <w:color w:val="000000" w:themeColor="text1"/>
          <w:sz w:val="24"/>
          <w:szCs w:val="24"/>
          <w:highlight w:val="none"/>
        </w:rPr>
      </w:pPr>
      <w:r>
        <w:rPr>
          <w:b/>
          <w:color w:val="000000" w:themeColor="text1"/>
          <w:sz w:val="24"/>
          <w:szCs w:val="24"/>
          <w:highlight w:val="none"/>
        </w:rPr>
        <w:t xml:space="preserve">（一</w:t>
      </w:r>
      <w:r>
        <w:rPr>
          <w:rFonts w:hint="eastAsia"/>
          <w:b/>
          <w:color w:val="000000" w:themeColor="text1"/>
          <w:sz w:val="24"/>
          <w:szCs w:val="24"/>
          <w:highlight w:val="none"/>
        </w:rPr>
        <w:t xml:space="preserve">）</w:t>
      </w:r>
      <w:r>
        <w:rPr>
          <w:b/>
          <w:color w:val="000000" w:themeColor="text1"/>
          <w:sz w:val="24"/>
          <w:szCs w:val="24"/>
          <w:highlight w:val="none"/>
        </w:rPr>
        <w:t xml:space="preserve">评分项目及分值（总分100分）</w:t>
      </w:r>
      <w:r>
        <w:rPr>
          <w:color w:val="000000" w:themeColor="text1"/>
          <w:highlight w:val="none"/>
        </w:rPr>
      </w:r>
    </w:p>
    <w:p>
      <w:pPr>
        <w:ind w:firstLine="482"/>
        <w:jc w:val="left"/>
        <w:spacing w:line="360" w:lineRule="auto"/>
        <w:rPr>
          <w:b/>
          <w:color w:val="000000" w:themeColor="text1"/>
          <w:sz w:val="24"/>
          <w:szCs w:val="24"/>
          <w:highlight w:val="none"/>
        </w:rPr>
      </w:pPr>
      <w:r>
        <w:rPr>
          <w:b/>
          <w:color w:val="000000" w:themeColor="text1"/>
          <w:sz w:val="24"/>
          <w:szCs w:val="24"/>
          <w:highlight w:val="none"/>
        </w:rPr>
        <w:t xml:space="preserve">1.报价                                   </w:t>
      </w:r>
      <w:r>
        <w:rPr>
          <w:rFonts w:hint="eastAsia"/>
          <w:b/>
          <w:color w:val="000000" w:themeColor="text1"/>
          <w:sz w:val="24"/>
          <w:szCs w:val="24"/>
          <w:highlight w:val="none"/>
        </w:rPr>
        <w:t xml:space="preserve">23</w:t>
      </w:r>
      <w:r>
        <w:rPr>
          <w:b/>
          <w:color w:val="000000" w:themeColor="text1"/>
          <w:sz w:val="24"/>
          <w:szCs w:val="24"/>
          <w:highlight w:val="none"/>
        </w:rPr>
        <w:t xml:space="preserve">分</w:t>
      </w:r>
      <w:r>
        <w:rPr>
          <w:color w:val="000000" w:themeColor="text1"/>
          <w:highlight w:val="none"/>
        </w:rPr>
      </w:r>
    </w:p>
    <w:p>
      <w:pPr>
        <w:ind w:firstLine="482"/>
        <w:jc w:val="left"/>
        <w:spacing w:line="360" w:lineRule="auto"/>
        <w:rPr>
          <w:b/>
          <w:color w:val="000000" w:themeColor="text1"/>
          <w:sz w:val="24"/>
          <w:szCs w:val="24"/>
          <w:highlight w:val="none"/>
        </w:rPr>
      </w:pPr>
      <w:r>
        <w:rPr>
          <w:b/>
          <w:color w:val="000000" w:themeColor="text1"/>
          <w:sz w:val="24"/>
          <w:szCs w:val="24"/>
          <w:highlight w:val="none"/>
        </w:rPr>
        <w:t xml:space="preserve">2.</w:t>
      </w:r>
      <w:r>
        <w:rPr>
          <w:rFonts w:hint="eastAsia"/>
          <w:b/>
          <w:color w:val="000000" w:themeColor="text1"/>
          <w:sz w:val="24"/>
          <w:szCs w:val="24"/>
          <w:highlight w:val="none"/>
        </w:rPr>
        <w:t xml:space="preserve">投标供应商</w:t>
      </w:r>
      <w:r>
        <w:rPr>
          <w:b/>
          <w:color w:val="000000" w:themeColor="text1"/>
          <w:sz w:val="24"/>
          <w:szCs w:val="24"/>
          <w:highlight w:val="none"/>
        </w:rPr>
        <w:t xml:space="preserve">评价                         </w:t>
      </w:r>
      <w:r>
        <w:rPr>
          <w:rFonts w:hint="eastAsia"/>
          <w:b/>
          <w:color w:val="000000" w:themeColor="text1"/>
          <w:sz w:val="24"/>
          <w:szCs w:val="24"/>
          <w:highlight w:val="none"/>
        </w:rPr>
        <w:t xml:space="preserve">22</w:t>
      </w:r>
      <w:r>
        <w:rPr>
          <w:b/>
          <w:color w:val="000000" w:themeColor="text1"/>
          <w:sz w:val="24"/>
          <w:szCs w:val="24"/>
          <w:highlight w:val="none"/>
        </w:rPr>
        <w:t xml:space="preserve">分</w:t>
      </w:r>
      <w:r>
        <w:rPr>
          <w:color w:val="000000" w:themeColor="text1"/>
          <w:highlight w:val="none"/>
        </w:rPr>
      </w:r>
    </w:p>
    <w:p>
      <w:pPr>
        <w:ind w:firstLine="482"/>
        <w:jc w:val="left"/>
        <w:spacing w:line="360" w:lineRule="auto"/>
        <w:rPr>
          <w:b/>
          <w:color w:val="000000" w:themeColor="text1"/>
          <w:sz w:val="24"/>
          <w:szCs w:val="24"/>
          <w:highlight w:val="none"/>
        </w:rPr>
      </w:pPr>
      <w:r>
        <w:rPr>
          <w:b/>
          <w:color w:val="000000" w:themeColor="text1"/>
          <w:sz w:val="24"/>
          <w:szCs w:val="24"/>
          <w:highlight w:val="none"/>
        </w:rPr>
        <w:t xml:space="preserve">3.技术方案                               </w:t>
      </w:r>
      <w:r>
        <w:rPr>
          <w:rFonts w:hint="eastAsia"/>
          <w:b/>
          <w:color w:val="000000" w:themeColor="text1"/>
          <w:sz w:val="24"/>
          <w:szCs w:val="24"/>
          <w:highlight w:val="none"/>
        </w:rPr>
        <w:t xml:space="preserve">55</w:t>
      </w:r>
      <w:r>
        <w:rPr>
          <w:b/>
          <w:color w:val="000000" w:themeColor="text1"/>
          <w:sz w:val="24"/>
          <w:szCs w:val="24"/>
          <w:highlight w:val="none"/>
        </w:rPr>
        <w:t xml:space="preserve">分</w:t>
      </w:r>
      <w:r>
        <w:rPr>
          <w:color w:val="000000" w:themeColor="text1"/>
          <w:highlight w:val="none"/>
        </w:rPr>
      </w:r>
    </w:p>
    <w:p>
      <w:pPr>
        <w:ind w:firstLine="482"/>
        <w:jc w:val="left"/>
        <w:spacing w:line="360" w:lineRule="auto"/>
        <w:rPr>
          <w:b/>
          <w:color w:val="000000" w:themeColor="text1"/>
          <w:sz w:val="24"/>
          <w:szCs w:val="24"/>
          <w:highlight w:val="none"/>
        </w:rPr>
      </w:pPr>
      <w:r>
        <w:rPr>
          <w:b/>
          <w:color w:val="000000" w:themeColor="text1"/>
          <w:sz w:val="24"/>
          <w:szCs w:val="24"/>
          <w:highlight w:val="none"/>
        </w:rPr>
        <w:t xml:space="preserve">（二</w:t>
      </w:r>
      <w:r>
        <w:rPr>
          <w:rFonts w:hint="eastAsia"/>
          <w:b/>
          <w:color w:val="000000" w:themeColor="text1"/>
          <w:sz w:val="24"/>
          <w:szCs w:val="24"/>
          <w:highlight w:val="none"/>
        </w:rPr>
        <w:t xml:space="preserve">）</w:t>
      </w:r>
      <w:r>
        <w:rPr>
          <w:b/>
          <w:color w:val="000000" w:themeColor="text1"/>
          <w:sz w:val="24"/>
          <w:szCs w:val="24"/>
          <w:highlight w:val="none"/>
        </w:rPr>
        <w:t xml:space="preserve">各项目评分标准</w:t>
      </w:r>
      <w:r>
        <w:rPr>
          <w:color w:val="000000" w:themeColor="text1"/>
          <w:highlight w:val="none"/>
        </w:rPr>
      </w:r>
    </w:p>
    <w:p>
      <w:pPr>
        <w:ind w:firstLine="482"/>
        <w:jc w:val="left"/>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1.报价（23分）</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采用低价优先法计算，即满足招标文件要求且投标价格最低的投标报价为评标基准价，其价格分为满分。其他投标供应商的价格分统一按照下列公式计算：</w:t>
      </w:r>
      <w:r>
        <w:rPr>
          <w:color w:val="000000" w:themeColor="text1"/>
          <w:highlight w:val="none"/>
        </w:rP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投标报价得分=（评标基准价／投标报价）×价格权值×100。</w:t>
      </w:r>
      <w:r>
        <w:rPr>
          <w:color w:val="000000" w:themeColor="text1"/>
          <w:highlight w:val="none"/>
        </w:rPr>
      </w:r>
    </w:p>
    <w:p>
      <w:pPr>
        <w:ind w:firstLine="482"/>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2.投标供应商评价（</w:t>
      </w:r>
      <w:r>
        <w:rPr>
          <w:rFonts w:hint="eastAsia" w:ascii="宋体" w:hAnsi="宋体" w:cs="宋体"/>
          <w:b/>
          <w:bCs/>
          <w:color w:val="000000" w:themeColor="text1"/>
          <w:sz w:val="24"/>
          <w:szCs w:val="24"/>
          <w:highlight w:val="none"/>
        </w:rPr>
        <w:t xml:space="preserve">22分）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（1）投标供应商2021年1月1日至今</w:t>
      </w:r>
      <w:r>
        <w:rPr>
          <w:rFonts w:hAnsi="宋体" w:cs="宋体"/>
          <w:color w:val="000000" w:themeColor="text1"/>
          <w:sz w:val="24"/>
          <w:highlight w:val="none"/>
        </w:rPr>
        <w:t xml:space="preserve">承担过</w:t>
      </w:r>
      <w:r>
        <w:rPr>
          <w:rFonts w:hint="eastAsia" w:hAnsi="宋体" w:cs="宋体"/>
          <w:color w:val="000000" w:themeColor="text1"/>
          <w:sz w:val="24"/>
          <w:highlight w:val="none"/>
        </w:rPr>
        <w:t xml:space="preserve">同类项目</w:t>
      </w:r>
      <w:r>
        <w:rPr>
          <w:rFonts w:hAnsi="宋体" w:cs="宋体"/>
          <w:color w:val="000000" w:themeColor="text1"/>
          <w:sz w:val="24"/>
          <w:highlight w:val="none"/>
        </w:rPr>
        <w:t xml:space="preserve">的</w:t>
      </w:r>
      <w:r>
        <w:rPr>
          <w:rFonts w:hint="eastAsia" w:ascii="宋体" w:hAnsi="宋体"/>
          <w:color w:val="000000" w:themeColor="text1"/>
          <w:sz w:val="24"/>
          <w:szCs w:val="24"/>
          <w:highlight w:val="none"/>
        </w:rPr>
        <w:t xml:space="preserve">，有一个得2.5分，本项最高得5分【时间以</w:t>
      </w:r>
      <w:r>
        <w:rPr>
          <w:rFonts w:hint="eastAsia" w:ascii="宋体" w:hAnsi="宋体"/>
          <w:bCs/>
          <w:color w:val="000000" w:themeColor="text1"/>
          <w:sz w:val="24"/>
          <w:highlight w:val="none"/>
        </w:rPr>
        <w:t xml:space="preserve">中标通知书</w:t>
      </w:r>
      <w:r>
        <w:rPr>
          <w:rFonts w:hint="eastAsia" w:ascii="宋体" w:hAnsi="宋体"/>
          <w:color w:val="000000" w:themeColor="text1"/>
          <w:sz w:val="24"/>
          <w:szCs w:val="24"/>
          <w:highlight w:val="none"/>
        </w:rPr>
        <w:t xml:space="preserve">日期为准，提供中标（成交）通知书及合同（</w:t>
      </w:r>
      <w:r>
        <w:rPr>
          <w:rFonts w:hint="eastAsia" w:ascii="宋体" w:hAnsi="宋体"/>
          <w:color w:val="000000" w:themeColor="text1"/>
          <w:sz w:val="24"/>
          <w:szCs w:val="24"/>
          <w:highlight w:val="none"/>
        </w:rPr>
        <w:t xml:space="preserve">包括合同首页、合同具体内容页、签字盖章页）</w:t>
      </w:r>
      <w:r>
        <w:rPr>
          <w:rFonts w:hint="eastAsia" w:ascii="宋体" w:hAnsi="宋体"/>
          <w:color w:val="000000" w:themeColor="text1"/>
          <w:sz w:val="24"/>
          <w:szCs w:val="24"/>
          <w:highlight w:val="none"/>
        </w:rPr>
        <w:t xml:space="preserve">扫描件上传至电子响应文件中，未按要求提供不得分】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（2）投标供应商具有有效的环境管理体系认证、质量管理体系认证、职业健康安全管理体系认证，每提供一个得1分，本项最高得3分【提供有效期内证书扫描件上传至电子投标文件中，未按要求提供不得分】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（3）人员配备（5分）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①</w:t>
      </w:r>
      <w:r>
        <w:rPr>
          <w:rFonts w:hint="eastAsia" w:ascii="宋体" w:hAnsi="宋体" w:cs="宋体"/>
          <w:color w:val="000000" w:themeColor="text1"/>
          <w:sz w:val="24"/>
          <w:highlight w:val="none"/>
        </w:rPr>
        <w:t xml:space="preserve">项目负责人（运维技术主管）：具备</w:t>
      </w:r>
      <w:r>
        <w:rPr>
          <w:rFonts w:hint="eastAsia" w:ascii="宋体" w:hAnsi="宋体" w:cs="宋体"/>
          <w:color w:val="000000" w:themeColor="text1"/>
          <w:sz w:val="24"/>
          <w:highlight w:val="none"/>
        </w:rPr>
        <w:t xml:space="preserve">环保相关专业</w:t>
      </w:r>
      <w:r>
        <w:rPr>
          <w:rFonts w:hint="eastAsia" w:ascii="宋体" w:hAnsi="宋体" w:cs="宋体"/>
          <w:color w:val="000000" w:themeColor="text1"/>
          <w:sz w:val="24"/>
          <w:highlight w:val="none"/>
        </w:rPr>
        <w:t xml:space="preserve">中级工程师及以上职称的得1分，具备中国环境监测总站颁发的国家地表水环境质量监测技术与运维管理培训合格证书的得1分，</w:t>
      </w:r>
      <w:r>
        <w:rPr>
          <w:rFonts w:hint="eastAsia" w:ascii="宋体" w:hAnsi="宋体"/>
          <w:color w:val="000000" w:themeColor="text1"/>
          <w:sz w:val="24"/>
          <w:szCs w:val="24"/>
          <w:highlight w:val="none"/>
        </w:rPr>
        <w:t xml:space="preserve">本项最高得2分【提供</w:t>
      </w:r>
      <w:r>
        <w:rPr>
          <w:rFonts w:hint="eastAsia" w:ascii="宋体" w:hAnsi="宋体" w:cs="宋体"/>
          <w:bCs/>
          <w:color w:val="000000" w:themeColor="text1"/>
          <w:sz w:val="24"/>
          <w:szCs w:val="24"/>
          <w:highlight w:val="none"/>
        </w:rPr>
        <w:t xml:space="preserve">项目负责人身份证、证书</w:t>
      </w:r>
      <w:r>
        <w:rPr>
          <w:rFonts w:hint="eastAsia" w:ascii="宋体" w:hAnsi="宋体"/>
          <w:color w:val="000000" w:themeColor="text1"/>
          <w:sz w:val="24"/>
          <w:szCs w:val="24"/>
          <w:highlight w:val="none"/>
        </w:rPr>
        <w:t xml:space="preserve">、劳动合同或由投标供应商为其缴纳的近三个月中任意一个月（不含投标当月）社保</w:t>
      </w:r>
      <w:r>
        <w:rPr>
          <w:rFonts w:hint="eastAsia" w:ascii="宋体" w:hAnsi="宋体" w:cs="宋体"/>
          <w:color w:val="000000" w:themeColor="text1"/>
          <w:sz w:val="24"/>
          <w:szCs w:val="24"/>
          <w:highlight w:val="none"/>
        </w:rPr>
        <w:t xml:space="preserve">证明</w:t>
      </w:r>
      <w:r>
        <w:rPr>
          <w:rFonts w:hint="eastAsia" w:ascii="宋体" w:hAnsi="宋体"/>
          <w:color w:val="000000" w:themeColor="text1"/>
          <w:sz w:val="24"/>
          <w:szCs w:val="24"/>
          <w:highlight w:val="none"/>
        </w:rPr>
        <w:t xml:space="preserve">，以上证明资料扫描件上传至电子投标文件中，未按要求提供不得分】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bCs/>
          <w:color w:val="000000" w:themeColor="text1"/>
          <w:sz w:val="24"/>
          <w:highlight w:val="none"/>
        </w:rPr>
        <w:t xml:space="preserve">②</w:t>
      </w:r>
      <w:r>
        <w:rPr>
          <w:rFonts w:hint="eastAsia" w:ascii="宋体" w:hAnsi="宋体" w:cs="宋体"/>
          <w:color w:val="000000" w:themeColor="text1"/>
          <w:sz w:val="24"/>
          <w:highlight w:val="none"/>
        </w:rPr>
        <w:t xml:space="preserve">专业运维人员至少配备2人，配备3人得2分，配备4人得3分，本项最高得3分</w:t>
      </w:r>
      <w:r>
        <w:rPr>
          <w:rFonts w:hint="eastAsia" w:ascii="宋体" w:hAnsi="宋体"/>
          <w:color w:val="000000" w:themeColor="text1"/>
          <w:sz w:val="24"/>
          <w:szCs w:val="24"/>
          <w:highlight w:val="none"/>
        </w:rPr>
        <w:t xml:space="preserve">【提供以上人员身份证、省级及以上</w:t>
      </w:r>
      <w:r>
        <w:rPr>
          <w:rFonts w:hint="eastAsia" w:ascii="宋体" w:hAnsi="宋体"/>
          <w:color w:val="000000" w:themeColor="text1"/>
          <w:sz w:val="24"/>
          <w:szCs w:val="24"/>
          <w:highlight w:val="none"/>
        </w:rPr>
        <w:t xml:space="preserve">行政主管部门</w:t>
      </w:r>
      <w:r>
        <w:rPr>
          <w:rFonts w:hint="eastAsia" w:ascii="宋体" w:hAnsi="宋体"/>
          <w:color w:val="000000" w:themeColor="text1"/>
          <w:sz w:val="24"/>
          <w:szCs w:val="24"/>
          <w:highlight w:val="none"/>
        </w:rPr>
        <w:t xml:space="preserve">颁发的自动监测上岗证或培训合格证、劳动合同或由投标供应商为其缴纳的近三个月中任意一个月（不含投标当月）社保</w:t>
      </w:r>
      <w:r>
        <w:rPr>
          <w:rFonts w:hint="eastAsia" w:ascii="宋体" w:hAnsi="宋体" w:cs="宋体"/>
          <w:color w:val="000000" w:themeColor="text1"/>
          <w:sz w:val="24"/>
          <w:szCs w:val="24"/>
          <w:highlight w:val="none"/>
        </w:rPr>
        <w:t xml:space="preserve">证明</w:t>
      </w:r>
      <w:r>
        <w:rPr>
          <w:rFonts w:hint="eastAsia" w:ascii="宋体" w:hAnsi="宋体"/>
          <w:color w:val="000000" w:themeColor="text1"/>
          <w:sz w:val="24"/>
          <w:szCs w:val="24"/>
          <w:highlight w:val="none"/>
        </w:rPr>
        <w:t xml:space="preserve">，以上证明资料扫描件上传至电子投标文件中，未按要求提供不得分】</w:t>
      </w:r>
      <w:r>
        <w:rPr>
          <w:color w:val="000000" w:themeColor="text1"/>
          <w:highlight w:val="none"/>
        </w:rPr>
      </w:r>
    </w:p>
    <w:p>
      <w:pPr>
        <w:ind w:firstLine="480"/>
        <w:spacing w:line="360" w:lineRule="auto"/>
        <w:rPr>
          <w:rFonts w:ascii="宋体" w:hAnsi="宋体" w:cs="宋体"/>
          <w:bCs/>
          <w:color w:val="000000" w:themeColor="text1"/>
          <w:sz w:val="24"/>
          <w:szCs w:val="28"/>
          <w:highlight w:val="none"/>
        </w:rPr>
      </w:pPr>
      <w:r>
        <w:rPr>
          <w:rFonts w:hint="eastAsia" w:ascii="宋体" w:hAnsi="宋体"/>
          <w:color w:val="000000" w:themeColor="text1"/>
          <w:sz w:val="24"/>
          <w:szCs w:val="24"/>
          <w:highlight w:val="none"/>
        </w:rPr>
        <w:t xml:space="preserve">（4）</w:t>
      </w:r>
      <w:r>
        <w:rPr>
          <w:rFonts w:hint="eastAsia" w:ascii="宋体" w:hAnsi="宋体" w:cs="宋体"/>
          <w:bCs/>
          <w:color w:val="000000" w:themeColor="text1"/>
          <w:sz w:val="24"/>
          <w:szCs w:val="28"/>
          <w:highlight w:val="none"/>
        </w:rPr>
        <w:t xml:space="preserve">车辆配备（2分）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hint="eastAsia" w:ascii="宋体" w:hAnsi="宋体" w:cs="宋体"/>
          <w:bCs/>
          <w:color w:val="000000" w:themeColor="text1"/>
          <w:sz w:val="24"/>
          <w:szCs w:val="28"/>
          <w:highlight w:val="none"/>
        </w:rPr>
        <w:t xml:space="preserve">供应商为实施本项目至少需要配备2辆专用车辆，在此基础上增加1辆运维保障车辆得2分，本项最高得2分【提供购买车辆购置发票（发票的购买人名称必须与供应商名称一致）、购买合同、行驶证、车辆照片；租赁车辆还需提供有效期内的车辆租赁协议；或提供承诺书，承诺中标后为本项目配备专用车辆；提供证明文件</w:t>
      </w:r>
      <w:r>
        <w:rPr>
          <w:rFonts w:hint="eastAsia" w:ascii="宋体" w:hAnsi="宋体" w:cs="宋体"/>
          <w:bCs/>
          <w:color w:val="000000" w:themeColor="text1"/>
          <w:sz w:val="24"/>
          <w:szCs w:val="24"/>
          <w:highlight w:val="none"/>
        </w:rPr>
        <w:t xml:space="preserve">扫描件</w:t>
      </w:r>
      <w:r>
        <w:rPr>
          <w:rFonts w:hint="eastAsia" w:ascii="宋体" w:hAnsi="宋体"/>
          <w:color w:val="000000" w:themeColor="text1"/>
          <w:sz w:val="24"/>
          <w:szCs w:val="24"/>
          <w:highlight w:val="none"/>
        </w:rPr>
        <w:t xml:space="preserve">上传至电子投标文件中，未按要求提供不得分】</w:t>
      </w:r>
      <w:r>
        <w:rPr>
          <w:color w:val="000000" w:themeColor="text1"/>
          <w:highlight w:val="none"/>
        </w:rPr>
      </w:r>
    </w:p>
    <w:p>
      <w:pPr>
        <w:contextualSpacing/>
        <w:ind w:firstLine="480"/>
        <w:jc w:val="left"/>
        <w:spacing w:line="360" w:lineRule="auto"/>
        <w:rPr>
          <w:rFonts w:ascii="宋体" w:hAnsi="宋体" w:cs="宋体"/>
          <w:bCs/>
          <w:color w:val="000000" w:themeColor="text1"/>
          <w:sz w:val="24"/>
          <w:szCs w:val="28"/>
          <w:highlight w:val="none"/>
        </w:rPr>
      </w:pPr>
      <w:r>
        <w:rPr>
          <w:rFonts w:hint="eastAsia" w:ascii="宋体" w:hAnsi="宋体"/>
          <w:color w:val="000000" w:themeColor="text1"/>
          <w:sz w:val="24"/>
          <w:szCs w:val="24"/>
          <w:highlight w:val="none"/>
        </w:rPr>
        <w:t xml:space="preserve">（5）</w:t>
      </w:r>
      <w:r>
        <w:rPr>
          <w:rFonts w:hint="eastAsia" w:ascii="宋体" w:hAnsi="宋体" w:cs="宋体"/>
          <w:bCs/>
          <w:color w:val="000000" w:themeColor="text1"/>
          <w:sz w:val="24"/>
          <w:szCs w:val="28"/>
          <w:highlight w:val="none"/>
        </w:rPr>
        <w:t xml:space="preserve">实验室（3分）</w:t>
      </w:r>
      <w:r>
        <w:rPr>
          <w:color w:val="000000" w:themeColor="text1"/>
          <w:highlight w:val="none"/>
        </w:rPr>
      </w:r>
    </w:p>
    <w:p>
      <w:pPr>
        <w:contextualSpacing/>
        <w:ind w:firstLine="480"/>
        <w:jc w:val="left"/>
        <w:spacing w:line="360" w:lineRule="auto"/>
        <w:rPr>
          <w:rFonts w:ascii="宋体" w:hAnsi="宋体" w:cs="宋体"/>
          <w:bCs/>
          <w:color w:val="000000" w:themeColor="text1"/>
          <w:sz w:val="24"/>
          <w:szCs w:val="28"/>
          <w:highlight w:val="none"/>
        </w:rPr>
      </w:pPr>
      <w:r>
        <w:rPr>
          <w:rFonts w:hint="eastAsia" w:ascii="宋体" w:hAnsi="宋体"/>
          <w:color w:val="000000" w:themeColor="text1"/>
          <w:sz w:val="24"/>
          <w:szCs w:val="24"/>
          <w:highlight w:val="none"/>
        </w:rPr>
        <w:t xml:space="preserve">投标</w:t>
      </w:r>
      <w:r>
        <w:rPr>
          <w:rFonts w:hint="eastAsia" w:ascii="宋体" w:hAnsi="宋体" w:cs="宋体"/>
          <w:bCs/>
          <w:color w:val="000000" w:themeColor="text1"/>
          <w:sz w:val="24"/>
          <w:szCs w:val="28"/>
          <w:highlight w:val="none"/>
        </w:rPr>
        <w:t xml:space="preserve">供应商自有计量认证的实验室的得3分；如供应商无自有认证实验室，但委托相关认证实验室，并提供委托协议的得3分。实验室认证范围存在缺少本项目监测参数（</w:t>
      </w:r>
      <w:r>
        <w:rPr>
          <w:rFonts w:hint="eastAsia" w:ascii="宋体" w:hAnsi="宋体"/>
          <w:color w:val="000000" w:themeColor="text1"/>
          <w:sz w:val="24"/>
          <w:highlight w:val="none"/>
        </w:rPr>
        <w:t xml:space="preserve">溶解氧、高锰酸盐指数、总磷、氨氮</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szCs w:val="28"/>
          <w:highlight w:val="none"/>
        </w:rPr>
        <w:t xml:space="preserve">情况的扣分，缺1项扣1分，扣完为止。本项最高得3分。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s="宋体"/>
          <w:bCs/>
          <w:color w:val="000000" w:themeColor="text1"/>
          <w:sz w:val="24"/>
          <w:szCs w:val="28"/>
          <w:highlight w:val="none"/>
        </w:rPr>
        <w:t xml:space="preserve">【提供供应商本身实验室的证明资料或委托实验室计量认证证明（包括计量认证的级别、通过认可的项目等）</w:t>
      </w:r>
      <w:r>
        <w:rPr>
          <w:rFonts w:hint="eastAsia" w:ascii="宋体" w:hAnsi="宋体" w:cs="宋体"/>
          <w:bCs/>
          <w:color w:val="000000" w:themeColor="text1"/>
          <w:sz w:val="24"/>
          <w:szCs w:val="24"/>
          <w:highlight w:val="none"/>
        </w:rPr>
        <w:t xml:space="preserve">扫描件上传至投标系统并加盖公章，未提供或提供不符合要求不得分</w:t>
      </w:r>
      <w:r>
        <w:rPr>
          <w:rFonts w:hint="eastAsia" w:ascii="宋体" w:hAnsi="宋体" w:cs="宋体"/>
          <w:bCs/>
          <w:color w:val="000000" w:themeColor="text1"/>
          <w:sz w:val="24"/>
          <w:szCs w:val="28"/>
          <w:highlight w:val="none"/>
        </w:rPr>
        <w:t xml:space="preserve">】</w:t>
      </w:r>
      <w:r>
        <w:rPr>
          <w:color w:val="000000" w:themeColor="text1"/>
          <w:highlight w:val="none"/>
        </w:rPr>
      </w:r>
    </w:p>
    <w:p>
      <w:pPr>
        <w:ind w:firstLine="480"/>
        <w:spacing w:line="360" w:lineRule="auto"/>
        <w:tabs>
          <w:tab w:val="left" w:pos="945" w:leader="none"/>
          <w:tab w:val="left" w:pos="1155" w:leader="none"/>
          <w:tab w:val="left" w:pos="225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rFonts w:hint="eastAsia" w:ascii="宋体" w:hAnsi="宋体"/>
          <w:color w:val="000000" w:themeColor="text1"/>
          <w:sz w:val="24"/>
          <w:highlight w:val="none"/>
        </w:rPr>
        <w:t xml:space="preserve">备件耗材保障</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分）</w:t>
      </w:r>
      <w:r>
        <w:rPr>
          <w:color w:val="000000" w:themeColor="text1"/>
          <w:highlight w:val="none"/>
        </w:rPr>
      </w:r>
    </w:p>
    <w:p>
      <w:pPr>
        <w:ind w:firstLine="480"/>
        <w:spacing w:line="360" w:lineRule="auto"/>
        <w:tabs>
          <w:tab w:val="left" w:pos="945" w:leader="none"/>
          <w:tab w:val="left" w:pos="1155" w:leader="none"/>
          <w:tab w:val="left" w:pos="225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投标供应商具备完善的仪器配件供应渠道，提供水站现场仪器的原厂家或仪器升级厂家的备品备件供货协议。提供招标文件所有仪器（溶解氧、高锰酸盐指数、总磷、氨氮）备品备件供货协议的得4分，每获得1项仪器备品备件供货协议的得1分，最高4分【供货协议扫描件上传至投标系统并加盖公章，未提供或提供不符合要求不得分】</w:t>
      </w:r>
      <w:r>
        <w:rPr>
          <w:color w:val="000000" w:themeColor="text1"/>
          <w:highlight w:val="none"/>
        </w:rPr>
      </w:r>
    </w:p>
    <w:p>
      <w:pPr>
        <w:pStyle w:val="838"/>
        <w:ind w:firstLine="482"/>
        <w:spacing w:after="0"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3.技术方案（55分）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（1）仪器升级实施方案（10分）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供应商提供完整的仪器升级方案，方案科学合理，完全符合或优于相关标准和规范，完全满足或优于项目需求的得10分；方案大体合理，基本符合相关标准和规范，基本满足项目需求的得7分；方案大体合理，基本符合相关标准和规范，在满足项目需求方面有所欠缺的得4分；方案不合理、部分不符合相关标准和规范，无法满足项目需求或未提供的不得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（2）运维服务方案（10分）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投标供应商的运维方案（包括日常运维计划、维护方法、周期、内容及技术保障措施）、应急方案的科学性、可行性进行综合评定，方案科学合理、可行性强的得10分；方案合理、可行的得7分；方案不够全面且有部分缺陷的得4分；方案有重大缺陷或未提供的不得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（3）制度保障措施（10分）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供应商提供的管理制度和措施（包括日常运维管理、安全管理、人员和车辆管理等）进行综合评定，管理制度内容完整详细、措施有针对性且合理可行的得10分；管理制度内容全面、措施可行的得7分；管理制度内容不够全面、措施欠全的得4分；方案有重大缺陷或未提供的不得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（4）应急预案（10分）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供应商提供完整的水质自动监测系统应急方案，提出解决相应问题的措施，明确维护方法、周期、内容及技术保障。方案清晰、合理、详细、全面、针对性强、操作性强得10分；方案清晰、合理、详细、全面的得7分；方案不够完整基本满足要求的得4分；方案有重大缺陷或未提供的不得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（5）质控措施（8分）</w:t>
      </w:r>
      <w:r>
        <w:rPr>
          <w:color w:val="000000" w:themeColor="text1"/>
          <w:highlight w:val="none"/>
        </w:rPr>
      </w:r>
    </w:p>
    <w:p>
      <w:pPr>
        <w:ind w:firstLine="480"/>
        <w:spacing w:line="360" w:lineRule="auto"/>
        <w:tabs>
          <w:tab w:val="left" w:pos="945" w:leader="none"/>
          <w:tab w:val="left" w:pos="1155" w:leader="none"/>
          <w:tab w:val="left" w:pos="22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供应商提供完整的质量控制管理方案和数据质量管理及审核方案，明确质量控制管理、数据质量管理的方法、内容及技术保障。方案清晰、合理、详细、全面、针对性强、操作性强得8分；方案清晰、合理、详细、全面得5分；方案不够完整基本满足要求的得3分；方案有重大缺陷或未提供的不得分。</w:t>
      </w:r>
      <w:r>
        <w:rPr>
          <w:color w:val="000000" w:themeColor="text1"/>
          <w:highlight w:val="none"/>
        </w:rPr>
      </w:r>
    </w:p>
    <w:p>
      <w:pPr>
        <w:ind w:firstLine="480"/>
        <w:spacing w:line="360" w:lineRule="auto"/>
        <w:tabs>
          <w:tab w:val="left" w:pos="945" w:leader="none"/>
          <w:tab w:val="left" w:pos="115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（6）安全措施（7分）：</w:t>
      </w:r>
      <w:r>
        <w:rPr>
          <w:color w:val="000000" w:themeColor="text1"/>
          <w:highlight w:val="none"/>
        </w:rPr>
      </w:r>
    </w:p>
    <w:p>
      <w:pPr>
        <w:pStyle w:val="1042"/>
        <w:ind w:left="0" w:right="0" w:firstLine="480"/>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投标供应商</w:t>
      </w:r>
      <w:r>
        <w:rPr>
          <w:rFonts w:hint="eastAsia" w:ascii="宋体" w:hAnsi="宋体" w:cs="宋体"/>
          <w:bCs/>
          <w:color w:val="000000" w:themeColor="text1"/>
          <w:szCs w:val="24"/>
          <w:highlight w:val="none"/>
        </w:rPr>
        <w:t xml:space="preserve">提供水站仪器设备安全及运维人员安全的有效方案。方案详细完整，针对性强、可操作性强，思路合理得7分；方案较详细，针对性、可操作性较强，思路较合理得4分；方案简单，针对性、可操作性一般，思路可行性不高得2分；未提供措施的不得分。</w:t>
      </w:r>
      <w:r>
        <w:rPr>
          <w:color w:val="000000" w:themeColor="text1"/>
          <w:highlight w:val="none"/>
        </w:rPr>
      </w:r>
    </w:p>
    <w:p>
      <w:pPr>
        <w:pStyle w:val="1042"/>
        <w:ind w:left="0" w:right="0" w:firstLine="480"/>
        <w:spacing w:line="360" w:lineRule="auto"/>
        <w:rPr>
          <w:rFonts w:eastAsia="黑体"/>
          <w:bCs/>
          <w:color w:val="000000" w:themeColor="text1"/>
          <w:szCs w:val="24"/>
          <w:highlight w:val="none"/>
        </w:rPr>
      </w:pPr>
      <w:r>
        <w:rPr>
          <w:b/>
          <w:bCs/>
          <w:color w:val="000000" w:themeColor="text1"/>
          <w:szCs w:val="24"/>
          <w:highlight w:val="none"/>
        </w:rPr>
        <w:t xml:space="preserve">未列入本评分细则的其他条件不作为评分内容。</w:t>
      </w:r>
      <w:r>
        <w:rPr>
          <w:rFonts w:eastAsia="黑体"/>
          <w:bCs/>
          <w:color w:val="000000" w:themeColor="text1"/>
          <w:szCs w:val="24"/>
          <w:highlight w:val="none"/>
        </w:rPr>
        <w:br w:type="page" w:clear="all"/>
      </w:r>
      <w:r>
        <w:rPr>
          <w:color w:val="000000" w:themeColor="text1"/>
          <w:highlight w:val="none"/>
        </w:rPr>
      </w:r>
    </w:p>
    <w:p>
      <w:pPr>
        <w:jc w:val="left"/>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jc w:val="left"/>
        <w:rPr>
          <w:rFonts w:eastAsia="黑体"/>
          <w:bCs/>
          <w:color w:val="000000" w:themeColor="text1"/>
          <w:sz w:val="24"/>
          <w:szCs w:val="24"/>
          <w:highlight w:val="none"/>
        </w:rPr>
        <w:outlineLvl w:val="1"/>
      </w:pPr>
      <w:r>
        <w:rPr>
          <w:rFonts w:eastAsia="黑体"/>
          <w:bCs/>
          <w:color w:val="000000" w:themeColor="text1"/>
          <w:sz w:val="24"/>
          <w:szCs w:val="24"/>
          <w:highlight w:val="none"/>
        </w:rPr>
        <w:t xml:space="preserve">附件二：投标文件格式</w:t>
      </w:r>
      <w:r>
        <w:rPr>
          <w:color w:val="000000" w:themeColor="text1"/>
          <w:highlight w:val="none"/>
        </w:rPr>
      </w:r>
    </w:p>
    <w:p>
      <w:pPr>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p>
    <w:p>
      <w:pPr>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投</w:t>
      </w:r>
      <w:r>
        <w:rPr>
          <w:color w:val="000000" w:themeColor="text1"/>
          <w:highlight w:val="none"/>
        </w:rPr>
      </w:r>
    </w:p>
    <w:p>
      <w:pPr>
        <w:jc w:val="center"/>
        <w:rPr>
          <w:rFonts w:eastAsia="黑体"/>
          <w:bCs/>
          <w:color w:val="000000" w:themeColor="text1"/>
          <w:sz w:val="72"/>
          <w:highlight w:val="none"/>
        </w:rPr>
      </w:pPr>
      <w:r>
        <w:rPr>
          <w:rFonts w:eastAsia="黑体"/>
          <w:bCs/>
          <w:color w:val="000000" w:themeColor="text1"/>
          <w:sz w:val="72"/>
          <w:highlight w:val="none"/>
        </w:rPr>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标</w:t>
      </w:r>
      <w:r>
        <w:rPr>
          <w:color w:val="000000" w:themeColor="text1"/>
          <w:highlight w:val="none"/>
        </w:rPr>
      </w:r>
    </w:p>
    <w:p>
      <w:pPr>
        <w:jc w:val="center"/>
        <w:rPr>
          <w:rFonts w:eastAsia="黑体"/>
          <w:bCs/>
          <w:color w:val="000000" w:themeColor="text1"/>
          <w:sz w:val="72"/>
          <w:highlight w:val="none"/>
        </w:rPr>
      </w:pPr>
      <w:r>
        <w:rPr>
          <w:rFonts w:eastAsia="黑体"/>
          <w:bCs/>
          <w:color w:val="000000" w:themeColor="text1"/>
          <w:sz w:val="72"/>
          <w:highlight w:val="none"/>
        </w:rPr>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文</w:t>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r>
      <w:r>
        <w:rPr>
          <w:color w:val="000000" w:themeColor="text1"/>
          <w:highlight w:val="none"/>
        </w:rPr>
      </w:r>
    </w:p>
    <w:p>
      <w:pPr>
        <w:jc w:val="center"/>
        <w:rPr>
          <w:rFonts w:eastAsia="黑体"/>
          <w:bCs/>
          <w:color w:val="000000" w:themeColor="text1"/>
          <w:sz w:val="52"/>
          <w:szCs w:val="52"/>
          <w:highlight w:val="none"/>
        </w:rPr>
      </w:pPr>
      <w:r>
        <w:rPr>
          <w:rFonts w:eastAsia="黑体"/>
          <w:bCs/>
          <w:color w:val="000000" w:themeColor="text1"/>
          <w:sz w:val="52"/>
          <w:szCs w:val="52"/>
          <w:highlight w:val="none"/>
        </w:rPr>
        <w:t xml:space="preserve">件</w:t>
      </w:r>
      <w:r>
        <w:rPr>
          <w:color w:val="000000" w:themeColor="text1"/>
          <w:highlight w:val="none"/>
        </w:rPr>
      </w:r>
    </w:p>
    <w:p>
      <w:pPr>
        <w:rPr>
          <w:rFonts w:eastAsia="楷体_GB2312"/>
          <w:bCs/>
          <w:color w:val="000000" w:themeColor="text1"/>
          <w:sz w:val="72"/>
          <w:highlight w:val="none"/>
        </w:rPr>
      </w:pPr>
      <w:r>
        <w:rPr>
          <w:rFonts w:eastAsia="楷体_GB2312"/>
          <w:bCs/>
          <w:color w:val="000000" w:themeColor="text1"/>
          <w:sz w:val="72"/>
          <w:highlight w:val="none"/>
        </w:rPr>
      </w:r>
      <w:r>
        <w:rPr>
          <w:color w:val="000000" w:themeColor="text1"/>
          <w:highlight w:val="none"/>
        </w:rPr>
      </w:r>
    </w:p>
    <w:p>
      <w:pPr>
        <w:rPr>
          <w:rFonts w:eastAsia="楷体_GB2312"/>
          <w:bCs/>
          <w:color w:val="000000" w:themeColor="text1"/>
          <w:sz w:val="28"/>
          <w:highlight w:val="none"/>
        </w:rPr>
      </w:pPr>
      <w:r>
        <w:rPr>
          <w:rFonts w:eastAsia="楷体_GB2312"/>
          <w:bCs/>
          <w:color w:val="000000" w:themeColor="text1"/>
          <w:sz w:val="28"/>
          <w:highlight w:val="none"/>
        </w:rPr>
      </w:r>
      <w:r>
        <w:rPr>
          <w:color w:val="000000" w:themeColor="text1"/>
          <w:highlight w:val="none"/>
        </w:rPr>
      </w:r>
    </w:p>
    <w:p>
      <w:pPr>
        <w:rPr>
          <w:rFonts w:eastAsia="黑体"/>
          <w:bCs/>
          <w:color w:val="000000" w:themeColor="text1"/>
          <w:sz w:val="28"/>
          <w:szCs w:val="28"/>
          <w:highlight w:val="none"/>
        </w:rPr>
      </w:pPr>
      <w:r>
        <w:rPr>
          <w:rFonts w:eastAsia="黑体"/>
          <w:bCs/>
          <w:color w:val="000000" w:themeColor="text1"/>
          <w:sz w:val="28"/>
          <w:szCs w:val="28"/>
          <w:highlight w:val="none"/>
        </w:rPr>
        <w:t xml:space="preserve">采购项目编号：</w:t>
      </w:r>
      <w:r>
        <w:rPr>
          <w:rFonts w:hint="eastAsia" w:ascii="黑体" w:hAnsi="黑体" w:eastAsia="黑体" w:cs="黑体"/>
          <w:bCs/>
          <w:color w:val="000000" w:themeColor="text1"/>
          <w:sz w:val="28"/>
          <w:szCs w:val="28"/>
          <w:highlight w:val="none"/>
        </w:rPr>
        <w:t xml:space="preserve">JSZC-320211-JSZH-G2025-0105</w:t>
      </w:r>
      <w:r>
        <w:rPr>
          <w:color w:val="000000" w:themeColor="text1"/>
          <w:highlight w:val="none"/>
        </w:rPr>
      </w:r>
    </w:p>
    <w:p>
      <w:pP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p>
    <w:p>
      <w:pPr>
        <w:rPr>
          <w:rFonts w:eastAsia="黑体"/>
          <w:bCs/>
          <w:color w:val="000000" w:themeColor="text1"/>
          <w:sz w:val="28"/>
          <w:szCs w:val="28"/>
          <w:highlight w:val="none"/>
        </w:rPr>
      </w:pPr>
      <w:r>
        <w:rPr>
          <w:rFonts w:eastAsia="黑体"/>
          <w:bCs/>
          <w:color w:val="000000" w:themeColor="text1"/>
          <w:sz w:val="28"/>
          <w:szCs w:val="28"/>
          <w:highlight w:val="none"/>
        </w:rPr>
        <w:t xml:space="preserve">采购项目名称：</w:t>
      </w:r>
      <w:r>
        <w:rPr>
          <w:rFonts w:hint="eastAsia" w:eastAsia="黑体"/>
          <w:bCs/>
          <w:color w:val="000000" w:themeColor="text1"/>
          <w:sz w:val="28"/>
          <w:szCs w:val="28"/>
          <w:highlight w:val="none"/>
        </w:rPr>
        <w:t xml:space="preserve">滨湖区水质自动监测微型站第三方运维服务项目（2025-2027）</w:t>
      </w:r>
      <w:r>
        <w:rPr>
          <w:color w:val="000000" w:themeColor="text1"/>
          <w:highlight w:val="none"/>
        </w:rPr>
      </w:r>
    </w:p>
    <w:p>
      <w:pP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p>
    <w:p>
      <w:pPr>
        <w:rPr>
          <w:rFonts w:eastAsia="黑体"/>
          <w:bCs/>
          <w:color w:val="000000" w:themeColor="text1"/>
          <w:sz w:val="28"/>
          <w:szCs w:val="28"/>
          <w:highlight w:val="none"/>
        </w:rPr>
      </w:pPr>
      <w:r>
        <w:rPr>
          <w:rFonts w:hint="eastAsia" w:eastAsia="黑体"/>
          <w:bCs/>
          <w:color w:val="000000" w:themeColor="text1"/>
          <w:sz w:val="28"/>
          <w:szCs w:val="28"/>
          <w:highlight w:val="none"/>
        </w:rPr>
        <w:t xml:space="preserve">投标供应商</w:t>
      </w:r>
      <w:r>
        <w:rPr>
          <w:rFonts w:eastAsia="黑体"/>
          <w:bCs/>
          <w:color w:val="000000" w:themeColor="text1"/>
          <w:sz w:val="28"/>
          <w:szCs w:val="28"/>
          <w:highlight w:val="none"/>
        </w:rPr>
        <w:t xml:space="preserve">：</w:t>
      </w:r>
      <w:r>
        <w:rPr>
          <w:color w:val="000000" w:themeColor="text1"/>
          <w:highlight w:val="none"/>
        </w:rPr>
      </w:r>
    </w:p>
    <w:p>
      <w:pPr>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p>
    <w:p>
      <w:pPr>
        <w:jc w:val="center"/>
        <w:rPr>
          <w:rFonts w:eastAsia="黑体"/>
          <w:bCs/>
          <w:color w:val="000000" w:themeColor="text1"/>
          <w:sz w:val="36"/>
          <w:szCs w:val="36"/>
          <w:highlight w:val="none"/>
        </w:rPr>
      </w:pPr>
      <w:r>
        <w:rPr>
          <w:rFonts w:hint="eastAsia" w:eastAsia="黑体"/>
          <w:bCs/>
          <w:color w:val="000000" w:themeColor="text1"/>
          <w:sz w:val="36"/>
          <w:szCs w:val="36"/>
          <w:highlight w:val="none"/>
        </w:rPr>
        <w:t xml:space="preserve">二〇二五</w:t>
      </w:r>
      <w:r>
        <w:rPr>
          <w:rFonts w:eastAsia="黑体"/>
          <w:bCs/>
          <w:color w:val="000000" w:themeColor="text1"/>
          <w:sz w:val="36"/>
          <w:szCs w:val="36"/>
          <w:highlight w:val="none"/>
        </w:rPr>
        <w:t xml:space="preserve">年  月  日</w:t>
      </w:r>
      <w:r>
        <w:rPr>
          <w:color w:val="000000" w:themeColor="text1"/>
          <w:highlight w:val="none"/>
        </w:rPr>
      </w:r>
    </w:p>
    <w:p>
      <w:pPr>
        <w:jc w:val="center"/>
        <w:rPr>
          <w:rFonts w:eastAsia="黑体"/>
          <w:bCs/>
          <w:color w:val="000000" w:themeColor="text1"/>
          <w:sz w:val="36"/>
          <w:szCs w:val="36"/>
          <w:highlight w:val="none"/>
        </w:rPr>
      </w:pPr>
      <w:r>
        <w:rPr>
          <w:rFonts w:eastAsia="黑体"/>
          <w:bCs/>
          <w:color w:val="000000" w:themeColor="text1"/>
          <w:sz w:val="36"/>
          <w:szCs w:val="36"/>
          <w:highlight w:val="none"/>
        </w:rPr>
      </w:r>
      <w:r>
        <w:rPr>
          <w:color w:val="000000" w:themeColor="text1"/>
          <w:highlight w:val="none"/>
        </w:rPr>
      </w:r>
    </w:p>
    <w:p>
      <w:pPr>
        <w:ind w:firstLine="480"/>
        <w:rPr>
          <w:rFonts w:eastAsia="黑体"/>
          <w:bCs/>
          <w:color w:val="000000" w:themeColor="text1"/>
          <w:sz w:val="24"/>
          <w:szCs w:val="24"/>
          <w:highlight w:val="none"/>
        </w:rPr>
      </w:pPr>
      <w:r>
        <w:rPr>
          <w:color w:val="000000" w:themeColor="text1"/>
          <w:highlight w:val="none"/>
        </w:rPr>
      </w:r>
      <w:bookmarkStart w:id="9" w:name="一．报价函（格式）"/>
      <w:r>
        <w:rPr>
          <w:color w:val="000000" w:themeColor="text1"/>
          <w:highlight w:val="none"/>
        </w:rPr>
      </w:r>
      <w:bookmarkEnd w:id="9"/>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（一）投标函（格式）：</w:t>
      </w:r>
      <w:r>
        <w:rPr>
          <w:color w:val="000000" w:themeColor="text1"/>
          <w:highlight w:val="none"/>
        </w:rPr>
      </w:r>
    </w:p>
    <w:p>
      <w:pPr>
        <w:jc w:val="center"/>
        <w:spacing w:line="360" w:lineRule="auto"/>
        <w:rPr>
          <w:bCs/>
          <w:color w:val="000000" w:themeColor="text1"/>
          <w:sz w:val="24"/>
          <w:szCs w:val="24"/>
          <w:highlight w:val="none"/>
        </w:rPr>
      </w:pPr>
      <w:r>
        <w:rPr>
          <w:rFonts w:eastAsia="黑体"/>
          <w:bCs/>
          <w:color w:val="000000" w:themeColor="text1"/>
          <w:sz w:val="28"/>
          <w:szCs w:val="28"/>
          <w:highlight w:val="none"/>
        </w:rPr>
        <w:t xml:space="preserve">投标函</w:t>
      </w:r>
      <w:r>
        <w:rPr>
          <w:color w:val="000000" w:themeColor="text1"/>
          <w:highlight w:val="none"/>
        </w:rPr>
      </w:r>
    </w:p>
    <w:p>
      <w:pPr>
        <w:spacing w:line="360" w:lineRule="auto"/>
        <w:rPr>
          <w:bCs/>
          <w:color w:val="000000" w:themeColor="text1"/>
          <w:sz w:val="24"/>
          <w:szCs w:val="24"/>
          <w:highlight w:val="none"/>
        </w:rPr>
      </w:pPr>
      <w:r>
        <w:rPr>
          <w:bCs/>
          <w:color w:val="000000" w:themeColor="text1"/>
          <w:sz w:val="24"/>
          <w:szCs w:val="24"/>
          <w:highlight w:val="none"/>
        </w:rPr>
        <w:t xml:space="preserve">致江苏智汇锡建工程项目管理有限公司：</w:t>
      </w:r>
      <w:r>
        <w:rPr>
          <w:color w:val="000000" w:themeColor="text1"/>
          <w:highlight w:val="none"/>
        </w:rPr>
      </w:r>
    </w:p>
    <w:p>
      <w:pPr>
        <w:ind w:firstLine="480"/>
        <w:spacing w:line="360" w:lineRule="auto"/>
        <w:rPr>
          <w:rFonts w:ascii="宋体" w:hAnsi="宋体" w:cs="宋体"/>
          <w:bCs/>
          <w:color w:val="000000" w:themeColor="text1"/>
          <w:sz w:val="24"/>
          <w:szCs w:val="24"/>
          <w:highlight w:val="none"/>
        </w:rPr>
      </w:pPr>
      <w:r>
        <w:rPr>
          <w:bCs/>
          <w:color w:val="000000" w:themeColor="text1"/>
          <w:sz w:val="24"/>
          <w:szCs w:val="24"/>
          <w:highlight w:val="none"/>
        </w:rPr>
        <w:t xml:space="preserve">我方收到贵方编</w:t>
      </w:r>
      <w:r>
        <w:rPr>
          <w:rFonts w:hint="eastAsia" w:ascii="宋体" w:hAnsi="宋体" w:cs="宋体"/>
          <w:bCs/>
          <w:color w:val="000000" w:themeColor="text1"/>
          <w:sz w:val="24"/>
          <w:szCs w:val="24"/>
          <w:highlight w:val="none"/>
        </w:rPr>
        <w:t xml:space="preserve">号JSZC-320211-JSZH-G2025-0105招标文件，经仔细阅读和研究，我方决定参加此项目的投标。</w:t>
      </w:r>
      <w:r>
        <w:rPr>
          <w:color w:val="000000" w:themeColor="text1"/>
          <w:highlight w:val="none"/>
        </w:rP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bCs/>
          <w:color w:val="000000" w:themeColor="text1"/>
          <w:sz w:val="24"/>
          <w:szCs w:val="24"/>
          <w:highlight w:val="none"/>
        </w:rPr>
      </w:pPr>
      <w:r>
        <w:rPr>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01"/>
          <w:rFonts w:ascii="Times New Roman" w:hAnsi="Times New Roman" w:cs="Times New Roman"/>
          <w:bCs/>
          <w:color w:val="000000" w:themeColor="text1"/>
          <w:highlight w:val="none"/>
        </w:rPr>
      </w:pPr>
      <w:r>
        <w:rPr>
          <w:bCs/>
          <w:color w:val="000000" w:themeColor="text1"/>
          <w:sz w:val="24"/>
          <w:szCs w:val="24"/>
          <w:highlight w:val="none"/>
        </w:rPr>
        <w:t xml:space="preserve">我方愿意提供江苏智汇锡建工程项目管理有限公司在招标文件中要求的文件、资料。</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我方同意按招标文件中的规定，本投标文件投标的有效期限为开标之日起90天。</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我方认为贵中心有权决定中标者。</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我方愿意遵守《中华人民共和国政府采购法》，并</w:t>
      </w:r>
      <w:r>
        <w:rPr>
          <w:rFonts w:hint="eastAsia"/>
          <w:bCs/>
          <w:color w:val="000000" w:themeColor="text1"/>
          <w:sz w:val="24"/>
          <w:szCs w:val="24"/>
          <w:highlight w:val="none"/>
        </w:rPr>
        <w:t xml:space="preserve">按照</w:t>
      </w:r>
      <w:r>
        <w:rPr>
          <w:bCs/>
          <w:color w:val="000000" w:themeColor="text1"/>
          <w:sz w:val="24"/>
          <w:szCs w:val="24"/>
          <w:highlight w:val="none"/>
        </w:rPr>
        <w:t xml:space="preserve">《中华人民共和国民法典》、财政部《政府采购货物和服务招标投标管理办法》</w:t>
      </w:r>
      <w:r>
        <w:rPr>
          <w:color w:val="000000" w:themeColor="text1"/>
          <w:sz w:val="24"/>
          <w:szCs w:val="24"/>
          <w:highlight w:val="none"/>
        </w:rPr>
        <w:t xml:space="preserve">和</w:t>
      </w:r>
      <w:r>
        <w:rPr>
          <w:bCs/>
          <w:color w:val="000000" w:themeColor="text1"/>
          <w:sz w:val="24"/>
          <w:szCs w:val="24"/>
          <w:highlight w:val="none"/>
        </w:rPr>
        <w:t xml:space="preserve">合同条款履行自己的全部责任。</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我方认可并遵守招标文件的所有规定，放弃对招标文件</w:t>
      </w:r>
      <w:r>
        <w:rPr>
          <w:rFonts w:hint="eastAsia"/>
          <w:bCs/>
          <w:color w:val="000000" w:themeColor="text1"/>
          <w:sz w:val="24"/>
          <w:szCs w:val="24"/>
          <w:highlight w:val="none"/>
        </w:rPr>
        <w:t xml:space="preserve">提出疑问</w:t>
      </w:r>
      <w:r>
        <w:rPr>
          <w:bCs/>
          <w:color w:val="000000" w:themeColor="text1"/>
          <w:sz w:val="24"/>
          <w:szCs w:val="24"/>
          <w:highlight w:val="none"/>
        </w:rPr>
        <w:t xml:space="preserve">的权利。</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如果我方被确定为中标</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，我方愿意</w:t>
      </w:r>
      <w:r>
        <w:rPr>
          <w:color w:val="000000" w:themeColor="text1"/>
          <w:sz w:val="24"/>
          <w:szCs w:val="24"/>
          <w:highlight w:val="none"/>
        </w:rPr>
        <w:t xml:space="preserve">向</w:t>
      </w:r>
      <w:r>
        <w:rPr>
          <w:bCs/>
          <w:color w:val="000000" w:themeColor="text1"/>
          <w:sz w:val="24"/>
          <w:szCs w:val="24"/>
          <w:highlight w:val="none"/>
        </w:rPr>
        <w:t xml:space="preserve">采购人</w:t>
      </w:r>
      <w:r>
        <w:rPr>
          <w:rFonts w:hint="eastAsia"/>
          <w:bCs/>
          <w:color w:val="000000" w:themeColor="text1"/>
          <w:sz w:val="24"/>
          <w:szCs w:val="24"/>
          <w:highlight w:val="none"/>
        </w:rPr>
        <w:t xml:space="preserve">缴纳</w:t>
      </w:r>
      <w:r>
        <w:rPr>
          <w:bCs/>
          <w:color w:val="000000" w:themeColor="text1"/>
          <w:sz w:val="24"/>
          <w:szCs w:val="24"/>
          <w:highlight w:val="none"/>
        </w:rPr>
        <w:t xml:space="preserve">履约保证金。且我方如无不可抗力，又未履行招标文件、投标文件和合同条款的，一经查实，我方愿意赔偿由此而造成的一切损失，并同意接受按招标文件的相关要求对我方</w:t>
      </w:r>
      <w:r>
        <w:rPr>
          <w:rFonts w:hint="eastAsia"/>
          <w:bCs/>
          <w:color w:val="000000" w:themeColor="text1"/>
          <w:sz w:val="24"/>
          <w:szCs w:val="24"/>
          <w:highlight w:val="none"/>
          <w:lang w:eastAsia="zh-CN"/>
        </w:rPr>
        <w:t xml:space="preserve">进行</w:t>
      </w:r>
      <w:r>
        <w:rPr>
          <w:bCs/>
          <w:color w:val="000000" w:themeColor="text1"/>
          <w:sz w:val="24"/>
          <w:szCs w:val="24"/>
          <w:highlight w:val="none"/>
        </w:rPr>
        <w:t xml:space="preserve">处理。</w:t>
      </w:r>
      <w:r>
        <w:rPr>
          <w:color w:val="000000" w:themeColor="text1"/>
          <w:highlight w:val="none"/>
        </w:rP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000000" w:themeColor="text1"/>
          <w:sz w:val="24"/>
          <w:szCs w:val="24"/>
          <w:highlight w:val="none"/>
        </w:rPr>
      </w:pPr>
      <w:r>
        <w:rPr>
          <w:bCs/>
          <w:color w:val="000000" w:themeColor="text1"/>
          <w:sz w:val="24"/>
          <w:szCs w:val="24"/>
          <w:highlight w:val="none"/>
        </w:rPr>
        <w:t xml:space="preserve">我方决不提供虚假材料谋取中标、决不采取不正当手段诋毁、排挤其他</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、决不与采购人、</w:t>
      </w:r>
      <w:r>
        <w:rPr>
          <w:rFonts w:hint="eastAsia"/>
          <w:bCs/>
          <w:color w:val="000000" w:themeColor="text1"/>
          <w:sz w:val="24"/>
          <w:szCs w:val="24"/>
          <w:highlight w:val="none"/>
        </w:rPr>
        <w:t xml:space="preserve">其他投标供应商</w:t>
      </w:r>
      <w:r>
        <w:rPr>
          <w:bCs/>
          <w:color w:val="000000" w:themeColor="text1"/>
          <w:sz w:val="24"/>
          <w:szCs w:val="24"/>
          <w:highlight w:val="none"/>
        </w:rPr>
        <w:t xml:space="preserve">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color w:val="000000" w:themeColor="text1"/>
          <w:highlight w:val="none"/>
        </w:rPr>
      </w:r>
    </w:p>
    <w:p>
      <w:pPr>
        <w:ind w:firstLine="720"/>
        <w:spacing w:line="36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480"/>
        <w:spacing w:line="400" w:lineRule="exact"/>
        <w:rPr>
          <w:bCs/>
          <w:color w:val="000000" w:themeColor="text1"/>
          <w:sz w:val="24"/>
          <w:szCs w:val="24"/>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（盖章）：     </w:t>
      </w:r>
      <w:r>
        <w:rPr>
          <w:color w:val="000000" w:themeColor="text1"/>
          <w:highlight w:val="none"/>
        </w:rPr>
      </w:r>
    </w:p>
    <w:p>
      <w:pPr>
        <w:ind w:firstLine="480"/>
        <w:spacing w:line="400" w:lineRule="exact"/>
        <w:rPr>
          <w:bCs/>
          <w:color w:val="000000" w:themeColor="text1"/>
          <w:sz w:val="24"/>
          <w:szCs w:val="24"/>
          <w:highlight w:val="none"/>
        </w:rPr>
      </w:pPr>
      <w:r>
        <w:rPr>
          <w:bCs/>
          <w:color w:val="000000" w:themeColor="text1"/>
          <w:sz w:val="24"/>
          <w:szCs w:val="24"/>
          <w:highlight w:val="none"/>
        </w:rPr>
        <w:t xml:space="preserve">法定代表人或法定代表人授权代表签字或盖章：</w:t>
      </w:r>
      <w:r>
        <w:rPr>
          <w:color w:val="000000" w:themeColor="text1"/>
          <w:highlight w:val="none"/>
        </w:rPr>
      </w:r>
    </w:p>
    <w:p>
      <w:pPr>
        <w:ind w:firstLine="480"/>
        <w:spacing w:line="400" w:lineRule="exact"/>
        <w:rPr>
          <w:bCs/>
          <w:color w:val="000000" w:themeColor="text1"/>
          <w:sz w:val="24"/>
          <w:szCs w:val="24"/>
          <w:highlight w:val="none"/>
        </w:rPr>
      </w:pPr>
      <w:r>
        <w:rPr>
          <w:bCs/>
          <w:color w:val="000000" w:themeColor="text1"/>
          <w:sz w:val="24"/>
          <w:szCs w:val="24"/>
          <w:highlight w:val="none"/>
        </w:rPr>
        <w:t xml:space="preserve">电话：                              传真：</w:t>
      </w:r>
      <w:r>
        <w:rPr>
          <w:color w:val="000000" w:themeColor="text1"/>
          <w:highlight w:val="none"/>
        </w:rPr>
      </w:r>
    </w:p>
    <w:p>
      <w:pPr>
        <w:ind w:firstLine="480"/>
        <w:spacing w:line="400" w:lineRule="exact"/>
        <w:rPr>
          <w:bCs/>
          <w:color w:val="000000" w:themeColor="text1"/>
          <w:sz w:val="24"/>
          <w:szCs w:val="24"/>
          <w:highlight w:val="none"/>
        </w:rPr>
      </w:pPr>
      <w:r>
        <w:rPr>
          <w:bCs/>
          <w:color w:val="000000" w:themeColor="text1"/>
          <w:sz w:val="24"/>
          <w:szCs w:val="24"/>
          <w:highlight w:val="none"/>
        </w:rPr>
        <w:t xml:space="preserve">通讯地址：                          邮编：</w:t>
      </w:r>
      <w:r>
        <w:rPr>
          <w:color w:val="000000" w:themeColor="text1"/>
          <w:highlight w:val="none"/>
        </w:rPr>
      </w:r>
    </w:p>
    <w:p>
      <w:pPr>
        <w:ind w:firstLine="480"/>
        <w:spacing w:line="40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480"/>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（二）（</w:t>
      </w:r>
      <w:r>
        <w:rPr>
          <w:rFonts w:hint="eastAsia" w:eastAsia="黑体"/>
          <w:bCs/>
          <w:color w:val="000000" w:themeColor="text1"/>
          <w:sz w:val="24"/>
          <w:szCs w:val="24"/>
          <w:highlight w:val="none"/>
        </w:rPr>
        <w:t xml:space="preserve">投标供应商</w:t>
      </w:r>
      <w:r>
        <w:rPr>
          <w:rFonts w:eastAsia="黑体"/>
          <w:bCs/>
          <w:color w:val="000000" w:themeColor="text1"/>
          <w:sz w:val="24"/>
          <w:szCs w:val="24"/>
          <w:highlight w:val="none"/>
        </w:rPr>
        <w:t xml:space="preserve">）关于资格的声明函（格式）：</w:t>
      </w:r>
      <w:r>
        <w:rPr>
          <w:color w:val="000000" w:themeColor="text1"/>
          <w:highlight w:val="none"/>
        </w:rPr>
      </w:r>
    </w:p>
    <w:p>
      <w:pPr>
        <w:spacing w:line="360" w:lineRule="auto"/>
        <w:rPr>
          <w:rFonts w:eastAsia="黑体"/>
          <w:bCs/>
          <w:color w:val="000000" w:themeColor="text1"/>
          <w:sz w:val="36"/>
          <w:highlight w:val="none"/>
        </w:rPr>
      </w:pPr>
      <w:r>
        <w:rPr>
          <w:rFonts w:eastAsia="黑体"/>
          <w:bCs/>
          <w:color w:val="000000" w:themeColor="text1"/>
          <w:sz w:val="36"/>
          <w:highlight w:val="none"/>
        </w:rPr>
      </w:r>
      <w:r>
        <w:rPr>
          <w:color w:val="000000" w:themeColor="text1"/>
          <w:highlight w:val="none"/>
        </w:rPr>
      </w:r>
    </w:p>
    <w:p>
      <w:pPr>
        <w:jc w:val="center"/>
        <w:rPr>
          <w:rFonts w:eastAsia="黑体"/>
          <w:bCs/>
          <w:color w:val="000000" w:themeColor="text1"/>
          <w:sz w:val="28"/>
          <w:szCs w:val="28"/>
          <w:highlight w:val="none"/>
        </w:rPr>
      </w:pPr>
      <w:r>
        <w:rPr>
          <w:color w:val="000000" w:themeColor="text1"/>
          <w:highlight w:val="none"/>
        </w:rPr>
      </w:r>
      <w:bookmarkStart w:id="10" w:name="报价方关于资格的声明函（格式）"/>
      <w:r>
        <w:rPr>
          <w:color w:val="000000" w:themeColor="text1"/>
          <w:highlight w:val="none"/>
        </w:rPr>
      </w:r>
      <w:bookmarkEnd w:id="10"/>
      <w:r>
        <w:rPr>
          <w:rFonts w:eastAsia="黑体"/>
          <w:bCs/>
          <w:color w:val="000000" w:themeColor="text1"/>
          <w:sz w:val="28"/>
          <w:szCs w:val="28"/>
          <w:highlight w:val="none"/>
        </w:rPr>
        <w:t xml:space="preserve">关于资格的声明函</w:t>
      </w:r>
      <w:r>
        <w:rPr>
          <w:color w:val="000000" w:themeColor="text1"/>
          <w:highlight w:val="none"/>
        </w:rPr>
      </w:r>
    </w:p>
    <w:p>
      <w:pPr>
        <w:jc w:val="center"/>
        <w:spacing w:line="480" w:lineRule="auto"/>
        <w:rPr>
          <w:bCs/>
          <w:color w:val="000000" w:themeColor="text1"/>
          <w:sz w:val="24"/>
          <w:szCs w:val="24"/>
          <w:highlight w:val="none"/>
        </w:rPr>
      </w:pPr>
      <w:r>
        <w:rPr>
          <w:rFonts w:eastAsia="楷体_GB2312"/>
          <w:bCs/>
          <w:color w:val="000000" w:themeColor="text1"/>
          <w:sz w:val="30"/>
          <w:highlight w:val="none"/>
        </w:rPr>
        <w:t xml:space="preserve">   </w:t>
      </w:r>
      <w:r>
        <w:rPr>
          <w:bCs/>
          <w:color w:val="000000" w:themeColor="text1"/>
          <w:sz w:val="24"/>
          <w:szCs w:val="24"/>
          <w:highlight w:val="none"/>
        </w:rPr>
        <w:t xml:space="preserve"> 采购项目编号：</w:t>
      </w:r>
      <w:r>
        <w:rPr>
          <w:color w:val="000000" w:themeColor="text1"/>
          <w:highlight w:val="none"/>
        </w:rPr>
      </w:r>
    </w:p>
    <w:p>
      <w:pPr>
        <w:jc w:val="center"/>
        <w:spacing w:line="480" w:lineRule="auto"/>
        <w:tabs>
          <w:tab w:val="left" w:pos="6300" w:leader="none"/>
        </w:tabs>
        <w:rPr>
          <w:bCs/>
          <w:color w:val="000000" w:themeColor="text1"/>
          <w:sz w:val="24"/>
          <w:szCs w:val="24"/>
          <w:highlight w:val="none"/>
        </w:rPr>
      </w:pPr>
      <w:r>
        <w:rPr>
          <w:bCs/>
          <w:color w:val="000000" w:themeColor="text1"/>
          <w:sz w:val="24"/>
          <w:szCs w:val="24"/>
          <w:highlight w:val="none"/>
        </w:rPr>
        <w:t xml:space="preserve">            日期：</w:t>
      </w:r>
      <w:r>
        <w:rPr>
          <w:color w:val="000000" w:themeColor="text1"/>
          <w:highlight w:val="none"/>
        </w:rPr>
      </w:r>
    </w:p>
    <w:p>
      <w:pPr>
        <w:spacing w:line="480" w:lineRule="auto"/>
        <w:rPr>
          <w:rFonts w:ascii="宋体" w:hAnsi="宋体" w:cs="宋体"/>
          <w:bCs/>
          <w:color w:val="000000" w:themeColor="text1"/>
          <w:sz w:val="24"/>
          <w:szCs w:val="24"/>
          <w:highlight w:val="none"/>
        </w:rPr>
      </w:pPr>
      <w:r>
        <w:rPr>
          <w:bCs/>
          <w:color w:val="000000" w:themeColor="text1"/>
          <w:sz w:val="24"/>
          <w:szCs w:val="24"/>
          <w:highlight w:val="none"/>
        </w:rPr>
        <w:t xml:space="preserve">江苏智汇锡</w:t>
      </w:r>
      <w:r>
        <w:rPr>
          <w:rFonts w:hint="eastAsia" w:ascii="宋体" w:hAnsi="宋体" w:cs="宋体"/>
          <w:bCs/>
          <w:color w:val="000000" w:themeColor="text1"/>
          <w:sz w:val="24"/>
          <w:szCs w:val="24"/>
          <w:highlight w:val="none"/>
        </w:rPr>
        <w:t xml:space="preserve">建工程项目管理有限公司：</w:t>
      </w:r>
      <w:r>
        <w:rPr>
          <w:color w:val="000000" w:themeColor="text1"/>
          <w:highlight w:val="none"/>
        </w:rPr>
      </w:r>
    </w:p>
    <w:p>
      <w:pPr>
        <w:spacing w:line="480" w:lineRule="auto"/>
        <w:rPr>
          <w:bCs/>
          <w:color w:val="000000" w:themeColor="text1"/>
          <w:sz w:val="24"/>
          <w:szCs w:val="24"/>
          <w:highlight w:val="none"/>
        </w:rPr>
      </w:pPr>
      <w:r>
        <w:rPr>
          <w:rFonts w:hint="eastAsia" w:ascii="宋体" w:hAnsi="宋体" w:cs="宋体"/>
          <w:bCs/>
          <w:color w:val="000000" w:themeColor="text1"/>
          <w:sz w:val="24"/>
          <w:szCs w:val="24"/>
          <w:highlight w:val="none"/>
        </w:rPr>
        <w:t xml:space="preserve">    我公司（单位）参加本次项目（JSZC-320211-JSZH-G2025-0105）政府采购活动前三年内，在经营活动中没有重大违法记录，我公司（单位）愿针对本次项目（JSZC-320211-JSZH-G2025-0105）进行投标，投标</w:t>
      </w:r>
      <w:r>
        <w:rPr>
          <w:bCs/>
          <w:color w:val="000000" w:themeColor="text1"/>
          <w:sz w:val="24"/>
          <w:szCs w:val="24"/>
          <w:highlight w:val="none"/>
        </w:rPr>
        <w:t xml:space="preserve">文件中所有关于投标资格的文件、证明、陈述均是真实的、准确的。若有违背，我公司（单位）愿意承担由此而产生的一切后果。</w:t>
      </w:r>
      <w:r>
        <w:rPr>
          <w:color w:val="000000" w:themeColor="text1"/>
          <w:highlight w:val="none"/>
        </w:rP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spacing w:line="480" w:lineRule="auto"/>
        <w:rPr>
          <w:bCs/>
          <w:color w:val="000000" w:themeColor="text1"/>
          <w:sz w:val="24"/>
          <w:szCs w:val="24"/>
          <w:highlight w:val="none"/>
        </w:rPr>
      </w:pPr>
      <w:r>
        <w:rPr>
          <w:bCs/>
          <w:color w:val="000000" w:themeColor="text1"/>
          <w:sz w:val="24"/>
          <w:szCs w:val="24"/>
          <w:highlight w:val="none"/>
        </w:rPr>
        <w:t xml:space="preserve">                                       </w:t>
      </w:r>
      <w:r>
        <w:rPr>
          <w:rFonts w:hint="eastAsia"/>
          <w:bCs/>
          <w:color w:val="000000" w:themeColor="text1"/>
          <w:sz w:val="24"/>
          <w:szCs w:val="24"/>
          <w:highlight w:val="none"/>
        </w:rPr>
        <w:t xml:space="preserve">投标供应商</w:t>
      </w:r>
      <w:r>
        <w:rPr>
          <w:bCs/>
          <w:color w:val="000000" w:themeColor="text1"/>
          <w:sz w:val="24"/>
          <w:szCs w:val="24"/>
          <w:highlight w:val="none"/>
        </w:rPr>
        <w:t xml:space="preserve">（盖章）：</w:t>
      </w:r>
      <w:r>
        <w:rPr>
          <w:color w:val="000000" w:themeColor="text1"/>
          <w:highlight w:val="none"/>
        </w:rPr>
      </w:r>
    </w:p>
    <w:p>
      <w:pPr>
        <w:spacing w:line="480" w:lineRule="auto"/>
        <w:rPr>
          <w:bCs/>
          <w:color w:val="000000" w:themeColor="text1"/>
          <w:sz w:val="24"/>
          <w:szCs w:val="24"/>
          <w:highlight w:val="none"/>
        </w:rPr>
      </w:pPr>
      <w:r>
        <w:rPr>
          <w:bCs/>
          <w:color w:val="000000" w:themeColor="text1"/>
          <w:sz w:val="24"/>
          <w:szCs w:val="24"/>
          <w:highlight w:val="none"/>
        </w:rPr>
        <w:t xml:space="preserve">         法定代表人或法定代表人授权代表（签字或盖章）：</w:t>
      </w:r>
      <w:r>
        <w:rPr>
          <w:color w:val="000000" w:themeColor="text1"/>
          <w:highlight w:val="none"/>
        </w:rP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20"/>
        <w:rPr>
          <w:rFonts w:eastAsia="黑体"/>
          <w:bCs/>
          <w:color w:val="000000" w:themeColor="text1"/>
          <w:sz w:val="24"/>
          <w:szCs w:val="24"/>
          <w:highlight w:val="none"/>
        </w:rPr>
      </w:pPr>
      <w:r>
        <w:rPr>
          <w:color w:val="000000" w:themeColor="text1"/>
          <w:highlight w:val="none"/>
        </w:rPr>
        <w:t xml:space="preserve">备注：上述所称“重大违法记录”</w:t>
      </w:r>
      <w:r>
        <w:rPr>
          <w:rFonts w:hint="eastAsia"/>
          <w:color w:val="000000" w:themeColor="text1"/>
          <w:highlight w:val="none"/>
        </w:rPr>
        <w:t xml:space="preserve">，</w:t>
      </w:r>
      <w:r>
        <w:rPr>
          <w:color w:val="000000" w:themeColor="text1"/>
          <w:highlight w:val="none"/>
        </w:rPr>
        <w:t xml:space="preserve">是指</w:t>
      </w:r>
      <w:r>
        <w:rPr>
          <w:rFonts w:hint="eastAsia"/>
          <w:color w:val="000000" w:themeColor="text1"/>
          <w:highlight w:val="none"/>
        </w:rPr>
        <w:t xml:space="preserve">投标供应商</w:t>
      </w:r>
      <w:r>
        <w:rPr>
          <w:color w:val="000000" w:themeColor="text1"/>
          <w:highlight w:val="none"/>
        </w:rPr>
        <w:t xml:space="preserve">因违法经营受到刑事处罚或者责令停产停业、吊销许可证或者执照、较大数额罚款等行政处罚。</w:t>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（三）（</w:t>
      </w:r>
      <w:r>
        <w:rPr>
          <w:rFonts w:hint="eastAsia" w:eastAsia="黑体"/>
          <w:bCs/>
          <w:color w:val="000000" w:themeColor="text1"/>
          <w:sz w:val="24"/>
          <w:szCs w:val="24"/>
          <w:highlight w:val="none"/>
        </w:rPr>
        <w:t xml:space="preserve">投标供应商</w:t>
      </w:r>
      <w:r>
        <w:rPr>
          <w:rFonts w:eastAsia="黑体"/>
          <w:bCs/>
          <w:color w:val="000000" w:themeColor="text1"/>
          <w:sz w:val="24"/>
          <w:szCs w:val="24"/>
          <w:highlight w:val="none"/>
        </w:rPr>
        <w:t xml:space="preserve">）法定代表人授权委托书（格式）：</w:t>
      </w:r>
      <w:r>
        <w:rPr>
          <w:color w:val="000000" w:themeColor="text1"/>
          <w:highlight w:val="none"/>
        </w:rPr>
      </w:r>
    </w:p>
    <w:p>
      <w:pP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法定代表人授权委托书</w:t>
      </w:r>
      <w:r>
        <w:rPr>
          <w:color w:val="000000" w:themeColor="text1"/>
          <w:highlight w:val="none"/>
        </w:rPr>
      </w:r>
    </w:p>
    <w:p>
      <w:pPr>
        <w:jc w:val="center"/>
        <w:spacing w:line="360" w:lineRule="auto"/>
        <w:rPr>
          <w:rFonts w:eastAsia="楷体_GB2312"/>
          <w:bCs/>
          <w:color w:val="000000" w:themeColor="text1"/>
          <w:sz w:val="36"/>
          <w:highlight w:val="none"/>
        </w:rPr>
      </w:pPr>
      <w:r>
        <w:rPr>
          <w:rFonts w:eastAsia="楷体_GB2312"/>
          <w:bCs/>
          <w:color w:val="000000" w:themeColor="text1"/>
          <w:sz w:val="36"/>
          <w:highlight w:val="none"/>
        </w:rPr>
      </w:r>
      <w:r>
        <w:rPr>
          <w:color w:val="000000" w:themeColor="text1"/>
          <w:highlight w:val="none"/>
        </w:rPr>
      </w:r>
    </w:p>
    <w:p>
      <w:pPr>
        <w:spacing w:line="480" w:lineRule="auto"/>
        <w:rPr>
          <w:bCs/>
          <w:color w:val="000000" w:themeColor="text1"/>
          <w:sz w:val="24"/>
          <w:szCs w:val="24"/>
          <w:highlight w:val="none"/>
        </w:rPr>
      </w:pPr>
      <w:r>
        <w:rPr>
          <w:rFonts w:eastAsia="楷体_GB2312"/>
          <w:bCs/>
          <w:color w:val="000000" w:themeColor="text1"/>
          <w:sz w:val="30"/>
          <w:highlight w:val="none"/>
        </w:rPr>
        <w:t xml:space="preserve">                           </w:t>
      </w:r>
      <w:r>
        <w:rPr>
          <w:bCs/>
          <w:color w:val="000000" w:themeColor="text1"/>
          <w:sz w:val="24"/>
          <w:szCs w:val="24"/>
          <w:highlight w:val="none"/>
        </w:rPr>
        <w:t xml:space="preserve">采购项目编号：</w:t>
      </w:r>
      <w:r>
        <w:rPr>
          <w:color w:val="000000" w:themeColor="text1"/>
          <w:highlight w:val="none"/>
        </w:rPr>
      </w:r>
    </w:p>
    <w:p>
      <w:pPr>
        <w:spacing w:line="480" w:lineRule="auto"/>
        <w:rPr>
          <w:bCs/>
          <w:color w:val="000000" w:themeColor="text1"/>
          <w:sz w:val="24"/>
          <w:szCs w:val="24"/>
          <w:highlight w:val="none"/>
        </w:rPr>
      </w:pPr>
      <w:r>
        <w:rPr>
          <w:bCs/>
          <w:color w:val="000000" w:themeColor="text1"/>
          <w:sz w:val="24"/>
          <w:szCs w:val="24"/>
          <w:highlight w:val="none"/>
        </w:rPr>
        <w:t xml:space="preserve">                                   日期：</w:t>
      </w:r>
      <w:r>
        <w:rPr>
          <w:color w:val="000000" w:themeColor="text1"/>
          <w:highlight w:val="none"/>
        </w:rPr>
      </w:r>
    </w:p>
    <w:p>
      <w:pPr>
        <w:spacing w:line="600" w:lineRule="exact"/>
        <w:rPr>
          <w:bCs/>
          <w:color w:val="000000" w:themeColor="text1"/>
          <w:sz w:val="24"/>
          <w:szCs w:val="24"/>
          <w:highlight w:val="none"/>
        </w:rPr>
      </w:pPr>
      <w:r>
        <w:rPr>
          <w:bCs/>
          <w:color w:val="000000" w:themeColor="text1"/>
          <w:sz w:val="24"/>
          <w:szCs w:val="24"/>
          <w:highlight w:val="none"/>
        </w:rPr>
        <w:t xml:space="preserve">江苏智汇锡建工程项目管理有限公司：</w:t>
      </w:r>
      <w:r>
        <w:rPr>
          <w:color w:val="000000" w:themeColor="text1"/>
          <w:highlight w:val="none"/>
        </w:rPr>
      </w:r>
    </w:p>
    <w:p>
      <w:pPr>
        <w:ind w:firstLine="480"/>
        <w:spacing w:line="600" w:lineRule="exact"/>
        <w:rPr>
          <w:bCs/>
          <w:color w:val="000000" w:themeColor="text1"/>
          <w:sz w:val="24"/>
          <w:szCs w:val="24"/>
          <w:highlight w:val="none"/>
        </w:rPr>
      </w:pPr>
      <w:r>
        <w:rPr>
          <w:bCs/>
          <w:color w:val="000000" w:themeColor="text1"/>
          <w:sz w:val="24"/>
          <w:szCs w:val="24"/>
          <w:highlight w:val="none"/>
          <w:u w:val="single"/>
        </w:rPr>
        <w:t xml:space="preserve">                             </w:t>
      </w:r>
      <w:r>
        <w:rPr>
          <w:bCs/>
          <w:color w:val="000000" w:themeColor="text1"/>
          <w:sz w:val="24"/>
          <w:szCs w:val="24"/>
          <w:highlight w:val="none"/>
        </w:rPr>
        <w:t xml:space="preserve">系中华人民共和国合法公司（单位），特授权</w:t>
      </w:r>
      <w:r>
        <w:rPr>
          <w:bCs/>
          <w:color w:val="000000" w:themeColor="text1"/>
          <w:sz w:val="24"/>
          <w:szCs w:val="24"/>
          <w:highlight w:val="none"/>
          <w:u w:val="single"/>
        </w:rPr>
        <w:t xml:space="preserve">       </w:t>
      </w:r>
      <w:r>
        <w:rPr>
          <w:bCs/>
          <w:color w:val="000000" w:themeColor="text1"/>
          <w:sz w:val="24"/>
          <w:szCs w:val="24"/>
          <w:highlight w:val="none"/>
        </w:rPr>
        <w:t xml:space="preserve">代表我公司（单位）全权办理针对本项目</w:t>
      </w:r>
      <w:r>
        <w:rPr>
          <w:rFonts w:hint="eastAsia" w:ascii="宋体" w:hAnsi="宋体" w:cs="宋体"/>
          <w:bCs/>
          <w:color w:val="000000" w:themeColor="text1"/>
          <w:sz w:val="24"/>
          <w:szCs w:val="24"/>
          <w:highlight w:val="none"/>
        </w:rPr>
        <w:t xml:space="preserve">（JSZC-320211-JSZH-G2025-0105）</w:t>
      </w:r>
      <w:r>
        <w:rPr>
          <w:bCs/>
          <w:color w:val="000000" w:themeColor="text1"/>
          <w:sz w:val="24"/>
          <w:szCs w:val="24"/>
          <w:highlight w:val="none"/>
        </w:rPr>
        <w:t xml:space="preserve">的投标、参与开标、评标、签约等具体工作，并签署全部有关的文件、协议及合同。</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我公司（单位）对被授权代表的签名负全部责任。</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被授权代表情况：</w:t>
      </w:r>
      <w:r>
        <w:rPr>
          <w:color w:val="000000" w:themeColor="text1"/>
          <w:highlight w:val="none"/>
        </w:rPr>
      </w:r>
    </w:p>
    <w:p>
      <w:pPr>
        <w:ind w:firstLine="525"/>
        <w:spacing w:line="580" w:lineRule="exact"/>
        <w:rPr>
          <w:bCs/>
          <w:color w:val="000000" w:themeColor="text1"/>
          <w:sz w:val="24"/>
          <w:szCs w:val="24"/>
          <w:highlight w:val="none"/>
        </w:rPr>
      </w:pPr>
      <w:r>
        <w:rPr>
          <w:bCs/>
          <w:color w:val="000000" w:themeColor="text1"/>
          <w:sz w:val="24"/>
          <w:szCs w:val="24"/>
          <w:highlight w:val="none"/>
        </w:rPr>
        <w:t xml:space="preserve">姓名：         性别：       电话：</w:t>
      </w:r>
      <w:r>
        <w:rPr>
          <w:color w:val="000000" w:themeColor="text1"/>
          <w:highlight w:val="none"/>
        </w:rPr>
      </w:r>
    </w:p>
    <w:p>
      <w:pPr>
        <w:ind w:firstLine="324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324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3240"/>
        <w:spacing w:line="580" w:lineRule="exact"/>
        <w:rPr>
          <w:bCs/>
          <w:color w:val="000000" w:themeColor="text1"/>
          <w:sz w:val="24"/>
          <w:szCs w:val="24"/>
          <w:highlight w:val="none"/>
        </w:rPr>
      </w:pPr>
      <w:r>
        <w:rPr>
          <w:bCs/>
          <w:color w:val="000000" w:themeColor="text1"/>
          <w:sz w:val="24"/>
          <w:szCs w:val="24"/>
          <w:highlight w:val="none"/>
        </w:rPr>
        <w:t xml:space="preserve">               单位名称（盖章）：</w:t>
      </w:r>
      <w:r>
        <w:rPr>
          <w:color w:val="000000" w:themeColor="text1"/>
          <w:highlight w:val="none"/>
        </w:rPr>
      </w:r>
    </w:p>
    <w:p>
      <w:pPr>
        <w:ind w:firstLine="4080"/>
        <w:spacing w:line="580" w:lineRule="exact"/>
        <w:rPr>
          <w:bCs/>
          <w:color w:val="000000" w:themeColor="text1"/>
          <w:sz w:val="24"/>
          <w:szCs w:val="24"/>
          <w:highlight w:val="none"/>
        </w:rPr>
      </w:pPr>
      <w:r>
        <w:rPr>
          <w:bCs/>
          <w:color w:val="000000" w:themeColor="text1"/>
          <w:sz w:val="24"/>
          <w:szCs w:val="24"/>
          <w:highlight w:val="none"/>
        </w:rPr>
        <w:t xml:space="preserve">法定代表人（签字或盖章）：</w:t>
      </w:r>
      <w:r>
        <w:rPr>
          <w:color w:val="000000" w:themeColor="text1"/>
          <w:highlight w:val="none"/>
        </w:rPr>
      </w:r>
    </w:p>
    <w:p>
      <w:pPr>
        <w:ind w:firstLine="480"/>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（四）（</w:t>
      </w:r>
      <w:r>
        <w:rPr>
          <w:rFonts w:hint="eastAsia" w:eastAsia="黑体"/>
          <w:bCs/>
          <w:color w:val="000000" w:themeColor="text1"/>
          <w:sz w:val="24"/>
          <w:szCs w:val="24"/>
          <w:highlight w:val="none"/>
        </w:rPr>
        <w:t xml:space="preserve">投标供应商</w:t>
      </w:r>
      <w:r>
        <w:rPr>
          <w:rFonts w:eastAsia="黑体"/>
          <w:bCs/>
          <w:color w:val="000000" w:themeColor="text1"/>
          <w:sz w:val="24"/>
          <w:szCs w:val="24"/>
          <w:highlight w:val="none"/>
        </w:rPr>
        <w:t xml:space="preserve">）中小企业声明函（格式）：</w:t>
      </w:r>
      <w:r>
        <w:rPr>
          <w:color w:val="000000" w:themeColor="text1"/>
          <w:highlight w:val="none"/>
        </w:rP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中小企业声明函（服务）</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本公司（联合体）郑重声明，根据《政府采购促进中小企业发展管理办法》（财库﹝2020﹞46 号）的规定，本公司（联合体）参加</w:t>
      </w:r>
      <w:r>
        <w:rPr>
          <w:bCs/>
          <w:color w:val="000000" w:themeColor="text1"/>
          <w:sz w:val="24"/>
          <w:szCs w:val="24"/>
          <w:highlight w:val="none"/>
          <w:u w:val="single"/>
        </w:rPr>
        <w:t xml:space="preserve">（单位名称）</w:t>
      </w:r>
      <w:r>
        <w:rPr>
          <w:bCs/>
          <w:color w:val="000000" w:themeColor="text1"/>
          <w:sz w:val="24"/>
          <w:szCs w:val="24"/>
          <w:highlight w:val="none"/>
        </w:rPr>
        <w:t xml:space="preserve">的</w:t>
      </w:r>
      <w:r>
        <w:rPr>
          <w:bCs/>
          <w:color w:val="000000" w:themeColor="text1"/>
          <w:sz w:val="24"/>
          <w:szCs w:val="24"/>
          <w:highlight w:val="none"/>
          <w:u w:val="single"/>
        </w:rPr>
        <w:t xml:space="preserve">（项目名称）</w:t>
      </w:r>
      <w:r>
        <w:rPr>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1.</w:t>
      </w:r>
      <w:r>
        <w:rPr>
          <w:bCs/>
          <w:color w:val="000000" w:themeColor="text1"/>
          <w:sz w:val="24"/>
          <w:szCs w:val="24"/>
          <w:highlight w:val="none"/>
          <w:u w:val="single"/>
        </w:rPr>
        <w:t xml:space="preserve"> （标的名称） </w:t>
      </w:r>
      <w:r>
        <w:rPr>
          <w:bCs/>
          <w:color w:val="000000" w:themeColor="text1"/>
          <w:sz w:val="24"/>
          <w:szCs w:val="24"/>
          <w:highlight w:val="none"/>
        </w:rPr>
        <w:t xml:space="preserve">，属于</w:t>
      </w:r>
      <w:r>
        <w:rPr>
          <w:bCs/>
          <w:color w:val="000000" w:themeColor="text1"/>
          <w:sz w:val="24"/>
          <w:szCs w:val="24"/>
          <w:highlight w:val="none"/>
          <w:u w:val="single"/>
        </w:rPr>
        <w:t xml:space="preserve">（招标文件中明确的所属行业）</w:t>
      </w:r>
      <w:r>
        <w:rPr>
          <w:bCs/>
          <w:color w:val="000000" w:themeColor="text1"/>
          <w:sz w:val="24"/>
          <w:szCs w:val="24"/>
          <w:highlight w:val="none"/>
        </w:rPr>
        <w:t xml:space="preserve">； 承建（承接）企业为</w:t>
      </w:r>
      <w:r>
        <w:rPr>
          <w:bCs/>
          <w:color w:val="000000" w:themeColor="text1"/>
          <w:sz w:val="24"/>
          <w:szCs w:val="24"/>
          <w:highlight w:val="none"/>
          <w:u w:val="single"/>
        </w:rPr>
        <w:t xml:space="preserve">（企业名称）</w:t>
      </w:r>
      <w:r>
        <w:rPr>
          <w:bCs/>
          <w:color w:val="000000" w:themeColor="text1"/>
          <w:sz w:val="24"/>
          <w:szCs w:val="24"/>
          <w:highlight w:val="none"/>
        </w:rPr>
        <w:t xml:space="preserve">，从业人员</w:t>
      </w:r>
      <w:r>
        <w:rPr>
          <w:bCs/>
          <w:color w:val="000000" w:themeColor="text1"/>
          <w:sz w:val="24"/>
          <w:szCs w:val="24"/>
          <w:highlight w:val="none"/>
          <w:u w:val="single"/>
        </w:rPr>
        <w:t xml:space="preserve">    </w:t>
      </w:r>
      <w:r>
        <w:rPr>
          <w:bCs/>
          <w:color w:val="000000" w:themeColor="text1"/>
          <w:sz w:val="24"/>
          <w:szCs w:val="24"/>
          <w:highlight w:val="none"/>
        </w:rPr>
        <w:t xml:space="preserve">人，营业收入为</w:t>
      </w:r>
      <w:r>
        <w:rPr>
          <w:bCs/>
          <w:color w:val="000000" w:themeColor="text1"/>
          <w:sz w:val="24"/>
          <w:szCs w:val="24"/>
          <w:highlight w:val="none"/>
          <w:u w:val="single"/>
        </w:rPr>
        <w:t xml:space="preserve">     </w:t>
      </w:r>
      <w:r>
        <w:rPr>
          <w:bCs/>
          <w:color w:val="000000" w:themeColor="text1"/>
          <w:sz w:val="24"/>
          <w:szCs w:val="24"/>
          <w:highlight w:val="none"/>
        </w:rPr>
        <w:t xml:space="preserve">万元，资产总额为</w:t>
      </w:r>
      <w:r>
        <w:rPr>
          <w:bCs/>
          <w:color w:val="000000" w:themeColor="text1"/>
          <w:sz w:val="24"/>
          <w:szCs w:val="24"/>
          <w:highlight w:val="none"/>
          <w:u w:val="single"/>
        </w:rPr>
        <w:t xml:space="preserve">     </w:t>
      </w:r>
      <w:r>
        <w:rPr>
          <w:bCs/>
          <w:color w:val="000000" w:themeColor="text1"/>
          <w:sz w:val="24"/>
          <w:szCs w:val="24"/>
          <w:highlight w:val="none"/>
        </w:rPr>
        <w:t xml:space="preserve">万元，属于</w:t>
      </w:r>
      <w:r>
        <w:rPr>
          <w:bCs/>
          <w:color w:val="000000" w:themeColor="text1"/>
          <w:sz w:val="24"/>
          <w:szCs w:val="24"/>
          <w:highlight w:val="none"/>
          <w:u w:val="single"/>
        </w:rPr>
        <w:t xml:space="preserve">（中型企业、 小型企业、微型企业）</w:t>
      </w:r>
      <w:r>
        <w:rPr>
          <w:bCs/>
          <w:color w:val="000000" w:themeColor="text1"/>
          <w:sz w:val="24"/>
          <w:szCs w:val="24"/>
          <w:highlight w:val="none"/>
        </w:rPr>
        <w:t xml:space="preserve">；</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2.</w:t>
      </w:r>
      <w:r>
        <w:rPr>
          <w:bCs/>
          <w:color w:val="000000" w:themeColor="text1"/>
          <w:sz w:val="24"/>
          <w:szCs w:val="24"/>
          <w:highlight w:val="none"/>
          <w:u w:val="single"/>
        </w:rPr>
        <w:t xml:space="preserve"> （标的名称） </w:t>
      </w:r>
      <w:r>
        <w:rPr>
          <w:bCs/>
          <w:color w:val="000000" w:themeColor="text1"/>
          <w:sz w:val="24"/>
          <w:szCs w:val="24"/>
          <w:highlight w:val="none"/>
        </w:rPr>
        <w:t xml:space="preserve">，属于</w:t>
      </w:r>
      <w:r>
        <w:rPr>
          <w:bCs/>
          <w:color w:val="000000" w:themeColor="text1"/>
          <w:sz w:val="24"/>
          <w:szCs w:val="24"/>
          <w:highlight w:val="none"/>
          <w:u w:val="single"/>
        </w:rPr>
        <w:t xml:space="preserve">（招标文件中明确的所属行业）</w:t>
      </w:r>
      <w:r>
        <w:rPr>
          <w:bCs/>
          <w:color w:val="000000" w:themeColor="text1"/>
          <w:sz w:val="24"/>
          <w:szCs w:val="24"/>
          <w:highlight w:val="none"/>
        </w:rPr>
        <w:t xml:space="preserve">； 承建（承接）企业为</w:t>
      </w:r>
      <w:r>
        <w:rPr>
          <w:bCs/>
          <w:color w:val="000000" w:themeColor="text1"/>
          <w:sz w:val="24"/>
          <w:szCs w:val="24"/>
          <w:highlight w:val="none"/>
          <w:u w:val="single"/>
        </w:rPr>
        <w:t xml:space="preserve">（企业名称）</w:t>
      </w:r>
      <w:r>
        <w:rPr>
          <w:bCs/>
          <w:color w:val="000000" w:themeColor="text1"/>
          <w:sz w:val="24"/>
          <w:szCs w:val="24"/>
          <w:highlight w:val="none"/>
        </w:rPr>
        <w:t xml:space="preserve">，从业人员</w:t>
      </w:r>
      <w:r>
        <w:rPr>
          <w:bCs/>
          <w:color w:val="000000" w:themeColor="text1"/>
          <w:sz w:val="24"/>
          <w:szCs w:val="24"/>
          <w:highlight w:val="none"/>
          <w:u w:val="single"/>
        </w:rPr>
        <w:t xml:space="preserve">    </w:t>
      </w:r>
      <w:r>
        <w:rPr>
          <w:bCs/>
          <w:color w:val="000000" w:themeColor="text1"/>
          <w:sz w:val="24"/>
          <w:szCs w:val="24"/>
          <w:highlight w:val="none"/>
        </w:rPr>
        <w:t xml:space="preserve">人，营业收入为</w:t>
      </w:r>
      <w:r>
        <w:rPr>
          <w:bCs/>
          <w:color w:val="000000" w:themeColor="text1"/>
          <w:sz w:val="24"/>
          <w:szCs w:val="24"/>
          <w:highlight w:val="none"/>
          <w:u w:val="single"/>
        </w:rPr>
        <w:t xml:space="preserve">     </w:t>
      </w:r>
      <w:r>
        <w:rPr>
          <w:bCs/>
          <w:color w:val="000000" w:themeColor="text1"/>
          <w:sz w:val="24"/>
          <w:szCs w:val="24"/>
          <w:highlight w:val="none"/>
        </w:rPr>
        <w:t xml:space="preserve">万元，资产总额为</w:t>
      </w:r>
      <w:r>
        <w:rPr>
          <w:bCs/>
          <w:color w:val="000000" w:themeColor="text1"/>
          <w:sz w:val="24"/>
          <w:szCs w:val="24"/>
          <w:highlight w:val="none"/>
          <w:u w:val="single"/>
        </w:rPr>
        <w:t xml:space="preserve">     </w:t>
      </w:r>
      <w:r>
        <w:rPr>
          <w:bCs/>
          <w:color w:val="000000" w:themeColor="text1"/>
          <w:sz w:val="24"/>
          <w:szCs w:val="24"/>
          <w:highlight w:val="none"/>
        </w:rPr>
        <w:t xml:space="preserve">万元，属于</w:t>
      </w:r>
      <w:r>
        <w:rPr>
          <w:bCs/>
          <w:color w:val="000000" w:themeColor="text1"/>
          <w:sz w:val="24"/>
          <w:szCs w:val="24"/>
          <w:highlight w:val="none"/>
          <w:u w:val="single"/>
        </w:rPr>
        <w:t xml:space="preserve">（中型企业、 小型企业、微型企业）</w:t>
      </w:r>
      <w:r>
        <w:rPr>
          <w:bCs/>
          <w:color w:val="000000" w:themeColor="text1"/>
          <w:sz w:val="24"/>
          <w:szCs w:val="24"/>
          <w:highlight w:val="none"/>
        </w:rPr>
        <w:t xml:space="preserve">；</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p>
    <w:p>
      <w:pPr>
        <w:rPr>
          <w:rFonts w:eastAsia="黑体"/>
          <w:bCs/>
          <w:color w:val="000000" w:themeColor="text1"/>
          <w:sz w:val="24"/>
          <w:szCs w:val="24"/>
          <w:highlight w:val="none"/>
        </w:rPr>
      </w:pPr>
      <w:r>
        <w:rPr>
          <w:rFonts w:eastAsia="黑体"/>
          <w:bCs/>
          <w:color w:val="000000" w:themeColor="text1"/>
          <w:sz w:val="24"/>
          <w:szCs w:val="24"/>
          <w:highlight w:val="none"/>
        </w:rPr>
        <w:t xml:space="preserve"> </w:t>
      </w:r>
      <w:r>
        <w:rPr>
          <w:color w:val="000000" w:themeColor="text1"/>
          <w:highlight w:val="none"/>
        </w:rPr>
      </w:r>
    </w:p>
    <w:p>
      <w:pPr>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0"/>
        <w:spacing w:line="360" w:lineRule="auto"/>
        <w:rPr>
          <w:bCs/>
          <w:color w:val="000000" w:themeColor="text1"/>
          <w:sz w:val="24"/>
          <w:szCs w:val="24"/>
          <w:highlight w:val="none"/>
        </w:rPr>
      </w:pPr>
      <w:r>
        <w:rPr>
          <w:bCs/>
          <w:color w:val="000000" w:themeColor="text1"/>
          <w:sz w:val="24"/>
          <w:szCs w:val="24"/>
          <w:highlight w:val="none"/>
        </w:rPr>
        <w:t xml:space="preserve">企业名称（盖章）：</w:t>
      </w:r>
      <w:r>
        <w:rPr>
          <w:color w:val="000000" w:themeColor="text1"/>
          <w:highlight w:val="none"/>
        </w:rPr>
      </w:r>
    </w:p>
    <w:p>
      <w:pPr>
        <w:ind w:firstLine="4800"/>
        <w:spacing w:line="360" w:lineRule="auto"/>
        <w:rPr>
          <w:bCs/>
          <w:color w:val="000000" w:themeColor="text1"/>
          <w:sz w:val="24"/>
          <w:szCs w:val="24"/>
          <w:highlight w:val="none"/>
        </w:rPr>
      </w:pPr>
      <w:r>
        <w:rPr>
          <w:bCs/>
          <w:color w:val="000000" w:themeColor="text1"/>
          <w:sz w:val="24"/>
          <w:szCs w:val="24"/>
          <w:highlight w:val="none"/>
        </w:rPr>
        <w:t xml:space="preserve">日　　　　　　期：</w:t>
      </w:r>
      <w:r>
        <w:rPr>
          <w:color w:val="000000" w:themeColor="text1"/>
          <w:highlight w:val="none"/>
        </w:rPr>
      </w:r>
    </w:p>
    <w:p>
      <w:pPr>
        <w:spacing w:line="36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rPr>
          <w:color w:val="000000" w:themeColor="text1"/>
          <w:highlight w:val="none"/>
        </w:rPr>
      </w:pPr>
      <w:r>
        <w:rPr>
          <w:color w:val="000000" w:themeColor="text1"/>
          <w:highlight w:val="none"/>
        </w:rPr>
        <w:t xml:space="preserve">注：1.从业人员、营业收入、资产总额填报上一年度数据，无上一年度数据的新成立企业可不填报。</w:t>
      </w:r>
      <w:r>
        <w:rPr>
          <w:color w:val="000000" w:themeColor="text1"/>
          <w:highlight w:val="none"/>
        </w:rPr>
      </w:r>
    </w:p>
    <w:p>
      <w:pPr>
        <w:ind w:firstLine="420"/>
        <w:rPr>
          <w:color w:val="000000" w:themeColor="text1"/>
          <w:highlight w:val="none"/>
        </w:rPr>
      </w:pPr>
      <w:r>
        <w:rPr>
          <w:color w:val="000000" w:themeColor="text1"/>
          <w:highlight w:val="none"/>
        </w:rPr>
        <w:t xml:space="preserve">2.中标</w:t>
      </w:r>
      <w:r>
        <w:rPr>
          <w:rFonts w:hint="eastAsia"/>
          <w:color w:val="000000" w:themeColor="text1"/>
          <w:highlight w:val="none"/>
        </w:rPr>
        <w:t xml:space="preserve">投标供应商</w:t>
      </w:r>
      <w:r>
        <w:rPr>
          <w:color w:val="000000" w:themeColor="text1"/>
          <w:highlight w:val="none"/>
        </w:rPr>
        <w:t xml:space="preserve">的《中小企业声明函》将随中标公告进行公示。</w:t>
      </w:r>
      <w:r>
        <w:rPr>
          <w:rFonts w:hint="eastAsia"/>
          <w:color w:val="000000" w:themeColor="text1"/>
          <w:highlight w:val="none"/>
        </w:rPr>
        <w:t xml:space="preserve">投标供应商</w:t>
      </w:r>
      <w:r>
        <w:rPr>
          <w:color w:val="000000" w:themeColor="text1"/>
          <w:highlight w:val="none"/>
        </w:rPr>
        <w:t xml:space="preserve">按照本办法规定提供声明函内容不实的，属于提供虚假材料谋取中标、成交，依照《中华人民共和国政府采购法》等国家有关规定追究相应责任。</w:t>
      </w:r>
      <w:r>
        <w:rPr>
          <w:color w:val="000000" w:themeColor="text1"/>
          <w:highlight w:val="none"/>
        </w:rPr>
      </w:r>
    </w:p>
    <w:p>
      <w:pPr>
        <w:rPr>
          <w:rFonts w:eastAsia="黑体"/>
          <w:bCs/>
          <w:color w:val="000000" w:themeColor="text1"/>
          <w:sz w:val="24"/>
          <w:szCs w:val="24"/>
          <w:highlight w:val="none"/>
        </w:rPr>
      </w:pPr>
      <w:r>
        <w:rPr>
          <w:color w:val="000000" w:themeColor="text1"/>
          <w:highlight w:val="none"/>
        </w:rPr>
        <w:t xml:space="preserve">3.投标时本表附在《明细报价表》之后（如有）。</w:t>
      </w:r>
      <w:r>
        <w:rPr>
          <w:rFonts w:eastAsia="黑体"/>
          <w:bCs/>
          <w:color w:val="000000" w:themeColor="text1"/>
          <w:sz w:val="24"/>
          <w:szCs w:val="24"/>
          <w:highlight w:val="none"/>
        </w:rPr>
        <w:br w:type="page" w:clear="all"/>
      </w:r>
      <w:r>
        <w:rPr>
          <w:color w:val="000000" w:themeColor="text1"/>
          <w:highlight w:val="none"/>
        </w:rPr>
      </w:r>
    </w:p>
    <w:p>
      <w:pPr>
        <w:rPr>
          <w:rFonts w:eastAsia="黑体"/>
          <w:bCs/>
          <w:color w:val="000000" w:themeColor="text1"/>
          <w:sz w:val="24"/>
          <w:szCs w:val="24"/>
          <w:highlight w:val="none"/>
        </w:rPr>
      </w:pPr>
      <w:r>
        <w:rPr>
          <w:rFonts w:eastAsia="黑体"/>
          <w:bCs/>
          <w:color w:val="000000" w:themeColor="text1"/>
          <w:sz w:val="24"/>
          <w:szCs w:val="24"/>
          <w:highlight w:val="none"/>
        </w:rPr>
        <w:t xml:space="preserve">（五）（</w:t>
      </w:r>
      <w:r>
        <w:rPr>
          <w:rFonts w:hint="eastAsia" w:eastAsia="黑体"/>
          <w:bCs/>
          <w:color w:val="000000" w:themeColor="text1"/>
          <w:sz w:val="24"/>
          <w:szCs w:val="24"/>
          <w:highlight w:val="none"/>
        </w:rPr>
        <w:t xml:space="preserve">投标供应商</w:t>
      </w:r>
      <w:r>
        <w:rPr>
          <w:rFonts w:eastAsia="黑体"/>
          <w:bCs/>
          <w:color w:val="000000" w:themeColor="text1"/>
          <w:sz w:val="24"/>
          <w:szCs w:val="24"/>
          <w:highlight w:val="none"/>
        </w:rPr>
        <w:t xml:space="preserve">）残疾人福利性单位声明函（格式）：</w:t>
      </w:r>
      <w:r>
        <w:rPr>
          <w:color w:val="000000" w:themeColor="text1"/>
          <w:highlight w:val="none"/>
        </w:rP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残疾人福利性单位声明函</w:t>
      </w:r>
      <w:r>
        <w:rPr>
          <w:color w:val="000000" w:themeColor="text1"/>
          <w:highlight w:val="none"/>
        </w:rPr>
      </w:r>
    </w:p>
    <w:p>
      <w:pPr>
        <w:jc w:val="center"/>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本单位郑重声明，根据《财政部 民政部 中国残疾人联合会关于促进残疾人就业政府采购政策的通知》（财库</w:t>
      </w:r>
      <w:r>
        <w:rPr>
          <w:rFonts w:hint="eastAsia"/>
          <w:bCs/>
          <w:color w:val="000000" w:themeColor="text1"/>
          <w:sz w:val="24"/>
          <w:szCs w:val="24"/>
          <w:highlight w:val="none"/>
        </w:rPr>
        <w:t xml:space="preserve">〔2017〕141号</w:t>
      </w:r>
      <w:r>
        <w:rPr>
          <w:bCs/>
          <w:color w:val="000000" w:themeColor="text1"/>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本单位对上述声明的真实性负责。如有虚假，将依法承担相应责任。</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单位名称（盖章）：</w:t>
      </w:r>
      <w:r>
        <w:rPr>
          <w:color w:val="000000" w:themeColor="text1"/>
          <w:highlight w:val="none"/>
        </w:rPr>
      </w:r>
    </w:p>
    <w:p>
      <w:pPr>
        <w:ind w:firstLine="480"/>
        <w:spacing w:line="580" w:lineRule="exact"/>
        <w:rPr>
          <w:bCs/>
          <w:color w:val="000000" w:themeColor="text1"/>
          <w:sz w:val="24"/>
          <w:szCs w:val="24"/>
          <w:highlight w:val="none"/>
        </w:rPr>
      </w:pPr>
      <w:r>
        <w:rPr>
          <w:bCs/>
          <w:color w:val="000000" w:themeColor="text1"/>
          <w:sz w:val="24"/>
          <w:szCs w:val="24"/>
          <w:highlight w:val="none"/>
        </w:rPr>
        <w:t xml:space="preserve">日  期：</w:t>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（六）服务保障承诺书（格式）：</w:t>
      </w:r>
      <w:r>
        <w:rPr>
          <w:color w:val="000000" w:themeColor="text1"/>
          <w:highlight w:val="none"/>
        </w:rP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服务保障承诺书</w:t>
      </w:r>
      <w:r>
        <w:rPr>
          <w:color w:val="000000" w:themeColor="text1"/>
          <w:highlight w:val="none"/>
        </w:rPr>
      </w:r>
    </w:p>
    <w:p>
      <w:pPr>
        <w:jc w:val="center"/>
        <w:rPr>
          <w:rFonts w:ascii="宋体" w:hAnsi="宋体" w:cs="宋体"/>
          <w:bCs/>
          <w:color w:val="000000" w:themeColor="text1"/>
          <w:sz w:val="28"/>
          <w:szCs w:val="28"/>
          <w:highlight w:val="none"/>
        </w:rPr>
      </w:pPr>
      <w:r>
        <w:rPr>
          <w:rFonts w:ascii="宋体" w:hAnsi="宋体" w:cs="宋体"/>
          <w:bCs/>
          <w:color w:val="000000" w:themeColor="text1"/>
          <w:sz w:val="28"/>
          <w:szCs w:val="28"/>
          <w:highlight w:val="none"/>
        </w:rPr>
      </w:r>
      <w:r>
        <w:rPr>
          <w:color w:val="000000" w:themeColor="text1"/>
          <w:highlight w:val="none"/>
        </w:rPr>
      </w:r>
    </w:p>
    <w:p>
      <w:pPr>
        <w:spacing w:line="48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（投标供应商名称）针</w:t>
      </w:r>
      <w:r>
        <w:rPr>
          <w:rFonts w:hint="eastAsia" w:ascii="宋体" w:hAnsi="宋体" w:cs="宋体"/>
          <w:bCs/>
          <w:color w:val="000000" w:themeColor="text1"/>
          <w:sz w:val="24"/>
          <w:szCs w:val="24"/>
          <w:highlight w:val="none"/>
        </w:rPr>
        <w:t xml:space="preserve">对本项目（JSZC-320211-JSZH-G2025-0105）</w:t>
      </w:r>
      <w:r>
        <w:rPr>
          <w:rFonts w:hint="eastAsia" w:ascii="宋体" w:hAnsi="宋体" w:cs="宋体"/>
          <w:color w:val="000000" w:themeColor="text1"/>
          <w:sz w:val="24"/>
          <w:szCs w:val="24"/>
          <w:highlight w:val="none"/>
        </w:rPr>
        <w:t xml:space="preserve">在此承诺：</w:t>
      </w:r>
      <w:r>
        <w:rPr>
          <w:color w:val="000000" w:themeColor="text1"/>
          <w:highlight w:val="none"/>
        </w:rPr>
      </w:r>
    </w:p>
    <w:p>
      <w:pPr>
        <w:spacing w:line="48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cs="宋体"/>
          <w:bCs/>
          <w:color w:val="000000" w:themeColor="text1"/>
          <w:sz w:val="24"/>
          <w:szCs w:val="24"/>
          <w:highlight w:val="none"/>
        </w:rPr>
        <w:t xml:space="preserve">对本项目（JSZC-320211-JSZH-G2025-0105）所提供的服务符合招标文件要求；</w:t>
      </w:r>
      <w:r>
        <w:rPr>
          <w:color w:val="000000" w:themeColor="text1"/>
          <w:highlight w:val="none"/>
        </w:rPr>
      </w:r>
    </w:p>
    <w:p>
      <w:pPr>
        <w:ind w:firstLine="465"/>
        <w:spacing w:line="360" w:lineRule="auto"/>
        <w:tabs>
          <w:tab w:val="left" w:pos="94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cs="宋体"/>
          <w:bCs/>
          <w:color w:val="000000" w:themeColor="text1"/>
          <w:sz w:val="24"/>
          <w:szCs w:val="24"/>
          <w:highlight w:val="none"/>
        </w:rPr>
        <w:t xml:space="preserve">具备履行合同所必需的人员、设备和专业技术能力；</w:t>
      </w:r>
      <w:r>
        <w:rPr>
          <w:color w:val="000000" w:themeColor="text1"/>
          <w:highlight w:val="none"/>
        </w:rPr>
      </w:r>
    </w:p>
    <w:p>
      <w:pPr>
        <w:ind w:firstLine="480"/>
        <w:spacing w:line="360" w:lineRule="auto"/>
        <w:rPr>
          <w:color w:val="000000" w:themeColor="text1"/>
          <w:sz w:val="24"/>
          <w:szCs w:val="24"/>
          <w:highlight w:val="none"/>
        </w:rPr>
      </w:pPr>
      <w:r>
        <w:rPr>
          <w:rFonts w:hint="eastAsia" w:ascii="宋体" w:hAnsi="宋体" w:cs="宋体"/>
          <w:color w:val="000000" w:themeColor="text1"/>
          <w:sz w:val="24"/>
          <w:szCs w:val="24"/>
          <w:highlight w:val="none"/>
        </w:rPr>
        <w:t xml:space="preserve">3.本公司未被“</w:t>
      </w:r>
      <w:r>
        <w:rPr>
          <w:rFonts w:hint="eastAsia" w:ascii="宋体" w:hAnsi="宋体" w:cs="宋体"/>
          <w:bCs/>
          <w:color w:val="000000" w:themeColor="text1"/>
          <w:sz w:val="24"/>
          <w:szCs w:val="24"/>
          <w:highlight w:val="none"/>
        </w:rPr>
        <w:t xml:space="preserve">信用中国</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Style w:val="1102"/>
          <w:rFonts w:hint="eastAsia" w:ascii="宋体" w:hAnsi="宋体" w:cs="宋体"/>
          <w:bCs/>
          <w:color w:val="000000" w:themeColor="text1"/>
          <w:sz w:val="24"/>
          <w:szCs w:val="24"/>
          <w:highlight w:val="none"/>
        </w:rPr>
        <w:t xml:space="preserve">www.creditchina.gov.cn</w:t>
      </w:r>
      <w:r>
        <w:rPr>
          <w:rStyle w:val="1102"/>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中国政府采购网（www.ccgp.gov.cn）列入失信被执行人、重大</w:t>
      </w:r>
      <w:r>
        <w:rPr>
          <w:color w:val="000000" w:themeColor="text1"/>
          <w:sz w:val="24"/>
          <w:szCs w:val="24"/>
          <w:highlight w:val="none"/>
        </w:rPr>
        <w:t xml:space="preserve">税收违法案件当事人名单、政府采购严重违法失信行为记录名单</w:t>
      </w:r>
      <w:r>
        <w:rPr>
          <w:bCs/>
          <w:color w:val="000000" w:themeColor="text1"/>
          <w:sz w:val="24"/>
          <w:szCs w:val="24"/>
          <w:highlight w:val="none"/>
        </w:rPr>
        <w:t xml:space="preserve">；</w:t>
      </w:r>
      <w:r>
        <w:rPr>
          <w:color w:val="000000" w:themeColor="text1"/>
          <w:highlight w:val="none"/>
        </w:rPr>
      </w:r>
    </w:p>
    <w:p>
      <w:pPr>
        <w:ind w:firstLine="480"/>
        <w:spacing w:line="360" w:lineRule="auto"/>
        <w:rPr>
          <w:color w:val="000000" w:themeColor="text1"/>
          <w:sz w:val="24"/>
          <w:szCs w:val="24"/>
          <w:highlight w:val="none"/>
        </w:rPr>
      </w:pPr>
      <w:r>
        <w:rPr>
          <w:color w:val="000000" w:themeColor="text1"/>
          <w:sz w:val="24"/>
          <w:szCs w:val="24"/>
          <w:highlight w:val="none"/>
        </w:rPr>
        <w:t xml:space="preserve">4、</w:t>
      </w:r>
      <w:r>
        <w:rPr>
          <w:color w:val="000000" w:themeColor="text1"/>
          <w:highlight w:val="none"/>
        </w:rPr>
      </w:r>
    </w:p>
    <w:p>
      <w:pPr>
        <w:ind w:firstLine="480"/>
        <w:spacing w:line="360" w:lineRule="auto"/>
        <w:rPr>
          <w:color w:val="000000" w:themeColor="text1"/>
          <w:sz w:val="24"/>
          <w:szCs w:val="24"/>
          <w:highlight w:val="none"/>
        </w:rPr>
      </w:pPr>
      <w:r>
        <w:rPr>
          <w:color w:val="000000" w:themeColor="text1"/>
          <w:sz w:val="24"/>
          <w:szCs w:val="24"/>
          <w:highlight w:val="none"/>
        </w:rPr>
        <w:t xml:space="preserve">5、</w:t>
      </w:r>
      <w:r>
        <w:rPr>
          <w:color w:val="000000" w:themeColor="text1"/>
          <w:highlight w:val="none"/>
        </w:rPr>
      </w:r>
    </w:p>
    <w:p>
      <w:pPr>
        <w:ind w:firstLine="480"/>
        <w:spacing w:line="360" w:lineRule="auto"/>
        <w:rPr>
          <w:color w:val="000000" w:themeColor="text1"/>
          <w:sz w:val="24"/>
          <w:szCs w:val="24"/>
          <w:highlight w:val="none"/>
        </w:rPr>
      </w:pPr>
      <w:r>
        <w:rPr>
          <w:color w:val="000000" w:themeColor="text1"/>
          <w:sz w:val="24"/>
          <w:szCs w:val="24"/>
          <w:highlight w:val="none"/>
        </w:rPr>
        <w:t xml:space="preserve">6、</w:t>
      </w:r>
      <w:r>
        <w:rPr>
          <w:color w:val="000000" w:themeColor="text1"/>
          <w:highlight w:val="none"/>
        </w:rPr>
      </w:r>
    </w:p>
    <w:p>
      <w:pPr>
        <w:ind w:firstLine="480"/>
        <w:spacing w:line="360" w:lineRule="auto"/>
        <w:rPr>
          <w:color w:val="000000" w:themeColor="text1"/>
          <w:sz w:val="24"/>
          <w:szCs w:val="24"/>
          <w:highlight w:val="none"/>
        </w:rPr>
      </w:pPr>
      <w:r>
        <w:rPr>
          <w:color w:val="000000" w:themeColor="text1"/>
          <w:sz w:val="24"/>
          <w:szCs w:val="24"/>
          <w:highlight w:val="none"/>
        </w:rPr>
        <w:t xml:space="preserve">7、</w:t>
      </w:r>
      <w:r>
        <w:rPr>
          <w:color w:val="000000" w:themeColor="text1"/>
          <w:highlight w:val="none"/>
        </w:rPr>
      </w:r>
    </w:p>
    <w:p>
      <w:pPr>
        <w:ind w:firstLine="465"/>
        <w:spacing w:line="360" w:lineRule="auto"/>
        <w:tabs>
          <w:tab w:val="left" w:pos="945" w:leader="none"/>
        </w:tabs>
        <w:rPr>
          <w:color w:val="000000" w:themeColor="text1"/>
          <w:sz w:val="24"/>
          <w:szCs w:val="24"/>
          <w:highlight w:val="none"/>
        </w:rPr>
      </w:pPr>
      <w:r>
        <w:rPr>
          <w:color w:val="000000" w:themeColor="text1"/>
          <w:sz w:val="24"/>
          <w:szCs w:val="24"/>
          <w:highlight w:val="none"/>
        </w:rPr>
        <w:t xml:space="preserve">8、</w:t>
      </w:r>
      <w:r>
        <w:rPr>
          <w:color w:val="000000" w:themeColor="text1"/>
          <w:highlight w:val="none"/>
        </w:rPr>
      </w:r>
    </w:p>
    <w:p>
      <w:pPr>
        <w:ind w:firstLine="960"/>
        <w:spacing w:line="480" w:lineRule="auto"/>
        <w:rPr>
          <w:bCs/>
          <w:color w:val="000000" w:themeColor="text1"/>
          <w:sz w:val="24"/>
          <w:szCs w:val="24"/>
          <w:highlight w:val="none"/>
        </w:rPr>
      </w:pPr>
      <w:r>
        <w:rPr>
          <w:bCs/>
          <w:color w:val="000000" w:themeColor="text1"/>
          <w:sz w:val="24"/>
          <w:szCs w:val="24"/>
          <w:highlight w:val="none"/>
        </w:rPr>
        <w:t xml:space="preserve">…………………</w:t>
      </w:r>
      <w:r>
        <w:rPr>
          <w:color w:val="000000" w:themeColor="text1"/>
          <w:highlight w:val="none"/>
        </w:rPr>
      </w:r>
    </w:p>
    <w:p>
      <w:pPr>
        <w:ind w:firstLine="960"/>
        <w:spacing w:line="480" w:lineRule="auto"/>
        <w:rPr>
          <w:bCs/>
          <w:color w:val="000000" w:themeColor="text1"/>
          <w:sz w:val="24"/>
          <w:szCs w:val="24"/>
          <w:highlight w:val="none"/>
        </w:rPr>
      </w:pPr>
      <w:r>
        <w:rPr>
          <w:bCs/>
          <w:color w:val="000000" w:themeColor="text1"/>
          <w:sz w:val="24"/>
          <w:szCs w:val="24"/>
          <w:highlight w:val="none"/>
        </w:rPr>
        <w:t xml:space="preserve">如违背上述承诺，本公司</w:t>
      </w:r>
      <w:r>
        <w:rPr>
          <w:color w:val="000000" w:themeColor="text1"/>
          <w:sz w:val="24"/>
          <w:szCs w:val="24"/>
          <w:highlight w:val="none"/>
        </w:rPr>
        <w:t xml:space="preserve">（单位）</w:t>
      </w:r>
      <w:r>
        <w:rPr>
          <w:bCs/>
          <w:color w:val="000000" w:themeColor="text1"/>
          <w:sz w:val="24"/>
          <w:szCs w:val="24"/>
          <w:highlight w:val="none"/>
        </w:rPr>
        <w:t xml:space="preserve">将承担一切法律责任。</w:t>
      </w:r>
      <w:r>
        <w:rPr>
          <w:color w:val="000000" w:themeColor="text1"/>
          <w:highlight w:val="none"/>
        </w:rPr>
      </w:r>
    </w:p>
    <w:p>
      <w:pPr>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3720"/>
        <w:spacing w:line="480" w:lineRule="auto"/>
        <w:rPr>
          <w:bCs/>
          <w:color w:val="000000" w:themeColor="text1"/>
          <w:sz w:val="24"/>
          <w:szCs w:val="24"/>
          <w:highlight w:val="none"/>
        </w:rPr>
      </w:pPr>
      <w:r>
        <w:rPr>
          <w:rFonts w:hint="eastAsia"/>
          <w:color w:val="000000" w:themeColor="text1"/>
          <w:sz w:val="24"/>
          <w:szCs w:val="24"/>
          <w:highlight w:val="none"/>
        </w:rPr>
        <w:t xml:space="preserve">投标供应商</w:t>
      </w:r>
      <w:r>
        <w:rPr>
          <w:bCs/>
          <w:color w:val="000000" w:themeColor="text1"/>
          <w:sz w:val="24"/>
          <w:szCs w:val="24"/>
          <w:highlight w:val="none"/>
        </w:rPr>
        <w:t xml:space="preserve">（盖章）：</w:t>
      </w:r>
      <w:r>
        <w:rPr>
          <w:color w:val="000000" w:themeColor="text1"/>
          <w:highlight w:val="none"/>
        </w:rPr>
      </w:r>
    </w:p>
    <w:p>
      <w:pPr>
        <w:ind w:firstLine="480"/>
        <w:spacing w:line="480" w:lineRule="auto"/>
        <w:rPr>
          <w:bCs/>
          <w:color w:val="000000" w:themeColor="text1"/>
          <w:sz w:val="24"/>
          <w:szCs w:val="24"/>
          <w:highlight w:val="none"/>
        </w:rPr>
      </w:pPr>
      <w:r>
        <w:rPr>
          <w:bCs/>
          <w:color w:val="000000" w:themeColor="text1"/>
          <w:sz w:val="24"/>
          <w:szCs w:val="24"/>
          <w:highlight w:val="none"/>
        </w:rPr>
        <w:t xml:space="preserve">法定代表人或法定代表人授权代表签字或盖章：</w:t>
      </w:r>
      <w:r>
        <w:rPr>
          <w:color w:val="000000" w:themeColor="text1"/>
          <w:highlight w:val="none"/>
        </w:rPr>
      </w:r>
    </w:p>
    <w:p>
      <w:pPr>
        <w:ind w:firstLine="480"/>
        <w:spacing w:line="48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420"/>
        <w:spacing w:line="480" w:lineRule="auto"/>
        <w:rPr>
          <w:bCs/>
          <w:color w:val="000000" w:themeColor="text1"/>
          <w:sz w:val="24"/>
          <w:szCs w:val="24"/>
          <w:highlight w:val="none"/>
        </w:rPr>
      </w:pPr>
      <w:r>
        <w:rPr>
          <w:bCs/>
          <w:color w:val="000000" w:themeColor="text1"/>
          <w:szCs w:val="21"/>
          <w:highlight w:val="none"/>
        </w:rPr>
        <w:t xml:space="preserve">注：以上内容由投标单位根据采购</w:t>
      </w:r>
      <w:r>
        <w:rPr>
          <w:rFonts w:hint="eastAsia"/>
          <w:bCs/>
          <w:color w:val="000000" w:themeColor="text1"/>
          <w:szCs w:val="21"/>
          <w:highlight w:val="none"/>
        </w:rPr>
        <w:t xml:space="preserve">要求</w:t>
      </w:r>
      <w:r>
        <w:rPr>
          <w:bCs/>
          <w:color w:val="000000" w:themeColor="text1"/>
          <w:szCs w:val="21"/>
          <w:highlight w:val="none"/>
        </w:rPr>
        <w:t xml:space="preserve">自行完善。</w:t>
      </w:r>
      <w:r>
        <w:rPr>
          <w:color w:val="000000" w:themeColor="text1"/>
          <w:highlight w:val="none"/>
        </w:rPr>
      </w:r>
    </w:p>
    <w:p>
      <w:pPr>
        <w:ind w:firstLine="48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jc w:val="left"/>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（七）开标一览表（格式）：</w:t>
      </w:r>
      <w:r>
        <w:rPr>
          <w:color w:val="000000" w:themeColor="text1"/>
          <w:highlight w:val="none"/>
        </w:rPr>
      </w:r>
    </w:p>
    <w:p>
      <w:pPr>
        <w:jc w:val="center"/>
        <w:rPr>
          <w:rFonts w:eastAsia="黑体"/>
          <w:bCs/>
          <w:color w:val="000000" w:themeColor="text1"/>
          <w:sz w:val="28"/>
          <w:szCs w:val="28"/>
          <w:highlight w:val="none"/>
        </w:rPr>
      </w:pPr>
      <w:r>
        <w:rPr>
          <w:rFonts w:eastAsia="黑体"/>
          <w:bCs/>
          <w:color w:val="000000" w:themeColor="text1"/>
          <w:sz w:val="28"/>
          <w:szCs w:val="28"/>
          <w:highlight w:val="none"/>
        </w:rPr>
        <w:t xml:space="preserve">开标一览表 </w:t>
      </w:r>
      <w:r>
        <w:rPr>
          <w:color w:val="000000" w:themeColor="text1"/>
          <w:highlight w:val="none"/>
        </w:rPr>
      </w:r>
    </w:p>
    <w:p>
      <w:pPr>
        <w:spacing w:line="360" w:lineRule="auto"/>
        <w:rPr>
          <w:rFonts w:eastAsia="黑体"/>
          <w:bCs/>
          <w:color w:val="000000" w:themeColor="text1"/>
          <w:sz w:val="24"/>
          <w:szCs w:val="24"/>
          <w:highlight w:val="none"/>
        </w:rPr>
      </w:pPr>
      <w:r>
        <w:rPr>
          <w:rFonts w:hint="eastAsia" w:eastAsia="黑体"/>
          <w:bCs/>
          <w:color w:val="000000" w:themeColor="text1"/>
          <w:sz w:val="24"/>
          <w:szCs w:val="24"/>
          <w:highlight w:val="none"/>
        </w:rPr>
        <w:t xml:space="preserve">投标供应商</w:t>
      </w:r>
      <w:r>
        <w:rPr>
          <w:rFonts w:eastAsia="黑体"/>
          <w:bCs/>
          <w:color w:val="000000" w:themeColor="text1"/>
          <w:sz w:val="24"/>
          <w:szCs w:val="24"/>
          <w:highlight w:val="none"/>
        </w:rPr>
        <w:t xml:space="preserve">名称（盖章）              采购项目编号：</w:t>
      </w:r>
      <w:r>
        <w:rPr>
          <w:rFonts w:hint="eastAsia" w:eastAsia="黑体"/>
          <w:bCs/>
          <w:color w:val="000000" w:themeColor="text1"/>
          <w:sz w:val="24"/>
          <w:szCs w:val="24"/>
          <w:highlight w:val="none"/>
        </w:rPr>
        <w:t xml:space="preserve">JSZC-320211-JSZH-G2025-0105</w:t>
      </w:r>
      <w:r>
        <w:rPr>
          <w:color w:val="000000" w:themeColor="text1"/>
          <w:highlight w:val="none"/>
        </w:rPr>
      </w:r>
    </w:p>
    <w:p>
      <w:pPr>
        <w:spacing w:line="300" w:lineRule="auto"/>
        <w:rPr>
          <w:color w:val="000000" w:themeColor="text1"/>
          <w:highlight w:val="none"/>
        </w:rPr>
      </w:pPr>
      <w:r>
        <w:rPr>
          <w:color w:val="000000" w:themeColor="text1"/>
          <w:highlight w:val="none"/>
        </w:rPr>
      </w:r>
      <w:r>
        <w:rPr>
          <w:color w:val="000000" w:themeColor="text1"/>
          <w:highlight w:val="none"/>
        </w:rPr>
      </w:r>
    </w:p>
    <w:tbl>
      <w:tblPr>
        <w:tblStyle w:val="816"/>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jc w:val="center"/>
              <w:spacing w:line="400" w:lineRule="exact"/>
              <w:rPr>
                <w:color w:val="000000" w:themeColor="text1"/>
                <w:sz w:val="24"/>
                <w:highlight w:val="none"/>
              </w:rPr>
            </w:pPr>
            <w:r>
              <w:rPr>
                <w:bCs/>
                <w:color w:val="000000" w:themeColor="text1"/>
                <w:sz w:val="24"/>
                <w:highlight w:val="none"/>
              </w:rPr>
              <w:t xml:space="preserve">投标报价（万元）</w:t>
            </w:r>
            <w:r>
              <w:rPr>
                <w:color w:val="000000" w:themeColor="text1"/>
                <w:highlight w:val="none"/>
              </w:rPr>
            </w:r>
          </w:p>
        </w:tc>
        <w:tc>
          <w:tcPr>
            <w:tcW w:w="6349" w:type="dxa"/>
            <w:vAlign w:val="center"/>
            <w:textDirection w:val="lrTb"/>
            <w:noWrap w:val="false"/>
          </w:tcPr>
          <w:p>
            <w:pPr>
              <w:pStyle w:val="1035"/>
              <w:spacing w:line="300" w:lineRule="auto"/>
              <w:rPr>
                <w:rFonts w:ascii="Times New Roman" w:eastAsia="宋体"/>
                <w:color w:val="000000" w:themeColor="text1"/>
                <w:sz w:val="24"/>
                <w:highlight w:val="none"/>
                <w:u w:val="single"/>
              </w:rPr>
            </w:pPr>
            <w:r>
              <w:rPr>
                <w:rFonts w:ascii="Times New Roman" w:eastAsia="宋体"/>
                <w:color w:val="000000" w:themeColor="text1"/>
                <w:sz w:val="24"/>
                <w:highlight w:val="none"/>
              </w:rPr>
              <w:t xml:space="preserve">大写：</w:t>
            </w:r>
            <w:r>
              <w:rPr>
                <w:rFonts w:ascii="Times New Roman" w:eastAsia="宋体"/>
                <w:color w:val="000000" w:themeColor="text1"/>
                <w:sz w:val="24"/>
                <w:highlight w:val="none"/>
                <w:u w:val="single"/>
              </w:rPr>
              <w:t xml:space="preserve">                                </w:t>
            </w:r>
            <w:r>
              <w:rPr>
                <w:color w:val="000000" w:themeColor="text1"/>
                <w:highlight w:val="none"/>
              </w:rPr>
            </w:r>
          </w:p>
          <w:p>
            <w:pPr>
              <w:pStyle w:val="1035"/>
              <w:spacing w:line="300" w:lineRule="auto"/>
              <w:rPr>
                <w:rFonts w:ascii="Times New Roman" w:eastAsia="宋体"/>
                <w:color w:val="000000" w:themeColor="text1"/>
                <w:sz w:val="24"/>
                <w:highlight w:val="none"/>
              </w:rPr>
            </w:pPr>
            <w:r>
              <w:rPr>
                <w:rFonts w:ascii="Times New Roman" w:eastAsia="宋体"/>
                <w:color w:val="000000" w:themeColor="text1"/>
                <w:sz w:val="24"/>
                <w:highlight w:val="none"/>
              </w:rPr>
              <w:t xml:space="preserve">小写：</w:t>
            </w:r>
            <w:r>
              <w:rPr>
                <w:rFonts w:ascii="Times New Roman" w:eastAsia="宋体"/>
                <w:color w:val="000000" w:themeColor="text1"/>
                <w:sz w:val="24"/>
                <w:highlight w:val="none"/>
                <w:u w:val="single"/>
              </w:rPr>
              <w:t xml:space="preserve">                                </w:t>
            </w:r>
            <w:r>
              <w:rPr>
                <w:color w:val="000000" w:themeColor="text1"/>
                <w:highlight w:val="none"/>
              </w:rPr>
            </w:r>
          </w:p>
        </w:tc>
      </w:tr>
      <w:tr>
        <w:trPr>
          <w:cantSplit/>
          <w:jc w:val="center"/>
          <w:trHeight w:val="1031"/>
        </w:trPr>
        <w:tc>
          <w:tcPr>
            <w:tcW w:w="2338" w:type="dxa"/>
            <w:vAlign w:val="center"/>
            <w:textDirection w:val="lrTb"/>
            <w:noWrap w:val="false"/>
          </w:tcPr>
          <w:p>
            <w:pPr>
              <w:jc w:val="center"/>
              <w:spacing w:line="300" w:lineRule="auto"/>
              <w:rPr>
                <w:color w:val="000000" w:themeColor="text1"/>
                <w:sz w:val="24"/>
                <w:highlight w:val="none"/>
              </w:rPr>
            </w:pPr>
            <w:r>
              <w:rPr>
                <w:color w:val="000000" w:themeColor="text1"/>
                <w:sz w:val="24"/>
                <w:highlight w:val="none"/>
              </w:rPr>
              <w:t xml:space="preserve">合同履行期限</w:t>
            </w:r>
            <w:r>
              <w:rPr>
                <w:color w:val="000000" w:themeColor="text1"/>
                <w:highlight w:val="none"/>
              </w:rPr>
            </w:r>
          </w:p>
        </w:tc>
        <w:tc>
          <w:tcPr>
            <w:tcW w:w="6349" w:type="dxa"/>
            <w:vAlign w:val="center"/>
            <w:textDirection w:val="lrTb"/>
            <w:noWrap w:val="false"/>
          </w:tcPr>
          <w:p>
            <w:pPr>
              <w:spacing w:line="300" w:lineRule="auto"/>
              <w:rPr>
                <w:color w:val="000000" w:themeColor="text1"/>
                <w:sz w:val="24"/>
                <w:szCs w:val="28"/>
                <w:highlight w:val="none"/>
              </w:rPr>
            </w:pPr>
            <w:r>
              <w:rPr>
                <w:color w:val="000000" w:themeColor="text1"/>
                <w:sz w:val="24"/>
                <w:szCs w:val="28"/>
                <w:highlight w:val="none"/>
              </w:rPr>
            </w:r>
            <w:r>
              <w:rPr>
                <w:color w:val="000000" w:themeColor="text1"/>
                <w:highlight w:val="none"/>
              </w:rPr>
            </w:r>
          </w:p>
        </w:tc>
      </w:tr>
      <w:tr>
        <w:trPr>
          <w:cantSplit/>
          <w:jc w:val="center"/>
          <w:trHeight w:val="1031"/>
        </w:trPr>
        <w:tc>
          <w:tcPr>
            <w:tcW w:w="2338" w:type="dxa"/>
            <w:vAlign w:val="center"/>
            <w:textDirection w:val="lrTb"/>
            <w:noWrap w:val="false"/>
          </w:tcPr>
          <w:p>
            <w:pPr>
              <w:jc w:val="center"/>
              <w:spacing w:line="300" w:lineRule="auto"/>
              <w:rPr>
                <w:color w:val="000000" w:themeColor="text1"/>
                <w:sz w:val="24"/>
                <w:highlight w:val="none"/>
              </w:rPr>
            </w:pPr>
            <w:r>
              <w:rPr>
                <w:color w:val="000000" w:themeColor="text1"/>
                <w:sz w:val="24"/>
                <w:szCs w:val="28"/>
                <w:highlight w:val="none"/>
              </w:rPr>
              <w:t xml:space="preserve">服务质量</w:t>
            </w:r>
            <w:r>
              <w:rPr>
                <w:color w:val="000000" w:themeColor="text1"/>
                <w:highlight w:val="none"/>
              </w:rPr>
            </w:r>
          </w:p>
        </w:tc>
        <w:tc>
          <w:tcPr>
            <w:tcW w:w="6349" w:type="dxa"/>
            <w:vAlign w:val="center"/>
            <w:textDirection w:val="lrTb"/>
            <w:noWrap w:val="false"/>
          </w:tcPr>
          <w:p>
            <w:pPr>
              <w:spacing w:line="300" w:lineRule="auto"/>
              <w:rPr>
                <w:color w:val="000000" w:themeColor="text1"/>
                <w:sz w:val="24"/>
                <w:szCs w:val="28"/>
                <w:highlight w:val="none"/>
              </w:rPr>
            </w:pPr>
            <w:r>
              <w:rPr>
                <w:color w:val="000000" w:themeColor="text1"/>
                <w:sz w:val="24"/>
                <w:szCs w:val="28"/>
                <w:highlight w:val="none"/>
              </w:rPr>
            </w:r>
            <w:r>
              <w:rPr>
                <w:color w:val="000000" w:themeColor="text1"/>
                <w:highlight w:val="none"/>
              </w:rPr>
            </w:r>
          </w:p>
        </w:tc>
      </w:tr>
      <w:tr>
        <w:trPr>
          <w:cantSplit/>
          <w:jc w:val="center"/>
          <w:trHeight w:val="1031"/>
        </w:trPr>
        <w:tc>
          <w:tcPr>
            <w:tcW w:w="2338" w:type="dxa"/>
            <w:vAlign w:val="center"/>
            <w:textDirection w:val="lrTb"/>
            <w:noWrap w:val="false"/>
          </w:tcPr>
          <w:p>
            <w:pPr>
              <w:jc w:val="center"/>
              <w:spacing w:line="300" w:lineRule="auto"/>
              <w:rPr>
                <w:color w:val="000000" w:themeColor="text1"/>
                <w:sz w:val="24"/>
                <w:szCs w:val="28"/>
                <w:highlight w:val="none"/>
              </w:rPr>
            </w:pPr>
            <w:r>
              <w:rPr>
                <w:color w:val="000000" w:themeColor="text1"/>
                <w:sz w:val="24"/>
                <w:szCs w:val="28"/>
                <w:highlight w:val="none"/>
              </w:rPr>
              <w:t xml:space="preserve">项目负责人</w:t>
            </w:r>
            <w:r>
              <w:rPr>
                <w:color w:val="000000" w:themeColor="text1"/>
                <w:highlight w:val="none"/>
              </w:rPr>
            </w:r>
          </w:p>
        </w:tc>
        <w:tc>
          <w:tcPr>
            <w:tcW w:w="6349" w:type="dxa"/>
            <w:vAlign w:val="center"/>
            <w:textDirection w:val="lrTb"/>
            <w:noWrap w:val="false"/>
          </w:tcPr>
          <w:p>
            <w:pPr>
              <w:spacing w:line="300" w:lineRule="auto"/>
              <w:rPr>
                <w:color w:val="000000" w:themeColor="text1"/>
                <w:sz w:val="24"/>
                <w:szCs w:val="28"/>
                <w:highlight w:val="none"/>
              </w:rPr>
            </w:pPr>
            <w:r>
              <w:rPr>
                <w:color w:val="000000" w:themeColor="text1"/>
                <w:sz w:val="24"/>
                <w:szCs w:val="28"/>
                <w:highlight w:val="none"/>
              </w:rPr>
            </w:r>
            <w:r>
              <w:rPr>
                <w:color w:val="000000" w:themeColor="text1"/>
                <w:highlight w:val="none"/>
              </w:rPr>
            </w:r>
          </w:p>
        </w:tc>
      </w:tr>
    </w:tbl>
    <w:p>
      <w:pPr>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p>
    <w:p>
      <w:pPr>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p>
    <w:p>
      <w:pPr>
        <w:spacing w:before="5"/>
        <w:rPr>
          <w:b/>
          <w:bCs/>
          <w:color w:val="000000" w:themeColor="text1"/>
          <w:sz w:val="24"/>
          <w:szCs w:val="24"/>
          <w:highlight w:val="none"/>
        </w:rPr>
      </w:pPr>
      <w:r>
        <w:rPr>
          <w:b/>
          <w:bCs/>
          <w:color w:val="000000" w:themeColor="text1"/>
          <w:sz w:val="24"/>
          <w:szCs w:val="24"/>
          <w:highlight w:val="none"/>
        </w:rPr>
        <w:t xml:space="preserve">法定代表人或法定代表人授权代表签字或盖章：</w:t>
      </w:r>
      <w:r>
        <w:rPr>
          <w:color w:val="000000" w:themeColor="text1"/>
          <w:highlight w:val="none"/>
        </w:rPr>
      </w:r>
    </w:p>
    <w:p>
      <w:pPr>
        <w:spacing w:line="400" w:lineRule="exact"/>
        <w:rPr>
          <w:rFonts w:eastAsia="黑体"/>
          <w:bCs/>
          <w:color w:val="000000" w:themeColor="text1"/>
          <w:sz w:val="32"/>
          <w:highlight w:val="none"/>
        </w:rPr>
      </w:pPr>
      <w:r>
        <w:rPr>
          <w:rFonts w:eastAsia="黑体"/>
          <w:bCs/>
          <w:color w:val="000000" w:themeColor="text1"/>
          <w:sz w:val="32"/>
          <w:highlight w:val="none"/>
        </w:rPr>
      </w:r>
      <w:r>
        <w:rPr>
          <w:color w:val="000000" w:themeColor="text1"/>
          <w:highlight w:val="none"/>
        </w:rPr>
      </w:r>
    </w:p>
    <w:p>
      <w:pPr>
        <w:rPr>
          <w:color w:val="000000" w:themeColor="text1"/>
          <w:sz w:val="24"/>
          <w:highlight w:val="none"/>
        </w:rPr>
      </w:pPr>
      <w:r>
        <w:rPr>
          <w:color w:val="000000" w:themeColor="text1"/>
          <w:sz w:val="24"/>
          <w:highlight w:val="none"/>
        </w:rPr>
        <w:t xml:space="preserve">填写说明：</w:t>
      </w:r>
      <w:r>
        <w:rPr>
          <w:color w:val="000000" w:themeColor="text1"/>
          <w:highlight w:val="none"/>
        </w:rPr>
      </w:r>
    </w:p>
    <w:p>
      <w:pPr>
        <w:ind w:firstLine="480"/>
        <w:spacing w:line="500" w:lineRule="exact"/>
        <w:rPr>
          <w:bCs/>
          <w:color w:val="000000" w:themeColor="text1"/>
          <w:sz w:val="24"/>
          <w:highlight w:val="none"/>
        </w:rPr>
      </w:pPr>
      <w:r>
        <w:rPr>
          <w:bCs/>
          <w:color w:val="000000" w:themeColor="text1"/>
          <w:sz w:val="24"/>
          <w:highlight w:val="none"/>
        </w:rPr>
        <w:t xml:space="preserve">注：开标一览表中的内容应与响应函内容一致，否则评标时一律按开标一览表</w:t>
      </w:r>
      <w:r>
        <w:rPr>
          <w:rFonts w:hint="eastAsia"/>
          <w:bCs/>
          <w:color w:val="000000" w:themeColor="text1"/>
          <w:sz w:val="24"/>
          <w:highlight w:val="none"/>
        </w:rPr>
        <w:t xml:space="preserve">中的</w:t>
      </w:r>
      <w:r>
        <w:rPr>
          <w:bCs/>
          <w:color w:val="000000" w:themeColor="text1"/>
          <w:sz w:val="24"/>
          <w:highlight w:val="none"/>
        </w:rPr>
        <w:t xml:space="preserve">内容为准，开标一览表中必须盖章或签字。</w:t>
      </w:r>
      <w:r>
        <w:rPr>
          <w:color w:val="000000" w:themeColor="text1"/>
          <w:highlight w:val="none"/>
        </w:rPr>
      </w:r>
    </w:p>
    <w:p>
      <w:pPr>
        <w:jc w:val="left"/>
        <w:rPr>
          <w:rFonts w:eastAsia="黑体"/>
          <w:bCs/>
          <w:color w:val="000000" w:themeColor="text1"/>
          <w:sz w:val="24"/>
          <w:szCs w:val="24"/>
          <w:highlight w:val="none"/>
        </w:rPr>
      </w:pPr>
      <w:r>
        <w:rPr>
          <w:rFonts w:eastAsia="黑体"/>
          <w:bCs/>
          <w:color w:val="000000" w:themeColor="text1"/>
          <w:sz w:val="24"/>
          <w:szCs w:val="24"/>
          <w:highlight w:val="none"/>
          <w:u w:val="single"/>
        </w:rPr>
        <w:br w:type="page" w:clear="all"/>
      </w:r>
      <w:r>
        <w:rPr>
          <w:rFonts w:eastAsia="黑体"/>
          <w:bCs/>
          <w:color w:val="000000" w:themeColor="text1"/>
          <w:sz w:val="24"/>
          <w:szCs w:val="24"/>
          <w:highlight w:val="none"/>
        </w:rPr>
        <w:t xml:space="preserve">（八）投标报价明细表（格式）</w:t>
      </w:r>
      <w:r>
        <w:rPr>
          <w:color w:val="000000" w:themeColor="text1"/>
          <w:highlight w:val="none"/>
        </w:rPr>
      </w:r>
    </w:p>
    <w:p>
      <w:pPr>
        <w:jc w:val="center"/>
        <w:spacing w:line="400" w:lineRule="exact"/>
        <w:rPr>
          <w:rFonts w:eastAsia="黑体"/>
          <w:bCs/>
          <w:color w:val="000000" w:themeColor="text1"/>
          <w:sz w:val="24"/>
          <w:szCs w:val="24"/>
          <w:highlight w:val="none"/>
        </w:rPr>
      </w:pPr>
      <w:r>
        <w:rPr>
          <w:rFonts w:eastAsia="黑体"/>
          <w:bCs/>
          <w:color w:val="000000" w:themeColor="text1"/>
          <w:sz w:val="24"/>
          <w:szCs w:val="24"/>
          <w:highlight w:val="none"/>
        </w:rPr>
        <w:t xml:space="preserve">投标明细报价表</w:t>
      </w:r>
      <w:r>
        <w:rPr>
          <w:color w:val="000000" w:themeColor="text1"/>
          <w:highlight w:val="none"/>
        </w:rPr>
      </w:r>
    </w:p>
    <w:p>
      <w:pPr>
        <w:spacing w:line="400" w:lineRule="exact"/>
        <w:rPr>
          <w:rFonts w:eastAsia="黑体"/>
          <w:bCs/>
          <w:color w:val="000000" w:themeColor="text1"/>
          <w:sz w:val="24"/>
          <w:szCs w:val="24"/>
          <w:highlight w:val="none"/>
        </w:rPr>
      </w:pPr>
      <w:r>
        <w:rPr>
          <w:rFonts w:hint="eastAsia" w:eastAsia="黑体"/>
          <w:bCs/>
          <w:color w:val="000000" w:themeColor="text1"/>
          <w:sz w:val="24"/>
          <w:szCs w:val="24"/>
          <w:highlight w:val="none"/>
        </w:rPr>
        <w:t xml:space="preserve">投标供应商</w:t>
      </w:r>
      <w:r>
        <w:rPr>
          <w:rFonts w:eastAsia="黑体"/>
          <w:bCs/>
          <w:color w:val="000000" w:themeColor="text1"/>
          <w:sz w:val="24"/>
          <w:szCs w:val="24"/>
          <w:highlight w:val="none"/>
        </w:rPr>
        <w:t xml:space="preserve">名称（盖章）                      项目编号：</w:t>
      </w:r>
      <w:r>
        <w:rPr>
          <w:rFonts w:hint="eastAsia" w:eastAsia="黑体"/>
          <w:bCs/>
          <w:color w:val="000000" w:themeColor="text1"/>
          <w:sz w:val="24"/>
          <w:szCs w:val="24"/>
          <w:highlight w:val="none"/>
        </w:rPr>
        <w:t xml:space="preserve">JSZC-320211-JSZH-G2025-0105</w:t>
      </w:r>
      <w:r>
        <w:rPr>
          <w:color w:val="000000" w:themeColor="text1"/>
          <w:highlight w:val="none"/>
        </w:rP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733"/>
        <w:gridCol w:w="2800"/>
        <w:gridCol w:w="2905"/>
        <w:gridCol w:w="1890"/>
      </w:tblGrid>
      <w:tr>
        <w:trPr>
          <w:jc w:val="center"/>
          <w:trHeight w:val="680"/>
        </w:trPr>
        <w:tc>
          <w:tcPr>
            <w:tcW w:w="398" w:type="pct"/>
            <w:vAlign w:val="center"/>
            <w:textDirection w:val="lrTb"/>
            <w:noWrap w:val="false"/>
          </w:tcPr>
          <w:p>
            <w:pPr>
              <w:jc w:val="center"/>
              <w:rPr>
                <w:b/>
                <w:bCs/>
                <w:color w:val="000000" w:themeColor="text1"/>
                <w:highlight w:val="none"/>
              </w:rPr>
            </w:pPr>
            <w:r>
              <w:rPr>
                <w:b/>
                <w:bCs/>
                <w:color w:val="000000" w:themeColor="text1"/>
                <w:highlight w:val="none"/>
              </w:rPr>
              <w:t xml:space="preserve">序号</w:t>
            </w:r>
            <w:r>
              <w:rPr>
                <w:color w:val="000000" w:themeColor="text1"/>
                <w:highlight w:val="none"/>
              </w:rPr>
            </w:r>
          </w:p>
        </w:tc>
        <w:tc>
          <w:tcPr>
            <w:tcW w:w="855" w:type="pct"/>
            <w:vAlign w:val="center"/>
            <w:textDirection w:val="lrTb"/>
            <w:noWrap w:val="false"/>
          </w:tcPr>
          <w:p>
            <w:pPr>
              <w:jc w:val="center"/>
              <w:rPr>
                <w:b/>
                <w:bCs/>
                <w:color w:val="000000" w:themeColor="text1"/>
                <w:highlight w:val="none"/>
              </w:rPr>
            </w:pPr>
            <w:r>
              <w:rPr>
                <w:b/>
                <w:bCs/>
                <w:color w:val="000000" w:themeColor="text1"/>
                <w:highlight w:val="none"/>
              </w:rPr>
              <w:t xml:space="preserve">项目类别</w:t>
            </w:r>
            <w:r>
              <w:rPr>
                <w:color w:val="000000" w:themeColor="text1"/>
                <w:highlight w:val="none"/>
              </w:rPr>
            </w:r>
          </w:p>
        </w:tc>
        <w:tc>
          <w:tcPr>
            <w:tcW w:w="1380" w:type="pct"/>
            <w:vAlign w:val="center"/>
            <w:textDirection w:val="lrTb"/>
            <w:noWrap w:val="false"/>
          </w:tcPr>
          <w:p>
            <w:pPr>
              <w:jc w:val="center"/>
              <w:rPr>
                <w:b/>
                <w:bCs/>
                <w:color w:val="000000" w:themeColor="text1"/>
                <w:highlight w:val="none"/>
              </w:rPr>
            </w:pPr>
            <w:r>
              <w:rPr>
                <w:b/>
                <w:bCs/>
                <w:color w:val="000000" w:themeColor="text1"/>
                <w:highlight w:val="none"/>
              </w:rPr>
              <w:t xml:space="preserve">项目内容</w:t>
            </w:r>
            <w:r>
              <w:rPr>
                <w:color w:val="000000" w:themeColor="text1"/>
                <w:highlight w:val="none"/>
              </w:rPr>
            </w:r>
          </w:p>
        </w:tc>
        <w:tc>
          <w:tcPr>
            <w:tcW w:w="1433" w:type="pct"/>
            <w:vAlign w:val="center"/>
            <w:textDirection w:val="lrTb"/>
            <w:noWrap w:val="false"/>
          </w:tcPr>
          <w:p>
            <w:pPr>
              <w:jc w:val="center"/>
              <w:rPr>
                <w:b/>
                <w:bCs/>
                <w:color w:val="000000" w:themeColor="text1"/>
                <w:highlight w:val="none"/>
              </w:rPr>
            </w:pPr>
            <w:r>
              <w:rPr>
                <w:b/>
                <w:bCs/>
                <w:color w:val="000000" w:themeColor="text1"/>
                <w:highlight w:val="none"/>
              </w:rPr>
              <w:t xml:space="preserve">报价（元）</w:t>
            </w:r>
            <w:r>
              <w:rPr>
                <w:color w:val="000000" w:themeColor="text1"/>
                <w:highlight w:val="none"/>
              </w:rPr>
            </w:r>
          </w:p>
        </w:tc>
        <w:tc>
          <w:tcPr>
            <w:tcW w:w="932" w:type="pct"/>
            <w:vAlign w:val="center"/>
            <w:textDirection w:val="lrTb"/>
            <w:noWrap w:val="false"/>
          </w:tcPr>
          <w:p>
            <w:pPr>
              <w:jc w:val="center"/>
              <w:rPr>
                <w:b/>
                <w:bCs/>
                <w:color w:val="000000" w:themeColor="text1"/>
                <w:highlight w:val="none"/>
              </w:rPr>
            </w:pPr>
            <w:r>
              <w:rPr>
                <w:b/>
                <w:bCs/>
                <w:color w:val="000000" w:themeColor="text1"/>
                <w:highlight w:val="none"/>
              </w:rPr>
              <w:t xml:space="preserve">备注</w:t>
            </w:r>
            <w:r>
              <w:rPr>
                <w:color w:val="000000" w:themeColor="text1"/>
                <w:highlight w:val="none"/>
              </w:rPr>
            </w:r>
          </w:p>
        </w:tc>
      </w:tr>
      <w:tr>
        <w:trPr>
          <w:jc w:val="center"/>
          <w:trHeight w:val="680"/>
        </w:trPr>
        <w:tc>
          <w:tcPr>
            <w:tcW w:w="398" w:type="pct"/>
            <w:vAlign w:val="center"/>
            <w:textDirection w:val="lrTb"/>
            <w:noWrap w:val="false"/>
          </w:tcPr>
          <w:p>
            <w:pPr>
              <w:jc w:val="center"/>
              <w:rPr>
                <w:color w:val="000000" w:themeColor="text1"/>
                <w:highlight w:val="none"/>
              </w:rPr>
            </w:pPr>
            <w:r>
              <w:rPr>
                <w:color w:val="000000" w:themeColor="text1"/>
                <w:highlight w:val="none"/>
              </w:rPr>
              <w:t xml:space="preserve">1</w:t>
            </w:r>
            <w:r>
              <w:rPr>
                <w:color w:val="000000" w:themeColor="text1"/>
                <w:highlight w:val="none"/>
              </w:rPr>
            </w:r>
          </w:p>
        </w:tc>
        <w:tc>
          <w:tcPr>
            <w:tcW w:w="855" w:type="pct"/>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tc>
        <w:tc>
          <w:tcPr>
            <w:tcW w:w="1380" w:type="pct"/>
            <w:vAlign w:val="center"/>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1433" w:type="pct"/>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tc>
        <w:tc>
          <w:tcPr>
            <w:tcW w:w="932" w:type="pct"/>
            <w:vAlign w:val="center"/>
            <w:textDirection w:val="lrTb"/>
            <w:noWrap w:val="false"/>
          </w:tcPr>
          <w:p>
            <w:pPr>
              <w:jc w:val="left"/>
              <w:rPr>
                <w:color w:val="000000" w:themeColor="text1"/>
                <w:highlight w:val="none"/>
              </w:rPr>
            </w:pPr>
            <w:r>
              <w:rPr>
                <w:color w:val="000000" w:themeColor="text1"/>
                <w:highlight w:val="none"/>
              </w:rPr>
            </w:r>
            <w:r>
              <w:rPr>
                <w:color w:val="000000" w:themeColor="text1"/>
                <w:highlight w:val="none"/>
              </w:rPr>
            </w:r>
          </w:p>
        </w:tc>
      </w:tr>
      <w:tr>
        <w:trPr>
          <w:jc w:val="center"/>
          <w:trHeight w:val="680"/>
        </w:trPr>
        <w:tc>
          <w:tcPr>
            <w:tcW w:w="398" w:type="pct"/>
            <w:vAlign w:val="center"/>
            <w:textDirection w:val="lrTb"/>
            <w:noWrap w:val="false"/>
          </w:tcPr>
          <w:p>
            <w:pPr>
              <w:jc w:val="center"/>
              <w:rPr>
                <w:color w:val="000000" w:themeColor="text1"/>
                <w:highlight w:val="none"/>
              </w:rPr>
            </w:pPr>
            <w:r>
              <w:rPr>
                <w:color w:val="000000" w:themeColor="text1"/>
                <w:highlight w:val="none"/>
              </w:rPr>
              <w:t xml:space="preserve">2</w:t>
            </w:r>
            <w:r>
              <w:rPr>
                <w:color w:val="000000" w:themeColor="text1"/>
                <w:highlight w:val="none"/>
              </w:rPr>
            </w:r>
          </w:p>
        </w:tc>
        <w:tc>
          <w:tcPr>
            <w:tcW w:w="855" w:type="pct"/>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tc>
        <w:tc>
          <w:tcPr>
            <w:tcW w:w="1380" w:type="pct"/>
            <w:vAlign w:val="center"/>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1433" w:type="pct"/>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tc>
        <w:tc>
          <w:tcPr>
            <w:tcW w:w="932" w:type="pct"/>
            <w:vAlign w:val="center"/>
            <w:textDirection w:val="lrTb"/>
            <w:noWrap w:val="false"/>
          </w:tcPr>
          <w:p>
            <w:pPr>
              <w:jc w:val="left"/>
              <w:rPr>
                <w:color w:val="000000" w:themeColor="text1"/>
                <w:highlight w:val="none"/>
              </w:rPr>
            </w:pPr>
            <w:r>
              <w:rPr>
                <w:color w:val="000000" w:themeColor="text1"/>
                <w:highlight w:val="none"/>
              </w:rPr>
            </w:r>
            <w:r>
              <w:rPr>
                <w:color w:val="000000" w:themeColor="text1"/>
                <w:highlight w:val="none"/>
              </w:rPr>
            </w:r>
          </w:p>
        </w:tc>
      </w:tr>
      <w:tr>
        <w:trPr>
          <w:jc w:val="center"/>
          <w:trHeight w:val="680"/>
        </w:trPr>
        <w:tc>
          <w:tcPr>
            <w:tcW w:w="398" w:type="pct"/>
            <w:vAlign w:val="center"/>
            <w:textDirection w:val="lrTb"/>
            <w:noWrap w:val="false"/>
          </w:tcPr>
          <w:p>
            <w:pPr>
              <w:jc w:val="center"/>
              <w:rPr>
                <w:color w:val="000000" w:themeColor="text1"/>
                <w:highlight w:val="none"/>
              </w:rPr>
            </w:pPr>
            <w:r>
              <w:rPr>
                <w:color w:val="000000" w:themeColor="text1"/>
                <w:highlight w:val="none"/>
              </w:rPr>
              <w:t xml:space="preserve">3</w:t>
            </w:r>
            <w:r>
              <w:rPr>
                <w:color w:val="000000" w:themeColor="text1"/>
                <w:highlight w:val="none"/>
              </w:rPr>
            </w:r>
          </w:p>
        </w:tc>
        <w:tc>
          <w:tcPr>
            <w:tcW w:w="855" w:type="pct"/>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tc>
        <w:tc>
          <w:tcPr>
            <w:tcW w:w="1380" w:type="pct"/>
            <w:vAlign w:val="center"/>
            <w:textDirection w:val="lrTb"/>
            <w:noWrap w:val="false"/>
          </w:tcPr>
          <w:p>
            <w:pPr>
              <w:rPr>
                <w:color w:val="000000" w:themeColor="text1"/>
                <w:highlight w:val="none"/>
              </w:rPr>
            </w:pPr>
            <w:r>
              <w:rPr>
                <w:color w:val="000000" w:themeColor="text1"/>
                <w:highlight w:val="none"/>
              </w:rPr>
            </w:r>
            <w:r>
              <w:rPr>
                <w:color w:val="000000" w:themeColor="text1"/>
                <w:highlight w:val="none"/>
              </w:rPr>
            </w:r>
          </w:p>
        </w:tc>
        <w:tc>
          <w:tcPr>
            <w:tcW w:w="1433" w:type="pct"/>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tc>
        <w:tc>
          <w:tcPr>
            <w:tcW w:w="932" w:type="pct"/>
            <w:vAlign w:val="center"/>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tc>
      </w:tr>
      <w:tr>
        <w:trPr>
          <w:jc w:val="center"/>
          <w:trHeight w:val="680"/>
        </w:trPr>
        <w:tc>
          <w:tcPr>
            <w:tcW w:w="398" w:type="pct"/>
            <w:vAlign w:val="center"/>
            <w:textDirection w:val="lrTb"/>
            <w:noWrap w:val="false"/>
          </w:tcPr>
          <w:p>
            <w:pPr>
              <w:jc w:val="center"/>
              <w:rPr>
                <w:color w:val="000000" w:themeColor="text1"/>
                <w:highlight w:val="none"/>
              </w:rPr>
            </w:pPr>
            <w:r>
              <w:rPr>
                <w:color w:val="000000" w:themeColor="text1"/>
                <w:highlight w:val="none"/>
              </w:rPr>
              <w:t xml:space="preserve">……</w:t>
            </w:r>
            <w:r>
              <w:rPr>
                <w:color w:val="000000" w:themeColor="text1"/>
                <w:highlight w:val="none"/>
              </w:rPr>
            </w:r>
          </w:p>
        </w:tc>
        <w:tc>
          <w:tcPr>
            <w:tcW w:w="855" w:type="pct"/>
            <w:vAlign w:val="center"/>
            <w:textDirection w:val="lrTb"/>
            <w:noWrap w:val="false"/>
          </w:tcPr>
          <w:p>
            <w:pPr>
              <w:jc w:val="center"/>
              <w:rPr>
                <w:color w:val="000000" w:themeColor="text1"/>
                <w:highlight w:val="none"/>
              </w:rPr>
            </w:pPr>
            <w:r>
              <w:rPr>
                <w:color w:val="000000" w:themeColor="text1"/>
                <w:highlight w:val="none"/>
              </w:rPr>
              <w:t xml:space="preserve">……</w:t>
            </w:r>
            <w:r>
              <w:rPr>
                <w:color w:val="000000" w:themeColor="text1"/>
                <w:highlight w:val="none"/>
              </w:rPr>
            </w:r>
          </w:p>
        </w:tc>
        <w:tc>
          <w:tcPr>
            <w:tcW w:w="1380" w:type="pct"/>
            <w:vAlign w:val="center"/>
            <w:textDirection w:val="lrTb"/>
            <w:noWrap w:val="false"/>
          </w:tcPr>
          <w:p>
            <w:pPr>
              <w:rPr>
                <w:color w:val="000000" w:themeColor="text1"/>
                <w:highlight w:val="none"/>
              </w:rPr>
            </w:pPr>
            <w:r>
              <w:rPr>
                <w:color w:val="000000" w:themeColor="text1"/>
                <w:highlight w:val="none"/>
              </w:rPr>
              <w:t xml:space="preserve">……</w:t>
            </w:r>
            <w:r>
              <w:rPr>
                <w:color w:val="000000" w:themeColor="text1"/>
                <w:highlight w:val="none"/>
              </w:rPr>
            </w:r>
          </w:p>
        </w:tc>
        <w:tc>
          <w:tcPr>
            <w:tcW w:w="1433" w:type="pct"/>
            <w:vAlign w:val="center"/>
            <w:textDirection w:val="lrTb"/>
            <w:noWrap w:val="false"/>
          </w:tcPr>
          <w:p>
            <w:pPr>
              <w:jc w:val="center"/>
              <w:rPr>
                <w:color w:val="000000" w:themeColor="text1"/>
                <w:highlight w:val="none"/>
              </w:rPr>
            </w:pPr>
            <w:r>
              <w:rPr>
                <w:color w:val="000000" w:themeColor="text1"/>
                <w:highlight w:val="none"/>
              </w:rPr>
              <w:t xml:space="preserve">……</w:t>
            </w:r>
            <w:r>
              <w:rPr>
                <w:color w:val="000000" w:themeColor="text1"/>
                <w:highlight w:val="none"/>
              </w:rPr>
            </w:r>
          </w:p>
        </w:tc>
        <w:tc>
          <w:tcPr>
            <w:tcW w:w="932" w:type="pct"/>
            <w:vAlign w:val="center"/>
            <w:textDirection w:val="lrTb"/>
            <w:noWrap w:val="false"/>
          </w:tcPr>
          <w:p>
            <w:pPr>
              <w:jc w:val="center"/>
              <w:rPr>
                <w:color w:val="000000" w:themeColor="text1"/>
                <w:highlight w:val="none"/>
              </w:rPr>
            </w:pPr>
            <w:r>
              <w:rPr>
                <w:color w:val="000000" w:themeColor="text1"/>
                <w:highlight w:val="none"/>
              </w:rPr>
              <w:t xml:space="preserve">……</w:t>
            </w:r>
            <w:r>
              <w:rPr>
                <w:color w:val="000000" w:themeColor="text1"/>
                <w:highlight w:val="none"/>
              </w:rPr>
            </w:r>
          </w:p>
        </w:tc>
      </w:tr>
      <w:tr>
        <w:trPr>
          <w:jc w:val="center"/>
          <w:trHeight w:val="680"/>
        </w:trPr>
        <w:tc>
          <w:tcPr>
            <w:gridSpan w:val="3"/>
            <w:tcW w:w="2634" w:type="pct"/>
            <w:vAlign w:val="center"/>
            <w:textDirection w:val="lrTb"/>
            <w:noWrap w:val="false"/>
          </w:tcPr>
          <w:p>
            <w:pPr>
              <w:jc w:val="center"/>
              <w:rPr>
                <w:b/>
                <w:color w:val="000000" w:themeColor="text1"/>
                <w:highlight w:val="none"/>
              </w:rPr>
            </w:pPr>
            <w:r>
              <w:rPr>
                <w:b/>
                <w:color w:val="000000" w:themeColor="text1"/>
                <w:highlight w:val="none"/>
              </w:rPr>
              <w:t xml:space="preserve">合计</w:t>
            </w:r>
            <w:r>
              <w:rPr>
                <w:color w:val="000000" w:themeColor="text1"/>
                <w:highlight w:val="none"/>
              </w:rPr>
            </w:r>
          </w:p>
        </w:tc>
        <w:tc>
          <w:tcPr>
            <w:gridSpan w:val="2"/>
            <w:tcW w:w="2365" w:type="pct"/>
            <w:vAlign w:val="center"/>
            <w:textDirection w:val="lrTb"/>
            <w:noWrap w:val="false"/>
          </w:tcPr>
          <w:p>
            <w:pPr>
              <w:jc w:val="center"/>
              <w:rPr>
                <w:color w:val="000000" w:themeColor="text1"/>
                <w:highlight w:val="none"/>
              </w:rPr>
            </w:pPr>
            <w:r>
              <w:rPr>
                <w:color w:val="000000" w:themeColor="text1"/>
                <w:highlight w:val="none"/>
              </w:rPr>
              <w:t xml:space="preserve">   </w:t>
            </w:r>
            <w:r>
              <w:rPr>
                <w:color w:val="000000" w:themeColor="text1"/>
                <w:highlight w:val="none"/>
              </w:rPr>
            </w:r>
          </w:p>
        </w:tc>
      </w:tr>
    </w:tbl>
    <w:p>
      <w:pPr>
        <w:pStyle w:val="1222"/>
        <w:ind w:firstLine="480"/>
        <w:jc w:val="left"/>
        <w:rPr>
          <w:rFonts w:ascii="Times New Roman"/>
          <w:bCs/>
          <w:color w:val="000000" w:themeColor="text1"/>
          <w:sz w:val="24"/>
          <w:szCs w:val="22"/>
          <w:highlight w:val="none"/>
        </w:rPr>
      </w:pPr>
      <w:r>
        <w:rPr>
          <w:rFonts w:ascii="Times New Roman"/>
          <w:bCs/>
          <w:color w:val="000000" w:themeColor="text1"/>
          <w:sz w:val="24"/>
          <w:szCs w:val="22"/>
          <w:highlight w:val="none"/>
        </w:rPr>
      </w:r>
      <w:r>
        <w:rPr>
          <w:color w:val="000000" w:themeColor="text1"/>
          <w:highlight w:val="none"/>
        </w:rPr>
      </w:r>
    </w:p>
    <w:p>
      <w:pPr>
        <w:pStyle w:val="1222"/>
        <w:ind w:firstLine="480"/>
        <w:jc w:val="left"/>
        <w:rPr>
          <w:rFonts w:ascii="Times New Roman"/>
          <w:bCs/>
          <w:color w:val="000000" w:themeColor="text1"/>
          <w:sz w:val="24"/>
          <w:szCs w:val="24"/>
          <w:highlight w:val="none"/>
        </w:rPr>
      </w:pPr>
      <w:r>
        <w:rPr>
          <w:rFonts w:ascii="Times New Roman"/>
          <w:bCs/>
          <w:color w:val="000000" w:themeColor="text1"/>
          <w:sz w:val="24"/>
          <w:szCs w:val="24"/>
          <w:highlight w:val="none"/>
        </w:rPr>
        <w:t xml:space="preserve">注：由</w:t>
      </w:r>
      <w:r>
        <w:rPr>
          <w:rFonts w:hint="eastAsia" w:ascii="Times New Roman"/>
          <w:bCs/>
          <w:color w:val="000000" w:themeColor="text1"/>
          <w:sz w:val="24"/>
          <w:szCs w:val="24"/>
          <w:highlight w:val="none"/>
        </w:rPr>
        <w:t xml:space="preserve">投标供应商</w:t>
      </w:r>
      <w:r>
        <w:rPr>
          <w:rFonts w:ascii="Times New Roman"/>
          <w:bCs/>
          <w:color w:val="000000" w:themeColor="text1"/>
          <w:sz w:val="24"/>
          <w:szCs w:val="24"/>
          <w:highlight w:val="none"/>
        </w:rPr>
        <w:t xml:space="preserve">自行列明报价项目类别和项目内容及报价。</w:t>
      </w:r>
      <w:r>
        <w:rPr>
          <w:color w:val="000000" w:themeColor="text1"/>
          <w:highlight w:val="none"/>
        </w:rPr>
      </w:r>
    </w:p>
    <w:p>
      <w:pPr>
        <w:pStyle w:val="1222"/>
        <w:ind w:firstLine="480"/>
        <w:jc w:val="left"/>
        <w:rPr>
          <w:rFonts w:ascii="Times New Roman"/>
          <w:bCs/>
          <w:color w:val="000000" w:themeColor="text1"/>
          <w:sz w:val="24"/>
          <w:szCs w:val="24"/>
          <w:highlight w:val="none"/>
        </w:rPr>
      </w:pPr>
      <w:r>
        <w:rPr>
          <w:rFonts w:ascii="Times New Roman"/>
          <w:bCs/>
          <w:color w:val="000000" w:themeColor="text1"/>
          <w:sz w:val="24"/>
          <w:szCs w:val="24"/>
          <w:highlight w:val="none"/>
        </w:rPr>
        <w:t xml:space="preserve">表格不够可自行延长。</w:t>
      </w:r>
      <w:r>
        <w:rPr>
          <w:color w:val="000000" w:themeColor="text1"/>
          <w:highlight w:val="none"/>
        </w:rPr>
      </w:r>
    </w:p>
    <w:p>
      <w:pPr>
        <w:rPr>
          <w:color w:val="000000" w:themeColor="text1"/>
          <w:sz w:val="24"/>
          <w:szCs w:val="24"/>
          <w:highlight w:val="none"/>
        </w:rPr>
      </w:pPr>
      <w:r>
        <w:rPr>
          <w:color w:val="000000" w:themeColor="text1"/>
          <w:sz w:val="24"/>
          <w:szCs w:val="24"/>
          <w:highlight w:val="none"/>
        </w:rPr>
      </w:r>
      <w:r>
        <w:rPr>
          <w:color w:val="000000" w:themeColor="text1"/>
          <w:highlight w:val="none"/>
        </w:rPr>
      </w:r>
    </w:p>
    <w:p>
      <w:pPr>
        <w:ind w:firstLine="360"/>
        <w:spacing w:line="400" w:lineRule="exact"/>
        <w:rPr>
          <w:color w:val="000000" w:themeColor="text1"/>
          <w:sz w:val="24"/>
          <w:szCs w:val="24"/>
          <w:highlight w:val="none"/>
        </w:rPr>
      </w:pPr>
      <w:r>
        <w:rPr>
          <w:rFonts w:hint="eastAsia"/>
          <w:color w:val="000000" w:themeColor="text1"/>
          <w:sz w:val="24"/>
          <w:szCs w:val="24"/>
          <w:highlight w:val="none"/>
        </w:rPr>
        <w:t xml:space="preserve">投标供应商</w:t>
      </w:r>
      <w:r>
        <w:rPr>
          <w:color w:val="000000" w:themeColor="text1"/>
          <w:sz w:val="24"/>
          <w:szCs w:val="24"/>
          <w:highlight w:val="none"/>
        </w:rPr>
        <w:t xml:space="preserve">：（盖公章）</w:t>
      </w:r>
      <w:r>
        <w:rPr>
          <w:color w:val="000000" w:themeColor="text1"/>
          <w:highlight w:val="none"/>
        </w:rPr>
      </w:r>
    </w:p>
    <w:p>
      <w:pPr>
        <w:ind w:firstLine="360"/>
        <w:spacing w:line="400" w:lineRule="exact"/>
        <w:rPr>
          <w:color w:val="000000" w:themeColor="text1"/>
          <w:sz w:val="24"/>
          <w:szCs w:val="24"/>
          <w:highlight w:val="none"/>
        </w:rPr>
      </w:pPr>
      <w:r>
        <w:rPr>
          <w:color w:val="000000" w:themeColor="text1"/>
          <w:sz w:val="24"/>
          <w:szCs w:val="24"/>
          <w:highlight w:val="none"/>
        </w:rPr>
      </w:r>
      <w:r>
        <w:rPr>
          <w:color w:val="000000" w:themeColor="text1"/>
          <w:highlight w:val="none"/>
        </w:rPr>
      </w:r>
    </w:p>
    <w:p>
      <w:pPr>
        <w:ind w:firstLine="360"/>
        <w:spacing w:line="400" w:lineRule="exact"/>
        <w:rPr>
          <w:color w:val="000000" w:themeColor="text1"/>
          <w:sz w:val="24"/>
          <w:szCs w:val="24"/>
          <w:highlight w:val="none"/>
        </w:rPr>
      </w:pPr>
      <w:r>
        <w:rPr>
          <w:color w:val="000000" w:themeColor="text1"/>
          <w:sz w:val="24"/>
          <w:szCs w:val="24"/>
          <w:highlight w:val="none"/>
        </w:rPr>
        <w:t xml:space="preserve">法定代表人或代理人：（签字或盖章）</w:t>
      </w:r>
      <w:r>
        <w:rPr>
          <w:color w:val="000000" w:themeColor="text1"/>
          <w:highlight w:val="none"/>
        </w:rPr>
      </w:r>
    </w:p>
    <w:p>
      <w:pPr>
        <w:ind w:firstLine="360"/>
        <w:spacing w:line="400" w:lineRule="exact"/>
        <w:rPr>
          <w:color w:val="000000" w:themeColor="text1"/>
          <w:sz w:val="24"/>
          <w:szCs w:val="24"/>
          <w:highlight w:val="none"/>
        </w:rPr>
      </w:pPr>
      <w:r>
        <w:rPr>
          <w:color w:val="000000" w:themeColor="text1"/>
          <w:sz w:val="24"/>
          <w:szCs w:val="24"/>
          <w:highlight w:val="none"/>
        </w:rPr>
      </w:r>
      <w:r>
        <w:rPr>
          <w:color w:val="000000" w:themeColor="text1"/>
          <w:highlight w:val="none"/>
        </w:rPr>
      </w:r>
    </w:p>
    <w:p>
      <w:pPr>
        <w:ind w:firstLine="360"/>
        <w:spacing w:line="400" w:lineRule="exact"/>
        <w:rPr>
          <w:color w:val="000000" w:themeColor="text1"/>
          <w:sz w:val="24"/>
          <w:szCs w:val="24"/>
          <w:highlight w:val="none"/>
        </w:rPr>
      </w:pPr>
      <w:r>
        <w:rPr>
          <w:color w:val="000000" w:themeColor="text1"/>
          <w:sz w:val="24"/>
          <w:szCs w:val="24"/>
          <w:highlight w:val="none"/>
        </w:rPr>
        <w:t xml:space="preserve">日期：          年  月  日</w:t>
      </w:r>
      <w:r>
        <w:rPr>
          <w:color w:val="000000" w:themeColor="text1"/>
          <w:highlight w:val="none"/>
        </w:rPr>
      </w:r>
    </w:p>
    <w:p>
      <w:pPr>
        <w:ind w:firstLine="5280"/>
        <w:spacing w:line="360" w:lineRule="auto"/>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jc w:val="left"/>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20"/>
        <w:rPr>
          <w:rFonts w:eastAsia="黑体"/>
          <w:bCs/>
          <w:color w:val="000000" w:themeColor="text1"/>
          <w:sz w:val="28"/>
          <w:szCs w:val="28"/>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（九）投标偏离表（格式）：</w:t>
      </w:r>
      <w:r>
        <w:rPr>
          <w:color w:val="000000" w:themeColor="text1"/>
          <w:highlight w:val="none"/>
        </w:rPr>
      </w:r>
    </w:p>
    <w:p>
      <w:pPr>
        <w:ind w:firstLine="490"/>
        <w:jc w:val="center"/>
        <w:rPr>
          <w:rFonts w:eastAsia="黑体"/>
          <w:bCs/>
          <w:color w:val="000000" w:themeColor="text1"/>
          <w:sz w:val="28"/>
          <w:szCs w:val="28"/>
          <w:highlight w:val="none"/>
        </w:rPr>
      </w:pPr>
      <w:r>
        <w:rPr>
          <w:rFonts w:eastAsia="黑体"/>
          <w:bCs/>
          <w:color w:val="000000" w:themeColor="text1"/>
          <w:sz w:val="28"/>
          <w:szCs w:val="28"/>
          <w:highlight w:val="none"/>
        </w:rPr>
        <w:t xml:space="preserve">投标偏离表</w:t>
      </w:r>
      <w:r>
        <w:rPr>
          <w:color w:val="000000" w:themeColor="text1"/>
          <w:highlight w:val="none"/>
        </w:rPr>
      </w:r>
    </w:p>
    <w:p>
      <w:pPr>
        <w:jc w:val="center"/>
        <w:spacing w:line="400" w:lineRule="exact"/>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p>
    <w:p>
      <w:pPr>
        <w:jc w:val="center"/>
        <w:spacing w:line="400" w:lineRule="exact"/>
        <w:rPr>
          <w:rFonts w:eastAsia="黑体"/>
          <w:bCs/>
          <w:color w:val="000000" w:themeColor="text1"/>
          <w:sz w:val="28"/>
          <w:szCs w:val="28"/>
          <w:highlight w:val="none"/>
        </w:rPr>
      </w:pPr>
      <w:r>
        <w:rPr>
          <w:rFonts w:eastAsia="黑体"/>
          <w:bCs/>
          <w:color w:val="000000" w:themeColor="text1"/>
          <w:sz w:val="28"/>
          <w:szCs w:val="28"/>
          <w:highlight w:val="none"/>
        </w:rPr>
      </w:r>
      <w:r>
        <w:rPr>
          <w:color w:val="000000" w:themeColor="text1"/>
          <w:highlight w:val="none"/>
        </w:rPr>
      </w:r>
    </w:p>
    <w:p>
      <w:pPr>
        <w:spacing w:line="400" w:lineRule="exact"/>
        <w:rPr>
          <w:rFonts w:eastAsia="黑体"/>
          <w:bCs/>
          <w:color w:val="000000" w:themeColor="text1"/>
          <w:sz w:val="24"/>
          <w:szCs w:val="24"/>
          <w:highlight w:val="none"/>
        </w:rPr>
      </w:pPr>
      <w:r>
        <w:rPr>
          <w:rFonts w:hint="eastAsia" w:eastAsia="黑体"/>
          <w:bCs/>
          <w:color w:val="000000" w:themeColor="text1"/>
          <w:sz w:val="24"/>
          <w:szCs w:val="24"/>
          <w:highlight w:val="none"/>
        </w:rPr>
        <w:t xml:space="preserve">投标供应商</w:t>
      </w:r>
      <w:r>
        <w:rPr>
          <w:rFonts w:eastAsia="黑体"/>
          <w:bCs/>
          <w:color w:val="000000" w:themeColor="text1"/>
          <w:sz w:val="24"/>
          <w:szCs w:val="24"/>
          <w:highlight w:val="none"/>
        </w:rPr>
        <w:t xml:space="preserve">名称（盖章）          采购项目编号：</w:t>
      </w:r>
      <w:r>
        <w:rPr>
          <w:rFonts w:hint="eastAsia" w:eastAsia="黑体"/>
          <w:bCs/>
          <w:color w:val="000000" w:themeColor="text1"/>
          <w:sz w:val="24"/>
          <w:szCs w:val="24"/>
          <w:highlight w:val="none"/>
        </w:rPr>
        <w:t xml:space="preserve">JSZC-320211-JSZH-G2025-0105</w:t>
      </w:r>
      <w:r>
        <w:rPr>
          <w:color w:val="000000" w:themeColor="text1"/>
          <w:highlight w:val="none"/>
        </w:rPr>
      </w:r>
    </w:p>
    <w:tbl>
      <w:tblPr>
        <w:tblStyle w:val="81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
                <w:bCs/>
                <w:color w:val="000000" w:themeColor="text1"/>
                <w:sz w:val="24"/>
                <w:szCs w:val="24"/>
                <w:highlight w:val="none"/>
              </w:rPr>
            </w:pPr>
            <w:r>
              <w:rPr>
                <w:b/>
                <w:bCs/>
                <w:color w:val="000000" w:themeColor="text1"/>
                <w:sz w:val="24"/>
                <w:szCs w:val="24"/>
                <w:highlight w:val="none"/>
              </w:rPr>
              <w:t xml:space="preserve">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b/>
                <w:bCs/>
                <w:color w:val="000000" w:themeColor="text1"/>
                <w:sz w:val="24"/>
                <w:szCs w:val="24"/>
                <w:highlight w:val="none"/>
              </w:rPr>
            </w:pPr>
            <w:r>
              <w:rPr>
                <w:b/>
                <w:bCs/>
                <w:color w:val="000000" w:themeColor="text1"/>
                <w:sz w:val="24"/>
                <w:szCs w:val="24"/>
                <w:highlight w:val="none"/>
              </w:rPr>
              <w:t xml:space="preserve">采购要求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b/>
                <w:bCs/>
                <w:color w:val="000000" w:themeColor="text1"/>
                <w:sz w:val="24"/>
                <w:szCs w:val="24"/>
                <w:highlight w:val="none"/>
              </w:rPr>
            </w:pPr>
            <w:r>
              <w:rPr>
                <w:b/>
                <w:bCs/>
                <w:color w:val="000000" w:themeColor="text1"/>
                <w:sz w:val="24"/>
                <w:szCs w:val="24"/>
                <w:highlight w:val="none"/>
              </w:rPr>
              <w:t xml:space="preserve">实报内容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b/>
                <w:bCs/>
                <w:color w:val="000000" w:themeColor="text1"/>
                <w:sz w:val="24"/>
                <w:szCs w:val="24"/>
                <w:highlight w:val="none"/>
              </w:rPr>
            </w:pPr>
            <w:r>
              <w:rPr>
                <w:b/>
                <w:bCs/>
                <w:color w:val="000000" w:themeColor="text1"/>
                <w:sz w:val="24"/>
                <w:szCs w:val="24"/>
                <w:highlight w:val="none"/>
              </w:rPr>
              <w:t xml:space="preserve">偏离说明</w:t>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000000" w:themeColor="text1"/>
                <w:highlight w:val="none"/>
              </w:rPr>
            </w:pPr>
            <w:r>
              <w:rPr>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bCs/>
                <w:color w:val="000000" w:themeColor="text1"/>
                <w:highlight w:val="none"/>
              </w:rPr>
            </w:pPr>
            <w:r>
              <w:rPr>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bCs/>
                <w:color w:val="000000" w:themeColor="text1"/>
                <w:highlight w:val="none"/>
              </w:rPr>
            </w:pPr>
            <w:r>
              <w:rPr>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bCs/>
                <w:color w:val="000000" w:themeColor="text1"/>
                <w:highlight w:val="none"/>
              </w:rPr>
            </w:pPr>
            <w:r>
              <w:rPr>
                <w:bCs/>
                <w:color w:val="000000" w:themeColor="text1"/>
                <w:highlight w:val="none"/>
              </w:rPr>
            </w:r>
            <w:r>
              <w:rPr>
                <w:color w:val="000000" w:themeColor="text1"/>
                <w:highlight w:val="none"/>
              </w:rPr>
            </w:r>
          </w:p>
        </w:tc>
      </w:tr>
    </w:tbl>
    <w:p>
      <w:pPr>
        <w:rPr>
          <w:b/>
          <w:color w:val="000000" w:themeColor="text1"/>
          <w:sz w:val="24"/>
          <w:szCs w:val="24"/>
          <w:highlight w:val="none"/>
        </w:rPr>
      </w:pPr>
      <w:r>
        <w:rPr>
          <w:b/>
          <w:color w:val="000000" w:themeColor="text1"/>
          <w:sz w:val="24"/>
          <w:szCs w:val="24"/>
          <w:highlight w:val="none"/>
        </w:rPr>
      </w:r>
      <w:r>
        <w:rPr>
          <w:color w:val="000000" w:themeColor="text1"/>
          <w:highlight w:val="none"/>
        </w:rPr>
      </w:r>
    </w:p>
    <w:p>
      <w:pPr>
        <w:rPr>
          <w:b/>
          <w:bCs/>
          <w:color w:val="000000" w:themeColor="text1"/>
          <w:sz w:val="24"/>
          <w:szCs w:val="24"/>
          <w:highlight w:val="none"/>
        </w:rPr>
      </w:pPr>
      <w:r>
        <w:rPr>
          <w:b/>
          <w:bCs/>
          <w:color w:val="000000" w:themeColor="text1"/>
          <w:sz w:val="24"/>
          <w:szCs w:val="24"/>
          <w:highlight w:val="none"/>
        </w:rPr>
        <w:t xml:space="preserve">法定代表人或法定代表人授权代表签字或盖章：</w:t>
      </w:r>
      <w:r>
        <w:rPr>
          <w:color w:val="000000" w:themeColor="text1"/>
          <w:highlight w:val="none"/>
        </w:rPr>
      </w:r>
    </w:p>
    <w:p>
      <w:pPr>
        <w:rPr>
          <w:bCs/>
          <w:color w:val="000000" w:themeColor="text1"/>
          <w:sz w:val="30"/>
          <w:highlight w:val="none"/>
        </w:rPr>
      </w:pPr>
      <w:r>
        <w:rPr>
          <w:bCs/>
          <w:color w:val="000000" w:themeColor="text1"/>
          <w:sz w:val="30"/>
          <w:highlight w:val="none"/>
        </w:rPr>
      </w:r>
      <w:r>
        <w:rPr>
          <w:color w:val="000000" w:themeColor="text1"/>
          <w:highlight w:val="none"/>
        </w:rPr>
      </w:r>
    </w:p>
    <w:p>
      <w:pPr>
        <w:rPr>
          <w:bCs/>
          <w:color w:val="000000" w:themeColor="text1"/>
          <w:sz w:val="24"/>
          <w:szCs w:val="24"/>
          <w:highlight w:val="none"/>
        </w:rPr>
      </w:pPr>
      <w:r>
        <w:rPr>
          <w:bCs/>
          <w:color w:val="000000" w:themeColor="text1"/>
          <w:sz w:val="24"/>
          <w:szCs w:val="24"/>
          <w:highlight w:val="none"/>
        </w:rPr>
        <w:t xml:space="preserve">注：（1）本表不得删除；</w:t>
      </w:r>
      <w:r>
        <w:rPr>
          <w:color w:val="000000" w:themeColor="text1"/>
          <w:highlight w:val="none"/>
        </w:rPr>
      </w:r>
    </w:p>
    <w:p>
      <w:pPr>
        <w:rPr>
          <w:bCs/>
          <w:color w:val="000000" w:themeColor="text1"/>
          <w:sz w:val="24"/>
          <w:szCs w:val="24"/>
          <w:highlight w:val="none"/>
        </w:rPr>
      </w:pPr>
      <w:r>
        <w:rPr>
          <w:bCs/>
          <w:color w:val="000000" w:themeColor="text1"/>
          <w:sz w:val="24"/>
          <w:szCs w:val="24"/>
          <w:highlight w:val="none"/>
        </w:rPr>
        <w:t xml:space="preserve">   （2）如无任何服务偏离，请于本表 “偏离说明”中注明“无偏离”；</w:t>
      </w:r>
      <w:r>
        <w:rPr>
          <w:color w:val="000000" w:themeColor="text1"/>
          <w:highlight w:val="none"/>
        </w:rPr>
      </w:r>
    </w:p>
    <w:p>
      <w:pPr>
        <w:rPr>
          <w:bCs/>
          <w:color w:val="000000" w:themeColor="text1"/>
          <w:sz w:val="24"/>
          <w:szCs w:val="24"/>
          <w:highlight w:val="none"/>
        </w:rPr>
      </w:pPr>
      <w:r>
        <w:rPr>
          <w:bCs/>
          <w:color w:val="000000" w:themeColor="text1"/>
          <w:sz w:val="24"/>
          <w:szCs w:val="24"/>
          <w:highlight w:val="none"/>
        </w:rPr>
        <w:t xml:space="preserve">   （3）如有服务偏离项，请于本表中列明偏离内容，如需要可自行延长，其余无偏离内容不须赘述。</w:t>
      </w:r>
      <w:r>
        <w:rPr>
          <w:color w:val="000000" w:themeColor="text1"/>
          <w:highlight w:val="none"/>
        </w:rPr>
      </w:r>
    </w:p>
    <w:p>
      <w:pPr>
        <w:ind w:firstLine="42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20"/>
        <w:rPr>
          <w:rFonts w:eastAsia="黑体"/>
          <w:bCs/>
          <w:color w:val="000000" w:themeColor="text1"/>
          <w:sz w:val="24"/>
          <w:szCs w:val="24"/>
          <w:highlight w:val="none"/>
        </w:rPr>
      </w:pPr>
      <w:r>
        <w:rPr>
          <w:rFonts w:eastAsia="黑体"/>
          <w:bCs/>
          <w:color w:val="000000" w:themeColor="text1"/>
          <w:sz w:val="24"/>
          <w:szCs w:val="24"/>
          <w:highlight w:val="none"/>
        </w:rPr>
      </w:r>
      <w:r>
        <w:rPr>
          <w:color w:val="000000" w:themeColor="text1"/>
          <w:highlight w:val="none"/>
        </w:rPr>
      </w:r>
    </w:p>
    <w:p>
      <w:pPr>
        <w:ind w:firstLine="420"/>
        <w:rPr>
          <w:rFonts w:eastAsia="黑体"/>
          <w:bCs/>
          <w:color w:val="000000" w:themeColor="text1"/>
          <w:sz w:val="24"/>
          <w:szCs w:val="24"/>
          <w:highlight w:val="none"/>
        </w:rPr>
      </w:pPr>
      <w:r>
        <w:rPr>
          <w:rFonts w:eastAsia="黑体"/>
          <w:bCs/>
          <w:color w:val="000000" w:themeColor="text1"/>
          <w:sz w:val="24"/>
          <w:szCs w:val="24"/>
          <w:highlight w:val="none"/>
        </w:rPr>
        <w:br w:type="page" w:clear="all"/>
      </w:r>
      <w:r>
        <w:rPr>
          <w:rFonts w:eastAsia="黑体"/>
          <w:bCs/>
          <w:color w:val="000000" w:themeColor="text1"/>
          <w:sz w:val="24"/>
          <w:szCs w:val="24"/>
          <w:highlight w:val="none"/>
        </w:rPr>
        <w:t xml:space="preserve">（十）项目组人员配备计划表</w:t>
      </w:r>
      <w:r>
        <w:rPr>
          <w:rFonts w:hint="eastAsia" w:eastAsia="黑体"/>
          <w:bCs/>
          <w:color w:val="000000" w:themeColor="text1"/>
          <w:sz w:val="24"/>
          <w:szCs w:val="24"/>
          <w:highlight w:val="none"/>
        </w:rPr>
        <w:t xml:space="preserve">（</w:t>
      </w:r>
      <w:r>
        <w:rPr>
          <w:rFonts w:eastAsia="黑体"/>
          <w:bCs/>
          <w:color w:val="000000" w:themeColor="text1"/>
          <w:sz w:val="24"/>
          <w:szCs w:val="24"/>
          <w:highlight w:val="none"/>
        </w:rPr>
        <w:t xml:space="preserve">格式</w:t>
      </w:r>
      <w:r>
        <w:rPr>
          <w:rFonts w:hint="eastAsia" w:eastAsia="黑体"/>
          <w:bCs/>
          <w:color w:val="000000" w:themeColor="text1"/>
          <w:sz w:val="24"/>
          <w:szCs w:val="24"/>
          <w:highlight w:val="none"/>
        </w:rPr>
        <w:t xml:space="preserve">）</w:t>
      </w:r>
      <w:r>
        <w:rPr>
          <w:color w:val="000000" w:themeColor="text1"/>
          <w:highlight w:val="none"/>
        </w:rPr>
      </w:r>
    </w:p>
    <w:p>
      <w:pPr>
        <w:jc w:val="center"/>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pStyle w:val="1092"/>
        <w:ind w:firstLine="240"/>
        <w:jc w:val="center"/>
        <w:rPr>
          <w:color w:val="000000" w:themeColor="text1"/>
          <w:highlight w:val="none"/>
        </w:rPr>
      </w:pPr>
      <w:r>
        <w:rPr>
          <w:bCs/>
          <w:color w:val="000000" w:themeColor="text1"/>
          <w:sz w:val="24"/>
          <w:szCs w:val="24"/>
          <w:highlight w:val="none"/>
        </w:rPr>
        <w:t xml:space="preserve">项目组人员配备计划表</w:t>
      </w:r>
      <w:r>
        <w:rPr>
          <w:color w:val="000000" w:themeColor="text1"/>
          <w:highlight w:val="none"/>
        </w:rPr>
      </w:r>
    </w:p>
    <w:p>
      <w:pPr>
        <w:spacing w:line="360" w:lineRule="auto"/>
        <w:rPr>
          <w:bCs/>
          <w:color w:val="000000" w:themeColor="text1"/>
          <w:szCs w:val="21"/>
          <w:highlight w:val="none"/>
        </w:rPr>
      </w:pPr>
      <w:r>
        <w:rPr>
          <w:rFonts w:hint="eastAsia"/>
          <w:bCs/>
          <w:color w:val="000000" w:themeColor="text1"/>
          <w:sz w:val="24"/>
          <w:szCs w:val="24"/>
          <w:highlight w:val="none"/>
        </w:rPr>
        <w:t xml:space="preserve">投标供应商</w:t>
      </w:r>
      <w:r>
        <w:rPr>
          <w:bCs/>
          <w:color w:val="000000" w:themeColor="text1"/>
          <w:sz w:val="24"/>
          <w:szCs w:val="24"/>
          <w:highlight w:val="none"/>
        </w:rPr>
        <w:t xml:space="preserve">名称（盖章）                                       项目编号： </w:t>
      </w:r>
      <w:r>
        <w:rPr>
          <w:color w:val="000000" w:themeColor="text1"/>
          <w:highlight w:val="none"/>
        </w:rPr>
      </w:r>
    </w:p>
    <w:tbl>
      <w:tblPr>
        <w:tblStyle w:val="8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序号</w:t>
            </w:r>
            <w:r>
              <w:rPr>
                <w:color w:val="000000" w:themeColor="text1"/>
                <w:highlight w:val="none"/>
              </w:rPr>
            </w:r>
          </w:p>
        </w:tc>
        <w:tc>
          <w:tcPr>
            <w:tcW w:w="1047"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姓名</w:t>
            </w:r>
            <w:r>
              <w:rPr>
                <w:color w:val="000000" w:themeColor="text1"/>
                <w:highlight w:val="none"/>
              </w:rPr>
            </w:r>
          </w:p>
        </w:tc>
        <w:tc>
          <w:tcPr>
            <w:tcW w:w="730"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性别</w:t>
            </w:r>
            <w:r>
              <w:rPr>
                <w:color w:val="000000" w:themeColor="text1"/>
                <w:highlight w:val="none"/>
              </w:rPr>
            </w:r>
          </w:p>
        </w:tc>
        <w:tc>
          <w:tcPr>
            <w:tcW w:w="709"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年龄</w:t>
            </w:r>
            <w:r>
              <w:rPr>
                <w:color w:val="000000" w:themeColor="text1"/>
                <w:highlight w:val="none"/>
              </w:rPr>
            </w:r>
          </w:p>
        </w:tc>
        <w:tc>
          <w:tcPr>
            <w:tcW w:w="1477"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岗位名称</w:t>
            </w:r>
            <w:r>
              <w:rPr>
                <w:color w:val="000000" w:themeColor="text1"/>
                <w:highlight w:val="none"/>
              </w:rPr>
            </w:r>
          </w:p>
        </w:tc>
        <w:tc>
          <w:tcPr>
            <w:tcW w:w="1236"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学历</w:t>
            </w:r>
            <w:r>
              <w:rPr>
                <w:color w:val="000000" w:themeColor="text1"/>
                <w:highlight w:val="none"/>
              </w:rPr>
            </w:r>
          </w:p>
        </w:tc>
        <w:tc>
          <w:tcPr>
            <w:tcW w:w="1236"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职称</w:t>
            </w:r>
            <w:r>
              <w:rPr>
                <w:color w:val="000000" w:themeColor="text1"/>
                <w:highlight w:val="none"/>
              </w:rPr>
            </w:r>
          </w:p>
        </w:tc>
        <w:tc>
          <w:tcPr>
            <w:tcW w:w="1857"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主要资历、经验及承担过的项目</w:t>
            </w:r>
            <w:r>
              <w:rPr>
                <w:color w:val="000000" w:themeColor="text1"/>
                <w:highlight w:val="none"/>
              </w:rPr>
            </w:r>
          </w:p>
        </w:tc>
        <w:tc>
          <w:tcPr>
            <w:tcW w:w="932" w:type="dxa"/>
            <w:vAlign w:val="center"/>
            <w:textDirection w:val="lrTb"/>
            <w:noWrap w:val="false"/>
          </w:tcPr>
          <w:p>
            <w:pPr>
              <w:jc w:val="center"/>
              <w:spacing w:line="300" w:lineRule="exact"/>
              <w:rPr>
                <w:color w:val="000000" w:themeColor="text1"/>
                <w:spacing w:val="20"/>
                <w:sz w:val="24"/>
                <w:highlight w:val="none"/>
              </w:rPr>
            </w:pPr>
            <w:r>
              <w:rPr>
                <w:color w:val="000000" w:themeColor="text1"/>
                <w:spacing w:val="20"/>
                <w:sz w:val="24"/>
                <w:highlight w:val="none"/>
              </w:rPr>
              <w:t xml:space="preserve">备注</w:t>
            </w:r>
            <w:r>
              <w:rPr>
                <w:color w:val="000000" w:themeColor="text1"/>
                <w:highlight w:val="none"/>
              </w:rPr>
            </w:r>
          </w:p>
        </w:tc>
      </w:tr>
      <w:tr>
        <w:trPr>
          <w:trHeight w:val="521"/>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1</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57"/>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2</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63"/>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3</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41"/>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4</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503"/>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5</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95"/>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6</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95"/>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7</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65"/>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8</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50"/>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9</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trHeight w:val="447"/>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10</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r>
        <w:trPr>
          <w:cantSplit/>
          <w:trHeight w:val="630"/>
        </w:trPr>
        <w:tc>
          <w:tcPr>
            <w:tcW w:w="741"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t xml:space="preserve">… …</w:t>
            </w:r>
            <w:r>
              <w:rPr>
                <w:color w:val="000000" w:themeColor="text1"/>
                <w:highlight w:val="none"/>
              </w:rPr>
            </w:r>
          </w:p>
        </w:tc>
        <w:tc>
          <w:tcPr>
            <w:tcW w:w="104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30"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709"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47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236"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1857"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c>
          <w:tcPr>
            <w:tcW w:w="932" w:type="dxa"/>
            <w:vAlign w:val="center"/>
            <w:textDirection w:val="lrTb"/>
            <w:noWrap w:val="false"/>
          </w:tcPr>
          <w:p>
            <w:pPr>
              <w:jc w:val="center"/>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p>
        </w:tc>
      </w:tr>
    </w:tbl>
    <w:p>
      <w:pPr>
        <w:spacing w:line="480" w:lineRule="auto"/>
        <w:rPr>
          <w:bCs/>
          <w:color w:val="000000" w:themeColor="text1"/>
          <w:sz w:val="24"/>
          <w:highlight w:val="none"/>
        </w:rPr>
      </w:pPr>
      <w:r>
        <w:rPr>
          <w:bCs/>
          <w:color w:val="000000" w:themeColor="text1"/>
          <w:sz w:val="24"/>
          <w:highlight w:val="none"/>
        </w:rPr>
        <w:t xml:space="preserve">法定代表人或法定代表人授权代表签字或盖章：</w:t>
      </w:r>
      <w:r>
        <w:rPr>
          <w:color w:val="000000" w:themeColor="text1"/>
          <w:highlight w:val="none"/>
        </w:rPr>
      </w:r>
    </w:p>
    <w:p>
      <w:pPr>
        <w:spacing w:line="480" w:lineRule="auto"/>
        <w:rPr>
          <w:bCs/>
          <w:color w:val="000000" w:themeColor="text1"/>
          <w:sz w:val="24"/>
          <w:highlight w:val="none"/>
        </w:rPr>
      </w:pPr>
      <w:r>
        <w:rPr>
          <w:bCs/>
          <w:color w:val="000000" w:themeColor="text1"/>
          <w:sz w:val="24"/>
          <w:highlight w:val="none"/>
        </w:rPr>
      </w:r>
      <w:r>
        <w:rPr>
          <w:color w:val="000000" w:themeColor="text1"/>
          <w:highlight w:val="none"/>
        </w:rPr>
      </w:r>
    </w:p>
    <w:p>
      <w:pPr>
        <w:rPr>
          <w:bCs/>
          <w:color w:val="000000" w:themeColor="text1"/>
          <w:szCs w:val="21"/>
          <w:highlight w:val="none"/>
        </w:rPr>
      </w:pPr>
      <w:r>
        <w:rPr>
          <w:bCs/>
          <w:color w:val="000000" w:themeColor="text1"/>
          <w:szCs w:val="21"/>
          <w:highlight w:val="none"/>
        </w:rPr>
        <w:t xml:space="preserve">注：1、上表可自行延长。</w:t>
      </w:r>
      <w:r>
        <w:rPr>
          <w:color w:val="000000" w:themeColor="text1"/>
          <w:highlight w:val="none"/>
        </w:rPr>
      </w:r>
    </w:p>
    <w:p>
      <w:pPr>
        <w:ind w:firstLine="420"/>
        <w:rPr>
          <w:rFonts w:eastAsia="黑体"/>
          <w:bCs/>
          <w:color w:val="000000" w:themeColor="text1"/>
          <w:sz w:val="24"/>
          <w:szCs w:val="24"/>
          <w:highlight w:val="none"/>
        </w:rPr>
      </w:pPr>
      <w:r>
        <w:rPr>
          <w:rFonts w:hint="eastAsia"/>
          <w:bCs/>
          <w:color w:val="000000" w:themeColor="text1"/>
          <w:szCs w:val="21"/>
          <w:highlight w:val="none"/>
        </w:rPr>
        <w:t xml:space="preserve">2.</w:t>
      </w:r>
      <w:r>
        <w:rPr>
          <w:bCs/>
          <w:color w:val="000000" w:themeColor="text1"/>
          <w:szCs w:val="21"/>
          <w:highlight w:val="none"/>
        </w:rPr>
        <w:t xml:space="preserve">提供拟派</w:t>
      </w:r>
      <w:r>
        <w:rPr>
          <w:rFonts w:hint="eastAsia"/>
          <w:bCs/>
          <w:color w:val="000000" w:themeColor="text1"/>
          <w:szCs w:val="21"/>
          <w:highlight w:val="none"/>
        </w:rPr>
        <w:t xml:space="preserve">人员证书（如有）</w:t>
      </w:r>
      <w:r>
        <w:rPr>
          <w:bCs/>
          <w:color w:val="000000" w:themeColor="text1"/>
          <w:szCs w:val="21"/>
          <w:highlight w:val="none"/>
        </w:rPr>
        <w:t xml:space="preserve">。</w:t>
      </w:r>
      <w:r>
        <w:rPr>
          <w:rFonts w:eastAsia="黑体"/>
          <w:bCs/>
          <w:color w:val="000000" w:themeColor="text1"/>
          <w:sz w:val="24"/>
          <w:szCs w:val="24"/>
          <w:highlight w:val="none"/>
        </w:rPr>
        <w:br w:type="page" w:clear="all"/>
      </w:r>
      <w:r>
        <w:rPr>
          <w:color w:val="000000" w:themeColor="text1"/>
          <w:highlight w:val="none"/>
        </w:rPr>
      </w:r>
    </w:p>
    <w:p>
      <w:pPr>
        <w:spacing w:line="360" w:lineRule="auto"/>
        <w:rPr>
          <w:rFonts w:eastAsia="黑体"/>
          <w:bCs/>
          <w:color w:val="000000" w:themeColor="text1"/>
          <w:sz w:val="24"/>
          <w:szCs w:val="24"/>
          <w:highlight w:val="none"/>
        </w:rPr>
      </w:pPr>
      <w:r>
        <w:rPr>
          <w:rFonts w:eastAsia="黑体"/>
          <w:bCs/>
          <w:color w:val="000000" w:themeColor="text1"/>
          <w:sz w:val="24"/>
          <w:szCs w:val="24"/>
          <w:highlight w:val="none"/>
        </w:rPr>
        <w:t xml:space="preserve">（十一）技术方案（格式）</w:t>
      </w:r>
      <w:r>
        <w:rPr>
          <w:color w:val="000000" w:themeColor="text1"/>
          <w:highlight w:val="none"/>
        </w:rPr>
      </w:r>
    </w:p>
    <w:p>
      <w:pPr>
        <w:ind w:firstLine="480"/>
        <w:jc w:val="center"/>
        <w:spacing w:line="360" w:lineRule="auto"/>
        <w:rPr>
          <w:bCs/>
          <w:color w:val="000000" w:themeColor="text1"/>
          <w:sz w:val="24"/>
          <w:szCs w:val="24"/>
          <w:highlight w:val="none"/>
        </w:rPr>
      </w:pPr>
      <w:r>
        <w:rPr>
          <w:bCs/>
          <w:color w:val="000000" w:themeColor="text1"/>
          <w:sz w:val="24"/>
          <w:szCs w:val="24"/>
          <w:highlight w:val="none"/>
        </w:rPr>
      </w:r>
      <w:r>
        <w:rPr>
          <w:color w:val="000000" w:themeColor="text1"/>
          <w:highlight w:val="none"/>
        </w:rPr>
      </w:r>
    </w:p>
    <w:p>
      <w:pPr>
        <w:ind w:firstLine="480"/>
        <w:jc w:val="center"/>
        <w:spacing w:line="360" w:lineRule="auto"/>
        <w:rPr>
          <w:b/>
          <w:bCs/>
          <w:color w:val="000000" w:themeColor="text1"/>
          <w:sz w:val="24"/>
          <w:szCs w:val="24"/>
          <w:highlight w:val="none"/>
        </w:rPr>
      </w:pPr>
      <w:r>
        <w:rPr>
          <w:b/>
          <w:bCs/>
          <w:color w:val="000000" w:themeColor="text1"/>
          <w:sz w:val="24"/>
          <w:szCs w:val="24"/>
          <w:highlight w:val="none"/>
        </w:rPr>
        <w:t xml:space="preserve">技术方案</w:t>
      </w:r>
      <w:r>
        <w:rPr>
          <w:color w:val="000000" w:themeColor="text1"/>
          <w:highlight w:val="none"/>
        </w:rPr>
      </w:r>
    </w:p>
    <w:p>
      <w:pPr>
        <w:pStyle w:val="1117"/>
        <w:ind w:firstLine="0"/>
        <w:rPr>
          <w:color w:val="000000" w:themeColor="text1"/>
          <w:sz w:val="24"/>
          <w:highlight w:val="none"/>
        </w:rPr>
      </w:pPr>
      <w:r>
        <w:rPr>
          <w:rFonts w:hint="eastAsia"/>
          <w:color w:val="000000" w:themeColor="text1"/>
          <w:sz w:val="24"/>
          <w:highlight w:val="none"/>
        </w:rPr>
        <w:t xml:space="preserve">投标供应商</w:t>
      </w:r>
      <w:r>
        <w:rPr>
          <w:color w:val="000000" w:themeColor="text1"/>
          <w:sz w:val="24"/>
          <w:highlight w:val="none"/>
        </w:rPr>
        <w:t xml:space="preserve">应按评分点编制完整的服务方案，以便评审。</w:t>
      </w:r>
      <w:r>
        <w:rPr>
          <w:color w:val="000000" w:themeColor="text1"/>
          <w:highlight w:val="none"/>
        </w:rPr>
      </w:r>
    </w:p>
    <w:p>
      <w:pPr>
        <w:pStyle w:val="1117"/>
        <w:ind w:firstLine="0"/>
        <w:rPr>
          <w:color w:val="000000" w:themeColor="text1"/>
          <w:sz w:val="24"/>
          <w:highlight w:val="none"/>
        </w:rPr>
      </w:pPr>
      <w:r>
        <w:rPr>
          <w:color w:val="000000" w:themeColor="text1"/>
          <w:sz w:val="24"/>
          <w:highlight w:val="none"/>
        </w:rPr>
      </w:r>
      <w:r>
        <w:rPr>
          <w:color w:val="000000" w:themeColor="text1"/>
          <w:highlight w:val="none"/>
        </w:rPr>
      </w:r>
    </w:p>
    <w:p>
      <w:pPr>
        <w:pStyle w:val="1112"/>
        <w:ind w:firstLine="0"/>
        <w:rPr>
          <w:bCs/>
          <w:color w:val="000000" w:themeColor="text1"/>
          <w:sz w:val="24"/>
          <w:szCs w:val="24"/>
          <w:highlight w:val="none"/>
        </w:rPr>
      </w:pPr>
      <w:r>
        <w:rPr>
          <w:b/>
          <w:bCs/>
          <w:color w:val="000000" w:themeColor="text1"/>
          <w:sz w:val="24"/>
          <w:highlight w:val="none"/>
        </w:rPr>
        <w:t xml:space="preserve">（格式自拟）</w:t>
      </w:r>
      <w:r>
        <w:rPr>
          <w:color w:val="000000" w:themeColor="text1"/>
          <w:highlight w:val="none"/>
        </w:rPr>
      </w:r>
    </w:p>
    <w:sectPr>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ourier New">
    <w:panose1 w:val="02070309020205020404"/>
  </w:font>
  <w:font w:name="ˎ̥">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21"/>
      </w:rPr>
      <w:t xml:space="preserve">- </w:t>
    </w:r>
    <w:r>
      <w:rPr>
        <w:sz w:val="18"/>
        <w:szCs w:val="21"/>
      </w:rPr>
      <w:fldChar w:fldCharType="begin"/>
    </w:r>
    <w:r>
      <w:rPr>
        <w:sz w:val="18"/>
        <w:szCs w:val="21"/>
      </w:rPr>
      <w:instrText xml:space="preserve"> PAGE </w:instrText>
    </w:r>
    <w:r>
      <w:rPr>
        <w:sz w:val="18"/>
        <w:szCs w:val="21"/>
      </w:rPr>
      <w:fldChar w:fldCharType="separate"/>
    </w:r>
    <w:r>
      <w:rPr>
        <w:sz w:val="18"/>
        <w:szCs w:val="21"/>
      </w:rPr>
      <w:t xml:space="preserve">8</w:t>
    </w:r>
    <w:r>
      <w:rPr>
        <w:sz w:val="18"/>
        <w:szCs w:val="21"/>
      </w:rPr>
      <w:fldChar w:fldCharType="end"/>
    </w:r>
    <w:r>
      <w:rPr>
        <w:sz w:val="18"/>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21"/>
      </w:rPr>
      <w:t xml:space="preserve">- </w:t>
    </w:r>
    <w:r>
      <w:rPr>
        <w:sz w:val="18"/>
        <w:szCs w:val="21"/>
      </w:rPr>
      <w:fldChar w:fldCharType="begin"/>
    </w:r>
    <w:r>
      <w:rPr>
        <w:sz w:val="18"/>
        <w:szCs w:val="21"/>
      </w:rPr>
      <w:instrText xml:space="preserve"> PAGE </w:instrText>
    </w:r>
    <w:r>
      <w:rPr>
        <w:sz w:val="18"/>
        <w:szCs w:val="21"/>
      </w:rPr>
      <w:fldChar w:fldCharType="separate"/>
    </w:r>
    <w:r>
      <w:rPr>
        <w:sz w:val="18"/>
        <w:szCs w:val="21"/>
      </w:rPr>
      <w:t xml:space="preserve">29</w:t>
    </w:r>
    <w:r>
      <w:rPr>
        <w:sz w:val="18"/>
        <w:szCs w:val="21"/>
      </w:rPr>
      <w:fldChar w:fldCharType="end"/>
    </w:r>
    <w:r>
      <w:rPr>
        <w:sz w:val="18"/>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33</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524" w:leader="none"/>
        <w:tab w:val="right" w:pos="9048" w:leader="none"/>
      </w:tabs>
    </w:pPr>
    <w:r>
      <w:rPr>
        <w:rFonts w:hint="eastAsia" w:ascii="宋体" w:hAnsi="宋体"/>
      </w:rPr>
      <w:t xml:space="preserve">JSZC-320211-JSZH-G2025-0105 </w:t>
    </w:r>
    <w:r>
      <w:rPr>
        <w:rFonts w:hint="eastAsia"/>
      </w:rPr>
      <w:t xml:space="preserve">             </w:t>
    </w:r>
    <w:r>
      <w:rPr>
        <w:rFonts w:hint="eastAsia" w:ascii="宋体" w:hAnsi="宋体"/>
      </w:rPr>
      <w:t xml:space="preserve">滨湖区水质自动监测微型站第三方运维服务项目（2025-2027）公开招标文件</w:t>
    </w:r>
    <w:r/>
  </w:p>
  <w:p>
    <w:pPr>
      <w:pStyle w:val="8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524" w:leader="none"/>
        <w:tab w:val="right" w:pos="9048" w:leader="none"/>
      </w:tabs>
    </w:pPr>
    <w:r>
      <w:rPr>
        <w:rFonts w:hint="eastAsia" w:ascii="宋体" w:hAnsi="宋体"/>
      </w:rPr>
      <w:t xml:space="preserve">JSZC-320211-JSZH-G2025-0105 </w:t>
    </w:r>
    <w:r>
      <w:rPr>
        <w:rFonts w:hint="eastAsia"/>
      </w:rPr>
      <w:t xml:space="preserve">             </w:t>
    </w:r>
    <w:r>
      <w:rPr>
        <w:rFonts w:hint="eastAsia" w:ascii="宋体" w:hAnsi="宋体"/>
      </w:rPr>
      <w:t xml:space="preserve">滨湖区水质自动监测微型站第三方运维服务项目（2025-2027）公开招标文件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pStyle w:val="1064"/>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1104" w:hanging="696"/>
        <w:tabs>
          <w:tab w:val="left" w:pos="1104"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12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2">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4"/>
  </w:num>
  <w:num w:numId="2">
    <w:abstractNumId w:val="3"/>
  </w:num>
  <w:num w:numId="3">
    <w:abstractNumId w:val="10"/>
  </w:num>
  <w:num w:numId="4">
    <w:abstractNumId w:val="2"/>
  </w:num>
  <w:num w:numId="5">
    <w:abstractNumId w:val="1"/>
  </w:num>
  <w:num w:numId="6">
    <w:abstractNumId w:val="12"/>
  </w:num>
  <w:num w:numId="7">
    <w:abstractNumId w:val="6"/>
  </w:num>
  <w:num w:numId="8">
    <w:abstractNumId w:val="9"/>
  </w:num>
  <w:num w:numId="9">
    <w:abstractNumId w:val="13"/>
  </w:num>
  <w:num w:numId="10">
    <w:abstractNumId w:val="5"/>
  </w:num>
  <w:num w:numId="11">
    <w:abstractNumId w:val="0"/>
  </w:num>
  <w:num w:numId="12">
    <w:abstractNumId w:val="8"/>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beneathText"/>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815"/>
    <w:link w:val="806"/>
    <w:uiPriority w:val="9"/>
    <w:rPr>
      <w:rFonts w:ascii="Arial" w:hAnsi="Arial" w:eastAsia="Arial" w:cs="Arial"/>
      <w:sz w:val="40"/>
      <w:szCs w:val="40"/>
    </w:rPr>
  </w:style>
  <w:style w:type="character" w:styleId="769">
    <w:name w:val="Heading 2 Char"/>
    <w:basedOn w:val="815"/>
    <w:link w:val="807"/>
    <w:uiPriority w:val="9"/>
    <w:rPr>
      <w:rFonts w:ascii="Arial" w:hAnsi="Arial" w:eastAsia="Arial" w:cs="Arial"/>
      <w:sz w:val="34"/>
    </w:rPr>
  </w:style>
  <w:style w:type="character" w:styleId="770">
    <w:name w:val="Heading 3 Char"/>
    <w:basedOn w:val="815"/>
    <w:link w:val="808"/>
    <w:uiPriority w:val="9"/>
    <w:rPr>
      <w:rFonts w:ascii="Arial" w:hAnsi="Arial" w:eastAsia="Arial" w:cs="Arial"/>
      <w:sz w:val="30"/>
      <w:szCs w:val="30"/>
    </w:rPr>
  </w:style>
  <w:style w:type="character" w:styleId="771">
    <w:name w:val="Heading 4 Char"/>
    <w:basedOn w:val="815"/>
    <w:link w:val="809"/>
    <w:uiPriority w:val="9"/>
    <w:rPr>
      <w:rFonts w:ascii="Arial" w:hAnsi="Arial" w:eastAsia="Arial" w:cs="Arial"/>
      <w:b/>
      <w:bCs/>
      <w:sz w:val="26"/>
      <w:szCs w:val="26"/>
    </w:rPr>
  </w:style>
  <w:style w:type="character" w:styleId="772">
    <w:name w:val="Heading 5 Char"/>
    <w:basedOn w:val="815"/>
    <w:link w:val="810"/>
    <w:uiPriority w:val="9"/>
    <w:rPr>
      <w:rFonts w:ascii="Arial" w:hAnsi="Arial" w:eastAsia="Arial" w:cs="Arial"/>
      <w:b/>
      <w:bCs/>
      <w:sz w:val="24"/>
      <w:szCs w:val="24"/>
    </w:rPr>
  </w:style>
  <w:style w:type="character" w:styleId="773">
    <w:name w:val="Heading 6 Char"/>
    <w:basedOn w:val="815"/>
    <w:link w:val="811"/>
    <w:uiPriority w:val="9"/>
    <w:rPr>
      <w:rFonts w:ascii="Arial" w:hAnsi="Arial" w:eastAsia="Arial" w:cs="Arial"/>
      <w:b/>
      <w:bCs/>
      <w:sz w:val="22"/>
      <w:szCs w:val="22"/>
    </w:rPr>
  </w:style>
  <w:style w:type="character" w:styleId="774">
    <w:name w:val="Heading 7 Char"/>
    <w:basedOn w:val="815"/>
    <w:link w:val="812"/>
    <w:uiPriority w:val="9"/>
    <w:rPr>
      <w:rFonts w:ascii="Arial" w:hAnsi="Arial" w:eastAsia="Arial" w:cs="Arial"/>
      <w:b/>
      <w:bCs/>
      <w:i/>
      <w:iCs/>
      <w:sz w:val="22"/>
      <w:szCs w:val="22"/>
    </w:rPr>
  </w:style>
  <w:style w:type="character" w:styleId="775">
    <w:name w:val="Heading 8 Char"/>
    <w:basedOn w:val="815"/>
    <w:link w:val="813"/>
    <w:uiPriority w:val="9"/>
    <w:rPr>
      <w:rFonts w:ascii="Arial" w:hAnsi="Arial" w:eastAsia="Arial" w:cs="Arial"/>
      <w:i/>
      <w:iCs/>
      <w:sz w:val="22"/>
      <w:szCs w:val="22"/>
    </w:rPr>
  </w:style>
  <w:style w:type="character" w:styleId="776">
    <w:name w:val="Heading 9 Char"/>
    <w:basedOn w:val="815"/>
    <w:link w:val="814"/>
    <w:uiPriority w:val="9"/>
    <w:rPr>
      <w:rFonts w:ascii="Arial" w:hAnsi="Arial" w:eastAsia="Arial" w:cs="Arial"/>
      <w:i/>
      <w:iCs/>
      <w:sz w:val="21"/>
      <w:szCs w:val="21"/>
    </w:rPr>
  </w:style>
  <w:style w:type="character" w:styleId="777">
    <w:name w:val="Title Char"/>
    <w:basedOn w:val="815"/>
    <w:link w:val="837"/>
    <w:uiPriority w:val="10"/>
    <w:rPr>
      <w:sz w:val="48"/>
      <w:szCs w:val="48"/>
    </w:rPr>
  </w:style>
  <w:style w:type="character" w:styleId="778">
    <w:name w:val="Subtitle Char"/>
    <w:basedOn w:val="815"/>
    <w:link w:val="831"/>
    <w:uiPriority w:val="11"/>
    <w:rPr>
      <w:sz w:val="24"/>
      <w:szCs w:val="24"/>
    </w:rPr>
  </w:style>
  <w:style w:type="character" w:styleId="779">
    <w:name w:val="Quote Char"/>
    <w:link w:val="859"/>
    <w:uiPriority w:val="29"/>
    <w:rPr>
      <w:i/>
    </w:rPr>
  </w:style>
  <w:style w:type="character" w:styleId="780">
    <w:name w:val="Intense Quote Char"/>
    <w:link w:val="861"/>
    <w:uiPriority w:val="30"/>
    <w:rPr>
      <w:i/>
    </w:rPr>
  </w:style>
  <w:style w:type="character" w:styleId="781">
    <w:name w:val="Header Char"/>
    <w:basedOn w:val="815"/>
    <w:link w:val="828"/>
    <w:uiPriority w:val="99"/>
  </w:style>
  <w:style w:type="character" w:styleId="782">
    <w:name w:val="Caption Char"/>
    <w:basedOn w:val="818"/>
    <w:link w:val="827"/>
    <w:uiPriority w:val="99"/>
  </w:style>
  <w:style w:type="table" w:styleId="78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Footnote Text Char"/>
    <w:link w:val="832"/>
    <w:uiPriority w:val="99"/>
    <w:rPr>
      <w:sz w:val="18"/>
    </w:rPr>
  </w:style>
  <w:style w:type="character" w:styleId="803">
    <w:name w:val="Endnote Text Char"/>
    <w:link w:val="825"/>
    <w:uiPriority w:val="99"/>
    <w:rPr>
      <w:sz w:val="20"/>
    </w:rPr>
  </w:style>
  <w:style w:type="paragraph" w:styleId="804">
    <w:name w:val="TOC Heading"/>
    <w:uiPriority w:val="39"/>
    <w:unhideWhenUsed/>
  </w:style>
  <w:style w:type="paragraph" w:styleId="805" w:default="1">
    <w:name w:val="Normal"/>
    <w:next w:val="809"/>
    <w:uiPriority w:val="0"/>
    <w:qFormat/>
    <w:pPr>
      <w:jc w:val="both"/>
      <w:widowControl w:val="off"/>
    </w:pPr>
    <w:rPr>
      <w:rFonts w:ascii="Times New Roman" w:hAnsi="Times New Roman" w:eastAsia="宋体" w:cs="Times New Roman"/>
      <w:sz w:val="21"/>
      <w:lang w:val="en-US" w:eastAsia="zh-CN" w:bidi="ar-SA"/>
    </w:rPr>
  </w:style>
  <w:style w:type="paragraph" w:styleId="806">
    <w:name w:val="Heading 1"/>
    <w:basedOn w:val="805"/>
    <w:next w:val="805"/>
    <w:link w:val="847"/>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48"/>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49"/>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50"/>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51"/>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52"/>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4"/>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5"/>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tblPr>
      <w:tblCellMar>
        <w:left w:w="108" w:type="dxa"/>
        <w:top w:w="0" w:type="dxa"/>
        <w:right w:w="108" w:type="dxa"/>
        <w:bottom w:w="0" w:type="dxa"/>
      </w:tblCellMar>
    </w:tblPr>
  </w:style>
  <w:style w:type="paragraph" w:styleId="817">
    <w:name w:val="toc 7"/>
    <w:basedOn w:val="805"/>
    <w:next w:val="805"/>
    <w:uiPriority w:val="39"/>
    <w:unhideWhenUsed/>
    <w:qFormat/>
    <w:pPr>
      <w:ind w:left="1701"/>
      <w:spacing w:after="57"/>
    </w:pPr>
  </w:style>
  <w:style w:type="paragraph" w:styleId="818">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annotation text"/>
    <w:basedOn w:val="805"/>
    <w:uiPriority w:val="99"/>
    <w:semiHidden/>
    <w:unhideWhenUsed/>
    <w:qFormat/>
    <w:pPr>
      <w:jc w:val="left"/>
    </w:pPr>
  </w:style>
  <w:style w:type="paragraph" w:styleId="820">
    <w:name w:val="Body Text Indent"/>
    <w:basedOn w:val="805"/>
    <w:next w:val="821"/>
    <w:uiPriority w:val="0"/>
    <w:qFormat/>
    <w:pPr>
      <w:ind w:firstLine="576"/>
    </w:pPr>
    <w:rPr>
      <w:b/>
      <w:sz w:val="30"/>
    </w:rPr>
  </w:style>
  <w:style w:type="paragraph" w:styleId="821">
    <w:name w:val="envelope return"/>
    <w:basedOn w:val="805"/>
    <w:uiPriority w:val="0"/>
    <w:qFormat/>
    <w:rPr>
      <w:rFonts w:ascii="Arial" w:hAnsi="Arial"/>
    </w:rPr>
  </w:style>
  <w:style w:type="paragraph" w:styleId="822">
    <w:name w:val="toc 5"/>
    <w:basedOn w:val="805"/>
    <w:next w:val="805"/>
    <w:uiPriority w:val="39"/>
    <w:unhideWhenUsed/>
    <w:qFormat/>
    <w:pPr>
      <w:ind w:left="1134"/>
      <w:spacing w:after="57"/>
    </w:pPr>
  </w:style>
  <w:style w:type="paragraph" w:styleId="823">
    <w:name w:val="toc 3"/>
    <w:basedOn w:val="805"/>
    <w:next w:val="805"/>
    <w:uiPriority w:val="39"/>
    <w:unhideWhenUsed/>
    <w:qFormat/>
    <w:pPr>
      <w:ind w:left="567"/>
      <w:spacing w:after="57"/>
    </w:pPr>
  </w:style>
  <w:style w:type="paragraph" w:styleId="824">
    <w:name w:val="toc 8"/>
    <w:basedOn w:val="805"/>
    <w:next w:val="805"/>
    <w:uiPriority w:val="39"/>
    <w:unhideWhenUsed/>
    <w:qFormat/>
    <w:pPr>
      <w:ind w:left="1984"/>
      <w:spacing w:after="57"/>
    </w:pPr>
  </w:style>
  <w:style w:type="paragraph" w:styleId="825">
    <w:name w:val="endnote text"/>
    <w:basedOn w:val="805"/>
    <w:link w:val="992"/>
    <w:uiPriority w:val="99"/>
    <w:semiHidden/>
    <w:unhideWhenUsed/>
    <w:qFormat/>
    <w:rPr>
      <w:sz w:val="20"/>
    </w:rPr>
  </w:style>
  <w:style w:type="paragraph" w:styleId="826">
    <w:name w:val="Balloon Text"/>
    <w:basedOn w:val="805"/>
    <w:link w:val="1267"/>
    <w:uiPriority w:val="99"/>
    <w:semiHidden/>
    <w:unhideWhenUsed/>
    <w:qFormat/>
    <w:rPr>
      <w:sz w:val="18"/>
      <w:szCs w:val="18"/>
    </w:rPr>
  </w:style>
  <w:style w:type="paragraph" w:styleId="827">
    <w:name w:val="Footer"/>
    <w:basedOn w:val="805"/>
    <w:link w:val="865"/>
    <w:uiPriority w:val="99"/>
    <w:unhideWhenUsed/>
    <w:qFormat/>
    <w:pPr>
      <w:tabs>
        <w:tab w:val="center" w:pos="7143" w:leader="none"/>
        <w:tab w:val="right" w:pos="14287" w:leader="none"/>
      </w:tabs>
    </w:pPr>
  </w:style>
  <w:style w:type="paragraph" w:styleId="828">
    <w:name w:val="Header"/>
    <w:basedOn w:val="805"/>
    <w:link w:val="863"/>
    <w:uiPriority w:val="99"/>
    <w:unhideWhenUsed/>
    <w:qFormat/>
    <w:pPr>
      <w:tabs>
        <w:tab w:val="center" w:pos="7143" w:leader="none"/>
        <w:tab w:val="right" w:pos="14287" w:leader="none"/>
      </w:tabs>
    </w:pPr>
  </w:style>
  <w:style w:type="paragraph" w:styleId="829">
    <w:name w:val="toc 1"/>
    <w:basedOn w:val="805"/>
    <w:next w:val="805"/>
    <w:uiPriority w:val="39"/>
    <w:unhideWhenUsed/>
    <w:qFormat/>
    <w:pPr>
      <w:spacing w:after="57"/>
    </w:pPr>
  </w:style>
  <w:style w:type="paragraph" w:styleId="830">
    <w:name w:val="toc 4"/>
    <w:basedOn w:val="805"/>
    <w:next w:val="805"/>
    <w:uiPriority w:val="39"/>
    <w:unhideWhenUsed/>
    <w:qFormat/>
    <w:pPr>
      <w:ind w:left="850"/>
      <w:spacing w:after="57"/>
    </w:pPr>
  </w:style>
  <w:style w:type="paragraph" w:styleId="831">
    <w:name w:val="Subtitle"/>
    <w:basedOn w:val="805"/>
    <w:next w:val="805"/>
    <w:link w:val="858"/>
    <w:uiPriority w:val="11"/>
    <w:qFormat/>
    <w:pPr>
      <w:spacing w:before="200" w:after="200"/>
    </w:pPr>
    <w:rPr>
      <w:sz w:val="24"/>
      <w:szCs w:val="24"/>
    </w:rPr>
  </w:style>
  <w:style w:type="paragraph" w:styleId="832">
    <w:name w:val="footnote text"/>
    <w:basedOn w:val="805"/>
    <w:link w:val="991"/>
    <w:uiPriority w:val="99"/>
    <w:semiHidden/>
    <w:unhideWhenUsed/>
    <w:qFormat/>
    <w:pPr>
      <w:spacing w:after="40"/>
    </w:pPr>
    <w:rPr>
      <w:sz w:val="18"/>
    </w:rPr>
  </w:style>
  <w:style w:type="paragraph" w:styleId="833">
    <w:name w:val="toc 6"/>
    <w:basedOn w:val="805"/>
    <w:next w:val="805"/>
    <w:uiPriority w:val="39"/>
    <w:unhideWhenUsed/>
    <w:qFormat/>
    <w:pPr>
      <w:ind w:left="1417"/>
      <w:spacing w:after="57"/>
    </w:pPr>
  </w:style>
  <w:style w:type="paragraph" w:styleId="834">
    <w:name w:val="table of figures"/>
    <w:basedOn w:val="805"/>
    <w:next w:val="805"/>
    <w:uiPriority w:val="99"/>
    <w:unhideWhenUsed/>
    <w:qFormat/>
  </w:style>
  <w:style w:type="paragraph" w:styleId="835">
    <w:name w:val="toc 2"/>
    <w:basedOn w:val="805"/>
    <w:next w:val="805"/>
    <w:uiPriority w:val="39"/>
    <w:unhideWhenUsed/>
    <w:qFormat/>
    <w:pPr>
      <w:ind w:left="283"/>
      <w:spacing w:after="57"/>
    </w:pPr>
  </w:style>
  <w:style w:type="paragraph" w:styleId="836">
    <w:name w:val="toc 9"/>
    <w:basedOn w:val="805"/>
    <w:next w:val="805"/>
    <w:uiPriority w:val="39"/>
    <w:unhideWhenUsed/>
    <w:qFormat/>
    <w:pPr>
      <w:ind w:left="2268"/>
      <w:spacing w:after="57"/>
    </w:pPr>
  </w:style>
  <w:style w:type="paragraph" w:styleId="837">
    <w:name w:val="Title"/>
    <w:basedOn w:val="805"/>
    <w:next w:val="805"/>
    <w:link w:val="857"/>
    <w:uiPriority w:val="10"/>
    <w:qFormat/>
    <w:pPr>
      <w:contextualSpacing/>
      <w:spacing w:before="300" w:after="200"/>
    </w:pPr>
    <w:rPr>
      <w:sz w:val="48"/>
      <w:szCs w:val="48"/>
    </w:rPr>
  </w:style>
  <w:style w:type="paragraph" w:styleId="838">
    <w:name w:val="Body Text First Indent"/>
    <w:basedOn w:val="805"/>
    <w:uiPriority w:val="0"/>
    <w:unhideWhenUsed/>
    <w:qFormat/>
    <w:pPr>
      <w:ind w:firstLine="420"/>
      <w:spacing w:after="120"/>
    </w:pPr>
    <w:rPr>
      <w:sz w:val="20"/>
      <w:lang w:bidi="mn-Mong-CN"/>
    </w:rPr>
  </w:style>
  <w:style w:type="paragraph" w:styleId="839">
    <w:name w:val="Body Text First Indent 2"/>
    <w:basedOn w:val="820"/>
    <w:next w:val="805"/>
    <w:uiPriority w:val="0"/>
    <w:qFormat/>
    <w:pPr>
      <w:ind w:left="420" w:firstLine="420"/>
      <w:spacing w:after="120"/>
    </w:pPr>
    <w:rPr>
      <w:b w:val="0"/>
      <w:sz w:val="21"/>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page number"/>
    <w:uiPriority w:val="99"/>
    <w:qFormat/>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annotation reference"/>
    <w:basedOn w:val="815"/>
    <w:uiPriority w:val="99"/>
    <w:semiHidden/>
    <w:unhideWhenUsed/>
    <w:qFormat/>
    <w:rPr>
      <w:sz w:val="21"/>
      <w:szCs w:val="21"/>
    </w:rPr>
  </w:style>
  <w:style w:type="character" w:styleId="845">
    <w:name w:val="footnote reference"/>
    <w:uiPriority w:val="99"/>
    <w:unhideWhenUsed/>
    <w:qFormat/>
    <w:rPr>
      <w:vertAlign w:val="superscript"/>
    </w:rPr>
  </w:style>
  <w:style w:type="paragraph" w:styleId="846" w:customStyle="1">
    <w:name w:val="列出段落1"/>
    <w:basedOn w:val="805"/>
    <w:uiPriority w:val="0"/>
    <w:qFormat/>
    <w:pPr>
      <w:ind w:firstLine="420"/>
    </w:pPr>
    <w:rPr>
      <w:rFonts w:ascii="Calibri" w:hAnsi="Calibri"/>
      <w:color w:val="000000"/>
      <w:spacing w:val="-8"/>
      <w:szCs w:val="22"/>
    </w:rPr>
  </w:style>
  <w:style w:type="character" w:styleId="847" w:customStyle="1">
    <w:name w:val="标题 1 Char1"/>
    <w:link w:val="806"/>
    <w:uiPriority w:val="9"/>
    <w:qFormat/>
    <w:rPr>
      <w:rFonts w:ascii="Arial" w:hAnsi="Arial" w:eastAsia="Arial" w:cs="Arial"/>
      <w:sz w:val="40"/>
      <w:szCs w:val="40"/>
    </w:rPr>
  </w:style>
  <w:style w:type="character" w:styleId="848" w:customStyle="1">
    <w:name w:val="标题 2 Char1"/>
    <w:link w:val="807"/>
    <w:uiPriority w:val="9"/>
    <w:qFormat/>
    <w:rPr>
      <w:rFonts w:ascii="Arial" w:hAnsi="Arial" w:eastAsia="Arial" w:cs="Arial"/>
      <w:sz w:val="34"/>
    </w:rPr>
  </w:style>
  <w:style w:type="character" w:styleId="849" w:customStyle="1">
    <w:name w:val="标题 3 Char1"/>
    <w:link w:val="808"/>
    <w:uiPriority w:val="9"/>
    <w:qFormat/>
    <w:rPr>
      <w:rFonts w:ascii="Arial" w:hAnsi="Arial" w:eastAsia="Arial" w:cs="Arial"/>
      <w:sz w:val="30"/>
      <w:szCs w:val="30"/>
    </w:rPr>
  </w:style>
  <w:style w:type="character" w:styleId="850" w:customStyle="1">
    <w:name w:val="标题 4 Char1"/>
    <w:link w:val="809"/>
    <w:uiPriority w:val="9"/>
    <w:qFormat/>
    <w:rPr>
      <w:rFonts w:ascii="Arial" w:hAnsi="Arial" w:eastAsia="Arial" w:cs="Arial"/>
      <w:b/>
      <w:bCs/>
      <w:sz w:val="26"/>
      <w:szCs w:val="26"/>
    </w:rPr>
  </w:style>
  <w:style w:type="character" w:styleId="851" w:customStyle="1">
    <w:name w:val="标题 5 Char1"/>
    <w:link w:val="810"/>
    <w:uiPriority w:val="9"/>
    <w:qFormat/>
    <w:rPr>
      <w:rFonts w:ascii="Arial" w:hAnsi="Arial" w:eastAsia="Arial" w:cs="Arial"/>
      <w:b/>
      <w:bCs/>
      <w:sz w:val="24"/>
      <w:szCs w:val="24"/>
    </w:rPr>
  </w:style>
  <w:style w:type="character" w:styleId="852" w:customStyle="1">
    <w:name w:val="标题 6 Char1"/>
    <w:link w:val="811"/>
    <w:uiPriority w:val="9"/>
    <w:qFormat/>
    <w:rPr>
      <w:rFonts w:ascii="Arial" w:hAnsi="Arial" w:eastAsia="Arial" w:cs="Arial"/>
      <w:b/>
      <w:bCs/>
      <w:sz w:val="22"/>
      <w:szCs w:val="22"/>
    </w:rPr>
  </w:style>
  <w:style w:type="character" w:styleId="853" w:customStyle="1">
    <w:name w:val="标题 7 Char1"/>
    <w:link w:val="812"/>
    <w:uiPriority w:val="9"/>
    <w:qFormat/>
    <w:rPr>
      <w:rFonts w:ascii="Arial" w:hAnsi="Arial" w:eastAsia="Arial" w:cs="Arial"/>
      <w:b/>
      <w:bCs/>
      <w:i/>
      <w:iCs/>
      <w:sz w:val="22"/>
      <w:szCs w:val="22"/>
    </w:rPr>
  </w:style>
  <w:style w:type="character" w:styleId="854" w:customStyle="1">
    <w:name w:val="标题 8 Char1"/>
    <w:link w:val="813"/>
    <w:uiPriority w:val="9"/>
    <w:qFormat/>
    <w:rPr>
      <w:rFonts w:ascii="Arial" w:hAnsi="Arial" w:eastAsia="Arial" w:cs="Arial"/>
      <w:i/>
      <w:iCs/>
      <w:sz w:val="22"/>
      <w:szCs w:val="22"/>
    </w:rPr>
  </w:style>
  <w:style w:type="character" w:styleId="855" w:customStyle="1">
    <w:name w:val="标题 9 Char1"/>
    <w:link w:val="814"/>
    <w:uiPriority w:val="9"/>
    <w:qFormat/>
    <w:rPr>
      <w:rFonts w:ascii="Arial" w:hAnsi="Arial" w:eastAsia="Arial" w:cs="Arial"/>
      <w:i/>
      <w:iCs/>
      <w:sz w:val="21"/>
      <w:szCs w:val="21"/>
    </w:rPr>
  </w:style>
  <w:style w:type="paragraph" w:styleId="856">
    <w:name w:val="No Spacing"/>
    <w:uiPriority w:val="1"/>
    <w:qFormat/>
    <w:rPr>
      <w:rFonts w:ascii="Times New Roman" w:hAnsi="Times New Roman" w:eastAsia="宋体" w:cs="Times New Roman"/>
      <w:lang w:val="en-US" w:eastAsia="zh-CN" w:bidi="ar-SA"/>
    </w:rPr>
  </w:style>
  <w:style w:type="character" w:styleId="857" w:customStyle="1">
    <w:name w:val="标题 Char1"/>
    <w:link w:val="837"/>
    <w:uiPriority w:val="10"/>
    <w:qFormat/>
    <w:rPr>
      <w:sz w:val="48"/>
      <w:szCs w:val="48"/>
    </w:rPr>
  </w:style>
  <w:style w:type="character" w:styleId="858" w:customStyle="1">
    <w:name w:val="副标题 Char1"/>
    <w:link w:val="831"/>
    <w:uiPriority w:val="11"/>
    <w:qFormat/>
    <w:rPr>
      <w:sz w:val="24"/>
      <w:szCs w:val="24"/>
    </w:rPr>
  </w:style>
  <w:style w:type="paragraph" w:styleId="859">
    <w:name w:val="Quote"/>
    <w:basedOn w:val="805"/>
    <w:next w:val="805"/>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805"/>
    <w:next w:val="805"/>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页眉 Char1"/>
    <w:link w:val="828"/>
    <w:uiPriority w:val="99"/>
    <w:qFormat/>
  </w:style>
  <w:style w:type="character" w:styleId="864" w:customStyle="1">
    <w:name w:val="Footer Char"/>
    <w:uiPriority w:val="99"/>
    <w:qFormat/>
  </w:style>
  <w:style w:type="character" w:styleId="865" w:customStyle="1">
    <w:name w:val="页脚 Char1"/>
    <w:link w:val="827"/>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Char1"/>
    <w:link w:val="832"/>
    <w:uiPriority w:val="99"/>
    <w:qFormat/>
    <w:rPr>
      <w:sz w:val="18"/>
    </w:rPr>
  </w:style>
  <w:style w:type="character" w:styleId="992" w:customStyle="1">
    <w:name w:val="尾注文本 Char"/>
    <w:link w:val="825"/>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标题 11"/>
    <w:basedOn w:val="805"/>
    <w:next w:val="805"/>
    <w:link w:val="1006"/>
    <w:uiPriority w:val="0"/>
    <w:qFormat/>
    <w:pPr>
      <w:jc w:val="center"/>
      <w:keepNext/>
      <w:outlineLvl w:val="0"/>
    </w:pPr>
    <w:rPr>
      <w:rFonts w:ascii="楷体_GB2312" w:eastAsia="楷体_GB2312"/>
      <w:b/>
      <w:sz w:val="28"/>
    </w:rPr>
  </w:style>
  <w:style w:type="paragraph" w:styleId="995" w:customStyle="1">
    <w:name w:val="标题 21"/>
    <w:basedOn w:val="805"/>
    <w:next w:val="805"/>
    <w:link w:val="1007"/>
    <w:uiPriority w:val="0"/>
    <w:qFormat/>
    <w:pPr>
      <w:jc w:val="center"/>
      <w:keepNext/>
      <w:outlineLvl w:val="1"/>
    </w:pPr>
    <w:rPr>
      <w:rFonts w:ascii="楷体_GB2312" w:eastAsia="楷体_GB2312"/>
      <w:b/>
      <w:bCs/>
      <w:sz w:val="18"/>
    </w:rPr>
  </w:style>
  <w:style w:type="paragraph" w:styleId="996" w:customStyle="1">
    <w:name w:val="标题 31"/>
    <w:basedOn w:val="805"/>
    <w:next w:val="805"/>
    <w:link w:val="1008"/>
    <w:uiPriority w:val="0"/>
    <w:qFormat/>
    <w:pPr>
      <w:jc w:val="center"/>
      <w:keepNext/>
      <w:outlineLvl w:val="2"/>
    </w:pPr>
    <w:rPr>
      <w:rFonts w:eastAsia="楷体_GB2312"/>
      <w:b/>
      <w:bCs/>
      <w:sz w:val="15"/>
    </w:rPr>
  </w:style>
  <w:style w:type="paragraph" w:styleId="997" w:customStyle="1">
    <w:name w:val="标题 41"/>
    <w:basedOn w:val="805"/>
    <w:next w:val="998"/>
    <w:link w:val="1009"/>
    <w:uiPriority w:val="0"/>
    <w:qFormat/>
    <w:pPr>
      <w:jc w:val="center"/>
      <w:keepNext/>
      <w:outlineLvl w:val="3"/>
    </w:pPr>
    <w:rPr>
      <w:rFonts w:eastAsia="楷体_GB2312"/>
      <w:b/>
      <w:bCs/>
      <w:sz w:val="13"/>
    </w:rPr>
  </w:style>
  <w:style w:type="paragraph" w:styleId="998" w:customStyle="1">
    <w:name w:val="纯文本11"/>
    <w:basedOn w:val="805"/>
    <w:link w:val="1010"/>
    <w:uiPriority w:val="0"/>
    <w:qFormat/>
    <w:rPr>
      <w:rFonts w:ascii="宋体" w:hAnsi="Courier New"/>
      <w:szCs w:val="21"/>
    </w:rPr>
  </w:style>
  <w:style w:type="paragraph" w:styleId="999" w:customStyle="1">
    <w:name w:val="标题 51"/>
    <w:basedOn w:val="805"/>
    <w:next w:val="805"/>
    <w:link w:val="1011"/>
    <w:uiPriority w:val="99"/>
    <w:qFormat/>
    <w:pPr>
      <w:numPr>
        <w:ilvl w:val="0"/>
        <w:numId w:val="1"/>
      </w:numPr>
      <w:keepNext/>
      <w:outlineLvl w:val="4"/>
    </w:pPr>
    <w:rPr>
      <w:rFonts w:ascii="楷体_GB2312" w:eastAsia="楷体_GB2312"/>
      <w:bCs/>
      <w:sz w:val="28"/>
    </w:rPr>
  </w:style>
  <w:style w:type="paragraph" w:styleId="1000" w:customStyle="1">
    <w:name w:val="标题 61"/>
    <w:basedOn w:val="805"/>
    <w:next w:val="805"/>
    <w:link w:val="1012"/>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001" w:customStyle="1">
    <w:name w:val="标题 71"/>
    <w:basedOn w:val="805"/>
    <w:next w:val="805"/>
    <w:link w:val="1013"/>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1002" w:customStyle="1">
    <w:name w:val="标题 81"/>
    <w:basedOn w:val="805"/>
    <w:next w:val="805"/>
    <w:link w:val="1014"/>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003" w:customStyle="1">
    <w:name w:val="标题 91"/>
    <w:basedOn w:val="805"/>
    <w:next w:val="805"/>
    <w:link w:val="1015"/>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004" w:customStyle="1">
    <w:name w:val="默认段落字体1"/>
    <w:uiPriority w:val="1"/>
    <w:unhideWhenUsed/>
    <w:qFormat/>
  </w:style>
  <w:style w:type="table" w:styleId="1005" w:customStyle="1">
    <w:name w:val="普通表格1"/>
    <w:uiPriority w:val="99"/>
    <w:unhideWhenUsed/>
    <w:qFormat/>
    <w:tblPr>
      <w:tblCellMar>
        <w:left w:w="0" w:type="dxa"/>
        <w:top w:w="0" w:type="dxa"/>
        <w:right w:w="0" w:type="dxa"/>
        <w:bottom w:w="0" w:type="dxa"/>
      </w:tblCellMar>
    </w:tblPr>
  </w:style>
  <w:style w:type="character" w:styleId="1006" w:customStyle="1">
    <w:name w:val="标题 1 Char"/>
    <w:link w:val="994"/>
    <w:uiPriority w:val="0"/>
    <w:qFormat/>
    <w:rPr>
      <w:rFonts w:ascii="楷体_GB2312" w:hAnsi="Times New Roman" w:eastAsia="楷体_GB2312" w:cs="Times New Roman"/>
      <w:b/>
      <w:sz w:val="28"/>
      <w:szCs w:val="20"/>
    </w:rPr>
  </w:style>
  <w:style w:type="character" w:styleId="1007" w:customStyle="1">
    <w:name w:val="标题 2 Char"/>
    <w:link w:val="995"/>
    <w:uiPriority w:val="0"/>
    <w:qFormat/>
    <w:rPr>
      <w:rFonts w:ascii="楷体_GB2312" w:hAnsi="Times New Roman" w:eastAsia="楷体_GB2312" w:cs="Times New Roman"/>
      <w:b/>
      <w:bCs/>
      <w:sz w:val="18"/>
      <w:szCs w:val="20"/>
    </w:rPr>
  </w:style>
  <w:style w:type="character" w:styleId="1008" w:customStyle="1">
    <w:name w:val="标题 3 Char"/>
    <w:link w:val="996"/>
    <w:uiPriority w:val="0"/>
    <w:qFormat/>
    <w:rPr>
      <w:rFonts w:ascii="Times New Roman" w:hAnsi="Times New Roman" w:eastAsia="楷体_GB2312" w:cs="Times New Roman"/>
      <w:b/>
      <w:bCs/>
      <w:sz w:val="15"/>
      <w:szCs w:val="20"/>
    </w:rPr>
  </w:style>
  <w:style w:type="character" w:styleId="1009" w:customStyle="1">
    <w:name w:val="标题 4 Char"/>
    <w:link w:val="997"/>
    <w:uiPriority w:val="0"/>
    <w:qFormat/>
    <w:rPr>
      <w:rFonts w:ascii="Times New Roman" w:hAnsi="Times New Roman" w:eastAsia="楷体_GB2312" w:cs="Times New Roman"/>
      <w:b/>
      <w:bCs/>
      <w:sz w:val="13"/>
      <w:szCs w:val="20"/>
    </w:rPr>
  </w:style>
  <w:style w:type="character" w:styleId="1010" w:customStyle="1">
    <w:name w:val="纯文本 Char"/>
    <w:link w:val="998"/>
    <w:uiPriority w:val="0"/>
    <w:qFormat/>
    <w:rPr>
      <w:rFonts w:ascii="宋体" w:hAnsi="Courier New"/>
      <w:sz w:val="21"/>
      <w:szCs w:val="21"/>
    </w:rPr>
  </w:style>
  <w:style w:type="character" w:styleId="1011" w:customStyle="1">
    <w:name w:val="标题 5 Char"/>
    <w:link w:val="999"/>
    <w:uiPriority w:val="99"/>
    <w:qFormat/>
    <w:rPr>
      <w:rFonts w:ascii="楷体_GB2312" w:hAnsi="Times New Roman" w:eastAsia="楷体_GB2312"/>
      <w:bCs/>
      <w:sz w:val="28"/>
    </w:rPr>
  </w:style>
  <w:style w:type="character" w:styleId="1012" w:customStyle="1">
    <w:name w:val="标题 6 Char"/>
    <w:link w:val="1000"/>
    <w:uiPriority w:val="0"/>
    <w:qFormat/>
    <w:rPr>
      <w:rFonts w:ascii="Arial" w:hAnsi="Arial" w:eastAsia="黑体"/>
      <w:b/>
      <w:sz w:val="24"/>
      <w:szCs w:val="24"/>
    </w:rPr>
  </w:style>
  <w:style w:type="character" w:styleId="1013" w:customStyle="1">
    <w:name w:val="标题 7 Char"/>
    <w:link w:val="1001"/>
    <w:uiPriority w:val="0"/>
    <w:qFormat/>
    <w:rPr>
      <w:rFonts w:ascii="Times New Roman" w:hAnsi="Times New Roman"/>
      <w:b/>
      <w:sz w:val="24"/>
      <w:szCs w:val="24"/>
    </w:rPr>
  </w:style>
  <w:style w:type="character" w:styleId="1014" w:customStyle="1">
    <w:name w:val="标题 8 Char"/>
    <w:link w:val="1002"/>
    <w:uiPriority w:val="0"/>
    <w:qFormat/>
    <w:rPr>
      <w:rFonts w:ascii="Arial" w:hAnsi="Arial" w:eastAsia="黑体"/>
      <w:sz w:val="24"/>
      <w:szCs w:val="24"/>
    </w:rPr>
  </w:style>
  <w:style w:type="character" w:styleId="1015" w:customStyle="1">
    <w:name w:val="标题 9 Char"/>
    <w:link w:val="1003"/>
    <w:uiPriority w:val="0"/>
    <w:qFormat/>
    <w:rPr>
      <w:rFonts w:ascii="Arial" w:hAnsi="Arial" w:eastAsia="黑体"/>
      <w:sz w:val="21"/>
      <w:szCs w:val="24"/>
    </w:rPr>
  </w:style>
  <w:style w:type="paragraph" w:styleId="1016" w:customStyle="1">
    <w:name w:val="列表 31"/>
    <w:basedOn w:val="805"/>
    <w:uiPriority w:val="0"/>
    <w:qFormat/>
    <w:pPr>
      <w:ind w:left="1260" w:hanging="420"/>
    </w:pPr>
    <w:rPr>
      <w:rFonts w:hAnsi="宋体"/>
      <w:color w:val="000000"/>
      <w:spacing w:val="-8"/>
    </w:rPr>
  </w:style>
  <w:style w:type="paragraph" w:styleId="1017" w:customStyle="1">
    <w:name w:val="目录 71"/>
    <w:basedOn w:val="805"/>
    <w:next w:val="805"/>
    <w:uiPriority w:val="0"/>
    <w:qFormat/>
    <w:pPr>
      <w:ind w:left="1260" w:firstLine="420"/>
      <w:jc w:val="left"/>
      <w:spacing w:line="288" w:lineRule="auto"/>
    </w:pPr>
    <w:rPr>
      <w:sz w:val="18"/>
      <w:szCs w:val="18"/>
    </w:rPr>
  </w:style>
  <w:style w:type="paragraph" w:styleId="1018" w:customStyle="1">
    <w:name w:val="索引 81"/>
    <w:basedOn w:val="805"/>
    <w:next w:val="805"/>
    <w:uiPriority w:val="0"/>
    <w:qFormat/>
    <w:pPr>
      <w:ind w:left="1400"/>
    </w:pPr>
  </w:style>
  <w:style w:type="paragraph" w:styleId="1019" w:customStyle="1">
    <w:name w:val="正文缩进11"/>
    <w:basedOn w:val="805"/>
    <w:link w:val="1020"/>
    <w:uiPriority w:val="0"/>
    <w:unhideWhenUsed/>
    <w:qFormat/>
    <w:pPr>
      <w:ind w:firstLine="420"/>
    </w:pPr>
    <w:rPr>
      <w:szCs w:val="24"/>
    </w:rPr>
  </w:style>
  <w:style w:type="character" w:styleId="1020" w:customStyle="1">
    <w:name w:val="正文缩进 Char"/>
    <w:link w:val="1019"/>
    <w:uiPriority w:val="0"/>
    <w:qFormat/>
    <w:rPr>
      <w:rFonts w:ascii="Times New Roman" w:hAnsi="Times New Roman"/>
      <w:sz w:val="21"/>
      <w:szCs w:val="24"/>
    </w:rPr>
  </w:style>
  <w:style w:type="paragraph" w:styleId="1021" w:customStyle="1">
    <w:name w:val="题注1"/>
    <w:basedOn w:val="805"/>
    <w:next w:val="805"/>
    <w:uiPriority w:val="0"/>
    <w:qFormat/>
    <w:rPr>
      <w:rFonts w:ascii="Arial" w:hAnsi="Arial" w:eastAsia="黑体" w:cs="Arial"/>
      <w:sz w:val="20"/>
    </w:rPr>
  </w:style>
  <w:style w:type="paragraph" w:styleId="1022" w:customStyle="1">
    <w:name w:val="索引 51"/>
    <w:basedOn w:val="805"/>
    <w:next w:val="805"/>
    <w:uiPriority w:val="0"/>
    <w:unhideWhenUsed/>
    <w:qFormat/>
    <w:pPr>
      <w:ind w:left="800"/>
    </w:pPr>
  </w:style>
  <w:style w:type="paragraph" w:styleId="1023" w:customStyle="1">
    <w:name w:val="列表项目符号1"/>
    <w:basedOn w:val="805"/>
    <w:uiPriority w:val="0"/>
    <w:qFormat/>
    <w:pPr>
      <w:ind w:left="360" w:firstLine="200"/>
      <w:tabs>
        <w:tab w:val="left" w:pos="360" w:leader="none"/>
      </w:tabs>
    </w:pPr>
    <w:rPr>
      <w:rFonts w:hAnsi="宋体"/>
      <w:color w:val="000000"/>
      <w:spacing w:val="-8"/>
    </w:rPr>
  </w:style>
  <w:style w:type="paragraph" w:styleId="1024" w:customStyle="1">
    <w:name w:val="文档结构图1"/>
    <w:basedOn w:val="805"/>
    <w:link w:val="1025"/>
    <w:uiPriority w:val="0"/>
    <w:qFormat/>
    <w:pPr>
      <w:shd w:val="clear" w:color="auto" w:fill="000080"/>
    </w:pPr>
    <w:rPr>
      <w:sz w:val="20"/>
    </w:rPr>
  </w:style>
  <w:style w:type="character" w:styleId="1025" w:customStyle="1">
    <w:name w:val="文档结构图 Char"/>
    <w:link w:val="1024"/>
    <w:uiPriority w:val="0"/>
    <w:qFormat/>
    <w:rPr>
      <w:rFonts w:ascii="Times New Roman" w:hAnsi="Times New Roman" w:eastAsia="宋体" w:cs="Times New Roman"/>
      <w:szCs w:val="20"/>
      <w:shd w:val="clear" w:color="auto" w:fill="000080"/>
    </w:rPr>
  </w:style>
  <w:style w:type="paragraph" w:styleId="1026" w:customStyle="1">
    <w:name w:val="批注文字1"/>
    <w:basedOn w:val="805"/>
    <w:link w:val="1027"/>
    <w:uiPriority w:val="0"/>
    <w:qFormat/>
    <w:pPr>
      <w:jc w:val="left"/>
    </w:pPr>
    <w:rPr>
      <w:sz w:val="20"/>
      <w:szCs w:val="24"/>
    </w:rPr>
  </w:style>
  <w:style w:type="character" w:styleId="1027" w:customStyle="1">
    <w:name w:val="批注文字 Char"/>
    <w:link w:val="1026"/>
    <w:uiPriority w:val="0"/>
    <w:qFormat/>
    <w:rPr>
      <w:rFonts w:ascii="Times New Roman" w:hAnsi="Times New Roman" w:eastAsia="宋体" w:cs="Times New Roman"/>
      <w:szCs w:val="24"/>
    </w:rPr>
  </w:style>
  <w:style w:type="paragraph" w:styleId="1028" w:customStyle="1">
    <w:name w:val="索引 61"/>
    <w:basedOn w:val="805"/>
    <w:next w:val="805"/>
    <w:uiPriority w:val="0"/>
    <w:qFormat/>
    <w:pPr>
      <w:ind w:left="1000"/>
    </w:pPr>
  </w:style>
  <w:style w:type="paragraph" w:styleId="1029" w:customStyle="1">
    <w:name w:val="称呼1"/>
    <w:basedOn w:val="805"/>
    <w:next w:val="805"/>
    <w:link w:val="1030"/>
    <w:uiPriority w:val="0"/>
    <w:qFormat/>
    <w:pPr>
      <w:ind w:firstLine="420"/>
      <w:spacing w:after="20" w:line="288" w:lineRule="auto"/>
    </w:pPr>
    <w:rPr>
      <w:sz w:val="28"/>
      <w:szCs w:val="24"/>
    </w:rPr>
  </w:style>
  <w:style w:type="character" w:styleId="1030" w:customStyle="1">
    <w:name w:val="称呼 Char"/>
    <w:link w:val="1029"/>
    <w:uiPriority w:val="0"/>
    <w:qFormat/>
    <w:rPr>
      <w:rFonts w:ascii="Times New Roman" w:hAnsi="Times New Roman"/>
      <w:sz w:val="28"/>
      <w:szCs w:val="24"/>
    </w:rPr>
  </w:style>
  <w:style w:type="paragraph" w:styleId="1031" w:customStyle="1">
    <w:name w:val="正文文本 31"/>
    <w:basedOn w:val="805"/>
    <w:link w:val="1032"/>
    <w:uiPriority w:val="0"/>
    <w:qFormat/>
    <w:pPr>
      <w:jc w:val="center"/>
      <w:spacing w:after="20" w:line="288" w:lineRule="auto"/>
    </w:pPr>
    <w:rPr>
      <w:b/>
      <w:bCs/>
      <w:sz w:val="24"/>
      <w:szCs w:val="24"/>
    </w:rPr>
  </w:style>
  <w:style w:type="character" w:styleId="1032" w:customStyle="1">
    <w:name w:val="正文文本 3 Char"/>
    <w:link w:val="1031"/>
    <w:uiPriority w:val="0"/>
    <w:qFormat/>
    <w:rPr>
      <w:rFonts w:ascii="Times New Roman" w:hAnsi="Times New Roman"/>
      <w:b/>
      <w:bCs/>
      <w:sz w:val="24"/>
      <w:szCs w:val="24"/>
    </w:rPr>
  </w:style>
  <w:style w:type="paragraph" w:styleId="1033" w:customStyle="1">
    <w:name w:val="结束语1"/>
    <w:basedOn w:val="805"/>
    <w:link w:val="1034"/>
    <w:uiPriority w:val="0"/>
    <w:qFormat/>
    <w:pPr>
      <w:ind w:left="100" w:firstLine="420"/>
      <w:spacing w:after="20" w:line="288" w:lineRule="auto"/>
    </w:pPr>
    <w:rPr>
      <w:sz w:val="28"/>
      <w:szCs w:val="24"/>
    </w:rPr>
  </w:style>
  <w:style w:type="character" w:styleId="1034" w:customStyle="1">
    <w:name w:val="结束语 Char"/>
    <w:link w:val="1033"/>
    <w:uiPriority w:val="0"/>
    <w:qFormat/>
    <w:rPr>
      <w:rFonts w:ascii="Times New Roman" w:hAnsi="Times New Roman"/>
      <w:sz w:val="28"/>
      <w:szCs w:val="24"/>
    </w:rPr>
  </w:style>
  <w:style w:type="paragraph" w:styleId="1035" w:customStyle="1">
    <w:name w:val="正文文本1"/>
    <w:basedOn w:val="805"/>
    <w:link w:val="1036"/>
    <w:uiPriority w:val="0"/>
    <w:qFormat/>
    <w:rPr>
      <w:rFonts w:ascii="华文中宋" w:eastAsia="华文中宋"/>
      <w:bCs/>
      <w:sz w:val="28"/>
    </w:rPr>
  </w:style>
  <w:style w:type="character" w:styleId="1036" w:customStyle="1">
    <w:name w:val="正文文本 Char"/>
    <w:link w:val="1035"/>
    <w:uiPriority w:val="0"/>
    <w:qFormat/>
    <w:rPr>
      <w:rFonts w:ascii="华文中宋" w:hAnsi="Times New Roman" w:eastAsia="华文中宋" w:cs="Times New Roman"/>
      <w:bCs/>
      <w:sz w:val="28"/>
      <w:szCs w:val="20"/>
    </w:rPr>
  </w:style>
  <w:style w:type="paragraph" w:styleId="1037" w:customStyle="1">
    <w:name w:val="正文文本缩进1"/>
    <w:basedOn w:val="805"/>
    <w:next w:val="1038"/>
    <w:link w:val="1039"/>
    <w:uiPriority w:val="0"/>
    <w:qFormat/>
    <w:pPr>
      <w:ind w:firstLine="576"/>
    </w:pPr>
    <w:rPr>
      <w:b/>
      <w:sz w:val="30"/>
    </w:rPr>
  </w:style>
  <w:style w:type="paragraph" w:styleId="1038" w:customStyle="1">
    <w:name w:val="寄信人地址1"/>
    <w:basedOn w:val="805"/>
    <w:uiPriority w:val="99"/>
    <w:unhideWhenUsed/>
    <w:qFormat/>
    <w:rPr>
      <w:rFonts w:hint="eastAsia" w:ascii="Arial" w:hAnsi="Arial"/>
      <w:sz w:val="24"/>
      <w:szCs w:val="24"/>
    </w:rPr>
  </w:style>
  <w:style w:type="character" w:styleId="1039" w:customStyle="1">
    <w:name w:val="正文文本缩进 Char"/>
    <w:link w:val="1037"/>
    <w:uiPriority w:val="0"/>
    <w:qFormat/>
    <w:rPr>
      <w:rFonts w:ascii="Times New Roman" w:hAnsi="Times New Roman" w:eastAsia="宋体" w:cs="Times New Roman"/>
      <w:b/>
      <w:sz w:val="30"/>
      <w:szCs w:val="20"/>
    </w:rPr>
  </w:style>
  <w:style w:type="paragraph" w:styleId="1040" w:customStyle="1">
    <w:name w:val="列表 21"/>
    <w:basedOn w:val="805"/>
    <w:uiPriority w:val="0"/>
    <w:qFormat/>
    <w:pPr>
      <w:ind w:left="840" w:hanging="420"/>
    </w:pPr>
    <w:rPr>
      <w:rFonts w:hAnsi="宋体"/>
      <w:color w:val="000000"/>
      <w:spacing w:val="-8"/>
    </w:rPr>
  </w:style>
  <w:style w:type="paragraph" w:styleId="1041" w:customStyle="1">
    <w:name w:val="列表接续1"/>
    <w:basedOn w:val="805"/>
    <w:uiPriority w:val="0"/>
    <w:qFormat/>
    <w:pPr>
      <w:ind w:left="420" w:firstLine="448"/>
      <w:spacing w:after="120"/>
    </w:pPr>
    <w:rPr>
      <w:rFonts w:hAnsi="宋体"/>
      <w:color w:val="000000"/>
      <w:spacing w:val="-8"/>
    </w:rPr>
  </w:style>
  <w:style w:type="paragraph" w:styleId="1042" w:customStyle="1">
    <w:name w:val="文本块1"/>
    <w:basedOn w:val="805"/>
    <w:uiPriority w:val="0"/>
    <w:qFormat/>
    <w:pPr>
      <w:ind w:left="420" w:right="33"/>
      <w:jc w:val="left"/>
    </w:pPr>
    <w:rPr>
      <w:sz w:val="24"/>
    </w:rPr>
  </w:style>
  <w:style w:type="paragraph" w:styleId="1043" w:customStyle="1">
    <w:name w:val="列表项目符号 21"/>
    <w:basedOn w:val="805"/>
    <w:uiPriority w:val="0"/>
    <w:qFormat/>
    <w:pPr>
      <w:ind w:left="780" w:firstLine="200"/>
      <w:tabs>
        <w:tab w:val="left" w:pos="780" w:leader="none"/>
      </w:tabs>
    </w:pPr>
    <w:rPr>
      <w:rFonts w:hAnsi="宋体"/>
      <w:color w:val="000000"/>
      <w:spacing w:val="-8"/>
    </w:rPr>
  </w:style>
  <w:style w:type="paragraph" w:styleId="1044" w:customStyle="1">
    <w:name w:val="索引 41"/>
    <w:basedOn w:val="805"/>
    <w:next w:val="805"/>
    <w:uiPriority w:val="0"/>
    <w:unhideWhenUsed/>
    <w:qFormat/>
    <w:pPr>
      <w:ind w:left="600"/>
    </w:pPr>
  </w:style>
  <w:style w:type="paragraph" w:styleId="1045" w:customStyle="1">
    <w:name w:val="目录 51"/>
    <w:basedOn w:val="805"/>
    <w:next w:val="805"/>
    <w:uiPriority w:val="0"/>
    <w:qFormat/>
    <w:pPr>
      <w:ind w:left="840" w:firstLine="420"/>
      <w:jc w:val="left"/>
      <w:spacing w:line="288" w:lineRule="auto"/>
    </w:pPr>
    <w:rPr>
      <w:sz w:val="18"/>
      <w:szCs w:val="18"/>
    </w:rPr>
  </w:style>
  <w:style w:type="paragraph" w:styleId="1046" w:customStyle="1">
    <w:name w:val="目录 31"/>
    <w:basedOn w:val="805"/>
    <w:next w:val="805"/>
    <w:uiPriority w:val="0"/>
    <w:qFormat/>
    <w:pPr>
      <w:ind w:left="420" w:firstLine="420"/>
      <w:jc w:val="left"/>
      <w:spacing w:line="288" w:lineRule="auto"/>
    </w:pPr>
    <w:rPr>
      <w:iCs/>
      <w:sz w:val="20"/>
    </w:rPr>
  </w:style>
  <w:style w:type="paragraph" w:styleId="1047" w:customStyle="1">
    <w:name w:val="列表项目符号 51"/>
    <w:basedOn w:val="805"/>
    <w:uiPriority w:val="0"/>
    <w:qFormat/>
    <w:pPr>
      <w:ind w:left="2040" w:hanging="360"/>
      <w:spacing w:line="360" w:lineRule="exact"/>
      <w:widowControl/>
      <w:tabs>
        <w:tab w:val="left" w:pos="2040" w:leader="none"/>
      </w:tabs>
    </w:pPr>
    <w:rPr>
      <w:rFonts w:eastAsia="楷体_GB2312"/>
      <w:sz w:val="24"/>
    </w:rPr>
  </w:style>
  <w:style w:type="paragraph" w:styleId="1048" w:customStyle="1">
    <w:name w:val="目录 81"/>
    <w:basedOn w:val="805"/>
    <w:next w:val="805"/>
    <w:uiPriority w:val="0"/>
    <w:qFormat/>
    <w:pPr>
      <w:ind w:left="1470" w:firstLine="420"/>
      <w:jc w:val="left"/>
      <w:spacing w:line="288" w:lineRule="auto"/>
    </w:pPr>
    <w:rPr>
      <w:sz w:val="18"/>
      <w:szCs w:val="18"/>
    </w:rPr>
  </w:style>
  <w:style w:type="paragraph" w:styleId="1049" w:customStyle="1">
    <w:name w:val="索引 31"/>
    <w:basedOn w:val="805"/>
    <w:next w:val="805"/>
    <w:uiPriority w:val="0"/>
    <w:qFormat/>
    <w:pPr>
      <w:ind w:left="400"/>
    </w:pPr>
  </w:style>
  <w:style w:type="paragraph" w:styleId="1050" w:customStyle="1">
    <w:name w:val="日期1"/>
    <w:basedOn w:val="805"/>
    <w:next w:val="805"/>
    <w:link w:val="1051"/>
    <w:uiPriority w:val="0"/>
    <w:qFormat/>
    <w:rPr>
      <w:rFonts w:eastAsia="黑体"/>
      <w:b/>
      <w:sz w:val="36"/>
    </w:rPr>
  </w:style>
  <w:style w:type="character" w:styleId="1051" w:customStyle="1">
    <w:name w:val="日期 Char"/>
    <w:link w:val="1050"/>
    <w:uiPriority w:val="0"/>
    <w:qFormat/>
    <w:rPr>
      <w:rFonts w:ascii="Times New Roman" w:hAnsi="Times New Roman" w:eastAsia="黑体" w:cs="Times New Roman"/>
      <w:b/>
      <w:sz w:val="36"/>
      <w:szCs w:val="20"/>
    </w:rPr>
  </w:style>
  <w:style w:type="paragraph" w:styleId="1052" w:customStyle="1">
    <w:name w:val="正文文本缩进 21"/>
    <w:basedOn w:val="805"/>
    <w:link w:val="1053"/>
    <w:uiPriority w:val="0"/>
    <w:qFormat/>
    <w:pPr>
      <w:ind w:left="900"/>
    </w:pPr>
    <w:rPr>
      <w:rFonts w:ascii="楷体_GB2312" w:eastAsia="楷体_GB2312"/>
      <w:b/>
      <w:sz w:val="28"/>
    </w:rPr>
  </w:style>
  <w:style w:type="character" w:styleId="1053" w:customStyle="1">
    <w:name w:val="正文文本缩进 2 Char"/>
    <w:link w:val="1052"/>
    <w:uiPriority w:val="0"/>
    <w:qFormat/>
    <w:rPr>
      <w:rFonts w:ascii="楷体_GB2312" w:hAnsi="Times New Roman" w:eastAsia="楷体_GB2312" w:cs="Times New Roman"/>
      <w:b/>
      <w:sz w:val="28"/>
      <w:szCs w:val="20"/>
    </w:rPr>
  </w:style>
  <w:style w:type="paragraph" w:styleId="1054" w:customStyle="1">
    <w:name w:val="批注框文本1"/>
    <w:basedOn w:val="805"/>
    <w:link w:val="1055"/>
    <w:uiPriority w:val="0"/>
    <w:unhideWhenUsed/>
    <w:qFormat/>
    <w:rPr>
      <w:sz w:val="18"/>
      <w:szCs w:val="18"/>
    </w:rPr>
  </w:style>
  <w:style w:type="character" w:styleId="1055" w:customStyle="1">
    <w:name w:val="批注框文本 Char"/>
    <w:link w:val="1054"/>
    <w:uiPriority w:val="0"/>
    <w:qFormat/>
    <w:rPr>
      <w:rFonts w:ascii="Times New Roman" w:hAnsi="Times New Roman" w:eastAsia="宋体" w:cs="Times New Roman"/>
      <w:sz w:val="18"/>
      <w:szCs w:val="18"/>
    </w:rPr>
  </w:style>
  <w:style w:type="paragraph" w:styleId="1056" w:customStyle="1">
    <w:name w:val="页脚1"/>
    <w:basedOn w:val="805"/>
    <w:link w:val="1057"/>
    <w:uiPriority w:val="99"/>
    <w:unhideWhenUsed/>
    <w:qFormat/>
    <w:pPr>
      <w:jc w:val="left"/>
      <w:tabs>
        <w:tab w:val="center" w:pos="4153" w:leader="none"/>
        <w:tab w:val="right" w:pos="8306" w:leader="none"/>
      </w:tabs>
    </w:pPr>
    <w:rPr>
      <w:sz w:val="18"/>
      <w:szCs w:val="18"/>
    </w:rPr>
  </w:style>
  <w:style w:type="character" w:styleId="1057" w:customStyle="1">
    <w:name w:val="页脚 Char"/>
    <w:link w:val="1056"/>
    <w:uiPriority w:val="99"/>
    <w:qFormat/>
    <w:rPr>
      <w:sz w:val="18"/>
      <w:szCs w:val="18"/>
    </w:rPr>
  </w:style>
  <w:style w:type="paragraph" w:styleId="1058" w:customStyle="1">
    <w:name w:val="页眉11"/>
    <w:basedOn w:val="805"/>
    <w:link w:val="10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9" w:customStyle="1">
    <w:name w:val="页眉 Char"/>
    <w:link w:val="1058"/>
    <w:uiPriority w:val="99"/>
    <w:qFormat/>
    <w:rPr>
      <w:sz w:val="18"/>
      <w:szCs w:val="18"/>
    </w:rPr>
  </w:style>
  <w:style w:type="paragraph" w:styleId="1060" w:customStyle="1">
    <w:name w:val="目录 11"/>
    <w:basedOn w:val="805"/>
    <w:next w:val="805"/>
    <w:uiPriority w:val="0"/>
    <w:qFormat/>
    <w:pPr>
      <w:spacing w:before="120" w:after="120" w:line="288" w:lineRule="auto"/>
      <w:tabs>
        <w:tab w:val="right" w:pos="8296" w:leader="dot"/>
      </w:tabs>
    </w:pPr>
    <w:rPr>
      <w:rFonts w:ascii="黑体" w:hAnsi="宋体" w:eastAsia="黑体"/>
      <w:caps/>
      <w:sz w:val="30"/>
      <w:szCs w:val="30"/>
    </w:rPr>
  </w:style>
  <w:style w:type="paragraph" w:styleId="1061" w:customStyle="1">
    <w:name w:val="目录 41"/>
    <w:basedOn w:val="805"/>
    <w:next w:val="805"/>
    <w:uiPriority w:val="0"/>
    <w:qFormat/>
    <w:pPr>
      <w:ind w:left="630" w:firstLine="420"/>
      <w:jc w:val="left"/>
      <w:spacing w:line="288" w:lineRule="auto"/>
    </w:pPr>
    <w:rPr>
      <w:sz w:val="18"/>
      <w:szCs w:val="18"/>
    </w:rPr>
  </w:style>
  <w:style w:type="paragraph" w:styleId="1062" w:customStyle="1">
    <w:name w:val="副标题1"/>
    <w:basedOn w:val="805"/>
    <w:next w:val="805"/>
    <w:link w:val="1063"/>
    <w:uiPriority w:val="0"/>
    <w:qFormat/>
    <w:pPr>
      <w:jc w:val="left"/>
      <w:outlineLvl w:val="1"/>
    </w:pPr>
    <w:rPr>
      <w:rFonts w:ascii="Calibri Light" w:hAnsi="Calibri Light" w:eastAsia="仿宋"/>
      <w:b/>
      <w:bCs/>
      <w:sz w:val="28"/>
      <w:szCs w:val="32"/>
    </w:rPr>
  </w:style>
  <w:style w:type="character" w:styleId="1063" w:customStyle="1">
    <w:name w:val="副标题 Char"/>
    <w:link w:val="1062"/>
    <w:uiPriority w:val="0"/>
    <w:qFormat/>
    <w:rPr>
      <w:rFonts w:ascii="Calibri Light" w:hAnsi="Calibri Light" w:eastAsia="仿宋"/>
      <w:b/>
      <w:bCs/>
      <w:sz w:val="28"/>
      <w:szCs w:val="32"/>
    </w:rPr>
  </w:style>
  <w:style w:type="paragraph" w:styleId="1064" w:customStyle="1">
    <w:name w:val="列表1"/>
    <w:basedOn w:val="805"/>
    <w:uiPriority w:val="0"/>
    <w:qFormat/>
    <w:pPr>
      <w:numPr>
        <w:ilvl w:val="0"/>
        <w:numId w:val="2"/>
      </w:numPr>
      <w:spacing w:after="20" w:line="288" w:lineRule="auto"/>
      <w:tabs>
        <w:tab w:val="left" w:pos="420" w:leader="none"/>
      </w:tabs>
    </w:pPr>
    <w:rPr>
      <w:rFonts w:ascii="Calibri" w:hAnsi="Calibri"/>
      <w:lang w:val="en-GB"/>
    </w:rPr>
  </w:style>
  <w:style w:type="paragraph" w:styleId="1065" w:customStyle="1">
    <w:name w:val="脚注文本1"/>
    <w:basedOn w:val="805"/>
    <w:link w:val="1066"/>
    <w:uiPriority w:val="0"/>
    <w:qFormat/>
    <w:pPr>
      <w:ind w:firstLine="425"/>
      <w:jc w:val="left"/>
      <w:spacing w:before="120" w:line="360" w:lineRule="auto"/>
    </w:pPr>
    <w:rPr>
      <w:sz w:val="18"/>
    </w:rPr>
  </w:style>
  <w:style w:type="character" w:styleId="1066" w:customStyle="1">
    <w:name w:val="脚注文本 Char"/>
    <w:link w:val="1065"/>
    <w:uiPriority w:val="0"/>
    <w:qFormat/>
    <w:rPr>
      <w:rFonts w:ascii="Times New Roman" w:hAnsi="Times New Roman"/>
      <w:sz w:val="18"/>
    </w:rPr>
  </w:style>
  <w:style w:type="paragraph" w:styleId="1067" w:customStyle="1">
    <w:name w:val="目录 61"/>
    <w:basedOn w:val="805"/>
    <w:next w:val="805"/>
    <w:uiPriority w:val="0"/>
    <w:qFormat/>
    <w:pPr>
      <w:ind w:left="1050" w:firstLine="420"/>
      <w:jc w:val="left"/>
      <w:spacing w:line="288" w:lineRule="auto"/>
    </w:pPr>
    <w:rPr>
      <w:sz w:val="18"/>
      <w:szCs w:val="18"/>
    </w:rPr>
  </w:style>
  <w:style w:type="paragraph" w:styleId="1068" w:customStyle="1">
    <w:name w:val="列表 51"/>
    <w:basedOn w:val="805"/>
    <w:uiPriority w:val="0"/>
    <w:qFormat/>
    <w:pPr>
      <w:ind w:left="2100" w:hanging="420"/>
    </w:pPr>
    <w:rPr>
      <w:rFonts w:hAnsi="宋体"/>
      <w:color w:val="000000"/>
      <w:spacing w:val="-8"/>
    </w:rPr>
  </w:style>
  <w:style w:type="paragraph" w:styleId="1069" w:customStyle="1">
    <w:name w:val="正文文本缩进 31"/>
    <w:basedOn w:val="805"/>
    <w:link w:val="1070"/>
    <w:uiPriority w:val="0"/>
    <w:qFormat/>
    <w:pPr>
      <w:ind w:left="359" w:firstLine="359"/>
    </w:pPr>
    <w:rPr>
      <w:sz w:val="20"/>
    </w:rPr>
  </w:style>
  <w:style w:type="character" w:styleId="1070" w:customStyle="1">
    <w:name w:val="正文文本缩进 3 Char"/>
    <w:link w:val="1069"/>
    <w:uiPriority w:val="0"/>
    <w:qFormat/>
    <w:rPr>
      <w:rFonts w:ascii="Times New Roman" w:hAnsi="Times New Roman" w:eastAsia="宋体" w:cs="Times New Roman"/>
      <w:szCs w:val="20"/>
    </w:rPr>
  </w:style>
  <w:style w:type="paragraph" w:styleId="1071" w:customStyle="1">
    <w:name w:val="索引 71"/>
    <w:basedOn w:val="805"/>
    <w:next w:val="805"/>
    <w:uiPriority w:val="0"/>
    <w:qFormat/>
    <w:pPr>
      <w:ind w:left="1200"/>
    </w:pPr>
  </w:style>
  <w:style w:type="paragraph" w:styleId="1072" w:customStyle="1">
    <w:name w:val="索引 91"/>
    <w:basedOn w:val="805"/>
    <w:next w:val="805"/>
    <w:uiPriority w:val="0"/>
    <w:qFormat/>
    <w:pPr>
      <w:ind w:left="1600"/>
    </w:pPr>
  </w:style>
  <w:style w:type="paragraph" w:styleId="1073" w:customStyle="1">
    <w:name w:val="目录 21"/>
    <w:basedOn w:val="805"/>
    <w:next w:val="805"/>
    <w:uiPriority w:val="0"/>
    <w:qFormat/>
    <w:pPr>
      <w:ind w:left="210" w:firstLine="420"/>
      <w:jc w:val="left"/>
      <w:spacing w:line="288" w:lineRule="auto"/>
    </w:pPr>
    <w:rPr>
      <w:smallCaps/>
      <w:sz w:val="20"/>
    </w:rPr>
  </w:style>
  <w:style w:type="paragraph" w:styleId="1074" w:customStyle="1">
    <w:name w:val="目录 91"/>
    <w:basedOn w:val="805"/>
    <w:next w:val="805"/>
    <w:uiPriority w:val="0"/>
    <w:qFormat/>
    <w:pPr>
      <w:ind w:left="1680" w:firstLine="420"/>
      <w:jc w:val="left"/>
      <w:spacing w:line="288" w:lineRule="auto"/>
    </w:pPr>
    <w:rPr>
      <w:sz w:val="18"/>
      <w:szCs w:val="18"/>
    </w:rPr>
  </w:style>
  <w:style w:type="paragraph" w:styleId="1075" w:customStyle="1">
    <w:name w:val="正文文本 21"/>
    <w:basedOn w:val="805"/>
    <w:link w:val="1076"/>
    <w:uiPriority w:val="0"/>
    <w:qFormat/>
    <w:pPr>
      <w:spacing w:after="120" w:line="480" w:lineRule="auto"/>
    </w:pPr>
    <w:rPr>
      <w:sz w:val="20"/>
    </w:rPr>
  </w:style>
  <w:style w:type="character" w:styleId="1076" w:customStyle="1">
    <w:name w:val="正文文本 2 Char"/>
    <w:link w:val="1075"/>
    <w:uiPriority w:val="0"/>
    <w:qFormat/>
    <w:rPr>
      <w:rFonts w:ascii="Times New Roman" w:hAnsi="Times New Roman" w:eastAsia="宋体" w:cs="Times New Roman"/>
      <w:szCs w:val="20"/>
    </w:rPr>
  </w:style>
  <w:style w:type="paragraph" w:styleId="1077" w:customStyle="1">
    <w:name w:val="列表 41"/>
    <w:basedOn w:val="805"/>
    <w:uiPriority w:val="0"/>
    <w:qFormat/>
    <w:pPr>
      <w:ind w:left="1680" w:hanging="420"/>
    </w:pPr>
    <w:rPr>
      <w:rFonts w:hAnsi="宋体"/>
      <w:color w:val="000000"/>
      <w:spacing w:val="-8"/>
    </w:rPr>
  </w:style>
  <w:style w:type="paragraph" w:styleId="1078" w:customStyle="1">
    <w:name w:val="列表接续 21"/>
    <w:basedOn w:val="805"/>
    <w:uiPriority w:val="0"/>
    <w:qFormat/>
    <w:pPr>
      <w:ind w:left="840" w:firstLine="448"/>
      <w:spacing w:after="120"/>
    </w:pPr>
    <w:rPr>
      <w:rFonts w:hAnsi="宋体"/>
      <w:color w:val="000000"/>
      <w:spacing w:val="-8"/>
    </w:rPr>
  </w:style>
  <w:style w:type="paragraph" w:styleId="1079" w:customStyle="1">
    <w:name w:val="信息标题1"/>
    <w:basedOn w:val="1035"/>
    <w:link w:val="1080"/>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80" w:customStyle="1">
    <w:name w:val="信息标题 Char"/>
    <w:link w:val="1079"/>
    <w:uiPriority w:val="0"/>
    <w:qFormat/>
    <w:rPr>
      <w:rFonts w:ascii="Garamond" w:hAnsi="Garamond"/>
      <w:color w:val="000000"/>
      <w:spacing w:val="-8"/>
      <w:sz w:val="18"/>
      <w:lang w:bidi="he-IL"/>
    </w:rPr>
  </w:style>
  <w:style w:type="paragraph" w:styleId="1081" w:customStyle="1">
    <w:name w:val="HTML 预设格式1"/>
    <w:basedOn w:val="805"/>
    <w:link w:val="10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82" w:customStyle="1">
    <w:name w:val="HTML 预设格式 Char"/>
    <w:link w:val="1081"/>
    <w:uiPriority w:val="0"/>
    <w:qFormat/>
    <w:rPr>
      <w:rFonts w:ascii="黑体" w:hAnsi="Courier New" w:eastAsia="黑体"/>
    </w:rPr>
  </w:style>
  <w:style w:type="paragraph" w:styleId="1083" w:customStyle="1">
    <w:name w:val="普通(网站)1"/>
    <w:basedOn w:val="805"/>
    <w:link w:val="108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84" w:customStyle="1">
    <w:name w:val="普通(网站) Char"/>
    <w:link w:val="1083"/>
    <w:uiPriority w:val="0"/>
    <w:qFormat/>
    <w:rPr>
      <w:rFonts w:ascii="宋体" w:hAnsi="宋体"/>
      <w:sz w:val="24"/>
      <w:szCs w:val="24"/>
    </w:rPr>
  </w:style>
  <w:style w:type="paragraph" w:styleId="1085" w:customStyle="1">
    <w:name w:val="列表接续 31"/>
    <w:basedOn w:val="805"/>
    <w:uiPriority w:val="0"/>
    <w:qFormat/>
    <w:pPr>
      <w:ind w:left="1260" w:firstLine="448"/>
      <w:spacing w:after="120"/>
    </w:pPr>
    <w:rPr>
      <w:rFonts w:hAnsi="宋体"/>
      <w:color w:val="000000"/>
      <w:spacing w:val="-8"/>
    </w:rPr>
  </w:style>
  <w:style w:type="paragraph" w:styleId="1086" w:customStyle="1">
    <w:name w:val="索引 11"/>
    <w:basedOn w:val="805"/>
    <w:next w:val="805"/>
    <w:uiPriority w:val="0"/>
    <w:qFormat/>
  </w:style>
  <w:style w:type="paragraph" w:styleId="1087" w:customStyle="1">
    <w:name w:val="索引 21"/>
    <w:basedOn w:val="805"/>
    <w:next w:val="805"/>
    <w:uiPriority w:val="0"/>
    <w:qFormat/>
    <w:pPr>
      <w:ind w:left="200"/>
    </w:pPr>
  </w:style>
  <w:style w:type="paragraph" w:styleId="1088" w:customStyle="1">
    <w:name w:val="标题1"/>
    <w:basedOn w:val="805"/>
    <w:link w:val="1089"/>
    <w:uiPriority w:val="10"/>
    <w:qFormat/>
    <w:pPr>
      <w:ind w:firstLine="420"/>
      <w:jc w:val="center"/>
      <w:spacing w:before="240" w:after="60" w:line="288" w:lineRule="auto"/>
      <w:outlineLvl w:val="0"/>
    </w:pPr>
    <w:rPr>
      <w:rFonts w:ascii="Arial" w:hAnsi="Arial"/>
      <w:b/>
      <w:bCs/>
      <w:sz w:val="32"/>
      <w:szCs w:val="32"/>
    </w:rPr>
  </w:style>
  <w:style w:type="character" w:styleId="1089" w:customStyle="1">
    <w:name w:val="标题 Char"/>
    <w:link w:val="1088"/>
    <w:uiPriority w:val="10"/>
    <w:qFormat/>
    <w:rPr>
      <w:rFonts w:ascii="Arial" w:hAnsi="Arial"/>
      <w:b/>
      <w:bCs/>
      <w:sz w:val="32"/>
      <w:szCs w:val="32"/>
    </w:rPr>
  </w:style>
  <w:style w:type="paragraph" w:styleId="1090" w:customStyle="1">
    <w:name w:val="批注主题1"/>
    <w:basedOn w:val="1026"/>
    <w:next w:val="1026"/>
    <w:link w:val="1091"/>
    <w:uiPriority w:val="0"/>
    <w:qFormat/>
    <w:rPr>
      <w:b/>
      <w:bCs/>
    </w:rPr>
  </w:style>
  <w:style w:type="character" w:styleId="1091" w:customStyle="1">
    <w:name w:val="批注主题 Char"/>
    <w:link w:val="1090"/>
    <w:uiPriority w:val="0"/>
    <w:qFormat/>
    <w:rPr>
      <w:rFonts w:ascii="Times New Roman" w:hAnsi="Times New Roman" w:eastAsia="宋体" w:cs="Times New Roman"/>
      <w:b/>
      <w:bCs/>
      <w:szCs w:val="24"/>
    </w:rPr>
  </w:style>
  <w:style w:type="paragraph" w:styleId="1092" w:customStyle="1">
    <w:name w:val="正文首行缩进1"/>
    <w:basedOn w:val="805"/>
    <w:link w:val="1093"/>
    <w:uiPriority w:val="0"/>
    <w:unhideWhenUsed/>
    <w:qFormat/>
    <w:pPr>
      <w:ind w:firstLine="420"/>
      <w:spacing w:after="120"/>
    </w:pPr>
    <w:rPr>
      <w:rFonts w:eastAsia="华文中宋"/>
    </w:rPr>
  </w:style>
  <w:style w:type="character" w:styleId="1093" w:customStyle="1">
    <w:name w:val="正文首行缩进 Char"/>
    <w:link w:val="1092"/>
    <w:uiPriority w:val="0"/>
    <w:qFormat/>
    <w:rPr>
      <w:rFonts w:ascii="Times New Roman" w:hAnsi="Times New Roman" w:eastAsia="华文中宋" w:cs="Times New Roman"/>
      <w:sz w:val="21"/>
      <w:szCs w:val="20"/>
    </w:rPr>
  </w:style>
  <w:style w:type="paragraph" w:styleId="1094" w:customStyle="1">
    <w:name w:val="正文首行缩进 21"/>
    <w:basedOn w:val="1037"/>
    <w:next w:val="805"/>
    <w:link w:val="1095"/>
    <w:uiPriority w:val="0"/>
    <w:qFormat/>
    <w:pPr>
      <w:ind w:firstLine="210"/>
      <w:spacing w:after="120"/>
    </w:pPr>
    <w:rPr>
      <w:rFonts w:ascii="Cambria Math" w:hAnsi="新宋体" w:eastAsia="Cambria Math"/>
      <w:b w:val="0"/>
      <w:color w:val="000000"/>
      <w:spacing w:val="-8"/>
      <w:sz w:val="21"/>
    </w:rPr>
  </w:style>
  <w:style w:type="character" w:styleId="1095" w:customStyle="1">
    <w:name w:val="正文首行缩进 2 Char"/>
    <w:link w:val="1094"/>
    <w:uiPriority w:val="0"/>
    <w:qFormat/>
    <w:rPr>
      <w:rFonts w:ascii="Cambria Math" w:hAnsi="新宋体" w:eastAsia="Cambria Math" w:cs="Times New Roman"/>
      <w:color w:val="000000"/>
      <w:spacing w:val="-8"/>
      <w:sz w:val="21"/>
      <w:szCs w:val="20"/>
    </w:rPr>
  </w:style>
  <w:style w:type="table" w:styleId="1096" w:customStyle="1">
    <w:name w:val="网格型1"/>
    <w:basedOn w:val="1005"/>
    <w:uiPriority w:val="0"/>
    <w:qFormat/>
    <w:tblPr/>
  </w:style>
  <w:style w:type="character" w:styleId="1097" w:customStyle="1">
    <w:name w:val="要点1"/>
    <w:uiPriority w:val="0"/>
    <w:qFormat/>
    <w:rPr>
      <w:rFonts w:cs="Times New Roman"/>
      <w:b/>
      <w:bCs/>
    </w:rPr>
  </w:style>
  <w:style w:type="character" w:styleId="1098" w:customStyle="1">
    <w:name w:val="页码1"/>
    <w:uiPriority w:val="0"/>
    <w:qFormat/>
    <w:rPr>
      <w:rFonts w:cs="Times New Roman"/>
    </w:rPr>
  </w:style>
  <w:style w:type="character" w:styleId="1099" w:customStyle="1">
    <w:name w:val="已访问的超链接1"/>
    <w:uiPriority w:val="0"/>
    <w:qFormat/>
    <w:rPr>
      <w:rFonts w:cs="Times New Roman"/>
      <w:color w:val="000000"/>
      <w:u w:val="none"/>
    </w:rPr>
  </w:style>
  <w:style w:type="character" w:styleId="1100" w:customStyle="1">
    <w:name w:val="强调1"/>
    <w:uiPriority w:val="0"/>
    <w:qFormat/>
    <w:rPr>
      <w:i/>
    </w:rPr>
  </w:style>
  <w:style w:type="character" w:styleId="1101" w:customStyle="1">
    <w:name w:val="HTML 打字机1"/>
    <w:uiPriority w:val="0"/>
    <w:qFormat/>
    <w:rPr>
      <w:rFonts w:ascii="宋体" w:hAnsi="宋体" w:eastAsia="宋体" w:cs="宋体"/>
      <w:sz w:val="24"/>
      <w:szCs w:val="24"/>
    </w:rPr>
  </w:style>
  <w:style w:type="character" w:styleId="1102" w:customStyle="1">
    <w:name w:val="超链接1"/>
    <w:uiPriority w:val="99"/>
    <w:qFormat/>
    <w:rPr>
      <w:color w:val="000000"/>
      <w:u w:val="none"/>
    </w:rPr>
  </w:style>
  <w:style w:type="character" w:styleId="1103" w:customStyle="1">
    <w:name w:val="批注引用1"/>
    <w:uiPriority w:val="0"/>
    <w:unhideWhenUsed/>
    <w:qFormat/>
    <w:rPr>
      <w:sz w:val="21"/>
      <w:szCs w:val="21"/>
    </w:rPr>
  </w:style>
  <w:style w:type="character" w:styleId="1104" w:customStyle="1">
    <w:name w:val="脚注引用1"/>
    <w:uiPriority w:val="0"/>
    <w:qFormat/>
    <w:rPr>
      <w:rFonts w:ascii="宋体" w:hAnsi="宋体" w:eastAsia="宋体"/>
      <w:vertAlign w:val="superscript"/>
    </w:rPr>
  </w:style>
  <w:style w:type="character" w:styleId="1105" w:customStyle="1">
    <w:name w:val="日期 Char1"/>
    <w:uiPriority w:val="99"/>
    <w:semiHidden/>
    <w:qFormat/>
    <w:rPr>
      <w:rFonts w:ascii="Times New Roman" w:hAnsi="Times New Roman" w:eastAsia="宋体" w:cs="Times New Roman"/>
      <w:szCs w:val="20"/>
    </w:rPr>
  </w:style>
  <w:style w:type="character" w:styleId="1106" w:customStyle="1">
    <w:name w:val="正文文本缩进 Char1"/>
    <w:uiPriority w:val="99"/>
    <w:semiHidden/>
    <w:qFormat/>
    <w:rPr>
      <w:rFonts w:ascii="Times New Roman" w:hAnsi="Times New Roman" w:eastAsia="宋体" w:cs="Times New Roman"/>
      <w:szCs w:val="20"/>
    </w:rPr>
  </w:style>
  <w:style w:type="character" w:styleId="1107" w:customStyle="1">
    <w:name w:val="正文文本缩进 2 Char1"/>
    <w:uiPriority w:val="99"/>
    <w:semiHidden/>
    <w:qFormat/>
    <w:rPr>
      <w:rFonts w:ascii="Times New Roman" w:hAnsi="Times New Roman" w:eastAsia="宋体" w:cs="Times New Roman"/>
      <w:szCs w:val="20"/>
    </w:rPr>
  </w:style>
  <w:style w:type="character" w:styleId="1108" w:customStyle="1">
    <w:name w:val="正文文本缩进 3 Char1"/>
    <w:uiPriority w:val="99"/>
    <w:semiHidden/>
    <w:qFormat/>
    <w:rPr>
      <w:rFonts w:ascii="Times New Roman" w:hAnsi="Times New Roman" w:eastAsia="宋体" w:cs="Times New Roman"/>
      <w:sz w:val="16"/>
      <w:szCs w:val="16"/>
    </w:rPr>
  </w:style>
  <w:style w:type="paragraph" w:styleId="1109" w:customStyle="1">
    <w:name w:val="普通文字"/>
    <w:basedOn w:val="805"/>
    <w:next w:val="805"/>
    <w:uiPriority w:val="0"/>
    <w:qFormat/>
    <w:rPr>
      <w:rFonts w:ascii="宋体"/>
      <w:sz w:val="24"/>
    </w:rPr>
  </w:style>
  <w:style w:type="character" w:styleId="1110" w:customStyle="1">
    <w:name w:val="文档结构图 Char1"/>
    <w:uiPriority w:val="99"/>
    <w:semiHidden/>
    <w:qFormat/>
    <w:rPr>
      <w:rFonts w:ascii="宋体" w:hAnsi="Times New Roman" w:eastAsia="宋体" w:cs="Times New Roman"/>
      <w:sz w:val="18"/>
      <w:szCs w:val="18"/>
    </w:rPr>
  </w:style>
  <w:style w:type="character" w:styleId="1111" w:customStyle="1">
    <w:name w:val="正文文本 2 Char1"/>
    <w:uiPriority w:val="99"/>
    <w:semiHidden/>
    <w:qFormat/>
    <w:rPr>
      <w:rFonts w:ascii="Times New Roman" w:hAnsi="Times New Roman" w:eastAsia="宋体" w:cs="Times New Roman"/>
      <w:szCs w:val="20"/>
    </w:rPr>
  </w:style>
  <w:style w:type="paragraph" w:styleId="1112" w:customStyle="1">
    <w:name w:val="列出段落2"/>
    <w:basedOn w:val="805"/>
    <w:link w:val="1113"/>
    <w:uiPriority w:val="34"/>
    <w:qFormat/>
    <w:pPr>
      <w:ind w:firstLine="420"/>
    </w:pPr>
  </w:style>
  <w:style w:type="character" w:styleId="1113" w:customStyle="1">
    <w:name w:val="列出段落 Char1"/>
    <w:link w:val="1112"/>
    <w:uiPriority w:val="34"/>
    <w:qFormat/>
    <w:rPr>
      <w:rFonts w:ascii="Times New Roman" w:hAnsi="Times New Roman"/>
      <w:sz w:val="21"/>
    </w:rPr>
  </w:style>
  <w:style w:type="character" w:styleId="1114" w:customStyle="1">
    <w:name w:val="批注框文本 Char1"/>
    <w:uiPriority w:val="99"/>
    <w:semiHidden/>
    <w:qFormat/>
    <w:rPr>
      <w:rFonts w:ascii="Times New Roman" w:hAnsi="Times New Roman" w:eastAsia="宋体" w:cs="Times New Roman"/>
      <w:sz w:val="18"/>
      <w:szCs w:val="18"/>
    </w:rPr>
  </w:style>
  <w:style w:type="paragraph" w:styleId="1115" w:customStyle="1">
    <w:name w:val="样式 小四 段前: 5 磅 段后: 5 磅 首行缩进:  2 字符"/>
    <w:basedOn w:val="805"/>
    <w:uiPriority w:val="0"/>
    <w:qFormat/>
    <w:pPr>
      <w:jc w:val="center"/>
      <w:spacing w:line="360" w:lineRule="auto"/>
    </w:pPr>
    <w:rPr>
      <w:rFonts w:ascii="宋体" w:hAnsi="宋体"/>
      <w:bCs/>
      <w:color w:val="ff0000"/>
      <w:sz w:val="24"/>
      <w:szCs w:val="24"/>
    </w:rPr>
  </w:style>
  <w:style w:type="paragraph" w:styleId="111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7">
    <w:name w:val="List Paragraph"/>
    <w:basedOn w:val="805"/>
    <w:uiPriority w:val="34"/>
    <w:qFormat/>
    <w:pPr>
      <w:ind w:firstLine="420"/>
    </w:pPr>
    <w:rPr>
      <w:szCs w:val="21"/>
    </w:rPr>
  </w:style>
  <w:style w:type="paragraph" w:styleId="1118" w:customStyle="1">
    <w:name w:val="样式 表格正文 + 两端对齐"/>
    <w:basedOn w:val="805"/>
    <w:next w:val="1119"/>
    <w:uiPriority w:val="99"/>
    <w:qFormat/>
    <w:pPr>
      <w:spacing w:line="300" w:lineRule="auto"/>
    </w:pPr>
    <w:rPr>
      <w:rFonts w:ascii="Calibri" w:hAnsi="Calibri"/>
      <w:szCs w:val="24"/>
    </w:rPr>
  </w:style>
  <w:style w:type="paragraph" w:styleId="1119" w:customStyle="1">
    <w:name w:val="正文1"/>
    <w:basedOn w:val="1024"/>
    <w:next w:val="805"/>
    <w:uiPriority w:val="0"/>
    <w:qFormat/>
    <w:pPr>
      <w:ind w:right="1"/>
      <w:spacing w:line="360" w:lineRule="auto"/>
    </w:pPr>
    <w:rPr>
      <w:rFonts w:ascii="宋体" w:hAnsi="宋体"/>
      <w:color w:val="000000"/>
      <w:sz w:val="24"/>
      <w:shd w:val="clear" w:color="auto" w:fill="000080"/>
    </w:rPr>
  </w:style>
  <w:style w:type="paragraph" w:styleId="1120" w:customStyle="1">
    <w:name w:val="样式 首行缩进:  0 字符"/>
    <w:basedOn w:val="805"/>
    <w:uiPriority w:val="0"/>
    <w:qFormat/>
    <w:pPr>
      <w:spacing w:line="360" w:lineRule="auto"/>
    </w:pPr>
    <w:rPr>
      <w:rFonts w:ascii="Arial" w:hAnsi="Arial" w:cs="宋体"/>
      <w:sz w:val="24"/>
      <w:szCs w:val="24"/>
    </w:rPr>
  </w:style>
  <w:style w:type="character" w:styleId="1121" w:customStyle="1">
    <w:name w:val="bookmark-item"/>
    <w:uiPriority w:val="0"/>
    <w:qFormat/>
  </w:style>
  <w:style w:type="character" w:styleId="1122" w:customStyle="1">
    <w:name w:val="font61"/>
    <w:uiPriority w:val="0"/>
    <w:qFormat/>
    <w:rPr>
      <w:rFonts w:ascii="微软雅黑" w:hAnsi="微软雅黑" w:eastAsia="微软雅黑" w:cs="微软雅黑"/>
      <w:color w:val="000000"/>
      <w:sz w:val="22"/>
      <w:szCs w:val="22"/>
      <w:u w:val="none"/>
    </w:rPr>
  </w:style>
  <w:style w:type="paragraph" w:styleId="1123" w:customStyle="1">
    <w:name w:val="02-标书-标题2"/>
    <w:uiPriority w:val="0"/>
    <w:qFormat/>
    <w:pPr>
      <w:numPr>
        <w:ilvl w:val="1"/>
        <w:numId w:val="3"/>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124" w:customStyle="1">
    <w:name w:val="font41"/>
    <w:uiPriority w:val="0"/>
    <w:qFormat/>
    <w:rPr>
      <w:rFonts w:ascii="微软雅黑" w:hAnsi="微软雅黑" w:eastAsia="微软雅黑" w:cs="微软雅黑"/>
      <w:b/>
      <w:color w:val="ff0000"/>
      <w:sz w:val="22"/>
      <w:szCs w:val="22"/>
      <w:u w:val="none"/>
    </w:rPr>
  </w:style>
  <w:style w:type="character" w:styleId="1125" w:customStyle="1">
    <w:name w:val="font71"/>
    <w:uiPriority w:val="0"/>
    <w:qFormat/>
    <w:rPr>
      <w:rFonts w:ascii="Calibri" w:hAnsi="Calibri" w:cs="Calibri"/>
      <w:color w:val="000000"/>
      <w:sz w:val="20"/>
      <w:szCs w:val="20"/>
      <w:u w:val="none"/>
    </w:rPr>
  </w:style>
  <w:style w:type="character" w:styleId="1126" w:customStyle="1">
    <w:name w:val="font01"/>
    <w:uiPriority w:val="0"/>
    <w:qFormat/>
    <w:rPr>
      <w:rFonts w:ascii="Tahoma" w:hAnsi="Tahoma" w:eastAsia="Tahoma" w:cs="Tahoma"/>
      <w:color w:val="333333"/>
      <w:sz w:val="20"/>
      <w:szCs w:val="20"/>
      <w:u w:val="none"/>
    </w:rPr>
  </w:style>
  <w:style w:type="character" w:styleId="1127" w:customStyle="1">
    <w:name w:val="font11"/>
    <w:uiPriority w:val="0"/>
    <w:qFormat/>
    <w:rPr>
      <w:rFonts w:hint="eastAsia" w:ascii="宋体" w:hAnsi="宋体" w:eastAsia="宋体" w:cs="宋体"/>
      <w:color w:val="333333"/>
      <w:sz w:val="20"/>
      <w:szCs w:val="20"/>
      <w:u w:val="none"/>
    </w:rPr>
  </w:style>
  <w:style w:type="character" w:styleId="1128" w:customStyle="1">
    <w:name w:val="font21"/>
    <w:uiPriority w:val="0"/>
    <w:qFormat/>
    <w:rPr>
      <w:rFonts w:hint="eastAsia" w:ascii="宋体" w:hAnsi="宋体" w:eastAsia="宋体" w:cs="宋体"/>
      <w:color w:val="333333"/>
      <w:sz w:val="20"/>
      <w:szCs w:val="20"/>
      <w:u w:val="none"/>
    </w:rPr>
  </w:style>
  <w:style w:type="paragraph" w:styleId="112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130" w:customStyle="1">
    <w:name w:val="无"/>
    <w:uiPriority w:val="0"/>
    <w:qFormat/>
  </w:style>
  <w:style w:type="paragraph" w:styleId="1131" w:customStyle="1">
    <w:name w:val="paragraph"/>
    <w:basedOn w:val="805"/>
    <w:uiPriority w:val="0"/>
    <w:qFormat/>
    <w:pPr>
      <w:jc w:val="left"/>
      <w:spacing w:before="100" w:beforeAutospacing="1" w:after="100" w:afterAutospacing="1"/>
      <w:widowControl/>
    </w:pPr>
    <w:rPr>
      <w:rFonts w:ascii="宋体" w:hAnsi="宋体" w:cs="宋体"/>
      <w:sz w:val="24"/>
      <w:szCs w:val="24"/>
    </w:rPr>
  </w:style>
  <w:style w:type="paragraph" w:styleId="113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33" w:customStyle="1">
    <w:name w:val="纯文本111"/>
    <w:basedOn w:val="805"/>
    <w:uiPriority w:val="0"/>
    <w:qFormat/>
    <w:pPr>
      <w:spacing w:line="360" w:lineRule="auto"/>
    </w:pPr>
    <w:rPr>
      <w:rFonts w:ascii="宋体" w:hAnsi="Courier New"/>
      <w:sz w:val="26"/>
      <w:szCs w:val="24"/>
    </w:rPr>
  </w:style>
  <w:style w:type="character" w:styleId="1134" w:customStyle="1">
    <w:name w:val="列出段落 Char"/>
    <w:uiPriority w:val="34"/>
    <w:qFormat/>
    <w:rPr>
      <w:rFonts w:ascii="Calibri" w:hAnsi="Calibri"/>
      <w:sz w:val="21"/>
      <w:szCs w:val="22"/>
    </w:rPr>
  </w:style>
  <w:style w:type="paragraph" w:styleId="1135" w:customStyle="1">
    <w:name w:val="纯文本1"/>
    <w:basedOn w:val="805"/>
    <w:uiPriority w:val="0"/>
    <w:qFormat/>
    <w:rPr>
      <w:rFonts w:ascii="宋体" w:hAnsi="Courier New" w:eastAsia="楷体_GB2312"/>
      <w:sz w:val="26"/>
    </w:rPr>
  </w:style>
  <w:style w:type="paragraph" w:styleId="1136" w:customStyle="1">
    <w:name w:val="正文文本首行缩进 2"/>
    <w:basedOn w:val="1037"/>
    <w:uiPriority w:val="99"/>
    <w:qFormat/>
    <w:pPr>
      <w:ind w:left="156" w:firstLine="420"/>
      <w:spacing w:line="200" w:lineRule="atLeast"/>
      <w:widowControl/>
    </w:pPr>
    <w:rPr>
      <w:rFonts w:ascii="宋体" w:hAnsi="Courier New" w:eastAsia="仿宋_GB2312"/>
      <w:b w:val="0"/>
      <w:spacing w:val="-4"/>
      <w:sz w:val="18"/>
    </w:rPr>
  </w:style>
  <w:style w:type="character" w:styleId="1137" w:customStyle="1">
    <w:name w:val="Char Char15"/>
    <w:uiPriority w:val="0"/>
    <w:qFormat/>
    <w:rPr>
      <w:rFonts w:ascii="仿宋_GB2312" w:hAnsi="Times New Roman" w:eastAsia="宋体" w:cs="Times New Roman"/>
      <w:sz w:val="24"/>
      <w:szCs w:val="24"/>
      <w:shd w:val="clear" w:color="auto" w:fill="000080"/>
    </w:rPr>
  </w:style>
  <w:style w:type="character" w:styleId="1138" w:customStyle="1">
    <w:name w:val="apple-converted-space"/>
    <w:uiPriority w:val="0"/>
    <w:qFormat/>
  </w:style>
  <w:style w:type="character" w:styleId="1139" w:customStyle="1">
    <w:name w:val="font"/>
    <w:uiPriority w:val="0"/>
    <w:qFormat/>
  </w:style>
  <w:style w:type="character" w:styleId="1140" w:customStyle="1">
    <w:name w:val="Char Char9"/>
    <w:uiPriority w:val="0"/>
    <w:qFormat/>
    <w:rPr>
      <w:rFonts w:ascii="Cambria" w:hAnsi="Cambria" w:eastAsia="宋体" w:cs="Times New Roman"/>
      <w:b/>
      <w:bCs/>
      <w:sz w:val="32"/>
      <w:szCs w:val="32"/>
    </w:rPr>
  </w:style>
  <w:style w:type="character" w:styleId="1141" w:customStyle="1">
    <w:name w:val="Char Char7"/>
    <w:uiPriority w:val="0"/>
    <w:qFormat/>
    <w:rPr>
      <w:rFonts w:ascii="Times New Roman" w:hAnsi="Times New Roman" w:eastAsia="宋体" w:cs="Times New Roman"/>
      <w:b/>
      <w:bCs/>
      <w:szCs w:val="21"/>
    </w:rPr>
  </w:style>
  <w:style w:type="character" w:styleId="1142" w:customStyle="1">
    <w:name w:val="itm1"/>
    <w:uiPriority w:val="0"/>
    <w:qFormat/>
    <w:rPr>
      <w:rFonts w:hint="eastAsia" w:ascii="宋体" w:hAnsi="宋体" w:eastAsia="宋体"/>
      <w:sz w:val="21"/>
      <w:szCs w:val="21"/>
    </w:rPr>
  </w:style>
  <w:style w:type="character" w:styleId="1143" w:customStyle="1">
    <w:name w:val="Char Char4"/>
    <w:uiPriority w:val="0"/>
    <w:qFormat/>
    <w:rPr>
      <w:sz w:val="18"/>
      <w:szCs w:val="18"/>
    </w:rPr>
  </w:style>
  <w:style w:type="character" w:styleId="1144" w:customStyle="1">
    <w:name w:val="b"/>
    <w:uiPriority w:val="0"/>
    <w:qFormat/>
  </w:style>
  <w:style w:type="character" w:styleId="1145" w:customStyle="1">
    <w:name w:val="apple-style-span"/>
    <w:uiPriority w:val="0"/>
    <w:qFormat/>
  </w:style>
  <w:style w:type="character" w:styleId="1146" w:customStyle="1">
    <w:name w:val="Char Char13"/>
    <w:uiPriority w:val="0"/>
    <w:qFormat/>
    <w:rPr>
      <w:rFonts w:ascii="仿宋_GB2312" w:hAnsi="Times New Roman" w:eastAsia="宋体" w:cs="Times New Roman"/>
      <w:sz w:val="18"/>
      <w:szCs w:val="18"/>
    </w:rPr>
  </w:style>
  <w:style w:type="character" w:styleId="1147" w:customStyle="1">
    <w:name w:val="表格 Char"/>
    <w:link w:val="1148"/>
    <w:uiPriority w:val="0"/>
    <w:qFormat/>
    <w:rPr>
      <w:sz w:val="21"/>
      <w:szCs w:val="21"/>
    </w:rPr>
  </w:style>
  <w:style w:type="paragraph" w:styleId="1148" w:customStyle="1">
    <w:name w:val="表格"/>
    <w:basedOn w:val="805"/>
    <w:link w:val="1147"/>
    <w:uiPriority w:val="0"/>
    <w:qFormat/>
    <w:pPr>
      <w:jc w:val="center"/>
    </w:pPr>
    <w:rPr>
      <w:szCs w:val="21"/>
    </w:rPr>
  </w:style>
  <w:style w:type="character" w:styleId="1149" w:customStyle="1">
    <w:name w:val="标题 311"/>
    <w:uiPriority w:val="0"/>
    <w:qFormat/>
    <w:rPr>
      <w:rFonts w:hint="eastAsia" w:ascii="黑体" w:hAnsi="ˎ̥" w:eastAsia="黑体"/>
      <w:sz w:val="28"/>
    </w:rPr>
  </w:style>
  <w:style w:type="character" w:styleId="1150" w:customStyle="1">
    <w:name w:val="Char Char Char Char Char Char Char Char Char Char Char Char Char"/>
    <w:uiPriority w:val="0"/>
    <w:qFormat/>
    <w:rPr>
      <w:rFonts w:eastAsia="宋体"/>
      <w:b/>
      <w:bCs/>
      <w:sz w:val="32"/>
      <w:szCs w:val="44"/>
      <w:lang w:val="en-US" w:eastAsia="zh-CN" w:bidi="ar-SA"/>
    </w:rPr>
  </w:style>
  <w:style w:type="character" w:styleId="1151" w:customStyle="1">
    <w:name w:val="表格正文 Char Char"/>
    <w:link w:val="1152"/>
    <w:uiPriority w:val="0"/>
    <w:qFormat/>
    <w:rPr>
      <w:sz w:val="21"/>
      <w:szCs w:val="24"/>
    </w:rPr>
  </w:style>
  <w:style w:type="paragraph" w:styleId="1152" w:customStyle="1">
    <w:name w:val="表格正文"/>
    <w:basedOn w:val="805"/>
    <w:link w:val="1151"/>
    <w:uiPriority w:val="0"/>
    <w:qFormat/>
    <w:rPr>
      <w:szCs w:val="24"/>
    </w:rPr>
  </w:style>
  <w:style w:type="character" w:styleId="1153" w:customStyle="1">
    <w:name w:val="Char Char8"/>
    <w:uiPriority w:val="0"/>
    <w:qFormat/>
    <w:rPr>
      <w:rFonts w:ascii="Times New Roman" w:hAnsi="Times New Roman"/>
      <w:b/>
      <w:bCs/>
      <w:sz w:val="44"/>
      <w:szCs w:val="44"/>
    </w:rPr>
  </w:style>
  <w:style w:type="character" w:styleId="1154" w:customStyle="1">
    <w:name w:val="unnamed21"/>
    <w:uiPriority w:val="0"/>
    <w:qFormat/>
    <w:rPr>
      <w:b/>
      <w:bCs/>
      <w:color w:val="ff6600"/>
      <w:sz w:val="21"/>
      <w:szCs w:val="21"/>
      <w:u w:val="none"/>
    </w:rPr>
  </w:style>
  <w:style w:type="character" w:styleId="1155" w:customStyle="1">
    <w:name w:val="tw4winTerm"/>
    <w:uiPriority w:val="0"/>
    <w:qFormat/>
    <w:rPr>
      <w:color w:val="0000ff"/>
    </w:rPr>
  </w:style>
  <w:style w:type="character" w:styleId="1156" w:customStyle="1">
    <w:name w:val="正文 + 宋体 Char"/>
    <w:link w:val="1157"/>
    <w:uiPriority w:val="0"/>
    <w:qFormat/>
    <w:rPr>
      <w:rFonts w:ascii="新宋体" w:hAnsi="宋体" w:eastAsia="黑体"/>
      <w:b/>
      <w:bCs/>
      <w:sz w:val="28"/>
      <w:szCs w:val="28"/>
    </w:rPr>
  </w:style>
  <w:style w:type="paragraph" w:styleId="1157" w:customStyle="1">
    <w:name w:val="正文 + 宋体"/>
    <w:basedOn w:val="994"/>
    <w:link w:val="1156"/>
    <w:uiPriority w:val="0"/>
    <w:qFormat/>
    <w:pPr>
      <w:ind w:left="-51"/>
      <w:keepLines/>
      <w:spacing w:before="120" w:after="120"/>
      <w:widowControl/>
      <w:tabs>
        <w:tab w:val="left" w:pos="1800" w:leader="none"/>
      </w:tabs>
    </w:pPr>
    <w:rPr>
      <w:rFonts w:ascii="新宋体" w:hAnsi="宋体" w:eastAsia="黑体"/>
      <w:bCs/>
      <w:szCs w:val="28"/>
    </w:rPr>
  </w:style>
  <w:style w:type="character" w:styleId="1158" w:customStyle="1">
    <w:name w:val="text_list1"/>
    <w:uiPriority w:val="0"/>
    <w:qFormat/>
    <w:rPr>
      <w:rFonts w:ascii="Arial" w:hAnsi="Arial" w:cs="Arial"/>
      <w:color w:val="000000"/>
      <w:spacing w:val="272"/>
      <w:sz w:val="16"/>
      <w:szCs w:val="16"/>
    </w:rPr>
  </w:style>
  <w:style w:type="character" w:styleId="1159" w:customStyle="1">
    <w:name w:val="样式 三号 下划线"/>
    <w:uiPriority w:val="0"/>
    <w:qFormat/>
    <w:rPr>
      <w:sz w:val="28"/>
      <w:u w:val="single"/>
    </w:rPr>
  </w:style>
  <w:style w:type="character" w:styleId="1160" w:customStyle="1">
    <w:name w:val="普通(网站) 字符"/>
    <w:uiPriority w:val="0"/>
    <w:qFormat/>
    <w:rPr>
      <w:rFonts w:ascii="宋体" w:hAnsi="宋体" w:cs="宋体"/>
      <w:sz w:val="24"/>
      <w:szCs w:val="24"/>
    </w:rPr>
  </w:style>
  <w:style w:type="character" w:styleId="1161" w:customStyle="1">
    <w:name w:val="Char Char14"/>
    <w:uiPriority w:val="0"/>
    <w:qFormat/>
    <w:rPr>
      <w:rFonts w:ascii="楷体_GB2312" w:hAnsi="Arial" w:eastAsia="楷体_GB2312" w:cs="Times New Roman"/>
      <w:sz w:val="28"/>
      <w:szCs w:val="24"/>
    </w:rPr>
  </w:style>
  <w:style w:type="character" w:styleId="1162" w:customStyle="1">
    <w:name w:val="普通正文 Char Char"/>
    <w:link w:val="1163"/>
    <w:uiPriority w:val="0"/>
    <w:qFormat/>
    <w:rPr>
      <w:rFonts w:ascii="Arial" w:hAnsi="Arial"/>
      <w:sz w:val="24"/>
      <w:szCs w:val="24"/>
    </w:rPr>
  </w:style>
  <w:style w:type="paragraph" w:styleId="1163" w:customStyle="1">
    <w:name w:val="普通正文"/>
    <w:basedOn w:val="805"/>
    <w:link w:val="1162"/>
    <w:uiPriority w:val="0"/>
    <w:qFormat/>
    <w:pPr>
      <w:ind w:firstLine="480"/>
      <w:spacing w:before="120" w:after="120" w:line="500" w:lineRule="exact"/>
    </w:pPr>
    <w:rPr>
      <w:rFonts w:ascii="Arial" w:hAnsi="Arial"/>
      <w:sz w:val="24"/>
      <w:szCs w:val="24"/>
    </w:rPr>
  </w:style>
  <w:style w:type="character" w:styleId="1164" w:customStyle="1">
    <w:name w:val="正文文本 Char Char"/>
    <w:uiPriority w:val="0"/>
    <w:qFormat/>
    <w:rPr>
      <w:rFonts w:ascii="楷体_GB2312" w:hAnsi="Arial" w:eastAsia="楷体_GB2312" w:cs="Times New Roman"/>
      <w:sz w:val="28"/>
      <w:szCs w:val="28"/>
    </w:rPr>
  </w:style>
  <w:style w:type="character" w:styleId="1165" w:customStyle="1">
    <w:name w:val="+正文 Char3"/>
    <w:link w:val="1166"/>
    <w:uiPriority w:val="0"/>
    <w:qFormat/>
    <w:rPr>
      <w:sz w:val="24"/>
      <w:szCs w:val="28"/>
    </w:rPr>
  </w:style>
  <w:style w:type="paragraph" w:styleId="1166" w:customStyle="1">
    <w:name w:val="+正文"/>
    <w:basedOn w:val="805"/>
    <w:link w:val="1165"/>
    <w:uiPriority w:val="0"/>
    <w:qFormat/>
    <w:pPr>
      <w:ind w:firstLine="200"/>
      <w:spacing w:line="360" w:lineRule="auto"/>
    </w:pPr>
    <w:rPr>
      <w:sz w:val="24"/>
      <w:szCs w:val="28"/>
    </w:rPr>
  </w:style>
  <w:style w:type="character" w:styleId="1167" w:customStyle="1">
    <w:name w:val="style331"/>
    <w:uiPriority w:val="0"/>
    <w:qFormat/>
    <w:rPr>
      <w:color w:val="9900ff"/>
      <w:sz w:val="18"/>
      <w:szCs w:val="18"/>
    </w:rPr>
  </w:style>
  <w:style w:type="character" w:styleId="1168" w:customStyle="1">
    <w:name w:val="一般文字 字元 Char"/>
    <w:uiPriority w:val="0"/>
    <w:qFormat/>
    <w:rPr>
      <w:rFonts w:ascii="宋体" w:hAnsi="Courier New" w:eastAsia="宋体"/>
      <w:sz w:val="21"/>
      <w:lang w:val="en-US" w:eastAsia="zh-CN" w:bidi="ar-SA"/>
    </w:rPr>
  </w:style>
  <w:style w:type="character" w:styleId="1169" w:customStyle="1">
    <w:name w:val="正文缩进 Char1"/>
    <w:uiPriority w:val="0"/>
    <w:qFormat/>
    <w:rPr>
      <w:rFonts w:eastAsia="楷体_GB2312"/>
      <w:sz w:val="24"/>
      <w:lang w:val="en-US" w:eastAsia="zh-CN" w:bidi="ar-SA"/>
    </w:rPr>
  </w:style>
  <w:style w:type="character" w:styleId="1170" w:customStyle="1">
    <w:name w:val="纯文本 Char1"/>
    <w:uiPriority w:val="0"/>
    <w:semiHidden/>
    <w:qFormat/>
    <w:rPr>
      <w:rFonts w:ascii="宋体" w:hAnsi="Courier New" w:eastAsia="宋体"/>
    </w:rPr>
  </w:style>
  <w:style w:type="paragraph" w:styleId="1171" w:customStyle="1">
    <w:name w:val="图形"/>
    <w:basedOn w:val="805"/>
    <w:uiPriority w:val="0"/>
    <w:qFormat/>
    <w:pPr>
      <w:ind w:firstLine="420"/>
      <w:jc w:val="center"/>
      <w:spacing w:after="20" w:line="288" w:lineRule="auto"/>
    </w:pPr>
    <w:rPr>
      <w:szCs w:val="24"/>
    </w:rPr>
  </w:style>
  <w:style w:type="paragraph" w:styleId="1172" w:customStyle="1">
    <w:name w:val="xl45"/>
    <w:basedOn w:val="80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73" w:customStyle="1">
    <w:name w:val="回信地址"/>
    <w:basedOn w:val="805"/>
    <w:uiPriority w:val="0"/>
    <w:qFormat/>
    <w:pPr>
      <w:ind w:right="-120" w:firstLine="420"/>
      <w:jc w:val="left"/>
      <w:keepLines/>
      <w:spacing w:after="20" w:line="200" w:lineRule="atLeast"/>
      <w:widowControl/>
    </w:pPr>
    <w:rPr>
      <w:sz w:val="16"/>
    </w:rPr>
  </w:style>
  <w:style w:type="paragraph" w:styleId="1174" w:customStyle="1">
    <w:name w:val="xl4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75" w:customStyle="1">
    <w:name w:val="xl3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76" w:customStyle="1">
    <w:name w:val="表中"/>
    <w:basedOn w:val="805"/>
    <w:uiPriority w:val="0"/>
    <w:qFormat/>
    <w:pPr>
      <w:jc w:val="center"/>
      <w:spacing w:line="360" w:lineRule="atLeast"/>
    </w:pPr>
  </w:style>
  <w:style w:type="paragraph" w:styleId="1177" w:customStyle="1">
    <w:name w:val="Char"/>
    <w:basedOn w:val="805"/>
    <w:uiPriority w:val="0"/>
    <w:qFormat/>
    <w:rPr>
      <w:rFonts w:ascii="仿宋_GB2312" w:eastAsia="仿宋_GB2312"/>
      <w:b/>
      <w:sz w:val="32"/>
      <w:szCs w:val="32"/>
    </w:rPr>
  </w:style>
  <w:style w:type="paragraph" w:styleId="1178" w:customStyle="1">
    <w:name w:val="font6"/>
    <w:basedOn w:val="805"/>
    <w:uiPriority w:val="0"/>
    <w:qFormat/>
    <w:pPr>
      <w:ind w:firstLine="420"/>
      <w:jc w:val="left"/>
      <w:spacing w:before="100" w:beforeAutospacing="1" w:after="100" w:afterAutospacing="1" w:line="288" w:lineRule="auto"/>
      <w:widowControl/>
    </w:pPr>
    <w:rPr>
      <w:sz w:val="24"/>
      <w:szCs w:val="24"/>
    </w:rPr>
  </w:style>
  <w:style w:type="paragraph" w:styleId="1179" w:customStyle="1">
    <w:name w:val="xl40"/>
    <w:basedOn w:val="8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80" w:customStyle="1">
    <w:name w:val="xl37"/>
    <w:basedOn w:val="80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8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82" w:customStyle="1">
    <w:name w:val="样式 纯文本 + 楷体_GB2312 小四 行距: 固定值 20 磅1"/>
    <w:basedOn w:val="998"/>
    <w:uiPriority w:val="0"/>
    <w:qFormat/>
    <w:pPr>
      <w:ind w:firstLine="200"/>
      <w:spacing w:line="400" w:lineRule="exact"/>
    </w:pPr>
    <w:rPr>
      <w:rFonts w:ascii="楷体_GB2312" w:eastAsia="楷体_GB2312"/>
      <w:sz w:val="24"/>
      <w:szCs w:val="20"/>
    </w:rPr>
  </w:style>
  <w:style w:type="paragraph" w:styleId="1183" w:customStyle="1">
    <w:name w:val="页眉1"/>
    <w:basedOn w:val="80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84" w:customStyle="1">
    <w:name w:val="yyn"/>
    <w:basedOn w:val="805"/>
    <w:uiPriority w:val="0"/>
    <w:qFormat/>
    <w:pPr>
      <w:ind w:right="562" w:firstLine="576"/>
      <w:keepNext/>
      <w:spacing w:line="360" w:lineRule="auto"/>
      <w:widowControl/>
    </w:pPr>
    <w:rPr>
      <w:rFonts w:ascii="宋体"/>
      <w:sz w:val="28"/>
    </w:rPr>
  </w:style>
  <w:style w:type="paragraph" w:styleId="1185" w:customStyle="1">
    <w:name w:val="标题2"/>
    <w:basedOn w:val="995"/>
    <w:next w:val="805"/>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86" w:customStyle="1">
    <w:name w:val="样式3"/>
    <w:basedOn w:val="998"/>
    <w:uiPriority w:val="0"/>
    <w:qFormat/>
    <w:pPr>
      <w:ind w:firstLine="448"/>
    </w:pPr>
    <w:rPr>
      <w:rFonts w:cs="Courier New"/>
      <w:color w:val="000000"/>
      <w:spacing w:val="-8"/>
    </w:rPr>
  </w:style>
  <w:style w:type="paragraph" w:styleId="1187" w:customStyle="1">
    <w:name w:val="xl44"/>
    <w:basedOn w:val="80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88" w:customStyle="1">
    <w:name w:val="附录1层"/>
    <w:basedOn w:val="805"/>
    <w:next w:val="805"/>
    <w:uiPriority w:val="0"/>
    <w:qFormat/>
    <w:pPr>
      <w:ind w:firstLine="448"/>
      <w:jc w:val="center"/>
      <w:spacing w:line="440" w:lineRule="exact"/>
    </w:pPr>
    <w:rPr>
      <w:rFonts w:ascii="黑体" w:hAnsi="宋体" w:eastAsia="黑体"/>
      <w:color w:val="000000"/>
      <w:spacing w:val="-8"/>
      <w:sz w:val="24"/>
    </w:rPr>
  </w:style>
  <w:style w:type="paragraph" w:styleId="1189" w:customStyle="1">
    <w:name w:val="正文1)"/>
    <w:basedOn w:val="80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90" w:customStyle="1">
    <w:name w:val="标题0"/>
    <w:basedOn w:val="1088"/>
    <w:next w:val="1088"/>
    <w:uiPriority w:val="0"/>
    <w:qFormat/>
    <w:rPr>
      <w:sz w:val="52"/>
    </w:rPr>
  </w:style>
  <w:style w:type="paragraph" w:styleId="1191" w:customStyle="1">
    <w:name w:val="Table Paragraph"/>
    <w:basedOn w:val="805"/>
    <w:uiPriority w:val="1"/>
    <w:qFormat/>
    <w:rPr>
      <w:rFonts w:ascii="宋体" w:hAnsi="宋体" w:cs="宋体"/>
      <w:szCs w:val="24"/>
      <w:lang w:val="zh-CN" w:bidi="zh-CN"/>
    </w:rPr>
  </w:style>
  <w:style w:type="paragraph" w:styleId="1192" w:customStyle="1">
    <w:name w:val="xl49"/>
    <w:basedOn w:val="805"/>
    <w:uiPriority w:val="0"/>
    <w:qFormat/>
    <w:pPr>
      <w:jc w:val="center"/>
      <w:spacing w:before="100" w:beforeAutospacing="1" w:after="100" w:afterAutospacing="1"/>
      <w:widowControl/>
    </w:pPr>
    <w:rPr>
      <w:rFonts w:ascii="宋体" w:hAnsi="宋体"/>
      <w:b/>
      <w:bCs/>
      <w:color w:val="000000"/>
      <w:sz w:val="40"/>
      <w:szCs w:val="40"/>
    </w:rPr>
  </w:style>
  <w:style w:type="paragraph" w:styleId="1193" w:customStyle="1">
    <w:name w:val="table_lines"/>
    <w:basedOn w:val="805"/>
    <w:uiPriority w:val="0"/>
    <w:qFormat/>
    <w:pPr>
      <w:jc w:val="left"/>
      <w:widowControl/>
    </w:pPr>
    <w:rPr>
      <w:sz w:val="20"/>
      <w:lang w:val="de-DE" w:eastAsia="de-DE"/>
    </w:rPr>
  </w:style>
  <w:style w:type="paragraph" w:styleId="1194" w:customStyle="1">
    <w:name w:val="font7"/>
    <w:basedOn w:val="805"/>
    <w:uiPriority w:val="0"/>
    <w:qFormat/>
    <w:pPr>
      <w:ind w:firstLine="420"/>
      <w:jc w:val="left"/>
      <w:spacing w:before="100" w:beforeAutospacing="1" w:after="100" w:afterAutospacing="1" w:line="288" w:lineRule="auto"/>
      <w:widowControl/>
    </w:pPr>
    <w:rPr>
      <w:b/>
      <w:bCs/>
      <w:sz w:val="24"/>
      <w:szCs w:val="24"/>
    </w:rPr>
  </w:style>
  <w:style w:type="paragraph" w:styleId="1195" w:customStyle="1">
    <w:name w:val="xl33"/>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6" w:customStyle="1">
    <w:name w:val="正文(缩进)"/>
    <w:basedOn w:val="805"/>
    <w:uiPriority w:val="0"/>
    <w:qFormat/>
    <w:pPr>
      <w:ind w:firstLine="200"/>
      <w:spacing w:line="360" w:lineRule="auto"/>
      <w:widowControl/>
    </w:pPr>
    <w:rPr>
      <w:rFonts w:eastAsia="仿宋_GB2312"/>
      <w:sz w:val="24"/>
    </w:rPr>
  </w:style>
  <w:style w:type="paragraph" w:styleId="1197" w:customStyle="1">
    <w:name w:val="样式1"/>
    <w:basedOn w:val="997"/>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98" w:customStyle="1">
    <w:name w:val="并列项-点"/>
    <w:basedOn w:val="805"/>
    <w:uiPriority w:val="0"/>
    <w:qFormat/>
    <w:pPr>
      <w:ind w:left="851" w:hanging="284"/>
      <w:spacing w:before="120" w:line="360" w:lineRule="auto"/>
      <w:widowControl/>
      <w:tabs>
        <w:tab w:val="left" w:pos="851" w:leader="none"/>
        <w:tab w:val="left" w:pos="927" w:leader="none"/>
      </w:tabs>
    </w:pPr>
    <w:rPr>
      <w:sz w:val="24"/>
    </w:rPr>
  </w:style>
  <w:style w:type="paragraph" w:styleId="1199" w:customStyle="1">
    <w:name w:val="表蕊"/>
    <w:basedOn w:val="805"/>
    <w:uiPriority w:val="0"/>
    <w:qFormat/>
    <w:pPr>
      <w:jc w:val="left"/>
      <w:spacing w:line="320" w:lineRule="atLeast"/>
    </w:pPr>
    <w:rPr>
      <w:rFonts w:eastAsia="楷体_GB2312"/>
      <w:spacing w:val="-10"/>
    </w:rPr>
  </w:style>
  <w:style w:type="paragraph" w:styleId="1200" w:customStyle="1">
    <w:name w:val="正文缩进1"/>
    <w:basedOn w:val="805"/>
    <w:uiPriority w:val="99"/>
    <w:qFormat/>
    <w:pPr>
      <w:ind w:firstLine="200"/>
      <w:jc w:val="left"/>
      <w:spacing w:line="360" w:lineRule="auto"/>
      <w:widowControl/>
    </w:pPr>
    <w:rPr>
      <w:rFonts w:eastAsia="华文细黑"/>
      <w:sz w:val="24"/>
      <w:szCs w:val="21"/>
    </w:rPr>
  </w:style>
  <w:style w:type="paragraph" w:styleId="1201" w:customStyle="1">
    <w:name w:val="font5"/>
    <w:basedOn w:val="805"/>
    <w:uiPriority w:val="0"/>
    <w:qFormat/>
    <w:pPr>
      <w:jc w:val="left"/>
      <w:spacing w:before="100" w:beforeAutospacing="1" w:after="100" w:afterAutospacing="1"/>
      <w:widowControl/>
    </w:pPr>
    <w:rPr>
      <w:rFonts w:hint="eastAsia" w:ascii="宋体" w:hAnsi="宋体"/>
      <w:sz w:val="18"/>
      <w:szCs w:val="18"/>
    </w:rPr>
  </w:style>
  <w:style w:type="paragraph" w:styleId="1202" w:customStyle="1">
    <w:name w:val="产品型号"/>
    <w:basedOn w:val="805"/>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03" w:customStyle="1">
    <w:name w:val="xl41"/>
    <w:basedOn w:val="805"/>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204" w:customStyle="1">
    <w:name w:val="xl39"/>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205" w:customStyle="1">
    <w:name w:val="名词解释11"/>
    <w:basedOn w:val="1206"/>
    <w:uiPriority w:val="0"/>
    <w:qFormat/>
    <w:pPr>
      <w:ind w:firstLine="0"/>
      <w:spacing w:after="0"/>
    </w:pPr>
  </w:style>
  <w:style w:type="paragraph" w:styleId="1206" w:customStyle="1">
    <w:name w:val="名词解释"/>
    <w:basedOn w:val="805"/>
    <w:uiPriority w:val="0"/>
    <w:qFormat/>
    <w:pPr>
      <w:ind w:left="2325" w:hanging="2325"/>
      <w:spacing w:after="20" w:line="288" w:lineRule="auto"/>
    </w:pPr>
  </w:style>
  <w:style w:type="paragraph" w:styleId="1207" w:customStyle="1">
    <w:name w:val="xl51"/>
    <w:basedOn w:val="80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208" w:customStyle="1">
    <w:name w:val="xl26"/>
    <w:basedOn w:val="805"/>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09" w:customStyle="1">
    <w:name w:val="xl38"/>
    <w:basedOn w:val="805"/>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10" w:customStyle="1">
    <w:name w:val="办公自动化专用正文"/>
    <w:basedOn w:val="805"/>
    <w:uiPriority w:val="0"/>
    <w:qFormat/>
    <w:pPr>
      <w:ind w:firstLine="624"/>
      <w:spacing w:line="500" w:lineRule="atLeast"/>
    </w:pPr>
    <w:rPr>
      <w:rFonts w:hAnsi="宋体" w:eastAsia="楷体_GB2312"/>
      <w:color w:val="000000"/>
      <w:spacing w:val="-8"/>
      <w:sz w:val="32"/>
    </w:rPr>
  </w:style>
  <w:style w:type="paragraph" w:styleId="1211" w:customStyle="1">
    <w:name w:val="样式 标题 2标题 2 Char Char + (西文) 仿宋_GB2312"/>
    <w:basedOn w:val="995"/>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212" w:customStyle="1">
    <w:name w:val="章标题"/>
    <w:next w:val="805"/>
    <w:uiPriority w:val="0"/>
    <w:qFormat/>
    <w:pPr>
      <w:jc w:val="both"/>
      <w:outlineLvl w:val="1"/>
    </w:pPr>
    <w:rPr>
      <w:rFonts w:ascii="黑体" w:hAnsi="Times New Roman" w:eastAsia="黑体" w:cs="Times New Roman"/>
      <w:sz w:val="21"/>
      <w:lang w:val="en-US" w:eastAsia="zh-CN" w:bidi="ar-SA"/>
    </w:rPr>
  </w:style>
  <w:style w:type="paragraph" w:styleId="1213" w:customStyle="1">
    <w:name w:val="Char Char Char Char Char Char Char Char Char Char Char"/>
    <w:basedOn w:val="1024"/>
    <w:uiPriority w:val="0"/>
    <w:qFormat/>
    <w:pPr>
      <w:ind w:firstLine="420"/>
    </w:pPr>
    <w:rPr>
      <w:rFonts w:hAnsi="宋体"/>
      <w:color w:val="000000"/>
      <w:spacing w:val="-8"/>
      <w:sz w:val="21"/>
      <w:shd w:val="clear" w:color="auto" w:fill="000080"/>
    </w:rPr>
  </w:style>
  <w:style w:type="paragraph" w:styleId="1214" w:customStyle="1">
    <w:name w:val="text"/>
    <w:basedOn w:val="805"/>
    <w:uiPriority w:val="0"/>
    <w:qFormat/>
    <w:pPr>
      <w:ind w:left="1098" w:hanging="2"/>
      <w:spacing w:after="60" w:line="264" w:lineRule="auto"/>
      <w:widowControl/>
      <w:tabs>
        <w:tab w:val="left" w:pos="1020" w:leader="none"/>
        <w:tab w:val="left" w:pos="1090" w:leader="none"/>
      </w:tabs>
    </w:pPr>
    <w:rPr>
      <w:sz w:val="24"/>
      <w:szCs w:val="24"/>
    </w:rPr>
  </w:style>
  <w:style w:type="paragraph" w:styleId="1215" w:customStyle="1">
    <w:name w:val="函数注释1"/>
    <w:basedOn w:val="805"/>
    <w:uiPriority w:val="0"/>
    <w:qFormat/>
    <w:pPr>
      <w:ind w:left="1678" w:right="210" w:hanging="1049"/>
      <w:jc w:val="left"/>
      <w:spacing w:after="20" w:line="320" w:lineRule="exact"/>
    </w:pPr>
  </w:style>
  <w:style w:type="paragraph" w:styleId="1216" w:customStyle="1">
    <w:name w:val="列表_名词"/>
    <w:basedOn w:val="1205"/>
    <w:uiPriority w:val="0"/>
    <w:qFormat/>
    <w:pPr>
      <w:ind w:left="2745" w:hanging="420"/>
      <w:tabs>
        <w:tab w:val="left" w:pos="2745" w:leader="none"/>
      </w:tabs>
    </w:pPr>
  </w:style>
  <w:style w:type="paragraph" w:styleId="1217" w:customStyle="1">
    <w:name w:val="样式 标题 3 + (西文) 宋体 黑色"/>
    <w:basedOn w:val="996"/>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218" w:customStyle="1">
    <w:name w:val="Javis"/>
    <w:basedOn w:val="805"/>
    <w:uiPriority w:val="0"/>
    <w:qFormat/>
    <w:pPr>
      <w:ind w:right="210"/>
    </w:pPr>
    <w:rPr>
      <w:rFonts w:cs="宋体"/>
      <w:sz w:val="24"/>
    </w:rPr>
  </w:style>
  <w:style w:type="paragraph" w:styleId="1219" w:customStyle="1">
    <w:name w:val="样式 标题 1 + 加粗"/>
    <w:basedOn w:val="994"/>
    <w:uiPriority w:val="0"/>
    <w:qFormat/>
    <w:pPr>
      <w:keepLines/>
      <w:spacing w:before="120" w:after="120"/>
      <w:widowControl/>
      <w:tabs>
        <w:tab w:val="left" w:pos="1800" w:leader="none"/>
      </w:tabs>
    </w:pPr>
    <w:rPr>
      <w:rFonts w:ascii="新宋体" w:hAnsi="宋体" w:eastAsia="黑体"/>
      <w:bCs/>
      <w:szCs w:val="28"/>
    </w:rPr>
  </w:style>
  <w:style w:type="paragraph" w:styleId="1220" w:customStyle="1">
    <w:name w:val="重点"/>
    <w:basedOn w:val="805"/>
    <w:uiPriority w:val="0"/>
    <w:qFormat/>
    <w:pPr>
      <w:ind w:firstLine="420"/>
      <w:spacing w:after="20" w:line="288" w:lineRule="auto"/>
      <w:shd w:val="pct10" w:color="auto" w:fill="auto"/>
    </w:pPr>
    <w:rPr>
      <w:rFonts w:eastAsia="黑体"/>
      <w:b/>
      <w:szCs w:val="24"/>
    </w:rPr>
  </w:style>
  <w:style w:type="paragraph" w:styleId="1221" w:customStyle="1">
    <w:name w:val="目录"/>
    <w:basedOn w:val="805"/>
    <w:next w:val="805"/>
    <w:uiPriority w:val="0"/>
    <w:qFormat/>
    <w:pPr>
      <w:ind w:firstLine="420"/>
      <w:jc w:val="center"/>
      <w:spacing w:before="360" w:after="360" w:line="360" w:lineRule="auto"/>
    </w:pPr>
    <w:rPr>
      <w:b/>
      <w:spacing w:val="200"/>
      <w:sz w:val="36"/>
    </w:rPr>
  </w:style>
  <w:style w:type="paragraph" w:styleId="1222" w:customStyle="1">
    <w:name w:val="段"/>
    <w:next w:val="805"/>
    <w:uiPriority w:val="0"/>
    <w:qFormat/>
    <w:pPr>
      <w:ind w:firstLine="200"/>
      <w:jc w:val="both"/>
    </w:pPr>
    <w:rPr>
      <w:rFonts w:ascii="宋体" w:hAnsi="Times New Roman" w:eastAsia="宋体" w:cs="Times New Roman"/>
      <w:sz w:val="21"/>
      <w:lang w:val="en-US" w:eastAsia="zh-CN" w:bidi="ar-SA"/>
    </w:rPr>
  </w:style>
  <w:style w:type="paragraph" w:styleId="1223" w:customStyle="1">
    <w:name w:val="样式2"/>
    <w:basedOn w:val="996"/>
    <w:uiPriority w:val="0"/>
    <w:qFormat/>
    <w:pPr>
      <w:ind w:firstLine="448"/>
      <w:jc w:val="both"/>
      <w:keepLines/>
      <w:spacing w:line="416" w:lineRule="auto"/>
    </w:pPr>
    <w:rPr>
      <w:rFonts w:hAnsi="宋体" w:eastAsia="宋体"/>
      <w:color w:val="000000"/>
      <w:spacing w:val="-8"/>
      <w:sz w:val="24"/>
      <w:szCs w:val="32"/>
    </w:rPr>
  </w:style>
  <w:style w:type="paragraph" w:styleId="1224" w:customStyle="1">
    <w:name w:val="Char Char Char Char Char Char Char Char Char Char Char Char Char Char Char Char"/>
    <w:basedOn w:val="805"/>
    <w:uiPriority w:val="0"/>
    <w:qFormat/>
    <w:pPr>
      <w:tabs>
        <w:tab w:val="left" w:pos="360" w:leader="none"/>
      </w:tabs>
    </w:pPr>
    <w:rPr>
      <w:sz w:val="24"/>
      <w:szCs w:val="24"/>
    </w:rPr>
  </w:style>
  <w:style w:type="paragraph" w:styleId="1225" w:customStyle="1">
    <w:name w:val="xl52"/>
    <w:basedOn w:val="80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226" w:customStyle="1">
    <w:name w:val="函数注释2"/>
    <w:basedOn w:val="805"/>
    <w:uiPriority w:val="0"/>
    <w:qFormat/>
    <w:pPr>
      <w:ind w:left="1680" w:firstLine="420"/>
      <w:spacing w:after="20" w:line="288" w:lineRule="auto"/>
    </w:pPr>
    <w:rPr>
      <w:szCs w:val="24"/>
    </w:rPr>
  </w:style>
  <w:style w:type="paragraph" w:styleId="1227" w:customStyle="1">
    <w:name w:val="xl22"/>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28" w:customStyle="1">
    <w:name w:val="xl24"/>
    <w:basedOn w:val="805"/>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29" w:customStyle="1">
    <w:name w:val="xl42"/>
    <w:basedOn w:val="805"/>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30" w:customStyle="1">
    <w:name w:val="复选框1"/>
    <w:basedOn w:val="805"/>
    <w:uiPriority w:val="0"/>
    <w:qFormat/>
    <w:pPr>
      <w:ind w:firstLine="448"/>
      <w:spacing w:before="360" w:after="360"/>
      <w:widowControl/>
    </w:pPr>
    <w:rPr>
      <w:rFonts w:hAnsi="宋体"/>
      <w:color w:val="000000"/>
      <w:spacing w:val="-8"/>
      <w:sz w:val="20"/>
    </w:rPr>
  </w:style>
  <w:style w:type="paragraph" w:styleId="1231" w:customStyle="1">
    <w:name w:val="Char Char Char Char Char Char Char"/>
    <w:basedOn w:val="805"/>
    <w:uiPriority w:val="0"/>
    <w:qFormat/>
    <w:pPr>
      <w:jc w:val="left"/>
      <w:spacing w:after="160" w:line="240" w:lineRule="exact"/>
      <w:widowControl/>
    </w:pPr>
    <w:rPr>
      <w:rFonts w:ascii="Arial" w:hAnsi="Arial" w:eastAsia="Times New Roman" w:cs="Verdana"/>
      <w:b/>
      <w:sz w:val="24"/>
      <w:szCs w:val="24"/>
      <w:lang w:eastAsia="en-US"/>
    </w:rPr>
  </w:style>
  <w:style w:type="paragraph" w:styleId="1232" w:customStyle="1">
    <w:name w:val="标准文字"/>
    <w:basedOn w:val="805"/>
    <w:uiPriority w:val="0"/>
    <w:qFormat/>
    <w:pPr>
      <w:ind w:firstLine="420"/>
      <w:spacing w:after="20" w:line="360" w:lineRule="auto"/>
    </w:pPr>
    <w:rPr>
      <w:szCs w:val="24"/>
    </w:rPr>
  </w:style>
  <w:style w:type="paragraph" w:styleId="1233" w:customStyle="1">
    <w:name w:val="Char Char Char Char"/>
    <w:basedOn w:val="805"/>
    <w:uiPriority w:val="0"/>
    <w:qFormat/>
    <w:pPr>
      <w:jc w:val="left"/>
      <w:spacing w:after="160" w:line="240" w:lineRule="exact"/>
      <w:widowControl/>
    </w:pPr>
    <w:rPr>
      <w:rFonts w:ascii="Verdana" w:hAnsi="Verdana" w:eastAsia="仿宋_GB2312"/>
      <w:sz w:val="24"/>
      <w:lang w:eastAsia="en-US"/>
    </w:rPr>
  </w:style>
  <w:style w:type="paragraph" w:styleId="1234" w:customStyle="1">
    <w:name w:val="样式一"/>
    <w:basedOn w:val="805"/>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235" w:customStyle="1">
    <w:name w:val="程序代码"/>
    <w:basedOn w:val="805"/>
    <w:uiPriority w:val="0"/>
    <w:qFormat/>
    <w:pPr>
      <w:ind w:left="839" w:firstLine="420"/>
      <w:spacing w:after="20" w:line="288" w:lineRule="auto"/>
    </w:pPr>
    <w:rPr>
      <w:rFonts w:eastAsia="仿宋_GB2312"/>
      <w:szCs w:val="24"/>
    </w:rPr>
  </w:style>
  <w:style w:type="paragraph" w:styleId="1236" w:customStyle="1">
    <w:name w:val="表格文字"/>
    <w:basedOn w:val="805"/>
    <w:uiPriority w:val="0"/>
    <w:qFormat/>
    <w:pPr>
      <w:jc w:val="left"/>
      <w:spacing w:line="288" w:lineRule="auto"/>
    </w:pPr>
  </w:style>
  <w:style w:type="paragraph" w:styleId="1237" w:customStyle="1">
    <w:name w:val="xl25"/>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38" w:customStyle="1">
    <w:name w:val="xl29"/>
    <w:basedOn w:val="805"/>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39" w:customStyle="1">
    <w:name w:val="xl47"/>
    <w:basedOn w:val="8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40" w:customStyle="1">
    <w:name w:val="xl34"/>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1" w:customStyle="1">
    <w:name w:val="xl23"/>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42" w:customStyle="1">
    <w:name w:val="List Paragraph[858D7CFB-ED40-4347-BF05-701D383B685F][858D7CFB-ED40-4347-BF05-701D383B685F]"/>
    <w:basedOn w:val="805"/>
    <w:uiPriority w:val="0"/>
    <w:qFormat/>
    <w:pPr>
      <w:ind w:firstLine="420"/>
    </w:pPr>
    <w:rPr>
      <w:rFonts w:ascii="Calibri" w:hAnsi="Calibri"/>
      <w:color w:val="000000"/>
      <w:spacing w:val="-8"/>
      <w:szCs w:val="22"/>
    </w:rPr>
  </w:style>
  <w:style w:type="paragraph" w:styleId="1243" w:customStyle="1">
    <w:name w:val="xl30"/>
    <w:basedOn w:val="805"/>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44" w:customStyle="1">
    <w:name w:val="文档标签"/>
    <w:next w:val="805"/>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245" w:customStyle="1">
    <w:name w:val="whs5"/>
    <w:basedOn w:val="805"/>
    <w:uiPriority w:val="0"/>
    <w:qFormat/>
    <w:pPr>
      <w:ind w:left="115" w:right="130" w:firstLine="448"/>
      <w:widowControl/>
    </w:pPr>
    <w:rPr>
      <w:rFonts w:hAnsi="宋体"/>
      <w:color w:val="000000"/>
      <w:spacing w:val="-8"/>
      <w:sz w:val="18"/>
      <w:szCs w:val="18"/>
      <w:lang w:eastAsia="en-US"/>
    </w:rPr>
  </w:style>
  <w:style w:type="paragraph" w:styleId="1246" w:customStyle="1">
    <w:name w:val="Char Char Char Char Char Char"/>
    <w:basedOn w:val="805"/>
    <w:uiPriority w:val="0"/>
    <w:qFormat/>
    <w:pPr>
      <w:jc w:val="left"/>
      <w:spacing w:after="160" w:line="240" w:lineRule="exact"/>
      <w:widowControl/>
    </w:pPr>
    <w:rPr>
      <w:rFonts w:ascii="黑体" w:hAnsi="Verdana" w:eastAsia="黑体"/>
      <w:sz w:val="32"/>
      <w:szCs w:val="32"/>
    </w:rPr>
  </w:style>
  <w:style w:type="paragraph" w:styleId="1247" w:customStyle="1">
    <w:name w:val="表格标题"/>
    <w:basedOn w:val="805"/>
    <w:uiPriority w:val="0"/>
    <w:qFormat/>
    <w:pPr>
      <w:jc w:val="center"/>
      <w:spacing w:before="120" w:line="400" w:lineRule="exact"/>
    </w:pPr>
    <w:rPr>
      <w:rFonts w:eastAsia="文鼎CS中宋"/>
      <w:spacing w:val="8"/>
      <w:sz w:val="24"/>
    </w:rPr>
  </w:style>
  <w:style w:type="paragraph" w:styleId="1248" w:customStyle="1">
    <w:name w:val="列表2"/>
    <w:basedOn w:val="805"/>
    <w:uiPriority w:val="0"/>
    <w:qFormat/>
    <w:pPr>
      <w:ind w:left="1469" w:hanging="420"/>
      <w:spacing w:after="20" w:line="288" w:lineRule="auto"/>
      <w:tabs>
        <w:tab w:val="left" w:pos="1470" w:leader="none"/>
      </w:tabs>
    </w:pPr>
    <w:rPr>
      <w:szCs w:val="24"/>
    </w:rPr>
  </w:style>
  <w:style w:type="paragraph" w:styleId="1249" w:customStyle="1">
    <w:name w:val="列表段落1"/>
    <w:basedOn w:val="805"/>
    <w:uiPriority w:val="0"/>
    <w:qFormat/>
    <w:pPr>
      <w:ind w:firstLine="420"/>
    </w:pPr>
    <w:rPr>
      <w:rFonts w:ascii="Calibri" w:hAnsi="Calibri"/>
      <w:szCs w:val="22"/>
    </w:rPr>
  </w:style>
  <w:style w:type="paragraph" w:styleId="1250" w:customStyle="1">
    <w:name w:val="xl28"/>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51" w:customStyle="1">
    <w:name w:val="Char Char Char1 Char Char Char"/>
    <w:basedOn w:val="805"/>
    <w:uiPriority w:val="0"/>
    <w:qFormat/>
    <w:pPr>
      <w:ind w:firstLine="200"/>
    </w:pPr>
    <w:rPr>
      <w:rFonts w:ascii="Tahoma" w:hAnsi="Tahoma"/>
      <w:sz w:val="24"/>
    </w:rPr>
  </w:style>
  <w:style w:type="paragraph" w:styleId="1252" w:customStyle="1">
    <w:name w:val="xl35"/>
    <w:basedOn w:val="8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3"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254" w:customStyle="1">
    <w:name w:val="xl43"/>
    <w:basedOn w:val="805"/>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55" w:customStyle="1">
    <w:name w:val="表头"/>
    <w:basedOn w:val="805"/>
    <w:uiPriority w:val="0"/>
    <w:qFormat/>
    <w:pPr>
      <w:jc w:val="center"/>
      <w:spacing w:line="320" w:lineRule="atLeast"/>
    </w:pPr>
    <w:rPr>
      <w:rFonts w:eastAsia="黑体"/>
      <w:spacing w:val="-10"/>
    </w:rPr>
  </w:style>
  <w:style w:type="paragraph" w:styleId="1256" w:customStyle="1">
    <w:name w:val="标准式样"/>
    <w:basedOn w:val="1073"/>
    <w:uiPriority w:val="0"/>
    <w:qFormat/>
  </w:style>
  <w:style w:type="paragraph" w:styleId="1257" w:customStyle="1">
    <w:name w:val="xl50"/>
    <w:basedOn w:val="805"/>
    <w:uiPriority w:val="0"/>
    <w:qFormat/>
    <w:pPr>
      <w:jc w:val="center"/>
      <w:spacing w:before="100" w:beforeAutospacing="1" w:after="100" w:afterAutospacing="1"/>
      <w:widowControl/>
    </w:pPr>
    <w:rPr>
      <w:rFonts w:ascii="宋体" w:hAnsi="宋体"/>
      <w:b/>
      <w:bCs/>
      <w:sz w:val="40"/>
      <w:szCs w:val="40"/>
    </w:rPr>
  </w:style>
  <w:style w:type="paragraph" w:styleId="1258" w:customStyle="1">
    <w:name w:val="Char1"/>
    <w:basedOn w:val="805"/>
    <w:uiPriority w:val="0"/>
    <w:qFormat/>
    <w:pPr>
      <w:ind w:firstLine="448"/>
    </w:pPr>
    <w:rPr>
      <w:rFonts w:ascii="宋体" w:hAnsi="宋体" w:eastAsia="仿宋_GB2312"/>
      <w:b/>
      <w:color w:val="000000"/>
      <w:spacing w:val="-8"/>
      <w:sz w:val="32"/>
      <w:szCs w:val="32"/>
    </w:rPr>
  </w:style>
  <w:style w:type="paragraph" w:styleId="1259" w:customStyle="1">
    <w:name w:val="font0"/>
    <w:basedOn w:val="805"/>
    <w:uiPriority w:val="0"/>
    <w:qFormat/>
    <w:pPr>
      <w:jc w:val="left"/>
      <w:spacing w:before="100" w:beforeAutospacing="1" w:after="100" w:afterAutospacing="1"/>
      <w:widowControl/>
    </w:pPr>
    <w:rPr>
      <w:rFonts w:hint="eastAsia" w:ascii="宋体" w:hAnsi="宋体"/>
      <w:sz w:val="18"/>
      <w:szCs w:val="18"/>
    </w:rPr>
  </w:style>
  <w:style w:type="paragraph" w:styleId="1260" w:customStyle="1">
    <w:name w:val="xl27"/>
    <w:basedOn w:val="805"/>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61" w:customStyle="1">
    <w:name w:val="简介正文"/>
    <w:basedOn w:val="805"/>
    <w:uiPriority w:val="0"/>
    <w:qFormat/>
    <w:pPr>
      <w:ind w:left="1701" w:hanging="1701"/>
      <w:spacing w:after="20" w:line="520" w:lineRule="exact"/>
      <w:tabs>
        <w:tab w:val="left" w:pos="425" w:leader="none"/>
      </w:tabs>
    </w:pPr>
    <w:rPr>
      <w:sz w:val="24"/>
    </w:rPr>
  </w:style>
  <w:style w:type="paragraph" w:styleId="1262" w:customStyle="1">
    <w:name w:val="xl31"/>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3" w:customStyle="1">
    <w:name w:val="xl32"/>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4" w:customStyle="1">
    <w:name w:val="xl48"/>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65" w:customStyle="1">
    <w:name w:val="Other|1"/>
    <w:basedOn w:val="805"/>
    <w:uiPriority w:val="0"/>
    <w:qFormat/>
    <w:pPr>
      <w:ind w:firstLine="220"/>
    </w:pPr>
    <w:rPr>
      <w:rFonts w:ascii="宋体" w:hAnsi="宋体" w:cs="宋体"/>
      <w:sz w:val="20"/>
      <w:lang w:val="zh-TW" w:eastAsia="zh-TW" w:bidi="zh-TW"/>
    </w:rPr>
  </w:style>
  <w:style w:type="paragraph" w:styleId="1266" w:customStyle="1">
    <w:name w:val="WPSOffice手动目录 1"/>
    <w:uiPriority w:val="0"/>
    <w:qFormat/>
    <w:rPr>
      <w:rFonts w:ascii="Times New Roman" w:hAnsi="Times New Roman" w:eastAsia="宋体" w:cs="Times New Roman"/>
      <w:lang w:val="en-US" w:eastAsia="zh-CN" w:bidi="ar-SA"/>
    </w:rPr>
  </w:style>
  <w:style w:type="character" w:styleId="1267" w:customStyle="1">
    <w:name w:val="批注框文本 Char2"/>
    <w:basedOn w:val="815"/>
    <w:link w:val="826"/>
    <w:uiPriority w:val="99"/>
    <w:semiHidden/>
    <w:qFormat/>
    <w:rPr>
      <w:sz w:val="18"/>
      <w:szCs w:val="18"/>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 Id="rId20" Type="http://schemas.openxmlformats.org/officeDocument/2006/relationships/image" Target="media/image2.wmf"/><Relationship Id="rId21" Type="http://schemas.openxmlformats.org/officeDocument/2006/relationships/oleObject" Target="embeddings/oleObject1.bin"/><Relationship Id="rId22" Type="http://schemas.openxmlformats.org/officeDocument/2006/relationships/image" Target="media/image3.wmf"/><Relationship Id="rId23"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51f563aa-198b-4e9e-bdb4-c3f69daf9030</errorID>
      <errorWord>在职员工</errorWord>
      <group>L1_AI</group>
      <groupName>深度校对</groupName>
      <ability>L2_AI_Grammar</ability>
      <abilityName>语法纠错</abilityName>
      <candidateList>
        <item>的在职员工</item>
      </candidateList>
      <explain/>
      <paraID>50019741</paraID>
      <start>152</start>
      <end>157</end>
      <status>modified</status>
      <modifiedWord>的在职员工</modifiedWord>
      <trackRevisions>false</trackRevisions>
    </reviewItem>
    <reviewItem>
      <errorID>9885353a-4897-4c9e-b15a-3ca1211fedfc</errorID>
      <errorWord>，</errorWord>
      <group>L1_AI</group>
      <groupName>深度校对</groupName>
      <ability>L2_AI_Punc</ability>
      <abilityName>标点纠错</abilityName>
      <candidateList>
        <item>。</item>
      </candidateList>
      <explain/>
      <paraID>73734041</paraID>
      <start>28</start>
      <end>29</end>
      <status>modified</status>
      <modifiedWord>。</modifiedWord>
      <trackRevisions>false</trackRevisions>
    </reviewItem>
    <reviewItem>
      <errorID>0ca19ef3-6a9c-4af0-969c-98d47d5fcf00</errorID>
      <errorWord>需</errorWord>
      <group>L1_AI</group>
      <groupName>深度校对</groupName>
      <ability>L2_AI_Punc</ability>
      <abilityName>标点纠错</abilityName>
      <candidateList>
        <item>，需</item>
      </candidateList>
      <explain/>
      <paraID>73734041</paraID>
      <start>34</start>
      <end>36</end>
      <status>modified</status>
      <modifiedWord>，需</modifiedWord>
      <trackRevisions>false</trackRevisions>
    </reviewItem>
    <reviewItem>
      <errorID>2bb26331-238c-465d-b7ba-f45f12f11b6b</errorID>
      <errorWord>，</errorWord>
      <group>L1_AI</group>
      <groupName>深度校对</groupName>
      <ability>L2_AI_Punc</ability>
      <abilityName>标点纠错</abilityName>
      <candidateList>
        <item>。</item>
      </candidateList>
      <explain/>
      <paraID>60A6CAA9</paraID>
      <start>52</start>
      <end>53</end>
      <status>modified</status>
      <modifiedWord>。</modifiedWord>
      <trackRevisions>false</trackRevisions>
    </reviewItem>
    <reviewItem>
      <errorID>ab6d5199-7077-438e-a17e-2ae364cb7f2b</errorID>
      <errorWord>可以</errorWord>
      <group>L1_AI</group>
      <groupName>深度校对</groupName>
      <ability>L2_AI_Word</ability>
      <abilityName>字词纠错</abilityName>
      <candidateList>
        <item>，可</item>
      </candidateList>
      <explain/>
      <paraID>  3E3160</paraID>
      <start>59</start>
      <end>61</end>
      <status>modified</status>
      <modifiedWord>，可</modifiedWord>
      <trackRevisions>false</trackRevisions>
    </reviewItem>
    <reviewItem>
      <errorID>19595933-2bbb-49ff-ad45-e011ba91be6f</errorID>
      <errorWord>，</errorWord>
      <group>L1_AI</group>
      <groupName>深度校对</groupName>
      <ability>L2_AI_Punc</ability>
      <abilityName>标点纠错</abilityName>
      <candidateList>
        <item>。</item>
      </candidateList>
      <explain/>
      <paraID>  3E3160</paraID>
      <start>70</start>
      <end>71</end>
      <status>modified</status>
      <modifiedWord>。</modifiedWord>
      <trackRevisions>false</trackRevisions>
    </reviewItem>
    <reviewItem>
      <errorID>28d790eb-c0cd-4019-ad0e-b8dc5d90dd4b</errorID>
      <errorWord>方可</errorWord>
      <group>L1_AI</group>
      <groupName>深度校对</groupName>
      <ability>L2_AI_Punc</ability>
      <abilityName>标点纠错</abilityName>
      <candidateList>
        <item>，方可</item>
      </candidateList>
      <explain/>
      <paraID>6D531B48</paraID>
      <start>15</start>
      <end>18</end>
      <status>modified</status>
      <modifiedWord>，方可</modifiedWord>
      <trackRevisions>false</trackRevisions>
    </reviewItem>
    <reviewItem>
      <errorID>1bc24c36-c5b8-49d7-b20e-21cec43973ad</errorID>
      <errorWord>应均</errorWord>
      <group>L1_AI</group>
      <groupName>深度校对</groupName>
      <ability>L2_AI_Word</ability>
      <abilityName>字词纠错</abilityName>
      <candidateList>
        <item>均应</item>
      </candidateList>
      <explain/>
      <paraID>5B373F50</paraID>
      <start>33</start>
      <end>35</end>
      <status>modified</status>
      <modifiedWord>均应</modifiedWord>
      <trackRevisions>false</trackRevisions>
    </reviewItem>
    <reviewItem>
      <errorID>6481fccb-ea1b-4c38-afbe-cac8def7124d</errorID>
      <errorWord>“</errorWord>
      <group>L1_AI</group>
      <groupName>深度校对</groupName>
      <ability>L2_AI_Grammar</ability>
      <abilityName>语法纠错</abilityName>
      <candidateList>
        <item>通过“</item>
      </candidateList>
      <explain/>
      <paraID>60932827</paraID>
      <start>93</start>
      <end>94</end>
      <status>ignored</status>
      <modifiedWord/>
      <trackRevisions>false</trackRevisions>
    </reviewItem>
    <reviewItem>
      <errorID>c2cdc62a-1c60-4647-8122-eee795c5b679</errorID>
      <errorWord>（</errorWord>
      <group>L1_Punc</group>
      <groupName>标点问题</groupName>
      <ability>L2_Punc</ability>
      <abilityName>标点符号检查</abilityName>
      <candidateList/>
      <explain>同一形式括号套用。</explain>
      <paraID>60932827</paraID>
      <start>118</start>
      <end>119</end>
      <status>unmodified</status>
      <modifiedWord/>
      <trackRevisions>false</trackRevisions>
    </reviewItem>
    <reviewItem>
      <errorID>97af2819-e8a6-4956-b266-b820e24d2a13</errorID>
      <errorWord>）</errorWord>
      <group>L1_Punc</group>
      <groupName>标点问题</groupName>
      <ability>L2_Punc</ability>
      <abilityName>标点符号检查</abilityName>
      <candidateList/>
      <explain>同一形式括号套用。</explain>
      <paraID>60932827</paraID>
      <start>122</start>
      <end>123</end>
      <status>unmodified</status>
      <modifiedWord/>
      <trackRevisions>false</trackRevisions>
    </reviewItem>
    <reviewItem>
      <errorID>e53886d8-d20f-4b78-876e-4d67c54af458</errorID>
      <errorWord>”中</errorWord>
      <group>L1_AI</group>
      <groupName>深度校对</groupName>
      <ability>L2_AI_Grammar</ability>
      <abilityName>语法纠错</abilityName>
      <candidateList>
        <item>”</item>
      </candidateList>
      <explain/>
      <paraID>60932827</paraID>
      <start>123</start>
      <end>125</end>
      <status>unmodified</status>
      <modifiedWord/>
      <trackRevisions>false</trackRevisions>
    </reviewItem>
    <reviewItem>
      <errorID>ca82e6fa-7b81-48da-bb46-bfd737a1e9b6</errorID>
      <errorWord>（</errorWord>
      <group>L1_Punc</group>
      <groupName>标点问题</groupName>
      <ability>L2_Punc</ability>
      <abilityName>标点符号检查</abilityName>
      <candidateList/>
      <explain>同一形式括号套用。</explain>
      <paraID>60932827</paraID>
      <start>131</start>
      <end>132</end>
      <status>unmodified</status>
      <modifiedWord/>
      <trackRevisions>false</trackRevisions>
    </reviewItem>
    <reviewItem>
      <errorID>ce9194db-5bf3-4eca-b0dc-e2c535c39139</errorID>
      <errorWord>）</errorWord>
      <group>L1_AI</group>
      <groupName>深度校对</groupName>
      <ability>L2_AI_Punc</ability>
      <abilityName>标点纠错</abilityName>
      <candidateList>
        <item/>
      </candidateList>
      <explain/>
      <paraID>60932827</paraID>
      <start>178</start>
      <end>179</end>
      <status>unmodified</status>
      <modifiedWord/>
      <trackRevisions>false</trackRevisions>
    </reviewItem>
    <reviewItem>
      <errorID>bbc23359-f0b7-49ba-88d7-73a918b2ec44</errorID>
      <errorWord>，</errorWord>
      <group>L1_AI</group>
      <groupName>深度校对</groupName>
      <ability>L2_AI_Punc</ability>
      <abilityName>标点纠错</abilityName>
      <candidateList>
        <item>。</item>
      </candidateList>
      <explain/>
      <paraID>60932827</paraID>
      <start>187</start>
      <end>188</end>
      <status>modified</status>
      <modifiedWord>。</modifiedWord>
      <trackRevisions>false</trackRevisions>
    </reviewItem>
    <reviewItem>
      <errorID>1e4ee121-1f72-4550-8613-238348c12380</errorID>
      <errorWord>并</errorWord>
      <group>L1_AI</group>
      <groupName>深度校对</groupName>
      <ability>L2_AI_Punc</ability>
      <abilityName>标点纠错</abilityName>
      <candidateList>
        <item>，并</item>
      </candidateList>
      <explain/>
      <paraID>60932827</paraID>
      <start>282</start>
      <end>283</end>
      <status>unmodified</status>
      <modifiedWord/>
      <trackRevisions>false</trackRevisions>
    </reviewItem>
    <reviewItem>
      <errorID>723bb2dc-c05c-45d4-93e7-8f021b166812</errorID>
      <errorWord>，</errorWord>
      <group>L1_AI</group>
      <groupName>深度校对</groupName>
      <ability>L2_AI_Punc</ability>
      <abilityName>标点纠错</abilityName>
      <candidateList>
        <item>。</item>
      </candidateList>
      <explain/>
      <paraID>60932827</paraID>
      <start>299</start>
      <end>300</end>
      <status>modified</status>
      <modifiedWord>。</modifiedWord>
      <trackRevisions>false</trackRevisions>
    </reviewItem>
    <reviewItem>
      <errorID>612d5499-693b-4704-9277-8960fe9debd2</errorID>
      <errorWord>也</errorWord>
      <group>L1_AI</group>
      <groupName>深度校对</groupName>
      <ability>L2_AI_Punc</ability>
      <abilityName>标点纠错</abilityName>
      <candidateList>
        <item>，也</item>
      </candidateList>
      <explain/>
      <paraID> 4F38AFC</paraID>
      <start>46</start>
      <end>47</end>
      <status>unmodified</status>
      <modifiedWord/>
      <trackRevisions>false</trackRevisions>
    </reviewItem>
    <reviewItem>
      <errorID>17c17588-7c61-4c9c-9dd0-b3d2759ad82c</errorID>
      <errorWord>方法</errorWord>
      <group>L1_AI</group>
      <groupName>深度校对</groupName>
      <ability>L2_AI_Word</ability>
      <abilityName>字词纠错</abilityName>
      <candidateList>
        <item>方式</item>
      </candidateList>
      <explain/>
      <paraID>3410A5B4</paraID>
      <start>5</start>
      <end>7</end>
      <status>unmodified</status>
      <modifiedWord/>
      <trackRevisions>false</trackRevisions>
    </reviewItem>
    <reviewItem>
      <errorID>5463ce3e-d066-440a-8d01-8420dc3d4263</errorID>
      <errorWord>在</errorWord>
      <group>L1_AI</group>
      <groupName>深度校对</groupName>
      <ability>L2_AI_Grammar</ability>
      <abilityName>语法纠错</abilityName>
      <candidateList>
        <item>应在</item>
      </candidateList>
      <explain/>
      <paraID>659F52A5</paraID>
      <start>61</start>
      <end>63</end>
      <status>modified</status>
      <modifiedWord>应在</modifiedWord>
      <trackRevisions>false</trackRevisions>
    </reviewItem>
    <reviewItem>
      <errorID>6560c6d5-79df-4066-901e-c914ebc89545</errorID>
      <errorWord>例外</errorWord>
      <group>L1_Word</group>
      <groupName>字词问题</groupName>
      <ability>L2_Typo</ability>
      <abilityName>字词错误</abilityName>
      <candidateList>
        <item>除外</item>
      </candidateList>
      <explain/>
      <paraID>356113C8</paraID>
      <start>27</start>
      <end>29</end>
      <status>modified</status>
      <modifiedWord>除外</modifiedWord>
      <trackRevisions>false</trackRevisions>
    </reviewItem>
    <reviewItem>
      <errorID>6560c6d5-79df-4066-901e-c914ebc89545</errorID>
      <errorWord>例外</errorWord>
      <group>L1_Word</group>
      <groupName>字词问题</groupName>
      <ability>L2_Typo</ability>
      <abilityName>字词错误</abilityName>
      <candidateList>
        <item>除外</item>
      </candidateList>
      <explain/>
      <paraID>47699F26</paraID>
      <start>27</start>
      <end>29</end>
      <status>modified</status>
      <modifiedWord>除外</modifiedWord>
      <trackRevisions>false</trackRevisions>
    </reviewItem>
    <reviewItem>
      <errorID>3df63de5-4a20-4e8c-a207-5003d16f6136</errorID>
      <errorWord>登陆</errorWord>
      <group>L1_Word</group>
      <groupName>字词问题</groupName>
      <ability>L2_Typo</ability>
      <abilityName>字词错误</abilityName>
      <candidateList>
        <item>登录</item>
      </candidateList>
      <explain>存在发音相同字词的误用。</explain>
      <paraID>796574B9</paraID>
      <start>42</start>
      <end>44</end>
      <status>modified</status>
      <modifiedWord>登录</modifiedWord>
      <trackRevisions>false</trackRevisions>
    </reviewItem>
    <reviewItem>
      <errorID>72cc9650-a2ee-4ca6-93d6-ca9a2d4356be</errorID>
      <errorWord>，</errorWord>
      <group>L1_Word</group>
      <groupName>字词问题</groupName>
      <ability>L2_Typo</ability>
      <abilityName>字词错误</abilityName>
      <candidateList>
        <item>，由</item>
      </candidateList>
      <explain/>
      <paraID>5D53CBF0</paraID>
      <start>92</start>
      <end>93</end>
      <status>unmodified</status>
      <modifiedWord/>
      <trackRevisions>false</trackRevisions>
    </reviewItem>
    <reviewItem>
      <errorID>f748fb02-f495-4c03-b29f-b938824ded15</errorID>
      <errorWord>费</errorWord>
      <group>L1_Word</group>
      <groupName>字词问题</groupName>
      <ability>L2_Typo</ability>
      <abilityName>字词错误</abilityName>
      <candidateList>
        <item>费用</item>
      </candidateList>
      <explain/>
      <paraID>1D942DE0</paraID>
      <start>17</start>
      <end>18</end>
      <status>unmodified</status>
      <modifiedWord/>
      <trackRevisions>false</trackRevisions>
    </reviewItem>
    <reviewItem>
      <errorID>0d8facb1-4636-47eb-a41c-7c5e80a6c586</errorID>
      <errorWord>（</errorWord>
      <group>L1_Punc</group>
      <groupName>标点问题</groupName>
      <ability>L2_Punc</ability>
      <abilityName>标点符号检查</abilityName>
      <candidateList/>
      <explain/>
      <paraID> FAF463D</paraID>
      <start>107</start>
      <end>108</end>
      <status>unmodified</status>
      <modifiedWord/>
      <trackRevisions>false</trackRevisions>
    </reviewItem>
    <reviewItem>
      <errorID>065c474e-258d-4c5c-8c1d-b61c2a7eda82</errorID>
      <errorWord>磷</errorWord>
      <group>L1_Word</group>
      <groupName>字词问题</groupName>
      <ability>L2_Typo</ability>
      <abilityName>字词错误</abilityName>
      <candidateList>
        <item>磷分</item>
      </candidateList>
      <explain/>
      <paraID> FAF463D</paraID>
      <start>126</start>
      <end>128</end>
      <status>modified</status>
      <modifiedWord>磷分</modifiedWord>
      <trackRevisions>false</trackRevisions>
    </reviewItem>
    <reviewItem>
      <errorID>e5ef6eaa-5133-46e3-a396-3274b70f01a5</errorID>
      <errorWord>须</errorWord>
      <group>L1_Word</group>
      <groupName>字词问题</groupName>
      <ability>L2_Typo</ability>
      <abilityName>字词错误</abilityName>
      <candidateList>
        <item>须在</item>
      </candidateList>
      <explain/>
      <paraID>2089F782</paraID>
      <start>29</start>
      <end>31</end>
      <status>modified</status>
      <modifiedWord>须在</modifiedWord>
      <trackRevisions>false</trackRevisions>
    </reviewItem>
    <reviewItem>
      <errorID>9f92a77c-eaaf-47fc-ae6f-03cfd0f9d68b</errorID>
      <errorWord>监测仪器</errorWord>
      <group>L1_Word</group>
      <groupName>字词问题</groupName>
      <ability>L2_Typo</ability>
      <abilityName>字词错误</abilityName>
      <candidateList>
        <item>检测仪器</item>
      </candidateList>
      <explain/>
      <paraID>15743FB8</paraID>
      <start>7</start>
      <end>11</end>
      <status>unmodified</status>
      <modifiedWord/>
      <trackRevisions>false</trackRevisions>
    </reviewItem>
    <reviewItem>
      <errorID>62247531-526b-45a6-be83-f235de1bbb01</errorID>
      <errorWord>况</errorWord>
      <group>L1_Word</group>
      <groupName>字词问题</groupName>
      <ability>L2_Typo</ability>
      <abilityName>字词错误</abilityName>
      <candidateList>
        <item>况下</item>
      </candidateList>
      <explain/>
      <paraID>64628571</paraID>
      <start>23</start>
      <end>24</end>
      <status>unmodified</status>
      <modifiedWord/>
      <trackRevisions>false</trackRevisions>
    </reviewItem>
    <reviewItem>
      <errorID>b750111d-b2bd-421a-8ee3-32f00c5572ce</errorID>
      <errorWord>况</errorWord>
      <group>L1_Word</group>
      <groupName>字词问题</groupName>
      <ability>L2_Typo</ability>
      <abilityName>字词错误</abilityName>
      <candidateList>
        <item>况下</item>
      </candidateList>
      <explain/>
      <paraID>37418561</paraID>
      <start>7</start>
      <end>8</end>
      <status>unmodified</status>
      <modifiedWord/>
      <trackRevisions>false</trackRevisions>
    </reviewItem>
    <reviewItem>
      <errorID>ddd5f7ed-2e18-47d1-bbac-ead7551e9c7c</errorID>
      <errorWord>清除</errorWord>
      <group>L1_Word</group>
      <groupName>字词问题</groupName>
      <ability>L2_Typo</ability>
      <abilityName>字词错误</abilityName>
      <candidateList>
        <item>消除</item>
      </candidateList>
      <explain/>
      <paraID>52D53E0C</paraID>
      <start>39</start>
      <end>41</end>
      <status>unmodified</status>
      <modifiedWord/>
      <trackRevisions>false</trackRevisions>
    </reviewItem>
    <reviewItem>
      <errorID>1408b1ab-cd40-493c-9ab6-5e3c41b76bd5</errorID>
      <errorWord>须</errorWord>
      <group>L1_Word</group>
      <groupName>字词问题</groupName>
      <ability>L2_Typo</ability>
      <abilityName>字词错误</abilityName>
      <candidateList>
        <item>需</item>
      </candidateList>
      <explain>存在发音相同字词的误用。</explain>
      <paraID>2EEF8F18</paraID>
      <start>8</start>
      <end>9</end>
      <status>unmodified</status>
      <modifiedWord/>
      <trackRevisions>false</trackRevisions>
    </reviewItem>
    <reviewItem>
      <errorID>850562c3-4630-45e0-876d-75b7339c414d</errorID>
      <errorWord>须</errorWord>
      <group>L1_Word</group>
      <groupName>字词问题</groupName>
      <ability>L2_Typo</ability>
      <abilityName>字词错误</abilityName>
      <candidateList>
        <item>需</item>
      </candidateList>
      <explain>存在发音相同字词的误用。</explain>
      <paraID>19A4B4DF</paraID>
      <start>8</start>
      <end>9</end>
      <status>unmodified</status>
      <modifiedWord/>
      <trackRevisions>false</trackRevisions>
    </reviewItem>
    <reviewItem>
      <errorID>b562dd25-2e54-4de8-ae7a-31127bc007c7</errorID>
      <errorWord>况</errorWord>
      <group>L1_Word</group>
      <groupName>字词问题</groupName>
      <ability>L2_Typo</ability>
      <abilityName>字词错误</abilityName>
      <candidateList>
        <item>况下</item>
      </candidateList>
      <explain/>
      <paraID>21F7F6E5</paraID>
      <start>23</start>
      <end>24</end>
      <status>unmodified</status>
      <modifiedWord/>
      <trackRevisions>false</trackRevisions>
    </reviewItem>
    <reviewItem>
      <errorID>bf60ba70-cc00-4374-addb-e7f5f8ee09e0</errorID>
      <errorWord>况</errorWord>
      <group>L1_Word</group>
      <groupName>字词问题</groupName>
      <ability>L2_Typo</ability>
      <abilityName>字词错误</abilityName>
      <candidateList>
        <item>况下</item>
      </candidateList>
      <explain/>
      <paraID> 5791341</paraID>
      <start>7</start>
      <end>8</end>
      <status>unmodified</status>
      <modifiedWord/>
      <trackRevisions>false</trackRevisions>
    </reviewItem>
    <reviewItem>
      <errorID>f03125d5-215c-43f2-8d46-e6b2e78f1b43</errorID>
      <errorWord>程</errorWord>
      <group>L1_Word</group>
      <groupName>字词问题</groupName>
      <ability>L2_Typo</ability>
      <abilityName>字词错误</abilityName>
      <candidateList>
        <item>程中</item>
      </candidateList>
      <explain/>
      <paraID>3E774132</paraID>
      <start>14</start>
      <end>15</end>
      <status>unmodified</status>
      <modifiedWord/>
      <trackRevisions>false</trackRevisions>
    </reviewItem>
    <reviewItem>
      <errorID>07d4d0c6-6112-4d88-a21d-32fd04417291</errorID>
      <errorWord>》</errorWord>
      <group>L1_Word</group>
      <groupName>字词问题</groupName>
      <ability>L2_Typo</ability>
      <abilityName>字词错误</abilityName>
      <candidateList>
        <item>》和</item>
      </candidateList>
      <explain/>
      <paraID>7DC59E10</paraID>
      <start>25</start>
      <end>27</end>
      <status>modified</status>
      <modifiedWord>》和</modifiedWord>
      <trackRevisions>false</trackRevisions>
    </reviewItem>
    <reviewItem>
      <errorID>867744dc-8c62-482b-bf8a-d4e5f4a62570</errorID>
      <errorWord>自动监测仪器</errorWord>
      <group>L1_Word</group>
      <groupName>字词问题</groupName>
      <ability>L2_Typo</ability>
      <abilityName>字词错误</abilityName>
      <candidateList>
        <item>自动检测仪器</item>
      </candidateList>
      <explain/>
      <paraID>  291E40</paraID>
      <start>19</start>
      <end>25</end>
      <status>unmodified</status>
      <modifiedWord/>
      <trackRevisions>false</trackRevisions>
    </reviewItem>
    <reviewItem>
      <errorID>0ebcf350-bda0-40cc-b5dc-b5eb848bb09e</errorID>
      <errorWord>自动监测仪器</errorWord>
      <group>L1_Word</group>
      <groupName>字词问题</groupName>
      <ability>L2_Typo</ability>
      <abilityName>字词错误</abilityName>
      <candidateList>
        <item>自动检测仪器</item>
      </candidateList>
      <explain/>
      <paraID>109FA9A7</paraID>
      <start>4</start>
      <end>10</end>
      <status>unmodified</status>
      <modifiedWord/>
      <trackRevisions>false</trackRevisions>
    </reviewItem>
    <reviewItem>
      <errorID>0ed15043-edfa-4104-9b9e-9de3866b848d</errorID>
      <errorWord>自动监测仪器</errorWord>
      <group>L1_Word</group>
      <groupName>字词问题</groupName>
      <ability>L2_Typo</ability>
      <abilityName>字词错误</abilityName>
      <candidateList>
        <item>自动检测仪器</item>
      </candidateList>
      <explain/>
      <paraID>4412D9C1</paraID>
      <start>4</start>
      <end>10</end>
      <status>unmodified</status>
      <modifiedWord/>
      <trackRevisions>false</trackRevisions>
    </reviewItem>
    <reviewItem>
      <errorID>f8eeb35b-72e4-45cf-9fdf-d18e8f038b75</errorID>
      <errorWord>自动监测仪器</errorWord>
      <group>L1_Word</group>
      <groupName>字词问题</groupName>
      <ability>L2_Typo</ability>
      <abilityName>字词错误</abilityName>
      <candidateList>
        <item>自动检测仪器</item>
      </candidateList>
      <explain/>
      <paraID>21486597</paraID>
      <start>4</start>
      <end>10</end>
      <status>unmodified</status>
      <modifiedWord/>
      <trackRevisions>false</trackRevisions>
    </reviewItem>
    <reviewItem>
      <errorID>df615461-c358-4c9a-a9a5-6215f5c5891a</errorID>
      <errorWord>自动监测仪器</errorWord>
      <group>L1_Word</group>
      <groupName>字词问题</groupName>
      <ability>L2_Typo</ability>
      <abilityName>字词错误</abilityName>
      <candidateList>
        <item>自动检测仪器</item>
      </candidateList>
      <explain/>
      <paraID>748B460F</paraID>
      <start>4</start>
      <end>10</end>
      <status>unmodified</status>
      <modifiedWord/>
      <trackRevisions>false</trackRevisions>
    </reviewItem>
    <reviewItem>
      <errorID>8585a9be-4365-4441-a995-bf0619bf6f8d</errorID>
      <errorWord>*</errorWord>
      <group>L1_Punc</group>
      <groupName>标点问题</groupName>
      <ability>L2_Punc</ability>
      <abilityName>标点符号检查</abilityName>
      <candidateList/>
      <explain/>
      <paraID> 8614FC5</paraID>
      <start>0</start>
      <end>1</end>
      <status>unmodified</status>
      <modifiedWord/>
      <trackRevisions>false</trackRevisions>
    </reviewItem>
    <reviewItem>
      <errorID>b0224b50-2fa0-40a7-bab2-3ca083201221</errorID>
      <errorWord>*</errorWord>
      <group>L1_Punc</group>
      <groupName>标点问题</groupName>
      <ability>L2_Punc</ability>
      <abilityName>标点符号检查</abilityName>
      <candidateList/>
      <explain/>
      <paraID>671A6704</paraID>
      <start>0</start>
      <end>1</end>
      <status>unmodified</status>
      <modifiedWord/>
      <trackRevisions>false</trackRevisions>
    </reviewItem>
    <reviewItem>
      <errorID>915945ad-6479-4ef1-8cf3-3d38552e3491</errorID>
      <errorWord>异常高</errorWord>
      <group>L1_Word</group>
      <groupName>字词问题</groupName>
      <ability>L2_Typo</ability>
      <abilityName>字词错误</abilityName>
      <candidateList>
        <item>异常</item>
      </candidateList>
      <explain/>
      <paraID>4D8D9165</paraID>
      <start>49</start>
      <end>52</end>
      <status>unmodified</status>
      <modifiedWord/>
      <trackRevisions>false</trackRevisions>
    </reviewItem>
    <reviewItem>
      <errorID>4baf76b0-ee8f-4bfb-bb26-fe2208f6c66d</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121180C2</paraID>
      <start>45</start>
      <end>47</end>
      <status>unmodified</status>
      <modifiedWord/>
      <trackRevisions>false</trackRevisions>
    </reviewItem>
    <reviewItem>
      <errorID>b464238d-7969-45b1-a16f-e1267f472d61</errorID>
      <errorWord>站点监测</errorWord>
      <group>L1_Word</group>
      <groupName>字词问题</groupName>
      <ability>L2_Typo</ability>
      <abilityName>字词错误</abilityName>
      <candidateList>
        <item>站点检测</item>
      </candidateList>
      <explain/>
      <paraID>74BDEB4B</paraID>
      <start>45</start>
      <end>49</end>
      <status>unmodified</status>
      <modifiedWord/>
      <trackRevisions>false</trackRevisions>
    </reviewItem>
    <reviewItem>
      <errorID>95563ed6-0e56-40ea-b0ec-181ea6332ce3</errorID>
      <errorWord>价格分</errorWord>
      <group>L1_Word</group>
      <groupName>字词问题</groupName>
      <ability>L2_Typo</ability>
      <abilityName>字词错误</abilityName>
      <candidateList>
        <item>价格</item>
      </candidateList>
      <explain/>
      <paraID>3B16F135</paraID>
      <start>54</start>
      <end>57</end>
      <status>unmodified</status>
      <modifiedWord/>
      <trackRevisions>false</trackRevisions>
    </reviewItem>
    <reviewItem>
      <errorID>8f78a5af-fdb4-45d9-a3cb-d805a7ba4385</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22661D53</paraID>
      <start>102</start>
      <end>104</end>
      <status>modified</status>
      <modifiedWord>进行</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8229F-EE46-43DA-B7E3-71F3FBE13EC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23</cp:revision>
  <dcterms:created xsi:type="dcterms:W3CDTF">2022-07-11T04:13:00Z</dcterms:created>
  <dcterms:modified xsi:type="dcterms:W3CDTF">2025-11-11T02:56:54Z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EF9276B5A3D947FF9AFF0390E11D9355_13</vt:lpwstr>
  </property>
  <property fmtid="{D5CDD505-2E9C-101B-9397-08002B2CF9AE}" pid="4" name="KSOTemplateDocerSaveRecord">
    <vt:lpwstr>eyJoZGlkIjoiZGRiZWYzNTkzYmEwYTZmYjk3ZGQ3OGQwNTA0ZmI1YWIiLCJ1c2VySWQiOiIxMDI1MzcwNjcwIn0=</vt:lpwstr>
  </property>
</Properties>
</file>