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1"/>
        <w:ind w:firstLine="0"/>
        <w:rPr>
          <w:rFonts w:hint="eastAsia" w:ascii="宋体" w:hAnsi="宋体" w:eastAsia="宋体" w:cs="宋体"/>
          <w:b w:val="0"/>
          <w:bCs/>
          <w:color w:val="auto"/>
          <w:sz w:val="72"/>
          <w:szCs w:val="72"/>
          <w:highlight w:val="none"/>
        </w:rPr>
      </w:pPr>
      <w:r>
        <w:rPr>
          <w:rFonts w:hint="eastAsia" w:ascii="宋体" w:hAnsi="宋体" w:eastAsia="宋体" w:cs="宋体"/>
          <w:b w:val="0"/>
          <w:bCs/>
          <w:color w:val="auto"/>
          <w:sz w:val="72"/>
          <w:szCs w:val="72"/>
          <w:highlight w:val="none"/>
        </w:rPr>
      </w:r>
      <w:r/>
    </w:p>
    <w:p>
      <w:pPr>
        <w:jc w:val="center"/>
        <w:keepLines w:val="0"/>
        <w:keepNext w:val="0"/>
        <w:pageBreakBefore w:val="0"/>
        <w:spacing w:after="156" w:line="360" w:lineRule="auto"/>
        <w:widowControl w:val="off"/>
        <w:rPr>
          <w:rFonts w:hint="eastAsia" w:ascii="宋体" w:hAnsi="宋体" w:eastAsia="宋体" w:cs="宋体"/>
          <w:b/>
          <w:bCs/>
          <w:color w:val="auto"/>
          <w:sz w:val="72"/>
          <w:szCs w:val="72"/>
          <w:highlight w:val="none"/>
          <w:lang w:eastAsia="zh-CN"/>
        </w:rPr>
      </w:pPr>
      <w:r>
        <w:rPr>
          <w:rFonts w:hint="eastAsia" w:ascii="宋体" w:hAnsi="宋体" w:eastAsia="宋体" w:cs="宋体"/>
          <w:b/>
          <w:bCs/>
          <w:color w:val="auto"/>
          <w:sz w:val="72"/>
          <w:szCs w:val="72"/>
          <w:highlight w:val="none"/>
          <w:lang w:eastAsia="zh-CN"/>
        </w:rPr>
        <w:t xml:space="preserve">南京市第一医院 </w:t>
      </w:r>
      <w:r/>
    </w:p>
    <w:p>
      <w:pPr>
        <w:jc w:val="center"/>
        <w:keepLines w:val="0"/>
        <w:keepNext w:val="0"/>
        <w:pageBreakBefore w:val="0"/>
        <w:spacing w:after="156" w:line="360" w:lineRule="auto"/>
        <w:widowControl w:val="off"/>
        <w:rPr>
          <w:rFonts w:hint="eastAsia" w:ascii="宋体" w:hAnsi="宋体" w:cs="宋体"/>
          <w:b/>
          <w:bCs/>
          <w:color w:val="auto"/>
          <w:sz w:val="72"/>
          <w:szCs w:val="72"/>
          <w:highlight w:val="none"/>
          <w:lang w:val="en-US" w:eastAsia="zh-CN"/>
        </w:rPr>
      </w:pPr>
      <w:r>
        <w:rPr>
          <w:rFonts w:hint="eastAsia" w:ascii="宋体" w:hAnsi="宋体" w:cs="宋体"/>
          <w:b/>
          <w:bCs/>
          <w:color w:val="auto"/>
          <w:sz w:val="72"/>
          <w:szCs w:val="72"/>
          <w:highlight w:val="none"/>
          <w:lang w:eastAsia="zh-CN"/>
        </w:rPr>
        <w:t xml:space="preserve">医用直线加速器维保服务</w:t>
      </w:r>
      <w:r/>
    </w:p>
    <w:p>
      <w:pPr>
        <w:pStyle w:val="892"/>
        <w:rPr>
          <w:rFonts w:hint="eastAsia" w:ascii="宋体" w:hAnsi="宋体" w:cs="宋体"/>
          <w:b/>
          <w:bCs/>
          <w:color w:val="auto"/>
          <w:sz w:val="72"/>
          <w:szCs w:val="72"/>
          <w:highlight w:val="none"/>
          <w:lang w:val="en-US" w:eastAsia="zh-CN"/>
        </w:rPr>
      </w:pPr>
      <w:r>
        <w:rPr>
          <w:rFonts w:hint="eastAsia" w:ascii="宋体" w:hAnsi="宋体" w:cs="宋体"/>
          <w:b/>
          <w:bCs/>
          <w:color w:val="auto"/>
          <w:sz w:val="72"/>
          <w:szCs w:val="72"/>
          <w:highlight w:val="none"/>
          <w:lang w:val="en-US" w:eastAsia="zh-CN"/>
        </w:rPr>
      </w:r>
      <w:r/>
    </w:p>
    <w:p>
      <w:pPr>
        <w:rPr>
          <w:rFonts w:hint="eastAsia" w:ascii="宋体" w:hAnsi="宋体" w:cs="宋体"/>
          <w:b/>
          <w:bCs/>
          <w:color w:val="auto"/>
          <w:sz w:val="72"/>
          <w:szCs w:val="72"/>
          <w:highlight w:val="none"/>
          <w:lang w:val="en-US" w:eastAsia="zh-CN"/>
        </w:rPr>
      </w:pPr>
      <w:r>
        <w:rPr>
          <w:rFonts w:hint="eastAsia" w:ascii="宋体" w:hAnsi="宋体" w:cs="宋体"/>
          <w:b/>
          <w:bCs/>
          <w:color w:val="auto"/>
          <w:sz w:val="72"/>
          <w:szCs w:val="72"/>
          <w:highlight w:val="none"/>
          <w:lang w:val="en-US" w:eastAsia="zh-CN"/>
        </w:rPr>
      </w:r>
      <w:r/>
    </w:p>
    <w:p>
      <w:pPr>
        <w:pStyle w:val="892"/>
        <w:rPr>
          <w:rFonts w:hint="default"/>
          <w:color w:val="auto"/>
          <w:lang w:val="en-US" w:eastAsia="zh-CN"/>
        </w:rPr>
      </w:pPr>
      <w:r>
        <w:rPr>
          <w:rFonts w:hint="default"/>
          <w:color w:val="auto"/>
          <w:lang w:val="en-US" w:eastAsia="zh-CN"/>
        </w:rPr>
      </w:r>
      <w:r/>
    </w:p>
    <w:p>
      <w:pPr>
        <w:jc w:val="center"/>
        <w:spacing w:line="360" w:lineRule="auto"/>
        <w:rPr>
          <w:rFonts w:hint="eastAsia" w:ascii="宋体" w:hAnsi="宋体" w:eastAsia="宋体" w:cs="宋体"/>
          <w:b/>
          <w:bCs/>
          <w:color w:val="auto"/>
          <w:sz w:val="96"/>
          <w:szCs w:val="96"/>
          <w:highlight w:val="none"/>
        </w:rPr>
      </w:pPr>
      <w:r>
        <w:rPr>
          <w:rFonts w:hint="eastAsia" w:ascii="宋体" w:hAnsi="宋体" w:eastAsia="宋体" w:cs="宋体"/>
          <w:b/>
          <w:bCs/>
          <w:color w:val="auto"/>
          <w:sz w:val="96"/>
          <w:szCs w:val="96"/>
          <w:highlight w:val="none"/>
        </w:rPr>
        <w:t xml:space="preserve">招 标 文 件</w:t>
      </w:r>
      <w:r/>
    </w:p>
    <w:p>
      <w:pPr>
        <w:jc w:val="center"/>
        <w:spacing w:line="360" w:lineRule="auto"/>
        <w:rPr>
          <w:rFonts w:hint="eastAsia" w:ascii="宋体" w:hAnsi="宋体" w:eastAsia="宋体" w:cs="宋体"/>
          <w:b/>
          <w:bCs/>
          <w:color w:val="auto"/>
          <w:sz w:val="36"/>
          <w:szCs w:val="22"/>
          <w:highlight w:val="none"/>
        </w:rPr>
      </w:pPr>
      <w:r>
        <w:rPr>
          <w:rFonts w:hint="eastAsia" w:ascii="宋体" w:hAnsi="宋体" w:eastAsia="宋体" w:cs="宋体"/>
          <w:b/>
          <w:bCs/>
          <w:color w:val="auto"/>
          <w:sz w:val="36"/>
          <w:highlight w:val="none"/>
        </w:rPr>
        <w:t xml:space="preserve">招标编号</w:t>
      </w:r>
      <w:r>
        <w:rPr>
          <w:rFonts w:hint="eastAsia" w:ascii="宋体" w:hAnsi="宋体" w:eastAsia="宋体" w:cs="宋体"/>
          <w:b/>
          <w:bCs/>
          <w:color w:val="auto"/>
          <w:sz w:val="36"/>
          <w:szCs w:val="22"/>
          <w:highlight w:val="none"/>
        </w:rPr>
        <w:t xml:space="preserve">：</w:t>
      </w:r>
      <w:r>
        <w:rPr>
          <w:rFonts w:hint="eastAsia" w:ascii="宋体" w:hAnsi="宋体" w:cs="宋体"/>
          <w:b/>
          <w:bCs/>
          <w:color w:val="auto"/>
          <w:sz w:val="36"/>
          <w:szCs w:val="22"/>
          <w:highlight w:val="none"/>
          <w:lang w:eastAsia="zh-CN"/>
        </w:rPr>
        <w:t xml:space="preserve">JSZC-320100-SMDG-G2025-0180</w:t>
      </w:r>
      <w:r/>
    </w:p>
    <w:p>
      <w:pPr>
        <w:jc w:val="center"/>
        <w:spacing w:line="440" w:lineRule="exact"/>
        <w:rPr>
          <w:rFonts w:hint="eastAsia" w:ascii="宋体" w:hAnsi="宋体" w:eastAsia="宋体" w:cs="宋体"/>
          <w:b/>
          <w:color w:val="auto"/>
          <w:sz w:val="52"/>
          <w:highlight w:val="none"/>
        </w:rPr>
      </w:pPr>
      <w:r>
        <w:rPr>
          <w:rFonts w:hint="eastAsia" w:ascii="宋体" w:hAnsi="宋体" w:eastAsia="宋体" w:cs="宋体"/>
          <w:b/>
          <w:color w:val="auto"/>
          <w:sz w:val="52"/>
          <w:highlight w:val="none"/>
        </w:rPr>
      </w:r>
      <w:r/>
    </w:p>
    <w:p>
      <w:pPr>
        <w:spacing w:line="440" w:lineRule="exact"/>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440" w:lineRule="exact"/>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color w:val="auto"/>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0.0pt;height:22.8pt;mso-wrap-distance-left:0.0pt;mso-wrap-distance-top:0.0pt;mso-wrap-distance-right:0.0pt;mso-wrap-distance-bottom:0.0pt;" filled="f" stroked="f">
            <v:path textboxrect="0,0,0,0"/>
            <v:imagedata r:id="rId21" o:title=""/>
          </v:shape>
          <o:OLEObject DrawAspect="Content" r:id="rId22" ObjectID="_1525042" ProgID="PBrush" ShapeID="_x0000_i2" Type="Embed"/>
        </w:object>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采购代理机构：苏美达国际技术贸易有限公司</w:t>
      </w:r>
      <w:r/>
    </w:p>
    <w:p>
      <w:pPr>
        <w:jc w:val="center"/>
        <w:spacing w:line="360" w:lineRule="auto"/>
        <w:rPr>
          <w:rFonts w:hint="eastAsia" w:ascii="宋体" w:hAnsi="宋体" w:eastAsia="宋体" w:cs="宋体"/>
          <w:b/>
          <w:color w:val="auto"/>
          <w:sz w:val="32"/>
          <w:highlight w:val="none"/>
        </w:rPr>
        <w:sectPr>
          <w:headerReference w:type="default" r:id="rId9"/>
          <w:headerReference w:type="first" r:id="rId10"/>
          <w:footerReference w:type="default" r:id="rId14"/>
          <w:footerReference w:type="first" r:id="rId15"/>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eastAsia="宋体" w:cs="宋体"/>
          <w:b/>
          <w:color w:val="auto"/>
          <w:sz w:val="32"/>
          <w:szCs w:val="22"/>
          <w:highlight w:val="none"/>
          <w:lang w:val="en-US" w:eastAsia="zh-CN"/>
        </w:rPr>
        <w:t xml:space="preserve">2025</w:t>
      </w:r>
      <w:r>
        <w:rPr>
          <w:rFonts w:hint="eastAsia" w:ascii="宋体" w:hAnsi="宋体" w:eastAsia="宋体" w:cs="宋体"/>
          <w:b/>
          <w:color w:val="auto"/>
          <w:sz w:val="32"/>
          <w:szCs w:val="22"/>
          <w:highlight w:val="none"/>
        </w:rPr>
        <w:t xml:space="preserve">年</w:t>
      </w:r>
      <w:r>
        <w:rPr>
          <w:rFonts w:hint="eastAsia" w:ascii="宋体" w:hAnsi="宋体" w:cs="宋体"/>
          <w:b/>
          <w:color w:val="auto"/>
          <w:sz w:val="32"/>
          <w:szCs w:val="22"/>
          <w:highlight w:val="none"/>
          <w:lang w:val="en-US" w:eastAsia="zh-CN"/>
        </w:rPr>
        <w:t xml:space="preserve">10</w:t>
      </w:r>
      <w:r>
        <w:rPr>
          <w:rFonts w:hint="eastAsia" w:ascii="宋体" w:hAnsi="宋体" w:eastAsia="宋体" w:cs="宋体"/>
          <w:b/>
          <w:color w:val="auto"/>
          <w:sz w:val="32"/>
          <w:szCs w:val="22"/>
          <w:highlight w:val="none"/>
        </w:rPr>
        <w:t xml:space="preserve">月</w:t>
      </w:r>
      <w:r/>
    </w:p>
    <w:p>
      <w:pPr>
        <w:jc w:val="center"/>
        <w:spacing w:line="440" w:lineRule="exact"/>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目   录</w:t>
      </w:r>
      <w:r/>
    </w:p>
    <w:p>
      <w:pPr>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fldChar w:fldCharType="begin"/>
      </w:r>
      <w:r>
        <w:rPr>
          <w:rFonts w:hint="eastAsia" w:ascii="宋体" w:hAnsi="宋体" w:eastAsia="宋体" w:cs="宋体"/>
          <w:bCs/>
          <w:color w:val="auto"/>
          <w:sz w:val="24"/>
          <w:highlight w:val="none"/>
        </w:rPr>
        <w:instrText xml:space="preserve">TOC \o "1-3" \h \u </w:instrText>
      </w:r>
      <w:r>
        <w:rPr>
          <w:rFonts w:hint="eastAsia" w:ascii="宋体" w:hAnsi="宋体" w:eastAsia="宋体" w:cs="宋体"/>
          <w:bCs/>
          <w:color w:val="auto"/>
          <w:sz w:val="24"/>
          <w:highlight w:val="none"/>
        </w:rPr>
        <w:fldChar w:fldCharType="separate"/>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第一章  招标邀请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第二章  投标人须知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第三章  评标方法、评分标准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第四章  采购需求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第五章  合同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w:t>
      </w:r>
      <w:r>
        <w:rPr>
          <w:rFonts w:hint="eastAsia" w:ascii="宋体" w:hAnsi="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章</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投标文件格式及附件</w:t>
      </w:r>
      <w:r/>
    </w:p>
    <w:p>
      <w:pPr>
        <w:pStyle w:val="892"/>
        <w:ind w:left="0" w:firstLine="0"/>
        <w:rPr>
          <w:rFonts w:hint="eastAsia"/>
          <w:color w:val="auto"/>
          <w:highlight w:val="none"/>
        </w:rPr>
      </w:pPr>
      <w:r>
        <w:rPr>
          <w:rFonts w:hint="eastAsia"/>
          <w:color w:val="auto"/>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122"/>
        <w:spacing w:line="480" w:lineRule="auto"/>
        <w:tabs>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3"/>
        <w:tabs>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bCs/>
          <w:color w:val="auto"/>
          <w:highlight w:val="none"/>
        </w:rPr>
        <w:fldChar w:fldCharType="end"/>
      </w:r>
      <w:r>
        <w:rPr>
          <w:rFonts w:hint="eastAsia" w:ascii="宋体" w:hAnsi="宋体" w:eastAsia="宋体" w:cs="宋体"/>
          <w:bCs/>
          <w:color w:val="auto"/>
          <w:sz w:val="24"/>
          <w:highlight w:val="none"/>
        </w:rPr>
        <w:fldChar w:fldCharType="begin"/>
      </w:r>
      <w:r>
        <w:rPr>
          <w:rFonts w:hint="eastAsia" w:ascii="宋体" w:hAnsi="宋体" w:eastAsia="宋体" w:cs="宋体"/>
          <w:bCs/>
          <w:color w:val="auto"/>
          <w:sz w:val="24"/>
          <w:highlight w:val="none"/>
        </w:rPr>
        <w:instrText xml:space="preserve">TOC \o "1-3" \h \u </w:instrText>
      </w:r>
      <w:r>
        <w:rPr>
          <w:rFonts w:hint="eastAsia" w:ascii="宋体" w:hAnsi="宋体" w:eastAsia="宋体" w:cs="宋体"/>
          <w:bCs/>
          <w:color w:val="auto"/>
          <w:sz w:val="24"/>
          <w:highlight w:val="none"/>
        </w:rPr>
        <w:fldChar w:fldCharType="separate"/>
      </w:r>
      <w:r/>
    </w:p>
    <w:p>
      <w:pPr>
        <w:pStyle w:val="1122"/>
        <w:spacing w:line="480" w:lineRule="auto"/>
        <w:tabs>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3"/>
        <w:jc w:val="left"/>
        <w:tabs>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40" w:lineRule="exact"/>
        <w:rPr>
          <w:rFonts w:hint="eastAsia" w:ascii="宋体" w:hAnsi="宋体" w:eastAsia="宋体" w:cs="宋体"/>
          <w:bCs/>
          <w:color w:val="auto"/>
          <w:sz w:val="24"/>
          <w:highlight w:val="none"/>
        </w:rPr>
      </w:pPr>
      <w:r>
        <w:rPr>
          <w:rFonts w:hint="eastAsia" w:ascii="宋体" w:hAnsi="宋体" w:eastAsia="宋体" w:cs="宋体"/>
          <w:bCs/>
          <w:color w:val="auto"/>
          <w:highlight w:val="none"/>
        </w:rPr>
        <w:fldChar w:fldCharType="end"/>
      </w:r>
      <w:r/>
    </w:p>
    <w:p>
      <w:pPr>
        <w:jc w:val="center"/>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eastAsia="宋体" w:cs="宋体"/>
          <w:color w:val="auto"/>
          <w:sz w:val="28"/>
          <w:szCs w:val="28"/>
          <w:highlight w:val="none"/>
        </w:rPr>
      </w:r>
      <w:r/>
    </w:p>
    <w:p>
      <w:pPr>
        <w:pStyle w:val="1124"/>
        <w:ind w:right="420" w:firstLine="321"/>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 w:val="32"/>
          <w:szCs w:val="32"/>
          <w:highlight w:val="none"/>
        </w:rPr>
        <w:t xml:space="preserve">第一章   投标邀请</w:t>
      </w:r>
      <w:r/>
    </w:p>
    <w:p>
      <w:pPr>
        <w:ind w:right="-159"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5"/>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苏美达国际技术贸易有限公司受</w:t>
      </w:r>
      <w:r>
        <w:rPr>
          <w:rFonts w:hint="eastAsia" w:ascii="宋体" w:hAnsi="宋体" w:eastAsia="宋体" w:cs="宋体"/>
          <w:color w:val="auto"/>
          <w:sz w:val="21"/>
          <w:szCs w:val="21"/>
          <w:highlight w:val="none"/>
          <w:lang w:eastAsia="zh-CN"/>
        </w:rPr>
        <w:t xml:space="preserve">南京市第一医院</w:t>
      </w:r>
      <w:r>
        <w:rPr>
          <w:rFonts w:hint="eastAsia" w:ascii="宋体" w:hAnsi="宋体" w:eastAsia="宋体" w:cs="宋体"/>
          <w:color w:val="auto"/>
          <w:sz w:val="21"/>
          <w:szCs w:val="21"/>
          <w:highlight w:val="none"/>
        </w:rPr>
        <w:t xml:space="preserve">委托，就</w:t>
      </w:r>
      <w:r>
        <w:rPr>
          <w:rFonts w:hint="eastAsia" w:ascii="宋体" w:hAnsi="宋体" w:eastAsia="宋体" w:cs="宋体"/>
          <w:color w:val="auto"/>
          <w:sz w:val="21"/>
          <w:szCs w:val="21"/>
          <w:highlight w:val="none"/>
          <w:lang w:eastAsia="zh-CN"/>
        </w:rPr>
        <w:t xml:space="preserve">南京市第一医院</w:t>
      </w:r>
      <w:r>
        <w:rPr>
          <w:rFonts w:hint="eastAsia" w:ascii="宋体" w:hAnsi="宋体" w:eastAsia="宋体" w:cs="宋体"/>
          <w:color w:val="auto"/>
          <w:sz w:val="21"/>
          <w:szCs w:val="21"/>
          <w:highlight w:val="none"/>
          <w:lang w:val="en-US" w:eastAsia="zh-CN"/>
        </w:rPr>
        <w:t xml:space="preserve">医用直线加速器维保服务</w:t>
      </w:r>
      <w:r>
        <w:rPr>
          <w:rFonts w:hint="eastAsia" w:ascii="宋体" w:hAnsi="宋体" w:eastAsia="宋体" w:cs="宋体"/>
          <w:color w:val="auto"/>
          <w:sz w:val="21"/>
          <w:szCs w:val="21"/>
          <w:highlight w:val="none"/>
        </w:rPr>
        <w:t xml:space="preserve">进行公开招标，现欢迎符合相关条件的供应商参加投标。</w:t>
      </w:r>
      <w:r/>
    </w:p>
    <w:p>
      <w:pPr>
        <w:keepLines w:val="0"/>
        <w:keepNext w:val="0"/>
        <w:pageBreakBefore w:val="0"/>
        <w:spacing w:line="360" w:lineRule="auto"/>
        <w:rPr>
          <w:rFonts w:hint="eastAsia" w:ascii="宋体" w:hAnsi="宋体" w:eastAsia="宋体" w:cs="宋体"/>
          <w:b/>
          <w:bCs/>
          <w:color w:val="auto"/>
          <w:highlight w:val="none"/>
        </w:rPr>
      </w:pPr>
      <w:r/>
      <w:bookmarkStart w:id="0" w:name="_Toc35393621"/>
      <w:r/>
      <w:bookmarkStart w:id="1" w:name="_Toc35393790"/>
      <w:r/>
      <w:bookmarkStart w:id="2" w:name="_Toc28359002"/>
      <w:r/>
      <w:bookmarkStart w:id="3" w:name="_Toc28359079"/>
      <w:r>
        <w:rPr>
          <w:rFonts w:hint="eastAsia" w:ascii="宋体" w:hAnsi="宋体" w:eastAsia="宋体" w:cs="宋体"/>
          <w:b/>
          <w:bCs/>
          <w:color w:val="auto"/>
          <w:highlight w:val="none"/>
        </w:rPr>
        <w:t xml:space="preserve">一、项目基本情况</w:t>
      </w:r>
      <w:bookmarkEnd w:id="0"/>
      <w:r/>
      <w:bookmarkEnd w:id="1"/>
      <w:r/>
      <w:bookmarkEnd w:id="2"/>
      <w:r/>
      <w:bookmarkEnd w:id="3"/>
      <w:r>
        <w:rPr>
          <w:rFonts w:hint="eastAsia" w:ascii="宋体" w:hAnsi="宋体" w:eastAsia="宋体" w:cs="宋体"/>
          <w:b/>
          <w:bCs/>
          <w:color w:val="auto"/>
          <w:highlight w:val="none"/>
        </w:rPr>
        <w:t xml:space="preserve">及采购需求</w:t>
      </w:r>
      <w:r/>
    </w:p>
    <w:p>
      <w:pP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w:t>
      </w:r>
      <w:r>
        <w:rPr>
          <w:rFonts w:hint="eastAsia" w:ascii="宋体" w:hAnsi="宋体" w:cs="宋体"/>
          <w:color w:val="auto"/>
          <w:szCs w:val="21"/>
          <w:highlight w:val="none"/>
          <w:lang w:eastAsia="zh-CN"/>
        </w:rPr>
        <w:t xml:space="preserve">JSZC-320100-SMDG-G2025-0180</w:t>
      </w:r>
      <w:r/>
    </w:p>
    <w:p>
      <w:pP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rPr>
          <w:rFonts w:hint="eastAsia" w:ascii="宋体" w:hAnsi="宋体" w:cs="宋体"/>
          <w:color w:val="auto"/>
          <w:sz w:val="21"/>
          <w:szCs w:val="21"/>
          <w:highlight w:val="none"/>
          <w:lang w:val="en-US" w:eastAsia="zh-CN"/>
        </w:rPr>
        <w:t xml:space="preserve">医用直线加速器维保服务</w:t>
      </w:r>
      <w:r/>
    </w:p>
    <w:p>
      <w:pPr>
        <w:keepLines w:val="0"/>
        <w:keepNext w:val="0"/>
        <w:pageBreakBefore w:val="0"/>
        <w:spacing w:line="360" w:lineRule="auto"/>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采购</w:t>
      </w:r>
      <w:r>
        <w:rPr>
          <w:rFonts w:hint="eastAsia" w:ascii="宋体" w:hAnsi="宋体" w:cs="宋体"/>
          <w:color w:val="auto"/>
          <w:szCs w:val="21"/>
          <w:highlight w:val="none"/>
          <w:lang w:val="en-US" w:eastAsia="zh-CN"/>
        </w:rPr>
        <w:t xml:space="preserve">总</w:t>
      </w:r>
      <w:r>
        <w:rPr>
          <w:rFonts w:hint="eastAsia" w:ascii="宋体" w:hAnsi="宋体" w:eastAsia="宋体" w:cs="宋体"/>
          <w:color w:val="auto"/>
          <w:szCs w:val="21"/>
          <w:highlight w:val="none"/>
          <w:lang w:val="en-US" w:eastAsia="zh-CN"/>
        </w:rPr>
        <w:t xml:space="preserve">预算：</w:t>
      </w:r>
      <w:r>
        <w:rPr>
          <w:rFonts w:hint="eastAsia" w:ascii="宋体" w:hAnsi="宋体" w:cs="宋体"/>
          <w:color w:val="auto"/>
          <w:szCs w:val="21"/>
          <w:highlight w:val="none"/>
          <w:lang w:val="en-US" w:eastAsia="zh-CN"/>
        </w:rPr>
        <w:t xml:space="preserve">210.00万元/3年。</w:t>
      </w:r>
      <w:r/>
    </w:p>
    <w:p>
      <w:pPr>
        <w:keepLines w:val="0"/>
        <w:keepNext w:val="0"/>
        <w:pageBreakBefore w:val="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采购需求：</w:t>
      </w:r>
      <w:r>
        <w:rPr>
          <w:rFonts w:hint="eastAsia" w:ascii="宋体" w:hAnsi="宋体" w:eastAsia="宋体" w:cs="宋体"/>
          <w:color w:val="auto"/>
          <w:szCs w:val="21"/>
          <w:highlight w:val="none"/>
        </w:rPr>
        <w:t xml:space="preserve">瓦里安直线加速器（VARIAN CLINAC IX）</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整机全保</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保修年限：三年</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其他详见第四章采购需求。</w:t>
      </w:r>
      <w:r/>
    </w:p>
    <w:p>
      <w:pPr>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本项目标的所属行业：其他未列明行业</w:t>
      </w:r>
      <w:r/>
    </w:p>
    <w:p>
      <w:pPr>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本项目不接受联合体投标</w:t>
      </w:r>
      <w:r/>
    </w:p>
    <w:p>
      <w:pPr>
        <w:numPr>
          <w:ilvl w:val="0"/>
          <w:numId w:val="2"/>
        </w:numPr>
        <w:keepLines w:val="0"/>
        <w:keepNext w:val="0"/>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申请人的资格要求：</w:t>
      </w:r>
      <w:r/>
    </w:p>
    <w:p>
      <w:pPr>
        <w:numPr>
          <w:ilvl w:val="0"/>
          <w:numId w:val="0"/>
        </w:numPr>
        <w:keepLines w:val="0"/>
        <w:keepNext w:val="0"/>
        <w:pageBreakBefore w:val="0"/>
        <w:spacing w:line="360" w:lineRule="auto"/>
        <w:rPr>
          <w:rFonts w:hint="eastAsia" w:ascii="宋体" w:hAnsi="宋体" w:eastAsia="宋体" w:cs="宋体"/>
          <w:b/>
          <w:bCs/>
          <w:color w:val="auto"/>
          <w:highlight w:val="none"/>
        </w:rPr>
      </w:pPr>
      <w:r/>
      <w:bookmarkStart w:id="4" w:name="_Toc35393794"/>
      <w:r/>
      <w:bookmarkStart w:id="5" w:name="_Toc28359007"/>
      <w:r/>
      <w:bookmarkStart w:id="6" w:name="_Toc28359084"/>
      <w:r/>
      <w:bookmarkStart w:id="7" w:name="_Toc35393625"/>
      <w:r>
        <w:rPr>
          <w:rFonts w:hint="eastAsia" w:ascii="宋体" w:hAnsi="宋体" w:eastAsia="宋体" w:cs="宋体"/>
          <w:b/>
          <w:bCs/>
          <w:color w:val="auto"/>
          <w:highlight w:val="none"/>
          <w:lang w:val="en-US" w:eastAsia="zh-CN"/>
        </w:rPr>
        <w:t xml:space="preserve">1、</w:t>
      </w:r>
      <w:r>
        <w:rPr>
          <w:rFonts w:hint="eastAsia" w:ascii="宋体" w:hAnsi="宋体" w:eastAsia="宋体" w:cs="宋体"/>
          <w:b/>
          <w:bCs/>
          <w:color w:val="auto"/>
          <w:highlight w:val="none"/>
        </w:rPr>
        <w:t xml:space="preserve">满足《中华人民共和国政府采购法》第二十二条规定:</w:t>
      </w:r>
      <w:r/>
    </w:p>
    <w:p>
      <w:pPr>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1.1</w:t>
      </w:r>
      <w:r>
        <w:rPr>
          <w:rFonts w:hint="eastAsia" w:ascii="宋体" w:hAnsi="宋体" w:eastAsia="宋体" w:cs="宋体"/>
          <w:color w:val="auto"/>
          <w:highlight w:val="none"/>
        </w:rPr>
        <w:t xml:space="preserve">根据《中华人民共和国政府采购法》第二十二条规定，投标人</w:t>
      </w:r>
      <w:r>
        <w:rPr>
          <w:rFonts w:hint="eastAsia" w:ascii="宋体" w:hAnsi="宋体" w:eastAsia="宋体" w:cs="宋体"/>
          <w:color w:val="auto"/>
          <w:highlight w:val="none"/>
          <w:lang w:val="en-US" w:eastAsia="zh-CN"/>
        </w:rPr>
        <w:t xml:space="preserve">可</w:t>
      </w:r>
      <w:r>
        <w:rPr>
          <w:rFonts w:hint="eastAsia" w:ascii="宋体" w:hAnsi="宋体" w:eastAsia="宋体" w:cs="宋体"/>
          <w:color w:val="auto"/>
          <w:highlight w:val="none"/>
        </w:rPr>
        <w:t xml:space="preserve">提供《南京市政府采购供应商信用记录表暨信用承诺书》</w:t>
      </w:r>
      <w:r>
        <w:rPr>
          <w:rFonts w:hint="eastAsia" w:ascii="宋体" w:hAnsi="宋体" w:eastAsia="宋体" w:cs="宋体"/>
          <w:color w:val="auto"/>
          <w:highlight w:val="none"/>
          <w:lang w:eastAsia="zh-CN"/>
        </w:rPr>
        <w:t xml:space="preserve">。</w:t>
      </w:r>
      <w:r/>
    </w:p>
    <w:p>
      <w:pPr>
        <w:keepLines w:val="0"/>
        <w:keepNext w:val="0"/>
        <w:pageBreakBefore w:val="0"/>
        <w:spacing w:line="360" w:lineRule="auto"/>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其中不适用信用承诺的情形:</w:t>
      </w:r>
      <w:r/>
    </w:p>
    <w:p>
      <w:pPr>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供应商被列入严重失信主体名单；</w:t>
      </w:r>
      <w:r/>
    </w:p>
    <w:p>
      <w:pPr>
        <w:numPr>
          <w:ilvl w:val="0"/>
          <w:numId w:val="0"/>
        </w:numPr>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被相关监督部门作出行政处罚且尚处在处罚有效期内；</w:t>
      </w:r>
      <w:r/>
    </w:p>
    <w:p>
      <w:pPr>
        <w:numPr>
          <w:ilvl w:val="0"/>
          <w:numId w:val="0"/>
        </w:numPr>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其他法律、行政法规规定的不适用信用承诺的情形。</w:t>
      </w:r>
      <w:r/>
    </w:p>
    <w:p>
      <w:pPr>
        <w:keepLines w:val="0"/>
        <w:keepNext w:val="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1.2投标人提供在有效经营期内的营业执照。</w:t>
      </w:r>
      <w:r/>
    </w:p>
    <w:p>
      <w:pPr>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2、落实政府采购政策需满足的资格要求：</w:t>
      </w:r>
      <w:r>
        <w:rPr>
          <w:rFonts w:hint="eastAsia" w:ascii="宋体" w:hAnsi="宋体" w:eastAsia="宋体" w:cs="宋体"/>
          <w:color w:val="auto"/>
          <w:highlight w:val="none"/>
        </w:rPr>
        <w:t xml:space="preserve">本项目不专门面向中小微企业或监狱企业或残疾人福利性单位</w:t>
      </w:r>
      <w:r>
        <w:rPr>
          <w:rFonts w:hint="eastAsia" w:ascii="宋体" w:hAnsi="宋体" w:eastAsia="宋体" w:cs="宋体"/>
          <w:color w:val="auto"/>
          <w:highlight w:val="none"/>
          <w:lang w:val="en-US" w:eastAsia="zh-CN"/>
        </w:rPr>
        <w:t xml:space="preserve">采</w:t>
      </w:r>
      <w:r>
        <w:rPr>
          <w:rFonts w:hint="eastAsia" w:ascii="宋体" w:hAnsi="宋体" w:eastAsia="宋体" w:cs="宋体"/>
          <w:color w:val="auto"/>
          <w:highlight w:val="none"/>
        </w:rPr>
        <w:t xml:space="preserve">购。</w:t>
      </w:r>
      <w:r/>
    </w:p>
    <w:p>
      <w:pPr>
        <w:keepLines w:val="0"/>
        <w:keepNext w:val="0"/>
        <w:pageBreakBefore w:val="0"/>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rPr>
        <w:t xml:space="preserve">3、本项目的特定资格要求：</w:t>
      </w:r>
      <w:bookmarkStart w:id="8" w:name="_Toc35393623"/>
      <w:r/>
      <w:bookmarkStart w:id="9" w:name="_Toc35393792"/>
      <w:r>
        <w:rPr>
          <w:rFonts w:hint="eastAsia" w:ascii="宋体" w:hAnsi="宋体" w:cs="宋体"/>
          <w:b w:val="0"/>
          <w:bCs w:val="0"/>
          <w:color w:val="auto"/>
          <w:highlight w:val="none"/>
          <w:lang w:val="en-US" w:eastAsia="zh-CN"/>
        </w:rPr>
        <w:t xml:space="preserve">无。 </w:t>
      </w:r>
      <w:r/>
    </w:p>
    <w:p>
      <w:pPr>
        <w:keepLines w:val="0"/>
        <w:keepNext w:val="0"/>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4、拒绝下述供应商参加本次采购活动的情形：</w:t>
      </w:r>
      <w:r/>
    </w:p>
    <w:p>
      <w:pPr>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1）供应商单位负责人为同一人或者存在直接控股、管理关系的不同供应商，不得参加同一合同项下的政府采购活动；</w:t>
      </w:r>
      <w:r/>
    </w:p>
    <w:p>
      <w:pPr>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2）凡为采购项目提供整体设计、规范编制或者项目管理、监理、检测等服务的供应商，不得再参加本项目的采购活动</w:t>
      </w:r>
      <w:r>
        <w:rPr>
          <w:rFonts w:hint="eastAsia" w:ascii="宋体" w:hAnsi="宋体" w:eastAsia="宋体" w:cs="宋体"/>
          <w:color w:val="auto"/>
          <w:highlight w:val="none"/>
          <w:lang w:eastAsia="zh-CN"/>
        </w:rPr>
        <w:t xml:space="preserve">；</w:t>
      </w:r>
      <w:bookmarkEnd w:id="8"/>
      <w:r/>
      <w:bookmarkEnd w:id="9"/>
      <w:r/>
      <w:r/>
    </w:p>
    <w:p>
      <w:pPr>
        <w:pStyle w:val="1121"/>
        <w:ind w:firstLine="0"/>
        <w:keepLines w:val="0"/>
        <w:keepNext w:val="0"/>
        <w:pageBreakBefore w:val="0"/>
        <w:spacing w:line="360" w:lineRule="auto"/>
        <w:rPr>
          <w:rFonts w:hint="eastAsia" w:ascii="宋体" w:hAnsi="宋体" w:eastAsia="宋体" w:cs="宋体"/>
          <w:b w:val="0"/>
          <w:color w:val="auto"/>
          <w:sz w:val="21"/>
          <w:highlight w:val="none"/>
          <w:lang w:val="en-US" w:eastAsia="zh-CN" w:bidi="ar-SA"/>
        </w:rPr>
      </w:pPr>
      <w:r>
        <w:rPr>
          <w:rFonts w:hint="eastAsia" w:ascii="宋体" w:hAnsi="宋体" w:eastAsia="宋体" w:cs="宋体"/>
          <w:b w:val="0"/>
          <w:color w:val="auto"/>
          <w:sz w:val="21"/>
          <w:highlight w:val="none"/>
          <w:lang w:val="en-US" w:eastAsia="zh-CN" w:bidi="ar-SA"/>
        </w:rPr>
        <w:t xml:space="preserve">3）在“信用中国”网站(www.creditchina.gov.cn)查询，被列入失信被执行人、重大税收违法案件当事人名单、政府采购严重失信行为记录名单及其他不符合《中华人民共和国政府采购法》第二十二条规定条件的信用记录。</w:t>
      </w:r>
      <w:r/>
    </w:p>
    <w:p>
      <w:pPr>
        <w:pStyle w:val="1121"/>
        <w:ind w:firstLine="0"/>
        <w:keepLines w:val="0"/>
        <w:keepNext w:val="0"/>
        <w:pageBreakBefore w:val="0"/>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三、获取招标文件</w:t>
      </w:r>
      <w:r/>
    </w:p>
    <w:p>
      <w:pPr>
        <w:pStyle w:val="1121"/>
        <w:ind w:firstLine="0"/>
        <w:keepLines w:val="0"/>
        <w:keepNext w:val="0"/>
        <w:pageBreakBefore w:val="0"/>
        <w:spacing w:line="360" w:lineRule="auto"/>
        <w:rPr>
          <w:rFonts w:hint="eastAsia" w:ascii="宋体" w:hAnsi="宋体" w:eastAsia="宋体" w:cs="宋体"/>
          <w:b w:val="0"/>
          <w:color w:val="auto"/>
          <w:sz w:val="21"/>
          <w:highlight w:val="none"/>
          <w:lang w:val="en-US" w:eastAsia="zh-CN" w:bidi="ar-SA"/>
        </w:rPr>
      </w:pPr>
      <w:r>
        <w:rPr>
          <w:rFonts w:hint="eastAsia" w:ascii="宋体" w:hAnsi="宋体" w:eastAsia="宋体" w:cs="宋体"/>
          <w:b w:val="0"/>
          <w:color w:val="auto"/>
          <w:sz w:val="21"/>
          <w:highlight w:val="none"/>
          <w:lang w:val="en-US" w:eastAsia="zh-CN" w:bidi="ar-SA"/>
        </w:rPr>
        <w:t xml:space="preserve">1、时间：自招标文件公告发布之日起5个工作日。</w:t>
      </w:r>
      <w:r/>
    </w:p>
    <w:p>
      <w:pPr>
        <w:pStyle w:val="1121"/>
        <w:ind w:firstLine="0"/>
        <w:keepLines w:val="0"/>
        <w:keepNext w:val="0"/>
        <w:pageBreakBefore w:val="0"/>
        <w:spacing w:line="360" w:lineRule="auto"/>
        <w:rPr>
          <w:rFonts w:hint="eastAsia" w:ascii="宋体" w:hAnsi="宋体" w:eastAsia="宋体" w:cs="宋体"/>
          <w:b w:val="0"/>
          <w:color w:val="auto"/>
          <w:sz w:val="21"/>
          <w:highlight w:val="none"/>
          <w:lang w:val="en-US" w:eastAsia="zh-CN" w:bidi="ar-SA"/>
        </w:rPr>
      </w:pPr>
      <w:r>
        <w:rPr>
          <w:rFonts w:hint="eastAsia" w:ascii="宋体" w:hAnsi="宋体" w:eastAsia="宋体" w:cs="宋体"/>
          <w:b w:val="0"/>
          <w:color w:val="auto"/>
          <w:sz w:val="21"/>
          <w:highlight w:val="none"/>
          <w:lang w:val="en-US" w:eastAsia="zh-CN" w:bidi="ar-SA"/>
        </w:rPr>
        <w:t xml:space="preserve">2、方式：在“苏采云”系统自行免费下载招标文件。</w:t>
      </w:r>
      <w:r/>
    </w:p>
    <w:p>
      <w:pPr>
        <w:keepLines w:val="0"/>
        <w:keepNext w:val="0"/>
        <w:pageBreakBefore w:val="0"/>
        <w:spacing w:line="360" w:lineRule="auto"/>
        <w:rPr>
          <w:rFonts w:hint="eastAsia" w:ascii="宋体" w:hAnsi="宋体" w:eastAsia="宋体" w:cs="宋体"/>
          <w:b/>
          <w:bCs/>
          <w:color w:val="auto"/>
          <w:highlight w:val="none"/>
        </w:rPr>
      </w:pPr>
      <w:r/>
      <w:bookmarkStart w:id="10" w:name="_Toc28359005"/>
      <w:r/>
      <w:bookmarkStart w:id="11" w:name="_Toc28359082"/>
      <w:r/>
      <w:bookmarkStart w:id="12" w:name="_Toc35393624"/>
      <w:r/>
      <w:bookmarkStart w:id="13" w:name="_Toc35393793"/>
      <w:r>
        <w:rPr>
          <w:rFonts w:hint="eastAsia" w:ascii="宋体" w:hAnsi="宋体" w:eastAsia="宋体" w:cs="宋体"/>
          <w:b/>
          <w:bCs/>
          <w:color w:val="auto"/>
          <w:highlight w:val="none"/>
        </w:rPr>
        <w:t xml:space="preserve">四、投标</w:t>
      </w:r>
      <w:bookmarkEnd w:id="10"/>
      <w:r/>
      <w:bookmarkEnd w:id="11"/>
      <w:r>
        <w:rPr>
          <w:rFonts w:hint="eastAsia" w:ascii="宋体" w:hAnsi="宋体" w:eastAsia="宋体" w:cs="宋体"/>
          <w:b/>
          <w:bCs/>
          <w:color w:val="auto"/>
          <w:highlight w:val="none"/>
        </w:rPr>
        <w:t xml:space="preserve">截止时间、开标时间和地点</w:t>
      </w:r>
      <w:bookmarkEnd w:id="12"/>
      <w:r/>
      <w:bookmarkEnd w:id="13"/>
      <w:r/>
      <w:r/>
    </w:p>
    <w:p>
      <w:pPr>
        <w:pStyle w:val="1126"/>
        <w:ind w:firstLine="0"/>
        <w:keepLines w:val="0"/>
        <w:keepNext w:val="0"/>
        <w:pageBreakBefore w:val="0"/>
        <w:rPr>
          <w:rFonts w:hint="eastAsia" w:ascii="宋体" w:hAnsi="宋体" w:eastAsia="宋体" w:cs="宋体"/>
          <w:color w:val="auto"/>
          <w:sz w:val="21"/>
          <w:szCs w:val="20"/>
          <w:highlight w:val="none"/>
          <w:lang w:val="en-US" w:eastAsia="zh-CN"/>
        </w:rPr>
      </w:pPr>
      <w:r>
        <w:rPr>
          <w:rFonts w:hint="eastAsia" w:ascii="宋体" w:hAnsi="宋体" w:eastAsia="宋体" w:cs="宋体"/>
          <w:color w:val="auto"/>
          <w:sz w:val="21"/>
          <w:szCs w:val="20"/>
          <w:highlight w:val="none"/>
        </w:rPr>
        <w:t xml:space="preserve">1、投标截止时间：</w:t>
      </w:r>
      <w:r>
        <w:rPr>
          <w:rFonts w:hint="eastAsia" w:ascii="宋体" w:hAnsi="宋体" w:eastAsia="宋体" w:cs="宋体"/>
          <w:color w:val="auto"/>
          <w:sz w:val="21"/>
          <w:szCs w:val="20"/>
          <w:highlight w:val="none"/>
          <w:lang w:val="en-US" w:eastAsia="zh-CN" w:bidi="ar-SA"/>
        </w:rPr>
        <w:t xml:space="preserve">2025年</w:t>
      </w:r>
      <w:r>
        <w:rPr>
          <w:rFonts w:hint="eastAsia" w:ascii="宋体" w:hAnsi="宋体" w:cs="宋体"/>
          <w:color w:val="auto"/>
          <w:sz w:val="21"/>
          <w:szCs w:val="20"/>
          <w:highlight w:val="none"/>
          <w:lang w:val="en-US" w:eastAsia="zh-CN" w:bidi="ar-SA"/>
        </w:rPr>
        <w:t xml:space="preserve">11</w:t>
      </w:r>
      <w:r>
        <w:rPr>
          <w:rFonts w:hint="eastAsia" w:ascii="宋体" w:hAnsi="宋体" w:eastAsia="宋体" w:cs="宋体"/>
          <w:color w:val="auto"/>
          <w:sz w:val="21"/>
          <w:szCs w:val="20"/>
          <w:highlight w:val="none"/>
          <w:lang w:val="en-US" w:eastAsia="zh-CN" w:bidi="ar-SA"/>
        </w:rPr>
        <w:t xml:space="preserve">月</w:t>
      </w:r>
      <w:r>
        <w:rPr>
          <w:rFonts w:hint="eastAsia" w:ascii="宋体" w:hAnsi="宋体" w:cs="宋体"/>
          <w:color w:val="auto"/>
          <w:sz w:val="21"/>
          <w:szCs w:val="20"/>
          <w:highlight w:val="none"/>
          <w:lang w:val="en-US" w:eastAsia="zh-CN" w:bidi="ar-SA"/>
        </w:rPr>
        <w:t xml:space="preserve">28</w:t>
      </w:r>
      <w:r>
        <w:rPr>
          <w:rFonts w:hint="eastAsia" w:ascii="宋体" w:hAnsi="宋体" w:eastAsia="宋体" w:cs="宋体"/>
          <w:color w:val="auto"/>
          <w:sz w:val="21"/>
          <w:szCs w:val="20"/>
          <w:highlight w:val="none"/>
          <w:lang w:val="en-US" w:eastAsia="zh-CN" w:bidi="ar-SA"/>
        </w:rPr>
        <w:t xml:space="preserve">日</w:t>
      </w:r>
      <w:r>
        <w:rPr>
          <w:rFonts w:hint="eastAsia" w:ascii="宋体" w:hAnsi="宋体" w:cs="宋体"/>
          <w:color w:val="auto"/>
          <w:sz w:val="21"/>
          <w:szCs w:val="20"/>
          <w:highlight w:val="none"/>
          <w:lang w:val="en-US" w:eastAsia="zh-CN"/>
        </w:rPr>
        <w:t xml:space="preserve">14</w:t>
      </w:r>
      <w:r>
        <w:rPr>
          <w:rFonts w:hint="eastAsia" w:ascii="宋体" w:hAnsi="宋体" w:eastAsia="宋体" w:cs="宋体"/>
          <w:color w:val="auto"/>
          <w:sz w:val="21"/>
          <w:szCs w:val="20"/>
          <w:highlight w:val="none"/>
          <w:lang w:val="en-US" w:eastAsia="zh-CN"/>
        </w:rPr>
        <w:t xml:space="preserve">:</w:t>
      </w:r>
      <w:r>
        <w:rPr>
          <w:rFonts w:hint="eastAsia" w:ascii="宋体" w:hAnsi="宋体" w:cs="宋体"/>
          <w:color w:val="auto"/>
          <w:sz w:val="21"/>
          <w:szCs w:val="20"/>
          <w:highlight w:val="none"/>
          <w:lang w:val="en-US" w:eastAsia="zh-CN"/>
        </w:rPr>
        <w:t xml:space="preserve">30</w:t>
      </w:r>
      <w:r>
        <w:rPr>
          <w:rFonts w:hint="eastAsia" w:ascii="宋体" w:hAnsi="宋体" w:eastAsia="宋体" w:cs="宋体"/>
          <w:color w:val="auto"/>
          <w:sz w:val="21"/>
          <w:szCs w:val="20"/>
          <w:highlight w:val="none"/>
        </w:rPr>
        <w:t xml:space="preserve">（北京时间）</w:t>
      </w:r>
      <w:r>
        <w:rPr>
          <w:rFonts w:hint="eastAsia" w:ascii="宋体" w:hAnsi="宋体" w:eastAsia="宋体" w:cs="宋体"/>
          <w:color w:val="auto"/>
          <w:sz w:val="21"/>
          <w:szCs w:val="20"/>
          <w:highlight w:val="none"/>
          <w:lang w:val="en-US" w:eastAsia="zh-CN"/>
        </w:rPr>
        <w:t xml:space="preserve"> </w:t>
      </w:r>
      <w:r/>
    </w:p>
    <w:p>
      <w:pPr>
        <w:pStyle w:val="1126"/>
        <w:ind w:firstLine="0"/>
        <w:keepLines w:val="0"/>
        <w:keepNext w:val="0"/>
        <w:pageBreakBefore w:val="0"/>
        <w:rPr>
          <w:rFonts w:hint="eastAsia" w:ascii="宋体" w:hAnsi="宋体" w:eastAsia="宋体" w:cs="宋体"/>
          <w:color w:val="auto"/>
          <w:sz w:val="21"/>
          <w:szCs w:val="20"/>
          <w:highlight w:val="none"/>
          <w:lang w:val="en-US" w:eastAsia="zh-CN"/>
        </w:rPr>
      </w:pPr>
      <w:r>
        <w:rPr>
          <w:rFonts w:hint="eastAsia" w:ascii="宋体" w:hAnsi="宋体" w:eastAsia="宋体" w:cs="宋体"/>
          <w:color w:val="auto"/>
          <w:sz w:val="21"/>
          <w:szCs w:val="20"/>
          <w:highlight w:val="none"/>
        </w:rPr>
        <w:t xml:space="preserve">2、开标时间：</w:t>
      </w:r>
      <w:r>
        <w:rPr>
          <w:rFonts w:hint="eastAsia" w:ascii="宋体" w:hAnsi="宋体" w:eastAsia="宋体" w:cs="宋体"/>
          <w:color w:val="auto"/>
          <w:sz w:val="21"/>
          <w:szCs w:val="20"/>
          <w:highlight w:val="none"/>
          <w:lang w:val="en-US" w:eastAsia="zh-CN" w:bidi="ar-SA"/>
        </w:rPr>
        <w:t xml:space="preserve">2025年</w:t>
      </w:r>
      <w:r>
        <w:rPr>
          <w:rFonts w:hint="eastAsia" w:ascii="宋体" w:hAnsi="宋体" w:cs="宋体"/>
          <w:color w:val="auto"/>
          <w:sz w:val="21"/>
          <w:szCs w:val="20"/>
          <w:highlight w:val="none"/>
          <w:lang w:val="en-US" w:eastAsia="zh-CN" w:bidi="ar-SA"/>
        </w:rPr>
        <w:t xml:space="preserve">11</w:t>
      </w:r>
      <w:r>
        <w:rPr>
          <w:rFonts w:hint="eastAsia" w:ascii="宋体" w:hAnsi="宋体" w:eastAsia="宋体" w:cs="宋体"/>
          <w:color w:val="auto"/>
          <w:sz w:val="21"/>
          <w:szCs w:val="20"/>
          <w:highlight w:val="none"/>
          <w:lang w:val="en-US" w:eastAsia="zh-CN" w:bidi="ar-SA"/>
        </w:rPr>
        <w:t xml:space="preserve">月</w:t>
      </w:r>
      <w:r>
        <w:rPr>
          <w:rFonts w:hint="eastAsia" w:ascii="宋体" w:hAnsi="宋体" w:cs="宋体"/>
          <w:color w:val="auto"/>
          <w:sz w:val="21"/>
          <w:szCs w:val="20"/>
          <w:highlight w:val="none"/>
          <w:lang w:val="en-US" w:eastAsia="zh-CN" w:bidi="ar-SA"/>
        </w:rPr>
        <w:t xml:space="preserve">28</w:t>
      </w:r>
      <w:r>
        <w:rPr>
          <w:rFonts w:hint="eastAsia" w:ascii="宋体" w:hAnsi="宋体" w:eastAsia="宋体" w:cs="宋体"/>
          <w:color w:val="auto"/>
          <w:sz w:val="21"/>
          <w:szCs w:val="20"/>
          <w:highlight w:val="none"/>
          <w:lang w:val="en-US" w:eastAsia="zh-CN" w:bidi="ar-SA"/>
        </w:rPr>
        <w:t xml:space="preserve">日</w:t>
      </w:r>
      <w:r>
        <w:rPr>
          <w:rFonts w:hint="eastAsia" w:ascii="宋体" w:hAnsi="宋体" w:cs="宋体"/>
          <w:color w:val="auto"/>
          <w:sz w:val="21"/>
          <w:szCs w:val="20"/>
          <w:highlight w:val="none"/>
          <w:lang w:val="en-US" w:eastAsia="zh-CN"/>
        </w:rPr>
        <w:t xml:space="preserve">14</w:t>
      </w:r>
      <w:r>
        <w:rPr>
          <w:rFonts w:hint="eastAsia" w:ascii="宋体" w:hAnsi="宋体" w:eastAsia="宋体" w:cs="宋体"/>
          <w:color w:val="auto"/>
          <w:sz w:val="21"/>
          <w:szCs w:val="20"/>
          <w:highlight w:val="none"/>
          <w:lang w:val="en-US" w:eastAsia="zh-CN"/>
        </w:rPr>
        <w:t xml:space="preserve">:</w:t>
      </w:r>
      <w:r>
        <w:rPr>
          <w:rFonts w:hint="eastAsia" w:ascii="宋体" w:hAnsi="宋体" w:cs="宋体"/>
          <w:color w:val="auto"/>
          <w:sz w:val="21"/>
          <w:szCs w:val="20"/>
          <w:highlight w:val="none"/>
          <w:lang w:val="en-US" w:eastAsia="zh-CN"/>
        </w:rPr>
        <w:t xml:space="preserve">30</w:t>
      </w:r>
      <w:r>
        <w:rPr>
          <w:rFonts w:hint="eastAsia" w:ascii="宋体" w:hAnsi="宋体" w:eastAsia="宋体" w:cs="宋体"/>
          <w:color w:val="auto"/>
          <w:sz w:val="21"/>
          <w:szCs w:val="20"/>
          <w:highlight w:val="none"/>
        </w:rPr>
        <w:t xml:space="preserve">（北京时间）</w:t>
      </w:r>
      <w:r>
        <w:rPr>
          <w:rFonts w:hint="eastAsia" w:ascii="宋体" w:hAnsi="宋体" w:eastAsia="宋体" w:cs="宋体"/>
          <w:color w:val="auto"/>
          <w:sz w:val="21"/>
          <w:szCs w:val="20"/>
          <w:highlight w:val="none"/>
          <w:lang w:val="en-US" w:eastAsia="zh-CN"/>
        </w:rPr>
        <w:t xml:space="preserve">  </w:t>
      </w:r>
      <w:r/>
    </w:p>
    <w:p>
      <w:pPr>
        <w:pStyle w:val="1126"/>
        <w:ind w:firstLine="0"/>
        <w:keepLines w:val="0"/>
        <w:keepNext w:val="0"/>
        <w:pageBreakBefore w:val="0"/>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 xml:space="preserve">3、开标地点：“苏采云”系统（网址： http://jszfcg.jsczt.cn/）“开标大厅”，点击“苏采云”进入系统“开标大厅”。</w:t>
      </w:r>
      <w:r/>
    </w:p>
    <w:p>
      <w:pPr>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注：各供应商请关注开标大厅交流区，在开标结束后，请勿离开开标大厅。</w:t>
      </w:r>
      <w:r/>
    </w:p>
    <w:p>
      <w:pPr>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4、投标文件的解密：开标当天各供应商及时登录不见面开标大厅，响应文件递交截止时间后，采购人将在系统内公布投标</w:t>
      </w:r>
      <w:r>
        <w:rPr>
          <w:rFonts w:hint="eastAsia" w:ascii="宋体" w:hAnsi="宋体" w:eastAsia="宋体" w:cs="宋体"/>
          <w:color w:val="auto"/>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keepLines w:val="0"/>
        <w:keepNext w:val="0"/>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五、公告期限</w:t>
      </w:r>
      <w:bookmarkEnd w:id="4"/>
      <w:r/>
      <w:bookmarkEnd w:id="5"/>
      <w:r/>
      <w:bookmarkEnd w:id="6"/>
      <w:r/>
      <w:bookmarkEnd w:id="7"/>
      <w:r/>
      <w:r/>
    </w:p>
    <w:p>
      <w:pPr>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自本公告发布之日起5个工作日。</w:t>
      </w:r>
      <w:r/>
    </w:p>
    <w:p>
      <w:pPr>
        <w:numPr>
          <w:ilvl w:val="0"/>
          <w:numId w:val="3"/>
        </w:numPr>
        <w:keepLines w:val="0"/>
        <w:keepNext w:val="0"/>
        <w:pageBreakBefore w:val="0"/>
        <w:spacing w:line="360" w:lineRule="auto"/>
        <w:rPr>
          <w:rFonts w:hint="eastAsia" w:ascii="宋体" w:hAnsi="宋体" w:eastAsia="宋体" w:cs="宋体"/>
          <w:b/>
          <w:bCs/>
          <w:color w:val="auto"/>
          <w:highlight w:val="none"/>
        </w:rPr>
      </w:pPr>
      <w:r/>
      <w:bookmarkStart w:id="14" w:name="_Toc35393795"/>
      <w:r/>
      <w:bookmarkStart w:id="15" w:name="_Toc35393626"/>
      <w:r>
        <w:rPr>
          <w:rFonts w:hint="eastAsia" w:ascii="宋体" w:hAnsi="宋体" w:eastAsia="宋体" w:cs="宋体"/>
          <w:b/>
          <w:bCs/>
          <w:color w:val="auto"/>
          <w:highlight w:val="none"/>
        </w:rPr>
        <w:t xml:space="preserve">其他补充事宜</w:t>
      </w:r>
      <w:bookmarkEnd w:id="14"/>
      <w:r/>
      <w:bookmarkEnd w:id="15"/>
      <w:r/>
      <w:r/>
    </w:p>
    <w:p>
      <w:pPr>
        <w:pStyle w:val="1121"/>
        <w:numPr>
          <w:ilvl w:val="0"/>
          <w:numId w:val="4"/>
        </w:numPr>
        <w:ind w:firstLine="0"/>
        <w:keepLines w:val="0"/>
        <w:keepNext w:val="0"/>
        <w:pageBreakBefore w:val="0"/>
        <w:spacing w:line="360" w:lineRule="auto"/>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本项目公告媒体：</w:t>
      </w:r>
      <w:r>
        <w:rPr>
          <w:rFonts w:hint="eastAsia" w:ascii="宋体" w:hAnsi="宋体" w:eastAsia="宋体" w:cs="宋体"/>
          <w:b w:val="0"/>
          <w:color w:val="auto"/>
          <w:sz w:val="21"/>
          <w:highlight w:val="none"/>
          <w:lang w:eastAsia="zh-CN"/>
        </w:rPr>
        <w:t xml:space="preserve">江苏政府采购网</w:t>
      </w:r>
      <w:r>
        <w:rPr>
          <w:rFonts w:hint="eastAsia" w:ascii="宋体" w:hAnsi="宋体" w:eastAsia="宋体" w:cs="宋体"/>
          <w:b w:val="0"/>
          <w:color w:val="auto"/>
          <w:sz w:val="21"/>
          <w:highlight w:val="none"/>
        </w:rPr>
        <w:t xml:space="preserve">（http://www.ccgp-jiangsu.gov.cn/）</w:t>
      </w:r>
      <w:r/>
    </w:p>
    <w:p>
      <w:pPr>
        <w:pStyle w:val="1121"/>
        <w:numPr>
          <w:ilvl w:val="0"/>
          <w:numId w:val="0"/>
        </w:numPr>
        <w:keepLines w:val="0"/>
        <w:keepNext w:val="0"/>
        <w:pageBreakBefore w:val="0"/>
        <w:spacing w:line="360" w:lineRule="auto"/>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1121"/>
        <w:ind w:firstLine="0"/>
        <w:keepLines w:val="0"/>
        <w:keepNext w:val="0"/>
        <w:pageBreakBefore w:val="0"/>
        <w:spacing w:line="360" w:lineRule="auto"/>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http://www.ccgp-jiangsu.gov.cn/jiangsu/zlxz/ee/ee3a4bc5a3454aa2b0d9312230633ce9.html。</w:t>
      </w:r>
      <w:r/>
    </w:p>
    <w:p>
      <w:pPr>
        <w:pStyle w:val="1121"/>
        <w:ind w:firstLine="0"/>
        <w:keepLines w:val="0"/>
        <w:keepNext w:val="0"/>
        <w:pageBreakBefore w:val="0"/>
        <w:spacing w:line="360" w:lineRule="auto"/>
        <w:rPr>
          <w:rFonts w:hint="eastAsia" w:ascii="宋体" w:hAnsi="宋体" w:eastAsia="宋体" w:cs="宋体"/>
          <w:b w:val="0"/>
          <w:color w:val="auto"/>
          <w:sz w:val="21"/>
          <w:highlight w:val="none"/>
          <w:lang w:eastAsia="zh-CN"/>
        </w:rPr>
      </w:pPr>
      <w:r>
        <w:rPr>
          <w:rFonts w:hint="eastAsia" w:ascii="宋体" w:hAnsi="宋体" w:eastAsia="宋体" w:cs="宋体"/>
          <w:b w:val="0"/>
          <w:color w:val="auto"/>
          <w:sz w:val="21"/>
          <w:highlight w:val="none"/>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rPr>
          <w:rFonts w:hint="eastAsia" w:ascii="宋体" w:hAnsi="宋体" w:eastAsia="宋体" w:cs="宋体"/>
          <w:b w:val="0"/>
          <w:color w:val="auto"/>
          <w:sz w:val="21"/>
          <w:highlight w:val="none"/>
          <w:lang w:eastAsia="zh-CN"/>
        </w:rPr>
        <w:t xml:space="preserve">；</w:t>
      </w:r>
      <w:r/>
    </w:p>
    <w:p>
      <w:pPr>
        <w:numPr>
          <w:ilvl w:val="0"/>
          <w:numId w:val="0"/>
        </w:numPr>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rPr>
          <w:rFonts w:hint="eastAsia" w:ascii="宋体" w:hAnsi="宋体" w:eastAsia="宋体" w:cs="宋体"/>
          <w:color w:val="auto"/>
          <w:highlight w:val="none"/>
          <w:lang w:eastAsia="zh-CN"/>
        </w:rPr>
        <w:t xml:space="preserve">；</w:t>
      </w:r>
      <w:r/>
    </w:p>
    <w:p>
      <w:pPr>
        <w:numPr>
          <w:ilvl w:val="0"/>
          <w:numId w:val="5"/>
        </w:numPr>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有关本次招标的事项若存在变动或修改，敬请及时关注在“江苏政府采购网”发布的更正公告。</w:t>
      </w:r>
      <w:r/>
    </w:p>
    <w:p>
      <w:pPr>
        <w:keepLines w:val="0"/>
        <w:keepNext w:val="0"/>
        <w:pageBreakBefore w:val="0"/>
        <w:spacing w:line="360" w:lineRule="auto"/>
        <w:rPr>
          <w:rFonts w:hint="eastAsia" w:ascii="宋体" w:hAnsi="宋体" w:eastAsia="宋体" w:cs="宋体"/>
          <w:b/>
          <w:bCs/>
          <w:color w:val="auto"/>
          <w:highlight w:val="none"/>
        </w:rPr>
      </w:pPr>
      <w:r/>
      <w:bookmarkStart w:id="16" w:name="_Toc35393627"/>
      <w:r/>
      <w:bookmarkStart w:id="17" w:name="_Toc28359085"/>
      <w:r/>
      <w:bookmarkStart w:id="18" w:name="_Toc28359008"/>
      <w:r/>
      <w:bookmarkStart w:id="19" w:name="_Toc35393796"/>
      <w:r>
        <w:rPr>
          <w:rFonts w:hint="eastAsia" w:ascii="宋体" w:hAnsi="宋体" w:eastAsia="宋体" w:cs="宋体"/>
          <w:b/>
          <w:bCs/>
          <w:color w:val="auto"/>
          <w:highlight w:val="none"/>
        </w:rPr>
        <w:t xml:space="preserve">七、对本次招标提出询问，请按以下方式联系</w:t>
      </w:r>
      <w:bookmarkEnd w:id="16"/>
      <w:r/>
      <w:bookmarkEnd w:id="17"/>
      <w:r/>
      <w:bookmarkEnd w:id="18"/>
      <w:r/>
      <w:bookmarkEnd w:id="19"/>
      <w:r/>
      <w:r/>
    </w:p>
    <w:p>
      <w:pP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1.采购人信息</w:t>
      </w:r>
      <w:r/>
    </w:p>
    <w:p>
      <w:pPr>
        <w:keepLines w:val="0"/>
        <w:keepNext w:val="0"/>
        <w:pageBreakBefore w:val="0"/>
        <w:spacing w:line="360" w:lineRule="auto"/>
        <w:rPr>
          <w:rFonts w:hint="eastAsia" w:ascii="宋体" w:hAnsi="宋体" w:eastAsia="宋体" w:cs="宋体"/>
          <w:color w:val="auto"/>
          <w:szCs w:val="21"/>
          <w:highlight w:val="none"/>
        </w:rPr>
      </w:pPr>
      <w:r/>
      <w:bookmarkStart w:id="20" w:name="_Toc28359009"/>
      <w:r/>
      <w:bookmarkStart w:id="21" w:name="_Toc28359086"/>
      <w:r>
        <w:rPr>
          <w:rFonts w:hint="eastAsia" w:ascii="宋体" w:hAnsi="宋体" w:eastAsia="宋体" w:cs="宋体"/>
          <w:color w:val="auto"/>
          <w:szCs w:val="21"/>
          <w:highlight w:val="none"/>
        </w:rPr>
        <w:t xml:space="preserve">名 称：</w:t>
      </w:r>
      <w:r>
        <w:rPr>
          <w:rFonts w:hint="eastAsia" w:ascii="宋体" w:hAnsi="宋体" w:eastAsia="宋体" w:cs="宋体"/>
          <w:color w:val="auto"/>
          <w:szCs w:val="21"/>
          <w:highlight w:val="none"/>
          <w:lang w:eastAsia="zh-CN"/>
        </w:rPr>
        <w:t xml:space="preserve">南京市第一医院</w:t>
      </w:r>
      <w:r>
        <w:rPr>
          <w:rFonts w:hint="eastAsia" w:ascii="宋体" w:hAnsi="宋体" w:eastAsia="宋体" w:cs="宋体"/>
          <w:color w:val="auto"/>
          <w:szCs w:val="21"/>
          <w:highlight w:val="none"/>
        </w:rPr>
        <w:t xml:space="preserve">　　　　　　　　　　　</w:t>
      </w:r>
      <w:r/>
    </w:p>
    <w:p>
      <w:pP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rPr>
          <w:rFonts w:hint="eastAsia" w:ascii="宋体" w:hAnsi="宋体" w:eastAsia="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南京市长乐路68号</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　</w:t>
      </w:r>
      <w:r/>
    </w:p>
    <w:p>
      <w:pPr>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联系人：张老师  </w:t>
      </w:r>
      <w:r/>
    </w:p>
    <w:p>
      <w:pPr>
        <w:keepLines w:val="0"/>
        <w:keepNext w:val="0"/>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联系方式：025</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52271418    </w:t>
      </w:r>
      <w:r/>
    </w:p>
    <w:p>
      <w:pP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2.采购代理机构信息</w:t>
      </w:r>
      <w:bookmarkEnd w:id="20"/>
      <w:r/>
      <w:bookmarkEnd w:id="21"/>
      <w:r/>
      <w:r/>
    </w:p>
    <w:p>
      <w:pP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 称：苏美达国际技术贸易有限公司</w:t>
      </w:r>
      <w:r/>
    </w:p>
    <w:p>
      <w:pPr>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地　址：南京市长江路198号苏美达大厦</w:t>
      </w:r>
      <w:r>
        <w:rPr>
          <w:rFonts w:hint="eastAsia" w:ascii="宋体" w:hAnsi="宋体" w:eastAsia="宋体" w:cs="宋体"/>
          <w:color w:val="auto"/>
          <w:szCs w:val="21"/>
          <w:highlight w:val="none"/>
          <w:lang w:val="en-US" w:eastAsia="zh-CN"/>
        </w:rPr>
        <w:t xml:space="preserve">9楼</w:t>
      </w:r>
      <w:r/>
    </w:p>
    <w:p>
      <w:pPr>
        <w:keepLines w:val="0"/>
        <w:keepNext w:val="0"/>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联系</w:t>
      </w:r>
      <w:bookmarkStart w:id="22" w:name="_Toc28359010"/>
      <w:r/>
      <w:bookmarkStart w:id="23" w:name="_Toc28359087"/>
      <w:r>
        <w:rPr>
          <w:rFonts w:hint="eastAsia" w:ascii="宋体" w:hAnsi="宋体" w:eastAsia="宋体" w:cs="宋体"/>
          <w:color w:val="auto"/>
          <w:szCs w:val="21"/>
          <w:highlight w:val="none"/>
        </w:rPr>
        <w:t xml:space="preserve">人：</w:t>
      </w:r>
      <w:r>
        <w:rPr>
          <w:rFonts w:hint="eastAsia" w:ascii="宋体" w:hAnsi="宋体" w:cs="宋体"/>
          <w:color w:val="auto"/>
          <w:szCs w:val="21"/>
          <w:highlight w:val="none"/>
          <w:lang w:eastAsia="zh-CN"/>
        </w:rPr>
        <w:t xml:space="preserve">邓梦诗</w:t>
      </w:r>
      <w:r/>
    </w:p>
    <w:p>
      <w:pPr>
        <w:keepLines w:val="0"/>
        <w:keepNext w:val="0"/>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联系电话：025-</w:t>
      </w:r>
      <w:r>
        <w:rPr>
          <w:rFonts w:hint="eastAsia" w:ascii="宋体" w:hAnsi="宋体" w:cs="宋体"/>
          <w:color w:val="auto"/>
          <w:szCs w:val="21"/>
          <w:highlight w:val="none"/>
          <w:lang w:eastAsia="zh-CN"/>
        </w:rPr>
        <w:t xml:space="preserve">84531619</w:t>
      </w:r>
      <w:r/>
    </w:p>
    <w:p>
      <w:pP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3.项目联系方式</w:t>
      </w:r>
      <w:bookmarkEnd w:id="22"/>
      <w:r/>
      <w:bookmarkEnd w:id="23"/>
      <w:r/>
      <w:r/>
    </w:p>
    <w:p>
      <w:pPr>
        <w:keepLines w:val="0"/>
        <w:keepNext w:val="0"/>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项目联系人：</w:t>
      </w:r>
      <w:r>
        <w:rPr>
          <w:rFonts w:hint="eastAsia" w:ascii="宋体" w:hAnsi="宋体" w:cs="宋体"/>
          <w:color w:val="auto"/>
          <w:szCs w:val="21"/>
          <w:highlight w:val="none"/>
          <w:lang w:eastAsia="zh-CN"/>
        </w:rPr>
        <w:t xml:space="preserve">邓梦诗</w:t>
      </w:r>
      <w:r/>
    </w:p>
    <w:p>
      <w:pPr>
        <w:keepLines w:val="0"/>
        <w:keepNext w:val="0"/>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电　话：025-</w:t>
      </w:r>
      <w:r>
        <w:rPr>
          <w:rFonts w:hint="eastAsia" w:ascii="宋体" w:hAnsi="宋体" w:cs="宋体"/>
          <w:color w:val="auto"/>
          <w:szCs w:val="21"/>
          <w:highlight w:val="none"/>
          <w:lang w:eastAsia="zh-CN"/>
        </w:rPr>
        <w:t xml:space="preserve">84531619</w:t>
      </w:r>
      <w:r/>
    </w:p>
    <w:p>
      <w:pP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邮箱：</w:t>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"mailto:zhuzhiyun@sumec.com.cn" </w:instrText>
      </w:r>
      <w:r>
        <w:rPr>
          <w:rFonts w:hint="eastAsia" w:ascii="宋体" w:hAnsi="宋体" w:eastAsia="宋体" w:cs="宋体"/>
          <w:color w:val="auto"/>
          <w:szCs w:val="21"/>
          <w:highlight w:val="none"/>
        </w:rPr>
        <w:fldChar w:fldCharType="separate"/>
      </w:r>
      <w:r>
        <w:rPr>
          <w:rStyle w:val="1127"/>
          <w:rFonts w:hint="eastAsia" w:ascii="宋体" w:hAnsi="宋体" w:cs="宋体"/>
          <w:color w:val="auto"/>
          <w:szCs w:val="21"/>
          <w:highlight w:val="none"/>
        </w:rPr>
        <w:t xml:space="preserve">dms@sumec.com.cn</w:t>
      </w:r>
      <w:r>
        <w:rPr>
          <w:rFonts w:hint="eastAsia" w:ascii="宋体" w:hAnsi="宋体" w:eastAsia="宋体" w:cs="宋体"/>
          <w:color w:val="auto"/>
          <w:szCs w:val="21"/>
          <w:highlight w:val="none"/>
        </w:rPr>
        <w:fldChar w:fldCharType="end"/>
      </w:r>
      <w:bookmarkStart w:id="24" w:name="_Toc28996"/>
      <w:r/>
      <w:bookmarkStart w:id="25" w:name="_Toc16975"/>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92"/>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color w:val="auto"/>
          <w:highlight w:val="none"/>
        </w:rPr>
      </w:pPr>
      <w:r>
        <w:rPr>
          <w:rFonts w:hint="eastAsia"/>
          <w:color w:val="auto"/>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92"/>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92"/>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92"/>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92"/>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92"/>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92"/>
        <w:rPr>
          <w:rFonts w:hint="eastAsia"/>
          <w:color w:val="auto"/>
        </w:rPr>
      </w:pPr>
      <w:r>
        <w:rPr>
          <w:rFonts w:hint="eastAsia"/>
          <w:color w:val="auto"/>
        </w:rPr>
      </w:r>
      <w:r/>
    </w:p>
    <w:p>
      <w:pPr>
        <w:jc w:val="center"/>
        <w:spacing w:line="440" w:lineRule="exact"/>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t xml:space="preserve">第二章 投标人须知</w:t>
      </w:r>
      <w:bookmarkEnd w:id="24"/>
      <w:r/>
      <w:bookmarkEnd w:id="25"/>
      <w:r/>
      <w:r/>
    </w:p>
    <w:p>
      <w:pPr>
        <w:spacing w:line="440" w:lineRule="exact"/>
        <w:shd w:val="clear" w:color="auto" w:fill="ffffff"/>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投标人须知前附表</w:t>
      </w:r>
      <w:r/>
    </w:p>
    <w:tbl>
      <w:tblPr>
        <w:tblStyle w:val="88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jc w:val="center"/>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8928" w:type="dxa"/>
            <w:vAlign w:val="center"/>
            <w:textDirection w:val="lrTb"/>
            <w:noWrap w:val="false"/>
          </w:tcPr>
          <w:p>
            <w:pPr>
              <w:jc w:val="center"/>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主要内容</w:t>
            </w:r>
            <w:r/>
          </w:p>
        </w:tc>
      </w:tr>
      <w:tr>
        <w:trPr>
          <w:trHeight w:val="240"/>
        </w:trPr>
        <w:tc>
          <w:tcPr>
            <w:tcW w:w="819" w:type="dxa"/>
            <w:vAlign w:val="center"/>
            <w:textDirection w:val="lrTb"/>
            <w:noWrap w:val="false"/>
          </w:tcPr>
          <w:p>
            <w:pPr>
              <w:jc w:val="center"/>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w:t>
            </w:r>
            <w:r/>
          </w:p>
        </w:tc>
        <w:tc>
          <w:tcPr>
            <w:tcW w:w="8928" w:type="dxa"/>
            <w:vAlign w:val="center"/>
            <w:textDirection w:val="lrTb"/>
            <w:noWrap w:val="false"/>
          </w:tcPr>
          <w:p>
            <w:pPr>
              <w:spacing w:line="440" w:lineRule="exact"/>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采购人</w:t>
            </w:r>
            <w:r>
              <w:rPr>
                <w:rFonts w:hint="eastAsia" w:ascii="宋体" w:hAnsi="宋体" w:eastAsia="宋体" w:cs="宋体"/>
                <w:color w:val="auto"/>
                <w:szCs w:val="21"/>
                <w:highlight w:val="none"/>
                <w:lang w:eastAsia="zh-CN"/>
              </w:rPr>
              <w:t xml:space="preserve">：南京市第一医院 </w:t>
            </w:r>
            <w:r/>
          </w:p>
          <w:p>
            <w:pPr>
              <w:spacing w:line="440" w:lineRule="exact"/>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联系人：张老师  </w:t>
            </w:r>
            <w:r/>
          </w:p>
          <w:p>
            <w:pPr>
              <w:spacing w:line="440" w:lineRule="exact"/>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联系方式：02552271418   </w:t>
            </w:r>
            <w:r>
              <w:rPr>
                <w:rFonts w:hint="eastAsia" w:ascii="宋体" w:hAnsi="宋体" w:eastAsia="宋体" w:cs="宋体"/>
                <w:color w:val="auto"/>
                <w:szCs w:val="21"/>
                <w:highlight w:val="none"/>
                <w:lang w:eastAsia="zh-CN"/>
              </w:rPr>
              <w:t xml:space="preserve"> </w:t>
            </w:r>
            <w:r/>
          </w:p>
          <w:p>
            <w:pPr>
              <w:spacing w:line="440" w:lineRule="exact"/>
              <w:shd w:val="clear" w:color="auto" w:fill="ffffff"/>
              <w:widowControl/>
              <w:rPr>
                <w:rFonts w:hint="eastAsia" w:ascii="宋体" w:hAnsi="宋体" w:eastAsia="宋体" w:cs="宋体"/>
                <w:b/>
                <w:color w:val="auto"/>
                <w:sz w:val="24"/>
                <w:highlight w:val="none"/>
              </w:rPr>
            </w:pPr>
            <w:r>
              <w:rPr>
                <w:rFonts w:hint="eastAsia" w:ascii="宋体" w:hAnsi="宋体" w:eastAsia="宋体" w:cs="宋体"/>
                <w:color w:val="auto"/>
                <w:szCs w:val="21"/>
                <w:highlight w:val="none"/>
              </w:rPr>
              <w:t xml:space="preserve">地址：</w:t>
            </w:r>
            <w:r>
              <w:rPr>
                <w:rFonts w:hint="eastAsia" w:ascii="宋体" w:hAnsi="宋体" w:eastAsia="宋体" w:cs="宋体"/>
                <w:color w:val="auto"/>
                <w:szCs w:val="21"/>
                <w:highlight w:val="none"/>
                <w:lang w:val="en-US" w:eastAsia="zh-CN"/>
              </w:rPr>
              <w:t xml:space="preserve">南京市长乐路68号  </w:t>
            </w:r>
            <w:r>
              <w:rPr>
                <w:rFonts w:hint="eastAsia" w:ascii="宋体" w:hAnsi="宋体" w:eastAsia="宋体" w:cs="宋体"/>
                <w:color w:val="auto"/>
                <w:szCs w:val="21"/>
                <w:highlight w:val="none"/>
              </w:rPr>
              <w:t xml:space="preserve"> </w:t>
            </w:r>
            <w:r/>
          </w:p>
        </w:tc>
      </w:tr>
      <w:tr>
        <w:trPr>
          <w:trHeight w:val="240"/>
        </w:trPr>
        <w:tc>
          <w:tcPr>
            <w:tcW w:w="819" w:type="dxa"/>
            <w:vAlign w:val="center"/>
            <w:textDirection w:val="lrTb"/>
            <w:noWrap w:val="false"/>
          </w:tcPr>
          <w:p>
            <w:pPr>
              <w:jc w:val="center"/>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w:t>
            </w:r>
            <w:r/>
          </w:p>
        </w:tc>
        <w:tc>
          <w:tcPr>
            <w:tcW w:w="8928" w:type="dxa"/>
            <w:vAlign w:val="center"/>
            <w:textDirection w:val="lrTb"/>
            <w:noWrap w:val="false"/>
          </w:tcPr>
          <w:p>
            <w:pPr>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采购代理机构：苏美达国际技术贸易有限公司</w:t>
            </w:r>
            <w:r/>
          </w:p>
          <w:p>
            <w:pPr>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 系 人：</w:t>
            </w:r>
            <w:r>
              <w:rPr>
                <w:rFonts w:hint="eastAsia" w:ascii="宋体" w:hAnsi="宋体" w:cs="宋体"/>
                <w:color w:val="auto"/>
                <w:szCs w:val="21"/>
                <w:highlight w:val="none"/>
                <w:lang w:eastAsia="zh-CN"/>
              </w:rPr>
              <w:t xml:space="preserve">邓梦诗</w:t>
            </w:r>
            <w:r>
              <w:rPr>
                <w:rFonts w:hint="eastAsia" w:ascii="宋体" w:hAnsi="宋体" w:eastAsia="宋体" w:cs="宋体"/>
                <w:color w:val="auto"/>
                <w:szCs w:val="21"/>
                <w:highlight w:val="none"/>
              </w:rPr>
              <w:t xml:space="preserve">   </w:t>
            </w:r>
            <w:r/>
          </w:p>
          <w:p>
            <w:pPr>
              <w:spacing w:line="440" w:lineRule="exact"/>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联系电话：025-</w:t>
            </w:r>
            <w:r>
              <w:rPr>
                <w:rFonts w:hint="eastAsia" w:ascii="宋体" w:hAnsi="宋体" w:cs="宋体"/>
                <w:color w:val="auto"/>
                <w:szCs w:val="21"/>
                <w:highlight w:val="none"/>
                <w:lang w:eastAsia="zh-CN"/>
              </w:rPr>
              <w:t xml:space="preserve">84531619</w:t>
            </w:r>
            <w:r>
              <w:rPr>
                <w:rFonts w:hint="eastAsia" w:ascii="宋体" w:hAnsi="宋体" w:eastAsia="宋体" w:cs="宋体"/>
                <w:color w:val="auto"/>
                <w:szCs w:val="21"/>
                <w:highlight w:val="none"/>
                <w:lang w:val="en-US" w:eastAsia="zh-CN"/>
              </w:rPr>
              <w:t xml:space="preserve"> </w:t>
            </w:r>
            <w:r/>
          </w:p>
          <w:p>
            <w:pPr>
              <w:spacing w:line="440" w:lineRule="exact"/>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联系地址：南京市长江路198号</w:t>
            </w:r>
            <w:r>
              <w:rPr>
                <w:rFonts w:hint="eastAsia" w:ascii="宋体" w:hAnsi="宋体" w:eastAsia="宋体" w:cs="宋体"/>
                <w:color w:val="auto"/>
                <w:szCs w:val="21"/>
                <w:highlight w:val="none"/>
                <w:lang w:val="en-US" w:eastAsia="zh-CN"/>
              </w:rPr>
              <w:t xml:space="preserve">9楼西</w:t>
            </w:r>
            <w:r/>
          </w:p>
        </w:tc>
      </w:tr>
      <w:tr>
        <w:trPr>
          <w:trHeight w:val="240"/>
        </w:trPr>
        <w:tc>
          <w:tcPr>
            <w:tcW w:w="819" w:type="dxa"/>
            <w:vAlign w:val="center"/>
            <w:textDirection w:val="lrTb"/>
            <w:noWrap w:val="false"/>
          </w:tcPr>
          <w:p>
            <w:pPr>
              <w:jc w:val="center"/>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w:t>
            </w:r>
            <w:r/>
          </w:p>
        </w:tc>
        <w:tc>
          <w:tcPr>
            <w:tcW w:w="8928" w:type="dxa"/>
            <w:vAlign w:val="center"/>
            <w:textDirection w:val="lrTb"/>
            <w:noWrap w:val="false"/>
          </w:tcPr>
          <w:p>
            <w:pPr>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rPr>
                <w:rFonts w:hint="eastAsia" w:ascii="宋体" w:hAnsi="宋体" w:cs="宋体"/>
                <w:color w:val="auto"/>
                <w:szCs w:val="21"/>
                <w:highlight w:val="none"/>
                <w:lang w:eastAsia="zh-CN"/>
              </w:rPr>
              <w:t xml:space="preserve">医用直线加速器维保服务</w:t>
            </w:r>
            <w:r>
              <w:rPr>
                <w:rFonts w:hint="eastAsia" w:ascii="宋体" w:hAnsi="宋体" w:eastAsia="宋体" w:cs="宋体"/>
                <w:color w:val="auto"/>
                <w:szCs w:val="21"/>
                <w:highlight w:val="none"/>
              </w:rPr>
              <w:t xml:space="preserve">  </w:t>
            </w:r>
            <w:r/>
          </w:p>
          <w:p>
            <w:pPr>
              <w:spacing w:line="440" w:lineRule="exact"/>
              <w:shd w:val="clear" w:color="auto" w:fill="ffffff"/>
              <w:widowControl/>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项目编号：</w:t>
            </w:r>
            <w:r>
              <w:rPr>
                <w:rFonts w:hint="eastAsia" w:ascii="宋体" w:hAnsi="宋体" w:cs="宋体"/>
                <w:color w:val="auto"/>
                <w:szCs w:val="21"/>
                <w:highlight w:val="none"/>
                <w:lang w:eastAsia="zh-CN"/>
              </w:rPr>
              <w:t xml:space="preserve">JSZC-320100-SMDG-G2025-0180</w:t>
            </w:r>
            <w:r/>
          </w:p>
        </w:tc>
      </w:tr>
      <w:tr>
        <w:trPr>
          <w:trHeight w:val="240"/>
        </w:trPr>
        <w:tc>
          <w:tcPr>
            <w:tcW w:w="819" w:type="dxa"/>
            <w:vAlign w:val="center"/>
            <w:textDirection w:val="lrTb"/>
            <w:noWrap w:val="false"/>
          </w:tcPr>
          <w:p>
            <w:pPr>
              <w:jc w:val="center"/>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w:t>
            </w:r>
            <w:r/>
          </w:p>
        </w:tc>
        <w:tc>
          <w:tcPr>
            <w:tcW w:w="8928" w:type="dxa"/>
            <w:vAlign w:val="center"/>
            <w:textDirection w:val="lrTb"/>
            <w:noWrap w:val="false"/>
          </w:tcPr>
          <w:p>
            <w:pPr>
              <w:spacing w:line="440" w:lineRule="exact"/>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采购方式：</w:t>
            </w:r>
            <w:r>
              <w:rPr>
                <w:rFonts w:hint="eastAsia" w:ascii="宋体" w:hAnsi="宋体" w:eastAsia="宋体" w:cs="宋体"/>
                <w:b/>
                <w:bCs/>
                <w:color w:val="auto"/>
                <w:szCs w:val="21"/>
                <w:highlight w:val="none"/>
              </w:rPr>
              <w:t xml:space="preserve">公开招标</w:t>
            </w:r>
            <w:r>
              <w:rPr>
                <w:rFonts w:hint="eastAsia" w:ascii="宋体" w:hAnsi="宋体" w:eastAsia="宋体" w:cs="宋体"/>
                <w:b/>
                <w:bCs/>
                <w:color w:val="auto"/>
                <w:szCs w:val="21"/>
                <w:highlight w:val="none"/>
                <w:lang w:val="en-US" w:eastAsia="zh-CN"/>
              </w:rPr>
              <w:t xml:space="preserve"> </w:t>
            </w:r>
            <w:r/>
          </w:p>
        </w:tc>
      </w:tr>
      <w:tr>
        <w:trPr>
          <w:trHeight w:val="240"/>
        </w:trPr>
        <w:tc>
          <w:tcPr>
            <w:tcW w:w="819" w:type="dxa"/>
            <w:vAlign w:val="center"/>
            <w:textDirection w:val="lrTb"/>
            <w:noWrap w:val="false"/>
          </w:tcPr>
          <w:p>
            <w:pPr>
              <w:jc w:val="center"/>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w:t>
            </w:r>
            <w:r/>
          </w:p>
        </w:tc>
        <w:tc>
          <w:tcPr>
            <w:tcW w:w="8928" w:type="dxa"/>
            <w:vAlign w:val="center"/>
            <w:textDirection w:val="lrTb"/>
            <w:noWrap w:val="false"/>
          </w:tcPr>
          <w:p>
            <w:pPr>
              <w:spacing w:line="440" w:lineRule="exact"/>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rPr>
              <w:t xml:space="preserve">投标有效期</w:t>
            </w:r>
            <w:r>
              <w:rPr>
                <w:rFonts w:hint="eastAsia" w:ascii="宋体" w:hAnsi="宋体" w:eastAsia="宋体" w:cs="宋体"/>
                <w:color w:val="auto"/>
                <w:szCs w:val="21"/>
                <w:highlight w:val="none"/>
              </w:rPr>
              <w:t xml:space="preserve">：开标之日起90天</w:t>
            </w:r>
            <w:r>
              <w:rPr>
                <w:rFonts w:hint="eastAsia" w:ascii="宋体" w:hAnsi="宋体" w:eastAsia="宋体" w:cs="宋体"/>
                <w:color w:val="auto"/>
                <w:szCs w:val="21"/>
                <w:highlight w:val="none"/>
                <w:lang w:val="en-US" w:eastAsia="zh-CN"/>
              </w:rPr>
              <w:t xml:space="preserve"> </w:t>
            </w:r>
            <w:r/>
          </w:p>
        </w:tc>
      </w:tr>
      <w:tr>
        <w:trPr>
          <w:trHeight w:val="475"/>
        </w:trPr>
        <w:tc>
          <w:tcPr>
            <w:tcW w:w="819" w:type="dxa"/>
            <w:vAlign w:val="center"/>
            <w:textDirection w:val="lrTb"/>
            <w:noWrap w:val="false"/>
          </w:tcPr>
          <w:p>
            <w:pPr>
              <w:jc w:val="center"/>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w:t>
            </w:r>
            <w:r/>
          </w:p>
        </w:tc>
        <w:tc>
          <w:tcPr>
            <w:tcW w:w="8928" w:type="dxa"/>
            <w:vAlign w:val="center"/>
            <w:textDirection w:val="lrTb"/>
            <w:noWrap w:val="false"/>
          </w:tcPr>
          <w:p>
            <w:pPr>
              <w:jc w:val="left"/>
              <w:spacing w:line="440" w:lineRule="exact"/>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 xml:space="preserve">投标保证金：本项目无需缴纳投标保证金</w:t>
            </w:r>
            <w:r/>
          </w:p>
        </w:tc>
      </w:tr>
      <w:tr>
        <w:trPr>
          <w:trHeight w:val="559"/>
        </w:trPr>
        <w:tc>
          <w:tcPr>
            <w:tcW w:w="819" w:type="dxa"/>
            <w:vAlign w:val="center"/>
            <w:textDirection w:val="lrTb"/>
            <w:noWrap w:val="false"/>
          </w:tcPr>
          <w:p>
            <w:pPr>
              <w:jc w:val="center"/>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w:t>
            </w:r>
            <w:r/>
          </w:p>
        </w:tc>
        <w:tc>
          <w:tcPr>
            <w:tcW w:w="8928" w:type="dxa"/>
            <w:vAlign w:val="center"/>
            <w:textDirection w:val="lrTb"/>
            <w:noWrap w:val="false"/>
          </w:tcPr>
          <w:p>
            <w:pPr>
              <w:jc w:val="left"/>
              <w:spacing w:line="440" w:lineRule="exact"/>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投标文件接收截止时间：2025年</w:t>
            </w:r>
            <w:r>
              <w:rPr>
                <w:rFonts w:hint="eastAsia" w:ascii="宋体" w:hAnsi="宋体" w:cs="宋体"/>
                <w:color w:val="auto"/>
                <w:sz w:val="21"/>
                <w:szCs w:val="20"/>
                <w:highlight w:val="none"/>
                <w:lang w:val="en-US" w:eastAsia="zh-CN" w:bidi="ar-SA"/>
              </w:rPr>
              <w:t xml:space="preserve">11</w:t>
            </w:r>
            <w:r>
              <w:rPr>
                <w:rFonts w:hint="eastAsia" w:ascii="宋体" w:hAnsi="宋体" w:eastAsia="宋体" w:cs="宋体"/>
                <w:color w:val="auto"/>
                <w:sz w:val="21"/>
                <w:szCs w:val="20"/>
                <w:highlight w:val="none"/>
                <w:lang w:val="en-US" w:eastAsia="zh-CN" w:bidi="ar-SA"/>
              </w:rPr>
              <w:t xml:space="preserve">月</w:t>
            </w:r>
            <w:r>
              <w:rPr>
                <w:rFonts w:hint="eastAsia" w:ascii="宋体" w:hAnsi="宋体" w:cs="宋体"/>
                <w:color w:val="auto"/>
                <w:sz w:val="21"/>
                <w:szCs w:val="20"/>
                <w:highlight w:val="none"/>
                <w:lang w:val="en-US" w:eastAsia="zh-CN" w:bidi="ar-SA"/>
              </w:rPr>
              <w:t xml:space="preserve">28</w:t>
            </w:r>
            <w:r>
              <w:rPr>
                <w:rFonts w:hint="eastAsia" w:ascii="宋体" w:hAnsi="宋体" w:eastAsia="宋体" w:cs="宋体"/>
                <w:color w:val="auto"/>
                <w:sz w:val="21"/>
                <w:szCs w:val="20"/>
                <w:highlight w:val="none"/>
                <w:lang w:val="en-US" w:eastAsia="zh-CN" w:bidi="ar-SA"/>
              </w:rPr>
              <w:t xml:space="preserve">日</w:t>
            </w:r>
            <w:r>
              <w:rPr>
                <w:rFonts w:hint="eastAsia" w:ascii="宋体" w:hAnsi="宋体" w:cs="宋体"/>
                <w:color w:val="auto"/>
                <w:sz w:val="21"/>
                <w:szCs w:val="20"/>
                <w:highlight w:val="none"/>
                <w:lang w:val="en-US" w:eastAsia="zh-CN"/>
              </w:rPr>
              <w:t xml:space="preserve">14</w:t>
            </w:r>
            <w:r>
              <w:rPr>
                <w:rFonts w:hint="eastAsia" w:ascii="宋体" w:hAnsi="宋体" w:eastAsia="宋体" w:cs="宋体"/>
                <w:color w:val="auto"/>
                <w:sz w:val="21"/>
                <w:szCs w:val="20"/>
                <w:highlight w:val="none"/>
                <w:lang w:val="en-US" w:eastAsia="zh-CN"/>
              </w:rPr>
              <w:t xml:space="preserve">:</w:t>
            </w:r>
            <w:r>
              <w:rPr>
                <w:rFonts w:hint="eastAsia" w:ascii="宋体" w:hAnsi="宋体" w:cs="宋体"/>
                <w:color w:val="auto"/>
                <w:sz w:val="21"/>
                <w:szCs w:val="20"/>
                <w:highlight w:val="none"/>
                <w:lang w:val="en-US" w:eastAsia="zh-CN"/>
              </w:rPr>
              <w:t xml:space="preserve">30</w:t>
            </w:r>
            <w:r>
              <w:rPr>
                <w:rFonts w:hint="eastAsia" w:ascii="宋体" w:hAnsi="宋体" w:eastAsia="宋体" w:cs="宋体"/>
                <w:color w:val="auto"/>
                <w:sz w:val="21"/>
                <w:szCs w:val="20"/>
                <w:highlight w:val="none"/>
                <w:lang w:val="en-US" w:eastAsia="zh-CN" w:bidi="ar-SA"/>
              </w:rPr>
              <w:t xml:space="preserve">（北京时间） </w:t>
            </w:r>
            <w:r/>
          </w:p>
          <w:p>
            <w:pPr>
              <w:jc w:val="left"/>
              <w:spacing w:line="440" w:lineRule="exact"/>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开标时间：2025年</w:t>
            </w:r>
            <w:r>
              <w:rPr>
                <w:rFonts w:hint="eastAsia" w:ascii="宋体" w:hAnsi="宋体" w:cs="宋体"/>
                <w:color w:val="auto"/>
                <w:sz w:val="21"/>
                <w:szCs w:val="20"/>
                <w:highlight w:val="none"/>
                <w:lang w:val="en-US" w:eastAsia="zh-CN" w:bidi="ar-SA"/>
              </w:rPr>
              <w:t xml:space="preserve">11</w:t>
            </w:r>
            <w:r>
              <w:rPr>
                <w:rFonts w:hint="eastAsia" w:ascii="宋体" w:hAnsi="宋体" w:eastAsia="宋体" w:cs="宋体"/>
                <w:color w:val="auto"/>
                <w:sz w:val="21"/>
                <w:szCs w:val="20"/>
                <w:highlight w:val="none"/>
                <w:lang w:val="en-US" w:eastAsia="zh-CN" w:bidi="ar-SA"/>
              </w:rPr>
              <w:t xml:space="preserve">月</w:t>
            </w:r>
            <w:r>
              <w:rPr>
                <w:rFonts w:hint="eastAsia" w:ascii="宋体" w:hAnsi="宋体" w:cs="宋体"/>
                <w:color w:val="auto"/>
                <w:sz w:val="21"/>
                <w:szCs w:val="20"/>
                <w:highlight w:val="none"/>
                <w:lang w:val="en-US" w:eastAsia="zh-CN" w:bidi="ar-SA"/>
              </w:rPr>
              <w:t xml:space="preserve">28</w:t>
            </w:r>
            <w:r>
              <w:rPr>
                <w:rFonts w:hint="eastAsia" w:ascii="宋体" w:hAnsi="宋体" w:eastAsia="宋体" w:cs="宋体"/>
                <w:color w:val="auto"/>
                <w:sz w:val="21"/>
                <w:szCs w:val="20"/>
                <w:highlight w:val="none"/>
                <w:lang w:val="en-US" w:eastAsia="zh-CN" w:bidi="ar-SA"/>
              </w:rPr>
              <w:t xml:space="preserve">日</w:t>
            </w:r>
            <w:r>
              <w:rPr>
                <w:rFonts w:hint="eastAsia" w:ascii="宋体" w:hAnsi="宋体" w:cs="宋体"/>
                <w:color w:val="auto"/>
                <w:sz w:val="21"/>
                <w:szCs w:val="20"/>
                <w:highlight w:val="none"/>
                <w:lang w:val="en-US" w:eastAsia="zh-CN"/>
              </w:rPr>
              <w:t xml:space="preserve">14</w:t>
            </w:r>
            <w:r>
              <w:rPr>
                <w:rFonts w:hint="eastAsia" w:ascii="宋体" w:hAnsi="宋体" w:eastAsia="宋体" w:cs="宋体"/>
                <w:color w:val="auto"/>
                <w:sz w:val="21"/>
                <w:szCs w:val="20"/>
                <w:highlight w:val="none"/>
                <w:lang w:val="en-US" w:eastAsia="zh-CN"/>
              </w:rPr>
              <w:t xml:space="preserve">:</w:t>
            </w:r>
            <w:r>
              <w:rPr>
                <w:rFonts w:hint="eastAsia" w:ascii="宋体" w:hAnsi="宋体" w:cs="宋体"/>
                <w:color w:val="auto"/>
                <w:sz w:val="21"/>
                <w:szCs w:val="20"/>
                <w:highlight w:val="none"/>
                <w:lang w:val="en-US" w:eastAsia="zh-CN"/>
              </w:rPr>
              <w:t xml:space="preserve">30</w:t>
            </w:r>
            <w:r>
              <w:rPr>
                <w:rFonts w:hint="eastAsia" w:ascii="宋体" w:hAnsi="宋体" w:eastAsia="宋体" w:cs="宋体"/>
                <w:color w:val="auto"/>
                <w:sz w:val="21"/>
                <w:szCs w:val="20"/>
                <w:highlight w:val="none"/>
                <w:lang w:val="en-US" w:eastAsia="zh-CN" w:bidi="ar-SA"/>
              </w:rPr>
              <w:t xml:space="preserve">（北京时间）</w:t>
            </w:r>
            <w:bookmarkStart w:id="134" w:name="_GoBack"/>
            <w:r/>
            <w:bookmarkEnd w:id="134"/>
            <w:r/>
            <w:r/>
          </w:p>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0"/>
                <w:highlight w:val="none"/>
                <w:lang w:val="en-US" w:eastAsia="zh-CN" w:bidi="ar-SA"/>
              </w:rPr>
              <w:t xml:space="preserve">地点：“苏采云”政府采购交易系统网上开标大厅</w:t>
            </w:r>
            <w:r/>
          </w:p>
        </w:tc>
      </w:tr>
      <w:tr>
        <w:trPr>
          <w:trHeight w:val="390"/>
        </w:trPr>
        <w:tc>
          <w:tcPr>
            <w:tcW w:w="819" w:type="dxa"/>
            <w:vAlign w:val="center"/>
            <w:textDirection w:val="lrTb"/>
            <w:noWrap w:val="false"/>
          </w:tcPr>
          <w:p>
            <w:pPr>
              <w:jc w:val="center"/>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w:t>
            </w:r>
            <w:r/>
          </w:p>
        </w:tc>
        <w:tc>
          <w:tcPr>
            <w:tcW w:w="8928"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b/>
                <w:bCs/>
                <w:color w:val="auto"/>
                <w:szCs w:val="21"/>
                <w:highlight w:val="none"/>
              </w:rPr>
              <w:t xml:space="preserve">投标报价：</w:t>
            </w:r>
            <w:r>
              <w:rPr>
                <w:rFonts w:hint="eastAsia" w:ascii="宋体" w:hAnsi="宋体" w:eastAsia="宋体" w:cs="宋体"/>
                <w:b/>
                <w:bCs/>
                <w:color w:val="auto"/>
                <w:highlight w:val="none"/>
              </w:rPr>
              <w:t xml:space="preserve">所有投标响应均以人民币报价</w:t>
            </w:r>
            <w:r>
              <w:rPr>
                <w:rFonts w:hint="eastAsia" w:ascii="宋体" w:hAnsi="宋体" w:eastAsia="宋体" w:cs="宋体"/>
                <w:color w:val="auto"/>
                <w:highlight w:val="none"/>
              </w:rPr>
              <w:t xml:space="preserve">。</w:t>
            </w:r>
            <w:r/>
          </w:p>
          <w:p>
            <w:pPr>
              <w:jc w:val="left"/>
              <w:spacing w:line="440" w:lineRule="exact"/>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1、投标报价</w:t>
            </w:r>
            <w:r>
              <w:rPr>
                <w:rFonts w:hint="eastAsia" w:ascii="宋体" w:hAnsi="宋体" w:cs="宋体"/>
                <w:color w:val="auto"/>
                <w:sz w:val="21"/>
                <w:szCs w:val="20"/>
                <w:highlight w:val="none"/>
                <w:lang w:val="en-US" w:eastAsia="zh-CN" w:bidi="ar-SA"/>
              </w:rPr>
              <w:t xml:space="preserve">应包括</w:t>
            </w:r>
            <w:r>
              <w:rPr>
                <w:rFonts w:hint="eastAsia" w:ascii="宋体" w:hAnsi="宋体" w:eastAsia="宋体" w:cs="宋体"/>
                <w:color w:val="auto"/>
                <w:sz w:val="21"/>
                <w:szCs w:val="20"/>
                <w:highlight w:val="none"/>
                <w:lang w:val="en-US" w:eastAsia="zh-CN" w:bidi="ar-SA"/>
              </w:rPr>
              <w:t xml:space="preserve">完成招标文件规定的维修保养工作所涉及到的一切相关费用。</w:t>
            </w:r>
            <w:r/>
          </w:p>
          <w:p>
            <w:pPr>
              <w:jc w:val="left"/>
              <w:spacing w:line="440" w:lineRule="exact"/>
              <w:rPr>
                <w:rFonts w:hint="eastAsia" w:ascii="宋体" w:hAnsi="宋体" w:eastAsia="宋体" w:cs="宋体"/>
                <w:color w:val="auto"/>
                <w:highlight w:val="none"/>
              </w:rPr>
            </w:pPr>
            <w:r>
              <w:rPr>
                <w:rFonts w:hint="eastAsia" w:ascii="宋体" w:hAnsi="宋体" w:eastAsia="宋体" w:cs="宋体"/>
                <w:color w:val="auto"/>
                <w:sz w:val="21"/>
                <w:szCs w:val="20"/>
                <w:highlight w:val="none"/>
                <w:lang w:val="en-US" w:eastAsia="zh-CN" w:bidi="ar-SA"/>
              </w:rPr>
              <w:t xml:space="preserve">2、供应商报价时应充分考虑所有可能影响到报价的价格因素，一旦投标结束最终成交，价格不予调整。如发生漏、缺、少项，都将被认为是供应商的报价让利行为，损失自负。</w:t>
            </w:r>
            <w:r/>
          </w:p>
        </w:tc>
      </w:tr>
      <w:tr>
        <w:trPr>
          <w:trHeight w:val="540"/>
        </w:trPr>
        <w:tc>
          <w:tcPr>
            <w:tcW w:w="819" w:type="dxa"/>
            <w:vAlign w:val="center"/>
            <w:textDirection w:val="lrTb"/>
            <w:noWrap w:val="false"/>
          </w:tcPr>
          <w:p>
            <w:pPr>
              <w:jc w:val="center"/>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w:t>
            </w:r>
            <w:r/>
          </w:p>
        </w:tc>
        <w:tc>
          <w:tcPr>
            <w:tcW w:w="8928" w:type="dxa"/>
            <w:vAlign w:val="center"/>
            <w:textDirection w:val="lrTb"/>
            <w:noWrap w:val="false"/>
          </w:tcPr>
          <w:p>
            <w:pPr>
              <w:ind w:firstLine="15"/>
              <w:spacing w:line="440" w:lineRule="exact"/>
              <w:rPr>
                <w:rFonts w:hint="eastAsia" w:ascii="宋体" w:hAnsi="宋体" w:eastAsia="宋体" w:cs="宋体"/>
                <w:bCs/>
                <w:color w:val="auto"/>
                <w:highlight w:val="none"/>
              </w:rPr>
            </w:pPr>
            <w:r>
              <w:rPr>
                <w:rFonts w:hint="eastAsia" w:ascii="宋体" w:hAnsi="宋体" w:eastAsia="宋体" w:cs="宋体"/>
                <w:b/>
                <w:color w:val="auto"/>
                <w:highlight w:val="none"/>
              </w:rPr>
              <w:t xml:space="preserve">现场勘查要求：本项目不组织</w:t>
            </w:r>
            <w:r>
              <w:rPr>
                <w:rFonts w:hint="eastAsia" w:ascii="宋体" w:hAnsi="宋体" w:eastAsia="宋体" w:cs="宋体"/>
                <w:color w:val="auto"/>
                <w:highlight w:val="none"/>
              </w:rPr>
              <w:t xml:space="preserve">。</w:t>
            </w:r>
            <w:r>
              <w:rPr>
                <w:rFonts w:hint="eastAsia" w:ascii="宋体" w:hAnsi="宋体" w:eastAsia="宋体" w:cs="宋体"/>
                <w:b/>
                <w:color w:val="auto"/>
                <w:highlight w:val="none"/>
              </w:rPr>
              <w:t xml:space="preserve">供应商可自行联系采购人。未考察现场或考察工作不详细的供应商中标后，不得以不完全了解现场情况为理由而向采购人提出任何索赔或其他要求，对此采购人不承担任何责任并将不作任何答复。 </w:t>
            </w:r>
            <w:r/>
          </w:p>
        </w:tc>
      </w:tr>
      <w:tr>
        <w:trPr>
          <w:trHeight w:val="863"/>
        </w:trPr>
        <w:tc>
          <w:tcPr>
            <w:tcW w:w="819" w:type="dxa"/>
            <w:vAlign w:val="center"/>
            <w:textDirection w:val="lrTb"/>
            <w:noWrap w:val="false"/>
          </w:tcPr>
          <w:p>
            <w:pPr>
              <w:jc w:val="center"/>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w:t>
            </w:r>
            <w:r/>
          </w:p>
        </w:tc>
        <w:tc>
          <w:tcPr>
            <w:tcW w:w="8928" w:type="dxa"/>
            <w:vAlign w:val="center"/>
            <w:textDirection w:val="lrTb"/>
            <w:noWrap w:val="false"/>
          </w:tcPr>
          <w:p>
            <w:pPr>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投标报价中的投标价不得超过招标公告、招标文件规定的预算价，超过规定的预算价的投标文件，按无效投标处理。 </w:t>
            </w:r>
            <w:r/>
          </w:p>
        </w:tc>
      </w:tr>
    </w:tbl>
    <w:p>
      <w:pPr>
        <w:ind w:firstLine="420"/>
        <w:spacing w:line="360" w:lineRule="auto"/>
        <w:shd w:val="clear" w:color="auto" w:fill="ffffff"/>
        <w:widowControl/>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rPr>
      </w:r>
      <w:r/>
    </w:p>
    <w:p>
      <w:pPr>
        <w:ind w:firstLine="420"/>
        <w:spacing w:line="360" w:lineRule="auto"/>
        <w:shd w:val="clear" w:color="auto" w:fill="ffffff"/>
        <w:widowControl/>
        <w:rPr>
          <w:rFonts w:hint="eastAsia" w:ascii="宋体" w:hAnsi="宋体" w:eastAsia="宋体" w:cs="宋体"/>
          <w:color w:val="auto"/>
          <w:szCs w:val="21"/>
          <w:highlight w:val="none"/>
        </w:rPr>
        <w:outlineLvl w:val="1"/>
      </w:pPr>
      <w:r>
        <w:rPr>
          <w:rFonts w:hint="eastAsia" w:ascii="宋体" w:hAnsi="宋体" w:eastAsia="宋体" w:cs="宋体"/>
          <w:b/>
          <w:bCs/>
          <w:color w:val="auto"/>
          <w:sz w:val="24"/>
          <w:highlight w:val="none"/>
        </w:rPr>
        <w:t xml:space="preserve"> </w:t>
      </w:r>
      <w:bookmarkStart w:id="26" w:name="_Toc8539"/>
      <w:r/>
      <w:bookmarkStart w:id="27" w:name="_Toc19726"/>
      <w:r>
        <w:rPr>
          <w:rFonts w:hint="eastAsia" w:ascii="宋体" w:hAnsi="宋体" w:eastAsia="宋体" w:cs="宋体"/>
          <w:b/>
          <w:bCs/>
          <w:color w:val="auto"/>
          <w:szCs w:val="21"/>
          <w:highlight w:val="none"/>
        </w:rPr>
        <w:t xml:space="preserve">一、总 则</w:t>
      </w:r>
      <w:bookmarkEnd w:id="26"/>
      <w:r/>
      <w:bookmarkEnd w:id="27"/>
      <w:r/>
      <w:r/>
    </w:p>
    <w:p>
      <w:pPr>
        <w:ind w:firstLine="420"/>
        <w:spacing w:line="360" w:lineRule="auto"/>
        <w:rPr>
          <w:rFonts w:hint="eastAsia" w:ascii="宋体" w:hAnsi="宋体" w:eastAsia="宋体" w:cs="宋体"/>
          <w:b/>
          <w:color w:val="auto"/>
          <w:szCs w:val="21"/>
          <w:highlight w:val="none"/>
          <w:lang w:val="zh-CN"/>
        </w:rPr>
        <w:outlineLvl w:val="2"/>
      </w:pPr>
      <w:r/>
      <w:bookmarkStart w:id="28" w:name="_Toc3951"/>
      <w:r/>
      <w:bookmarkStart w:id="29" w:name="_Toc30044"/>
      <w:r/>
      <w:bookmarkStart w:id="30" w:name="_Toc16938520"/>
      <w:r/>
      <w:bookmarkStart w:id="31" w:name="_Toc458694821"/>
      <w:r/>
      <w:bookmarkStart w:id="32" w:name="_Toc24947"/>
      <w:r/>
      <w:bookmarkStart w:id="33" w:name="_Toc513029204"/>
      <w:r/>
      <w:bookmarkStart w:id="34" w:name="_Toc20823276"/>
      <w:r>
        <w:rPr>
          <w:rFonts w:hint="eastAsia" w:ascii="宋体" w:hAnsi="宋体" w:eastAsia="宋体" w:cs="宋体"/>
          <w:b/>
          <w:bCs/>
          <w:color w:val="auto"/>
          <w:szCs w:val="21"/>
          <w:highlight w:val="none"/>
          <w:lang w:val="zh-CN"/>
        </w:rPr>
        <w:t xml:space="preserve">1.</w:t>
      </w:r>
      <w:r>
        <w:rPr>
          <w:rFonts w:hint="eastAsia" w:ascii="宋体" w:hAnsi="宋体" w:eastAsia="宋体" w:cs="宋体"/>
          <w:b/>
          <w:color w:val="auto"/>
          <w:szCs w:val="21"/>
          <w:highlight w:val="none"/>
          <w:lang w:val="zh-CN"/>
        </w:rPr>
        <w:t xml:space="preserve">适用法律</w:t>
      </w:r>
      <w:bookmarkEnd w:id="28"/>
      <w:r/>
      <w:bookmarkEnd w:id="29"/>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 </w:t>
      </w:r>
      <w:r>
        <w:rPr>
          <w:rFonts w:hint="eastAsia" w:ascii="宋体" w:hAnsi="宋体" w:eastAsia="宋体" w:cs="宋体"/>
          <w:color w:val="auto"/>
          <w:szCs w:val="21"/>
          <w:highlight w:val="none"/>
        </w:rPr>
        <w:t xml:space="preserve">《中华人民共和国招标投标法》、</w:t>
      </w:r>
      <w:r>
        <w:rPr>
          <w:rFonts w:hint="eastAsia" w:ascii="宋体" w:hAnsi="宋体" w:eastAsia="宋体" w:cs="宋体"/>
          <w:color w:val="auto"/>
          <w:szCs w:val="21"/>
          <w:highlight w:val="none"/>
          <w:lang w:val="zh-CN"/>
        </w:rPr>
        <w:t xml:space="preserve">《中华人民共和国政府采购法》、《中华人民共和国政府采购法实施条例》、《政府采购货物和服务招标投标管理办法》等有关法律、规章和规定等。</w:t>
      </w:r>
      <w:bookmarkStart w:id="35" w:name="_Toc10994"/>
      <w:r/>
      <w:bookmarkStart w:id="36" w:name="_Toc17176"/>
      <w:r/>
      <w:r/>
    </w:p>
    <w:p>
      <w:pPr>
        <w:ind w:firstLine="420"/>
        <w:spacing w:line="360" w:lineRule="auto"/>
        <w:rPr>
          <w:rFonts w:hint="eastAsia" w:ascii="宋体" w:hAnsi="宋体" w:eastAsia="宋体" w:cs="宋体"/>
          <w:b/>
          <w:color w:val="auto"/>
          <w:szCs w:val="21"/>
          <w:highlight w:val="none"/>
          <w:lang w:val="zh-CN"/>
        </w:rPr>
        <w:outlineLvl w:val="2"/>
      </w:pPr>
      <w:r>
        <w:rPr>
          <w:rFonts w:hint="eastAsia" w:ascii="宋体" w:hAnsi="宋体" w:eastAsia="宋体" w:cs="宋体"/>
          <w:b/>
          <w:bCs/>
          <w:color w:val="auto"/>
          <w:szCs w:val="21"/>
          <w:highlight w:val="none"/>
          <w:lang w:val="zh-CN"/>
        </w:rPr>
        <w:t xml:space="preserve">2.</w:t>
      </w:r>
      <w:r>
        <w:rPr>
          <w:rFonts w:hint="eastAsia" w:ascii="宋体" w:hAnsi="宋体" w:eastAsia="宋体" w:cs="宋体"/>
          <w:b/>
          <w:color w:val="auto"/>
          <w:szCs w:val="21"/>
          <w:highlight w:val="none"/>
          <w:lang w:val="zh-CN"/>
        </w:rPr>
        <w:t xml:space="preserve">定义</w:t>
      </w:r>
      <w:bookmarkEnd w:id="35"/>
      <w:r/>
      <w:bookmarkEnd w:id="36"/>
      <w:r/>
      <w:bookmarkEnd w:id="30"/>
      <w:r/>
      <w:bookmarkEnd w:id="31"/>
      <w:r/>
      <w:bookmarkEnd w:id="32"/>
      <w:r/>
      <w:bookmarkEnd w:id="33"/>
      <w:r/>
      <w:bookmarkEnd w:id="34"/>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2.1本文件</w:t>
      </w:r>
      <w:r>
        <w:rPr>
          <w:rFonts w:hint="eastAsia" w:ascii="宋体" w:hAnsi="宋体" w:eastAsia="宋体" w:cs="宋体"/>
          <w:bCs/>
          <w:color w:val="auto"/>
          <w:szCs w:val="21"/>
          <w:highlight w:val="none"/>
        </w:rPr>
        <w:t xml:space="preserve">中采购代理机构为 </w:t>
      </w:r>
      <w:r>
        <w:rPr>
          <w:rFonts w:hint="eastAsia" w:ascii="宋体" w:hAnsi="宋体" w:eastAsia="宋体" w:cs="宋体"/>
          <w:b/>
          <w:color w:val="auto"/>
          <w:szCs w:val="21"/>
          <w:highlight w:val="none"/>
          <w:u w:val="single"/>
        </w:rPr>
        <w:t xml:space="preserve">苏美达国际技术贸易有限公司</w:t>
      </w:r>
      <w:r>
        <w:rPr>
          <w:rFonts w:hint="eastAsia" w:ascii="宋体" w:hAnsi="宋体" w:eastAsia="宋体" w:cs="宋体"/>
          <w:bCs/>
          <w:color w:val="auto"/>
          <w:szCs w:val="21"/>
          <w:highlight w:val="none"/>
        </w:rPr>
        <w:t xml:space="preserve">；采购人为</w:t>
      </w:r>
      <w:r>
        <w:rPr>
          <w:rFonts w:hint="eastAsia" w:ascii="宋体" w:hAnsi="宋体" w:eastAsia="宋体" w:cs="宋体"/>
          <w:b/>
          <w:color w:val="auto"/>
          <w:szCs w:val="21"/>
          <w:highlight w:val="none"/>
          <w:u w:val="single"/>
          <w:lang w:eastAsia="zh-CN"/>
        </w:rPr>
        <w:t xml:space="preserve">南京市第一医院</w:t>
      </w:r>
      <w:r>
        <w:rPr>
          <w:rFonts w:hint="eastAsia" w:ascii="宋体" w:hAnsi="宋体" w:eastAsia="宋体" w:cs="宋体"/>
          <w:b/>
          <w:color w:val="auto"/>
          <w:szCs w:val="21"/>
          <w:highlight w:val="none"/>
          <w:u w:val="single"/>
        </w:rPr>
        <w:t xml:space="preserve"> </w:t>
      </w:r>
      <w:r>
        <w:rPr>
          <w:rFonts w:hint="eastAsia" w:ascii="宋体" w:hAnsi="宋体" w:eastAsia="宋体" w:cs="宋体"/>
          <w:bCs/>
          <w:color w:val="auto"/>
          <w:szCs w:val="21"/>
          <w:highlight w:val="none"/>
        </w:rPr>
        <w:t xml:space="preserve">；投标人（亦称供应商）系指参加投标竞争并满足招标文件资格要求规定的法人、其他组织或者自然人。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2.2“货物和服务”指本文件中所述产品及相关货物和服务。</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2.3“用户或使用单位”指使用</w:t>
      </w:r>
      <w:r>
        <w:rPr>
          <w:rFonts w:hint="eastAsia" w:ascii="宋体" w:hAnsi="宋体" w:eastAsia="宋体" w:cs="宋体"/>
          <w:color w:val="auto"/>
          <w:szCs w:val="21"/>
          <w:highlight w:val="none"/>
          <w:lang w:val="zh-CN"/>
        </w:rPr>
        <w:t xml:space="preserve">货物、服务的</w:t>
      </w:r>
      <w:r>
        <w:rPr>
          <w:rFonts w:hint="eastAsia" w:ascii="宋体" w:hAnsi="宋体" w:eastAsia="宋体" w:cs="宋体"/>
          <w:bCs/>
          <w:color w:val="auto"/>
          <w:szCs w:val="21"/>
          <w:highlight w:val="none"/>
        </w:rPr>
        <w:t xml:space="preserve">单位。</w:t>
      </w:r>
      <w:r/>
    </w:p>
    <w:p>
      <w:pPr>
        <w:ind w:firstLine="422"/>
        <w:spacing w:line="360" w:lineRule="auto"/>
        <w:rPr>
          <w:rFonts w:hint="eastAsia" w:ascii="宋体" w:hAnsi="宋体" w:eastAsia="宋体" w:cs="宋体"/>
          <w:b/>
          <w:color w:val="auto"/>
          <w:szCs w:val="21"/>
          <w:highlight w:val="none"/>
          <w:lang w:val="zh-CN"/>
        </w:rPr>
        <w:outlineLvl w:val="2"/>
      </w:pPr>
      <w:r/>
      <w:bookmarkStart w:id="37" w:name="_Toc25880"/>
      <w:r/>
      <w:bookmarkStart w:id="38" w:name="_Toc18001"/>
      <w:r>
        <w:rPr>
          <w:rFonts w:hint="eastAsia" w:ascii="宋体" w:hAnsi="宋体" w:eastAsia="宋体" w:cs="宋体"/>
          <w:b/>
          <w:color w:val="auto"/>
          <w:szCs w:val="21"/>
          <w:highlight w:val="none"/>
        </w:rPr>
        <w:t xml:space="preserve">3.</w:t>
      </w:r>
      <w:r>
        <w:rPr>
          <w:rFonts w:hint="eastAsia" w:ascii="宋体" w:hAnsi="宋体" w:eastAsia="宋体" w:cs="宋体"/>
          <w:b/>
          <w:color w:val="auto"/>
          <w:szCs w:val="21"/>
          <w:highlight w:val="none"/>
          <w:lang w:val="zh-CN"/>
        </w:rPr>
        <w:t xml:space="preserve">政策功能</w:t>
      </w:r>
      <w:bookmarkEnd w:id="37"/>
      <w:r/>
      <w:bookmarkEnd w:id="38"/>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3.1线上融资</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3.2中小企业、监狱和戒毒企业及残疾人福利性单位</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3.2.1 政府采购促进中小企业发展，在政府采购活动中，供应商提供的货物、工程或者服务符合下列情形的，享受中小企业扶持政策：</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（1）在货物采购项目中，货物由中小企业制造，即货物由中小企业生产且使用该中小企业商号或者注册商标；</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（2）在工程采购项目中，工程由中小企业承建，即工程施工单位为中小企业；</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在货物采购项目中，供应商提供的货物既有中小企业制造货物，也有大型企业制造货物的，不享受中小企业扶持政策。</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中小企业供应商参加政府采购活动，应当出具《中小企业声明函》（格式见后附件），否则不得享受相关中小企业扶持政策。</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中小企业，是指在中华人民共和国境内依法设立，依据国务院批准的中小企业划分标准（详见《关于印发中小企业划型标准规定的通知》</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3.3节能产品、信息安全产品、环境标志产品</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3.3.3 提供的产品属于信息安全产品的，供应商应当选择经国家认证的信息安全产品投标，并提供由中国网络安全审查技术与认证中心按国家标准认证颁发的有效认证证书扫描件。</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3.3.4 提供的产品属于政府强制采购节能产品的，供应商应当选择依据国家标准中二级能效（水效）指标认证的节能产品投标，并提供有效的节能产品认证证书扫描件。</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3.3.5提供的产品属于环境标志产品的,供应商应当选择依据相关标准的最新版本认证的环境标志产品投标,并提供有效的环境标志产品认证证书扫描件。</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3.4进口产品政策</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3.4.1除招标公告载明接受进口产品参加外，不允许进口产品参加。进口产品认定依照《财政部关于政府采购进口产品管理有关问题的通知》（财办库〔2008〕248号）的规定。</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3.4.2允许进口产品参加的，满足需求的国内产品可以参加。</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3.4.3允许进口产品参加的，优先采购向我国企业转让技术、与我国企业签订消化吸收再创新方案的供应商的进口产品。</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3.5绿色采购</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3.5.1中标/成交供应商对涉及商品的包装应按照《关于印发《商品包装政府采购需求标准（试行）》、《快递包装政府采购需求标准（试行）》（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3.5.2涉及</w:t>
      </w:r>
      <w:r>
        <w:rPr>
          <w:rFonts w:hint="eastAsia" w:ascii="宋体" w:hAnsi="宋体" w:eastAsia="宋体" w:cs="宋体"/>
          <w:color w:val="auto"/>
          <w:szCs w:val="21"/>
          <w:highlight w:val="none"/>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3.5.5落实政府采购《绿色建筑和绿色建材政府采购需求标准》（财库〔2022〕35号文）和《政府采购支持绿色建材促进建筑品质提升政策项目实施指南》（财办库〔2023〕52号）文件标准。</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3.6创新产品采购</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优先采购各级政府部门公开发布的有效期内的创新产品、首台套等《目录》内的创新产品。创新产品自进入《目录》起2年内视同具备相应销售业绩。</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3.7网络产品、市场准入类产品采购</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w:t>
      </w:r>
      <w:r>
        <w:rPr>
          <w:rFonts w:hint="eastAsia" w:ascii="宋体" w:hAnsi="宋体" w:eastAsia="宋体" w:cs="宋体"/>
          <w:color w:val="auto"/>
          <w:szCs w:val="21"/>
          <w:highlight w:val="none"/>
          <w:lang w:val="en-US" w:eastAsia="zh-CN"/>
        </w:rPr>
        <w:t xml:space="preserve">已</w:t>
      </w:r>
      <w:r>
        <w:rPr>
          <w:rFonts w:hint="eastAsia" w:ascii="宋体" w:hAnsi="宋体" w:eastAsia="宋体" w:cs="宋体"/>
          <w:color w:val="auto"/>
          <w:szCs w:val="21"/>
          <w:highlight w:val="none"/>
        </w:rPr>
        <w:t xml:space="preserve">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3.8脱贫攻坚支持政策根据《关于运用政府采购政策支持脱贫攻坚的通知》（财库〔2019〕27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3.9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3.10落实政府采购领域数字人民币政策</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在政府采购履约保证金、代理服务费和货款资金支付中，鼓励以数字人民币作为支付方式。</w:t>
      </w:r>
      <w:r/>
    </w:p>
    <w:p>
      <w:pPr>
        <w:ind w:firstLine="482"/>
        <w:spacing w:line="360" w:lineRule="auto"/>
        <w:rPr>
          <w:rFonts w:hint="eastAsia" w:ascii="宋体" w:hAnsi="宋体" w:eastAsia="宋体" w:cs="宋体"/>
          <w:b/>
          <w:color w:val="auto"/>
          <w:szCs w:val="21"/>
          <w:highlight w:val="none"/>
          <w:lang w:val="zh-CN"/>
        </w:rPr>
      </w:pPr>
      <w:r>
        <w:rPr>
          <w:rFonts w:hint="eastAsia" w:ascii="宋体" w:hAnsi="宋体" w:eastAsia="宋体" w:cs="宋体"/>
          <w:b/>
          <w:bCs/>
          <w:color w:val="auto"/>
          <w:szCs w:val="21"/>
          <w:highlight w:val="none"/>
        </w:rPr>
        <w:t xml:space="preserve">注：未按要求提供相关材料的，不享受相关政策。</w:t>
      </w:r>
      <w:r/>
    </w:p>
    <w:p>
      <w:pPr>
        <w:ind w:firstLine="420"/>
        <w:spacing w:line="360" w:lineRule="auto"/>
        <w:rPr>
          <w:rFonts w:hint="eastAsia" w:ascii="宋体" w:hAnsi="宋体" w:eastAsia="宋体" w:cs="宋体"/>
          <w:b/>
          <w:color w:val="auto"/>
          <w:szCs w:val="21"/>
          <w:highlight w:val="none"/>
          <w:lang w:val="zh-CN"/>
        </w:rPr>
        <w:outlineLvl w:val="2"/>
      </w:pPr>
      <w:r/>
      <w:bookmarkStart w:id="39" w:name="_Toc513029207"/>
      <w:r/>
      <w:bookmarkStart w:id="40" w:name="_Toc17711"/>
      <w:r/>
      <w:bookmarkStart w:id="41" w:name="_Toc4759"/>
      <w:r/>
      <w:bookmarkStart w:id="42" w:name="_Toc462564067"/>
      <w:r/>
      <w:bookmarkStart w:id="43" w:name="_Toc20823279"/>
      <w:r/>
      <w:bookmarkStart w:id="44" w:name="_Toc16938523"/>
      <w:r/>
      <w:bookmarkStart w:id="45" w:name="_Toc25651"/>
      <w:r>
        <w:rPr>
          <w:rFonts w:hint="eastAsia" w:ascii="宋体" w:hAnsi="宋体" w:eastAsia="宋体" w:cs="宋体"/>
          <w:b/>
          <w:bCs/>
          <w:color w:val="auto"/>
          <w:szCs w:val="21"/>
          <w:highlight w:val="none"/>
          <w:lang w:val="zh-CN"/>
        </w:rPr>
        <w:t xml:space="preserve">4.</w:t>
      </w:r>
      <w:r>
        <w:rPr>
          <w:rFonts w:hint="eastAsia" w:ascii="宋体" w:hAnsi="宋体" w:eastAsia="宋体" w:cs="宋体"/>
          <w:b/>
          <w:color w:val="auto"/>
          <w:szCs w:val="21"/>
          <w:highlight w:val="none"/>
          <w:lang w:val="zh-CN"/>
        </w:rPr>
        <w:t xml:space="preserve">投标费用</w:t>
      </w:r>
      <w:bookmarkEnd w:id="39"/>
      <w:r/>
      <w:bookmarkEnd w:id="40"/>
      <w:r/>
      <w:bookmarkEnd w:id="41"/>
      <w:r/>
      <w:bookmarkEnd w:id="42"/>
      <w:r/>
      <w:bookmarkEnd w:id="43"/>
      <w:r/>
      <w:bookmarkEnd w:id="44"/>
      <w:r/>
      <w:bookmarkEnd w:id="45"/>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 供应商应自行承担所有与参加投标有关的费用，无论采购结果如何，代理机构和采购人在任何情况下均无义务和责任承担这些费用。</w:t>
      </w:r>
      <w:r/>
    </w:p>
    <w:p>
      <w:pPr>
        <w:ind w:firstLine="420"/>
        <w:spacing w:line="360" w:lineRule="auto"/>
        <w:rPr>
          <w:rFonts w:hint="eastAsia" w:ascii="宋体" w:hAnsi="宋体" w:eastAsia="宋体" w:cs="宋体"/>
          <w:b/>
          <w:color w:val="auto"/>
          <w:szCs w:val="21"/>
          <w:highlight w:val="none"/>
          <w:lang w:val="zh-CN"/>
        </w:rPr>
        <w:outlineLvl w:val="2"/>
      </w:pPr>
      <w:r/>
      <w:bookmarkStart w:id="46" w:name="_Toc344"/>
      <w:r/>
      <w:bookmarkStart w:id="47" w:name="_Toc25474"/>
      <w:r>
        <w:rPr>
          <w:rFonts w:hint="eastAsia" w:ascii="宋体" w:hAnsi="宋体" w:eastAsia="宋体" w:cs="宋体"/>
          <w:b/>
          <w:bCs/>
          <w:color w:val="auto"/>
          <w:szCs w:val="21"/>
          <w:highlight w:val="none"/>
          <w:lang w:val="zh-CN"/>
        </w:rPr>
        <w:t xml:space="preserve">5.</w:t>
      </w:r>
      <w:r>
        <w:rPr>
          <w:rFonts w:hint="eastAsia" w:ascii="宋体" w:hAnsi="宋体" w:eastAsia="宋体" w:cs="宋体"/>
          <w:b/>
          <w:color w:val="auto"/>
          <w:szCs w:val="21"/>
          <w:highlight w:val="none"/>
          <w:lang w:val="zh-CN"/>
        </w:rPr>
        <w:t xml:space="preserve">招标文件的约束力</w:t>
      </w:r>
      <w:bookmarkEnd w:id="46"/>
      <w:r/>
      <w:bookmarkEnd w:id="47"/>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 供应商一旦参加本项目采购活动，即被认为接受了本招标文件的规定和约束。</w:t>
      </w:r>
      <w:r/>
    </w:p>
    <w:p>
      <w:pPr>
        <w:ind w:firstLine="420"/>
        <w:spacing w:line="360" w:lineRule="auto"/>
        <w:shd w:val="clear" w:color="auto" w:fill="ffffff"/>
        <w:widowControl/>
        <w:rPr>
          <w:rFonts w:hint="eastAsia" w:ascii="宋体" w:hAnsi="宋体" w:eastAsia="宋体" w:cs="宋体"/>
          <w:b/>
          <w:bCs/>
          <w:color w:val="auto"/>
          <w:szCs w:val="21"/>
          <w:highlight w:val="none"/>
          <w:lang w:val="en-US" w:eastAsia="zh-CN"/>
        </w:rPr>
        <w:outlineLvl w:val="1"/>
      </w:pPr>
      <w:r/>
      <w:bookmarkStart w:id="48" w:name="_Toc15035"/>
      <w:r/>
      <w:bookmarkStart w:id="49" w:name="_Toc513029209"/>
      <w:r/>
      <w:bookmarkStart w:id="50" w:name="_Toc120614215"/>
      <w:r/>
      <w:bookmarkStart w:id="51" w:name="_Toc11232"/>
      <w:r/>
      <w:bookmarkStart w:id="52" w:name="_Toc20823281"/>
      <w:r/>
      <w:bookmarkStart w:id="53" w:name="_Toc16938525"/>
      <w:r>
        <w:rPr>
          <w:rFonts w:hint="eastAsia" w:ascii="宋体" w:hAnsi="宋体" w:eastAsia="宋体" w:cs="宋体"/>
          <w:b/>
          <w:bCs/>
          <w:color w:val="auto"/>
          <w:szCs w:val="21"/>
          <w:highlight w:val="none"/>
        </w:rPr>
        <w:t xml:space="preserve">二、招标文件</w:t>
      </w:r>
      <w:bookmarkEnd w:id="48"/>
      <w:r/>
      <w:bookmarkEnd w:id="49"/>
      <w:r/>
      <w:bookmarkEnd w:id="50"/>
      <w:r/>
      <w:bookmarkEnd w:id="51"/>
      <w:r/>
      <w:bookmarkEnd w:id="52"/>
      <w:r/>
      <w:bookmarkEnd w:id="53"/>
      <w:r>
        <w:rPr>
          <w:rFonts w:hint="eastAsia" w:ascii="宋体" w:hAnsi="宋体" w:eastAsia="宋体" w:cs="宋体"/>
          <w:b/>
          <w:bCs/>
          <w:color w:val="auto"/>
          <w:szCs w:val="21"/>
          <w:highlight w:val="none"/>
          <w:lang w:val="en-US" w:eastAsia="zh-CN"/>
        </w:rPr>
        <w:t xml:space="preserve"> </w:t>
      </w:r>
      <w:r/>
    </w:p>
    <w:p>
      <w:pPr>
        <w:ind w:firstLine="420"/>
        <w:spacing w:line="360" w:lineRule="auto"/>
        <w:rPr>
          <w:rFonts w:hint="eastAsia" w:ascii="宋体" w:hAnsi="宋体" w:eastAsia="宋体" w:cs="宋体"/>
          <w:b/>
          <w:color w:val="auto"/>
          <w:szCs w:val="21"/>
          <w:highlight w:val="none"/>
          <w:lang w:val="zh-CN"/>
        </w:rPr>
        <w:outlineLvl w:val="2"/>
      </w:pPr>
      <w:r/>
      <w:bookmarkStart w:id="54" w:name="_Toc513029210"/>
      <w:r/>
      <w:bookmarkStart w:id="55" w:name="_Toc20823282"/>
      <w:r/>
      <w:bookmarkStart w:id="56" w:name="_Toc2899"/>
      <w:r/>
      <w:bookmarkStart w:id="57" w:name="_Toc16938526"/>
      <w:r/>
      <w:bookmarkStart w:id="58" w:name="_Toc31631"/>
      <w:r>
        <w:rPr>
          <w:rFonts w:hint="eastAsia" w:ascii="宋体" w:hAnsi="宋体" w:eastAsia="宋体" w:cs="宋体"/>
          <w:b/>
          <w:bCs/>
          <w:color w:val="auto"/>
          <w:szCs w:val="21"/>
          <w:highlight w:val="none"/>
          <w:lang w:val="zh-CN"/>
        </w:rPr>
        <w:t xml:space="preserve">6.</w:t>
      </w:r>
      <w:r>
        <w:rPr>
          <w:rFonts w:hint="eastAsia" w:ascii="宋体" w:hAnsi="宋体" w:eastAsia="宋体" w:cs="宋体"/>
          <w:b/>
          <w:color w:val="auto"/>
          <w:szCs w:val="21"/>
          <w:highlight w:val="none"/>
          <w:lang w:val="zh-CN"/>
        </w:rPr>
        <w:t xml:space="preserve">招标文件构成</w:t>
      </w:r>
      <w:bookmarkEnd w:id="54"/>
      <w:r/>
      <w:bookmarkEnd w:id="55"/>
      <w:r/>
      <w:bookmarkEnd w:id="56"/>
      <w:r/>
      <w:bookmarkEnd w:id="57"/>
      <w:r/>
      <w:bookmarkEnd w:id="58"/>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 招标文件由以下部分组成：</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第一章  招标邀请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第二章  投标人须知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第三章  评标方法、评分标准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第四章  采购需求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第五章  合同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w:t>
      </w:r>
      <w:r>
        <w:rPr>
          <w:rFonts w:hint="eastAsia" w:ascii="宋体" w:hAnsi="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章</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投标文件格式及附件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6.2</w:t>
      </w:r>
      <w:r>
        <w:rPr>
          <w:rFonts w:hint="eastAsia" w:ascii="宋体" w:hAnsi="宋体" w:eastAsia="宋体" w:cs="宋体"/>
          <w:b/>
          <w:bCs/>
          <w:color w:val="auto"/>
          <w:szCs w:val="21"/>
          <w:highlight w:val="none"/>
        </w:rPr>
        <w:t xml:space="preserve">招标的最小单位是包。</w:t>
      </w:r>
      <w:r>
        <w:rPr>
          <w:rFonts w:hint="eastAsia" w:ascii="宋体" w:hAnsi="宋体" w:eastAsia="宋体" w:cs="宋体"/>
          <w:b/>
          <w:bCs/>
          <w:color w:val="auto"/>
          <w:szCs w:val="21"/>
          <w:highlight w:val="none"/>
          <w:lang w:eastAsia="zh-CN"/>
        </w:rPr>
        <w:t xml:space="preserve">采购需求</w:t>
      </w:r>
      <w:r>
        <w:rPr>
          <w:rFonts w:hint="eastAsia" w:ascii="宋体" w:hAnsi="宋体" w:eastAsia="宋体" w:cs="宋体"/>
          <w:b/>
          <w:bCs/>
          <w:color w:val="auto"/>
          <w:szCs w:val="21"/>
          <w:highlight w:val="none"/>
        </w:rPr>
        <w:t xml:space="preserve">中未分包的，供应商对要求提供的服务不得部分投标；</w:t>
      </w:r>
      <w:r>
        <w:rPr>
          <w:rFonts w:hint="eastAsia" w:ascii="宋体" w:hAnsi="宋体" w:eastAsia="宋体" w:cs="宋体"/>
          <w:b/>
          <w:bCs/>
          <w:color w:val="auto"/>
          <w:szCs w:val="21"/>
          <w:highlight w:val="none"/>
          <w:lang w:eastAsia="zh-CN"/>
        </w:rPr>
        <w:t xml:space="preserve">采购需求</w:t>
      </w:r>
      <w:r>
        <w:rPr>
          <w:rFonts w:hint="eastAsia" w:ascii="宋体" w:hAnsi="宋体" w:eastAsia="宋体" w:cs="宋体"/>
          <w:b/>
          <w:bCs/>
          <w:color w:val="auto"/>
          <w:szCs w:val="21"/>
          <w:highlight w:val="none"/>
        </w:rPr>
        <w:t xml:space="preserve">中已经分包的，以包为单位投标</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6.4供应商被视为充分熟悉本招标项目的各种情况以及与履行合同有关的一切其他情况。</w:t>
      </w:r>
      <w:r/>
    </w:p>
    <w:p>
      <w:pPr>
        <w:pStyle w:val="1128"/>
        <w:ind w:left="0" w:firstLine="422"/>
        <w:jc w:val="both"/>
        <w:spacing w:line="360" w:lineRule="auto"/>
        <w:rPr>
          <w:rFonts w:hint="eastAsia" w:ascii="宋体" w:hAnsi="宋体" w:eastAsia="宋体" w:cs="宋体"/>
          <w:b/>
          <w:bCs/>
          <w:color w:val="auto"/>
          <w:sz w:val="21"/>
          <w:szCs w:val="21"/>
          <w:highlight w:val="none"/>
        </w:rPr>
      </w:pPr>
      <w:r/>
      <w:bookmarkStart w:id="59" w:name="_Toc24838"/>
      <w:r/>
      <w:bookmarkStart w:id="60" w:name="_Toc14415"/>
      <w:r>
        <w:rPr>
          <w:rFonts w:hint="eastAsia" w:ascii="宋体" w:hAnsi="宋体" w:eastAsia="宋体" w:cs="宋体"/>
          <w:b/>
          <w:bCs/>
          <w:color w:val="auto"/>
          <w:sz w:val="21"/>
          <w:szCs w:val="21"/>
          <w:highlight w:val="none"/>
        </w:rPr>
        <w:t xml:space="preserve">7.招标文件的澄清、补充或修改</w:t>
      </w:r>
      <w:bookmarkEnd w:id="59"/>
      <w:r/>
      <w:bookmarkEnd w:id="60"/>
      <w:r/>
      <w:r/>
    </w:p>
    <w:p>
      <w:pPr>
        <w:ind w:firstLine="441"/>
        <w:spacing w:line="360" w:lineRule="auto"/>
        <w:rPr>
          <w:rFonts w:hint="eastAsia" w:ascii="宋体" w:hAnsi="宋体" w:eastAsia="宋体" w:cs="宋体"/>
          <w:color w:val="auto"/>
          <w:szCs w:val="21"/>
          <w:highlight w:val="none"/>
        </w:rPr>
      </w:pPr>
      <w:r/>
      <w:bookmarkStart w:id="61" w:name="_Toc29128"/>
      <w:r>
        <w:rPr>
          <w:rFonts w:hint="eastAsia" w:ascii="宋体" w:hAnsi="宋体" w:eastAsia="宋体" w:cs="宋体"/>
          <w:color w:val="auto"/>
          <w:szCs w:val="21"/>
          <w:highlight w:val="none"/>
        </w:rPr>
        <w:t xml:space="preserve">7.1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 采购代理机构对已发出的招标文件进行必要的澄清或者修改，将在投标截止时间15日前，在原招标公告媒体公布。不足15日的，采购人或者采购代理机构应当顺延提交投标文件的截止时间。</w:t>
      </w:r>
      <w:r/>
    </w:p>
    <w:p>
      <w:pPr>
        <w:ind w:firstLine="441"/>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7.3 采购代理机构在招标文件要求提交投标文件截止时间3日前，有权决定延长投标截止时间和开标时间，并在原招标公告媒体上发布变更公告。</w:t>
      </w:r>
      <w:r/>
    </w:p>
    <w:p>
      <w:pPr>
        <w:ind w:firstLine="441"/>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7.4 为使供应商在准备投标时，有合理的时间考虑招标文件的补充或修改，采购代理机构将视情况可能推迟投标截止时间和开标时间，并将在原招标公告媒体发布更正公告。</w:t>
      </w:r>
      <w:r/>
    </w:p>
    <w:p>
      <w:pPr>
        <w:ind w:firstLine="441"/>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7.5 采购代理机构发出的所有补充、修改和变更文件均作为招标文件的组成部分，与招标文件具有同等法律效力，并对投标人具有约束力。 </w:t>
      </w:r>
      <w:r/>
    </w:p>
    <w:p>
      <w:pPr>
        <w:ind w:firstLine="420"/>
        <w:spacing w:line="360" w:lineRule="auto"/>
        <w:shd w:val="clear" w:color="auto" w:fill="ffffff"/>
        <w:widowControl/>
        <w:rPr>
          <w:rFonts w:hint="eastAsia" w:ascii="宋体" w:hAnsi="宋体" w:eastAsia="宋体" w:cs="宋体"/>
          <w:b/>
          <w:bCs/>
          <w:color w:val="auto"/>
          <w:szCs w:val="21"/>
          <w:highlight w:val="none"/>
        </w:rPr>
        <w:outlineLvl w:val="1"/>
      </w:pPr>
      <w:r/>
      <w:bookmarkStart w:id="62" w:name="_Toc27318"/>
      <w:r>
        <w:rPr>
          <w:rFonts w:hint="eastAsia" w:ascii="宋体" w:hAnsi="宋体" w:eastAsia="宋体" w:cs="宋体"/>
          <w:b/>
          <w:bCs/>
          <w:color w:val="auto"/>
          <w:szCs w:val="21"/>
          <w:highlight w:val="none"/>
        </w:rPr>
        <w:t xml:space="preserve">三、投标文件的编制</w:t>
      </w:r>
      <w:bookmarkEnd w:id="61"/>
      <w:r/>
      <w:bookmarkEnd w:id="62"/>
      <w:r/>
      <w:r/>
    </w:p>
    <w:p>
      <w:pPr>
        <w:pStyle w:val="1128"/>
        <w:ind w:left="0" w:firstLine="422"/>
        <w:jc w:val="both"/>
        <w:spacing w:line="360" w:lineRule="auto"/>
        <w:rPr>
          <w:rFonts w:hint="eastAsia" w:ascii="宋体" w:hAnsi="宋体" w:eastAsia="宋体" w:cs="宋体"/>
          <w:b/>
          <w:bCs/>
          <w:color w:val="auto"/>
          <w:sz w:val="21"/>
          <w:szCs w:val="21"/>
          <w:highlight w:val="none"/>
        </w:rPr>
      </w:pPr>
      <w:r/>
      <w:bookmarkStart w:id="63" w:name="_Toc28127"/>
      <w:r/>
      <w:bookmarkStart w:id="64" w:name="_Toc14460"/>
      <w:r>
        <w:rPr>
          <w:rFonts w:hint="eastAsia" w:ascii="宋体" w:hAnsi="宋体" w:eastAsia="宋体" w:cs="宋体"/>
          <w:b/>
          <w:bCs/>
          <w:color w:val="auto"/>
          <w:sz w:val="21"/>
          <w:szCs w:val="21"/>
          <w:highlight w:val="none"/>
        </w:rPr>
        <w:t xml:space="preserve">8.</w:t>
      </w:r>
      <w:bookmarkEnd w:id="63"/>
      <w:r>
        <w:rPr>
          <w:rFonts w:hint="eastAsia" w:ascii="宋体" w:hAnsi="宋体" w:eastAsia="宋体" w:cs="宋体"/>
          <w:b/>
          <w:bCs/>
          <w:color w:val="auto"/>
          <w:sz w:val="21"/>
          <w:szCs w:val="21"/>
          <w:highlight w:val="none"/>
        </w:rPr>
        <w:t xml:space="preserve">投标文件的语言、计量单位、货币</w:t>
      </w:r>
      <w:bookmarkEnd w:id="64"/>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 供应商提交的投标文件（包括技术文件和资料、图纸中的说明）以及供应商与采购代理机构之间就有关投标的所有来往函电均应以简体中文书写。</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8.2供应商已印刷好的资料如产品样本、说明书等可以用其他语言，但其中要点应附有中文译文。对不同文本投标文件的解释发生异议的，以中文翻译文本为准。</w:t>
      </w:r>
      <w:r/>
    </w:p>
    <w:p>
      <w:pPr>
        <w:ind w:firstLine="420"/>
        <w:spacing w:line="360" w:lineRule="auto"/>
        <w:shd w:val="clear" w:color="auto" w:fill="ffffff"/>
        <w:widowControl/>
        <w:rPr>
          <w:rFonts w:hint="eastAsia" w:ascii="宋体" w:hAnsi="宋体" w:eastAsia="宋体" w:cs="宋体"/>
          <w:color w:val="auto"/>
          <w:szCs w:val="21"/>
          <w:highlight w:val="none"/>
        </w:rPr>
      </w:pPr>
      <w:r/>
      <w:bookmarkStart w:id="65" w:name="_Toc19298"/>
      <w:r>
        <w:rPr>
          <w:rFonts w:hint="eastAsia" w:ascii="宋体" w:hAnsi="宋体" w:eastAsia="宋体" w:cs="宋体"/>
          <w:color w:val="auto"/>
          <w:szCs w:val="21"/>
          <w:highlight w:val="none"/>
        </w:rPr>
        <w:t xml:space="preserve">8.3 除招标文件中有特殊要求外，招标文件中所使用的计量单位应为国家法定计量单位。</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8.4 本招标文件所表述的时间均为北京时间。</w:t>
      </w:r>
      <w:r/>
    </w:p>
    <w:p>
      <w:pPr>
        <w:pStyle w:val="1128"/>
        <w:ind w:left="0" w:firstLine="422"/>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 所有投标响应报价具体详见投标人须知前附表。</w:t>
      </w:r>
      <w:r/>
    </w:p>
    <w:p>
      <w:pPr>
        <w:pStyle w:val="1128"/>
        <w:ind w:left="0" w:firstLine="422"/>
        <w:jc w:val="both"/>
        <w:spacing w:line="360" w:lineRule="auto"/>
        <w:rPr>
          <w:rFonts w:hint="eastAsia" w:ascii="宋体" w:hAnsi="宋体" w:eastAsia="宋体" w:cs="宋体"/>
          <w:color w:val="auto"/>
          <w:sz w:val="21"/>
          <w:szCs w:val="21"/>
          <w:highlight w:val="none"/>
          <w:lang w:val="zh-CN"/>
        </w:rPr>
      </w:pPr>
      <w:r/>
      <w:bookmarkStart w:id="66" w:name="_Toc11547"/>
      <w:r/>
      <w:bookmarkStart w:id="67" w:name="_Toc30894"/>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val="zh-CN"/>
        </w:rPr>
        <w:t xml:space="preserve">联合体（根据采购项目是否接受联合体投标而定）</w:t>
      </w:r>
      <w:bookmarkEnd w:id="66"/>
      <w:r/>
      <w:bookmarkEnd w:id="67"/>
      <w:r/>
      <w:r/>
    </w:p>
    <w:p>
      <w:pPr>
        <w:pStyle w:val="1128"/>
        <w:ind w:left="0" w:firstLine="422"/>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9.1两个以上的自然人、法人或者其他组织可以组成一个联合体，以一个供应商的身份共同参加政府采购。</w:t>
      </w:r>
      <w:r/>
    </w:p>
    <w:p>
      <w:pPr>
        <w:pStyle w:val="1128"/>
        <w:ind w:left="0" w:firstLine="422"/>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9.2鼓励大中型企业和其他自然人、法人或者其他组织与小型、微型企业组成联合体共同参加非专门面向中小企业的政府采购活动。</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rPr>
          <w:rFonts w:hint="eastAsia" w:ascii="宋体" w:hAnsi="宋体" w:eastAsia="宋体" w:cs="宋体"/>
          <w:color w:val="auto"/>
          <w:szCs w:val="21"/>
          <w:highlight w:val="none"/>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9.4 联合体各方之间应当签订联合体协议，明确约定联合体各方承担的工作和相应的责任，并将联合体协议连同响应文件一并提交。</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9.5 以联合体形式参加政府采购活动的，联合体各方不得再单独参加或者与其他供应商另外组成联合体参加同一合同项下的政府采购活动。</w:t>
      </w:r>
      <w:bookmarkEnd w:id="65"/>
      <w:r/>
      <w:r/>
    </w:p>
    <w:p>
      <w:pPr>
        <w:ind w:firstLine="420"/>
        <w:spacing w:line="360" w:lineRule="auto"/>
        <w:shd w:val="clear" w:color="auto" w:fill="ffffff"/>
        <w:widowControl/>
        <w:rPr>
          <w:rFonts w:hint="eastAsia" w:ascii="宋体" w:hAnsi="宋体" w:eastAsia="宋体" w:cs="宋体"/>
          <w:b/>
          <w:bCs/>
          <w:color w:val="auto"/>
          <w:szCs w:val="21"/>
          <w:highlight w:val="none"/>
        </w:rPr>
      </w:pPr>
      <w:r/>
      <w:bookmarkStart w:id="68" w:name="_Toc22790"/>
      <w:r/>
      <w:bookmarkStart w:id="69" w:name="_Toc6681"/>
      <w:r>
        <w:rPr>
          <w:rFonts w:hint="eastAsia" w:ascii="宋体" w:hAnsi="宋体" w:eastAsia="宋体" w:cs="宋体"/>
          <w:b/>
          <w:bCs/>
          <w:color w:val="auto"/>
          <w:szCs w:val="21"/>
          <w:highlight w:val="none"/>
        </w:rPr>
        <w:t xml:space="preserve">10.投标文件的</w:t>
      </w:r>
      <w:bookmarkEnd w:id="68"/>
      <w:r>
        <w:rPr>
          <w:rFonts w:hint="eastAsia" w:ascii="宋体" w:hAnsi="宋体" w:eastAsia="宋体" w:cs="宋体"/>
          <w:b/>
          <w:bCs/>
          <w:color w:val="auto"/>
          <w:szCs w:val="21"/>
          <w:highlight w:val="none"/>
        </w:rPr>
        <w:t xml:space="preserve">组成</w:t>
      </w:r>
      <w:bookmarkEnd w:id="69"/>
      <w:r>
        <w:rPr>
          <w:rFonts w:hint="eastAsia" w:ascii="宋体" w:hAnsi="宋体" w:eastAsia="宋体" w:cs="宋体"/>
          <w:b/>
          <w:bCs/>
          <w:color w:val="auto"/>
          <w:szCs w:val="21"/>
          <w:highlight w:val="none"/>
        </w:rPr>
        <w:t xml:space="preserve">（相应内容上传至投标客户端，并签电子公章）：</w:t>
      </w:r>
      <w:r/>
    </w:p>
    <w:p>
      <w:pPr>
        <w:ind w:firstLine="420"/>
        <w:spacing w:line="360" w:lineRule="auto"/>
        <w:shd w:val="clear" w:color="auto" w:fill="ffffff"/>
        <w:widowControl/>
        <w:rPr>
          <w:rFonts w:hint="eastAsia" w:ascii="宋体" w:hAnsi="宋体" w:eastAsia="宋体" w:cs="宋体"/>
          <w:color w:val="auto"/>
          <w:szCs w:val="21"/>
          <w:highlight w:val="none"/>
        </w:rPr>
      </w:pPr>
      <w:r/>
      <w:bookmarkStart w:id="70" w:name="_Hlk529436144"/>
      <w:r/>
      <w:bookmarkStart w:id="71" w:name="_Hlk6917373"/>
      <w:r/>
      <w:bookmarkStart w:id="72" w:name="_Hlk525992732"/>
      <w:r>
        <w:rPr>
          <w:rFonts w:hint="eastAsia" w:ascii="宋体" w:hAnsi="宋体" w:eastAsia="宋体" w:cs="宋体"/>
          <w:color w:val="auto"/>
          <w:szCs w:val="21"/>
          <w:highlight w:val="none"/>
        </w:rPr>
        <w:t xml:space="preserve">10.1.投标函（格式见附件）；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10.2.资格证明文件：</w:t>
      </w:r>
      <w:r/>
    </w:p>
    <w:p>
      <w:pPr>
        <w:ind w:firstLine="42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投标人</w:t>
      </w:r>
      <w:r>
        <w:rPr>
          <w:rFonts w:hint="eastAsia" w:ascii="宋体" w:hAnsi="宋体" w:eastAsia="宋体" w:cs="宋体"/>
          <w:color w:val="auto"/>
          <w:highlight w:val="none"/>
        </w:rPr>
        <w:t xml:space="preserve">《南京市政府采购供应商信用记录表暨信用承诺书》</w:t>
      </w:r>
      <w:r>
        <w:rPr>
          <w:rFonts w:hint="eastAsia" w:ascii="宋体" w:hAnsi="宋体" w:eastAsia="宋体" w:cs="宋体"/>
          <w:color w:val="auto"/>
          <w:szCs w:val="21"/>
          <w:highlight w:val="none"/>
        </w:rPr>
        <w:t xml:space="preserve">扫描件</w:t>
      </w:r>
      <w:r>
        <w:rPr>
          <w:rFonts w:hint="eastAsia" w:ascii="宋体" w:hAnsi="宋体" w:eastAsia="宋体" w:cs="宋体"/>
          <w:color w:val="auto"/>
          <w:highlight w:val="none"/>
          <w:lang w:eastAsia="zh-CN"/>
        </w:rPr>
        <w:t xml:space="preserve">；</w:t>
      </w:r>
      <w:r/>
    </w:p>
    <w:p>
      <w:pPr>
        <w:ind w:firstLine="420"/>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投标人</w:t>
      </w:r>
      <w:r>
        <w:rPr>
          <w:rFonts w:hint="eastAsia" w:ascii="宋体" w:hAnsi="宋体" w:eastAsia="宋体" w:cs="宋体"/>
          <w:color w:val="auto"/>
          <w:highlight w:val="none"/>
          <w:lang w:val="en-US" w:eastAsia="zh-CN"/>
        </w:rPr>
        <w:t xml:space="preserve">有效经营期内的营业执照</w:t>
      </w:r>
      <w:r>
        <w:rPr>
          <w:rFonts w:hint="eastAsia" w:ascii="宋体" w:hAnsi="宋体" w:eastAsia="宋体" w:cs="宋体"/>
          <w:color w:val="auto"/>
          <w:szCs w:val="21"/>
          <w:highlight w:val="none"/>
        </w:rPr>
        <w:t xml:space="preserve">扫描件；</w:t>
      </w:r>
      <w:r>
        <w:rPr>
          <w:rFonts w:hint="eastAsia" w:ascii="宋体" w:hAnsi="宋体" w:cs="宋体"/>
          <w:color w:val="auto"/>
          <w:szCs w:val="21"/>
          <w:highlight w:val="none"/>
          <w:lang w:val="en-US" w:eastAsia="zh-CN"/>
        </w:rPr>
        <w:t xml:space="preserve"> </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（3）投标人法定代表人授权委托书扫描件（法定代表人亲自参与投标的除外，格式见附件）；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（4）投标人法定代表人身份证（正、反面）扫描件；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（5）投标人法定代表人授权代表身份证（正、反面）扫描件（法定代表人亲自参加投标的除外）；</w:t>
      </w:r>
      <w:bookmarkStart w:id="73" w:name="_Hlk39128912"/>
      <w:r/>
      <w:bookmarkEnd w:id="73"/>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10.3.开标一览表（格式见附件）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10.4.细目报价表（格式见附件）</w:t>
      </w:r>
      <w:bookmarkEnd w:id="70"/>
      <w:r/>
      <w:bookmarkEnd w:id="71"/>
      <w:r/>
      <w:bookmarkEnd w:id="72"/>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采购需求偏离响应表</w:t>
      </w:r>
      <w:r>
        <w:rPr>
          <w:rFonts w:hint="eastAsia" w:ascii="宋体" w:hAnsi="宋体" w:eastAsia="宋体" w:cs="宋体"/>
          <w:color w:val="auto"/>
          <w:szCs w:val="21"/>
          <w:highlight w:val="none"/>
        </w:rPr>
        <w:t xml:space="preserve">（格式见附件）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项目</w:t>
      </w:r>
      <w:r>
        <w:rPr>
          <w:rFonts w:hint="eastAsia" w:ascii="宋体" w:hAnsi="宋体" w:eastAsia="宋体" w:cs="宋体"/>
          <w:color w:val="auto"/>
          <w:szCs w:val="21"/>
          <w:highlight w:val="none"/>
        </w:rPr>
        <w:t xml:space="preserve">方案等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.评分标准中对应的所需证明材料（如有自行添加）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.要求采购人提供的配合（如有自拟并自行添加）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.其它（投标人认为有必要提供的声明和文件，如有自拟并自行添加）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（1）投标供应商简介和经营情况说明；（格式见附件）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（2）如是小微企业的，提供《中小企业声明函》；（格式见附件）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（3）残疾人福利性单位声明函；（供应商为残疾人福利性单位的提供，格式见附件）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（4）由省级以上监狱管理局、戒毒管理局出具的属于监狱企业的证明文件；（如适用）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上述10.1-10.</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项必须全部提供,否则投标文件无效。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其他部分由供应商根据编制投标文件需要提供的其他相关文件。</w:t>
      </w:r>
      <w:r/>
    </w:p>
    <w:p>
      <w:pPr>
        <w:pStyle w:val="1128"/>
        <w:ind w:left="0" w:firstLine="422"/>
        <w:jc w:val="both"/>
        <w:spacing w:line="360" w:lineRule="auto"/>
        <w:rPr>
          <w:rFonts w:hint="eastAsia" w:ascii="宋体" w:hAnsi="宋体" w:eastAsia="宋体" w:cs="宋体"/>
          <w:b/>
          <w:bCs/>
          <w:color w:val="auto"/>
          <w:sz w:val="21"/>
          <w:szCs w:val="21"/>
          <w:highlight w:val="none"/>
        </w:rPr>
      </w:pPr>
      <w:r/>
      <w:bookmarkStart w:id="74" w:name="_Toc31206"/>
      <w:r/>
      <w:bookmarkStart w:id="75" w:name="_Toc15215"/>
      <w:r>
        <w:rPr>
          <w:rFonts w:hint="eastAsia" w:ascii="宋体" w:hAnsi="宋体" w:eastAsia="宋体" w:cs="宋体"/>
          <w:b/>
          <w:bCs/>
          <w:color w:val="auto"/>
          <w:sz w:val="21"/>
          <w:szCs w:val="21"/>
          <w:highlight w:val="none"/>
        </w:rPr>
        <w:t xml:space="preserve">11.投标文件的有效期</w:t>
      </w:r>
      <w:bookmarkEnd w:id="74"/>
      <w:r/>
      <w:bookmarkEnd w:id="75"/>
      <w:r/>
      <w:r/>
    </w:p>
    <w:p>
      <w:pPr>
        <w:ind w:firstLine="420"/>
        <w:jc w:val="left"/>
        <w:spacing w:line="360" w:lineRule="auto"/>
        <w:rPr>
          <w:rFonts w:hint="eastAsia" w:ascii="宋体" w:hAnsi="宋体" w:eastAsia="宋体" w:cs="宋体"/>
          <w:bCs/>
          <w:color w:val="auto"/>
          <w:szCs w:val="21"/>
          <w:highlight w:val="none"/>
        </w:rPr>
      </w:pPr>
      <w:r/>
      <w:bookmarkStart w:id="76" w:name="_Toc6811"/>
      <w:r>
        <w:rPr>
          <w:rFonts w:hint="eastAsia" w:ascii="宋体" w:hAnsi="宋体" w:eastAsia="宋体" w:cs="宋体"/>
          <w:bCs/>
          <w:color w:val="auto"/>
          <w:szCs w:val="21"/>
          <w:highlight w:val="none"/>
        </w:rPr>
        <w:t xml:space="preserve">11.1自开标之日起90天内，投标文件应保持有效，有效期短于此规定的投标文件将视为无效。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pStyle w:val="1128"/>
        <w:ind w:left="0" w:firstLine="422"/>
        <w:jc w:val="both"/>
        <w:spacing w:line="360" w:lineRule="auto"/>
        <w:rPr>
          <w:rFonts w:hint="eastAsia" w:ascii="宋体" w:hAnsi="宋体" w:eastAsia="宋体" w:cs="宋体"/>
          <w:b/>
          <w:bCs/>
          <w:color w:val="auto"/>
          <w:sz w:val="21"/>
          <w:szCs w:val="21"/>
          <w:highlight w:val="none"/>
        </w:rPr>
      </w:pPr>
      <w:r/>
      <w:bookmarkStart w:id="77" w:name="_Toc21944"/>
      <w:r>
        <w:rPr>
          <w:rFonts w:hint="eastAsia" w:ascii="宋体" w:hAnsi="宋体" w:eastAsia="宋体" w:cs="宋体"/>
          <w:b/>
          <w:bCs/>
          <w:color w:val="auto"/>
          <w:sz w:val="21"/>
          <w:szCs w:val="21"/>
          <w:highlight w:val="none"/>
        </w:rPr>
        <w:t xml:space="preserve">12.</w:t>
      </w:r>
      <w:bookmarkEnd w:id="76"/>
      <w:r/>
      <w:bookmarkEnd w:id="77"/>
      <w:r>
        <w:rPr>
          <w:rFonts w:hint="eastAsia" w:ascii="宋体" w:hAnsi="宋体" w:eastAsia="宋体" w:cs="宋体"/>
          <w:b/>
          <w:bCs/>
          <w:color w:val="auto"/>
          <w:sz w:val="21"/>
          <w:szCs w:val="21"/>
          <w:highlight w:val="none"/>
        </w:rPr>
        <w:t xml:space="preserve">投标文件的编制要求和签署要求</w:t>
      </w:r>
      <w:r/>
    </w:p>
    <w:p>
      <w:pPr>
        <w:ind w:firstLine="420"/>
        <w:spacing w:line="360" w:lineRule="auto"/>
        <w:rPr>
          <w:rFonts w:hint="eastAsia" w:ascii="宋体" w:hAnsi="宋体" w:eastAsia="宋体" w:cs="宋体"/>
          <w:bCs/>
          <w:color w:val="auto"/>
          <w:szCs w:val="21"/>
          <w:highlight w:val="none"/>
        </w:rPr>
      </w:pPr>
      <w:r/>
      <w:bookmarkStart w:id="78" w:name="_Toc27455"/>
      <w:r>
        <w:rPr>
          <w:rFonts w:hint="eastAsia" w:ascii="宋体" w:hAnsi="宋体" w:eastAsia="宋体" w:cs="宋体"/>
          <w:bCs/>
          <w:color w:val="auto"/>
          <w:szCs w:val="21"/>
          <w:highlight w:val="none"/>
        </w:rPr>
        <w:t xml:space="preserve">12.1投标人应由其法定代表人或法定代表人授权代表在规定的网上投标时间，凭 CA 证书</w:t>
      </w:r>
      <w:r>
        <w:rPr>
          <w:rFonts w:hint="eastAsia" w:ascii="宋体" w:hAnsi="宋体" w:eastAsia="宋体" w:cs="宋体"/>
          <w:bCs/>
          <w:color w:val="auto"/>
          <w:szCs w:val="21"/>
          <w:highlight w:val="none"/>
          <w:lang w:val="en-US" w:eastAsia="zh-CN"/>
        </w:rPr>
        <w:t xml:space="preserve">登录</w:t>
      </w:r>
      <w:r>
        <w:rPr>
          <w:rFonts w:hint="eastAsia" w:ascii="宋体" w:hAnsi="宋体" w:eastAsia="宋体" w:cs="宋体"/>
          <w:bCs/>
          <w:color w:val="auto"/>
          <w:szCs w:val="21"/>
          <w:highlight w:val="none"/>
        </w:rPr>
        <w:t xml:space="preserve">“苏采云”系统在线编制投标文件（电子数据），并在投标截止时间之前上传投标文件。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12.2投标人应对 CA 证书妥善保管，如被他人盗用投标，因此带来的</w:t>
      </w:r>
      <w:r>
        <w:rPr>
          <w:rFonts w:hint="eastAsia" w:ascii="宋体" w:hAnsi="宋体" w:eastAsia="宋体" w:cs="宋体"/>
          <w:bCs/>
          <w:color w:val="auto"/>
          <w:szCs w:val="21"/>
          <w:highlight w:val="none"/>
          <w:lang w:val="en-US" w:eastAsia="zh-CN"/>
        </w:rPr>
        <w:t xml:space="preserve">后果</w:t>
      </w:r>
      <w:r>
        <w:rPr>
          <w:rFonts w:hint="eastAsia" w:ascii="宋体" w:hAnsi="宋体" w:eastAsia="宋体" w:cs="宋体"/>
          <w:bCs/>
          <w:color w:val="auto"/>
          <w:szCs w:val="21"/>
          <w:highlight w:val="none"/>
        </w:rPr>
        <w:t xml:space="preserve">均由投标人自行承担。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12.3投标人应当对招标文件提出的要求和条件作出实质性响应，并在电子投标系统逐条应答。</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12.4投标人应对要求提供的资格证明文件（如资质证书、资格证书）、技术资料（如白皮书、彩页、手册、检测报告等）扫描上传至投标系统。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hint="eastAsia" w:ascii="宋体" w:hAnsi="宋体" w:eastAsia="宋体" w:cs="宋体"/>
          <w:b/>
          <w:bCs/>
          <w:color w:val="auto"/>
          <w:szCs w:val="21"/>
          <w:highlight w:val="none"/>
        </w:rPr>
        <w:outlineLvl w:val="1"/>
      </w:pPr>
      <w:r/>
      <w:bookmarkStart w:id="79" w:name="_Toc9506"/>
      <w:r>
        <w:rPr>
          <w:rFonts w:hint="eastAsia" w:ascii="宋体" w:hAnsi="宋体" w:eastAsia="宋体" w:cs="宋体"/>
          <w:b/>
          <w:bCs/>
          <w:color w:val="auto"/>
          <w:szCs w:val="21"/>
          <w:highlight w:val="none"/>
        </w:rPr>
        <w:t xml:space="preserve">四、投标文件的递交</w:t>
      </w:r>
      <w:bookmarkEnd w:id="78"/>
      <w:r/>
      <w:bookmarkEnd w:id="79"/>
      <w:r>
        <w:rPr>
          <w:rFonts w:hint="eastAsia" w:ascii="宋体" w:hAnsi="宋体" w:eastAsia="宋体" w:cs="宋体"/>
          <w:b/>
          <w:bCs/>
          <w:color w:val="auto"/>
          <w:szCs w:val="21"/>
          <w:highlight w:val="none"/>
        </w:rPr>
        <w:t xml:space="preserve"> </w:t>
      </w:r>
      <w:r/>
    </w:p>
    <w:p>
      <w:pPr>
        <w:ind w:firstLine="420"/>
        <w:spacing w:line="360" w:lineRule="auto"/>
        <w:shd w:val="clear" w:color="auto" w:fill="ffffff"/>
        <w:widowControl/>
        <w:rPr>
          <w:rFonts w:hint="eastAsia" w:ascii="宋体" w:hAnsi="宋体" w:eastAsia="宋体" w:cs="宋体"/>
          <w:b/>
          <w:bCs/>
          <w:color w:val="auto"/>
          <w:szCs w:val="21"/>
          <w:highlight w:val="none"/>
        </w:rPr>
        <w:outlineLvl w:val="1"/>
      </w:pPr>
      <w:r/>
      <w:bookmarkStart w:id="80" w:name="_Toc16938541"/>
      <w:r/>
      <w:bookmarkStart w:id="81" w:name="_Toc462564084"/>
      <w:r/>
      <w:bookmarkStart w:id="82" w:name="_Toc513029225"/>
      <w:r/>
      <w:bookmarkStart w:id="83" w:name="_Toc20823297"/>
      <w:r>
        <w:rPr>
          <w:rFonts w:hint="eastAsia" w:ascii="宋体" w:hAnsi="宋体" w:eastAsia="宋体" w:cs="宋体"/>
          <w:b/>
          <w:bCs/>
          <w:color w:val="auto"/>
          <w:szCs w:val="21"/>
          <w:highlight w:val="none"/>
        </w:rPr>
        <w:t xml:space="preserve">13.电子投标文件</w:t>
      </w:r>
      <w:bookmarkEnd w:id="80"/>
      <w:r/>
      <w:bookmarkEnd w:id="81"/>
      <w:r/>
      <w:bookmarkEnd w:id="82"/>
      <w:r/>
      <w:bookmarkEnd w:id="83"/>
      <w:r>
        <w:rPr>
          <w:rFonts w:hint="eastAsia" w:ascii="宋体" w:hAnsi="宋体" w:eastAsia="宋体" w:cs="宋体"/>
          <w:b/>
          <w:bCs/>
          <w:color w:val="auto"/>
          <w:szCs w:val="21"/>
          <w:highlight w:val="none"/>
        </w:rPr>
        <w:t xml:space="preserve">的递交</w:t>
      </w:r>
      <w:r/>
    </w:p>
    <w:p>
      <w:pPr>
        <w:ind w:firstLine="420"/>
        <w:spacing w:line="360" w:lineRule="auto"/>
        <w:shd w:val="clear" w:color="auto" w:fill="ffffff"/>
        <w:widowControl/>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13.1投标人应当按照规定，在投标截止时间前制作并上传电子投标文件。</w:t>
      </w:r>
      <w:bookmarkStart w:id="84" w:name="_Toc16938542"/>
      <w:r/>
      <w:bookmarkEnd w:id="84"/>
      <w:r/>
      <w:bookmarkStart w:id="85" w:name="_Toc20823298"/>
      <w:r/>
      <w:bookmarkEnd w:id="85"/>
      <w:r/>
      <w:r/>
    </w:p>
    <w:p>
      <w:pPr>
        <w:ind w:firstLine="420"/>
        <w:spacing w:line="360" w:lineRule="auto"/>
        <w:shd w:val="clear" w:color="auto" w:fill="ffffff"/>
        <w:widowControl/>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14.投标截止日期</w:t>
      </w:r>
      <w:r/>
    </w:p>
    <w:p>
      <w:pPr>
        <w:ind w:firstLine="420"/>
        <w:spacing w:line="360" w:lineRule="auto"/>
        <w:shd w:val="clear" w:color="auto" w:fill="ffffff"/>
        <w:widowControl/>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14.1 投标人上传电子投标文件的时间不得迟于招标公告中规定的投标截止时间。</w:t>
      </w:r>
      <w:r/>
    </w:p>
    <w:p>
      <w:pPr>
        <w:ind w:firstLine="420"/>
        <w:spacing w:line="360" w:lineRule="auto"/>
        <w:shd w:val="clear" w:color="auto" w:fill="ffffff"/>
        <w:widowControl/>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hint="eastAsia" w:ascii="宋体" w:hAnsi="宋体" w:eastAsia="宋体" w:cs="宋体"/>
          <w:b/>
          <w:bCs/>
          <w:color w:val="auto"/>
          <w:szCs w:val="21"/>
          <w:highlight w:val="none"/>
        </w:rPr>
        <w:outlineLvl w:val="1"/>
      </w:pPr>
      <w:r/>
      <w:bookmarkStart w:id="86" w:name="_Toc513029227"/>
      <w:r/>
      <w:bookmarkStart w:id="87" w:name="_Toc16938543"/>
      <w:r/>
      <w:bookmarkStart w:id="88" w:name="_Toc20823299"/>
      <w:r>
        <w:rPr>
          <w:rFonts w:hint="eastAsia" w:ascii="宋体" w:hAnsi="宋体" w:eastAsia="宋体" w:cs="宋体"/>
          <w:b/>
          <w:bCs/>
          <w:color w:val="auto"/>
          <w:szCs w:val="21"/>
          <w:highlight w:val="none"/>
        </w:rPr>
        <w:t xml:space="preserve">15.投标文件</w:t>
      </w:r>
      <w:bookmarkEnd w:id="86"/>
      <w:r/>
      <w:bookmarkEnd w:id="87"/>
      <w:r/>
      <w:bookmarkEnd w:id="88"/>
      <w:r>
        <w:rPr>
          <w:rFonts w:hint="eastAsia" w:ascii="宋体" w:hAnsi="宋体" w:eastAsia="宋体" w:cs="宋体"/>
          <w:b/>
          <w:bCs/>
          <w:color w:val="auto"/>
          <w:szCs w:val="21"/>
          <w:highlight w:val="none"/>
        </w:rPr>
        <w:t xml:space="preserve">的拒收</w:t>
      </w:r>
      <w:r/>
    </w:p>
    <w:p>
      <w:pPr>
        <w:ind w:firstLine="420"/>
        <w:spacing w:line="360" w:lineRule="auto"/>
        <w:shd w:val="clear" w:color="auto" w:fill="ffffff"/>
        <w:widowControl/>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15.1 采购人及采购代理机构拒绝接收在其规定的投标截止时间后上传的任何投标文件。</w:t>
      </w:r>
      <w:r/>
    </w:p>
    <w:p>
      <w:pPr>
        <w:ind w:firstLine="420"/>
        <w:spacing w:line="360" w:lineRule="auto"/>
        <w:shd w:val="clear" w:color="auto" w:fill="ffffff"/>
        <w:widowControl/>
        <w:rPr>
          <w:rFonts w:hint="eastAsia" w:ascii="宋体" w:hAnsi="宋体" w:eastAsia="宋体" w:cs="宋体"/>
          <w:b/>
          <w:bCs/>
          <w:color w:val="auto"/>
          <w:szCs w:val="21"/>
          <w:highlight w:val="none"/>
        </w:rPr>
        <w:outlineLvl w:val="1"/>
      </w:pPr>
      <w:r/>
      <w:bookmarkStart w:id="89" w:name="_Toc16938544"/>
      <w:r/>
      <w:bookmarkStart w:id="90" w:name="_Toc513029228"/>
      <w:r/>
      <w:bookmarkStart w:id="91" w:name="_Toc20823300"/>
      <w:r>
        <w:rPr>
          <w:rFonts w:hint="eastAsia" w:ascii="宋体" w:hAnsi="宋体" w:eastAsia="宋体" w:cs="宋体"/>
          <w:b/>
          <w:bCs/>
          <w:color w:val="auto"/>
          <w:szCs w:val="21"/>
          <w:highlight w:val="none"/>
        </w:rPr>
        <w:t xml:space="preserve">16.投标文件的撤回和修改</w:t>
      </w:r>
      <w:bookmarkEnd w:id="89"/>
      <w:r/>
      <w:bookmarkEnd w:id="90"/>
      <w:r/>
      <w:bookmarkEnd w:id="91"/>
      <w:r/>
      <w:r/>
    </w:p>
    <w:p>
      <w:pPr>
        <w:ind w:firstLine="420"/>
        <w:spacing w:line="360" w:lineRule="auto"/>
        <w:shd w:val="clear" w:color="auto" w:fill="ffffff"/>
        <w:widowControl/>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16.1 投标文件的撤回</w:t>
      </w:r>
      <w:r/>
    </w:p>
    <w:p>
      <w:pPr>
        <w:ind w:firstLine="420"/>
        <w:spacing w:line="360" w:lineRule="auto"/>
        <w:shd w:val="clear" w:color="auto" w:fill="ffffff"/>
        <w:widowControl/>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16.1.1 电子投标文件的撤回</w:t>
      </w:r>
      <w:r/>
    </w:p>
    <w:p>
      <w:pPr>
        <w:ind w:firstLine="420"/>
        <w:spacing w:line="360" w:lineRule="auto"/>
        <w:shd w:val="clear" w:color="auto" w:fill="ffffff"/>
        <w:widowControl/>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投标人可在投标截止时间前，撤回其电子投标文件。</w:t>
      </w:r>
      <w:r/>
    </w:p>
    <w:p>
      <w:pPr>
        <w:ind w:firstLine="420"/>
        <w:spacing w:line="360" w:lineRule="auto"/>
        <w:shd w:val="clear" w:color="auto" w:fill="ffffff"/>
        <w:widowControl/>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16.1.2 投标人撤回电子投标文件，则认为其不再参与本项目投标活动。</w:t>
      </w:r>
      <w:r/>
    </w:p>
    <w:p>
      <w:pPr>
        <w:ind w:firstLine="420"/>
        <w:spacing w:line="360" w:lineRule="auto"/>
        <w:shd w:val="clear" w:color="auto" w:fill="ffffff"/>
        <w:widowControl/>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16.2 投标文件的修改</w:t>
      </w:r>
      <w:r/>
    </w:p>
    <w:p>
      <w:pPr>
        <w:ind w:firstLine="420"/>
        <w:spacing w:line="360" w:lineRule="auto"/>
        <w:shd w:val="clear" w:color="auto" w:fill="ffffff"/>
        <w:widowControl/>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16.2.1投标人可在投标截止时间前，对其电子投标文件进行修改。</w:t>
      </w:r>
      <w:r/>
    </w:p>
    <w:p>
      <w:pPr>
        <w:ind w:firstLine="420"/>
        <w:spacing w:line="360" w:lineRule="auto"/>
        <w:shd w:val="clear" w:color="auto" w:fill="ffffff"/>
        <w:widowControl/>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16.2.2 在投标截止时间之后，投标人不得对其电子投标文件作任何修改。</w:t>
      </w:r>
      <w:r/>
    </w:p>
    <w:p>
      <w:pPr>
        <w:ind w:firstLine="420"/>
        <w:spacing w:line="360" w:lineRule="auto"/>
        <w:shd w:val="clear" w:color="auto" w:fill="ffffff"/>
        <w:widowControl/>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16.3 在投标截止时间至招标文件中规定的投标有效期满之间的这段时间内，投标人不得撤回其投标。</w:t>
      </w:r>
      <w:r/>
    </w:p>
    <w:p>
      <w:pPr>
        <w:ind w:firstLine="420"/>
        <w:spacing w:line="360" w:lineRule="auto"/>
        <w:shd w:val="clear" w:color="auto" w:fill="ffffff"/>
        <w:widowControl/>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五、开标与评标</w:t>
      </w:r>
      <w:r/>
    </w:p>
    <w:p>
      <w:pPr>
        <w:pStyle w:val="1128"/>
        <w:ind w:left="0" w:firstLine="422"/>
        <w:jc w:val="both"/>
        <w:spacing w:line="360" w:lineRule="auto"/>
        <w:rPr>
          <w:rFonts w:hint="eastAsia" w:ascii="宋体" w:hAnsi="宋体" w:eastAsia="宋体" w:cs="宋体"/>
          <w:b/>
          <w:bCs/>
          <w:color w:val="auto"/>
          <w:sz w:val="21"/>
          <w:szCs w:val="21"/>
          <w:highlight w:val="none"/>
        </w:rPr>
      </w:pPr>
      <w:r/>
      <w:bookmarkStart w:id="92" w:name="_Toc3679"/>
      <w:r/>
      <w:bookmarkStart w:id="93" w:name="_Toc20683"/>
      <w:r/>
      <w:bookmarkStart w:id="94" w:name="_Toc13829"/>
      <w:r/>
      <w:bookmarkStart w:id="95" w:name="_Toc15345"/>
      <w:r/>
      <w:bookmarkStart w:id="96" w:name="OLE_LINK7"/>
      <w:r/>
      <w:bookmarkStart w:id="97" w:name="OLE_LINK3"/>
      <w:r/>
      <w:bookmarkStart w:id="98" w:name="_Toc6944"/>
      <w:r>
        <w:rPr>
          <w:rFonts w:hint="eastAsia" w:ascii="宋体" w:hAnsi="宋体" w:eastAsia="宋体" w:cs="宋体"/>
          <w:b/>
          <w:bCs/>
          <w:color w:val="auto"/>
          <w:sz w:val="21"/>
          <w:szCs w:val="21"/>
          <w:highlight w:val="none"/>
        </w:rPr>
        <w:t xml:space="preserve">17.开标</w:t>
      </w:r>
      <w:bookmarkEnd w:id="92"/>
      <w:r/>
      <w:bookmarkEnd w:id="93"/>
      <w:r/>
      <w:bookmarkEnd w:id="94"/>
      <w:r/>
      <w:bookmarkEnd w:id="95"/>
      <w:r/>
      <w:bookmarkEnd w:id="96"/>
      <w:r/>
      <w:bookmarkEnd w:id="97"/>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17.1开标时间及地点。开标应当在招标文件确定的提交投标文件截止时间的同一时间公开进行；开标地点应当为招标文件中预先确定的地点。</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17.2由电子招标投标交易平台主持，邀请投标人参加。</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17.3所有投标单位使用 CA 证书在开标时间时，解密各自投标文件，由工作人员操作系统进行开标，投标人不足3家的，不得开标。</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17.4投标人原因造成投标文件未解密的，视为撤销其投标文件；因投标人之外的原因造成投标文件未解密的，视为撤回其投标文件。部分投标文件未解密的，其他投标文件的开标可以继续进行。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18.资格性审查：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18.2信用信息查询</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18.3</w:t>
      </w:r>
      <w:bookmarkEnd w:id="98"/>
      <w:r/>
      <w:bookmarkStart w:id="99" w:name="_Toc30296"/>
      <w:r/>
      <w:bookmarkStart w:id="100" w:name="_Toc16938547"/>
      <w:r/>
      <w:bookmarkStart w:id="101" w:name="_Toc29284"/>
      <w:r/>
      <w:bookmarkStart w:id="102" w:name="_Toc513029231"/>
      <w:r/>
      <w:bookmarkStart w:id="103" w:name="_Toc20823303"/>
      <w:r>
        <w:rPr>
          <w:rFonts w:hint="eastAsia" w:ascii="宋体" w:hAnsi="宋体" w:eastAsia="宋体" w:cs="宋体"/>
          <w:bCs/>
          <w:color w:val="auto"/>
          <w:szCs w:val="21"/>
          <w:highlight w:val="none"/>
        </w:rPr>
        <w:t xml:space="preserve">通过资格性审查合格的投标人不足3家的，不得评标。</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19.评标 </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19.1评标组织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19.1评标工作由采购代理机构负责组织，具体评标事务由依法组建的评标委员会负责，并独立履行下列职责：</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（2）要求投标人对投标文件有关事项作出澄清或者说明；</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（3）对投标文件进行比较和评价；</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（4）确定中标候选人名单，以及根据采购人委托直接确定中标人；</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（5）向采购人、采购代理机构或者有关部门报告评标中发现的违法行为。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19.2评标委员会由采购人代表和有关技术、经济等方面的专家组成，独立开展评审工作且评标委员会人员构成符合有关规定。</w:t>
      </w:r>
      <w:r/>
    </w:p>
    <w:p>
      <w:pPr>
        <w:ind w:firstLine="422"/>
        <w:spacing w:line="360" w:lineRule="auto"/>
        <w:rPr>
          <w:rFonts w:hint="eastAsia" w:ascii="宋体" w:hAnsi="宋体" w:eastAsia="宋体" w:cs="宋体"/>
          <w:b/>
          <w:color w:val="auto"/>
          <w:szCs w:val="21"/>
          <w:highlight w:val="none"/>
        </w:rPr>
      </w:pPr>
      <w:r/>
      <w:bookmarkStart w:id="104" w:name="_Toc16288"/>
      <w:r>
        <w:rPr>
          <w:rFonts w:hint="eastAsia" w:ascii="宋体" w:hAnsi="宋体" w:eastAsia="宋体" w:cs="宋体"/>
          <w:b/>
          <w:color w:val="auto"/>
          <w:szCs w:val="21"/>
          <w:highlight w:val="none"/>
        </w:rPr>
        <w:t xml:space="preserve">19.3 对投标文件的符合性审查</w:t>
      </w:r>
      <w:bookmarkEnd w:id="104"/>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19.3.1符合性检查：依据招标文件的规定，从投标文件的有效性（签署情况等）、完整性和对招标文件的响应程度（是否存在重大负偏离等）进行审查，以确定是否对招标文件的实质性要求作出响应。实质性要求是指本招标文件中用带星号（“★”）的商务和技术要求。</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19.3.2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19.3.3评审过程中出现下列情形之一的，评审委员会应当启动异常低价投标（响应）审查程序： </w:t>
      </w:r>
      <w:r/>
    </w:p>
    <w:p>
      <w:pPr>
        <w:ind w:firstLine="420"/>
        <w:spacing w:line="360" w:lineRule="auto"/>
        <w:shd w:val="clear" w:color="auto" w:fill="ffffff"/>
        <w:widowControl/>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19.3.3.1投标（响应）报价低于采购项目预算50%的，即投标（响应）报价&lt;采购项目预算×50% ； </w:t>
      </w:r>
      <w:r/>
    </w:p>
    <w:p>
      <w:pPr>
        <w:ind w:firstLine="420"/>
        <w:spacing w:line="360" w:lineRule="auto"/>
        <w:shd w:val="clear" w:color="auto" w:fill="ffffff"/>
        <w:widowControl/>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19.3.3.2投标（响应）报价低于采购项目最高限价45%的，即投标（响应）报价&lt;采购项目最高限价×45% ； </w:t>
      </w:r>
      <w:r/>
    </w:p>
    <w:p>
      <w:pPr>
        <w:ind w:firstLine="420"/>
        <w:spacing w:line="360" w:lineRule="auto"/>
        <w:shd w:val="clear" w:color="auto" w:fill="ffffff"/>
        <w:widowControl/>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19.3.3.3评审委员会认定的供应商报价过低、有可能影响产品质量或者不能诚信履约的其他情形。 </w:t>
      </w:r>
      <w:r/>
    </w:p>
    <w:p>
      <w:pPr>
        <w:ind w:firstLine="420"/>
        <w:spacing w:line="360" w:lineRule="auto"/>
        <w:shd w:val="clear" w:color="auto" w:fill="ffffff"/>
        <w:widowControl/>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19.3.</w:t>
      </w: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评审时，投标文件出现不一致情形的，按下列规定执行：</w:t>
      </w:r>
      <w:r/>
    </w:p>
    <w:p>
      <w:pPr>
        <w:ind w:firstLine="420"/>
        <w:spacing w:line="360" w:lineRule="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19.3.</w:t>
      </w: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投标文件报价出现前后不一致的，按照下列规定修正：</w:t>
      </w:r>
      <w:r>
        <w:rPr>
          <w:rFonts w:hint="eastAsia" w:ascii="宋体" w:hAnsi="宋体" w:eastAsia="宋体" w:cs="宋体"/>
          <w:bCs/>
          <w:color w:val="auto"/>
          <w:szCs w:val="21"/>
          <w:highlight w:val="none"/>
          <w:lang w:val="en-US" w:eastAsia="zh-CN"/>
        </w:rPr>
        <w:t xml:space="preserve">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（1）投标文件中开标一览表（报价表）内容与投标文件中相应内容不一致的，以开标一览表（报价表）为准；</w:t>
      </w:r>
      <w:r/>
    </w:p>
    <w:p>
      <w:pPr>
        <w:ind w:firstLine="426"/>
        <w:spacing w:line="360" w:lineRule="auto"/>
        <w:tabs>
          <w:tab w:val="left" w:pos="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（2）大写金额和小写金额不一致的，以大写金额为准；</w:t>
      </w:r>
      <w:r/>
    </w:p>
    <w:p>
      <w:pPr>
        <w:ind w:firstLine="426"/>
        <w:spacing w:line="360" w:lineRule="auto"/>
        <w:tabs>
          <w:tab w:val="left" w:pos="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19.3.</w:t>
      </w:r>
      <w:r>
        <w:rPr>
          <w:rFonts w:hint="eastAsia" w:ascii="宋体" w:hAnsi="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19.3.</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99"/>
      <w:r/>
      <w:r/>
    </w:p>
    <w:p>
      <w:pPr>
        <w:pStyle w:val="1128"/>
        <w:ind w:left="0" w:firstLine="422"/>
        <w:jc w:val="both"/>
        <w:spacing w:line="360" w:lineRule="auto"/>
        <w:rPr>
          <w:rFonts w:hint="eastAsia" w:ascii="宋体" w:hAnsi="宋体" w:eastAsia="宋体" w:cs="宋体"/>
          <w:b/>
          <w:bCs/>
          <w:color w:val="auto"/>
          <w:sz w:val="21"/>
          <w:szCs w:val="21"/>
          <w:highlight w:val="none"/>
        </w:rPr>
      </w:pPr>
      <w:r/>
      <w:bookmarkStart w:id="105" w:name="_Toc26857"/>
      <w:r/>
      <w:bookmarkStart w:id="106" w:name="_Toc13685"/>
      <w:r>
        <w:rPr>
          <w:rFonts w:hint="eastAsia" w:ascii="宋体" w:hAnsi="宋体" w:eastAsia="宋体" w:cs="宋体"/>
          <w:b/>
          <w:bCs/>
          <w:color w:val="auto"/>
          <w:sz w:val="21"/>
          <w:szCs w:val="21"/>
          <w:highlight w:val="none"/>
        </w:rPr>
        <w:t xml:space="preserve">19.4投标文件的澄清</w:t>
      </w:r>
      <w:bookmarkEnd w:id="105"/>
      <w:r>
        <w:rPr>
          <w:rFonts w:hint="eastAsia" w:ascii="宋体" w:hAnsi="宋体" w:eastAsia="宋体" w:cs="宋体"/>
          <w:b/>
          <w:bCs/>
          <w:color w:val="auto"/>
          <w:sz w:val="21"/>
          <w:szCs w:val="21"/>
          <w:highlight w:val="none"/>
        </w:rPr>
        <w:t xml:space="preserve">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19.4.2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19.4.3供应商澄清、说明或者补正不得超出投标文件的范围或者改变投标文件的实质性内容。供应商拒不按照要求对投标文件进行澄清、说明或者补正的，视其放弃该项权利。</w:t>
      </w:r>
      <w:bookmarkEnd w:id="106"/>
      <w:r/>
      <w:r/>
    </w:p>
    <w:p>
      <w:pPr>
        <w:ind w:firstLine="424"/>
        <w:spacing w:line="360" w:lineRule="auto"/>
        <w:tabs>
          <w:tab w:val="left" w:pos="1365"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19.5比较与评价</w:t>
      </w:r>
      <w:r/>
    </w:p>
    <w:p>
      <w:pPr>
        <w:ind w:firstLine="420"/>
        <w:spacing w:line="360" w:lineRule="auto"/>
        <w:tabs>
          <w:tab w:val="left" w:pos="1365"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19.5.1投标文件资格性检查和符合性检查结束后，凡属于“无效投标文件确认”的投标文件不进入比较与评价程序。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19.5.3除评标方法和评标标准另有规定外，评标采用综合评分法。即投标文件满足招标文件全部实质性要求，且按照评审因素的量化指标评审得分最高的供应商为中标候选供应商的评标方法。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s="宋体"/>
          <w:color w:val="auto"/>
          <w:szCs w:val="21"/>
          <w:highlight w:val="none"/>
        </w:rPr>
        <w:t xml:space="preserve">评标时，评标委员会各成员应当独立对每个投标人的投标文件进行评价，并汇总每个投标人的得分。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19.5.4评审因素包括投标报价、技术或者服务水平、履约能力、售后服务等。</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19.5.5评标方法和评标标准详见文件第三章。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使用综合评分法的采购项目，提供相同品牌产品且通过资格审查、符合性审查的不同供应商参加同一合同项下投标的，按一家供应商计算，评审后得分最高的同品牌供应商获得</w:t>
      </w:r>
      <w:r>
        <w:rPr>
          <w:rFonts w:hint="eastAsia" w:ascii="宋体" w:hAnsi="宋体" w:cs="宋体"/>
          <w:bCs/>
          <w:color w:val="auto"/>
          <w:szCs w:val="21"/>
          <w:highlight w:val="none"/>
          <w:lang w:eastAsia="zh-CN"/>
        </w:rPr>
        <w:t xml:space="preserve">中标人</w:t>
      </w:r>
      <w:r>
        <w:rPr>
          <w:rFonts w:hint="eastAsia" w:ascii="宋体" w:hAnsi="宋体" w:eastAsia="宋体" w:cs="宋体"/>
          <w:bCs/>
          <w:color w:val="auto"/>
          <w:szCs w:val="21"/>
          <w:highlight w:val="none"/>
        </w:rPr>
        <w:t xml:space="preserve">推荐资格；评审得分相同的，取技术分最高者；均相同时，由评标委员会集体决定一个供应商获得</w:t>
      </w:r>
      <w:r>
        <w:rPr>
          <w:rFonts w:hint="eastAsia" w:ascii="宋体" w:hAnsi="宋体" w:cs="宋体"/>
          <w:bCs/>
          <w:color w:val="auto"/>
          <w:szCs w:val="21"/>
          <w:highlight w:val="none"/>
          <w:lang w:eastAsia="zh-CN"/>
        </w:rPr>
        <w:t xml:space="preserve">中标人</w:t>
      </w:r>
      <w:r>
        <w:rPr>
          <w:rFonts w:hint="eastAsia" w:ascii="宋体" w:hAnsi="宋体" w:eastAsia="宋体" w:cs="宋体"/>
          <w:bCs/>
          <w:color w:val="auto"/>
          <w:szCs w:val="21"/>
          <w:highlight w:val="none"/>
        </w:rPr>
        <w:t xml:space="preserve">推荐资格，或采取随机抽取方式确定，其他同品牌供应商不作为中标候选人。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360" w:lineRule="auto"/>
        <w:tabs>
          <w:tab w:val="left" w:pos="1365"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color w:val="auto"/>
          <w:szCs w:val="21"/>
          <w:highlight w:val="none"/>
        </w:rPr>
        <w:t xml:space="preserve">投标人未按照招标文件要求上传电子投标文件的。</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（3）供应商不具备招标文件中规定资格要求的</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（4）供应商在报价时采用选择性报价；</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5</w:t>
      </w:r>
      <w:r>
        <w:rPr>
          <w:rFonts w:hint="eastAsia" w:ascii="宋体" w:hAnsi="宋体" w:eastAsia="宋体" w:cs="宋体"/>
          <w:color w:val="auto"/>
          <w:szCs w:val="21"/>
          <w:highlight w:val="none"/>
        </w:rPr>
        <w:t xml:space="preserve">）报价超过招标文件中规定的预算金额或者最高限价的；</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（6）投标文件含有采购人不能接受的附加条件的；</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7</w:t>
      </w:r>
      <w:r>
        <w:rPr>
          <w:rFonts w:hint="eastAsia" w:ascii="宋体" w:hAnsi="宋体" w:eastAsia="宋体" w:cs="宋体"/>
          <w:color w:val="auto"/>
          <w:szCs w:val="21"/>
          <w:highlight w:val="none"/>
        </w:rPr>
        <w:t xml:space="preserve">）不同供应商的投标文件由同一单位或者个人编制；</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（8）不同供应商委托同一单位或者个人办理投标事宜；</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（9）不同供应商的投标文件载明的项目管理成员或联系人员为同一人；</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（10）不同供应商的投标文件异常一致或者投标报价呈规律性差异；</w:t>
      </w:r>
      <w:r/>
    </w:p>
    <w:p>
      <w:pPr>
        <w:ind w:firstLine="420"/>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（11）不同供应商的投标文件相互混装；</w:t>
      </w:r>
      <w:r>
        <w:rPr>
          <w:rFonts w:hint="eastAsia" w:ascii="宋体" w:hAnsi="宋体" w:eastAsia="宋体" w:cs="宋体"/>
          <w:color w:val="auto"/>
          <w:szCs w:val="21"/>
          <w:highlight w:val="none"/>
          <w:lang w:val="en-US" w:eastAsia="zh-CN"/>
        </w:rPr>
        <w:t xml:space="preserve">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（12）不同供应商的法定代表人或委托代理人有夫妻、直系血亲关系的；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（13）不同供应商的负责人为同一人或者存在控股、管理关系的；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15</w:t>
      </w:r>
      <w:r>
        <w:rPr>
          <w:rFonts w:hint="eastAsia" w:ascii="宋体" w:hAnsi="宋体" w:eastAsia="宋体" w:cs="宋体"/>
          <w:color w:val="auto"/>
          <w:szCs w:val="21"/>
          <w:highlight w:val="none"/>
        </w:rPr>
        <w:t xml:space="preserve">）提供虚假材料的（包括工商营业执照、财务报表、资格证明文件等）；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（16）未通过符合性检查的；</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17</w:t>
      </w:r>
      <w:r>
        <w:rPr>
          <w:rFonts w:hint="eastAsia" w:ascii="宋体" w:hAnsi="宋体" w:eastAsia="宋体" w:cs="宋体"/>
          <w:color w:val="auto"/>
          <w:szCs w:val="21"/>
          <w:highlight w:val="none"/>
        </w:rPr>
        <w:t xml:space="preserve">）评标委员会认定投标人的报价明显低于其他通过符合性审查投标人的报价，有可能影响产品质量或者不能诚信履约，且投标人不能应评标委员会要求在规定的回复时间内通过“苏采云”系统作出必要的说明证明其报价合理性的；</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18</w:t>
      </w:r>
      <w:r>
        <w:rPr>
          <w:rFonts w:hint="eastAsia" w:ascii="宋体" w:hAnsi="宋体" w:eastAsia="宋体" w:cs="宋体"/>
          <w:color w:val="auto"/>
          <w:szCs w:val="21"/>
          <w:highlight w:val="none"/>
        </w:rPr>
        <w:t xml:space="preserve">）不符合招标文件中规定的其它实质性要求的；</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19</w:t>
      </w:r>
      <w:r>
        <w:rPr>
          <w:rFonts w:hint="eastAsia" w:ascii="宋体" w:hAnsi="宋体" w:eastAsia="宋体" w:cs="宋体"/>
          <w:color w:val="auto"/>
          <w:szCs w:val="21"/>
          <w:highlight w:val="none"/>
        </w:rPr>
        <w:t xml:space="preserve">）法律、法规和招标文件规定的其他无效情形。</w:t>
      </w:r>
      <w:r/>
    </w:p>
    <w:p>
      <w:pPr>
        <w:ind w:firstLine="420"/>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 xml:space="preserve">19.7 </w:t>
      </w:r>
      <w:r>
        <w:rPr>
          <w:rFonts w:hint="eastAsia" w:ascii="宋体" w:hAnsi="宋体" w:eastAsia="宋体" w:cs="宋体"/>
          <w:b/>
          <w:color w:val="auto"/>
          <w:szCs w:val="21"/>
          <w:highlight w:val="none"/>
        </w:rPr>
        <w:t xml:space="preserve">出现下列情形之一的，应予废标：</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（1）符合专业条件的供应商或者对招标文件作实质响应的供应商不足三家的；</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（2）出现影响采购公正的违法、违规行为的；</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（3）因重大变故，采购任务取消的；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（4）评标委员会认定招标文件存在歧义、重大缺陷导致评审工作无法进行的，或者招标文件内容违反国家有关强制性规定的。</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在评标期间，通过资格审查或符合性审查的投标人不足3家情形的，比照</w:t>
      </w:r>
      <w:r>
        <w:rPr>
          <w:rFonts w:hint="eastAsia" w:ascii="宋体" w:hAnsi="宋体" w:eastAsia="宋体" w:cs="宋体"/>
          <w:b/>
          <w:bCs/>
          <w:color w:val="auto"/>
          <w:szCs w:val="21"/>
          <w:highlight w:val="none"/>
        </w:rPr>
        <w:t xml:space="preserve">19.3.5</w:t>
      </w:r>
      <w:r>
        <w:rPr>
          <w:rFonts w:hint="eastAsia" w:ascii="宋体" w:hAnsi="宋体" w:eastAsia="宋体" w:cs="宋体"/>
          <w:color w:val="auto"/>
          <w:szCs w:val="21"/>
          <w:highlight w:val="none"/>
        </w:rPr>
        <w:t xml:space="preserve">款执行。</w:t>
      </w:r>
      <w:bookmarkEnd w:id="100"/>
      <w:r/>
      <w:bookmarkEnd w:id="101"/>
      <w:r/>
      <w:bookmarkEnd w:id="102"/>
      <w:r/>
      <w:bookmarkEnd w:id="103"/>
      <w:r/>
      <w:r/>
    </w:p>
    <w:p>
      <w:pPr>
        <w:ind w:firstLine="420"/>
        <w:spacing w:line="360" w:lineRule="auto"/>
        <w:shd w:val="clear" w:color="auto" w:fill="ffffff"/>
        <w:widowControl/>
        <w:rPr>
          <w:rFonts w:hint="eastAsia" w:ascii="宋体" w:hAnsi="宋体" w:eastAsia="宋体" w:cs="宋体"/>
          <w:b/>
          <w:bCs/>
          <w:color w:val="auto"/>
          <w:szCs w:val="21"/>
          <w:highlight w:val="none"/>
        </w:rPr>
        <w:outlineLvl w:val="1"/>
      </w:pPr>
      <w:r/>
      <w:bookmarkStart w:id="107" w:name="_Toc12294"/>
      <w:r/>
      <w:bookmarkStart w:id="108" w:name="_Toc18327"/>
      <w:r>
        <w:rPr>
          <w:rFonts w:hint="eastAsia" w:ascii="宋体" w:hAnsi="宋体" w:eastAsia="宋体" w:cs="宋体"/>
          <w:b/>
          <w:bCs/>
          <w:color w:val="auto"/>
          <w:szCs w:val="21"/>
          <w:highlight w:val="none"/>
        </w:rPr>
        <w:t xml:space="preserve">六、授标</w:t>
      </w:r>
      <w:bookmarkEnd w:id="107"/>
      <w:r/>
      <w:bookmarkEnd w:id="108"/>
      <w:r/>
      <w:r/>
    </w:p>
    <w:p>
      <w:pPr>
        <w:pStyle w:val="1128"/>
        <w:ind w:left="0" w:firstLine="422"/>
        <w:jc w:val="both"/>
        <w:spacing w:line="360" w:lineRule="auto"/>
        <w:rPr>
          <w:rFonts w:hint="eastAsia" w:ascii="宋体" w:hAnsi="宋体" w:eastAsia="宋体" w:cs="宋体"/>
          <w:b/>
          <w:bCs/>
          <w:color w:val="auto"/>
          <w:sz w:val="21"/>
          <w:szCs w:val="21"/>
          <w:highlight w:val="none"/>
          <w:lang w:eastAsia="zh-CN"/>
        </w:rPr>
      </w:pPr>
      <w:r/>
      <w:bookmarkStart w:id="109" w:name="_Toc28693"/>
      <w:r/>
      <w:bookmarkStart w:id="110" w:name="_Toc27522"/>
      <w:r>
        <w:rPr>
          <w:rFonts w:hint="eastAsia" w:ascii="宋体" w:hAnsi="宋体" w:eastAsia="宋体" w:cs="宋体"/>
          <w:b/>
          <w:bCs/>
          <w:color w:val="auto"/>
          <w:sz w:val="21"/>
          <w:szCs w:val="21"/>
          <w:highlight w:val="none"/>
        </w:rPr>
        <w:t xml:space="preserve">20.确定</w:t>
      </w:r>
      <w:bookmarkEnd w:id="109"/>
      <w:r/>
      <w:bookmarkEnd w:id="110"/>
      <w:r/>
      <w:bookmarkStart w:id="111" w:name="_Toc7377"/>
      <w:r>
        <w:rPr>
          <w:rFonts w:hint="eastAsia" w:ascii="宋体" w:hAnsi="宋体" w:eastAsia="宋体" w:cs="宋体"/>
          <w:b/>
          <w:bCs/>
          <w:color w:val="auto"/>
          <w:sz w:val="21"/>
          <w:szCs w:val="21"/>
          <w:highlight w:val="none"/>
          <w:lang w:eastAsia="zh-CN"/>
        </w:rPr>
        <w:t xml:space="preserve">中标人</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20.2中标人确定后，在南京公共采购信息网</w:t>
      </w:r>
      <w:r>
        <w:rPr>
          <w:rStyle w:val="983"/>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江苏政府采购网</w:t>
      </w:r>
      <w:r>
        <w:rPr>
          <w:rFonts w:hint="eastAsia" w:ascii="宋体" w:hAnsi="宋体" w:eastAsia="宋体" w:cs="宋体"/>
          <w:color w:val="auto"/>
          <w:szCs w:val="21"/>
          <w:highlight w:val="none"/>
        </w:rPr>
        <w:t xml:space="preserve">上公告中标结果，中标公告期为1个工作日，公告的同时向</w:t>
      </w:r>
      <w:r>
        <w:rPr>
          <w:rFonts w:hint="eastAsia" w:ascii="宋体" w:hAnsi="宋体" w:cs="宋体"/>
          <w:color w:val="auto"/>
          <w:szCs w:val="21"/>
          <w:highlight w:val="none"/>
          <w:lang w:eastAsia="zh-CN"/>
        </w:rPr>
        <w:t xml:space="preserve">中标人</w:t>
      </w:r>
      <w:r>
        <w:rPr>
          <w:rFonts w:hint="eastAsia" w:ascii="宋体" w:hAnsi="宋体" w:eastAsia="宋体" w:cs="宋体"/>
          <w:color w:val="auto"/>
          <w:szCs w:val="21"/>
          <w:highlight w:val="none"/>
        </w:rPr>
        <w:t xml:space="preserve">发出中标通知书。</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20.3</w:t>
      </w:r>
      <w:r>
        <w:rPr>
          <w:rFonts w:hint="eastAsia" w:ascii="宋体" w:hAnsi="宋体" w:cs="宋体"/>
          <w:color w:val="auto"/>
          <w:szCs w:val="21"/>
          <w:highlight w:val="none"/>
          <w:lang w:eastAsia="zh-CN"/>
        </w:rPr>
        <w:t xml:space="preserve">中标人</w:t>
      </w:r>
      <w:r>
        <w:rPr>
          <w:rFonts w:hint="eastAsia" w:ascii="宋体" w:hAnsi="宋体" w:eastAsia="宋体" w:cs="宋体"/>
          <w:color w:val="auto"/>
          <w:szCs w:val="21"/>
          <w:highlight w:val="none"/>
        </w:rPr>
        <w:t xml:space="preserve">在收到中标通知书后，应郑重保证履行</w:t>
      </w:r>
      <w:r>
        <w:rPr>
          <w:rFonts w:hint="eastAsia" w:ascii="宋体" w:hAnsi="宋体" w:cs="宋体"/>
          <w:color w:val="auto"/>
          <w:szCs w:val="21"/>
          <w:highlight w:val="none"/>
          <w:lang w:eastAsia="zh-CN"/>
        </w:rPr>
        <w:t xml:space="preserve">中标人</w:t>
      </w:r>
      <w:r>
        <w:rPr>
          <w:rFonts w:hint="eastAsia" w:ascii="宋体" w:hAnsi="宋体" w:eastAsia="宋体" w:cs="宋体"/>
          <w:color w:val="auto"/>
          <w:szCs w:val="21"/>
          <w:highlight w:val="none"/>
        </w:rPr>
        <w:t xml:space="preserve">应履行的，含招标代理服务费在内的一切义务和责任。</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20.4中标通知书对采购人和</w:t>
      </w:r>
      <w:r>
        <w:rPr>
          <w:rFonts w:hint="eastAsia" w:ascii="宋体" w:hAnsi="宋体" w:cs="宋体"/>
          <w:color w:val="auto"/>
          <w:szCs w:val="21"/>
          <w:highlight w:val="none"/>
          <w:lang w:eastAsia="zh-CN"/>
        </w:rPr>
        <w:t xml:space="preserve">中标人</w:t>
      </w:r>
      <w:r>
        <w:rPr>
          <w:rFonts w:hint="eastAsia" w:ascii="宋体" w:hAnsi="宋体" w:eastAsia="宋体" w:cs="宋体"/>
          <w:color w:val="auto"/>
          <w:szCs w:val="21"/>
          <w:highlight w:val="none"/>
        </w:rPr>
        <w:t xml:space="preserve">具有同等法律效力。</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20.5中标通知书发出后，中标或者成交后无正当理由拒不与采购人签订政府采购合同的；情节严重的，由财政部门将其列入不良行为记录名单，在一至三年内禁止参加政府采购活动，并予以通报。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20.6 若评标委员会发现供应商的投标文件中有弄虚作假行为，则该供应商将失去中标资格。</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21.评标过程的保密性</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22.签订合同</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22.1采购人应当自中标通知书发出之日起三十日内，按照招标文件和</w:t>
      </w:r>
      <w:r>
        <w:rPr>
          <w:rFonts w:hint="eastAsia" w:ascii="宋体" w:hAnsi="宋体" w:cs="宋体"/>
          <w:color w:val="auto"/>
          <w:szCs w:val="21"/>
          <w:highlight w:val="none"/>
          <w:lang w:eastAsia="zh-CN"/>
        </w:rPr>
        <w:t xml:space="preserve">中标人</w:t>
      </w:r>
      <w:r>
        <w:rPr>
          <w:rFonts w:hint="eastAsia" w:ascii="宋体" w:hAnsi="宋体" w:eastAsia="宋体" w:cs="宋体"/>
          <w:color w:val="auto"/>
          <w:szCs w:val="21"/>
          <w:highlight w:val="none"/>
        </w:rPr>
        <w:t xml:space="preserve">投标文件的约定，与</w:t>
      </w:r>
      <w:r>
        <w:rPr>
          <w:rFonts w:hint="eastAsia" w:ascii="宋体" w:hAnsi="宋体" w:cs="宋体"/>
          <w:color w:val="auto"/>
          <w:szCs w:val="21"/>
          <w:highlight w:val="none"/>
          <w:lang w:eastAsia="zh-CN"/>
        </w:rPr>
        <w:t xml:space="preserve">中标人</w:t>
      </w:r>
      <w:r>
        <w:rPr>
          <w:rFonts w:hint="eastAsia" w:ascii="宋体" w:hAnsi="宋体" w:eastAsia="宋体" w:cs="宋体"/>
          <w:color w:val="auto"/>
          <w:szCs w:val="21"/>
          <w:highlight w:val="none"/>
        </w:rPr>
        <w:t xml:space="preserve">签订书面合同。所签订的合同不得对招标文件和</w:t>
      </w:r>
      <w:r>
        <w:rPr>
          <w:rFonts w:hint="eastAsia" w:ascii="宋体" w:hAnsi="宋体" w:cs="宋体"/>
          <w:color w:val="auto"/>
          <w:szCs w:val="21"/>
          <w:highlight w:val="none"/>
          <w:lang w:eastAsia="zh-CN"/>
        </w:rPr>
        <w:t xml:space="preserve">中标人</w:t>
      </w:r>
      <w:r>
        <w:rPr>
          <w:rFonts w:hint="eastAsia" w:ascii="宋体" w:hAnsi="宋体" w:eastAsia="宋体" w:cs="宋体"/>
          <w:color w:val="auto"/>
          <w:szCs w:val="21"/>
          <w:highlight w:val="none"/>
        </w:rPr>
        <w:t xml:space="preserve">投标文件作实质性修改。</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22.2招标文件、</w:t>
      </w:r>
      <w:r>
        <w:rPr>
          <w:rFonts w:hint="eastAsia" w:ascii="宋体" w:hAnsi="宋体" w:cs="宋体"/>
          <w:color w:val="auto"/>
          <w:szCs w:val="21"/>
          <w:highlight w:val="none"/>
          <w:lang w:eastAsia="zh-CN"/>
        </w:rPr>
        <w:t xml:space="preserve">中标人</w:t>
      </w:r>
      <w:r>
        <w:rPr>
          <w:rFonts w:hint="eastAsia" w:ascii="宋体" w:hAnsi="宋体" w:eastAsia="宋体" w:cs="宋体"/>
          <w:color w:val="auto"/>
          <w:szCs w:val="21"/>
          <w:highlight w:val="none"/>
        </w:rPr>
        <w:t xml:space="preserve">的投标文件及评标过程中有关澄清、说明或者补正文件均应作为合同附件。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22.4 </w:t>
      </w:r>
      <w:r>
        <w:rPr>
          <w:rFonts w:hint="eastAsia" w:ascii="宋体" w:hAnsi="宋体" w:cs="宋体"/>
          <w:color w:val="auto"/>
          <w:szCs w:val="21"/>
          <w:highlight w:val="none"/>
          <w:lang w:eastAsia="zh-CN"/>
        </w:rPr>
        <w:t xml:space="preserve">中标人</w:t>
      </w:r>
      <w:r>
        <w:rPr>
          <w:rFonts w:hint="eastAsia" w:ascii="宋体" w:hAnsi="宋体" w:eastAsia="宋体" w:cs="宋体"/>
          <w:color w:val="auto"/>
          <w:szCs w:val="21"/>
          <w:highlight w:val="none"/>
        </w:rPr>
        <w:t xml:space="preserve">因不可抗力或者自身原因不能履行采购合同的，采购人可以与排位在</w:t>
      </w:r>
      <w:r>
        <w:rPr>
          <w:rFonts w:hint="eastAsia" w:ascii="宋体" w:hAnsi="宋体" w:cs="宋体"/>
          <w:color w:val="auto"/>
          <w:szCs w:val="21"/>
          <w:highlight w:val="none"/>
          <w:lang w:eastAsia="zh-CN"/>
        </w:rPr>
        <w:t xml:space="preserve">中标人</w:t>
      </w:r>
      <w:r>
        <w:rPr>
          <w:rFonts w:hint="eastAsia" w:ascii="宋体" w:hAnsi="宋体" w:eastAsia="宋体" w:cs="宋体"/>
          <w:color w:val="auto"/>
          <w:szCs w:val="21"/>
          <w:highlight w:val="none"/>
        </w:rPr>
        <w:t xml:space="preserve">之后第一位的中标候选供应商签订采购合同，以此类推；采购人也可以重新开展采购活动。</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22.5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22.6 采购人与中标人应当根据合同的约定依法履行合同义务。</w:t>
      </w:r>
      <w:bookmarkEnd w:id="111"/>
      <w:r/>
      <w:r/>
    </w:p>
    <w:p>
      <w:pPr>
        <w:ind w:firstLine="420"/>
        <w:spacing w:line="360" w:lineRule="auto"/>
        <w:shd w:val="clear" w:color="auto" w:fill="ffffff"/>
        <w:widowControl/>
        <w:rPr>
          <w:rFonts w:hint="default" w:ascii="宋体" w:hAnsi="宋体" w:eastAsia="仿宋" w:cs="宋体"/>
          <w:b/>
          <w:bCs/>
          <w:color w:val="auto"/>
          <w:szCs w:val="21"/>
          <w:highlight w:val="none"/>
          <w:lang w:val="en-US" w:eastAsia="zh-CN"/>
        </w:rPr>
      </w:pPr>
      <w:r>
        <w:rPr>
          <w:rFonts w:hint="eastAsia" w:ascii="宋体" w:hAnsi="宋体" w:eastAsia="宋体" w:cs="宋体"/>
          <w:b/>
          <w:bCs/>
          <w:color w:val="auto"/>
          <w:szCs w:val="21"/>
          <w:highlight w:val="none"/>
        </w:rPr>
        <w:t xml:space="preserve">22.7 履约保证金：</w:t>
      </w:r>
      <w:bookmarkStart w:id="112" w:name="_Toc15509"/>
      <w:r/>
      <w:bookmarkStart w:id="113" w:name="_Toc415"/>
      <w:r>
        <w:rPr>
          <w:rFonts w:hint="eastAsia" w:ascii="宋体" w:hAnsi="宋体" w:cs="宋体"/>
          <w:color w:val="auto"/>
          <w:szCs w:val="21"/>
          <w:highlight w:val="none"/>
          <w:lang w:val="en-US" w:eastAsia="zh-CN"/>
        </w:rPr>
        <w:t xml:space="preserve">本项目无需履约保证金</w:t>
      </w:r>
      <w:r>
        <w:rPr>
          <w:rFonts w:hint="eastAsia" w:ascii="宋体" w:hAnsi="宋体" w:eastAsia="宋体" w:cs="宋体"/>
          <w:color w:val="auto"/>
          <w:szCs w:val="21"/>
          <w:highlight w:val="none"/>
          <w:lang w:val="en-US" w:eastAsia="zh-CN"/>
        </w:rPr>
        <w:t xml:space="preserve">。</w:t>
      </w:r>
      <w:r/>
    </w:p>
    <w:p>
      <w:pPr>
        <w:pStyle w:val="1128"/>
        <w:ind w:left="420" w:firstLine="0"/>
        <w:jc w:val="both"/>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23.招标代理服务费</w:t>
      </w:r>
      <w:bookmarkEnd w:id="112"/>
      <w:r/>
      <w:bookmarkEnd w:id="113"/>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 xml:space="preserve">    23.1 </w:t>
      </w:r>
      <w:r>
        <w:rPr>
          <w:rFonts w:hint="eastAsia" w:ascii="宋体" w:hAnsi="宋体" w:eastAsia="宋体" w:cs="宋体"/>
          <w:color w:val="auto"/>
          <w:szCs w:val="21"/>
          <w:highlight w:val="none"/>
          <w:lang w:val="zh-CN"/>
        </w:rPr>
        <w:t xml:space="preserve">领取中标通知时，中标人向采购代理机构一次性付清。</w:t>
      </w:r>
      <w:r/>
    </w:p>
    <w:p>
      <w:pPr>
        <w:pStyle w:val="959"/>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w:t>
      </w:r>
      <w:r>
        <w:rPr>
          <w:rFonts w:hint="eastAsia" w:ascii="宋体" w:hAnsi="宋体" w:eastAsia="宋体" w:cs="宋体"/>
          <w:color w:val="auto"/>
          <w:szCs w:val="21"/>
          <w:highlight w:val="none"/>
        </w:rPr>
        <w:t xml:space="preserve">招标代理服务费：本次招标，中标人</w:t>
      </w:r>
      <w:r>
        <w:rPr>
          <w:rFonts w:hint="eastAsia" w:ascii="宋体" w:hAnsi="宋体" w:eastAsia="宋体" w:cs="宋体"/>
          <w:color w:val="auto"/>
          <w:szCs w:val="21"/>
          <w:highlight w:val="none"/>
          <w:lang w:val="en-US" w:eastAsia="zh-CN"/>
        </w:rPr>
        <w:t xml:space="preserve">按原(计价格【2002】1980号)文件规定收费标准的60%缴纳中标服务费。</w:t>
      </w:r>
      <w:r>
        <w:rPr>
          <w:rFonts w:hint="eastAsia" w:ascii="宋体" w:hAnsi="宋体" w:eastAsia="宋体" w:cs="宋体"/>
          <w:color w:val="auto"/>
          <w:szCs w:val="21"/>
          <w:highlight w:val="none"/>
        </w:rPr>
        <w:t xml:space="preserve">各投标供应商应将招标代理服务费自行考虑包含在投标报价中，本项费用无需在投标报价表中单列。</w:t>
      </w:r>
      <w:r/>
    </w:p>
    <w:p>
      <w:pPr>
        <w:pStyle w:val="959"/>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     23.3</w:t>
      </w:r>
      <w:r>
        <w:rPr>
          <w:rFonts w:hint="eastAsia" w:ascii="宋体" w:hAnsi="宋体" w:eastAsia="宋体" w:cs="宋体"/>
          <w:color w:val="auto"/>
          <w:szCs w:val="21"/>
          <w:highlight w:val="none"/>
        </w:rPr>
        <w:t xml:space="preserve">服务费交纳账户：苏美达国际技术贸易有限公司</w:t>
      </w:r>
      <w:r/>
    </w:p>
    <w:p>
      <w:pPr>
        <w:pStyle w:val="959"/>
        <w:ind w:firstLine="63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账号：7321010182300013675　　　</w:t>
      </w:r>
      <w:r/>
    </w:p>
    <w:p>
      <w:pPr>
        <w:pStyle w:val="1126"/>
        <w:ind w:firstLine="63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开户银行：中信南京分行营业部　</w:t>
      </w:r>
      <w:r/>
    </w:p>
    <w:p>
      <w:pPr>
        <w:ind w:firstLine="420"/>
        <w:spacing w:line="360" w:lineRule="auto"/>
        <w:shd w:val="clear" w:color="auto" w:fill="ffffff"/>
        <w:widowControl/>
        <w:rPr>
          <w:rFonts w:hint="eastAsia" w:ascii="宋体" w:hAnsi="宋体" w:eastAsia="宋体" w:cs="宋体"/>
          <w:b/>
          <w:bCs/>
          <w:color w:val="auto"/>
          <w:szCs w:val="21"/>
          <w:highlight w:val="none"/>
        </w:rPr>
        <w:outlineLvl w:val="1"/>
      </w:pPr>
      <w:r/>
      <w:bookmarkStart w:id="114" w:name="_Toc5784"/>
      <w:r>
        <w:rPr>
          <w:rFonts w:hint="eastAsia" w:ascii="宋体" w:hAnsi="宋体" w:eastAsia="宋体" w:cs="宋体"/>
          <w:b/>
          <w:bCs/>
          <w:color w:val="auto"/>
          <w:szCs w:val="21"/>
          <w:highlight w:val="none"/>
        </w:rPr>
        <w:t xml:space="preserve">七、质疑</w:t>
      </w:r>
      <w:bookmarkEnd w:id="114"/>
      <w:r>
        <w:rPr>
          <w:rFonts w:hint="eastAsia" w:ascii="宋体" w:hAnsi="宋体" w:eastAsia="宋体" w:cs="宋体"/>
          <w:b/>
          <w:bCs/>
          <w:color w:val="auto"/>
          <w:szCs w:val="21"/>
          <w:highlight w:val="none"/>
        </w:rPr>
        <w:t xml:space="preserve">和投诉</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24.质疑</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24</w:t>
      </w:r>
      <w:r>
        <w:rPr>
          <w:rFonts w:hint="eastAsia" w:ascii="宋体" w:hAnsi="宋体" w:eastAsia="宋体" w:cs="宋体"/>
          <w:color w:val="auto"/>
          <w:szCs w:val="21"/>
          <w:highlight w:val="none"/>
        </w:rPr>
        <w:t xml:space="preserve">.1供应商对招标活动事项有疑问的，可以向采购代理机构提出询问，采购代理机构将依法作出答复，但答复的内容不涉及商业秘密</w:t>
      </w:r>
      <w:r>
        <w:rPr>
          <w:rFonts w:hint="eastAsia" w:ascii="宋体" w:hAnsi="宋体" w:eastAsia="宋体" w:cs="宋体"/>
          <w:b/>
          <w:bCs/>
          <w:color w:val="auto"/>
          <w:szCs w:val="21"/>
          <w:highlight w:val="none"/>
        </w:rPr>
        <w:t xml:space="preserve">。</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24</w:t>
      </w:r>
      <w:r>
        <w:rPr>
          <w:rFonts w:hint="eastAsia" w:ascii="宋体" w:hAnsi="宋体" w:eastAsia="宋体" w:cs="宋体"/>
          <w:color w:val="auto"/>
          <w:szCs w:val="21"/>
          <w:highlight w:val="none"/>
        </w:rPr>
        <w:t xml:space="preserve">.2供应商认为招标文件、采购过程和中标结果使自己的合法权益受到损害的，可以在知道或者应知其权益受到损害之日起七个工作日内，将质疑文件原件送达采购人或采购代理机构。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供应商应知其权益受到损害之日，是指：</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（一）对可以质疑的招标文件提出质疑的，为收到招标文件之日或者招标文件公告期限届满之日；</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（二）对采购过程提出质疑的，为各采购程序环节结束之日；</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24</w:t>
      </w:r>
      <w:r>
        <w:rPr>
          <w:rFonts w:hint="eastAsia" w:ascii="宋体" w:hAnsi="宋体" w:eastAsia="宋体" w:cs="宋体"/>
          <w:color w:val="auto"/>
          <w:szCs w:val="21"/>
          <w:highlight w:val="none"/>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24</w:t>
      </w:r>
      <w:r>
        <w:rPr>
          <w:rFonts w:hint="eastAsia" w:ascii="宋体" w:hAnsi="宋体" w:eastAsia="宋体" w:cs="宋体"/>
          <w:color w:val="auto"/>
          <w:szCs w:val="21"/>
          <w:highlight w:val="none"/>
        </w:rPr>
        <w:t xml:space="preserve">.4 质疑文件应包括以下主要内容，并按照“谁主张、谁举证”的原则，附上相关证明材料。否则，采购代理机构不予受理：</w:t>
      </w:r>
      <w:r/>
    </w:p>
    <w:p>
      <w:pPr>
        <w:ind w:left="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（1）质疑项目名称、项目编号、包号、招标公告发布时间、开标时间；</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（2）具体的质疑事项及法律依据（具体条款）；</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hint="eastAsia" w:ascii="宋体" w:hAnsi="宋体" w:eastAsia="宋体" w:cs="宋体"/>
          <w:b/>
          <w:bCs/>
          <w:color w:val="auto"/>
          <w:szCs w:val="21"/>
          <w:highlight w:val="none"/>
        </w:rPr>
        <w:t xml:space="preserve">修改理由</w:t>
      </w:r>
      <w:r>
        <w:rPr>
          <w:rFonts w:hint="eastAsia" w:ascii="宋体" w:hAnsi="宋体" w:eastAsia="宋体" w:cs="宋体"/>
          <w:color w:val="auto"/>
          <w:szCs w:val="21"/>
          <w:highlight w:val="none"/>
        </w:rPr>
        <w:t xml:space="preserve">和</w:t>
      </w:r>
      <w:r>
        <w:rPr>
          <w:rFonts w:hint="eastAsia" w:ascii="宋体" w:hAnsi="宋体" w:eastAsia="宋体" w:cs="宋体"/>
          <w:b/>
          <w:bCs/>
          <w:color w:val="auto"/>
          <w:szCs w:val="21"/>
          <w:highlight w:val="none"/>
        </w:rPr>
        <w:t xml:space="preserve">修改建议</w:t>
      </w:r>
      <w:r>
        <w:rPr>
          <w:rFonts w:hint="eastAsia" w:ascii="宋体" w:hAnsi="宋体" w:eastAsia="宋体" w:cs="宋体"/>
          <w:color w:val="auto"/>
          <w:szCs w:val="21"/>
          <w:highlight w:val="none"/>
        </w:rPr>
        <w:t xml:space="preserve">）；</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（4）质疑供应商名称、地址、联系方式（包括手机、传真号码）；</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24</w:t>
      </w:r>
      <w:r>
        <w:rPr>
          <w:rFonts w:hint="eastAsia" w:ascii="宋体" w:hAnsi="宋体" w:eastAsia="宋体" w:cs="宋体"/>
          <w:color w:val="auto"/>
          <w:szCs w:val="21"/>
          <w:highlight w:val="none"/>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24</w:t>
      </w:r>
      <w:r>
        <w:rPr>
          <w:rFonts w:hint="eastAsia" w:ascii="宋体" w:hAnsi="宋体" w:eastAsia="宋体" w:cs="宋体"/>
          <w:color w:val="auto"/>
          <w:szCs w:val="21"/>
          <w:highlight w:val="none"/>
        </w:rPr>
        <w:t xml:space="preserve">.6采购代理机构在收到投标商的书面质疑后将及时组织调查核实，在</w:t>
      </w:r>
      <w:r>
        <w:rPr>
          <w:rFonts w:hint="eastAsia" w:ascii="宋体" w:hAnsi="宋体" w:eastAsia="宋体" w:cs="宋体"/>
          <w:b/>
          <w:bCs/>
          <w:color w:val="auto"/>
          <w:szCs w:val="21"/>
          <w:highlight w:val="none"/>
        </w:rPr>
        <w:t xml:space="preserve">七个工作日内</w:t>
      </w:r>
      <w:r>
        <w:rPr>
          <w:rFonts w:hint="eastAsia" w:ascii="宋体" w:hAnsi="宋体" w:eastAsia="宋体" w:cs="宋体"/>
          <w:color w:val="auto"/>
          <w:szCs w:val="21"/>
          <w:highlight w:val="none"/>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25.投诉</w:t>
      </w:r>
      <w:r/>
    </w:p>
    <w:p>
      <w:pPr>
        <w:ind w:firstLine="42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质疑投标商对代理机构的答复不满意，或代理机构未在规定的时间内作出答复的，可以在答复期满后</w:t>
      </w:r>
      <w:r>
        <w:rPr>
          <w:rFonts w:hint="eastAsia" w:ascii="宋体" w:hAnsi="宋体" w:eastAsia="宋体" w:cs="宋体"/>
          <w:b/>
          <w:bCs/>
          <w:color w:val="auto"/>
          <w:szCs w:val="21"/>
          <w:highlight w:val="none"/>
        </w:rPr>
        <w:t xml:space="preserve">十五个工作日内</w:t>
      </w:r>
      <w:r>
        <w:rPr>
          <w:rFonts w:hint="eastAsia" w:ascii="宋体" w:hAnsi="宋体" w:eastAsia="宋体" w:cs="宋体"/>
          <w:color w:val="auto"/>
          <w:szCs w:val="21"/>
          <w:highlight w:val="none"/>
        </w:rPr>
        <w:t xml:space="preserve">向采购人同级财政部门投诉。</w:t>
      </w:r>
      <w:r>
        <w:rPr>
          <w:rFonts w:hint="eastAsia" w:ascii="宋体" w:hAnsi="宋体" w:eastAsia="宋体" w:cs="宋体"/>
          <w:b/>
          <w:bCs/>
          <w:color w:val="auto"/>
          <w:szCs w:val="21"/>
          <w:highlight w:val="none"/>
        </w:rPr>
        <w:t xml:space="preserve"> </w:t>
      </w:r>
      <w:r/>
    </w:p>
    <w:p>
      <w:pPr>
        <w:ind w:firstLine="42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firstLine="42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firstLine="42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firstLine="42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firstLine="42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firstLine="42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firstLine="42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firstLine="42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firstLine="42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rPr>
          <w:rFonts w:hint="eastAsia"/>
          <w:color w:val="auto"/>
          <w:highlight w:val="none"/>
        </w:rPr>
      </w:pPr>
      <w:r>
        <w:rPr>
          <w:rFonts w:hint="eastAsia"/>
          <w:color w:val="auto"/>
          <w:highlight w:val="none"/>
        </w:rPr>
      </w:r>
      <w:r/>
    </w:p>
    <w:p>
      <w:pPr>
        <w:ind w:firstLine="3534"/>
        <w:jc w:val="both"/>
        <w:spacing w:line="360" w:lineRule="auto"/>
        <w:rPr>
          <w:rFonts w:hint="eastAsia" w:ascii="宋体" w:hAnsi="宋体" w:eastAsia="宋体" w:cs="宋体"/>
          <w:b/>
          <w:bCs/>
          <w:color w:val="auto"/>
          <w:sz w:val="32"/>
          <w:szCs w:val="32"/>
          <w:highlight w:val="none"/>
        </w:rPr>
      </w:pPr>
      <w:r/>
      <w:bookmarkStart w:id="115" w:name="_Toc668"/>
      <w:r>
        <w:rPr>
          <w:rFonts w:hint="eastAsia" w:ascii="宋体" w:hAnsi="宋体" w:eastAsia="宋体" w:cs="宋体"/>
          <w:b/>
          <w:bCs/>
          <w:color w:val="auto"/>
          <w:sz w:val="32"/>
          <w:szCs w:val="32"/>
          <w:highlight w:val="none"/>
        </w:rPr>
        <w:t xml:space="preserve">第三章 </w:t>
      </w:r>
      <w:bookmarkEnd w:id="115"/>
      <w:r>
        <w:rPr>
          <w:rFonts w:hint="eastAsia" w:ascii="宋体" w:hAnsi="宋体" w:eastAsia="宋体" w:cs="宋体"/>
          <w:b/>
          <w:bCs/>
          <w:color w:val="auto"/>
          <w:sz w:val="32"/>
          <w:szCs w:val="32"/>
          <w:highlight w:val="none"/>
        </w:rPr>
        <w:t xml:space="preserve">评标方法、评分标准</w:t>
      </w:r>
      <w:bookmarkStart w:id="116" w:name="_Toc11059"/>
      <w:r/>
      <w:r/>
    </w:p>
    <w:p>
      <w:pPr>
        <w:pStyle w:val="95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一、评标办法：</w:t>
      </w:r>
      <w:r/>
    </w:p>
    <w:p>
      <w:pPr>
        <w:pStyle w:val="95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1、评标方法采用综合评分法。即在投标文件满足招标文件全部实质性要求，且按照评审因素的量化指标评审得分最高的投标人为中标人的评标方法。（保留小数点后2位）</w:t>
      </w:r>
      <w:r/>
    </w:p>
    <w:p>
      <w:pPr>
        <w:pStyle w:val="95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2、综合评分的主要因素为：价格、技术水平、履约能力、售后服务等，对采购文件的响应程度，以及相应的商务标和技术标比重或者分值等。</w:t>
      </w:r>
      <w:r/>
    </w:p>
    <w:p>
      <w:pPr>
        <w:pStyle w:val="95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3、评委会根据本招标文件规定评分办法与评分标准综合打分，并按综合得分由高到低顺序（综合得分相同的，按价格从低到高顺序）确定3名中标候选人，排名第1者，为中标单位。</w:t>
      </w:r>
      <w:r/>
    </w:p>
    <w:p>
      <w:pPr>
        <w:pStyle w:val="95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二、政府采购政策执行办法：</w:t>
      </w:r>
      <w:r/>
    </w:p>
    <w:p>
      <w:pPr>
        <w:pStyle w:val="95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①对小型和微型企业</w:t>
      </w:r>
      <w:r>
        <w:rPr>
          <w:rFonts w:hint="eastAsia" w:ascii="宋体" w:hAnsi="宋体" w:eastAsia="宋体" w:cs="宋体"/>
          <w:color w:val="auto"/>
          <w:szCs w:val="21"/>
          <w:highlight w:val="none"/>
          <w:lang w:val="en-US" w:eastAsia="zh-CN"/>
        </w:rPr>
        <w:t xml:space="preserve">服务</w:t>
      </w:r>
      <w:r>
        <w:rPr>
          <w:rFonts w:hint="eastAsia" w:ascii="宋体" w:hAnsi="宋体" w:eastAsia="宋体" w:cs="宋体"/>
          <w:color w:val="auto"/>
          <w:szCs w:val="21"/>
          <w:highlight w:val="none"/>
        </w:rPr>
        <w:t xml:space="preserve">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pStyle w:val="95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②监狱企业视同小型、微型企业，对其</w:t>
      </w:r>
      <w:r>
        <w:rPr>
          <w:rFonts w:hint="eastAsia" w:ascii="宋体" w:hAnsi="宋体" w:eastAsia="宋体" w:cs="宋体"/>
          <w:color w:val="auto"/>
          <w:szCs w:val="21"/>
          <w:highlight w:val="none"/>
          <w:lang w:val="en-US" w:eastAsia="zh-CN"/>
        </w:rPr>
        <w:t xml:space="preserve">服务</w:t>
      </w:r>
      <w:r>
        <w:rPr>
          <w:rFonts w:hint="eastAsia" w:ascii="宋体" w:hAnsi="宋体" w:eastAsia="宋体" w:cs="宋体"/>
          <w:color w:val="auto"/>
          <w:szCs w:val="21"/>
          <w:highlight w:val="none"/>
        </w:rPr>
        <w:t xml:space="preserve">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pStyle w:val="95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③残疾人福利性单位视同小型、微型企业，对其</w:t>
      </w:r>
      <w:r>
        <w:rPr>
          <w:rFonts w:hint="eastAsia" w:ascii="宋体" w:hAnsi="宋体" w:eastAsia="宋体" w:cs="宋体"/>
          <w:color w:val="auto"/>
          <w:szCs w:val="21"/>
          <w:highlight w:val="none"/>
          <w:lang w:val="en-US" w:eastAsia="zh-CN"/>
        </w:rPr>
        <w:t xml:space="preserve">服务</w:t>
      </w:r>
      <w:r>
        <w:rPr>
          <w:rFonts w:hint="eastAsia" w:ascii="宋体" w:hAnsi="宋体" w:eastAsia="宋体" w:cs="宋体"/>
          <w:color w:val="auto"/>
          <w:szCs w:val="21"/>
          <w:highlight w:val="none"/>
        </w:rPr>
        <w:t xml:space="preserve">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95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同一投标人，上述三项价格扣除优惠不得重复享受。</w:t>
      </w:r>
      <w:r/>
    </w:p>
    <w:p>
      <w:pPr>
        <w:pStyle w:val="95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三、评分标准：</w:t>
      </w:r>
      <w:r/>
    </w:p>
    <w:p>
      <w:pPr>
        <w:pStyle w:val="95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本次</w:t>
      </w:r>
      <w:r>
        <w:rPr>
          <w:rFonts w:hint="eastAsia" w:hAnsi="宋体" w:cs="宋体"/>
          <w:color w:val="auto"/>
          <w:szCs w:val="21"/>
          <w:highlight w:val="none"/>
          <w:lang w:val="en-US" w:eastAsia="zh-CN"/>
        </w:rPr>
        <w:t xml:space="preserve">包1、包2</w:t>
      </w:r>
      <w:r>
        <w:rPr>
          <w:rFonts w:hint="eastAsia" w:ascii="宋体" w:hAnsi="宋体" w:eastAsia="宋体" w:cs="宋体"/>
          <w:color w:val="auto"/>
          <w:szCs w:val="21"/>
          <w:highlight w:val="none"/>
        </w:rPr>
        <w:t xml:space="preserve">采购的评标方法采用综合评分法，小数点后保留两位，四舍五入。</w:t>
      </w:r>
      <w:r/>
    </w:p>
    <w:tbl>
      <w:tblPr>
        <w:tblStyle w:val="909"/>
        <w:tblW w:w="9708"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03"/>
        <w:gridCol w:w="1858"/>
        <w:gridCol w:w="6227"/>
        <w:gridCol w:w="920"/>
      </w:tblGrid>
      <w:tr>
        <w:trPr>
          <w:trHeight w:val="722"/>
        </w:trPr>
        <w:tc>
          <w:tcPr>
            <w:tcMar>
              <w:left w:w="108" w:type="dxa"/>
              <w:top w:w="0" w:type="dxa"/>
              <w:right w:w="108" w:type="dxa"/>
              <w:bottom w:w="0" w:type="dxa"/>
            </w:tcMar>
            <w:tcW w:w="70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序号</w:t>
            </w:r>
            <w:r/>
          </w:p>
        </w:tc>
        <w:tc>
          <w:tcPr>
            <w:tcMar>
              <w:left w:w="108" w:type="dxa"/>
              <w:top w:w="0" w:type="dxa"/>
              <w:right w:w="108" w:type="dxa"/>
              <w:bottom w:w="0" w:type="dxa"/>
            </w:tcMar>
            <w:tcW w:w="18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评分因素</w:t>
            </w:r>
            <w:r/>
          </w:p>
        </w:tc>
        <w:tc>
          <w:tcPr>
            <w:tcMar>
              <w:left w:w="108" w:type="dxa"/>
              <w:top w:w="0" w:type="dxa"/>
              <w:right w:w="108" w:type="dxa"/>
              <w:bottom w:w="0" w:type="dxa"/>
            </w:tcMar>
            <w:tcW w:w="6227"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评审标准</w:t>
            </w:r>
            <w:r/>
          </w:p>
        </w:tc>
        <w:tc>
          <w:tcPr>
            <w:tcMar>
              <w:left w:w="108" w:type="dxa"/>
              <w:top w:w="0" w:type="dxa"/>
              <w:right w:w="108" w:type="dxa"/>
              <w:bottom w:w="0" w:type="dxa"/>
            </w:tcMar>
            <w:tcW w:w="92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分值</w:t>
            </w:r>
            <w:r/>
          </w:p>
        </w:tc>
      </w:tr>
      <w:tr>
        <w:trPr>
          <w:trHeight w:val="90"/>
        </w:trPr>
        <w:tc>
          <w:tcPr>
            <w:tcMar>
              <w:left w:w="108" w:type="dxa"/>
              <w:top w:w="0" w:type="dxa"/>
              <w:right w:w="108" w:type="dxa"/>
              <w:bottom w:w="0" w:type="dxa"/>
            </w:tcMar>
            <w:tcW w:w="703" w:type="dxa"/>
            <w:vAlign w:val="center"/>
            <w:textDirection w:val="lrTb"/>
            <w:noWrap w:val="false"/>
          </w:tcPr>
          <w:p>
            <w:pPr>
              <w:ind w:left="0" w:right="0" w:firstLine="21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tcMar>
              <w:left w:w="108" w:type="dxa"/>
              <w:top w:w="0" w:type="dxa"/>
              <w:right w:w="108" w:type="dxa"/>
              <w:bottom w:w="0" w:type="dxa"/>
            </w:tcMar>
            <w:tcW w:w="18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报价</w:t>
            </w:r>
            <w:r/>
          </w:p>
          <w:p>
            <w:pPr>
              <w:ind w:left="0" w:right="0" w:firstLine="0"/>
              <w:jc w:val="center"/>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10</w:t>
            </w:r>
            <w:r>
              <w:rPr>
                <w:rFonts w:hint="eastAsia" w:ascii="宋体" w:hAnsi="宋体" w:eastAsia="宋体" w:cs="宋体"/>
                <w:b/>
                <w:color w:val="auto"/>
                <w:sz w:val="21"/>
                <w:szCs w:val="21"/>
                <w:highlight w:val="none"/>
              </w:rPr>
              <w:t xml:space="preserve">分</w:t>
            </w:r>
            <w:r>
              <w:rPr>
                <w:rFonts w:hint="eastAsia" w:ascii="宋体" w:hAnsi="宋体" w:eastAsia="宋体" w:cs="宋体"/>
                <w:color w:val="auto"/>
                <w:sz w:val="21"/>
                <w:szCs w:val="21"/>
                <w:highlight w:val="none"/>
              </w:rPr>
              <w:t xml:space="preserve">）</w:t>
            </w:r>
            <w:r/>
          </w:p>
        </w:tc>
        <w:tc>
          <w:tcPr>
            <w:tcMar>
              <w:left w:w="108" w:type="dxa"/>
              <w:top w:w="0" w:type="dxa"/>
              <w:right w:w="108" w:type="dxa"/>
              <w:bottom w:w="0" w:type="dxa"/>
            </w:tcMar>
            <w:tcW w:w="6227" w:type="dxa"/>
            <w:vAlign w:val="center"/>
            <w:textDirection w:val="lrTb"/>
            <w:noWrap w:val="false"/>
          </w:tcPr>
          <w:p>
            <w:pPr>
              <w:spacing w:after="0" w:line="360" w:lineRule="auto"/>
              <w:tabs>
                <w:tab w:val="left" w:pos="840" w:leader="none"/>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价格评审采用低价优先法计算，即满足采购文件要求且价格最低的投标报价为基准价，其价格分为满分。其他供应商的价格分按照下列公式计算。报价得分=(基准价／投标报价)×</w:t>
            </w:r>
            <w:r>
              <w:rPr>
                <w:rFonts w:hint="eastAsia"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w:t>
            </w:r>
            <w:r/>
          </w:p>
        </w:tc>
        <w:tc>
          <w:tcPr>
            <w:tcMar>
              <w:left w:w="108" w:type="dxa"/>
              <w:top w:w="0" w:type="dxa"/>
              <w:right w:w="108" w:type="dxa"/>
              <w:bottom w:w="0" w:type="dxa"/>
            </w:tcMar>
            <w:tcW w:w="920" w:type="dxa"/>
            <w:vAlign w:val="center"/>
            <w:textDirection w:val="lrTb"/>
            <w:noWrap w:val="false"/>
          </w:tcPr>
          <w:p>
            <w:pPr>
              <w:ind w:left="0" w:right="0" w:firstLine="0"/>
              <w:jc w:val="center"/>
              <w:spacing w:before="0" w:after="0" w:line="240" w:lineRule="auto"/>
              <w:rPr>
                <w:rFonts w:hint="eastAsia" w:ascii="宋体" w:hAnsi="宋体" w:eastAsia="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en-US" w:eastAsia="zh-CN"/>
              </w:rPr>
              <w:t xml:space="preserve">0</w:t>
            </w:r>
            <w:r/>
          </w:p>
        </w:tc>
      </w:tr>
      <w:tr>
        <w:trPr>
          <w:trHeight w:val="90"/>
        </w:trPr>
        <w:tc>
          <w:tcPr>
            <w:tcMar>
              <w:left w:w="108" w:type="dxa"/>
              <w:top w:w="0" w:type="dxa"/>
              <w:right w:w="108" w:type="dxa"/>
              <w:bottom w:w="0" w:type="dxa"/>
            </w:tcMar>
            <w:tcW w:w="70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w:t>
            </w:r>
            <w:r/>
          </w:p>
        </w:tc>
        <w:tc>
          <w:tcPr>
            <w:tcMar>
              <w:left w:w="108" w:type="dxa"/>
              <w:top w:w="0" w:type="dxa"/>
              <w:right w:w="108" w:type="dxa"/>
              <w:bottom w:w="0" w:type="dxa"/>
            </w:tcMar>
            <w:tcW w:w="1858" w:type="dxa"/>
            <w:vAlign w:val="center"/>
            <w:textDirection w:val="lrTb"/>
            <w:noWrap w:val="false"/>
          </w:tcPr>
          <w:p>
            <w:pPr>
              <w:pStyle w:val="892"/>
              <w:ind w:left="0" w:firstLine="0"/>
              <w:jc w:val="center"/>
              <w:spacing w:after="0" w:line="24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892"/>
              <w:ind w:left="0" w:firstLine="0"/>
              <w:jc w:val="center"/>
              <w:spacing w:after="0" w:line="24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892"/>
              <w:ind w:left="0" w:firstLine="0"/>
              <w:jc w:val="center"/>
              <w:spacing w:after="0" w:line="240" w:lineRule="auto"/>
              <w:rPr>
                <w:rFonts w:hint="eastAsia" w:ascii="宋体" w:hAnsi="宋体" w:eastAsia="宋体" w:cs="宋体"/>
                <w:color w:val="auto"/>
                <w:highlight w:val="none"/>
                <w:lang w:eastAsia="zh-CN"/>
              </w:rPr>
            </w:pPr>
            <w:r>
              <w:rPr>
                <w:rFonts w:hint="eastAsia" w:ascii="宋体" w:hAnsi="宋体" w:eastAsia="宋体" w:cs="宋体"/>
                <w:b/>
                <w:bCs/>
                <w:color w:val="auto"/>
                <w:szCs w:val="21"/>
                <w:highlight w:val="none"/>
              </w:rPr>
              <w:t xml:space="preserve">采购需求响应</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25分</w:t>
            </w:r>
            <w:r>
              <w:rPr>
                <w:rFonts w:hint="eastAsia" w:ascii="宋体" w:hAnsi="宋体" w:eastAsia="宋体" w:cs="宋体"/>
                <w:b/>
                <w:bCs/>
                <w:color w:val="auto"/>
                <w:szCs w:val="21"/>
                <w:highlight w:val="none"/>
                <w:lang w:eastAsia="zh-CN"/>
              </w:rPr>
              <w:t xml:space="preserve">）</w:t>
            </w:r>
            <w:r/>
          </w:p>
        </w:tc>
        <w:tc>
          <w:tcPr>
            <w:tcMar>
              <w:left w:w="108" w:type="dxa"/>
              <w:top w:w="0" w:type="dxa"/>
              <w:right w:w="108" w:type="dxa"/>
              <w:bottom w:w="0" w:type="dxa"/>
            </w:tcMar>
            <w:tcW w:w="6227" w:type="dxa"/>
            <w:vAlign w:val="center"/>
            <w:textDirection w:val="lrTb"/>
            <w:noWrap w:val="false"/>
          </w:tcPr>
          <w:p>
            <w:pPr>
              <w:spacing w:after="0" w:line="360" w:lineRule="auto"/>
              <w:rPr>
                <w:rFonts w:hint="eastAsia" w:ascii="宋体" w:hAnsi="宋体" w:eastAsia="宋体" w:cs="宋体"/>
                <w:color w:val="auto"/>
                <w:szCs w:val="21"/>
                <w:highlight w:val="none"/>
              </w:rPr>
            </w:pPr>
            <w:r>
              <w:rPr>
                <w:rFonts w:hint="eastAsia" w:ascii="Arial" w:hAnsi="Arial" w:eastAsia="宋体" w:cs="Arial"/>
                <w:bCs/>
                <w:color w:val="auto"/>
                <w:highlight w:val="none"/>
                <w:lang w:val="en-US" w:eastAsia="zh-CN"/>
              </w:rPr>
              <w:t xml:space="preserve">第四章采购需求内容</w:t>
            </w:r>
            <w:r>
              <w:rPr>
                <w:rFonts w:hint="default" w:ascii="Arial" w:hAnsi="Arial" w:eastAsia="宋体" w:cs="Arial"/>
                <w:bCs/>
                <w:color w:val="auto"/>
                <w:highlight w:val="none"/>
              </w:rPr>
              <w:t xml:space="preserve">全部满足招标要求的得满分</w:t>
            </w:r>
            <w:r>
              <w:rPr>
                <w:rFonts w:hint="eastAsia" w:ascii="Arial" w:hAnsi="Arial" w:eastAsia="宋体" w:cs="Arial"/>
                <w:color w:val="auto"/>
                <w:highlight w:val="none"/>
                <w:lang w:val="en-US" w:eastAsia="zh-CN"/>
              </w:rPr>
              <w:t xml:space="preserve">25</w:t>
            </w:r>
            <w:r>
              <w:rPr>
                <w:rFonts w:hint="default" w:ascii="Arial" w:hAnsi="Arial" w:eastAsia="宋体" w:cs="Arial"/>
                <w:bCs/>
                <w:color w:val="auto"/>
                <w:highlight w:val="none"/>
              </w:rPr>
              <w:t xml:space="preserve">分</w:t>
            </w:r>
            <w:r>
              <w:rPr>
                <w:rFonts w:hint="eastAsia" w:ascii="Arial" w:hAnsi="Arial" w:eastAsia="宋体" w:cs="Arial"/>
                <w:bCs/>
                <w:color w:val="auto"/>
                <w:highlight w:val="none"/>
                <w:lang w:eastAsia="zh-CN"/>
              </w:rPr>
              <w:t xml:space="preserve">。</w:t>
            </w:r>
            <w:r>
              <w:rPr>
                <w:rFonts w:hint="eastAsia" w:ascii="Arial" w:hAnsi="Arial" w:eastAsia="宋体" w:cs="Arial"/>
                <w:bCs/>
                <w:color w:val="auto"/>
                <w:highlight w:val="none"/>
                <w:lang w:val="en-US" w:eastAsia="zh-CN"/>
              </w:rPr>
              <w:t xml:space="preserve">其中</w:t>
            </w:r>
            <w:r>
              <w:rPr>
                <w:rFonts w:hint="default" w:ascii="Arial" w:hAnsi="Arial" w:eastAsia="宋体" w:cs="Arial"/>
                <w:color w:val="auto"/>
                <w:highlight w:val="none"/>
              </w:rPr>
              <w:t xml:space="preserve">标注“</w:t>
            </w:r>
            <w:r>
              <w:rPr>
                <w:rFonts w:hint="default" w:ascii="Segoe UI Symbol" w:hAnsi="Segoe UI Symbol" w:eastAsia="宋体" w:cs="Segoe UI Symbol"/>
                <w:color w:val="auto"/>
                <w:highlight w:val="none"/>
              </w:rPr>
              <w:t xml:space="preserve">★</w:t>
            </w:r>
            <w:r>
              <w:rPr>
                <w:rFonts w:hint="default" w:ascii="Arial" w:hAnsi="Arial" w:eastAsia="宋体" w:cs="Arial"/>
                <w:color w:val="auto"/>
                <w:highlight w:val="none"/>
              </w:rPr>
              <w:t xml:space="preserve">”的内容为实质性要求，有一项不符合的，作无效投标处理</w:t>
            </w:r>
            <w:r>
              <w:rPr>
                <w:rFonts w:hint="eastAsia" w:ascii="Arial" w:hAnsi="Arial" w:eastAsia="宋体" w:cs="Arial"/>
                <w:color w:val="auto"/>
                <w:highlight w:val="none"/>
                <w:lang w:eastAsia="zh-CN"/>
              </w:rPr>
              <w:t xml:space="preserve">；</w:t>
            </w:r>
            <w:r>
              <w:rPr>
                <w:rFonts w:hint="default" w:ascii="Arial" w:hAnsi="Arial" w:eastAsia="宋体" w:cs="Arial"/>
                <w:color w:val="auto"/>
                <w:highlight w:val="none"/>
              </w:rPr>
              <w:t xml:space="preserve">标注“</w:t>
            </w:r>
            <w:r>
              <w:rPr>
                <w:rFonts w:hint="default" w:ascii="Arial" w:hAnsi="Arial" w:eastAsia="仿宋_GB2312" w:cs="Arial"/>
                <w:color w:val="auto"/>
                <w:sz w:val="24"/>
                <w:highlight w:val="none"/>
              </w:rPr>
              <w:t xml:space="preserve">▲</w:t>
            </w:r>
            <w:r>
              <w:rPr>
                <w:rFonts w:hint="default" w:ascii="Arial" w:hAnsi="Arial" w:eastAsia="宋体" w:cs="Arial"/>
                <w:color w:val="auto"/>
                <w:highlight w:val="none"/>
              </w:rPr>
              <w:t xml:space="preserve">”</w:t>
            </w:r>
            <w:r>
              <w:rPr>
                <w:rFonts w:hint="default" w:ascii="Arial" w:hAnsi="Arial" w:eastAsia="宋体" w:cs="Arial"/>
                <w:bCs/>
                <w:color w:val="auto"/>
                <w:highlight w:val="none"/>
              </w:rPr>
              <w:t xml:space="preserve">的</w:t>
            </w:r>
            <w:r>
              <w:rPr>
                <w:rFonts w:hint="default" w:ascii="Arial" w:hAnsi="Arial" w:eastAsia="宋体" w:cs="Arial"/>
                <w:color w:val="auto"/>
                <w:highlight w:val="none"/>
              </w:rPr>
              <w:t xml:space="preserve">为重要</w:t>
            </w:r>
            <w:r>
              <w:rPr>
                <w:rFonts w:hint="eastAsia" w:ascii="Arial" w:hAnsi="Arial" w:eastAsia="宋体" w:cs="Arial"/>
                <w:color w:val="auto"/>
                <w:highlight w:val="none"/>
                <w:lang w:val="en-US" w:eastAsia="zh-CN"/>
              </w:rPr>
              <w:t xml:space="preserve">要求</w:t>
            </w:r>
            <w:r>
              <w:rPr>
                <w:rFonts w:hint="default" w:ascii="Arial" w:hAnsi="Arial" w:eastAsia="宋体" w:cs="Arial"/>
                <w:color w:val="auto"/>
                <w:highlight w:val="none"/>
              </w:rPr>
              <w:t xml:space="preserve">，每负偏离一项</w:t>
            </w:r>
            <w:r>
              <w:rPr>
                <w:rFonts w:hint="eastAsia" w:ascii="Arial" w:hAnsi="Arial" w:eastAsia="宋体" w:cs="Arial"/>
                <w:color w:val="auto"/>
                <w:highlight w:val="none"/>
                <w:lang w:val="en-US" w:eastAsia="zh-CN"/>
              </w:rPr>
              <w:t xml:space="preserve">5</w:t>
            </w:r>
            <w:r>
              <w:rPr>
                <w:rFonts w:hint="default" w:ascii="Arial" w:hAnsi="Arial" w:eastAsia="宋体" w:cs="Arial"/>
                <w:color w:val="auto"/>
                <w:highlight w:val="none"/>
              </w:rPr>
              <w:t xml:space="preserve">分</w:t>
            </w:r>
            <w:r>
              <w:rPr>
                <w:rFonts w:hint="eastAsia" w:ascii="Arial" w:hAnsi="Arial" w:eastAsia="宋体" w:cs="Arial"/>
                <w:color w:val="auto"/>
                <w:highlight w:val="none"/>
                <w:lang w:eastAsia="zh-CN"/>
              </w:rPr>
              <w:t xml:space="preserve">；</w:t>
            </w:r>
            <w:r>
              <w:rPr>
                <w:rFonts w:hint="default" w:ascii="Arial" w:hAnsi="Arial" w:eastAsia="宋体" w:cs="Arial"/>
                <w:color w:val="auto"/>
                <w:highlight w:val="none"/>
              </w:rPr>
              <w:t xml:space="preserve">其他</w:t>
            </w:r>
            <w:r>
              <w:rPr>
                <w:rFonts w:hint="eastAsia" w:ascii="Arial" w:hAnsi="Arial" w:eastAsia="宋体" w:cs="Arial"/>
                <w:color w:val="auto"/>
                <w:highlight w:val="none"/>
                <w:lang w:val="en-US" w:eastAsia="zh-CN"/>
              </w:rPr>
              <w:t xml:space="preserve">为一般要求，每负偏离一项</w:t>
            </w:r>
            <w:r>
              <w:rPr>
                <w:rFonts w:hint="default" w:ascii="Arial" w:hAnsi="Arial" w:eastAsia="宋体" w:cs="Arial"/>
                <w:color w:val="auto"/>
                <w:highlight w:val="none"/>
              </w:rPr>
              <w:t xml:space="preserve">扣</w:t>
            </w:r>
            <w:r>
              <w:rPr>
                <w:rFonts w:hint="eastAsia" w:ascii="Arial" w:hAnsi="Arial" w:cs="Arial"/>
                <w:color w:val="auto"/>
                <w:highlight w:val="none"/>
                <w:lang w:val="en-US" w:eastAsia="zh-CN"/>
              </w:rPr>
              <w:t xml:space="preserve">1.2</w:t>
            </w:r>
            <w:r>
              <w:rPr>
                <w:rFonts w:hint="default" w:ascii="Arial" w:hAnsi="Arial" w:eastAsia="宋体" w:cs="Arial"/>
                <w:color w:val="auto"/>
                <w:highlight w:val="none"/>
              </w:rPr>
              <w:t xml:space="preserve">分，扣完为止。</w:t>
            </w:r>
            <w:r/>
          </w:p>
        </w:tc>
        <w:tc>
          <w:tcPr>
            <w:tcMar>
              <w:left w:w="108" w:type="dxa"/>
              <w:top w:w="0" w:type="dxa"/>
              <w:right w:w="108" w:type="dxa"/>
              <w:bottom w:w="0" w:type="dxa"/>
            </w:tcMar>
            <w:tcW w:w="920" w:type="dxa"/>
            <w:vAlign w:val="center"/>
            <w:textDirection w:val="lrTb"/>
            <w:noWrap w:val="false"/>
          </w:tcPr>
          <w:p>
            <w:pPr>
              <w:ind w:left="0" w:right="0" w:firstLine="0"/>
              <w:jc w:val="center"/>
              <w:spacing w:before="0" w:after="0" w:line="240" w:lineRule="auto"/>
              <w:rPr>
                <w:rFonts w:hint="default" w:ascii="宋体" w:hAnsi="宋体" w:eastAsia="宋体" w:cs="宋体"/>
                <w:b/>
                <w:bCs/>
                <w:color w:val="auto"/>
                <w:sz w:val="21"/>
                <w:szCs w:val="21"/>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lang w:val="en-US" w:eastAsia="zh-CN"/>
              </w:rPr>
              <w:t xml:space="preserve">25</w:t>
            </w:r>
            <w:r/>
          </w:p>
        </w:tc>
      </w:tr>
      <w:tr>
        <w:trPr>
          <w:trHeight w:val="90"/>
        </w:trPr>
        <w:tc>
          <w:tcPr>
            <w:tcMar>
              <w:left w:w="108" w:type="dxa"/>
              <w:top w:w="0" w:type="dxa"/>
              <w:right w:w="108" w:type="dxa"/>
              <w:bottom w:w="0" w:type="dxa"/>
            </w:tcMar>
            <w:tcW w:w="703"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3</w:t>
            </w:r>
            <w:r/>
          </w:p>
        </w:tc>
        <w:tc>
          <w:tcPr>
            <w:tcMar>
              <w:left w:w="108" w:type="dxa"/>
              <w:top w:w="0" w:type="dxa"/>
              <w:right w:w="108" w:type="dxa"/>
              <w:bottom w:w="0" w:type="dxa"/>
            </w:tcMar>
            <w:tcW w:w="1858" w:type="dxa"/>
            <w:vAlign w:val="center"/>
            <w:vMerge w:val="restart"/>
            <w:textDirection w:val="lrTb"/>
            <w:noWrap w:val="false"/>
          </w:tcPr>
          <w:p>
            <w:pPr>
              <w:pStyle w:val="892"/>
              <w:ind w:left="0" w:firstLine="0"/>
              <w:jc w:val="center"/>
              <w:spacing w:after="0" w:line="24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r>
            <w:r/>
          </w:p>
          <w:p>
            <w:pPr>
              <w:pStyle w:val="892"/>
              <w:ind w:left="0" w:firstLine="0"/>
              <w:jc w:val="center"/>
              <w:spacing w:after="0" w:line="24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r>
            <w:r/>
          </w:p>
          <w:p>
            <w:pPr>
              <w:pStyle w:val="892"/>
              <w:ind w:left="0" w:firstLine="0"/>
              <w:jc w:val="center"/>
              <w:spacing w:after="0" w:line="24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r>
            <w:r/>
          </w:p>
          <w:p>
            <w:pPr>
              <w:pStyle w:val="892"/>
              <w:ind w:left="0" w:firstLine="0"/>
              <w:jc w:val="center"/>
              <w:spacing w:after="0" w:line="24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r>
            <w:r/>
          </w:p>
          <w:p>
            <w:pPr>
              <w:pStyle w:val="892"/>
              <w:ind w:left="0" w:firstLine="0"/>
              <w:jc w:val="center"/>
              <w:spacing w:after="0" w:line="24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r>
            <w:r/>
          </w:p>
          <w:p>
            <w:pPr>
              <w:pStyle w:val="892"/>
              <w:ind w:left="0" w:firstLine="0"/>
              <w:jc w:val="center"/>
              <w:spacing w:after="0" w:line="24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r>
            <w:r/>
          </w:p>
          <w:p>
            <w:pPr>
              <w:pStyle w:val="892"/>
              <w:ind w:left="0" w:firstLine="0"/>
              <w:jc w:val="center"/>
              <w:spacing w:after="0" w:line="24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r>
            <w:r/>
          </w:p>
          <w:p>
            <w:pPr>
              <w:pStyle w:val="892"/>
              <w:ind w:left="0" w:firstLine="0"/>
              <w:jc w:val="center"/>
              <w:spacing w:after="0" w:line="24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r>
            <w:r/>
          </w:p>
          <w:p>
            <w:pPr>
              <w:pStyle w:val="892"/>
              <w:ind w:left="0" w:firstLine="0"/>
              <w:jc w:val="center"/>
              <w:spacing w:after="0" w:line="240" w:lineRule="auto"/>
              <w:rPr>
                <w:rFonts w:hint="default" w:ascii="宋体" w:hAnsi="宋体" w:eastAsia="宋体" w:cs="宋体"/>
                <w:color w:val="auto"/>
                <w:highlight w:val="none"/>
                <w:lang w:val="en-US" w:eastAsia="zh-CN"/>
              </w:rPr>
            </w:pPr>
            <w:r>
              <w:rPr>
                <w:rFonts w:hint="eastAsia" w:ascii="宋体" w:hAnsi="宋体" w:cs="宋体"/>
                <w:b/>
                <w:bCs/>
                <w:color w:val="auto"/>
                <w:highlight w:val="none"/>
                <w:lang w:val="en-US" w:eastAsia="zh-CN"/>
              </w:rPr>
              <w:t xml:space="preserve">维保服务方案     （36分）</w:t>
            </w:r>
            <w:r/>
          </w:p>
        </w:tc>
        <w:tc>
          <w:tcPr>
            <w:tcMar>
              <w:left w:w="108" w:type="dxa"/>
              <w:top w:w="0" w:type="dxa"/>
              <w:right w:w="108" w:type="dxa"/>
              <w:bottom w:w="0" w:type="dxa"/>
            </w:tcMar>
            <w:tcW w:w="6227" w:type="dxa"/>
            <w:vAlign w:val="center"/>
            <w:textDirection w:val="lrTb"/>
            <w:noWrap w:val="false"/>
          </w:tcPr>
          <w:p>
            <w:pPr>
              <w:spacing w:after="0" w:line="360" w:lineRule="auto"/>
              <w:rPr>
                <w:rFonts w:hint="eastAsia" w:ascii="Arial" w:hAnsi="Arial" w:eastAsia="宋体" w:cs="Arial"/>
                <w:b/>
                <w:bCs/>
                <w:color w:val="auto"/>
                <w:highlight w:val="none"/>
              </w:rPr>
            </w:pPr>
            <w:r>
              <w:rPr>
                <w:rFonts w:hint="eastAsia" w:ascii="Arial" w:hAnsi="Arial" w:eastAsia="宋体" w:cs="Arial"/>
                <w:b/>
                <w:bCs/>
                <w:color w:val="auto"/>
                <w:highlight w:val="none"/>
              </w:rPr>
              <w:t xml:space="preserve">针对本项目的日常维护方案（</w:t>
            </w:r>
            <w:r>
              <w:rPr>
                <w:rFonts w:hint="eastAsia" w:ascii="Arial" w:hAnsi="Arial" w:eastAsia="宋体" w:cs="Arial"/>
                <w:b/>
                <w:bCs/>
                <w:color w:val="auto"/>
                <w:highlight w:val="none"/>
                <w:lang w:val="en-US" w:eastAsia="zh-CN"/>
              </w:rPr>
              <w:t xml:space="preserve">7</w:t>
            </w:r>
            <w:r>
              <w:rPr>
                <w:rFonts w:hint="eastAsia" w:ascii="Arial" w:hAnsi="Arial" w:eastAsia="宋体" w:cs="Arial"/>
                <w:b/>
                <w:bCs/>
                <w:color w:val="auto"/>
                <w:highlight w:val="none"/>
              </w:rPr>
              <w:t xml:space="preserve">分）</w:t>
            </w:r>
            <w:r/>
          </w:p>
          <w:p>
            <w:pPr>
              <w:spacing w:after="0" w:line="360" w:lineRule="auto"/>
              <w:rPr>
                <w:rFonts w:hint="eastAsia" w:ascii="Arial" w:hAnsi="Arial" w:eastAsia="宋体" w:cs="Arial"/>
                <w:color w:val="auto"/>
                <w:highlight w:val="none"/>
              </w:rPr>
            </w:pPr>
            <w:r>
              <w:rPr>
                <w:rFonts w:hint="eastAsia" w:ascii="Arial" w:hAnsi="Arial" w:eastAsia="宋体" w:cs="Arial"/>
                <w:color w:val="auto"/>
                <w:highlight w:val="none"/>
              </w:rPr>
              <w:t xml:space="preserve">根据维护方案的完整性、可行性等情况综合评分。包括：维护服务流程、服务标准、服务管理、服务措施、安全保障措施、重大故障处理等方面。</w:t>
            </w:r>
            <w:r/>
          </w:p>
          <w:p>
            <w:pPr>
              <w:spacing w:after="0" w:line="360" w:lineRule="auto"/>
              <w:rPr>
                <w:rFonts w:hint="default" w:ascii="Arial" w:hAnsi="Arial" w:eastAsia="宋体" w:cs="Arial"/>
                <w:color w:val="auto"/>
                <w:highlight w:val="none"/>
              </w:rPr>
            </w:pPr>
            <w:r>
              <w:rPr>
                <w:rFonts w:hint="eastAsia" w:ascii="Arial" w:hAnsi="Arial" w:eastAsia="宋体" w:cs="Arial"/>
                <w:color w:val="auto"/>
                <w:highlight w:val="none"/>
              </w:rPr>
              <w:t xml:space="preserve">1、方案详细完整，针对性强、可操作性强，思路合理得</w:t>
            </w:r>
            <w:r>
              <w:rPr>
                <w:rFonts w:hint="eastAsia" w:ascii="Arial" w:hAnsi="Arial" w:eastAsia="宋体" w:cs="Arial"/>
                <w:color w:val="auto"/>
                <w:highlight w:val="none"/>
                <w:lang w:val="en-US" w:eastAsia="zh-CN"/>
              </w:rPr>
              <w:t xml:space="preserve">7</w:t>
            </w:r>
            <w:r>
              <w:rPr>
                <w:rFonts w:hint="eastAsia" w:ascii="Arial" w:hAnsi="Arial" w:eastAsia="宋体" w:cs="Arial"/>
                <w:color w:val="auto"/>
                <w:highlight w:val="none"/>
              </w:rPr>
              <w:t xml:space="preserve">分；</w:t>
            </w:r>
            <w:r/>
          </w:p>
          <w:p>
            <w:pPr>
              <w:spacing w:after="0" w:line="360" w:lineRule="auto"/>
              <w:rPr>
                <w:rFonts w:hint="default" w:ascii="Arial" w:hAnsi="Arial" w:eastAsia="宋体" w:cs="Arial"/>
                <w:color w:val="auto"/>
                <w:highlight w:val="none"/>
              </w:rPr>
            </w:pPr>
            <w:r>
              <w:rPr>
                <w:rFonts w:hint="eastAsia" w:ascii="Arial" w:hAnsi="Arial" w:eastAsia="宋体" w:cs="Arial"/>
                <w:color w:val="auto"/>
                <w:highlight w:val="none"/>
              </w:rPr>
              <w:t xml:space="preserve">2、方案较详细，针对性、可操作性较强，思路较合理得</w:t>
            </w:r>
            <w:r>
              <w:rPr>
                <w:rFonts w:hint="eastAsia" w:ascii="Arial" w:hAnsi="Arial" w:eastAsia="宋体" w:cs="Arial"/>
                <w:color w:val="auto"/>
                <w:highlight w:val="none"/>
                <w:lang w:val="en-US" w:eastAsia="zh-CN"/>
              </w:rPr>
              <w:t xml:space="preserve">4</w:t>
            </w:r>
            <w:r>
              <w:rPr>
                <w:rFonts w:hint="eastAsia" w:ascii="Arial" w:hAnsi="Arial" w:eastAsia="宋体" w:cs="Arial"/>
                <w:color w:val="auto"/>
                <w:highlight w:val="none"/>
              </w:rPr>
              <w:t xml:space="preserve">分；</w:t>
            </w:r>
            <w:r/>
          </w:p>
          <w:p>
            <w:pPr>
              <w:spacing w:after="0" w:line="360" w:lineRule="auto"/>
              <w:rPr>
                <w:rFonts w:hint="default" w:ascii="Arial" w:hAnsi="Arial" w:eastAsia="宋体" w:cs="Arial"/>
                <w:color w:val="auto"/>
                <w:highlight w:val="none"/>
              </w:rPr>
            </w:pPr>
            <w:r>
              <w:rPr>
                <w:rFonts w:hint="eastAsia" w:ascii="Arial" w:hAnsi="Arial" w:eastAsia="宋体" w:cs="Arial"/>
                <w:color w:val="auto"/>
                <w:highlight w:val="none"/>
              </w:rPr>
              <w:t xml:space="preserve">3、方案简单，针对性、可操作性一般，思路可行性不高得</w:t>
            </w:r>
            <w:r>
              <w:rPr>
                <w:rFonts w:hint="eastAsia" w:ascii="Arial" w:hAnsi="Arial" w:eastAsia="宋体" w:cs="Arial"/>
                <w:color w:val="auto"/>
                <w:highlight w:val="none"/>
                <w:lang w:val="en-US" w:eastAsia="zh-CN"/>
              </w:rPr>
              <w:t xml:space="preserve">2</w:t>
            </w:r>
            <w:r>
              <w:rPr>
                <w:rFonts w:hint="eastAsia" w:ascii="Arial" w:hAnsi="Arial" w:eastAsia="宋体" w:cs="Arial"/>
                <w:color w:val="auto"/>
                <w:highlight w:val="none"/>
              </w:rPr>
              <w:t xml:space="preserve">分；</w:t>
            </w:r>
            <w:r/>
          </w:p>
          <w:p>
            <w:pPr>
              <w:spacing w:after="0" w:line="360" w:lineRule="auto"/>
              <w:rPr>
                <w:rFonts w:hint="eastAsia" w:ascii="宋体" w:hAnsi="宋体" w:eastAsia="宋体" w:cs="宋体"/>
                <w:color w:val="auto"/>
                <w:szCs w:val="21"/>
                <w:highlight w:val="none"/>
              </w:rPr>
            </w:pPr>
            <w:r>
              <w:rPr>
                <w:rFonts w:hint="eastAsia" w:ascii="Arial" w:hAnsi="Arial" w:eastAsia="宋体" w:cs="Arial"/>
                <w:color w:val="auto"/>
                <w:highlight w:val="none"/>
              </w:rPr>
              <w:t xml:space="preserve">4、未提供方案，不得分。</w:t>
            </w:r>
            <w:r/>
          </w:p>
        </w:tc>
        <w:tc>
          <w:tcPr>
            <w:tcMar>
              <w:left w:w="108" w:type="dxa"/>
              <w:top w:w="0" w:type="dxa"/>
              <w:right w:w="108" w:type="dxa"/>
              <w:bottom w:w="0" w:type="dxa"/>
            </w:tcMar>
            <w:tcW w:w="920" w:type="dxa"/>
            <w:vAlign w:val="center"/>
            <w:textDirection w:val="lrTb"/>
            <w:noWrap w:val="false"/>
          </w:tcPr>
          <w:p>
            <w:pPr>
              <w:ind w:left="0" w:right="0" w:firstLine="0"/>
              <w:jc w:val="center"/>
              <w:spacing w:before="0" w:after="0" w:line="240" w:lineRule="auto"/>
              <w:rPr>
                <w:rFonts w:hint="eastAsia" w:ascii="宋体" w:hAnsi="宋体" w:eastAsia="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lang w:val="en-US" w:eastAsia="zh-CN"/>
              </w:rPr>
              <w:t xml:space="preserve">7</w:t>
            </w:r>
            <w:r/>
          </w:p>
        </w:tc>
      </w:tr>
      <w:tr>
        <w:trPr>
          <w:trHeight w:val="90"/>
        </w:trPr>
        <w:tc>
          <w:tcPr>
            <w:tcMar>
              <w:left w:w="108" w:type="dxa"/>
              <w:top w:w="0" w:type="dxa"/>
              <w:right w:w="108" w:type="dxa"/>
              <w:bottom w:w="0" w:type="dxa"/>
            </w:tcMar>
            <w:tcW w:w="703" w:type="dxa"/>
            <w:vAlign w:val="center"/>
            <w:vMerge w:val="continue"/>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1858" w:type="dxa"/>
            <w:vAlign w:val="center"/>
            <w:vMerge w:val="continue"/>
            <w:textDirection w:val="lrTb"/>
            <w:noWrap w:val="false"/>
          </w:tcPr>
          <w:p>
            <w:pPr>
              <w:pStyle w:val="892"/>
              <w:ind w:left="0" w:firstLine="0"/>
              <w:jc w:val="center"/>
              <w:spacing w:after="0" w:line="24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tcMar>
              <w:left w:w="108" w:type="dxa"/>
              <w:top w:w="0" w:type="dxa"/>
              <w:right w:w="108" w:type="dxa"/>
              <w:bottom w:w="0" w:type="dxa"/>
            </w:tcMar>
            <w:tcW w:w="6227" w:type="dxa"/>
            <w:vAlign w:val="center"/>
            <w:textDirection w:val="lrTb"/>
            <w:noWrap w:val="false"/>
          </w:tcPr>
          <w:p>
            <w:pPr>
              <w:spacing w:after="0" w:line="360" w:lineRule="auto"/>
              <w:rPr>
                <w:rFonts w:hint="default" w:ascii="Arial" w:hAnsi="Arial" w:eastAsia="宋体" w:cs="Arial"/>
                <w:b/>
                <w:bCs/>
                <w:color w:val="auto"/>
                <w:highlight w:val="none"/>
              </w:rPr>
            </w:pPr>
            <w:r>
              <w:rPr>
                <w:rFonts w:hint="eastAsia" w:ascii="Arial" w:hAnsi="Arial" w:eastAsia="宋体" w:cs="Arial"/>
                <w:b/>
                <w:bCs/>
                <w:color w:val="auto"/>
                <w:highlight w:val="none"/>
              </w:rPr>
              <w:t xml:space="preserve">投标供应商管理机制（</w:t>
            </w:r>
            <w:r>
              <w:rPr>
                <w:rFonts w:hint="eastAsia" w:ascii="Arial" w:hAnsi="Arial" w:eastAsia="宋体" w:cs="Arial"/>
                <w:b/>
                <w:bCs/>
                <w:color w:val="auto"/>
                <w:highlight w:val="none"/>
                <w:lang w:val="en-US" w:eastAsia="zh-CN"/>
              </w:rPr>
              <w:t xml:space="preserve">6</w:t>
            </w:r>
            <w:r>
              <w:rPr>
                <w:rFonts w:hint="eastAsia" w:ascii="Arial" w:hAnsi="Arial" w:eastAsia="宋体" w:cs="Arial"/>
                <w:b/>
                <w:bCs/>
                <w:color w:val="auto"/>
                <w:highlight w:val="none"/>
              </w:rPr>
              <w:t xml:space="preserve">分）</w:t>
            </w:r>
            <w:r/>
          </w:p>
          <w:p>
            <w:pPr>
              <w:spacing w:after="0" w:line="360" w:lineRule="auto"/>
              <w:rPr>
                <w:rFonts w:hint="eastAsia" w:ascii="Arial" w:hAnsi="Arial" w:eastAsia="宋体" w:cs="Arial"/>
                <w:color w:val="auto"/>
                <w:highlight w:val="none"/>
              </w:rPr>
            </w:pPr>
            <w:r>
              <w:rPr>
                <w:rFonts w:hint="eastAsia" w:ascii="Arial" w:hAnsi="Arial" w:eastAsia="宋体" w:cs="Arial"/>
                <w:color w:val="auto"/>
                <w:highlight w:val="none"/>
              </w:rPr>
              <w:t xml:space="preserve">根据管理方案的完整性、可行性等情况综合评分。包括但不限于：组织机构、各岗位职责分工等方面。</w:t>
            </w:r>
            <w:r/>
          </w:p>
          <w:p>
            <w:pPr>
              <w:spacing w:after="0" w:line="360" w:lineRule="auto"/>
              <w:rPr>
                <w:rFonts w:hint="default" w:ascii="Arial" w:hAnsi="Arial" w:eastAsia="宋体" w:cs="Arial"/>
                <w:color w:val="auto"/>
                <w:highlight w:val="none"/>
              </w:rPr>
            </w:pPr>
            <w:r>
              <w:rPr>
                <w:rFonts w:hint="eastAsia" w:ascii="Arial" w:hAnsi="Arial" w:eastAsia="宋体" w:cs="Arial"/>
                <w:color w:val="auto"/>
                <w:highlight w:val="none"/>
              </w:rPr>
              <w:t xml:space="preserve">1、方案详细完整，针对性强、可操作性强，思路合理得</w:t>
            </w:r>
            <w:r>
              <w:rPr>
                <w:rFonts w:hint="eastAsia" w:ascii="Arial" w:hAnsi="Arial" w:eastAsia="宋体" w:cs="Arial"/>
                <w:color w:val="auto"/>
                <w:highlight w:val="none"/>
                <w:lang w:val="en-US" w:eastAsia="zh-CN"/>
              </w:rPr>
              <w:t xml:space="preserve">6</w:t>
            </w:r>
            <w:r>
              <w:rPr>
                <w:rFonts w:hint="eastAsia" w:ascii="Arial" w:hAnsi="Arial" w:eastAsia="宋体" w:cs="Arial"/>
                <w:color w:val="auto"/>
                <w:highlight w:val="none"/>
              </w:rPr>
              <w:t xml:space="preserve">分；</w:t>
            </w:r>
            <w:r/>
          </w:p>
          <w:p>
            <w:pPr>
              <w:spacing w:after="0" w:line="360" w:lineRule="auto"/>
              <w:rPr>
                <w:rFonts w:hint="default" w:ascii="Arial" w:hAnsi="Arial" w:eastAsia="宋体" w:cs="Arial"/>
                <w:color w:val="auto"/>
                <w:highlight w:val="none"/>
              </w:rPr>
            </w:pPr>
            <w:r>
              <w:rPr>
                <w:rFonts w:hint="eastAsia" w:ascii="Arial" w:hAnsi="Arial" w:eastAsia="宋体" w:cs="Arial"/>
                <w:color w:val="auto"/>
                <w:highlight w:val="none"/>
              </w:rPr>
              <w:t xml:space="preserve">2、方案较详细，针对性、可操作性较强，思路较合理得</w:t>
            </w:r>
            <w:r>
              <w:rPr>
                <w:rFonts w:hint="eastAsia" w:ascii="Arial" w:hAnsi="Arial" w:eastAsia="宋体" w:cs="Arial"/>
                <w:color w:val="auto"/>
                <w:highlight w:val="none"/>
                <w:lang w:val="en-US" w:eastAsia="zh-CN"/>
              </w:rPr>
              <w:t xml:space="preserve">4</w:t>
            </w:r>
            <w:r>
              <w:rPr>
                <w:rFonts w:hint="eastAsia" w:ascii="Arial" w:hAnsi="Arial" w:eastAsia="宋体" w:cs="Arial"/>
                <w:color w:val="auto"/>
                <w:highlight w:val="none"/>
              </w:rPr>
              <w:t xml:space="preserve">分；</w:t>
            </w:r>
            <w:r/>
          </w:p>
          <w:p>
            <w:pPr>
              <w:spacing w:after="0" w:line="360" w:lineRule="auto"/>
              <w:rPr>
                <w:rFonts w:hint="default" w:ascii="Arial" w:hAnsi="Arial" w:eastAsia="宋体" w:cs="Arial"/>
                <w:color w:val="auto"/>
                <w:highlight w:val="none"/>
              </w:rPr>
            </w:pPr>
            <w:r>
              <w:rPr>
                <w:rFonts w:hint="eastAsia" w:ascii="Arial" w:hAnsi="Arial" w:eastAsia="宋体" w:cs="Arial"/>
                <w:color w:val="auto"/>
                <w:highlight w:val="none"/>
              </w:rPr>
              <w:t xml:space="preserve">3、方案简单，针对性、可操作性一般，思路可行性不高得</w:t>
            </w:r>
            <w:r>
              <w:rPr>
                <w:rFonts w:hint="eastAsia" w:ascii="Arial" w:hAnsi="Arial" w:eastAsia="宋体" w:cs="Arial"/>
                <w:color w:val="auto"/>
                <w:highlight w:val="none"/>
                <w:lang w:val="en-US" w:eastAsia="zh-CN"/>
              </w:rPr>
              <w:t xml:space="preserve">2</w:t>
            </w:r>
            <w:r>
              <w:rPr>
                <w:rFonts w:hint="eastAsia" w:ascii="Arial" w:hAnsi="Arial" w:eastAsia="宋体" w:cs="Arial"/>
                <w:color w:val="auto"/>
                <w:highlight w:val="none"/>
              </w:rPr>
              <w:t xml:space="preserve">分；</w:t>
            </w:r>
            <w:r/>
          </w:p>
          <w:p>
            <w:pPr>
              <w:spacing w:after="0" w:line="360" w:lineRule="auto"/>
              <w:rPr>
                <w:rFonts w:hint="eastAsia" w:ascii="Arial" w:hAnsi="Arial" w:eastAsia="宋体" w:cs="Arial"/>
                <w:color w:val="auto"/>
                <w:highlight w:val="none"/>
              </w:rPr>
            </w:pPr>
            <w:r>
              <w:rPr>
                <w:rFonts w:hint="eastAsia" w:ascii="Arial" w:hAnsi="Arial" w:eastAsia="宋体" w:cs="Arial"/>
                <w:color w:val="auto"/>
                <w:highlight w:val="none"/>
              </w:rPr>
              <w:t xml:space="preserve">4、未提供方案，不得分。 </w:t>
            </w:r>
            <w:r/>
          </w:p>
        </w:tc>
        <w:tc>
          <w:tcPr>
            <w:tcMar>
              <w:left w:w="108" w:type="dxa"/>
              <w:top w:w="0" w:type="dxa"/>
              <w:right w:w="108" w:type="dxa"/>
              <w:bottom w:w="0" w:type="dxa"/>
            </w:tcMar>
            <w:tcW w:w="920" w:type="dxa"/>
            <w:vAlign w:val="center"/>
            <w:textDirection w:val="lrTb"/>
            <w:noWrap w:val="false"/>
          </w:tcPr>
          <w:p>
            <w:pPr>
              <w:ind w:left="0" w:right="0" w:firstLine="0"/>
              <w:jc w:val="center"/>
              <w:spacing w:before="0" w:after="0" w:line="240" w:lineRule="auto"/>
              <w:rPr>
                <w:rFonts w:hint="eastAsia" w:ascii="宋体" w:hAnsi="宋体" w:eastAsia="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lang w:val="en-US" w:eastAsia="zh-CN"/>
              </w:rPr>
              <w:t xml:space="preserve">6</w:t>
            </w:r>
            <w:r/>
          </w:p>
        </w:tc>
      </w:tr>
      <w:tr>
        <w:trPr>
          <w:trHeight w:val="90"/>
        </w:trPr>
        <w:tc>
          <w:tcPr>
            <w:tcMar>
              <w:left w:w="108" w:type="dxa"/>
              <w:top w:w="0" w:type="dxa"/>
              <w:right w:w="108" w:type="dxa"/>
              <w:bottom w:w="0" w:type="dxa"/>
            </w:tcMar>
            <w:tcW w:w="703" w:type="dxa"/>
            <w:vAlign w:val="center"/>
            <w:vMerge w:val="continue"/>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1858" w:type="dxa"/>
            <w:vAlign w:val="center"/>
            <w:vMerge w:val="continue"/>
            <w:textDirection w:val="lrTb"/>
            <w:noWrap w:val="false"/>
          </w:tcPr>
          <w:p>
            <w:pPr>
              <w:pStyle w:val="892"/>
              <w:ind w:left="0" w:firstLine="0"/>
              <w:jc w:val="center"/>
              <w:spacing w:after="0" w:line="24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tcMar>
              <w:left w:w="108" w:type="dxa"/>
              <w:top w:w="0" w:type="dxa"/>
              <w:right w:w="108" w:type="dxa"/>
              <w:bottom w:w="0" w:type="dxa"/>
            </w:tcMar>
            <w:tcW w:w="6227" w:type="dxa"/>
            <w:vAlign w:val="center"/>
            <w:textDirection w:val="lrTb"/>
            <w:noWrap w:val="false"/>
          </w:tcPr>
          <w:p>
            <w:pPr>
              <w:spacing w:after="0" w:line="360" w:lineRule="auto"/>
              <w:rPr>
                <w:rFonts w:hint="eastAsia" w:ascii="Arial" w:hAnsi="Arial" w:eastAsia="宋体" w:cs="Arial"/>
                <w:b/>
                <w:bCs/>
                <w:color w:val="auto"/>
                <w:highlight w:val="none"/>
              </w:rPr>
            </w:pPr>
            <w:r>
              <w:rPr>
                <w:rFonts w:hint="eastAsia" w:ascii="Arial" w:hAnsi="Arial" w:eastAsia="宋体" w:cs="Arial"/>
                <w:b/>
                <w:bCs/>
                <w:color w:val="auto"/>
                <w:highlight w:val="none"/>
              </w:rPr>
              <w:t xml:space="preserve">应急维护方案（</w:t>
            </w:r>
            <w:r>
              <w:rPr>
                <w:rFonts w:hint="eastAsia" w:ascii="Arial" w:hAnsi="Arial" w:eastAsia="宋体" w:cs="Arial"/>
                <w:b/>
                <w:bCs/>
                <w:color w:val="auto"/>
                <w:highlight w:val="none"/>
                <w:lang w:val="en-US" w:eastAsia="zh-CN"/>
              </w:rPr>
              <w:t xml:space="preserve">7</w:t>
            </w:r>
            <w:r>
              <w:rPr>
                <w:rFonts w:hint="eastAsia" w:ascii="Arial" w:hAnsi="Arial" w:eastAsia="宋体" w:cs="Arial"/>
                <w:b/>
                <w:bCs/>
                <w:color w:val="auto"/>
                <w:highlight w:val="none"/>
              </w:rPr>
              <w:t xml:space="preserve">分）</w:t>
            </w:r>
            <w:r/>
          </w:p>
          <w:p>
            <w:pPr>
              <w:spacing w:after="0" w:line="360" w:lineRule="auto"/>
              <w:rPr>
                <w:rFonts w:hint="eastAsia" w:ascii="Arial" w:hAnsi="Arial" w:eastAsia="宋体" w:cs="Arial"/>
                <w:color w:val="auto"/>
                <w:highlight w:val="none"/>
              </w:rPr>
            </w:pPr>
            <w:r>
              <w:rPr>
                <w:rFonts w:hint="eastAsia" w:ascii="Arial" w:hAnsi="Arial" w:eastAsia="宋体" w:cs="Arial"/>
                <w:color w:val="auto"/>
                <w:highlight w:val="none"/>
              </w:rPr>
              <w:t xml:space="preserve">根据方案的完整性、可行性等情况综合评分。包括但不限于：重大故障处理、应急抢修、应急响应及重点活动保障等方面。</w:t>
            </w:r>
            <w:r/>
          </w:p>
          <w:p>
            <w:pPr>
              <w:spacing w:after="0" w:line="360" w:lineRule="auto"/>
              <w:rPr>
                <w:rFonts w:hint="default" w:ascii="Arial" w:hAnsi="Arial" w:eastAsia="宋体" w:cs="Arial"/>
                <w:color w:val="auto"/>
                <w:highlight w:val="none"/>
              </w:rPr>
            </w:pPr>
            <w:r>
              <w:rPr>
                <w:rFonts w:hint="eastAsia" w:ascii="Arial" w:hAnsi="Arial" w:eastAsia="宋体" w:cs="Arial"/>
                <w:color w:val="auto"/>
                <w:highlight w:val="none"/>
              </w:rPr>
              <w:t xml:space="preserve">1、方案详细完整，针对性强、可操作性强，思路合理得</w:t>
            </w:r>
            <w:r>
              <w:rPr>
                <w:rFonts w:hint="eastAsia" w:ascii="Arial" w:hAnsi="Arial" w:eastAsia="宋体" w:cs="Arial"/>
                <w:color w:val="auto"/>
                <w:highlight w:val="none"/>
                <w:lang w:val="en-US" w:eastAsia="zh-CN"/>
              </w:rPr>
              <w:t xml:space="preserve">7</w:t>
            </w:r>
            <w:r>
              <w:rPr>
                <w:rFonts w:hint="eastAsia" w:ascii="Arial" w:hAnsi="Arial" w:eastAsia="宋体" w:cs="Arial"/>
                <w:color w:val="auto"/>
                <w:highlight w:val="none"/>
              </w:rPr>
              <w:t xml:space="preserve">分；</w:t>
            </w:r>
            <w:r/>
          </w:p>
          <w:p>
            <w:pPr>
              <w:spacing w:after="0" w:line="360" w:lineRule="auto"/>
              <w:rPr>
                <w:rFonts w:hint="default" w:ascii="Arial" w:hAnsi="Arial" w:eastAsia="宋体" w:cs="Arial"/>
                <w:color w:val="auto"/>
                <w:highlight w:val="none"/>
              </w:rPr>
            </w:pPr>
            <w:r>
              <w:rPr>
                <w:rFonts w:hint="eastAsia" w:ascii="Arial" w:hAnsi="Arial" w:eastAsia="宋体" w:cs="Arial"/>
                <w:color w:val="auto"/>
                <w:highlight w:val="none"/>
              </w:rPr>
              <w:t xml:space="preserve">2、方案较详细，针对性、可操作性较强，思路较合理得</w:t>
            </w:r>
            <w:r>
              <w:rPr>
                <w:rFonts w:hint="eastAsia" w:ascii="Arial" w:hAnsi="Arial" w:eastAsia="宋体" w:cs="Arial"/>
                <w:color w:val="auto"/>
                <w:highlight w:val="none"/>
                <w:lang w:val="en-US" w:eastAsia="zh-CN"/>
              </w:rPr>
              <w:t xml:space="preserve">4</w:t>
            </w:r>
            <w:r>
              <w:rPr>
                <w:rFonts w:hint="eastAsia" w:ascii="Arial" w:hAnsi="Arial" w:eastAsia="宋体" w:cs="Arial"/>
                <w:color w:val="auto"/>
                <w:highlight w:val="none"/>
              </w:rPr>
              <w:t xml:space="preserve">分；</w:t>
            </w:r>
            <w:r/>
          </w:p>
          <w:p>
            <w:pPr>
              <w:spacing w:after="0" w:line="360" w:lineRule="auto"/>
              <w:rPr>
                <w:rFonts w:hint="default" w:ascii="Arial" w:hAnsi="Arial" w:eastAsia="宋体" w:cs="Arial"/>
                <w:color w:val="auto"/>
                <w:highlight w:val="none"/>
              </w:rPr>
            </w:pPr>
            <w:r>
              <w:rPr>
                <w:rFonts w:hint="eastAsia" w:ascii="Arial" w:hAnsi="Arial" w:eastAsia="宋体" w:cs="Arial"/>
                <w:color w:val="auto"/>
                <w:highlight w:val="none"/>
              </w:rPr>
              <w:t xml:space="preserve">3、方案简单，针对性、可操作性一般，思路可行性不高得</w:t>
            </w:r>
            <w:r>
              <w:rPr>
                <w:rFonts w:hint="eastAsia" w:ascii="Arial" w:hAnsi="Arial" w:eastAsia="宋体" w:cs="Arial"/>
                <w:color w:val="auto"/>
                <w:highlight w:val="none"/>
                <w:lang w:val="en-US" w:eastAsia="zh-CN"/>
              </w:rPr>
              <w:t xml:space="preserve">2</w:t>
            </w:r>
            <w:r>
              <w:rPr>
                <w:rFonts w:hint="eastAsia" w:ascii="Arial" w:hAnsi="Arial" w:eastAsia="宋体" w:cs="Arial"/>
                <w:color w:val="auto"/>
                <w:highlight w:val="none"/>
              </w:rPr>
              <w:t xml:space="preserve">分；</w:t>
            </w:r>
            <w:r/>
          </w:p>
          <w:p>
            <w:pPr>
              <w:spacing w:after="0" w:line="360" w:lineRule="auto"/>
              <w:rPr>
                <w:rFonts w:hint="eastAsia" w:ascii="Arial" w:hAnsi="Arial" w:eastAsia="宋体" w:cs="Arial"/>
                <w:color w:val="auto"/>
                <w:highlight w:val="none"/>
              </w:rPr>
            </w:pPr>
            <w:r>
              <w:rPr>
                <w:rFonts w:hint="eastAsia" w:ascii="Arial" w:hAnsi="Arial" w:eastAsia="宋体" w:cs="Arial"/>
                <w:color w:val="auto"/>
                <w:highlight w:val="none"/>
              </w:rPr>
              <w:t xml:space="preserve">4、未提供方案，不得分。</w:t>
            </w:r>
            <w:r/>
          </w:p>
        </w:tc>
        <w:tc>
          <w:tcPr>
            <w:tcMar>
              <w:left w:w="108" w:type="dxa"/>
              <w:top w:w="0" w:type="dxa"/>
              <w:right w:w="108" w:type="dxa"/>
              <w:bottom w:w="0" w:type="dxa"/>
            </w:tcMar>
            <w:tcW w:w="920" w:type="dxa"/>
            <w:vAlign w:val="center"/>
            <w:textDirection w:val="lrTb"/>
            <w:noWrap w:val="false"/>
          </w:tcPr>
          <w:p>
            <w:pPr>
              <w:ind w:left="0" w:right="0" w:firstLine="0"/>
              <w:jc w:val="center"/>
              <w:spacing w:before="0" w:after="0" w:line="240" w:lineRule="auto"/>
              <w:rPr>
                <w:rFonts w:hint="eastAsia" w:ascii="宋体" w:hAnsi="宋体" w:eastAsia="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lang w:val="en-US" w:eastAsia="zh-CN"/>
              </w:rPr>
              <w:t xml:space="preserve">7</w:t>
            </w:r>
            <w:r/>
          </w:p>
        </w:tc>
      </w:tr>
      <w:tr>
        <w:trPr>
          <w:trHeight w:val="2786"/>
        </w:trPr>
        <w:tc>
          <w:tcPr>
            <w:tcMar>
              <w:left w:w="108" w:type="dxa"/>
              <w:top w:w="0" w:type="dxa"/>
              <w:right w:w="108" w:type="dxa"/>
              <w:bottom w:w="0" w:type="dxa"/>
            </w:tcMar>
            <w:tcW w:w="703" w:type="dxa"/>
            <w:vAlign w:val="center"/>
            <w:vMerge w:val="continue"/>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1858" w:type="dxa"/>
            <w:vAlign w:val="center"/>
            <w:vMerge w:val="continue"/>
            <w:textDirection w:val="lrTb"/>
            <w:noWrap w:val="false"/>
          </w:tcPr>
          <w:p>
            <w:pPr>
              <w:pStyle w:val="892"/>
              <w:ind w:left="0" w:firstLine="0"/>
              <w:jc w:val="center"/>
              <w:spacing w:after="0" w:line="24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tcMar>
              <w:left w:w="108" w:type="dxa"/>
              <w:top w:w="0" w:type="dxa"/>
              <w:right w:w="108" w:type="dxa"/>
              <w:bottom w:w="0" w:type="dxa"/>
            </w:tcMar>
            <w:tcW w:w="6227" w:type="dxa"/>
            <w:vAlign w:val="center"/>
            <w:textDirection w:val="lrTb"/>
            <w:noWrap w:val="false"/>
          </w:tcPr>
          <w:p>
            <w:pPr>
              <w:spacing w:after="0" w:line="360" w:lineRule="auto"/>
              <w:rPr>
                <w:rFonts w:hint="default" w:ascii="Arial" w:hAnsi="Arial" w:eastAsia="宋体" w:cs="Arial"/>
                <w:b/>
                <w:bCs/>
                <w:color w:val="auto"/>
                <w:highlight w:val="none"/>
                <w:lang w:val="en-US" w:eastAsia="zh-CN"/>
              </w:rPr>
            </w:pPr>
            <w:r>
              <w:rPr>
                <w:rFonts w:hint="eastAsia" w:ascii="Arial" w:hAnsi="Arial" w:eastAsia="宋体" w:cs="Arial"/>
                <w:b/>
                <w:bCs/>
                <w:color w:val="auto"/>
                <w:highlight w:val="none"/>
              </w:rPr>
              <w:t xml:space="preserve">人员配置</w:t>
            </w:r>
            <w:r>
              <w:rPr>
                <w:rFonts w:hint="eastAsia" w:ascii="Arial" w:hAnsi="Arial" w:eastAsia="宋体" w:cs="Arial"/>
                <w:b/>
                <w:bCs/>
                <w:color w:val="auto"/>
                <w:highlight w:val="none"/>
                <w:lang w:val="en-US" w:eastAsia="zh-CN"/>
              </w:rPr>
              <w:t xml:space="preserve">方案</w:t>
            </w:r>
            <w:r>
              <w:rPr>
                <w:rFonts w:hint="eastAsia" w:ascii="Arial" w:hAnsi="Arial" w:eastAsia="宋体" w:cs="Arial"/>
                <w:b/>
                <w:bCs/>
                <w:color w:val="auto"/>
                <w:highlight w:val="none"/>
              </w:rPr>
              <w:t xml:space="preserve">（</w:t>
            </w:r>
            <w:r>
              <w:rPr>
                <w:rFonts w:hint="eastAsia" w:ascii="Arial" w:hAnsi="Arial" w:eastAsia="宋体" w:cs="Arial"/>
                <w:b/>
                <w:bCs/>
                <w:color w:val="auto"/>
                <w:highlight w:val="none"/>
                <w:lang w:val="en-US" w:eastAsia="zh-CN"/>
              </w:rPr>
              <w:t xml:space="preserve">7</w:t>
            </w:r>
            <w:r>
              <w:rPr>
                <w:rFonts w:hint="eastAsia" w:ascii="Arial" w:hAnsi="Arial" w:eastAsia="宋体" w:cs="Arial"/>
                <w:b/>
                <w:bCs/>
                <w:color w:val="auto"/>
                <w:highlight w:val="none"/>
              </w:rPr>
              <w:t xml:space="preserve">分）</w:t>
            </w:r>
            <w:r/>
          </w:p>
          <w:p>
            <w:pPr>
              <w:spacing w:after="0" w:line="360" w:lineRule="auto"/>
              <w:rPr>
                <w:rFonts w:hint="eastAsia" w:ascii="Arial" w:hAnsi="Arial" w:eastAsia="宋体" w:cs="Arial"/>
                <w:color w:val="auto"/>
                <w:highlight w:val="none"/>
                <w:lang w:eastAsia="zh-CN"/>
              </w:rPr>
            </w:pPr>
            <w:r>
              <w:rPr>
                <w:rFonts w:hint="eastAsia" w:ascii="Arial" w:hAnsi="Arial" w:eastAsia="宋体" w:cs="Arial"/>
                <w:color w:val="auto"/>
                <w:highlight w:val="none"/>
              </w:rPr>
              <w:t xml:space="preserve">根据人员配置方案的完整性、可行性等情况综合评分。包括但不限于：拟投入本项目人员配置情况及组织机构设置等方面</w:t>
            </w:r>
            <w:r>
              <w:rPr>
                <w:rFonts w:hint="eastAsia" w:ascii="Arial" w:hAnsi="Arial" w:eastAsia="宋体" w:cs="Arial"/>
                <w:color w:val="auto"/>
                <w:highlight w:val="none"/>
                <w:lang w:eastAsia="zh-CN"/>
              </w:rPr>
              <w:t xml:space="preserve">。</w:t>
            </w:r>
            <w:r/>
          </w:p>
          <w:p>
            <w:pPr>
              <w:spacing w:after="0" w:line="360" w:lineRule="auto"/>
              <w:rPr>
                <w:rFonts w:hint="default" w:ascii="Arial" w:hAnsi="Arial" w:eastAsia="宋体" w:cs="Arial"/>
                <w:color w:val="auto"/>
                <w:highlight w:val="none"/>
              </w:rPr>
            </w:pPr>
            <w:r>
              <w:rPr>
                <w:rFonts w:hint="eastAsia" w:ascii="Arial" w:hAnsi="Arial" w:eastAsia="宋体" w:cs="Arial"/>
                <w:color w:val="auto"/>
                <w:highlight w:val="none"/>
                <w:lang w:val="en-US" w:eastAsia="zh-CN"/>
              </w:rPr>
              <w:t xml:space="preserve">1、</w:t>
            </w:r>
            <w:r>
              <w:rPr>
                <w:rFonts w:hint="eastAsia" w:ascii="Arial" w:hAnsi="Arial" w:eastAsia="宋体" w:cs="Arial"/>
                <w:color w:val="auto"/>
                <w:highlight w:val="none"/>
              </w:rPr>
              <w:t xml:space="preserve">人员配置数量多，且人员分工明确组织机构健全得</w:t>
            </w:r>
            <w:r>
              <w:rPr>
                <w:rFonts w:hint="eastAsia" w:ascii="Arial" w:hAnsi="Arial" w:eastAsia="宋体" w:cs="Arial"/>
                <w:color w:val="auto"/>
                <w:highlight w:val="none"/>
                <w:lang w:val="en-US" w:eastAsia="zh-CN"/>
              </w:rPr>
              <w:t xml:space="preserve">7</w:t>
            </w:r>
            <w:r>
              <w:rPr>
                <w:rFonts w:hint="eastAsia" w:ascii="Arial" w:hAnsi="Arial" w:eastAsia="宋体" w:cs="Arial"/>
                <w:color w:val="auto"/>
                <w:highlight w:val="none"/>
              </w:rPr>
              <w:t xml:space="preserve">分；</w:t>
            </w:r>
            <w:r/>
          </w:p>
          <w:p>
            <w:pPr>
              <w:spacing w:after="0" w:line="360" w:lineRule="auto"/>
              <w:rPr>
                <w:rFonts w:hint="default" w:ascii="Arial" w:hAnsi="Arial" w:eastAsia="宋体" w:cs="Arial"/>
                <w:color w:val="auto"/>
                <w:highlight w:val="none"/>
              </w:rPr>
            </w:pPr>
            <w:r>
              <w:rPr>
                <w:rFonts w:hint="eastAsia" w:ascii="Arial" w:hAnsi="Arial" w:eastAsia="宋体" w:cs="Arial"/>
                <w:color w:val="auto"/>
                <w:highlight w:val="none"/>
                <w:lang w:val="en-US" w:eastAsia="zh-CN"/>
              </w:rPr>
              <w:t xml:space="preserve">2、</w:t>
            </w:r>
            <w:r>
              <w:rPr>
                <w:rFonts w:hint="eastAsia" w:ascii="Arial" w:hAnsi="Arial" w:eastAsia="宋体" w:cs="Arial"/>
                <w:color w:val="auto"/>
                <w:highlight w:val="none"/>
              </w:rPr>
              <w:t xml:space="preserve">人员配置数量较多，人员分工较明确得</w:t>
            </w:r>
            <w:r>
              <w:rPr>
                <w:rFonts w:hint="eastAsia" w:ascii="Arial" w:hAnsi="Arial" w:eastAsia="宋体" w:cs="Arial"/>
                <w:color w:val="auto"/>
                <w:highlight w:val="none"/>
                <w:lang w:val="en-US" w:eastAsia="zh-CN"/>
              </w:rPr>
              <w:t xml:space="preserve">4</w:t>
            </w:r>
            <w:r>
              <w:rPr>
                <w:rFonts w:hint="eastAsia" w:ascii="Arial" w:hAnsi="Arial" w:eastAsia="宋体" w:cs="Arial"/>
                <w:color w:val="auto"/>
                <w:highlight w:val="none"/>
              </w:rPr>
              <w:t xml:space="preserve">分；</w:t>
            </w:r>
            <w:r/>
          </w:p>
          <w:p>
            <w:pPr>
              <w:spacing w:after="0" w:line="360" w:lineRule="auto"/>
              <w:rPr>
                <w:rFonts w:hint="eastAsia" w:ascii="Arial" w:hAnsi="Arial" w:eastAsia="宋体" w:cs="Arial"/>
                <w:color w:val="auto"/>
                <w:highlight w:val="none"/>
                <w:lang w:eastAsia="zh-CN"/>
              </w:rPr>
            </w:pPr>
            <w:r>
              <w:rPr>
                <w:rFonts w:hint="eastAsia" w:ascii="Arial" w:hAnsi="Arial" w:eastAsia="宋体" w:cs="Arial"/>
                <w:color w:val="auto"/>
                <w:highlight w:val="none"/>
                <w:lang w:val="en-US" w:eastAsia="zh-CN"/>
              </w:rPr>
              <w:t xml:space="preserve">3、</w:t>
            </w:r>
            <w:r>
              <w:rPr>
                <w:rFonts w:hint="eastAsia" w:ascii="Arial" w:hAnsi="Arial" w:eastAsia="宋体" w:cs="Arial"/>
                <w:color w:val="auto"/>
                <w:highlight w:val="none"/>
              </w:rPr>
              <w:t xml:space="preserve">人员配置数量基本满足维保要求得</w:t>
            </w:r>
            <w:r>
              <w:rPr>
                <w:rFonts w:hint="eastAsia" w:ascii="Arial" w:hAnsi="Arial" w:eastAsia="宋体" w:cs="Arial"/>
                <w:color w:val="auto"/>
                <w:highlight w:val="none"/>
                <w:lang w:val="en-US" w:eastAsia="zh-CN"/>
              </w:rPr>
              <w:t xml:space="preserve">2</w:t>
            </w:r>
            <w:r>
              <w:rPr>
                <w:rFonts w:hint="eastAsia" w:ascii="Arial" w:hAnsi="Arial" w:eastAsia="宋体" w:cs="Arial"/>
                <w:color w:val="auto"/>
                <w:highlight w:val="none"/>
              </w:rPr>
              <w:t xml:space="preserve">分</w:t>
            </w:r>
            <w:r>
              <w:rPr>
                <w:rFonts w:hint="eastAsia" w:ascii="Arial" w:hAnsi="Arial" w:eastAsia="宋体" w:cs="Arial"/>
                <w:color w:val="auto"/>
                <w:highlight w:val="none"/>
                <w:lang w:eastAsia="zh-CN"/>
              </w:rPr>
              <w:t xml:space="preserve">；</w:t>
            </w:r>
            <w:r/>
          </w:p>
          <w:p>
            <w:pPr>
              <w:spacing w:after="0" w:line="360" w:lineRule="auto"/>
              <w:rPr>
                <w:rFonts w:hint="eastAsia" w:ascii="Arial" w:hAnsi="Arial" w:eastAsia="宋体" w:cs="Arial"/>
                <w:color w:val="auto"/>
                <w:highlight w:val="none"/>
              </w:rPr>
            </w:pPr>
            <w:r>
              <w:rPr>
                <w:rFonts w:hint="eastAsia" w:ascii="Arial" w:hAnsi="Arial" w:eastAsia="宋体" w:cs="Arial"/>
                <w:color w:val="auto"/>
                <w:highlight w:val="none"/>
              </w:rPr>
              <w:t xml:space="preserve">4、未提供方案，不得分。</w:t>
            </w:r>
            <w:r/>
          </w:p>
        </w:tc>
        <w:tc>
          <w:tcPr>
            <w:tcMar>
              <w:left w:w="108" w:type="dxa"/>
              <w:top w:w="0" w:type="dxa"/>
              <w:right w:w="108" w:type="dxa"/>
              <w:bottom w:w="0" w:type="dxa"/>
            </w:tcMar>
            <w:tcW w:w="920" w:type="dxa"/>
            <w:vAlign w:val="center"/>
            <w:textDirection w:val="lrTb"/>
            <w:noWrap w:val="false"/>
          </w:tcPr>
          <w:p>
            <w:pPr>
              <w:ind w:left="0" w:right="0" w:firstLine="0"/>
              <w:jc w:val="center"/>
              <w:spacing w:before="0" w:after="0" w:line="240" w:lineRule="auto"/>
              <w:rPr>
                <w:rFonts w:hint="eastAsia" w:ascii="宋体" w:hAnsi="宋体" w:eastAsia="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lang w:val="en-US" w:eastAsia="zh-CN"/>
              </w:rPr>
              <w:t xml:space="preserve">7</w:t>
            </w:r>
            <w:r/>
          </w:p>
        </w:tc>
      </w:tr>
      <w:tr>
        <w:trPr>
          <w:trHeight w:val="1193"/>
        </w:trPr>
        <w:tc>
          <w:tcPr>
            <w:tcMar>
              <w:left w:w="108" w:type="dxa"/>
              <w:top w:w="0" w:type="dxa"/>
              <w:right w:w="108" w:type="dxa"/>
              <w:bottom w:w="0" w:type="dxa"/>
            </w:tcMar>
            <w:tcW w:w="70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1858" w:type="dxa"/>
            <w:vAlign w:val="center"/>
            <w:textDirection w:val="lrTb"/>
            <w:noWrap w:val="false"/>
          </w:tcPr>
          <w:p>
            <w:pPr>
              <w:pStyle w:val="892"/>
              <w:ind w:left="0" w:firstLine="0"/>
              <w:jc w:val="center"/>
              <w:spacing w:after="0" w:line="24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tc>
        <w:tc>
          <w:tcPr>
            <w:tcMar>
              <w:left w:w="108" w:type="dxa"/>
              <w:top w:w="0" w:type="dxa"/>
              <w:right w:w="108" w:type="dxa"/>
              <w:bottom w:w="0" w:type="dxa"/>
            </w:tcMar>
            <w:tcW w:w="6227" w:type="dxa"/>
            <w:vAlign w:val="center"/>
            <w:textDirection w:val="lrTb"/>
            <w:noWrap w:val="false"/>
          </w:tcPr>
          <w:p>
            <w:pPr>
              <w:ind w:left="632" w:hanging="632"/>
              <w:jc w:val="left"/>
              <w:spacing w:after="0" w:line="360" w:lineRule="auto"/>
              <w:rPr>
                <w:rFonts w:hint="eastAsia" w:ascii="Arial" w:hAnsi="Arial" w:eastAsia="宋体" w:cs="Arial"/>
                <w:color w:val="auto"/>
                <w:highlight w:val="none"/>
                <w:lang w:val="en-US" w:eastAsia="zh-CN"/>
              </w:rPr>
            </w:pPr>
            <w:r>
              <w:rPr>
                <w:rFonts w:hint="eastAsia" w:ascii="Arial" w:hAnsi="Arial" w:eastAsia="宋体" w:cs="Arial"/>
                <w:b/>
                <w:bCs/>
                <w:color w:val="auto"/>
                <w:highlight w:val="none"/>
                <w:lang w:val="en-US" w:eastAsia="zh-CN"/>
              </w:rPr>
              <w:t xml:space="preserve">增值服务方案（9分）  </w:t>
            </w:r>
            <w:r>
              <w:rPr>
                <w:rFonts w:hint="eastAsia" w:ascii="Arial" w:hAnsi="Arial" w:eastAsia="宋体" w:cs="Arial"/>
                <w:color w:val="auto"/>
                <w:highlight w:val="none"/>
                <w:lang w:val="en-US" w:eastAsia="zh-CN"/>
              </w:rPr>
              <w:t xml:space="preserve">                                </w:t>
            </w:r>
            <w:r/>
          </w:p>
          <w:p>
            <w:pPr>
              <w:spacing w:after="0" w:line="360" w:lineRule="auto"/>
              <w:rPr>
                <w:rFonts w:hint="default" w:ascii="Arial" w:hAnsi="Arial" w:eastAsia="宋体" w:cs="Arial"/>
                <w:color w:val="auto"/>
                <w:highlight w:val="none"/>
                <w:lang w:val="en-US" w:eastAsia="zh-CN"/>
              </w:rPr>
            </w:pPr>
            <w:r>
              <w:rPr>
                <w:rFonts w:hint="eastAsia" w:ascii="Arial" w:hAnsi="Arial" w:eastAsia="宋体" w:cs="Arial"/>
                <w:color w:val="auto"/>
                <w:highlight w:val="none"/>
              </w:rPr>
              <w:t xml:space="preserve">考虑到</w:t>
            </w:r>
            <w:r>
              <w:rPr>
                <w:rFonts w:hint="default" w:ascii="Arial" w:hAnsi="Arial" w:eastAsia="宋体" w:cs="Arial"/>
                <w:color w:val="auto"/>
                <w:highlight w:val="none"/>
              </w:rPr>
              <w:t xml:space="preserve">医院未来</w:t>
            </w:r>
            <w:r>
              <w:rPr>
                <w:rFonts w:hint="eastAsia" w:ascii="Arial" w:hAnsi="Arial" w:eastAsia="宋体" w:cs="Arial"/>
                <w:color w:val="auto"/>
                <w:highlight w:val="none"/>
              </w:rPr>
              <w:t xml:space="preserve">发展</w:t>
            </w:r>
            <w:r>
              <w:rPr>
                <w:rFonts w:hint="default" w:ascii="Arial" w:hAnsi="Arial" w:eastAsia="宋体" w:cs="Arial"/>
                <w:color w:val="auto"/>
                <w:highlight w:val="none"/>
              </w:rPr>
              <w:t xml:space="preserve">，投标人</w:t>
            </w:r>
            <w:r>
              <w:rPr>
                <w:rFonts w:hint="eastAsia" w:ascii="Arial" w:hAnsi="Arial" w:eastAsia="宋体" w:cs="Arial"/>
                <w:color w:val="auto"/>
                <w:highlight w:val="none"/>
              </w:rPr>
              <w:t xml:space="preserve">可</w:t>
            </w:r>
            <w:r>
              <w:rPr>
                <w:rFonts w:hint="default" w:ascii="Arial" w:hAnsi="Arial" w:eastAsia="宋体" w:cs="Arial"/>
                <w:color w:val="auto"/>
                <w:highlight w:val="none"/>
              </w:rPr>
              <w:t xml:space="preserve">提供相关的</w:t>
            </w:r>
            <w:r>
              <w:rPr>
                <w:rFonts w:hint="eastAsia" w:ascii="Arial" w:hAnsi="Arial" w:eastAsia="宋体" w:cs="Arial"/>
                <w:color w:val="auto"/>
                <w:highlight w:val="none"/>
              </w:rPr>
              <w:t xml:space="preserve">数据</w:t>
            </w:r>
            <w:r>
              <w:rPr>
                <w:rFonts w:hint="default" w:ascii="Arial" w:hAnsi="Arial" w:eastAsia="宋体" w:cs="Arial"/>
                <w:color w:val="auto"/>
                <w:highlight w:val="none"/>
              </w:rPr>
              <w:t xml:space="preserve">深挖</w:t>
            </w:r>
            <w:r>
              <w:rPr>
                <w:rFonts w:hint="eastAsia" w:ascii="Arial" w:hAnsi="Arial" w:eastAsia="宋体" w:cs="Arial"/>
                <w:color w:val="auto"/>
                <w:highlight w:val="none"/>
              </w:rPr>
              <w:t xml:space="preserve">、现场保养、人员培训等</w:t>
            </w:r>
            <w:r>
              <w:rPr>
                <w:rFonts w:hint="default" w:ascii="Arial" w:hAnsi="Arial" w:eastAsia="宋体" w:cs="Arial"/>
                <w:color w:val="auto"/>
                <w:highlight w:val="none"/>
              </w:rPr>
              <w:t xml:space="preserve">增值服务。</w:t>
            </w:r>
            <w:r>
              <w:rPr>
                <w:rFonts w:hint="eastAsia" w:ascii="Arial" w:hAnsi="Arial" w:eastAsia="宋体" w:cs="Arial"/>
                <w:color w:val="auto"/>
                <w:highlight w:val="none"/>
                <w:lang w:val="en-US" w:eastAsia="zh-CN"/>
              </w:rPr>
              <w:t xml:space="preserve">评委会根据投标商提供的增值服务方案进行综合评审，</w:t>
            </w:r>
            <w:r>
              <w:rPr>
                <w:rFonts w:hint="eastAsia" w:ascii="Arial" w:hAnsi="Arial" w:eastAsia="宋体" w:cs="Arial"/>
                <w:color w:val="auto"/>
                <w:highlight w:val="none"/>
              </w:rPr>
              <w:t xml:space="preserve">每具备一项经评委评议认为具备可行性，且有利于项目实施的增值服务方案，每有一项得</w:t>
            </w:r>
            <w:r>
              <w:rPr>
                <w:rFonts w:hint="eastAsia" w:ascii="Arial" w:hAnsi="Arial" w:eastAsia="宋体" w:cs="Arial"/>
                <w:color w:val="auto"/>
                <w:highlight w:val="none"/>
                <w:lang w:val="en-US" w:eastAsia="zh-CN"/>
              </w:rPr>
              <w:t xml:space="preserve">3</w:t>
            </w:r>
            <w:r>
              <w:rPr>
                <w:rFonts w:hint="eastAsia" w:ascii="Arial" w:hAnsi="Arial" w:eastAsia="宋体" w:cs="Arial"/>
                <w:color w:val="auto"/>
                <w:highlight w:val="none"/>
              </w:rPr>
              <w:t xml:space="preserve">分，最多得</w:t>
            </w:r>
            <w:r>
              <w:rPr>
                <w:rFonts w:hint="eastAsia" w:ascii="Arial" w:hAnsi="Arial" w:eastAsia="宋体" w:cs="Arial"/>
                <w:color w:val="auto"/>
                <w:highlight w:val="none"/>
                <w:lang w:val="en-US" w:eastAsia="zh-CN"/>
              </w:rPr>
              <w:t xml:space="preserve">9</w:t>
            </w:r>
            <w:r>
              <w:rPr>
                <w:rFonts w:hint="eastAsia" w:ascii="Arial" w:hAnsi="Arial" w:eastAsia="宋体" w:cs="Arial"/>
                <w:color w:val="auto"/>
                <w:highlight w:val="none"/>
              </w:rPr>
              <w:t xml:space="preserve">分。</w:t>
            </w:r>
            <w:r/>
          </w:p>
        </w:tc>
        <w:tc>
          <w:tcPr>
            <w:tcMar>
              <w:left w:w="108" w:type="dxa"/>
              <w:top w:w="0" w:type="dxa"/>
              <w:right w:w="108" w:type="dxa"/>
              <w:bottom w:w="0" w:type="dxa"/>
            </w:tcMar>
            <w:tcW w:w="920" w:type="dxa"/>
            <w:vAlign w:val="center"/>
            <w:textDirection w:val="lrTb"/>
            <w:noWrap w:val="false"/>
          </w:tcPr>
          <w:p>
            <w:pPr>
              <w:ind w:left="0" w:right="0" w:firstLine="0"/>
              <w:jc w:val="center"/>
              <w:spacing w:before="0" w:after="0" w:line="240" w:lineRule="auto"/>
              <w:rPr>
                <w:rFonts w:hint="default" w:ascii="宋体" w:hAnsi="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lang w:val="en-US" w:eastAsia="zh-CN"/>
              </w:rPr>
              <w:t xml:space="preserve">9</w:t>
            </w:r>
            <w:r/>
          </w:p>
        </w:tc>
      </w:tr>
      <w:tr>
        <w:trPr>
          <w:trHeight w:val="90"/>
        </w:trPr>
        <w:tc>
          <w:tcPr>
            <w:tcMar>
              <w:left w:w="108" w:type="dxa"/>
              <w:top w:w="0" w:type="dxa"/>
              <w:right w:w="108" w:type="dxa"/>
              <w:bottom w:w="0" w:type="dxa"/>
            </w:tcMar>
            <w:tcW w:w="70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4</w:t>
            </w:r>
            <w:r/>
          </w:p>
        </w:tc>
        <w:tc>
          <w:tcPr>
            <w:tcMar>
              <w:left w:w="108" w:type="dxa"/>
              <w:top w:w="0" w:type="dxa"/>
              <w:right w:w="108" w:type="dxa"/>
              <w:bottom w:w="0" w:type="dxa"/>
            </w:tcMar>
            <w:tcW w:w="1858" w:type="dxa"/>
            <w:vAlign w:val="center"/>
            <w:textDirection w:val="lrTb"/>
            <w:noWrap w:val="false"/>
          </w:tcPr>
          <w:p>
            <w:pPr>
              <w:pStyle w:val="892"/>
              <w:ind w:left="0" w:firstLine="0"/>
              <w:jc w:val="center"/>
              <w:spacing w:after="0" w:line="240" w:lineRule="auto"/>
              <w:rPr>
                <w:rFonts w:hint="default" w:ascii="宋体" w:hAnsi="宋体" w:eastAsia="宋体" w:cs="宋体"/>
                <w:color w:val="auto"/>
                <w:highlight w:val="none"/>
                <w:lang w:val="en-US" w:eastAsia="zh-CN"/>
              </w:rPr>
            </w:pPr>
            <w:r>
              <w:rPr>
                <w:rFonts w:hint="eastAsia" w:ascii="宋体" w:hAnsi="宋体" w:cs="宋体"/>
                <w:b/>
                <w:bCs/>
                <w:color w:val="auto"/>
                <w:highlight w:val="none"/>
                <w:lang w:val="en-US" w:eastAsia="zh-CN"/>
              </w:rPr>
              <w:t xml:space="preserve">平台支持             （4分）</w:t>
            </w:r>
            <w:r/>
          </w:p>
        </w:tc>
        <w:tc>
          <w:tcPr>
            <w:tcMar>
              <w:left w:w="108" w:type="dxa"/>
              <w:top w:w="0" w:type="dxa"/>
              <w:right w:w="108" w:type="dxa"/>
              <w:bottom w:w="0" w:type="dxa"/>
            </w:tcMar>
            <w:tcW w:w="6227" w:type="dxa"/>
            <w:vAlign w:val="center"/>
            <w:textDirection w:val="lrTb"/>
            <w:noWrap w:val="false"/>
          </w:tcPr>
          <w:p>
            <w:pPr>
              <w:spacing w:after="0" w:line="360" w:lineRule="auto"/>
              <w:rPr>
                <w:rFonts w:hint="eastAsia" w:ascii="Arial" w:hAnsi="Arial" w:eastAsia="宋体" w:cs="Arial"/>
                <w:color w:val="auto"/>
                <w:highlight w:val="none"/>
              </w:rPr>
            </w:pPr>
            <w:r>
              <w:rPr>
                <w:rFonts w:hint="eastAsia" w:ascii="Arial" w:hAnsi="Arial" w:eastAsia="宋体" w:cs="Arial"/>
                <w:color w:val="auto"/>
                <w:highlight w:val="none"/>
              </w:rPr>
              <w:t xml:space="preserve">可提供微信报修平台并有后台支持</w:t>
            </w:r>
            <w:r>
              <w:rPr>
                <w:rFonts w:hint="eastAsia" w:ascii="Arial" w:hAnsi="Arial" w:eastAsia="宋体" w:cs="Arial"/>
                <w:color w:val="auto"/>
                <w:highlight w:val="none"/>
                <w:lang w:val="en-US" w:eastAsia="zh-CN"/>
              </w:rPr>
              <w:t xml:space="preserve">的得4分，</w:t>
            </w:r>
            <w:r>
              <w:rPr>
                <w:rFonts w:hint="eastAsia" w:ascii="Arial" w:hAnsi="Arial" w:eastAsia="宋体" w:cs="Arial"/>
                <w:color w:val="auto"/>
                <w:highlight w:val="none"/>
              </w:rPr>
              <w:t xml:space="preserve">提供相关介绍与证明材料。不提供不得分。</w:t>
            </w:r>
            <w:r/>
          </w:p>
        </w:tc>
        <w:tc>
          <w:tcPr>
            <w:tcMar>
              <w:left w:w="108" w:type="dxa"/>
              <w:top w:w="0" w:type="dxa"/>
              <w:right w:w="108" w:type="dxa"/>
              <w:bottom w:w="0" w:type="dxa"/>
            </w:tcMar>
            <w:tcW w:w="920" w:type="dxa"/>
            <w:vAlign w:val="center"/>
            <w:textDirection w:val="lrTb"/>
            <w:noWrap w:val="false"/>
          </w:tcPr>
          <w:p>
            <w:pPr>
              <w:ind w:left="0" w:right="0" w:firstLine="0"/>
              <w:jc w:val="center"/>
              <w:spacing w:before="0" w:after="0" w:line="240" w:lineRule="auto"/>
              <w:rPr>
                <w:rFonts w:hint="eastAsia" w:ascii="宋体" w:hAnsi="宋体" w:eastAsia="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lang w:val="en-US" w:eastAsia="zh-CN"/>
              </w:rPr>
              <w:t xml:space="preserve">4</w:t>
            </w:r>
            <w:r/>
          </w:p>
        </w:tc>
      </w:tr>
      <w:tr>
        <w:trPr>
          <w:trHeight w:val="90"/>
        </w:trPr>
        <w:tc>
          <w:tcPr>
            <w:tcMar>
              <w:left w:w="108" w:type="dxa"/>
              <w:top w:w="0" w:type="dxa"/>
              <w:right w:w="108" w:type="dxa"/>
              <w:bottom w:w="0" w:type="dxa"/>
            </w:tcMar>
            <w:tcW w:w="703"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5</w:t>
            </w:r>
            <w:r/>
          </w:p>
        </w:tc>
        <w:tc>
          <w:tcPr>
            <w:tcMar>
              <w:left w:w="108" w:type="dxa"/>
              <w:top w:w="0" w:type="dxa"/>
              <w:right w:w="108" w:type="dxa"/>
              <w:bottom w:w="0" w:type="dxa"/>
            </w:tcMar>
            <w:tcW w:w="1858" w:type="dxa"/>
            <w:vAlign w:val="center"/>
            <w:textDirection w:val="lrTb"/>
            <w:noWrap w:val="false"/>
          </w:tcPr>
          <w:p>
            <w:pPr>
              <w:pStyle w:val="892"/>
              <w:ind w:left="0" w:firstLine="0"/>
              <w:jc w:val="center"/>
              <w:spacing w:after="0" w:line="240" w:lineRule="auto"/>
              <w:rPr>
                <w:rFonts w:hint="eastAsia" w:ascii="Arial" w:hAnsi="Arial" w:eastAsia="宋体" w:cs="Arial"/>
                <w:color w:val="auto"/>
                <w:sz w:val="21"/>
                <w:highlight w:val="none"/>
                <w:lang w:val="en-US" w:eastAsia="zh-CN" w:bidi="ar-SA"/>
              </w:rPr>
            </w:pPr>
            <w:r>
              <w:rPr>
                <w:rFonts w:hint="eastAsia" w:ascii="Arial" w:hAnsi="Arial" w:eastAsia="宋体" w:cs="Arial"/>
                <w:b/>
                <w:bCs/>
                <w:color w:val="auto"/>
                <w:sz w:val="21"/>
                <w:highlight w:val="none"/>
                <w:lang w:val="en-US" w:eastAsia="zh-CN" w:bidi="ar-SA"/>
              </w:rPr>
              <w:t xml:space="preserve">维修到达现场时间比较                  （6分）</w:t>
            </w:r>
            <w:r/>
          </w:p>
        </w:tc>
        <w:tc>
          <w:tcPr>
            <w:tcMar>
              <w:left w:w="108" w:type="dxa"/>
              <w:top w:w="0" w:type="dxa"/>
              <w:right w:w="108" w:type="dxa"/>
              <w:bottom w:w="0" w:type="dxa"/>
            </w:tcMar>
            <w:tcW w:w="6227" w:type="dxa"/>
            <w:vAlign w:val="center"/>
            <w:textDirection w:val="lrTb"/>
            <w:noWrap w:val="false"/>
          </w:tcPr>
          <w:p>
            <w:pPr>
              <w:spacing w:after="0" w:line="360" w:lineRule="auto"/>
              <w:rPr>
                <w:rFonts w:hint="eastAsia" w:ascii="Arial" w:hAnsi="Arial" w:eastAsia="宋体" w:cs="Arial"/>
                <w:color w:val="auto"/>
                <w:highlight w:val="none"/>
                <w:lang w:eastAsia="zh-CN"/>
              </w:rPr>
            </w:pPr>
            <w:r>
              <w:rPr>
                <w:rFonts w:hint="eastAsia" w:ascii="Arial" w:hAnsi="Arial" w:eastAsia="宋体" w:cs="Arial"/>
                <w:color w:val="auto"/>
                <w:highlight w:val="none"/>
              </w:rPr>
              <w:t xml:space="preserve">维修到达现场时间满足采购文件要求</w:t>
            </w:r>
            <w:r>
              <w:rPr>
                <w:rFonts w:hint="eastAsia" w:ascii="Arial" w:hAnsi="Arial" w:eastAsia="宋体" w:cs="Arial"/>
                <w:color w:val="auto"/>
                <w:highlight w:val="none"/>
                <w:lang w:val="en-US" w:eastAsia="zh-CN"/>
              </w:rPr>
              <w:t xml:space="preserve">不得分</w:t>
            </w:r>
            <w:r>
              <w:rPr>
                <w:rFonts w:hint="eastAsia" w:ascii="Arial" w:hAnsi="Arial" w:eastAsia="宋体" w:cs="Arial"/>
                <w:color w:val="auto"/>
                <w:highlight w:val="none"/>
              </w:rPr>
              <w:t xml:space="preserve">，到达现场时间每提前</w:t>
            </w:r>
            <w:r>
              <w:rPr>
                <w:rFonts w:hint="eastAsia" w:ascii="Arial" w:hAnsi="Arial" w:eastAsia="宋体" w:cs="Arial"/>
                <w:color w:val="auto"/>
                <w:highlight w:val="none"/>
                <w:lang w:val="en-US" w:eastAsia="zh-CN"/>
              </w:rPr>
              <w:t xml:space="preserve">2</w:t>
            </w:r>
            <w:r>
              <w:rPr>
                <w:rFonts w:hint="eastAsia" w:ascii="Arial" w:hAnsi="Arial" w:eastAsia="宋体" w:cs="Arial"/>
                <w:color w:val="auto"/>
                <w:highlight w:val="none"/>
              </w:rPr>
              <w:t xml:space="preserve">小时加</w:t>
            </w:r>
            <w:r>
              <w:rPr>
                <w:rFonts w:hint="eastAsia" w:ascii="Arial" w:hAnsi="Arial" w:eastAsia="宋体" w:cs="Arial"/>
                <w:color w:val="auto"/>
                <w:highlight w:val="none"/>
                <w:lang w:val="en-US" w:eastAsia="zh-CN"/>
              </w:rPr>
              <w:t xml:space="preserve">1</w:t>
            </w:r>
            <w:r>
              <w:rPr>
                <w:rFonts w:hint="eastAsia" w:ascii="Arial" w:hAnsi="Arial" w:eastAsia="宋体" w:cs="Arial"/>
                <w:color w:val="auto"/>
                <w:highlight w:val="none"/>
              </w:rPr>
              <w:t xml:space="preserve">分，最多加6分</w:t>
            </w:r>
            <w:r>
              <w:rPr>
                <w:rFonts w:hint="eastAsia" w:ascii="Arial" w:hAnsi="Arial" w:eastAsia="宋体" w:cs="Arial"/>
                <w:color w:val="auto"/>
                <w:highlight w:val="none"/>
                <w:lang w:eastAsia="zh-CN"/>
              </w:rPr>
              <w:t xml:space="preserve">。</w:t>
            </w:r>
            <w:r/>
          </w:p>
        </w:tc>
        <w:tc>
          <w:tcPr>
            <w:tcMar>
              <w:left w:w="108" w:type="dxa"/>
              <w:top w:w="0" w:type="dxa"/>
              <w:right w:w="108" w:type="dxa"/>
              <w:bottom w:w="0" w:type="dxa"/>
            </w:tcMar>
            <w:tcW w:w="920" w:type="dxa"/>
            <w:vAlign w:val="center"/>
            <w:textDirection w:val="lrTb"/>
            <w:noWrap w:val="false"/>
          </w:tcPr>
          <w:p>
            <w:pPr>
              <w:ind w:left="0" w:right="0" w:firstLine="0"/>
              <w:jc w:val="center"/>
              <w:spacing w:before="0" w:after="0" w:line="240" w:lineRule="auto"/>
              <w:rPr>
                <w:rFonts w:hint="eastAsia" w:ascii="宋体" w:hAnsi="宋体" w:eastAsia="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lang w:val="en-US" w:eastAsia="zh-CN"/>
              </w:rPr>
              <w:t xml:space="preserve">6</w:t>
            </w:r>
            <w:r/>
          </w:p>
        </w:tc>
      </w:tr>
      <w:tr>
        <w:trPr>
          <w:trHeight w:val="90"/>
        </w:trPr>
        <w:tc>
          <w:tcPr>
            <w:tcMar>
              <w:left w:w="108" w:type="dxa"/>
              <w:top w:w="0" w:type="dxa"/>
              <w:right w:w="108" w:type="dxa"/>
              <w:bottom w:w="0" w:type="dxa"/>
            </w:tcMar>
            <w:tcW w:w="703" w:type="dxa"/>
            <w:vAlign w:val="center"/>
            <w:vMerge w:val="continue"/>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1858" w:type="dxa"/>
            <w:vAlign w:val="center"/>
            <w:vMerge w:val="restart"/>
            <w:textDirection w:val="lrTb"/>
            <w:noWrap w:val="false"/>
          </w:tcPr>
          <w:p>
            <w:pPr>
              <w:pStyle w:val="892"/>
              <w:ind w:left="0" w:firstLine="0"/>
              <w:jc w:val="center"/>
              <w:spacing w:after="0" w:line="240" w:lineRule="auto"/>
              <w:rPr>
                <w:rFonts w:hint="eastAsia" w:ascii="Arial" w:hAnsi="Arial" w:eastAsia="宋体" w:cs="Arial"/>
                <w:color w:val="auto"/>
                <w:sz w:val="21"/>
                <w:highlight w:val="none"/>
                <w:lang w:val="en-US" w:eastAsia="zh-CN" w:bidi="ar-SA"/>
              </w:rPr>
            </w:pPr>
            <w:r>
              <w:rPr>
                <w:rFonts w:hint="eastAsia" w:ascii="Arial" w:hAnsi="Arial" w:eastAsia="宋体" w:cs="Arial"/>
                <w:b/>
                <w:bCs/>
                <w:color w:val="auto"/>
                <w:sz w:val="21"/>
                <w:highlight w:val="none"/>
                <w:lang w:val="en-US" w:eastAsia="zh-CN" w:bidi="ar-SA"/>
              </w:rPr>
              <w:t xml:space="preserve">维修零部件及零备件仓库     （10分）</w:t>
            </w:r>
            <w:r/>
          </w:p>
        </w:tc>
        <w:tc>
          <w:tcPr>
            <w:tcMar>
              <w:left w:w="108" w:type="dxa"/>
              <w:top w:w="0" w:type="dxa"/>
              <w:right w:w="108" w:type="dxa"/>
              <w:bottom w:w="0" w:type="dxa"/>
            </w:tcMar>
            <w:tcW w:w="6227" w:type="dxa"/>
            <w:vAlign w:val="center"/>
            <w:textDirection w:val="lrTb"/>
            <w:noWrap w:val="false"/>
          </w:tcPr>
          <w:p>
            <w:pPr>
              <w:spacing w:after="0" w:line="360" w:lineRule="auto"/>
              <w:rPr>
                <w:rFonts w:hint="eastAsia" w:ascii="Arial" w:hAnsi="Arial" w:eastAsia="宋体" w:cs="Arial"/>
                <w:color w:val="auto"/>
                <w:highlight w:val="none"/>
              </w:rPr>
            </w:pPr>
            <w:r>
              <w:rPr>
                <w:rFonts w:hint="eastAsia" w:ascii="Arial" w:hAnsi="Arial" w:eastAsia="宋体" w:cs="Arial"/>
                <w:color w:val="auto"/>
                <w:highlight w:val="none"/>
              </w:rPr>
              <w:t xml:space="preserve">投标人或原厂（所维保设备的制造商）在国内设有自有或租赁的零备件仓库，提供零备件仓库地址、联系人、联系电话备查。每提供一处零备件仓库信息得2分，未提供或提供的资料不全不得分，共</w:t>
            </w:r>
            <w:r>
              <w:rPr>
                <w:rFonts w:hint="eastAsia" w:ascii="Arial" w:hAnsi="Arial" w:eastAsia="宋体" w:cs="Arial"/>
                <w:color w:val="auto"/>
                <w:highlight w:val="none"/>
                <w:lang w:val="en-US" w:eastAsia="zh-CN"/>
              </w:rPr>
              <w:t xml:space="preserve">6</w:t>
            </w:r>
            <w:r>
              <w:rPr>
                <w:rFonts w:hint="eastAsia" w:ascii="Arial" w:hAnsi="Arial" w:eastAsia="宋体" w:cs="Arial"/>
                <w:color w:val="auto"/>
                <w:highlight w:val="none"/>
              </w:rPr>
              <w:t xml:space="preserve">分。</w:t>
            </w:r>
            <w:r/>
          </w:p>
        </w:tc>
        <w:tc>
          <w:tcPr>
            <w:tcMar>
              <w:left w:w="108" w:type="dxa"/>
              <w:top w:w="0" w:type="dxa"/>
              <w:right w:w="108" w:type="dxa"/>
              <w:bottom w:w="0" w:type="dxa"/>
            </w:tcMar>
            <w:tcW w:w="920" w:type="dxa"/>
            <w:vAlign w:val="center"/>
            <w:textDirection w:val="lrTb"/>
            <w:noWrap w:val="false"/>
          </w:tcPr>
          <w:p>
            <w:pPr>
              <w:ind w:left="0" w:right="0" w:firstLine="0"/>
              <w:jc w:val="center"/>
              <w:spacing w:before="0" w:after="0" w:line="240" w:lineRule="auto"/>
              <w:rPr>
                <w:rFonts w:hint="eastAsia" w:ascii="宋体" w:hAnsi="宋体" w:eastAsia="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lang w:val="en-US" w:eastAsia="zh-CN"/>
              </w:rPr>
              <w:t xml:space="preserve">6</w:t>
            </w:r>
            <w:r/>
          </w:p>
        </w:tc>
      </w:tr>
      <w:tr>
        <w:trPr>
          <w:trHeight w:val="90"/>
        </w:trPr>
        <w:tc>
          <w:tcPr>
            <w:tcMar>
              <w:left w:w="108" w:type="dxa"/>
              <w:top w:w="0" w:type="dxa"/>
              <w:right w:w="108" w:type="dxa"/>
              <w:bottom w:w="0" w:type="dxa"/>
            </w:tcMar>
            <w:tcW w:w="703" w:type="dxa"/>
            <w:vAlign w:val="center"/>
            <w:vMerge w:val="continue"/>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1858" w:type="dxa"/>
            <w:vAlign w:val="center"/>
            <w:vMerge w:val="continue"/>
            <w:textDirection w:val="lrTb"/>
            <w:noWrap w:val="false"/>
          </w:tcPr>
          <w:p>
            <w:pPr>
              <w:pStyle w:val="892"/>
              <w:ind w:left="0" w:firstLine="0"/>
              <w:jc w:val="center"/>
              <w:spacing w:after="0" w:line="24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tcMar>
              <w:left w:w="108" w:type="dxa"/>
              <w:top w:w="0" w:type="dxa"/>
              <w:right w:w="108" w:type="dxa"/>
              <w:bottom w:w="0" w:type="dxa"/>
            </w:tcMar>
            <w:tcW w:w="6227" w:type="dxa"/>
            <w:vAlign w:val="center"/>
            <w:textDirection w:val="lrTb"/>
            <w:noWrap w:val="false"/>
          </w:tcPr>
          <w:p>
            <w:pPr>
              <w:spacing w:after="0" w:line="360" w:lineRule="auto"/>
              <w:rPr>
                <w:rFonts w:hint="eastAsia" w:ascii="Arial" w:hAnsi="Arial" w:eastAsia="宋体" w:cs="Arial"/>
                <w:color w:val="auto"/>
                <w:highlight w:val="none"/>
              </w:rPr>
            </w:pPr>
            <w:r>
              <w:rPr>
                <w:rFonts w:hint="eastAsia" w:ascii="Arial" w:hAnsi="Arial" w:eastAsia="宋体" w:cs="Arial"/>
                <w:color w:val="auto"/>
                <w:highlight w:val="none"/>
              </w:rPr>
              <w:t xml:space="preserve">投标人在服务期内维修所使用的零备件须为原厂同型号备件，投标人须至少提供一份过往与原设备制造厂商之间的备件采购合同扫描件，以上未提供证明材料或不齐全者不得分，共4分。</w:t>
            </w:r>
            <w:r/>
          </w:p>
        </w:tc>
        <w:tc>
          <w:tcPr>
            <w:tcMar>
              <w:left w:w="108" w:type="dxa"/>
              <w:top w:w="0" w:type="dxa"/>
              <w:right w:w="108" w:type="dxa"/>
              <w:bottom w:w="0" w:type="dxa"/>
            </w:tcMar>
            <w:tcW w:w="920" w:type="dxa"/>
            <w:vAlign w:val="center"/>
            <w:textDirection w:val="lrTb"/>
            <w:noWrap w:val="false"/>
          </w:tcPr>
          <w:p>
            <w:pPr>
              <w:ind w:left="0" w:right="0" w:firstLine="0"/>
              <w:jc w:val="center"/>
              <w:spacing w:before="0" w:after="0" w:line="240" w:lineRule="auto"/>
              <w:rPr>
                <w:rFonts w:hint="eastAsia" w:ascii="宋体" w:hAnsi="宋体" w:eastAsia="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lang w:val="en-US" w:eastAsia="zh-CN"/>
              </w:rPr>
              <w:t xml:space="preserve">4</w:t>
            </w:r>
            <w:r/>
          </w:p>
        </w:tc>
      </w:tr>
      <w:tr>
        <w:trPr>
          <w:trHeight w:val="90"/>
        </w:trPr>
        <w:tc>
          <w:tcPr>
            <w:tcMar>
              <w:left w:w="108" w:type="dxa"/>
              <w:top w:w="0" w:type="dxa"/>
              <w:right w:w="108" w:type="dxa"/>
              <w:bottom w:w="0" w:type="dxa"/>
            </w:tcMar>
            <w:tcW w:w="70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1858" w:type="dxa"/>
            <w:vAlign w:val="center"/>
            <w:textDirection w:val="lrTb"/>
            <w:noWrap w:val="false"/>
          </w:tcPr>
          <w:p>
            <w:pPr>
              <w:ind w:left="0" w:right="0" w:firstLine="0"/>
              <w:jc w:val="center"/>
              <w:spacing w:before="0" w:after="0" w:line="240" w:lineRule="auto"/>
              <w:rPr>
                <w:rFonts w:hint="default"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t xml:space="preserve">业绩                      </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9</w:t>
            </w:r>
            <w:r>
              <w:rPr>
                <w:rFonts w:hint="eastAsia" w:ascii="宋体" w:hAnsi="宋体" w:eastAsia="宋体" w:cs="宋体"/>
                <w:b/>
                <w:color w:val="auto"/>
                <w:sz w:val="21"/>
                <w:szCs w:val="21"/>
                <w:highlight w:val="none"/>
              </w:rPr>
              <w:t xml:space="preserve">分）</w:t>
            </w:r>
            <w:r/>
          </w:p>
          <w:p>
            <w:pPr>
              <w:pStyle w:val="892"/>
              <w:ind w:left="0" w:firstLine="0"/>
              <w:jc w:val="center"/>
              <w:spacing w:after="0" w:line="24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tcMar>
              <w:left w:w="108" w:type="dxa"/>
              <w:top w:w="0" w:type="dxa"/>
              <w:right w:w="108" w:type="dxa"/>
              <w:bottom w:w="0" w:type="dxa"/>
            </w:tcMar>
            <w:tcW w:w="6227" w:type="dxa"/>
            <w:vAlign w:val="center"/>
            <w:textDirection w:val="lrTb"/>
            <w:noWrap w:val="false"/>
          </w:tcPr>
          <w:p>
            <w:pPr>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供应商提供近3年（202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年1月1日至今）有同类项目业绩，每</w:t>
            </w:r>
            <w:r>
              <w:rPr>
                <w:rFonts w:hint="eastAsia" w:ascii="宋体" w:hAnsi="宋体" w:cs="宋体"/>
                <w:color w:val="auto"/>
                <w:szCs w:val="21"/>
                <w:highlight w:val="none"/>
                <w:lang w:val="en-US" w:eastAsia="zh-CN"/>
              </w:rPr>
              <w:t xml:space="preserve">提供</w:t>
            </w:r>
            <w:r>
              <w:rPr>
                <w:rFonts w:hint="eastAsia" w:ascii="宋体" w:hAnsi="宋体" w:eastAsia="宋体" w:cs="宋体"/>
                <w:color w:val="auto"/>
                <w:szCs w:val="21"/>
                <w:highlight w:val="none"/>
              </w:rPr>
              <w:t xml:space="preserve">一个得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分，最高得</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分。(以合同签订时间为准，需提供合同</w:t>
            </w:r>
            <w:r>
              <w:rPr>
                <w:rFonts w:hint="eastAsia" w:hAnsi="宋体" w:cs="宋体"/>
                <w:color w:val="auto"/>
                <w:szCs w:val="21"/>
                <w:highlight w:val="none"/>
                <w:lang w:eastAsia="zh-CN"/>
              </w:rPr>
              <w:t xml:space="preserve">扫描件</w:t>
            </w:r>
            <w:r>
              <w:rPr>
                <w:rFonts w:hint="eastAsia" w:ascii="宋体" w:hAnsi="宋体" w:eastAsia="宋体" w:cs="宋体"/>
                <w:color w:val="auto"/>
                <w:szCs w:val="21"/>
                <w:highlight w:val="none"/>
              </w:rPr>
              <w:t xml:space="preserve">，原件备查。所有供应商业绩一经发现虚假材料的，追究法律责任。）</w:t>
            </w:r>
            <w:r/>
          </w:p>
        </w:tc>
        <w:tc>
          <w:tcPr>
            <w:tcMar>
              <w:left w:w="108" w:type="dxa"/>
              <w:top w:w="0" w:type="dxa"/>
              <w:right w:w="108" w:type="dxa"/>
              <w:bottom w:w="0" w:type="dxa"/>
            </w:tcMar>
            <w:tcW w:w="920" w:type="dxa"/>
            <w:vAlign w:val="center"/>
            <w:textDirection w:val="lrTb"/>
            <w:noWrap w:val="false"/>
          </w:tcPr>
          <w:p>
            <w:pPr>
              <w:ind w:left="0" w:right="0" w:firstLine="0"/>
              <w:jc w:val="center"/>
              <w:spacing w:before="0" w:after="0" w:line="240" w:lineRule="auto"/>
              <w:rPr>
                <w:rFonts w:hint="eastAsia" w:ascii="宋体" w:hAnsi="宋体" w:eastAsia="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lang w:val="en-US" w:eastAsia="zh-CN"/>
              </w:rPr>
              <w:t xml:space="preserve">9</w:t>
            </w:r>
            <w:r/>
          </w:p>
        </w:tc>
      </w:tr>
      <w:tr>
        <w:trPr>
          <w:trHeight w:val="475"/>
        </w:trPr>
        <w:tc>
          <w:tcPr>
            <w:gridSpan w:val="3"/>
            <w:tcMar>
              <w:left w:w="108" w:type="dxa"/>
              <w:top w:w="0" w:type="dxa"/>
              <w:right w:w="108" w:type="dxa"/>
              <w:bottom w:w="0" w:type="dxa"/>
            </w:tcMar>
            <w:tcW w:w="8788"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color w:val="auto"/>
                <w:sz w:val="21"/>
                <w:szCs w:val="21"/>
                <w:highlight w:val="none"/>
              </w:rPr>
              <w:t xml:space="preserve">合计</w:t>
            </w:r>
            <w:r/>
          </w:p>
        </w:tc>
        <w:tc>
          <w:tcPr>
            <w:tcMar>
              <w:left w:w="108" w:type="dxa"/>
              <w:top w:w="0" w:type="dxa"/>
              <w:right w:w="108" w:type="dxa"/>
              <w:bottom w:w="0" w:type="dxa"/>
            </w:tcMar>
            <w:tcW w:w="92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100</w:t>
            </w:r>
            <w:r/>
          </w:p>
        </w:tc>
      </w:tr>
    </w:tbl>
    <w:p>
      <w:pPr>
        <w:pStyle w:val="95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85"/>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985"/>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985"/>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985"/>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985"/>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985"/>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985"/>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985"/>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985"/>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985"/>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985"/>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985"/>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985"/>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985"/>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985"/>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985"/>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985"/>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985"/>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985"/>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985"/>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985"/>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985"/>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985"/>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985"/>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985"/>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985"/>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985"/>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985"/>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985"/>
        <w:rPr>
          <w:rFonts w:hint="eastAsia" w:ascii="宋体" w:hAnsi="宋体" w:eastAsia="宋体" w:cs="宋体"/>
          <w:color w:val="auto"/>
          <w:sz w:val="22"/>
          <w:highlight w:val="none"/>
        </w:rPr>
      </w:pPr>
      <w:r>
        <w:rPr>
          <w:rFonts w:hint="eastAsia" w:ascii="宋体" w:hAnsi="宋体" w:eastAsia="宋体" w:cs="宋体"/>
          <w:color w:val="auto"/>
          <w:sz w:val="22"/>
          <w:highlight w:val="none"/>
        </w:rPr>
      </w:r>
      <w:bookmarkEnd w:id="116"/>
      <w:r/>
      <w:r/>
    </w:p>
    <w:p>
      <w:pPr>
        <w:numPr>
          <w:ilvl w:val="0"/>
          <w:numId w:val="6"/>
        </w:num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eastAsia="zh-CN"/>
        </w:rPr>
        <w:t xml:space="preserve">采购需求</w:t>
      </w:r>
      <w:r/>
    </w:p>
    <w:p>
      <w:pPr>
        <w:pStyle w:val="892"/>
        <w:rPr>
          <w:rFonts w:hint="eastAsia"/>
          <w:color w:val="auto"/>
          <w:highlight w:val="none"/>
          <w:lang w:eastAsia="zh-CN"/>
        </w:rPr>
      </w:pPr>
      <w:r>
        <w:rPr>
          <w:rFonts w:hint="eastAsia"/>
          <w:color w:val="auto"/>
          <w:highlight w:val="none"/>
          <w:lang w:eastAsia="zh-CN"/>
        </w:rPr>
      </w:r>
      <w:r/>
    </w:p>
    <w:p>
      <w:pPr>
        <w:numPr>
          <w:ilvl w:val="0"/>
          <w:numId w:val="7"/>
        </w:numPr>
        <w:jc w:val="left"/>
        <w:spacing w:after="0" w:line="360" w:lineRule="auto"/>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维保技术要求：</w:t>
      </w:r>
      <w:r/>
    </w:p>
    <w:p>
      <w:pPr>
        <w:pStyle w:val="959"/>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1.设备型号：瓦里安直线加速器（VARIAN CLINAC IX）</w:t>
      </w:r>
      <w:r/>
    </w:p>
    <w:p>
      <w:pPr>
        <w:pStyle w:val="959"/>
        <w:spacing w:after="0" w:line="360" w:lineRule="auto"/>
        <w:rPr>
          <w:rFonts w:hint="eastAsia" w:ascii="宋体" w:hAnsi="宋体" w:eastAsia="宋体" w:cs="宋体"/>
          <w:color w:val="auto"/>
          <w:szCs w:val="21"/>
          <w:highlight w:val="none"/>
        </w:rPr>
      </w:pPr>
      <w:r>
        <w:rPr>
          <w:rFonts w:hint="eastAsia" w:ascii="宋体" w:hAnsi="宋体"/>
          <w:bCs/>
          <w:color w:val="auto"/>
          <w:sz w:val="24"/>
          <w:szCs w:val="24"/>
        </w:rPr>
        <w:t xml:space="preserve">★</w:t>
      </w:r>
      <w:r>
        <w:rPr>
          <w:rFonts w:hint="eastAsia" w:ascii="宋体" w:hAnsi="宋体" w:eastAsia="宋体" w:cs="宋体"/>
          <w:color w:val="auto"/>
          <w:szCs w:val="21"/>
          <w:highlight w:val="none"/>
        </w:rPr>
        <w:t xml:space="preserve">2.保修类型：整机全保</w:t>
      </w:r>
      <w:r/>
    </w:p>
    <w:p>
      <w:pPr>
        <w:pStyle w:val="959"/>
        <w:spacing w:after="0" w:line="360" w:lineRule="auto"/>
        <w:rPr>
          <w:rFonts w:hint="eastAsia" w:ascii="宋体" w:hAnsi="宋体" w:eastAsia="宋体" w:cs="宋体"/>
          <w:color w:val="auto"/>
          <w:szCs w:val="21"/>
          <w:highlight w:val="none"/>
        </w:rPr>
      </w:pPr>
      <w:r>
        <w:rPr>
          <w:rFonts w:hint="eastAsia" w:ascii="宋体" w:hAnsi="宋体"/>
          <w:bCs/>
          <w:color w:val="auto"/>
          <w:sz w:val="24"/>
          <w:szCs w:val="24"/>
        </w:rPr>
        <w:t xml:space="preserve">★</w:t>
      </w:r>
      <w:r>
        <w:rPr>
          <w:rFonts w:hint="eastAsia" w:ascii="宋体" w:hAnsi="宋体" w:eastAsia="宋体" w:cs="宋体"/>
          <w:color w:val="auto"/>
          <w:szCs w:val="21"/>
          <w:highlight w:val="none"/>
        </w:rPr>
        <w:t xml:space="preserve">3.保修年限：三年。</w:t>
      </w:r>
      <w:r/>
    </w:p>
    <w:p>
      <w:pPr>
        <w:pStyle w:val="959"/>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4.瓦里安直线加速器（VARIAN CLINAC IX）维保期内提供维修所需的人工和备件。</w:t>
      </w:r>
      <w:r/>
    </w:p>
    <w:p>
      <w:pPr>
        <w:pStyle w:val="959"/>
        <w:spacing w:line="360" w:lineRule="auto"/>
        <w:rPr>
          <w:rFonts w:hint="eastAsia" w:hAnsi="宋体" w:cs="宋体"/>
          <w:color w:val="auto"/>
          <w:szCs w:val="21"/>
        </w:rPr>
      </w:pPr>
      <w:r>
        <w:rPr>
          <w:rFonts w:hint="eastAsia" w:hAnsi="宋体" w:cs="宋体"/>
          <w:color w:val="auto"/>
          <w:szCs w:val="21"/>
        </w:rPr>
        <w:t xml:space="preserve">▲5.</w:t>
      </w:r>
      <w:bookmarkStart w:id="117" w:name="_Hlk118745457"/>
      <w:r>
        <w:rPr>
          <w:rFonts w:hint="eastAsia" w:hAnsi="宋体" w:cs="宋体"/>
          <w:color w:val="auto"/>
          <w:szCs w:val="21"/>
        </w:rPr>
        <w:t xml:space="preserve"> 在保修服务期内免费提供设备的软硬件安全升级（非功能性软件），系统软件升级补丁和技术支持，以提高设备的安全性和性能，但不包括第三方生产或拥有的软件升级，并提供所有升级资料和记录。</w:t>
      </w:r>
      <w:bookmarkEnd w:id="117"/>
      <w:r>
        <w:rPr>
          <w:rFonts w:hint="eastAsia" w:hAnsi="宋体" w:cs="宋体"/>
          <w:color w:val="auto"/>
          <w:szCs w:val="21"/>
        </w:rPr>
        <w:t xml:space="preserve">（需提供该设备制造商或其直属机构的盖章证明材料）。</w:t>
      </w:r>
      <w:r/>
    </w:p>
    <w:p>
      <w:pPr>
        <w:pStyle w:val="959"/>
        <w:spacing w:line="360" w:lineRule="auto"/>
        <w:rPr>
          <w:rFonts w:hint="eastAsia" w:hAnsi="宋体" w:cs="宋体"/>
          <w:color w:val="auto"/>
          <w:szCs w:val="21"/>
        </w:rPr>
      </w:pPr>
      <w:r>
        <w:rPr>
          <w:rFonts w:hint="eastAsia" w:hAnsi="宋体" w:cs="宋体"/>
          <w:color w:val="auto"/>
          <w:szCs w:val="21"/>
        </w:rPr>
        <w:t xml:space="preserve">▲</w:t>
      </w:r>
      <w:r>
        <w:rPr>
          <w:rFonts w:hint="eastAsia" w:hAnsi="宋体" w:cs="宋体"/>
          <w:color w:val="auto"/>
          <w:szCs w:val="21"/>
          <w:lang w:val="en-US" w:eastAsia="zh-CN"/>
        </w:rPr>
        <w:t xml:space="preserve">6</w:t>
      </w:r>
      <w:r>
        <w:rPr>
          <w:rFonts w:hint="eastAsia" w:hAnsi="宋体" w:cs="宋体"/>
          <w:color w:val="auto"/>
          <w:szCs w:val="21"/>
        </w:rPr>
        <w:t xml:space="preserve">.软件必须是直线加速器生产厂家的正版软件。若因投标单位提供的产品及备件问题维保设备被国家药监局检查为不合格，投标单位应承担一切相关责任，并确保项目涉及的知识产权相关事项符合国家法律法规的规定，并承担相关法律责任。</w:t>
      </w:r>
      <w:r/>
    </w:p>
    <w:p>
      <w:pPr>
        <w:pStyle w:val="959"/>
        <w:spacing w:after="0" w:line="360" w:lineRule="auto"/>
        <w:rPr>
          <w:rFonts w:hint="eastAsia" w:ascii="宋体" w:hAnsi="宋体" w:eastAsia="宋体" w:cs="宋体"/>
          <w:color w:val="auto"/>
          <w:szCs w:val="21"/>
          <w:highlight w:val="none"/>
        </w:rPr>
      </w:pPr>
      <w:r>
        <w:rPr>
          <w:rFonts w:hint="eastAsia"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.投标人保证设备处于优良运行状态，为设备提供安全检查、质量保证。</w:t>
      </w:r>
      <w:r/>
    </w:p>
    <w:p>
      <w:pPr>
        <w:pStyle w:val="959"/>
        <w:spacing w:after="0" w:line="360" w:lineRule="auto"/>
        <w:rPr>
          <w:rFonts w:hint="eastAsia" w:ascii="宋体" w:hAnsi="宋体" w:eastAsia="宋体" w:cs="宋体"/>
          <w:color w:val="auto"/>
          <w:szCs w:val="21"/>
          <w:highlight w:val="none"/>
        </w:rPr>
      </w:pPr>
      <w:r>
        <w:rPr>
          <w:rFonts w:hint="eastAsia"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.投标人保证设备符合相应的国内、国际机械电气标准。</w:t>
      </w:r>
      <w:r/>
    </w:p>
    <w:p>
      <w:pPr>
        <w:pStyle w:val="959"/>
        <w:spacing w:after="0" w:line="360" w:lineRule="auto"/>
        <w:rPr>
          <w:rFonts w:hint="eastAsia" w:ascii="宋体" w:hAnsi="宋体" w:eastAsia="宋体" w:cs="宋体"/>
          <w:color w:val="auto"/>
          <w:szCs w:val="21"/>
          <w:highlight w:val="none"/>
        </w:rPr>
      </w:pPr>
      <w:r>
        <w:rPr>
          <w:rFonts w:hint="eastAsia"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.所有更换的零备件必须保证质量合格，必须为原厂同型号全新匹配备件（提供原厂授权书或与原厂采购备件合同备案</w:t>
      </w:r>
      <w:r>
        <w:rPr>
          <w:rFonts w:hint="eastAsia" w:hAnsi="宋体" w:cs="宋体"/>
          <w:color w:val="auto"/>
          <w:szCs w:val="21"/>
          <w:highlight w:val="none"/>
          <w:lang w:eastAsia="zh-CN"/>
        </w:rPr>
        <w:t xml:space="preserve">，</w:t>
      </w:r>
      <w:r>
        <w:rPr>
          <w:rFonts w:hint="eastAsia" w:hAnsi="宋体" w:cs="宋体"/>
          <w:color w:val="auto"/>
          <w:szCs w:val="21"/>
          <w:highlight w:val="none"/>
          <w:lang w:val="en-US" w:eastAsia="zh-CN"/>
        </w:rPr>
        <w:t xml:space="preserve">如进口配件须提供进口相关手续文件或说明</w:t>
      </w:r>
      <w:r>
        <w:rPr>
          <w:rFonts w:hint="eastAsia" w:ascii="宋体" w:hAnsi="宋体" w:eastAsia="宋体" w:cs="宋体"/>
          <w:color w:val="auto"/>
          <w:szCs w:val="21"/>
          <w:highlight w:val="none"/>
        </w:rPr>
        <w:t xml:space="preserve">）。</w:t>
      </w:r>
      <w:r/>
    </w:p>
    <w:p>
      <w:pPr>
        <w:pStyle w:val="959"/>
        <w:spacing w:after="0" w:line="360" w:lineRule="auto"/>
        <w:rPr>
          <w:rFonts w:hint="eastAsia" w:ascii="宋体" w:hAnsi="宋体" w:eastAsia="宋体" w:cs="宋体"/>
          <w:color w:val="auto"/>
          <w:szCs w:val="21"/>
          <w:highlight w:val="none"/>
        </w:rPr>
      </w:pPr>
      <w:r>
        <w:rPr>
          <w:rFonts w:hint="eastAsia"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.投标人或原厂（所维保设备的制造商）在国内设有配件仓库（提供仓库地址和联系人），配件到达设备现场≤24小时。</w:t>
      </w:r>
      <w:r/>
    </w:p>
    <w:p>
      <w:pPr>
        <w:pStyle w:val="959"/>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 投标人或原厂（所维保设备的制造商）需具有经过产品制造商正规培训的维修工程师，须持有设备制造商出具的有效期内同型号设备维修证书（提供维修证书</w:t>
      </w:r>
      <w:r>
        <w:rPr>
          <w:rFonts w:hint="eastAsia" w:ascii="宋体" w:hAnsi="宋体" w:eastAsia="宋体" w:cs="宋体"/>
          <w:color w:val="auto"/>
          <w:szCs w:val="21"/>
          <w:highlight w:val="none"/>
          <w:lang w:val="en-US" w:eastAsia="zh-CN"/>
        </w:rPr>
        <w:t xml:space="preserve">扫描件</w:t>
      </w:r>
      <w:r>
        <w:rPr>
          <w:rFonts w:hint="eastAsia" w:ascii="宋体" w:hAnsi="宋体" w:eastAsia="宋体" w:cs="宋体"/>
          <w:color w:val="auto"/>
          <w:szCs w:val="21"/>
          <w:highlight w:val="none"/>
        </w:rPr>
        <w:t xml:space="preserve">）。</w:t>
      </w:r>
      <w:r/>
    </w:p>
    <w:p>
      <w:pPr>
        <w:pStyle w:val="959"/>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 投标人或原厂（所维保设备的制造商）在江苏省内至少有3名驻点同型号设备维修工程师并提供姓名联系方式及</w:t>
      </w:r>
      <w:r>
        <w:rPr>
          <w:rFonts w:hint="eastAsia" w:hAnsi="宋体" w:cs="宋体"/>
          <w:color w:val="auto"/>
          <w:szCs w:val="21"/>
          <w:highlight w:val="none"/>
          <w:lang w:val="en-US" w:eastAsia="zh-CN"/>
        </w:rPr>
        <w:t xml:space="preserve">半年以内</w:t>
      </w:r>
      <w:r>
        <w:rPr>
          <w:rFonts w:hint="eastAsia" w:ascii="宋体" w:hAnsi="宋体" w:eastAsia="宋体" w:cs="宋体"/>
          <w:color w:val="auto"/>
          <w:szCs w:val="21"/>
          <w:highlight w:val="none"/>
        </w:rPr>
        <w:t xml:space="preserve">社保证明。</w:t>
      </w:r>
      <w:r/>
    </w:p>
    <w:p>
      <w:pPr>
        <w:pStyle w:val="959"/>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.投标人或原厂（所维保设备的制造商）具备报修热线，并提供365天，7×24小时热线支持。</w:t>
      </w:r>
      <w:r/>
    </w:p>
    <w:p>
      <w:pPr>
        <w:pStyle w:val="959"/>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.电话报修首次响应时间≤2小时，工程师到达现场时间≤24小时。</w:t>
      </w:r>
      <w:r/>
    </w:p>
    <w:p>
      <w:pPr>
        <w:pStyle w:val="959"/>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.预防性巡检、保养：≥2次/年，并提交维护保养报告。</w:t>
      </w:r>
      <w:r/>
    </w:p>
    <w:p>
      <w:pPr>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.在正确</w:t>
      </w:r>
      <w:r>
        <w:rPr>
          <w:rFonts w:hint="eastAsia" w:ascii="宋体" w:hAnsi="宋体" w:eastAsia="宋体" w:cs="宋体"/>
          <w:color w:val="auto"/>
          <w:szCs w:val="21"/>
          <w:highlight w:val="none"/>
        </w:rPr>
        <w:t xml:space="preserve">使用设备的前提下，保证保修期内开机率≥95%</w:t>
      </w:r>
      <w:r>
        <w:rPr>
          <w:rFonts w:hint="eastAsia" w:ascii="宋体" w:hAnsi="宋体" w:eastAsia="宋体" w:cs="宋体"/>
          <w:color w:val="auto"/>
        </w:rPr>
        <w:t xml:space="preserve">（365天），停机时间不超过18天</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rPr>
        <w:t xml:space="preserve">停机每超过1天，维保合同期顺延</w:t>
      </w:r>
      <w:r>
        <w:rPr>
          <w:rFonts w:hint="eastAsia" w:ascii="宋体" w:hAnsi="宋体" w:eastAsia="宋体" w:cs="宋体"/>
          <w:color w:val="auto"/>
          <w:lang w:val="en-US" w:eastAsia="zh-CN"/>
        </w:rPr>
        <w:t xml:space="preserve">3</w:t>
      </w:r>
      <w:r>
        <w:rPr>
          <w:rFonts w:hint="eastAsia" w:ascii="宋体" w:hAnsi="宋体" w:eastAsia="宋体" w:cs="宋体"/>
          <w:color w:val="auto"/>
        </w:rPr>
        <w:t xml:space="preserve">天。</w:t>
      </w:r>
      <w:r/>
    </w:p>
    <w:p>
      <w:pPr>
        <w:jc w:val="left"/>
        <w:spacing w:after="0" w:line="360" w:lineRule="auto"/>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Times New Roman"/>
          <w:bCs/>
          <w:color w:val="auto"/>
          <w:sz w:val="24"/>
          <w:szCs w:val="24"/>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二、商务要求</w:t>
      </w:r>
      <w:r/>
    </w:p>
    <w:p>
      <w:pPr>
        <w:pStyle w:val="959"/>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1.合同履行期限：3年。</w:t>
      </w:r>
      <w:r/>
    </w:p>
    <w:p>
      <w:pPr>
        <w:pStyle w:val="959"/>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2.维保期内提供维修所需人工和备件，其他第三方产品除外。</w:t>
      </w:r>
      <w:r/>
    </w:p>
    <w:p>
      <w:pPr>
        <w:pStyle w:val="959"/>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3.投标方所提供的保修服务，都将提供设备维修服务报告。</w:t>
      </w:r>
      <w:r/>
    </w:p>
    <w:p>
      <w:pPr>
        <w:pStyle w:val="959"/>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4.付款方式：后付款，一年一付，</w:t>
      </w:r>
      <w:r>
        <w:rPr>
          <w:rFonts w:hint="eastAsia" w:hAnsi="宋体" w:cs="宋体"/>
          <w:color w:val="auto"/>
          <w:szCs w:val="21"/>
          <w:highlight w:val="none"/>
          <w:lang w:val="en-US" w:eastAsia="zh-CN"/>
        </w:rPr>
        <w:t xml:space="preserve">当年度</w:t>
      </w:r>
      <w:r>
        <w:rPr>
          <w:rFonts w:hint="eastAsia" w:ascii="宋体" w:hAnsi="宋体" w:eastAsia="宋体" w:cs="宋体"/>
          <w:color w:val="auto"/>
          <w:szCs w:val="21"/>
          <w:highlight w:val="none"/>
        </w:rPr>
        <w:t xml:space="preserve">服务</w:t>
      </w:r>
      <w:r>
        <w:rPr>
          <w:rFonts w:hint="eastAsia" w:hAnsi="宋体" w:cs="宋体"/>
          <w:color w:val="auto"/>
          <w:szCs w:val="21"/>
          <w:highlight w:val="none"/>
          <w:lang w:val="en-US" w:eastAsia="zh-CN"/>
        </w:rPr>
        <w:t xml:space="preserve">结束</w:t>
      </w:r>
      <w:r>
        <w:rPr>
          <w:rFonts w:hint="eastAsia" w:ascii="宋体" w:hAnsi="宋体" w:eastAsia="宋体" w:cs="宋体"/>
          <w:color w:val="auto"/>
          <w:szCs w:val="21"/>
          <w:highlight w:val="none"/>
        </w:rPr>
        <w:t xml:space="preserve">，</w:t>
      </w:r>
      <w:r>
        <w:rPr>
          <w:rFonts w:hint="eastAsia" w:hAnsi="宋体" w:cs="宋体"/>
          <w:color w:val="auto"/>
          <w:szCs w:val="21"/>
          <w:highlight w:val="none"/>
          <w:lang w:val="en-US" w:eastAsia="zh-CN"/>
        </w:rPr>
        <w:t xml:space="preserve">按</w:t>
      </w:r>
      <w:r>
        <w:rPr>
          <w:rFonts w:hint="eastAsia" w:hAnsi="宋体"/>
          <w:color w:val="auto"/>
          <w:lang w:val="en-US" w:eastAsia="zh-CN"/>
        </w:rPr>
        <w:t xml:space="preserve">保修服务考核表验收合格，</w:t>
      </w:r>
      <w:r>
        <w:rPr>
          <w:rFonts w:hint="eastAsia" w:ascii="宋体" w:hAnsi="宋体" w:eastAsia="宋体" w:cs="宋体"/>
          <w:color w:val="auto"/>
          <w:szCs w:val="21"/>
          <w:highlight w:val="none"/>
        </w:rPr>
        <w:t xml:space="preserve">在发票开具之日起的30日内付至成交供应商指定账户。 </w:t>
      </w:r>
      <w:r/>
    </w:p>
    <w:p>
      <w:pPr>
        <w:pStyle w:val="959"/>
        <w:spacing w:after="0" w:line="360" w:lineRule="auto"/>
        <w:rPr>
          <w:color w:val="auto"/>
        </w:rPr>
      </w:pPr>
      <w:r>
        <w:rPr>
          <w:rFonts w:hint="eastAsia" w:hAnsi="宋体"/>
          <w:color w:val="auto"/>
          <w:lang w:val="en-US" w:eastAsia="zh-CN"/>
        </w:rPr>
        <w:t xml:space="preserve">5.</w:t>
      </w:r>
      <w:r>
        <w:rPr>
          <w:rFonts w:hint="eastAsia" w:hAnsi="宋体"/>
          <w:color w:val="auto"/>
        </w:rPr>
        <w:t xml:space="preserve">如</w:t>
      </w:r>
      <w:r>
        <w:rPr>
          <w:rFonts w:hint="eastAsia" w:ascii="宋体" w:hAnsi="宋体" w:eastAsia="宋体" w:cs="宋体"/>
          <w:color w:val="auto"/>
          <w:szCs w:val="21"/>
          <w:highlight w:val="none"/>
        </w:rPr>
        <w:t xml:space="preserve">投标方</w:t>
      </w:r>
      <w:r>
        <w:rPr>
          <w:rFonts w:hint="eastAsia" w:hAnsi="宋体"/>
          <w:color w:val="auto"/>
        </w:rPr>
        <w:t xml:space="preserve">没有按照合同规定进行维保服务，每逾期一日，</w:t>
      </w:r>
      <w:r>
        <w:rPr>
          <w:rFonts w:hint="eastAsia" w:ascii="宋体" w:hAnsi="宋体" w:eastAsia="宋体" w:cs="宋体"/>
          <w:color w:val="auto"/>
          <w:szCs w:val="21"/>
          <w:highlight w:val="none"/>
        </w:rPr>
        <w:t xml:space="preserve">投标方</w:t>
      </w:r>
      <w:r>
        <w:rPr>
          <w:rFonts w:hint="eastAsia" w:hAnsi="宋体"/>
          <w:color w:val="auto"/>
        </w:rPr>
        <w:t xml:space="preserve">应按</w:t>
      </w:r>
      <w:r>
        <w:rPr>
          <w:rFonts w:hint="eastAsia" w:hAnsi="宋体"/>
          <w:color w:val="auto"/>
          <w:lang w:val="en-US" w:eastAsia="zh-CN"/>
        </w:rPr>
        <w:t xml:space="preserve">年度</w:t>
      </w:r>
      <w:r>
        <w:rPr>
          <w:rFonts w:hint="eastAsia" w:hAnsi="宋体"/>
          <w:color w:val="auto"/>
        </w:rPr>
        <w:t xml:space="preserve">合同金额的1%计算，但该违约金总额不超过</w:t>
      </w:r>
      <w:r>
        <w:rPr>
          <w:rFonts w:hint="eastAsia" w:hAnsi="宋体"/>
          <w:color w:val="auto"/>
          <w:lang w:val="en-US" w:eastAsia="zh-CN"/>
        </w:rPr>
        <w:t xml:space="preserve">年度</w:t>
      </w:r>
      <w:r>
        <w:rPr>
          <w:rFonts w:hint="eastAsia" w:hAnsi="宋体"/>
          <w:color w:val="auto"/>
        </w:rPr>
        <w:t xml:space="preserve">合同总金额的</w:t>
      </w:r>
      <w:r>
        <w:rPr>
          <w:rFonts w:hint="eastAsia" w:hAnsi="宋体"/>
          <w:color w:val="auto"/>
          <w:lang w:val="en-US" w:eastAsia="zh-CN"/>
        </w:rPr>
        <w:t xml:space="preserve">10</w:t>
      </w:r>
      <w:r>
        <w:rPr>
          <w:rFonts w:hint="eastAsia" w:hAnsi="宋体"/>
          <w:color w:val="auto"/>
        </w:rPr>
        <w:t xml:space="preserve">%。</w:t>
      </w:r>
      <w:r/>
    </w:p>
    <w:p>
      <w:pPr>
        <w:pStyle w:val="874"/>
        <w:jc w:val="center"/>
        <w:spacing w:line="360" w:lineRule="auto"/>
        <w:rPr>
          <w:rFonts w:hint="eastAsia" w:ascii="宋体" w:hAnsi="宋体" w:eastAsia="宋体" w:cs="宋体"/>
          <w:color w:val="auto"/>
          <w:sz w:val="44"/>
          <w:szCs w:val="96"/>
        </w:rPr>
      </w:pPr>
      <w:r>
        <w:rPr>
          <w:rFonts w:hint="eastAsia" w:ascii="宋体" w:hAnsi="宋体" w:eastAsia="宋体" w:cs="宋体"/>
          <w:color w:val="auto"/>
          <w:sz w:val="44"/>
          <w:szCs w:val="96"/>
        </w:rPr>
        <w:t xml:space="preserve">年度考核表</w:t>
      </w:r>
      <w:r/>
    </w:p>
    <w:tbl>
      <w:tblPr>
        <w:tblStyle w:val="884"/>
        <w:tblW w:w="9642" w:type="dxa"/>
        <w:jc w:val="center"/>
        <w:tblLayout w:type="fixed"/>
        <w:tblCellMar>
          <w:left w:w="15" w:type="dxa"/>
          <w:top w:w="15" w:type="dxa"/>
          <w:right w:w="15" w:type="dxa"/>
          <w:bottom w:w="15" w:type="dxa"/>
        </w:tblCellMar>
        <w:tblLook w:val="04A0" w:firstRow="1" w:lastRow="0" w:firstColumn="1" w:lastColumn="0" w:noHBand="0" w:noVBand="1"/>
      </w:tblPr>
      <w:tblGrid>
        <w:gridCol w:w="666"/>
        <w:gridCol w:w="6534"/>
        <w:gridCol w:w="1129"/>
        <w:gridCol w:w="1313"/>
      </w:tblGrid>
      <w:tr>
        <w:trPr>
          <w:jc w:val="center"/>
          <w:trHeight w:val="117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before="156" w:after="156" w:line="240" w:lineRule="exact"/>
              <w:widowControl/>
              <w:rPr>
                <w:rFonts w:hint="eastAsia" w:ascii="宋体" w:hAnsi="宋体" w:cs="宋体"/>
                <w:color w:val="auto"/>
                <w:szCs w:val="21"/>
              </w:rPr>
            </w:pPr>
            <w:r>
              <w:rPr>
                <w:rFonts w:hint="eastAsia" w:ascii="宋体" w:hAnsi="宋体" w:cs="宋体"/>
                <w:color w:val="auto"/>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6534" w:type="dxa"/>
            <w:vAlign w:val="center"/>
            <w:textDirection w:val="lrTb"/>
            <w:noWrap w:val="false"/>
          </w:tcPr>
          <w:p>
            <w:pPr>
              <w:jc w:val="center"/>
              <w:spacing w:before="156" w:after="156" w:line="240" w:lineRule="exact"/>
              <w:widowControl/>
              <w:rPr>
                <w:rFonts w:hint="eastAsia" w:ascii="宋体" w:hAnsi="宋体" w:cs="宋体"/>
                <w:color w:val="auto"/>
                <w:szCs w:val="21"/>
              </w:rPr>
            </w:pPr>
            <w:r>
              <w:rPr>
                <w:rFonts w:hint="eastAsia" w:ascii="宋体" w:hAnsi="宋体" w:cs="宋体"/>
                <w:color w:val="auto"/>
                <w:szCs w:val="21"/>
                <w:lang w:bidi="ar"/>
              </w:rPr>
              <w:t xml:space="preserve">考核内容</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before="156" w:after="156" w:line="240" w:lineRule="exact"/>
              <w:widowControl/>
              <w:rPr>
                <w:rFonts w:hint="eastAsia" w:ascii="宋体" w:hAnsi="宋体" w:cs="宋体"/>
                <w:color w:val="auto"/>
                <w:szCs w:val="21"/>
                <w:lang w:bidi="ar"/>
              </w:rPr>
            </w:pPr>
            <w:r>
              <w:rPr>
                <w:rFonts w:hint="eastAsia" w:ascii="宋体" w:hAnsi="宋体" w:cs="宋体"/>
                <w:color w:val="auto"/>
                <w:szCs w:val="21"/>
                <w:lang w:bidi="ar"/>
              </w:rPr>
              <w:t xml:space="preserve">分值</w:t>
            </w:r>
            <w:r/>
          </w:p>
          <w:p>
            <w:pPr>
              <w:jc w:val="center"/>
              <w:spacing w:before="156" w:after="156" w:line="240" w:lineRule="exact"/>
              <w:widowControl/>
              <w:rPr>
                <w:rFonts w:hint="eastAsia" w:ascii="宋体" w:hAnsi="宋体" w:cs="宋体"/>
                <w:color w:val="auto"/>
                <w:szCs w:val="21"/>
              </w:rPr>
            </w:pPr>
            <w:r>
              <w:rPr>
                <w:rFonts w:hint="eastAsia" w:ascii="宋体" w:hAnsi="宋体" w:cs="宋体"/>
                <w:color w:val="auto"/>
                <w:szCs w:val="21"/>
                <w:lang w:bidi="ar"/>
              </w:rPr>
              <w:t xml:space="preserve">（100分）</w:t>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spacing w:before="156" w:after="156" w:line="240" w:lineRule="exact"/>
              <w:widowControl/>
              <w:rPr>
                <w:rFonts w:hint="eastAsia" w:ascii="宋体" w:hAnsi="宋体" w:cs="宋体"/>
                <w:color w:val="auto"/>
                <w:szCs w:val="21"/>
              </w:rPr>
            </w:pPr>
            <w:r>
              <w:rPr>
                <w:rFonts w:hint="eastAsia" w:ascii="宋体" w:hAnsi="宋体" w:cs="宋体"/>
                <w:color w:val="auto"/>
                <w:szCs w:val="21"/>
                <w:lang w:bidi="ar"/>
              </w:rPr>
              <w:t xml:space="preserve">得分</w:t>
            </w:r>
            <w:r/>
          </w:p>
        </w:tc>
      </w:tr>
      <w:tr>
        <w:trPr>
          <w:jc w:val="center"/>
          <w:trHeight w:val="992"/>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before="156" w:after="156" w:line="240" w:lineRule="exact"/>
              <w:widowControl/>
              <w:rPr>
                <w:rFonts w:hint="eastAsia" w:ascii="宋体" w:hAnsi="宋体" w:cs="宋体"/>
                <w:color w:val="auto"/>
                <w:szCs w:val="21"/>
              </w:rPr>
            </w:pPr>
            <w:r>
              <w:rPr>
                <w:rFonts w:hint="eastAsia" w:ascii="宋体" w:hAnsi="宋体" w:cs="宋体"/>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W w:w="6534" w:type="dxa"/>
            <w:vAlign w:val="center"/>
            <w:textDirection w:val="lrTb"/>
            <w:noWrap w:val="false"/>
          </w:tcPr>
          <w:p>
            <w:pPr>
              <w:jc w:val="left"/>
              <w:spacing w:before="156" w:after="156" w:line="240" w:lineRule="exact"/>
              <w:widowControl/>
              <w:rPr>
                <w:rFonts w:hint="eastAsia" w:ascii="宋体" w:hAnsi="宋体" w:cs="宋体"/>
                <w:color w:val="auto"/>
                <w:szCs w:val="21"/>
              </w:rPr>
            </w:pPr>
            <w:r>
              <w:rPr>
                <w:rFonts w:hint="eastAsia" w:ascii="宋体" w:hAnsi="宋体" w:cs="宋体"/>
                <w:color w:val="auto"/>
                <w:szCs w:val="21"/>
              </w:rPr>
              <w:t xml:space="preserve">保修期内，每年对设备保养2次及以上包含但不限于保养所需的配件更换等)，每少一次扣20分。</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before="156" w:after="156" w:line="240" w:lineRule="exact"/>
              <w:widowControl/>
              <w:rPr>
                <w:rFonts w:hint="eastAsia" w:ascii="宋体" w:hAnsi="宋体" w:cs="宋体"/>
                <w:color w:val="auto"/>
                <w:szCs w:val="21"/>
              </w:rPr>
            </w:pPr>
            <w:r>
              <w:rPr>
                <w:rFonts w:hint="eastAsia" w:ascii="宋体" w:hAnsi="宋体" w:cs="宋体"/>
                <w:color w:val="auto"/>
                <w:szCs w:val="21"/>
              </w:rPr>
              <w:t xml:space="preserve">20</w:t>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spacing w:before="156" w:after="156" w:line="240" w:lineRule="exact"/>
              <w:rPr>
                <w:rFonts w:hint="eastAsia" w:ascii="宋体" w:hAnsi="宋体" w:cs="宋体"/>
                <w:color w:val="auto"/>
                <w:szCs w:val="21"/>
              </w:rPr>
            </w:pPr>
            <w:r>
              <w:rPr>
                <w:rFonts w:hint="eastAsia" w:ascii="宋体" w:hAnsi="宋体" w:cs="宋体"/>
                <w:color w:val="auto"/>
                <w:szCs w:val="21"/>
              </w:rPr>
            </w:r>
            <w:r/>
          </w:p>
        </w:tc>
      </w:tr>
      <w:tr>
        <w:trPr>
          <w:jc w:val="center"/>
          <w:trHeight w:val="992"/>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before="156" w:after="156" w:line="240" w:lineRule="exact"/>
              <w:widowControl/>
              <w:rPr>
                <w:rFonts w:hint="eastAsia" w:ascii="宋体" w:hAnsi="宋体" w:cs="宋体"/>
                <w:color w:val="auto"/>
                <w:szCs w:val="21"/>
              </w:rPr>
            </w:pPr>
            <w:r>
              <w:rPr>
                <w:rFonts w:hint="eastAsia" w:ascii="宋体" w:hAnsi="宋体" w:cs="宋体"/>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6534" w:type="dxa"/>
            <w:vAlign w:val="center"/>
            <w:textDirection w:val="lrTb"/>
            <w:noWrap w:val="false"/>
          </w:tcPr>
          <w:p>
            <w:pPr>
              <w:jc w:val="left"/>
              <w:spacing w:before="156" w:after="156" w:line="240" w:lineRule="exact"/>
              <w:widowControl/>
              <w:rPr>
                <w:rFonts w:hint="eastAsia" w:ascii="宋体" w:hAnsi="宋体" w:cs="宋体"/>
                <w:color w:val="auto"/>
                <w:szCs w:val="21"/>
              </w:rPr>
            </w:pPr>
            <w:r>
              <w:rPr>
                <w:rFonts w:hint="eastAsia" w:ascii="宋体" w:hAnsi="宋体" w:cs="宋体"/>
                <w:color w:val="auto"/>
                <w:szCs w:val="21"/>
              </w:rPr>
              <w:t xml:space="preserve">所更换的配件必须为原厂全新配件,如有不符，每项扣10分。</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before="156" w:after="156" w:line="240" w:lineRule="exact"/>
              <w:widowControl/>
              <w:rPr>
                <w:rFonts w:hint="eastAsia" w:ascii="宋体" w:hAnsi="宋体" w:cs="宋体"/>
                <w:color w:val="auto"/>
                <w:szCs w:val="21"/>
              </w:rPr>
            </w:pPr>
            <w:r>
              <w:rPr>
                <w:rFonts w:hint="eastAsia" w:ascii="宋体" w:hAnsi="宋体" w:cs="宋体"/>
                <w:color w:val="auto"/>
                <w:szCs w:val="21"/>
              </w:rPr>
              <w:t xml:space="preserve">20</w:t>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spacing w:before="156" w:after="156" w:line="240" w:lineRule="exact"/>
              <w:rPr>
                <w:rFonts w:hint="eastAsia" w:ascii="宋体" w:hAnsi="宋体" w:cs="宋体"/>
                <w:color w:val="auto"/>
                <w:szCs w:val="21"/>
              </w:rPr>
            </w:pPr>
            <w:r>
              <w:rPr>
                <w:rFonts w:hint="eastAsia" w:ascii="宋体" w:hAnsi="宋体" w:cs="宋体"/>
                <w:color w:val="auto"/>
                <w:szCs w:val="21"/>
              </w:rPr>
            </w:r>
            <w:r/>
          </w:p>
        </w:tc>
      </w:tr>
      <w:tr>
        <w:trPr>
          <w:jc w:val="center"/>
          <w:trHeight w:val="992"/>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before="156" w:after="156" w:line="240" w:lineRule="exact"/>
              <w:widowControl/>
              <w:rPr>
                <w:rFonts w:hint="eastAsia" w:ascii="宋体" w:hAnsi="宋体" w:cs="宋体"/>
                <w:color w:val="auto"/>
                <w:szCs w:val="21"/>
              </w:rPr>
            </w:pPr>
            <w:r>
              <w:rPr>
                <w:rFonts w:hint="eastAsia" w:ascii="宋体" w:hAnsi="宋体" w:cs="宋体"/>
                <w:color w:val="auto"/>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6534" w:type="dxa"/>
            <w:vAlign w:val="center"/>
            <w:textDirection w:val="lrTb"/>
            <w:noWrap w:val="false"/>
          </w:tcPr>
          <w:p>
            <w:pPr>
              <w:jc w:val="left"/>
              <w:spacing w:before="156" w:after="156" w:line="240" w:lineRule="exact"/>
              <w:widowControl/>
              <w:rPr>
                <w:rFonts w:hint="eastAsia" w:ascii="宋体" w:hAnsi="宋体" w:cs="宋体"/>
                <w:color w:val="auto"/>
                <w:szCs w:val="21"/>
              </w:rPr>
            </w:pPr>
            <w:r>
              <w:rPr>
                <w:rFonts w:hint="eastAsia" w:ascii="宋体" w:hAnsi="宋体" w:cs="宋体"/>
                <w:color w:val="auto"/>
                <w:szCs w:val="21"/>
              </w:rPr>
              <w:t xml:space="preserve">每天24h电话支持，如果设备发生故障，乙方接到报修电话后2小时内响应，并给出解决方案。未及时响应的每次扣5分。</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before="156" w:after="156" w:line="240" w:lineRule="exact"/>
              <w:widowControl/>
              <w:rPr>
                <w:rFonts w:hint="eastAsia" w:ascii="宋体" w:hAnsi="宋体" w:cs="宋体"/>
                <w:color w:val="auto"/>
                <w:szCs w:val="21"/>
              </w:rPr>
            </w:pPr>
            <w:r>
              <w:rPr>
                <w:rFonts w:hint="eastAsia" w:ascii="宋体" w:hAnsi="宋体" w:cs="宋体"/>
                <w:color w:val="auto"/>
                <w:szCs w:val="21"/>
              </w:rPr>
              <w:t xml:space="preserve">20</w:t>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spacing w:before="156" w:after="156" w:line="240" w:lineRule="exact"/>
              <w:rPr>
                <w:rFonts w:hint="eastAsia" w:ascii="宋体" w:hAnsi="宋体" w:cs="宋体"/>
                <w:color w:val="auto"/>
                <w:szCs w:val="21"/>
              </w:rPr>
            </w:pPr>
            <w:r>
              <w:rPr>
                <w:rFonts w:hint="eastAsia" w:ascii="宋体" w:hAnsi="宋体" w:cs="宋体"/>
                <w:color w:val="auto"/>
                <w:szCs w:val="21"/>
              </w:rPr>
            </w:r>
            <w:r/>
          </w:p>
        </w:tc>
      </w:tr>
      <w:tr>
        <w:trPr>
          <w:jc w:val="center"/>
          <w:trHeight w:val="1142"/>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before="156" w:after="156" w:line="240" w:lineRule="exact"/>
              <w:widowControl/>
              <w:rPr>
                <w:rFonts w:hint="eastAsia" w:ascii="宋体" w:hAnsi="宋体" w:cs="宋体"/>
                <w:color w:val="auto"/>
                <w:szCs w:val="21"/>
                <w:lang w:bidi="ar"/>
              </w:rPr>
            </w:pPr>
            <w:r>
              <w:rPr>
                <w:rFonts w:hint="eastAsia" w:ascii="宋体" w:hAnsi="宋体" w:cs="宋体"/>
                <w:color w:val="auto"/>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534" w:type="dxa"/>
            <w:vAlign w:val="center"/>
            <w:textDirection w:val="lrTb"/>
            <w:noWrap w:val="false"/>
          </w:tcPr>
          <w:p>
            <w:pPr>
              <w:pStyle w:val="890"/>
              <w:ind w:left="105"/>
              <w:spacing w:before="156" w:after="156" w:line="240" w:lineRule="exact"/>
              <w:rPr>
                <w:rFonts w:hint="eastAsia" w:ascii="宋体" w:hAnsi="宋体" w:cs="宋体"/>
                <w:color w:val="auto"/>
                <w:szCs w:val="21"/>
              </w:rPr>
            </w:pPr>
            <w:r>
              <w:rPr>
                <w:rFonts w:hint="eastAsia" w:ascii="宋体" w:hAnsi="宋体" w:cs="宋体"/>
                <w:color w:val="auto"/>
                <w:szCs w:val="21"/>
              </w:rPr>
              <w:t xml:space="preserve">电话支持无法解决的，维修人员需24小时内到达现场。未按时到达或完成维修的每次扣5分。无特殊原因单次故障维修时长超过4天，每次扣5分。</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before="156" w:after="156" w:line="240" w:lineRule="exact"/>
              <w:widowControl/>
              <w:rPr>
                <w:rFonts w:hint="eastAsia" w:ascii="宋体" w:hAnsi="宋体" w:cs="宋体"/>
                <w:color w:val="auto"/>
                <w:szCs w:val="21"/>
                <w:lang w:bidi="ar"/>
              </w:rPr>
            </w:pPr>
            <w:r>
              <w:rPr>
                <w:rFonts w:hint="eastAsia" w:ascii="宋体" w:hAnsi="宋体" w:cs="宋体"/>
                <w:color w:val="auto"/>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spacing w:before="156" w:after="156" w:line="240" w:lineRule="exact"/>
              <w:rPr>
                <w:rFonts w:hint="eastAsia" w:ascii="宋体" w:hAnsi="宋体" w:cs="宋体"/>
                <w:color w:val="auto"/>
                <w:szCs w:val="21"/>
              </w:rPr>
            </w:pPr>
            <w:r>
              <w:rPr>
                <w:rFonts w:hint="eastAsia" w:ascii="宋体" w:hAnsi="宋体" w:cs="宋体"/>
                <w:color w:val="auto"/>
                <w:szCs w:val="21"/>
              </w:rPr>
            </w:r>
            <w:r/>
          </w:p>
        </w:tc>
      </w:tr>
      <w:tr>
        <w:trPr>
          <w:jc w:val="center"/>
          <w:trHeight w:val="992"/>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before="156" w:after="156" w:line="240" w:lineRule="exact"/>
              <w:widowControl/>
              <w:rPr>
                <w:rFonts w:hint="eastAsia" w:ascii="宋体" w:hAnsi="宋体" w:cs="宋体"/>
                <w:color w:val="auto"/>
                <w:szCs w:val="21"/>
                <w:lang w:bidi="ar"/>
              </w:rPr>
            </w:pPr>
            <w:r>
              <w:rPr>
                <w:rFonts w:hint="eastAsia" w:ascii="宋体" w:hAnsi="宋体" w:cs="宋体"/>
                <w:color w:val="auto"/>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6534" w:type="dxa"/>
            <w:vAlign w:val="center"/>
            <w:textDirection w:val="lrTb"/>
            <w:noWrap w:val="false"/>
          </w:tcPr>
          <w:p>
            <w:pPr>
              <w:spacing w:before="156" w:after="156" w:line="240" w:lineRule="exact"/>
              <w:widowControl/>
              <w:rPr>
                <w:rFonts w:hint="eastAsia" w:ascii="宋体" w:hAnsi="宋体" w:cs="宋体"/>
                <w:color w:val="auto"/>
                <w:szCs w:val="21"/>
              </w:rPr>
            </w:pPr>
            <w:r>
              <w:rPr>
                <w:rFonts w:hint="eastAsia" w:ascii="宋体" w:hAnsi="宋体" w:cs="宋体"/>
                <w:color w:val="auto"/>
                <w:szCs w:val="21"/>
              </w:rPr>
              <w:t xml:space="preserve">考核期内每年开机率小于95%的，每低一个百分点扣5分。</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before="156" w:after="156" w:line="240" w:lineRule="exact"/>
              <w:widowControl/>
              <w:rPr>
                <w:rFonts w:hint="eastAsia" w:ascii="宋体" w:hAnsi="宋体" w:cs="宋体"/>
                <w:color w:val="auto"/>
                <w:szCs w:val="21"/>
                <w:lang w:bidi="ar"/>
              </w:rPr>
            </w:pPr>
            <w:r>
              <w:rPr>
                <w:rFonts w:hint="eastAsia" w:ascii="宋体" w:hAnsi="宋体" w:cs="宋体"/>
                <w:color w:val="auto"/>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spacing w:before="156" w:after="156" w:line="240" w:lineRule="exact"/>
              <w:rPr>
                <w:rFonts w:hint="eastAsia" w:ascii="宋体" w:hAnsi="宋体" w:cs="宋体"/>
                <w:color w:val="auto"/>
                <w:szCs w:val="21"/>
              </w:rPr>
            </w:pPr>
            <w:r>
              <w:rPr>
                <w:rFonts w:hint="eastAsia" w:ascii="宋体" w:hAnsi="宋体" w:cs="宋体"/>
                <w:color w:val="auto"/>
                <w:szCs w:val="21"/>
              </w:rPr>
            </w:r>
            <w:r/>
          </w:p>
        </w:tc>
      </w:tr>
      <w:tr>
        <w:trPr>
          <w:jc w:val="center"/>
          <w:trHeight w:val="705"/>
        </w:trPr>
        <w:tc>
          <w:tcPr>
            <w:gridSpan w:val="2"/>
            <w:tcBorders>
              <w:top w:val="single" w:color="000000" w:sz="4" w:space="0"/>
              <w:left w:val="single" w:color="000000" w:sz="4" w:space="0"/>
              <w:bottom w:val="single" w:color="000000" w:sz="4" w:space="0"/>
              <w:right w:val="single" w:color="000000" w:sz="4" w:space="0"/>
            </w:tcBorders>
            <w:tcW w:w="7200" w:type="dxa"/>
            <w:vAlign w:val="center"/>
            <w:textDirection w:val="lrTb"/>
            <w:noWrap w:val="false"/>
          </w:tcPr>
          <w:p>
            <w:pPr>
              <w:jc w:val="left"/>
              <w:spacing w:before="156" w:after="156" w:line="240" w:lineRule="exact"/>
              <w:widowControl/>
              <w:rPr>
                <w:rFonts w:hint="eastAsia" w:ascii="宋体" w:hAnsi="宋体" w:cs="宋体"/>
                <w:color w:val="auto"/>
                <w:szCs w:val="21"/>
              </w:rPr>
            </w:pPr>
            <w:r>
              <w:rPr>
                <w:rFonts w:hint="eastAsia" w:ascii="宋体" w:hAnsi="宋体" w:cs="宋体"/>
                <w:color w:val="auto"/>
                <w:szCs w:val="21"/>
                <w:lang w:bidi="ar"/>
              </w:rPr>
              <w:t xml:space="preserve">考核人签字：</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before="156" w:after="156" w:line="240" w:lineRule="exact"/>
              <w:widowControl/>
              <w:rPr>
                <w:rFonts w:hint="eastAsia" w:ascii="宋体" w:hAnsi="宋体" w:cs="宋体"/>
                <w:color w:val="auto"/>
                <w:szCs w:val="21"/>
              </w:rPr>
            </w:pPr>
            <w:r>
              <w:rPr>
                <w:rFonts w:hint="eastAsia" w:ascii="宋体" w:hAnsi="宋体" w:cs="宋体"/>
                <w:color w:val="auto"/>
                <w:szCs w:val="21"/>
                <w:lang w:bidi="ar"/>
              </w:rPr>
              <w:t xml:space="preserve">合计</w:t>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spacing w:before="156" w:after="156" w:line="240" w:lineRule="exact"/>
              <w:rPr>
                <w:rFonts w:hint="eastAsia" w:ascii="宋体" w:hAnsi="宋体" w:cs="宋体"/>
                <w:color w:val="auto"/>
                <w:szCs w:val="21"/>
              </w:rPr>
            </w:pPr>
            <w:r>
              <w:rPr>
                <w:rFonts w:hint="eastAsia" w:ascii="宋体" w:hAnsi="宋体" w:cs="宋体"/>
                <w:color w:val="auto"/>
                <w:szCs w:val="21"/>
              </w:rPr>
            </w:r>
            <w:r/>
          </w:p>
        </w:tc>
      </w:tr>
    </w:tbl>
    <w:p>
      <w:pPr>
        <w:pStyle w:val="1140"/>
        <w:ind w:firstLine="420"/>
        <w:spacing w:after="0"/>
        <w:rPr>
          <w:rFonts w:hint="eastAsia" w:cs="宋体"/>
          <w:color w:val="auto"/>
          <w:sz w:val="21"/>
          <w:szCs w:val="21"/>
        </w:rPr>
      </w:pPr>
      <w:r>
        <w:rPr>
          <w:rFonts w:hint="eastAsia" w:cs="宋体"/>
          <w:color w:val="auto"/>
          <w:sz w:val="21"/>
          <w:szCs w:val="21"/>
        </w:rPr>
        <w:t xml:space="preserve">注：</w:t>
      </w:r>
      <w:r/>
    </w:p>
    <w:p>
      <w:pPr>
        <w:pStyle w:val="1141"/>
        <w:ind w:firstLine="420"/>
        <w:jc w:val="both"/>
        <w:spacing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1．本评分标准采取百分制，各项目分数累加后得出总分，用于评估整体服务质量。</w:t>
      </w:r>
      <w:r/>
    </w:p>
    <w:p>
      <w:pPr>
        <w:pStyle w:val="1140"/>
        <w:ind w:firstLine="420"/>
        <w:jc w:val="both"/>
        <w:spacing w:after="0"/>
        <w:rPr>
          <w:rFonts w:hint="eastAsia" w:cs="宋体"/>
          <w:color w:val="auto"/>
          <w:sz w:val="21"/>
          <w:szCs w:val="21"/>
        </w:rPr>
      </w:pPr>
      <w:r>
        <w:rPr>
          <w:rFonts w:hint="eastAsia" w:cs="宋体"/>
          <w:color w:val="auto"/>
          <w:sz w:val="21"/>
          <w:szCs w:val="21"/>
        </w:rPr>
        <w:t xml:space="preserve">2．考核采用每年考核一次。若连续2次考核不合格，则甲方有权终止此项合同，且不承担任何责任并付款义务。</w:t>
      </w:r>
      <w:r/>
    </w:p>
    <w:p>
      <w:pPr>
        <w:pStyle w:val="1141"/>
        <w:ind w:firstLine="420"/>
        <w:jc w:val="both"/>
        <w:spacing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3．对于未达到最低要求的项目，将根据实际情况给予扣分，并要求限期整改。</w:t>
      </w:r>
      <w:r/>
    </w:p>
    <w:p>
      <w:pPr>
        <w:pStyle w:val="1140"/>
        <w:ind w:firstLine="420"/>
        <w:spacing w:after="0"/>
        <w:rPr>
          <w:rFonts w:hint="eastAsia" w:cs="宋体"/>
          <w:color w:val="auto"/>
          <w:sz w:val="21"/>
          <w:szCs w:val="21"/>
        </w:rPr>
      </w:pPr>
      <w:r>
        <w:rPr>
          <w:rFonts w:hint="eastAsia" w:cs="宋体"/>
          <w:color w:val="auto"/>
          <w:sz w:val="21"/>
          <w:szCs w:val="21"/>
        </w:rPr>
        <w:t xml:space="preserve">4．考核结果将作为维保单位服务质量评价、资金分配及合作续签的重要依据。根据考核内容综合给予考核分值（满分为100分），根据考核分值核算结算款的发放：对中标人的服务实行每年度考核，每年度得分在90分及以上全额支付款项，低于90分，每低一分扣除中标人1%的一个年度的合同款，扣款在结算款中直接扣除。</w:t>
      </w:r>
      <w:r/>
    </w:p>
    <w:p>
      <w:pPr>
        <w:pStyle w:val="959"/>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59"/>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92"/>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6"/>
        </w:numPr>
        <w:jc w:val="center"/>
        <w:spacing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合同</w:t>
      </w:r>
      <w:r/>
    </w:p>
    <w:p>
      <w:pPr>
        <w:jc w:val="center"/>
        <w:spacing w:line="360" w:lineRule="auto"/>
        <w:rPr>
          <w:rFonts w:hint="eastAsia" w:ascii="Times New Roman" w:hAnsi="Times New Roman" w:eastAsia="宋体" w:cs="Times New Roman"/>
          <w:b/>
          <w:color w:val="auto"/>
          <w:sz w:val="32"/>
          <w:szCs w:val="32"/>
        </w:rPr>
      </w:pPr>
      <w:r>
        <w:rPr>
          <w:rFonts w:hint="eastAsia" w:ascii="Times New Roman" w:hAnsi="Times New Roman" w:eastAsia="宋体" w:cs="Times New Roman"/>
          <w:b/>
          <w:color w:val="auto"/>
          <w:sz w:val="32"/>
          <w:szCs w:val="32"/>
        </w:rPr>
        <w:t xml:space="preserve">南京市第一医院医疗设备维保服务合同</w:t>
      </w:r>
      <w:r/>
    </w:p>
    <w:p>
      <w:pPr>
        <w:spacing w:line="360" w:lineRule="auto"/>
        <w:rPr>
          <w:rFonts w:hint="default" w:ascii="Times New Roman" w:hAnsi="Times New Roman" w:eastAsia="宋体" w:cs="Times New Roman"/>
          <w:color w:val="auto"/>
          <w:szCs w:val="24"/>
          <w:u w:val="single"/>
        </w:rPr>
      </w:pPr>
      <w:r>
        <w:rPr>
          <w:rFonts w:hint="eastAsia" w:ascii="Times New Roman" w:hAnsi="Times New Roman" w:eastAsia="宋体" w:cs="Times New Roman"/>
          <w:b/>
          <w:color w:val="auto"/>
          <w:szCs w:val="21"/>
        </w:rPr>
        <w:t xml:space="preserve">甲方</w:t>
      </w:r>
      <w:r>
        <w:rPr>
          <w:rFonts w:hint="eastAsia" w:ascii="Times New Roman" w:hAnsi="Times New Roman" w:eastAsia="宋体" w:cs="Times New Roman"/>
          <w:color w:val="auto"/>
          <w:szCs w:val="21"/>
        </w:rPr>
        <w:t xml:space="preserve">：</w:t>
      </w:r>
      <w:r>
        <w:rPr>
          <w:rFonts w:hint="eastAsia" w:ascii="Times New Roman" w:hAnsi="Times New Roman" w:eastAsia="宋体" w:cs="Times New Roman"/>
          <w:color w:val="auto"/>
          <w:szCs w:val="21"/>
          <w:u w:val="single"/>
          <w:lang w:val="en-US" w:eastAsia="zh-CN"/>
        </w:rPr>
        <w:t xml:space="preserve">  </w:t>
      </w:r>
      <w:r>
        <w:rPr>
          <w:rFonts w:hint="eastAsia" w:ascii="Times New Roman" w:hAnsi="Times New Roman" w:eastAsia="宋体" w:cs="Times New Roman"/>
          <w:color w:val="auto"/>
          <w:szCs w:val="21"/>
          <w:u w:val="single"/>
        </w:rPr>
        <w:t xml:space="preserve">南京市第一医院</w:t>
      </w:r>
      <w:r>
        <w:rPr>
          <w:rFonts w:hint="eastAsia" w:cs="Times New Roman"/>
          <w:color w:val="auto"/>
          <w:szCs w:val="21"/>
          <w:u w:val="single"/>
          <w:lang w:val="en-US" w:eastAsia="zh-CN"/>
        </w:rPr>
        <w:t xml:space="preserve">     </w:t>
      </w:r>
      <w:r>
        <w:rPr>
          <w:rFonts w:hint="default" w:ascii="Times New Roman" w:hAnsi="Times New Roman" w:eastAsia="宋体" w:cs="Times New Roman"/>
          <w:color w:val="auto"/>
          <w:szCs w:val="21"/>
        </w:rPr>
        <w:t xml:space="preserve">  </w:t>
      </w:r>
      <w:r>
        <w:rPr>
          <w:rFonts w:hint="default" w:ascii="Times New Roman" w:hAnsi="Times New Roman" w:eastAsia="宋体" w:cs="Times New Roman"/>
          <w:b/>
          <w:color w:val="auto"/>
          <w:szCs w:val="21"/>
        </w:rPr>
        <w:t xml:space="preserve"> </w:t>
      </w:r>
      <w:r>
        <w:rPr>
          <w:rFonts w:hint="default" w:ascii="Times New Roman" w:hAnsi="Times New Roman" w:eastAsia="宋体" w:cs="Times New Roman"/>
          <w:color w:val="auto"/>
          <w:szCs w:val="21"/>
        </w:rPr>
        <w:t xml:space="preserve">            </w:t>
      </w:r>
      <w:r>
        <w:rPr>
          <w:rFonts w:hint="eastAsia" w:ascii="Times New Roman" w:hAnsi="Times New Roman" w:eastAsia="宋体" w:cs="Times New Roman"/>
          <w:color w:val="auto"/>
          <w:szCs w:val="21"/>
        </w:rPr>
        <w:t xml:space="preserve">         </w:t>
      </w:r>
      <w:r>
        <w:rPr>
          <w:rFonts w:hint="eastAsia" w:ascii="Times New Roman" w:hAnsi="Times New Roman" w:eastAsia="宋体" w:cs="Times New Roman"/>
          <w:b/>
          <w:color w:val="auto"/>
          <w:szCs w:val="21"/>
        </w:rPr>
        <w:t xml:space="preserve">乙方</w:t>
      </w:r>
      <w:r>
        <w:rPr>
          <w:rFonts w:hint="eastAsia" w:ascii="Times New Roman" w:hAnsi="Times New Roman" w:eastAsia="宋体" w:cs="Times New Roman"/>
          <w:color w:val="auto"/>
          <w:szCs w:val="21"/>
        </w:rPr>
        <w:t xml:space="preserve">： </w:t>
      </w:r>
      <w:r>
        <w:rPr>
          <w:rFonts w:hint="eastAsia" w:ascii="Times New Roman" w:hAnsi="Times New Roman" w:eastAsia="宋体" w:cs="Times New Roman"/>
          <w:color w:val="auto"/>
          <w:szCs w:val="24"/>
          <w:u w:val="single"/>
        </w:rPr>
        <w:t xml:space="preserve"> </w:t>
      </w:r>
      <w:r>
        <w:rPr>
          <w:rFonts w:hint="eastAsia" w:ascii="楷体_GB2312" w:hAnsi="Times New Roman" w:eastAsia="楷体_GB2312" w:cs="Times New Roman"/>
          <w:b/>
          <w:color w:val="auto"/>
          <w:szCs w:val="21"/>
          <w:u w:val="single"/>
        </w:rPr>
        <w:t xml:space="preserve"> </w:t>
      </w:r>
      <w:r>
        <w:rPr>
          <w:rFonts w:hint="default" w:ascii="楷体_GB2312" w:hAnsi="Times New Roman" w:eastAsia="楷体_GB2312" w:cs="Times New Roman"/>
          <w:b/>
          <w:color w:val="auto"/>
          <w:szCs w:val="21"/>
          <w:u w:val="single"/>
        </w:rPr>
        <w:t xml:space="preserve">                   </w:t>
      </w:r>
      <w:r>
        <w:rPr>
          <w:rFonts w:hint="eastAsia" w:ascii="楷体_GB2312" w:hAnsi="Times New Roman" w:eastAsia="楷体_GB2312" w:cs="Times New Roman"/>
          <w:b/>
          <w:color w:val="auto"/>
          <w:szCs w:val="21"/>
          <w:u w:val="single"/>
        </w:rPr>
        <w:t xml:space="preserve"> </w:t>
      </w:r>
      <w:r>
        <w:rPr>
          <w:rFonts w:hint="eastAsia" w:ascii="Times New Roman" w:hAnsi="Times New Roman" w:eastAsia="宋体" w:cs="Times New Roman"/>
          <w:color w:val="auto"/>
          <w:szCs w:val="21"/>
          <w:u w:val="single"/>
        </w:rPr>
        <w:t xml:space="preserve"> </w:t>
      </w:r>
      <w:r/>
    </w:p>
    <w:p>
      <w:pPr>
        <w:ind w:firstLine="420"/>
        <w:spacing w:line="360" w:lineRule="auto"/>
        <w:rPr>
          <w:rFonts w:hint="default" w:ascii="宋体" w:hAnsi="宋体" w:eastAsia="宋体" w:cs="Times New Roman"/>
          <w:color w:val="auto"/>
          <w:szCs w:val="21"/>
        </w:rPr>
      </w:pPr>
      <w:r>
        <w:rPr>
          <w:rFonts w:hint="eastAsia" w:ascii="宋体" w:hAnsi="宋体" w:eastAsia="宋体" w:cs="Times New Roman"/>
          <w:color w:val="auto"/>
          <w:szCs w:val="21"/>
        </w:rPr>
        <w:t xml:space="preserve">甲乙双方根据《</w:t>
      </w:r>
      <w:r>
        <w:rPr>
          <w:rFonts w:hint="eastAsia" w:ascii="宋体" w:hAnsi="宋体" w:eastAsia="宋体" w:cs="Times New Roman"/>
          <w:color w:val="auto"/>
          <w:szCs w:val="21"/>
          <w:lang w:val="en-US" w:eastAsia="zh-CN"/>
        </w:rPr>
        <w:t xml:space="preserve">中华人民共和国</w:t>
      </w:r>
      <w:r>
        <w:rPr>
          <w:rFonts w:hint="eastAsia" w:ascii="宋体" w:hAnsi="宋体" w:eastAsia="宋体" w:cs="Times New Roman"/>
          <w:color w:val="auto"/>
          <w:szCs w:val="21"/>
        </w:rPr>
        <w:t xml:space="preserve">民法典》，在平等互利、协商一致的基础上，达成以下设备维保服务合同：</w:t>
      </w:r>
      <w:r/>
    </w:p>
    <w:p>
      <w:pPr>
        <w:ind w:firstLine="0"/>
        <w:jc w:val="both"/>
        <w:spacing w:line="360" w:lineRule="auto"/>
        <w:widowControl w:val="off"/>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t xml:space="preserve">一、合同期限：</w:t>
      </w:r>
      <w:r/>
    </w:p>
    <w:p>
      <w:pPr>
        <w:ind w:left="420" w:firstLine="0"/>
        <w:jc w:val="both"/>
        <w:spacing w:line="360" w:lineRule="auto"/>
        <w:widowControl w:val="off"/>
        <w:rPr>
          <w:rFonts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t xml:space="preserve">保修期自</w:t>
      </w:r>
      <w:r>
        <w:rPr>
          <w:rFonts w:hint="eastAsia" w:ascii="宋体" w:hAnsi="宋体" w:eastAsia="宋体" w:cs="Times New Roman"/>
          <w:color w:val="auto"/>
          <w:sz w:val="21"/>
          <w:szCs w:val="21"/>
          <w:u w:val="single"/>
          <w:lang w:val="en-US" w:eastAsia="zh-CN" w:bidi="ar-SA"/>
        </w:rPr>
        <w:t xml:space="preserve">X</w:t>
      </w:r>
      <w:r>
        <w:rPr>
          <w:rFonts w:ascii="宋体" w:hAnsi="宋体" w:eastAsia="宋体" w:cs="Times New Roman"/>
          <w:color w:val="auto"/>
          <w:sz w:val="21"/>
          <w:szCs w:val="21"/>
          <w:u w:val="single"/>
          <w:lang w:val="en-US" w:eastAsia="zh-CN" w:bidi="ar-SA"/>
        </w:rPr>
        <w:t xml:space="preserve">XXX</w:t>
      </w:r>
      <w:r>
        <w:rPr>
          <w:rFonts w:hint="eastAsia" w:ascii="宋体" w:hAnsi="宋体" w:eastAsia="宋体" w:cs="Times New Roman"/>
          <w:color w:val="auto"/>
          <w:sz w:val="21"/>
          <w:szCs w:val="21"/>
          <w:u w:val="single"/>
          <w:lang w:val="en-US" w:eastAsia="zh-CN" w:bidi="ar-SA"/>
        </w:rPr>
        <w:t xml:space="preserve">年X</w:t>
      </w:r>
      <w:r>
        <w:rPr>
          <w:rFonts w:ascii="宋体" w:hAnsi="宋体" w:eastAsia="宋体" w:cs="Times New Roman"/>
          <w:color w:val="auto"/>
          <w:sz w:val="21"/>
          <w:szCs w:val="21"/>
          <w:u w:val="single"/>
          <w:lang w:val="en-US" w:eastAsia="zh-CN" w:bidi="ar-SA"/>
        </w:rPr>
        <w:t xml:space="preserve">XXX</w:t>
      </w:r>
      <w:r>
        <w:rPr>
          <w:rFonts w:hint="eastAsia" w:ascii="宋体" w:hAnsi="宋体" w:eastAsia="宋体" w:cs="Times New Roman"/>
          <w:color w:val="auto"/>
          <w:sz w:val="21"/>
          <w:szCs w:val="21"/>
          <w:u w:val="single"/>
          <w:lang w:val="en-US" w:eastAsia="zh-CN" w:bidi="ar-SA"/>
        </w:rPr>
        <w:t xml:space="preserve">月X</w:t>
      </w:r>
      <w:r>
        <w:rPr>
          <w:rFonts w:ascii="宋体" w:hAnsi="宋体" w:eastAsia="宋体" w:cs="Times New Roman"/>
          <w:color w:val="auto"/>
          <w:sz w:val="21"/>
          <w:szCs w:val="21"/>
          <w:u w:val="single"/>
          <w:lang w:val="en-US" w:eastAsia="zh-CN" w:bidi="ar-SA"/>
        </w:rPr>
        <w:t xml:space="preserve">XXX</w:t>
      </w:r>
      <w:r>
        <w:rPr>
          <w:rFonts w:hint="eastAsia" w:ascii="宋体" w:hAnsi="宋体" w:eastAsia="宋体" w:cs="Times New Roman"/>
          <w:color w:val="auto"/>
          <w:sz w:val="21"/>
          <w:szCs w:val="21"/>
          <w:u w:val="single"/>
          <w:lang w:val="en-US" w:eastAsia="zh-CN" w:bidi="ar-SA"/>
        </w:rPr>
        <w:t xml:space="preserve">日</w:t>
      </w:r>
      <w:r>
        <w:rPr>
          <w:rFonts w:hint="eastAsia" w:ascii="宋体" w:hAnsi="宋体" w:eastAsia="宋体" w:cs="Times New Roman"/>
          <w:color w:val="auto"/>
          <w:sz w:val="21"/>
          <w:szCs w:val="21"/>
          <w:lang w:val="en-US" w:eastAsia="zh-CN" w:bidi="ar-SA"/>
        </w:rPr>
        <w:t xml:space="preserve">至</w:t>
      </w:r>
      <w:r>
        <w:rPr>
          <w:rFonts w:hint="eastAsia" w:ascii="宋体" w:hAnsi="宋体" w:eastAsia="宋体" w:cs="Times New Roman"/>
          <w:color w:val="auto"/>
          <w:sz w:val="21"/>
          <w:szCs w:val="21"/>
          <w:u w:val="single"/>
          <w:lang w:val="en-US" w:eastAsia="zh-CN" w:bidi="ar-SA"/>
        </w:rPr>
        <w:t xml:space="preserve">X</w:t>
      </w:r>
      <w:r>
        <w:rPr>
          <w:rFonts w:ascii="宋体" w:hAnsi="宋体" w:eastAsia="宋体" w:cs="Times New Roman"/>
          <w:color w:val="auto"/>
          <w:sz w:val="21"/>
          <w:szCs w:val="21"/>
          <w:u w:val="single"/>
          <w:lang w:val="en-US" w:eastAsia="zh-CN" w:bidi="ar-SA"/>
        </w:rPr>
        <w:t xml:space="preserve">XXX</w:t>
      </w:r>
      <w:r>
        <w:rPr>
          <w:rFonts w:hint="eastAsia" w:ascii="宋体" w:hAnsi="宋体" w:eastAsia="宋体" w:cs="Times New Roman"/>
          <w:color w:val="auto"/>
          <w:sz w:val="21"/>
          <w:szCs w:val="21"/>
          <w:u w:val="single"/>
          <w:lang w:val="en-US" w:eastAsia="zh-CN" w:bidi="ar-SA"/>
        </w:rPr>
        <w:t xml:space="preserve">年X</w:t>
      </w:r>
      <w:r>
        <w:rPr>
          <w:rFonts w:ascii="宋体" w:hAnsi="宋体" w:eastAsia="宋体" w:cs="Times New Roman"/>
          <w:color w:val="auto"/>
          <w:sz w:val="21"/>
          <w:szCs w:val="21"/>
          <w:u w:val="single"/>
          <w:lang w:val="en-US" w:eastAsia="zh-CN" w:bidi="ar-SA"/>
        </w:rPr>
        <w:t xml:space="preserve">XXX</w:t>
      </w:r>
      <w:r>
        <w:rPr>
          <w:rFonts w:hint="eastAsia" w:ascii="宋体" w:hAnsi="宋体" w:eastAsia="宋体" w:cs="Times New Roman"/>
          <w:color w:val="auto"/>
          <w:sz w:val="21"/>
          <w:szCs w:val="21"/>
          <w:u w:val="single"/>
          <w:lang w:val="en-US" w:eastAsia="zh-CN" w:bidi="ar-SA"/>
        </w:rPr>
        <w:t xml:space="preserve">月X</w:t>
      </w:r>
      <w:r>
        <w:rPr>
          <w:rFonts w:ascii="宋体" w:hAnsi="宋体" w:eastAsia="宋体" w:cs="Times New Roman"/>
          <w:color w:val="auto"/>
          <w:sz w:val="21"/>
          <w:szCs w:val="21"/>
          <w:u w:val="single"/>
          <w:lang w:val="en-US" w:eastAsia="zh-CN" w:bidi="ar-SA"/>
        </w:rPr>
        <w:t xml:space="preserve">XXX</w:t>
      </w:r>
      <w:r>
        <w:rPr>
          <w:rFonts w:hint="eastAsia" w:ascii="宋体" w:hAnsi="宋体" w:eastAsia="宋体" w:cs="Times New Roman"/>
          <w:color w:val="auto"/>
          <w:sz w:val="21"/>
          <w:szCs w:val="21"/>
          <w:u w:val="single"/>
          <w:lang w:val="en-US" w:eastAsia="zh-CN" w:bidi="ar-SA"/>
        </w:rPr>
        <w:t xml:space="preserve">日</w:t>
      </w:r>
      <w:r>
        <w:rPr>
          <w:rFonts w:hint="eastAsia" w:ascii="宋体" w:hAnsi="宋体" w:eastAsia="宋体" w:cs="Times New Roman"/>
          <w:color w:val="auto"/>
          <w:sz w:val="21"/>
          <w:szCs w:val="21"/>
          <w:lang w:val="en-US" w:eastAsia="zh-CN" w:bidi="ar-SA"/>
        </w:rPr>
        <w:t xml:space="preserve">。</w:t>
      </w:r>
      <w:r/>
    </w:p>
    <w:p>
      <w:pPr>
        <w:ind w:firstLine="420"/>
        <w:spacing w:line="360" w:lineRule="auto"/>
        <w:rPr>
          <w:rFonts w:hint="default" w:ascii="宋体" w:hAnsi="宋体" w:eastAsia="宋体" w:cs="Times New Roman"/>
          <w:color w:val="auto"/>
          <w:szCs w:val="21"/>
        </w:rPr>
      </w:pPr>
      <w:r>
        <w:rPr>
          <w:rFonts w:hint="eastAsia" w:ascii="宋体" w:hAnsi="宋体" w:eastAsia="宋体" w:cs="Times New Roman"/>
          <w:color w:val="auto"/>
          <w:szCs w:val="21"/>
        </w:rPr>
        <w:t xml:space="preserve">若由于该设备停止使用的原因，甲方需要解除该合同，甲方可提前3</w:t>
      </w:r>
      <w:r>
        <w:rPr>
          <w:rFonts w:hint="default" w:ascii="宋体" w:hAnsi="宋体" w:eastAsia="宋体" w:cs="Times New Roman"/>
          <w:color w:val="auto"/>
          <w:szCs w:val="21"/>
        </w:rPr>
        <w:t xml:space="preserve">0</w:t>
      </w:r>
      <w:r>
        <w:rPr>
          <w:rFonts w:hint="eastAsia" w:ascii="宋体" w:hAnsi="宋体" w:eastAsia="宋体" w:cs="Times New Roman"/>
          <w:color w:val="auto"/>
          <w:szCs w:val="21"/>
        </w:rPr>
        <w:t xml:space="preserve">日以书面形式通知乙方，确认设备停用时间，在合同有效期内提前解除合同，费用结算至确认的设备停用时间，当期合同价款按天计算。</w:t>
      </w:r>
      <w:r/>
    </w:p>
    <w:p>
      <w:pPr>
        <w:spacing w:line="360" w:lineRule="auto"/>
        <w:rPr>
          <w:rFonts w:hint="eastAsia" w:ascii="Times New Roman" w:hAnsi="宋体" w:eastAsia="宋体" w:cs="Times New Roman"/>
          <w:color w:val="auto"/>
          <w:szCs w:val="24"/>
        </w:rPr>
      </w:pPr>
      <w:r>
        <w:rPr>
          <w:rFonts w:hint="eastAsia" w:ascii="Times New Roman" w:hAnsi="宋体" w:eastAsia="宋体" w:cs="Times New Roman"/>
          <w:color w:val="auto"/>
          <w:szCs w:val="24"/>
        </w:rPr>
        <w:t xml:space="preserve">二、维保服务设备：</w:t>
      </w:r>
      <w:r/>
    </w:p>
    <w:tbl>
      <w:tblPr>
        <w:tblStyle w:val="884"/>
        <w:tblW w:w="992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1984"/>
        <w:gridCol w:w="992"/>
        <w:gridCol w:w="993"/>
        <w:gridCol w:w="1701"/>
        <w:gridCol w:w="1134"/>
        <w:gridCol w:w="1842"/>
      </w:tblGrid>
      <w:tr>
        <w:trPr>
          <w:trHeight w:val="454"/>
        </w:trPr>
        <w:tc>
          <w:tcPr>
            <w:tcW w:w="1277" w:type="dxa"/>
            <w:vAlign w:val="center"/>
            <w:textDirection w:val="lrTb"/>
            <w:noWrap w:val="false"/>
          </w:tcPr>
          <w:p>
            <w:pPr>
              <w:jc w:val="center"/>
              <w:spacing w:line="360" w:lineRule="auto"/>
              <w:rPr>
                <w:rFonts w:hint="default" w:ascii="Times New Roman" w:hAnsi="Times New Roman" w:eastAsia="宋体" w:cs="Times New Roman"/>
                <w:b/>
                <w:color w:val="auto"/>
                <w:szCs w:val="21"/>
              </w:rPr>
            </w:pPr>
            <w:r>
              <w:rPr>
                <w:rFonts w:hint="eastAsia" w:ascii="Times New Roman" w:hAnsi="Times New Roman" w:eastAsia="宋体" w:cs="Times New Roman"/>
                <w:b/>
                <w:color w:val="auto"/>
                <w:szCs w:val="21"/>
              </w:rPr>
              <w:t xml:space="preserve">设备名称</w:t>
            </w:r>
            <w:r/>
          </w:p>
        </w:tc>
        <w:tc>
          <w:tcPr>
            <w:tcW w:w="1984" w:type="dxa"/>
            <w:vAlign w:val="center"/>
            <w:textDirection w:val="lrTb"/>
            <w:noWrap w:val="false"/>
          </w:tcPr>
          <w:p>
            <w:pPr>
              <w:jc w:val="center"/>
              <w:spacing w:line="360" w:lineRule="auto"/>
              <w:rPr>
                <w:rFonts w:hint="default" w:ascii="Times New Roman" w:hAnsi="Times New Roman" w:eastAsia="宋体" w:cs="Times New Roman"/>
                <w:b/>
                <w:color w:val="auto"/>
                <w:szCs w:val="21"/>
              </w:rPr>
            </w:pPr>
            <w:r>
              <w:rPr>
                <w:rFonts w:hint="eastAsia" w:ascii="Times New Roman" w:hAnsi="Times New Roman" w:eastAsia="宋体" w:cs="Times New Roman"/>
                <w:b/>
                <w:color w:val="auto"/>
                <w:szCs w:val="21"/>
              </w:rPr>
              <w:t xml:space="preserve">品牌、规格型号</w:t>
            </w:r>
            <w:r/>
          </w:p>
        </w:tc>
        <w:tc>
          <w:tcPr>
            <w:tcW w:w="992" w:type="dxa"/>
            <w:vAlign w:val="center"/>
            <w:textDirection w:val="lrTb"/>
            <w:noWrap w:val="false"/>
          </w:tcPr>
          <w:p>
            <w:pPr>
              <w:jc w:val="center"/>
              <w:spacing w:line="360" w:lineRule="auto"/>
              <w:rPr>
                <w:rFonts w:hint="default" w:ascii="Times New Roman" w:hAnsi="Times New Roman" w:eastAsia="宋体" w:cs="Times New Roman"/>
                <w:b/>
                <w:color w:val="auto"/>
                <w:szCs w:val="21"/>
              </w:rPr>
            </w:pPr>
            <w:r>
              <w:rPr>
                <w:rFonts w:hint="eastAsia" w:ascii="Times New Roman" w:hAnsi="Times New Roman" w:eastAsia="宋体" w:cs="Times New Roman"/>
                <w:b/>
                <w:color w:val="auto"/>
                <w:szCs w:val="21"/>
              </w:rPr>
              <w:t xml:space="preserve">数量</w:t>
            </w:r>
            <w:r/>
          </w:p>
        </w:tc>
        <w:tc>
          <w:tcPr>
            <w:tcW w:w="993" w:type="dxa"/>
            <w:vAlign w:val="center"/>
            <w:textDirection w:val="lrTb"/>
            <w:noWrap w:val="false"/>
          </w:tcPr>
          <w:p>
            <w:pPr>
              <w:jc w:val="center"/>
              <w:spacing w:line="360" w:lineRule="auto"/>
              <w:rPr>
                <w:rFonts w:hint="default" w:ascii="Times New Roman" w:hAnsi="Times New Roman" w:eastAsia="宋体" w:cs="Times New Roman"/>
                <w:b/>
                <w:color w:val="auto"/>
                <w:szCs w:val="21"/>
              </w:rPr>
            </w:pPr>
            <w:r>
              <w:rPr>
                <w:rFonts w:hint="eastAsia" w:ascii="Times New Roman" w:hAnsi="Times New Roman" w:eastAsia="宋体" w:cs="Times New Roman"/>
                <w:b/>
                <w:color w:val="auto"/>
                <w:szCs w:val="21"/>
              </w:rPr>
              <w:t xml:space="preserve">单位</w:t>
            </w:r>
            <w:r/>
          </w:p>
        </w:tc>
        <w:tc>
          <w:tcPr>
            <w:tcW w:w="1701" w:type="dxa"/>
            <w:vAlign w:val="center"/>
            <w:textDirection w:val="lrTb"/>
            <w:noWrap w:val="false"/>
          </w:tcPr>
          <w:p>
            <w:pPr>
              <w:jc w:val="center"/>
              <w:spacing w:line="360" w:lineRule="auto"/>
              <w:rPr>
                <w:rFonts w:hint="default" w:ascii="Times New Roman" w:hAnsi="Times New Roman" w:eastAsia="宋体" w:cs="Times New Roman"/>
                <w:b/>
                <w:color w:val="auto"/>
                <w:szCs w:val="21"/>
              </w:rPr>
            </w:pPr>
            <w:r>
              <w:rPr>
                <w:rFonts w:hint="eastAsia" w:ascii="Times New Roman" w:hAnsi="Times New Roman" w:eastAsia="宋体" w:cs="Times New Roman"/>
                <w:b/>
                <w:color w:val="auto"/>
                <w:szCs w:val="21"/>
              </w:rPr>
              <w:t xml:space="preserve">维保单价（元</w:t>
            </w:r>
            <w:r>
              <w:rPr>
                <w:rFonts w:hint="eastAsia" w:ascii="Times New Roman" w:hAnsi="Times New Roman" w:eastAsia="宋体" w:cs="Times New Roman"/>
                <w:color w:val="auto"/>
                <w:szCs w:val="21"/>
              </w:rPr>
              <w:t xml:space="preserve">）</w:t>
            </w:r>
            <w:r/>
          </w:p>
        </w:tc>
        <w:tc>
          <w:tcPr>
            <w:tcW w:w="1134" w:type="dxa"/>
            <w:vAlign w:val="center"/>
            <w:textDirection w:val="lrTb"/>
            <w:noWrap w:val="false"/>
          </w:tcPr>
          <w:p>
            <w:pPr>
              <w:jc w:val="center"/>
              <w:spacing w:line="360" w:lineRule="auto"/>
              <w:rPr>
                <w:rFonts w:hint="default" w:ascii="Times New Roman" w:hAnsi="Times New Roman" w:eastAsia="宋体" w:cs="Times New Roman"/>
                <w:b/>
                <w:color w:val="auto"/>
                <w:szCs w:val="21"/>
              </w:rPr>
            </w:pPr>
            <w:r>
              <w:rPr>
                <w:rFonts w:hint="eastAsia" w:ascii="Times New Roman" w:hAnsi="Times New Roman" w:eastAsia="宋体" w:cs="Times New Roman"/>
                <w:b/>
                <w:color w:val="auto"/>
                <w:szCs w:val="21"/>
              </w:rPr>
              <w:t xml:space="preserve">维保年限</w:t>
            </w:r>
            <w:r/>
          </w:p>
        </w:tc>
        <w:tc>
          <w:tcPr>
            <w:tcW w:w="1842" w:type="dxa"/>
            <w:vAlign w:val="center"/>
            <w:textDirection w:val="lrTb"/>
            <w:noWrap w:val="false"/>
          </w:tcPr>
          <w:p>
            <w:pPr>
              <w:jc w:val="center"/>
              <w:spacing w:line="360" w:lineRule="auto"/>
              <w:rPr>
                <w:rFonts w:hint="eastAsia" w:ascii="Times New Roman" w:hAnsi="Times New Roman" w:eastAsia="宋体" w:cs="Times New Roman"/>
                <w:b/>
                <w:color w:val="auto"/>
                <w:szCs w:val="21"/>
              </w:rPr>
            </w:pPr>
            <w:r>
              <w:rPr>
                <w:rFonts w:hint="eastAsia" w:ascii="Times New Roman" w:hAnsi="Times New Roman" w:eastAsia="宋体" w:cs="Times New Roman"/>
                <w:b/>
                <w:color w:val="auto"/>
                <w:szCs w:val="21"/>
              </w:rPr>
              <w:t xml:space="preserve">维保总金额（元</w:t>
            </w:r>
            <w:r>
              <w:rPr>
                <w:rFonts w:hint="eastAsia" w:ascii="Times New Roman" w:hAnsi="Times New Roman" w:eastAsia="宋体" w:cs="Times New Roman"/>
                <w:color w:val="auto"/>
                <w:szCs w:val="21"/>
              </w:rPr>
              <w:t xml:space="preserve">）</w:t>
            </w:r>
            <w:r/>
          </w:p>
        </w:tc>
      </w:tr>
      <w:tr>
        <w:trPr>
          <w:trHeight w:val="450"/>
        </w:trPr>
        <w:tc>
          <w:tcPr>
            <w:tcW w:w="1277" w:type="dxa"/>
            <w:vAlign w:val="top"/>
            <w:textDirection w:val="lrTb"/>
            <w:noWrap w:val="false"/>
          </w:tcPr>
          <w:p>
            <w:pPr>
              <w:jc w:val="center"/>
              <w:spacing w:line="360" w:lineRule="auto"/>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r>
            <w:r/>
          </w:p>
        </w:tc>
        <w:tc>
          <w:tcPr>
            <w:tcW w:w="1984" w:type="dxa"/>
            <w:vAlign w:val="top"/>
            <w:textDirection w:val="lrTb"/>
            <w:noWrap w:val="false"/>
          </w:tcPr>
          <w:p>
            <w:pPr>
              <w:jc w:val="center"/>
              <w:spacing w:line="360" w:lineRule="auto"/>
              <w:rPr>
                <w:rFonts w:hint="default" w:ascii="Times New Roman" w:hAnsi="Times New Roman" w:eastAsia="宋体" w:cs="Times New Roman"/>
                <w:color w:val="auto"/>
                <w:szCs w:val="21"/>
              </w:rPr>
            </w:pPr>
            <w:r>
              <w:rPr>
                <w:rFonts w:hint="eastAsia" w:ascii="Times New Roman" w:hAnsi="Times New Roman" w:eastAsia="宋体" w:cs="Times New Roman"/>
                <w:color w:val="auto"/>
                <w:szCs w:val="21"/>
              </w:rPr>
              <w:t xml:space="preserve">见附表</w:t>
            </w:r>
            <w:r/>
          </w:p>
        </w:tc>
        <w:tc>
          <w:tcPr>
            <w:tcW w:w="992" w:type="dxa"/>
            <w:vAlign w:val="top"/>
            <w:textDirection w:val="lrTb"/>
            <w:noWrap w:val="false"/>
          </w:tcPr>
          <w:p>
            <w:pPr>
              <w:ind w:firstLine="210"/>
              <w:spacing w:line="360" w:lineRule="auto"/>
              <w:rPr>
                <w:rFonts w:hint="eastAsia" w:ascii="Times New Roman" w:hAnsi="Times New Roman" w:eastAsia="宋体" w:cs="Times New Roman"/>
                <w:color w:val="auto"/>
                <w:szCs w:val="21"/>
              </w:rPr>
            </w:pPr>
            <w:r>
              <w:rPr>
                <w:rFonts w:hint="eastAsia" w:ascii="Times New Roman" w:hAnsi="Times New Roman" w:eastAsia="宋体" w:cs="Times New Roman"/>
                <w:color w:val="auto"/>
                <w:szCs w:val="21"/>
              </w:rPr>
            </w:r>
            <w:r/>
          </w:p>
        </w:tc>
        <w:tc>
          <w:tcPr>
            <w:tcW w:w="993" w:type="dxa"/>
            <w:vAlign w:val="top"/>
            <w:textDirection w:val="lrTb"/>
            <w:noWrap w:val="false"/>
          </w:tcPr>
          <w:p>
            <w:pPr>
              <w:jc w:val="center"/>
              <w:spacing w:line="360" w:lineRule="auto"/>
              <w:rPr>
                <w:rFonts w:hint="eastAsia" w:ascii="Times New Roman" w:hAnsi="Times New Roman" w:eastAsia="宋体" w:cs="Times New Roman"/>
                <w:color w:val="auto"/>
                <w:szCs w:val="21"/>
              </w:rPr>
            </w:pPr>
            <w:r>
              <w:rPr>
                <w:rFonts w:hint="eastAsia" w:ascii="Times New Roman" w:hAnsi="Times New Roman" w:eastAsia="宋体" w:cs="Times New Roman"/>
                <w:color w:val="auto"/>
                <w:szCs w:val="21"/>
              </w:rPr>
            </w:r>
            <w:r/>
          </w:p>
        </w:tc>
        <w:tc>
          <w:tcPr>
            <w:tcW w:w="1701" w:type="dxa"/>
            <w:vAlign w:val="top"/>
            <w:textDirection w:val="lrTb"/>
            <w:noWrap w:val="false"/>
          </w:tcPr>
          <w:p>
            <w:pPr>
              <w:jc w:val="center"/>
              <w:spacing w:line="360" w:lineRule="auto"/>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r>
            <w:r/>
          </w:p>
        </w:tc>
        <w:tc>
          <w:tcPr>
            <w:tcW w:w="1134" w:type="dxa"/>
            <w:vAlign w:val="top"/>
            <w:textDirection w:val="lrTb"/>
            <w:noWrap w:val="false"/>
          </w:tcPr>
          <w:p>
            <w:pPr>
              <w:jc w:val="center"/>
              <w:spacing w:line="360" w:lineRule="auto"/>
              <w:rPr>
                <w:rFonts w:hint="eastAsia" w:ascii="Times New Roman" w:hAnsi="Times New Roman" w:eastAsia="宋体" w:cs="Times New Roman"/>
                <w:color w:val="auto"/>
                <w:szCs w:val="21"/>
              </w:rPr>
            </w:pPr>
            <w:r>
              <w:rPr>
                <w:rFonts w:hint="eastAsia" w:ascii="Times New Roman" w:hAnsi="Times New Roman" w:eastAsia="宋体" w:cs="Times New Roman"/>
                <w:color w:val="auto"/>
                <w:szCs w:val="21"/>
              </w:rPr>
            </w:r>
            <w:r/>
          </w:p>
        </w:tc>
        <w:tc>
          <w:tcPr>
            <w:tcW w:w="1842" w:type="dxa"/>
            <w:vAlign w:val="top"/>
            <w:textDirection w:val="lrTb"/>
            <w:noWrap w:val="false"/>
          </w:tcPr>
          <w:p>
            <w:pPr>
              <w:jc w:val="center"/>
              <w:spacing w:line="360" w:lineRule="auto"/>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r>
            <w:r/>
          </w:p>
        </w:tc>
      </w:tr>
      <w:tr>
        <w:trPr>
          <w:trHeight w:val="470"/>
        </w:trPr>
        <w:tc>
          <w:tcPr>
            <w:gridSpan w:val="7"/>
            <w:tcW w:w="9923" w:type="dxa"/>
            <w:vAlign w:val="center"/>
            <w:textDirection w:val="lrTb"/>
            <w:noWrap w:val="false"/>
          </w:tcPr>
          <w:p>
            <w:pPr>
              <w:ind w:firstLine="422"/>
              <w:spacing w:line="360" w:lineRule="auto"/>
              <w:rPr>
                <w:rFonts w:hint="default" w:ascii="Times New Roman" w:hAnsi="Times New Roman" w:eastAsia="宋体" w:cs="Times New Roman"/>
                <w:b/>
                <w:color w:val="auto"/>
                <w:szCs w:val="21"/>
              </w:rPr>
            </w:pPr>
            <w:r>
              <w:rPr>
                <w:rFonts w:hint="eastAsia" w:ascii="Times New Roman" w:hAnsi="Times New Roman" w:eastAsia="宋体" w:cs="Times New Roman"/>
                <w:b/>
                <w:color w:val="auto"/>
                <w:szCs w:val="21"/>
              </w:rPr>
              <w:t xml:space="preserve">合计（大写）：（人民币） </w:t>
            </w:r>
            <w:r>
              <w:rPr>
                <w:rFonts w:hint="default" w:ascii="Times New Roman" w:hAnsi="Times New Roman" w:eastAsia="宋体" w:cs="Times New Roman"/>
                <w:b/>
                <w:color w:val="auto"/>
                <w:szCs w:val="21"/>
              </w:rPr>
              <w:t xml:space="preserve">              </w:t>
            </w:r>
            <w:r>
              <w:rPr>
                <w:rFonts w:hint="eastAsia" w:ascii="Times New Roman" w:hAnsi="Times New Roman" w:eastAsia="宋体" w:cs="Times New Roman"/>
                <w:b/>
                <w:color w:val="auto"/>
                <w:szCs w:val="21"/>
              </w:rPr>
              <w:t xml:space="preserve">元整</w:t>
            </w:r>
            <w:r>
              <w:rPr>
                <w:rFonts w:hint="default" w:ascii="Times New Roman" w:hAnsi="Times New Roman" w:eastAsia="宋体" w:cs="Times New Roman"/>
                <w:b/>
                <w:color w:val="auto"/>
                <w:szCs w:val="21"/>
              </w:rPr>
              <w:t xml:space="preserve">              </w:t>
            </w:r>
            <w:r>
              <w:rPr>
                <w:rFonts w:hint="eastAsia" w:ascii="Times New Roman" w:hAnsi="Times New Roman" w:eastAsia="宋体" w:cs="Times New Roman"/>
                <w:b/>
                <w:color w:val="auto"/>
                <w:szCs w:val="21"/>
              </w:rPr>
              <w:t xml:space="preserve">小写：￥ </w:t>
            </w:r>
            <w:r>
              <w:rPr>
                <w:rFonts w:hint="default" w:ascii="Times New Roman" w:hAnsi="Times New Roman" w:eastAsia="宋体" w:cs="Times New Roman"/>
                <w:b/>
                <w:color w:val="auto"/>
                <w:szCs w:val="21"/>
              </w:rPr>
              <w:t xml:space="preserve">      </w:t>
            </w:r>
            <w:r>
              <w:rPr>
                <w:rFonts w:hint="eastAsia" w:ascii="Times New Roman" w:hAnsi="Times New Roman" w:eastAsia="宋体" w:cs="Times New Roman"/>
                <w:b/>
                <w:color w:val="auto"/>
                <w:szCs w:val="21"/>
              </w:rPr>
              <w:t xml:space="preserve">元</w:t>
            </w:r>
            <w:r/>
          </w:p>
          <w:p>
            <w:pPr>
              <w:ind w:firstLine="422"/>
              <w:spacing w:line="360" w:lineRule="auto"/>
              <w:rPr>
                <w:rFonts w:hint="default" w:ascii="Times New Roman" w:hAnsi="Times New Roman" w:eastAsia="宋体" w:cs="Times New Roman"/>
                <w:b/>
                <w:color w:val="auto"/>
                <w:szCs w:val="21"/>
              </w:rPr>
            </w:pPr>
            <w:r>
              <w:rPr>
                <w:rFonts w:hint="eastAsia" w:ascii="Times New Roman" w:hAnsi="Times New Roman" w:eastAsia="宋体" w:cs="Times New Roman"/>
                <w:b/>
                <w:color w:val="auto"/>
                <w:szCs w:val="21"/>
              </w:rPr>
              <w:t xml:space="preserve">本价格包含运输、包装、安装、人工以及税费等全部费用，甲方无须支付其他任何费用。 </w:t>
            </w:r>
            <w:r/>
          </w:p>
        </w:tc>
      </w:tr>
      <w:tr>
        <w:trPr>
          <w:trHeight w:val="470"/>
        </w:trPr>
        <w:tc>
          <w:tcPr>
            <w:tcW w:w="1277" w:type="dxa"/>
            <w:vAlign w:val="center"/>
            <w:textDirection w:val="lrTb"/>
            <w:noWrap w:val="false"/>
          </w:tcPr>
          <w:p>
            <w:pPr>
              <w:jc w:val="center"/>
              <w:spacing w:line="360" w:lineRule="auto"/>
              <w:rPr>
                <w:rFonts w:hint="eastAsia" w:ascii="Times New Roman" w:hAnsi="Times New Roman" w:eastAsia="宋体" w:cs="Times New Roman"/>
                <w:b/>
                <w:color w:val="auto"/>
                <w:szCs w:val="21"/>
              </w:rPr>
            </w:pPr>
            <w:r>
              <w:rPr>
                <w:rFonts w:hint="eastAsia" w:ascii="Times New Roman" w:hAnsi="Times New Roman" w:eastAsia="宋体" w:cs="Times New Roman"/>
                <w:b/>
                <w:color w:val="auto"/>
                <w:szCs w:val="21"/>
              </w:rPr>
              <w:t xml:space="preserve">使用科室</w:t>
            </w:r>
            <w:r/>
          </w:p>
        </w:tc>
        <w:tc>
          <w:tcPr>
            <w:gridSpan w:val="6"/>
            <w:tcW w:w="8646" w:type="dxa"/>
            <w:vAlign w:val="center"/>
            <w:textDirection w:val="lrTb"/>
            <w:noWrap w:val="false"/>
          </w:tcPr>
          <w:p>
            <w:pPr>
              <w:spacing w:line="360" w:lineRule="auto"/>
              <w:rPr>
                <w:rFonts w:hint="eastAsia" w:ascii="Times New Roman" w:hAnsi="Times New Roman" w:eastAsia="宋体" w:cs="Times New Roman"/>
                <w:b/>
                <w:color w:val="auto"/>
                <w:szCs w:val="21"/>
              </w:rPr>
            </w:pPr>
            <w:r>
              <w:rPr>
                <w:rFonts w:hint="eastAsia" w:ascii="Times New Roman" w:hAnsi="Times New Roman" w:eastAsia="宋体" w:cs="Times New Roman"/>
                <w:b/>
                <w:color w:val="auto"/>
                <w:szCs w:val="21"/>
              </w:rPr>
            </w:r>
            <w:r/>
          </w:p>
        </w:tc>
      </w:tr>
    </w:tbl>
    <w:p>
      <w:pPr>
        <w:spacing w:line="360" w:lineRule="auto"/>
        <w:rPr>
          <w:rFonts w:hint="default" w:ascii="Times New Roman" w:hAnsi="宋体" w:eastAsia="宋体" w:cs="Times New Roman"/>
          <w:color w:val="auto"/>
          <w:szCs w:val="24"/>
        </w:rPr>
      </w:pPr>
      <w:r>
        <w:rPr>
          <w:rFonts w:hint="eastAsia" w:ascii="Times New Roman" w:hAnsi="宋体" w:eastAsia="宋体" w:cs="Times New Roman"/>
          <w:color w:val="auto"/>
          <w:szCs w:val="24"/>
        </w:rPr>
        <w:t xml:space="preserve">三、付款方式</w:t>
      </w:r>
      <w:r/>
    </w:p>
    <w:p>
      <w:pPr>
        <w:ind w:firstLine="420"/>
        <w:spacing w:line="360" w:lineRule="auto"/>
        <w:rPr>
          <w:rFonts w:hint="default" w:ascii="Times New Roman" w:hAnsi="宋体" w:eastAsia="宋体" w:cs="Times New Roman"/>
          <w:color w:val="auto"/>
          <w:szCs w:val="24"/>
        </w:rPr>
      </w:pPr>
      <w:r/>
      <w:bookmarkStart w:id="118" w:name="_Hlk184061930"/>
      <w:r/>
      <w:bookmarkStart w:id="119" w:name="OLE_LINK1"/>
      <w:r>
        <w:rPr>
          <w:rFonts w:hint="eastAsia" w:ascii="Times New Roman" w:hAnsi="Times New Roman" w:eastAsia="宋体" w:cs="Times New Roman"/>
          <w:color w:val="auto"/>
          <w:szCs w:val="21"/>
        </w:rPr>
        <w:t xml:space="preserve">1、</w:t>
      </w:r>
      <w:r>
        <w:rPr>
          <w:rFonts w:hint="eastAsia" w:ascii="Times New Roman" w:hAnsi="宋体" w:eastAsia="宋体" w:cs="Times New Roman"/>
          <w:color w:val="auto"/>
          <w:szCs w:val="24"/>
        </w:rPr>
        <w:t xml:space="preserve">按约定时间付款，乙方须在约定时间前一个月开具合法有效的发票并经由甲方临床医学工程处工程师和使用科室签字确认，如果乙方未提供合法有效的发票，则甲方有权拒绝支付该部分费用，因此产生的一切损失由乙方自行承担。</w:t>
      </w:r>
      <w:bookmarkEnd w:id="118"/>
      <w:r/>
      <w:bookmarkEnd w:id="119"/>
      <w:r/>
      <w:r/>
    </w:p>
    <w:p>
      <w:pPr>
        <w:ind w:firstLine="420"/>
        <w:spacing w:line="360" w:lineRule="auto"/>
        <w:rPr>
          <w:rFonts w:hint="default" w:ascii="Times New Roman" w:hAnsi="宋体" w:eastAsia="宋体" w:cs="Times New Roman"/>
          <w:color w:val="auto"/>
          <w:szCs w:val="24"/>
        </w:rPr>
      </w:pPr>
      <w:r>
        <w:rPr>
          <w:rFonts w:hint="eastAsia" w:ascii="Times New Roman" w:hAnsi="宋体" w:eastAsia="宋体" w:cs="Times New Roman"/>
          <w:color w:val="auto"/>
          <w:szCs w:val="24"/>
        </w:rPr>
        <w:t xml:space="preserve">2、付款时间表：</w:t>
      </w:r>
      <w:r/>
    </w:p>
    <w:p>
      <w:pPr>
        <w:pStyle w:val="908"/>
        <w:rPr>
          <w:rFonts w:hint="eastAsia" w:eastAsia="宋体" w:cs="Times New Roman"/>
          <w:color w:val="auto"/>
        </w:rPr>
      </w:pPr>
      <w:r>
        <w:rPr>
          <w:rFonts w:hint="eastAsia" w:hAnsi="宋体" w:eastAsia="宋体" w:cs="Times New Roman"/>
          <w:color w:val="auto"/>
        </w:rPr>
        <w:t xml:space="preserve">合同为固定单价合同，合同价款不因国家税率变更而更改。</w:t>
      </w:r>
      <w:r/>
    </w:p>
    <w:p>
      <w:pPr>
        <w:ind w:firstLine="420"/>
        <w:jc w:val="left"/>
        <w:spacing w:line="360" w:lineRule="auto"/>
        <w:widowControl/>
        <w:rPr>
          <w:rFonts w:hint="default" w:ascii="Times New Roman" w:hAnsi="Times New Roman" w:eastAsia="宋体" w:cs="Times New Roman"/>
          <w:color w:val="auto"/>
          <w:szCs w:val="21"/>
          <w:u w:val="single"/>
        </w:rPr>
      </w:pPr>
      <w:r>
        <w:rPr>
          <w:rFonts w:hint="eastAsia" w:ascii="Times New Roman" w:hAnsi="Times New Roman" w:eastAsia="宋体" w:cs="Times New Roman"/>
          <w:color w:val="auto"/>
          <w:szCs w:val="21"/>
        </w:rPr>
        <w:t xml:space="preserve">合同总价</w:t>
      </w:r>
      <w:bookmarkStart w:id="120" w:name="_Hlk184062102"/>
      <w:r>
        <w:rPr>
          <w:rFonts w:hint="eastAsia" w:ascii="Times New Roman" w:hAnsi="Times New Roman" w:eastAsia="宋体" w:cs="Times New Roman"/>
          <w:color w:val="auto"/>
          <w:szCs w:val="21"/>
        </w:rPr>
        <w:t xml:space="preserve">（人民币）</w:t>
      </w:r>
      <w:r>
        <w:rPr>
          <w:rFonts w:hint="default" w:ascii="Times New Roman" w:hAnsi="Times New Roman" w:eastAsia="宋体" w:cs="Times New Roman"/>
          <w:color w:val="auto"/>
          <w:szCs w:val="21"/>
          <w:u w:val="single"/>
        </w:rPr>
        <w:t xml:space="preserve">            </w:t>
      </w:r>
      <w:r>
        <w:rPr>
          <w:rFonts w:hint="eastAsia" w:ascii="Times New Roman" w:hAnsi="Times New Roman" w:eastAsia="宋体" w:cs="Times New Roman"/>
          <w:color w:val="auto"/>
          <w:szCs w:val="21"/>
          <w:u w:val="single"/>
        </w:rPr>
        <w:t xml:space="preserve">（大写： </w:t>
      </w:r>
      <w:r>
        <w:rPr>
          <w:rFonts w:hint="default" w:ascii="Times New Roman" w:hAnsi="Times New Roman" w:eastAsia="宋体" w:cs="Times New Roman"/>
          <w:color w:val="auto"/>
          <w:szCs w:val="21"/>
          <w:u w:val="single"/>
        </w:rPr>
        <w:t xml:space="preserve">   </w:t>
      </w:r>
      <w:r>
        <w:rPr>
          <w:rFonts w:hint="eastAsia" w:ascii="Times New Roman" w:hAnsi="Times New Roman" w:eastAsia="宋体" w:cs="Times New Roman"/>
          <w:color w:val="auto"/>
          <w:szCs w:val="21"/>
          <w:u w:val="single"/>
        </w:rPr>
        <w:t xml:space="preserve"> </w:t>
      </w:r>
      <w:r>
        <w:rPr>
          <w:rFonts w:hint="default" w:ascii="Times New Roman" w:hAnsi="Times New Roman" w:eastAsia="宋体" w:cs="Times New Roman"/>
          <w:color w:val="auto"/>
          <w:szCs w:val="21"/>
          <w:u w:val="single"/>
        </w:rPr>
        <w:t xml:space="preserve"> </w:t>
      </w:r>
      <w:r>
        <w:rPr>
          <w:rFonts w:hint="eastAsia" w:ascii="Times New Roman" w:hAnsi="Times New Roman" w:eastAsia="宋体" w:cs="Times New Roman"/>
          <w:color w:val="auto"/>
          <w:szCs w:val="21"/>
          <w:u w:val="single"/>
        </w:rPr>
        <w:t xml:space="preserve">元整）</w:t>
      </w:r>
      <w:bookmarkEnd w:id="120"/>
      <w:r/>
      <w:r/>
    </w:p>
    <w:p>
      <w:pPr>
        <w:pStyle w:val="908"/>
        <w:rPr>
          <w:rFonts w:hint="default" w:eastAsia="宋体" w:cs="Times New Roman"/>
          <w:color w:val="auto"/>
        </w:rPr>
      </w:pPr>
      <w:r>
        <w:rPr>
          <w:rFonts w:hint="eastAsia" w:eastAsia="宋体" w:cs="Times New Roman"/>
          <w:color w:val="auto"/>
        </w:rPr>
        <w:t xml:space="preserve">第壹</w:t>
      </w:r>
      <w:bookmarkStart w:id="121" w:name="_Hlk184059117"/>
      <w:r>
        <w:rPr>
          <w:rFonts w:hint="eastAsia" w:eastAsia="宋体" w:cs="Times New Roman"/>
          <w:color w:val="auto"/>
        </w:rPr>
        <w:t xml:space="preserve">期</w:t>
      </w:r>
      <w:bookmarkEnd w:id="121"/>
      <w:r>
        <w:rPr>
          <w:rFonts w:hint="eastAsia" w:eastAsia="宋体" w:cs="Times New Roman"/>
          <w:color w:val="auto"/>
        </w:rPr>
        <w:t xml:space="preserve">付款时间节点：2</w:t>
      </w:r>
      <w:r>
        <w:rPr>
          <w:rFonts w:hint="default" w:eastAsia="宋体" w:cs="Times New Roman"/>
          <w:color w:val="auto"/>
        </w:rPr>
        <w:t xml:space="preserve">02   </w:t>
      </w:r>
      <w:r>
        <w:rPr>
          <w:rFonts w:hint="eastAsia" w:eastAsia="宋体" w:cs="Times New Roman"/>
          <w:color w:val="auto"/>
        </w:rPr>
        <w:t xml:space="preserve">年</w:t>
      </w:r>
      <w:r>
        <w:rPr>
          <w:rFonts w:hint="default" w:eastAsia="宋体" w:cs="Times New Roman"/>
          <w:color w:val="auto"/>
        </w:rPr>
        <w:t xml:space="preserve">   </w:t>
      </w:r>
      <w:r>
        <w:rPr>
          <w:rFonts w:hint="eastAsia" w:eastAsia="宋体" w:cs="Times New Roman"/>
          <w:color w:val="auto"/>
        </w:rPr>
        <w:t xml:space="preserve">月</w:t>
      </w:r>
      <w:r>
        <w:rPr>
          <w:rFonts w:hint="default" w:eastAsia="宋体" w:cs="Times New Roman"/>
          <w:color w:val="auto"/>
        </w:rPr>
        <w:t xml:space="preserve">  </w:t>
      </w:r>
      <w:r>
        <w:rPr>
          <w:rFonts w:hint="eastAsia" w:eastAsia="宋体" w:cs="Times New Roman"/>
          <w:color w:val="auto"/>
        </w:rPr>
        <w:t xml:space="preserve">日付清人民币</w:t>
      </w:r>
      <w:r>
        <w:rPr>
          <w:rFonts w:hint="default" w:eastAsia="宋体" w:cs="Times New Roman"/>
          <w:color w:val="auto"/>
        </w:rPr>
        <w:t xml:space="preserve">          </w:t>
      </w:r>
      <w:r>
        <w:rPr>
          <w:rFonts w:hint="eastAsia" w:eastAsia="宋体" w:cs="Times New Roman"/>
          <w:color w:val="auto"/>
        </w:rPr>
        <w:t xml:space="preserve">元（ </w:t>
      </w:r>
      <w:r>
        <w:rPr>
          <w:rFonts w:hint="default" w:eastAsia="宋体" w:cs="Times New Roman"/>
          <w:color w:val="auto"/>
        </w:rPr>
        <w:t xml:space="preserve">  </w:t>
      </w:r>
      <w:r>
        <w:rPr>
          <w:rFonts w:hint="eastAsia" w:eastAsia="宋体" w:cs="Times New Roman"/>
          <w:color w:val="auto"/>
        </w:rPr>
        <w:t xml:space="preserve">元整）</w:t>
      </w:r>
      <w:r/>
    </w:p>
    <w:p>
      <w:pPr>
        <w:pStyle w:val="908"/>
        <w:rPr>
          <w:rFonts w:hint="default" w:eastAsia="宋体" w:cs="Times New Roman"/>
          <w:color w:val="auto"/>
        </w:rPr>
      </w:pPr>
      <w:r>
        <w:rPr>
          <w:rFonts w:hint="eastAsia" w:eastAsia="宋体" w:cs="Times New Roman"/>
          <w:color w:val="auto"/>
        </w:rPr>
        <w:t xml:space="preserve">第贰期付款时间节点：2</w:t>
      </w:r>
      <w:r>
        <w:rPr>
          <w:rFonts w:hint="default" w:eastAsia="宋体" w:cs="Times New Roman"/>
          <w:color w:val="auto"/>
        </w:rPr>
        <w:t xml:space="preserve">02   </w:t>
      </w:r>
      <w:r>
        <w:rPr>
          <w:rFonts w:hint="eastAsia" w:eastAsia="宋体" w:cs="Times New Roman"/>
          <w:color w:val="auto"/>
        </w:rPr>
        <w:t xml:space="preserve">年</w:t>
      </w:r>
      <w:r>
        <w:rPr>
          <w:rFonts w:hint="default" w:eastAsia="宋体" w:cs="Times New Roman"/>
          <w:color w:val="auto"/>
        </w:rPr>
        <w:t xml:space="preserve">   </w:t>
      </w:r>
      <w:r>
        <w:rPr>
          <w:rFonts w:hint="eastAsia" w:eastAsia="宋体" w:cs="Times New Roman"/>
          <w:color w:val="auto"/>
        </w:rPr>
        <w:t xml:space="preserve">月 </w:t>
      </w:r>
      <w:r>
        <w:rPr>
          <w:rFonts w:hint="default" w:eastAsia="宋体" w:cs="Times New Roman"/>
          <w:color w:val="auto"/>
        </w:rPr>
        <w:t xml:space="preserve"> </w:t>
      </w:r>
      <w:r>
        <w:rPr>
          <w:rFonts w:hint="eastAsia" w:eastAsia="宋体" w:cs="Times New Roman"/>
          <w:color w:val="auto"/>
        </w:rPr>
        <w:t xml:space="preserve">日付清人民币</w:t>
      </w:r>
      <w:r>
        <w:rPr>
          <w:rFonts w:hint="default" w:eastAsia="宋体" w:cs="Times New Roman"/>
          <w:color w:val="auto"/>
        </w:rPr>
        <w:t xml:space="preserve">          </w:t>
      </w:r>
      <w:r>
        <w:rPr>
          <w:rFonts w:hint="eastAsia" w:eastAsia="宋体" w:cs="Times New Roman"/>
          <w:color w:val="auto"/>
        </w:rPr>
        <w:t xml:space="preserve">元（ </w:t>
      </w:r>
      <w:r>
        <w:rPr>
          <w:rFonts w:hint="default" w:eastAsia="宋体" w:cs="Times New Roman"/>
          <w:color w:val="auto"/>
        </w:rPr>
        <w:t xml:space="preserve">  </w:t>
      </w:r>
      <w:r>
        <w:rPr>
          <w:rFonts w:hint="eastAsia" w:eastAsia="宋体" w:cs="Times New Roman"/>
          <w:color w:val="auto"/>
        </w:rPr>
        <w:t xml:space="preserve">元整）</w:t>
      </w:r>
      <w:r/>
    </w:p>
    <w:p>
      <w:pPr>
        <w:pStyle w:val="908"/>
        <w:rPr>
          <w:rFonts w:hint="default" w:eastAsia="宋体" w:cs="Times New Roman"/>
          <w:color w:val="auto"/>
        </w:rPr>
      </w:pPr>
      <w:r>
        <w:rPr>
          <w:rFonts w:hint="eastAsia" w:eastAsia="宋体" w:cs="Times New Roman"/>
          <w:color w:val="auto"/>
        </w:rPr>
        <w:t xml:space="preserve">第叁期付款时间节点：2</w:t>
      </w:r>
      <w:r>
        <w:rPr>
          <w:rFonts w:hint="default" w:eastAsia="宋体" w:cs="Times New Roman"/>
          <w:color w:val="auto"/>
        </w:rPr>
        <w:t xml:space="preserve">02   </w:t>
      </w:r>
      <w:r>
        <w:rPr>
          <w:rFonts w:hint="eastAsia" w:eastAsia="宋体" w:cs="Times New Roman"/>
          <w:color w:val="auto"/>
        </w:rPr>
        <w:t xml:space="preserve">年 </w:t>
      </w:r>
      <w:r>
        <w:rPr>
          <w:rFonts w:hint="default" w:eastAsia="宋体" w:cs="Times New Roman"/>
          <w:color w:val="auto"/>
        </w:rPr>
        <w:t xml:space="preserve">  </w:t>
      </w:r>
      <w:r>
        <w:rPr>
          <w:rFonts w:hint="eastAsia" w:eastAsia="宋体" w:cs="Times New Roman"/>
          <w:color w:val="auto"/>
        </w:rPr>
        <w:t xml:space="preserve">月 </w:t>
      </w:r>
      <w:r>
        <w:rPr>
          <w:rFonts w:hint="default" w:eastAsia="宋体" w:cs="Times New Roman"/>
          <w:color w:val="auto"/>
        </w:rPr>
        <w:t xml:space="preserve"> </w:t>
      </w:r>
      <w:r>
        <w:rPr>
          <w:rFonts w:hint="eastAsia" w:eastAsia="宋体" w:cs="Times New Roman"/>
          <w:color w:val="auto"/>
        </w:rPr>
        <w:t xml:space="preserve">日付清人民币</w:t>
      </w:r>
      <w:r>
        <w:rPr>
          <w:rFonts w:hint="default" w:eastAsia="宋体" w:cs="Times New Roman"/>
          <w:color w:val="auto"/>
        </w:rPr>
        <w:t xml:space="preserve">          </w:t>
      </w:r>
      <w:r>
        <w:rPr>
          <w:rFonts w:hint="eastAsia" w:eastAsia="宋体" w:cs="Times New Roman"/>
          <w:color w:val="auto"/>
        </w:rPr>
        <w:t xml:space="preserve">元（ </w:t>
      </w:r>
      <w:r>
        <w:rPr>
          <w:rFonts w:hint="default" w:eastAsia="宋体" w:cs="Times New Roman"/>
          <w:color w:val="auto"/>
        </w:rPr>
        <w:t xml:space="preserve">  </w:t>
      </w:r>
      <w:r>
        <w:rPr>
          <w:rFonts w:hint="eastAsia" w:eastAsia="宋体" w:cs="Times New Roman"/>
          <w:color w:val="auto"/>
        </w:rPr>
        <w:t xml:space="preserve">元整）</w:t>
      </w:r>
      <w:r/>
    </w:p>
    <w:p>
      <w:pPr>
        <w:pStyle w:val="908"/>
        <w:rPr>
          <w:rFonts w:hint="default" w:eastAsia="宋体" w:cs="Times New Roman"/>
          <w:color w:val="auto"/>
          <w:lang w:val="en-US" w:eastAsia="zh-CN"/>
        </w:rPr>
      </w:pPr>
      <w:r/>
      <w:bookmarkStart w:id="122" w:name="_Hlk184062969"/>
      <w:r>
        <w:rPr>
          <w:rFonts w:hint="eastAsia" w:eastAsia="宋体" w:cs="Times New Roman"/>
          <w:color w:val="auto"/>
          <w:lang w:val="en-US" w:eastAsia="zh-CN"/>
        </w:rPr>
        <w:t xml:space="preserve">乙方户名：</w:t>
      </w:r>
      <w:r>
        <w:rPr>
          <w:rFonts w:hint="eastAsia" w:eastAsia="宋体" w:cs="Times New Roman"/>
          <w:color w:val="auto"/>
          <w:u w:val="single"/>
        </w:rPr>
        <w:t xml:space="preserve"> </w:t>
      </w:r>
      <w:r>
        <w:rPr>
          <w:rFonts w:hint="default" w:eastAsia="宋体" w:cs="Times New Roman"/>
          <w:color w:val="auto"/>
          <w:u w:val="single"/>
        </w:rPr>
        <w:t xml:space="preserve">                                  </w:t>
      </w:r>
      <w:r/>
    </w:p>
    <w:p>
      <w:pPr>
        <w:pStyle w:val="908"/>
        <w:rPr>
          <w:rFonts w:hint="default" w:eastAsia="宋体" w:cs="Times New Roman"/>
          <w:color w:val="auto"/>
        </w:rPr>
      </w:pPr>
      <w:r>
        <w:rPr>
          <w:rFonts w:hint="eastAsia" w:eastAsia="宋体" w:cs="Times New Roman"/>
          <w:color w:val="auto"/>
        </w:rPr>
        <w:t xml:space="preserve">乙方</w:t>
      </w:r>
      <w:r>
        <w:rPr>
          <w:rFonts w:hint="eastAsia" w:eastAsia="宋体" w:cs="Times New Roman"/>
          <w:color w:val="auto"/>
          <w:lang w:val="en-US" w:eastAsia="zh-CN"/>
        </w:rPr>
        <w:t xml:space="preserve">开户行</w:t>
      </w:r>
      <w:r>
        <w:rPr>
          <w:rFonts w:hint="eastAsia" w:eastAsia="宋体" w:cs="Times New Roman"/>
          <w:color w:val="auto"/>
        </w:rPr>
        <w:t xml:space="preserve">：</w:t>
      </w:r>
      <w:r>
        <w:rPr>
          <w:rFonts w:hint="eastAsia" w:eastAsia="宋体" w:cs="Times New Roman"/>
          <w:color w:val="auto"/>
          <w:u w:val="single"/>
        </w:rPr>
        <w:t xml:space="preserve"> </w:t>
      </w:r>
      <w:r>
        <w:rPr>
          <w:rFonts w:hint="default" w:eastAsia="宋体" w:cs="Times New Roman"/>
          <w:color w:val="auto"/>
          <w:u w:val="single"/>
        </w:rPr>
        <w:t xml:space="preserve">                                </w:t>
      </w:r>
      <w:r>
        <w:rPr>
          <w:rFonts w:hint="default" w:eastAsia="宋体" w:cs="Times New Roman"/>
          <w:color w:val="auto"/>
        </w:rPr>
        <w:t xml:space="preserve">    </w:t>
      </w:r>
      <w:r/>
    </w:p>
    <w:p>
      <w:pPr>
        <w:pStyle w:val="908"/>
        <w:rPr>
          <w:rFonts w:hint="eastAsia" w:eastAsia="宋体" w:cs="Times New Roman"/>
          <w:color w:val="auto"/>
        </w:rPr>
      </w:pPr>
      <w:r>
        <w:rPr>
          <w:rFonts w:hint="eastAsia" w:eastAsia="宋体" w:cs="Times New Roman"/>
          <w:color w:val="auto"/>
        </w:rPr>
        <w:t xml:space="preserve">乙方账号：</w:t>
      </w:r>
      <w:r>
        <w:rPr>
          <w:rFonts w:hint="eastAsia" w:eastAsia="宋体" w:cs="Times New Roman"/>
          <w:color w:val="auto"/>
          <w:u w:val="single"/>
        </w:rPr>
        <w:t xml:space="preserve"> </w:t>
      </w:r>
      <w:r>
        <w:rPr>
          <w:rFonts w:hint="default" w:eastAsia="宋体" w:cs="Times New Roman"/>
          <w:color w:val="auto"/>
          <w:u w:val="single"/>
        </w:rPr>
        <w:t xml:space="preserve">                                  </w:t>
      </w:r>
      <w:r>
        <w:rPr>
          <w:rFonts w:hint="default" w:eastAsia="宋体" w:cs="Times New Roman"/>
          <w:color w:val="auto"/>
        </w:rPr>
        <w:t xml:space="preserve">   </w:t>
      </w:r>
      <w:bookmarkEnd w:id="122"/>
      <w:r>
        <w:rPr>
          <w:rFonts w:hint="default" w:eastAsia="宋体" w:cs="Times New Roman"/>
          <w:color w:val="auto"/>
        </w:rPr>
        <w:t xml:space="preserve"> </w:t>
      </w:r>
      <w:r/>
    </w:p>
    <w:p>
      <w:pPr>
        <w:spacing w:line="360" w:lineRule="auto"/>
        <w:rPr>
          <w:rFonts w:hint="default" w:ascii="Times New Roman" w:hAnsi="宋体" w:eastAsia="宋体" w:cs="Times New Roman"/>
          <w:color w:val="auto"/>
          <w:szCs w:val="24"/>
        </w:rPr>
      </w:pPr>
      <w:r/>
      <w:bookmarkStart w:id="123" w:name="_Hlk184061519"/>
      <w:r>
        <w:rPr>
          <w:rFonts w:hint="eastAsia" w:ascii="Times New Roman" w:hAnsi="宋体" w:eastAsia="宋体" w:cs="Times New Roman"/>
          <w:color w:val="auto"/>
          <w:szCs w:val="24"/>
        </w:rPr>
        <w:t xml:space="preserve">四、甲方权利义务</w:t>
      </w:r>
      <w:r/>
    </w:p>
    <w:p>
      <w:pPr>
        <w:ind w:firstLine="420"/>
        <w:spacing w:line="360" w:lineRule="auto"/>
        <w:rPr>
          <w:rFonts w:hint="default" w:ascii="Times New Roman" w:hAnsi="宋体" w:eastAsia="宋体" w:cs="Times New Roman"/>
          <w:color w:val="auto"/>
          <w:szCs w:val="24"/>
        </w:rPr>
      </w:pPr>
      <w:r>
        <w:rPr>
          <w:rFonts w:hint="eastAsia" w:ascii="Times New Roman" w:hAnsi="Times New Roman" w:eastAsia="宋体" w:cs="Times New Roman"/>
          <w:color w:val="auto"/>
          <w:szCs w:val="21"/>
        </w:rPr>
        <w:t xml:space="preserve">1、</w:t>
      </w:r>
      <w:r>
        <w:rPr>
          <w:rFonts w:hint="eastAsia" w:ascii="Times New Roman" w:hAnsi="宋体" w:eastAsia="宋体" w:cs="Times New Roman"/>
          <w:color w:val="auto"/>
          <w:szCs w:val="24"/>
        </w:rPr>
        <w:t xml:space="preserve">甲方应保证电源质量稳定可靠，并对设备进行日常清洁保养和基本维护工作，做好故障记录。</w:t>
      </w:r>
      <w:r/>
    </w:p>
    <w:p>
      <w:pPr>
        <w:ind w:firstLine="420"/>
        <w:spacing w:line="360" w:lineRule="auto"/>
        <w:rPr>
          <w:rFonts w:hint="default" w:ascii="Times New Roman" w:hAnsi="宋体" w:eastAsia="宋体" w:cs="Times New Roman"/>
          <w:color w:val="auto"/>
          <w:szCs w:val="24"/>
        </w:rPr>
      </w:pPr>
      <w:r>
        <w:rPr>
          <w:rFonts w:hint="eastAsia" w:ascii="Times New Roman" w:hAnsi="宋体" w:eastAsia="宋体" w:cs="Times New Roman"/>
          <w:color w:val="auto"/>
          <w:szCs w:val="24"/>
        </w:rPr>
        <w:t xml:space="preserve">2、甲方应按设备使用手册的要求正确操作设备，保证设备的电、气和水的正常供应，同时保证设备开启关闭时的环境处于正常状态。</w:t>
      </w:r>
      <w:r/>
    </w:p>
    <w:p>
      <w:pPr>
        <w:ind w:firstLine="420"/>
        <w:spacing w:line="360" w:lineRule="auto"/>
        <w:rPr>
          <w:rFonts w:hint="default" w:ascii="Times New Roman" w:hAnsi="宋体" w:eastAsia="宋体" w:cs="Times New Roman"/>
          <w:color w:val="auto"/>
          <w:szCs w:val="24"/>
        </w:rPr>
      </w:pPr>
      <w:r>
        <w:rPr>
          <w:rFonts w:hint="eastAsia" w:ascii="Times New Roman" w:hAnsi="宋体" w:eastAsia="宋体" w:cs="Times New Roman"/>
          <w:color w:val="auto"/>
          <w:szCs w:val="24"/>
        </w:rPr>
        <w:t xml:space="preserve">3、甲方应按合同约定的方式和时间向乙方支付维保服务费用。</w:t>
      </w:r>
      <w:bookmarkEnd w:id="123"/>
      <w:r/>
      <w:r/>
    </w:p>
    <w:p>
      <w:pPr>
        <w:spacing w:line="360" w:lineRule="auto"/>
        <w:rPr>
          <w:rFonts w:hint="default" w:ascii="Times New Roman" w:hAnsi="宋体" w:eastAsia="宋体" w:cs="Times New Roman"/>
          <w:color w:val="auto"/>
          <w:szCs w:val="24"/>
        </w:rPr>
      </w:pPr>
      <w:r/>
      <w:bookmarkStart w:id="124" w:name="_Hlk184061548"/>
      <w:r>
        <w:rPr>
          <w:rFonts w:hint="eastAsia" w:ascii="Times New Roman" w:hAnsi="宋体" w:eastAsia="宋体" w:cs="Times New Roman"/>
          <w:color w:val="auto"/>
          <w:szCs w:val="24"/>
        </w:rPr>
        <w:t xml:space="preserve">五、乙方权利义务</w:t>
      </w:r>
      <w:bookmarkEnd w:id="124"/>
      <w:r/>
      <w:r/>
    </w:p>
    <w:p>
      <w:pPr>
        <w:ind w:firstLine="420"/>
        <w:spacing w:line="360" w:lineRule="auto"/>
        <w:rPr>
          <w:rFonts w:hint="default" w:ascii="Times New Roman" w:hAnsi="Times New Roman" w:eastAsia="宋体" w:cs="Times New Roman"/>
          <w:color w:val="auto"/>
          <w:szCs w:val="21"/>
        </w:rPr>
      </w:pPr>
      <w:r>
        <w:rPr>
          <w:rFonts w:hint="eastAsia" w:ascii="Times New Roman" w:hAnsi="Times New Roman" w:eastAsia="宋体" w:cs="Times New Roman"/>
          <w:color w:val="auto"/>
          <w:szCs w:val="21"/>
        </w:rPr>
        <w:t xml:space="preserve">1、服务时间：7×24小时。</w:t>
      </w:r>
      <w:r/>
    </w:p>
    <w:p>
      <w:pPr>
        <w:ind w:firstLine="420"/>
        <w:spacing w:line="360" w:lineRule="auto"/>
        <w:rPr>
          <w:rFonts w:hint="default" w:ascii="Times New Roman" w:hAnsi="Times New Roman" w:eastAsia="宋体" w:cs="Times New Roman"/>
          <w:color w:val="auto"/>
          <w:szCs w:val="21"/>
        </w:rPr>
      </w:pPr>
      <w:r>
        <w:rPr>
          <w:rFonts w:hint="eastAsia" w:ascii="Times New Roman" w:hAnsi="Times New Roman" w:eastAsia="宋体" w:cs="Times New Roman"/>
          <w:color w:val="auto"/>
          <w:szCs w:val="21"/>
        </w:rPr>
        <w:t xml:space="preserve">2、为保证甲方设备的正常运行，乙方根据设备运行情况提供每年</w:t>
      </w:r>
      <w:r>
        <w:rPr>
          <w:rFonts w:hint="eastAsia" w:ascii="Times New Roman" w:hAnsi="Times New Roman" w:eastAsia="宋体" w:cs="Times New Roman"/>
          <w:color w:val="auto"/>
          <w:szCs w:val="21"/>
          <w:lang w:val="en-US" w:eastAsia="zh-CN"/>
        </w:rPr>
        <w:t xml:space="preserve">4</w:t>
      </w:r>
      <w:r>
        <w:rPr>
          <w:rFonts w:hint="eastAsia" w:ascii="Times New Roman" w:hAnsi="Times New Roman" w:eastAsia="宋体" w:cs="Times New Roman"/>
          <w:color w:val="auto"/>
          <w:szCs w:val="21"/>
        </w:rPr>
        <w:t xml:space="preserve">次定期预防性保养，由原厂工程师或原厂认证合格的工程师根据标准操作流程和测试程序完成。</w:t>
      </w:r>
      <w:bookmarkStart w:id="125" w:name="_Hlk100650363"/>
      <w:r>
        <w:rPr>
          <w:rFonts w:hint="eastAsia" w:ascii="Times New Roman" w:hAnsi="Times New Roman" w:eastAsia="宋体" w:cs="Times New Roman"/>
          <w:color w:val="auto"/>
          <w:szCs w:val="21"/>
        </w:rPr>
        <w:t xml:space="preserve">保修期结束前一个月内，乙方通知甲方并安排最后一次预防性保养。</w:t>
      </w:r>
      <w:bookmarkEnd w:id="125"/>
      <w:r>
        <w:rPr>
          <w:rFonts w:hint="eastAsia" w:ascii="Times New Roman" w:hAnsi="Times New Roman" w:eastAsia="宋体" w:cs="Times New Roman"/>
          <w:color w:val="auto"/>
          <w:szCs w:val="21"/>
        </w:rPr>
        <w:t xml:space="preserve">乙方工程师向甲方提供定期保养报告，定期的保养服务检测内容需列出检测清单及招标参数的正常范围、实测值。乙方需在预期保养时间之前一周内通知甲方，如因特殊原因导致甲方不能按期执行保养，双方协商另行约定保养时间。</w:t>
      </w:r>
      <w:r/>
    </w:p>
    <w:p>
      <w:pPr>
        <w:ind w:firstLine="420"/>
        <w:spacing w:line="360" w:lineRule="auto"/>
        <w:rPr>
          <w:rFonts w:hint="default" w:ascii="Times New Roman" w:hAnsi="Times New Roman" w:eastAsia="宋体" w:cs="Times New Roman"/>
          <w:color w:val="auto"/>
          <w:szCs w:val="21"/>
        </w:rPr>
      </w:pPr>
      <w:r>
        <w:rPr>
          <w:rFonts w:hint="eastAsia" w:ascii="Times New Roman" w:hAnsi="Times New Roman" w:eastAsia="宋体" w:cs="Times New Roman"/>
          <w:color w:val="auto"/>
          <w:szCs w:val="21"/>
        </w:rPr>
        <w:t xml:space="preserve">3、如设备发生故障，乙方在接到甲方报修电话后</w:t>
      </w:r>
      <w:r>
        <w:rPr>
          <w:rFonts w:hint="eastAsia" w:cs="Times New Roman"/>
          <w:color w:val="auto"/>
          <w:szCs w:val="21"/>
          <w:lang w:val="en-US" w:eastAsia="zh-CN"/>
        </w:rPr>
        <w:t xml:space="preserve">2</w:t>
      </w:r>
      <w:r>
        <w:rPr>
          <w:rFonts w:hint="eastAsia" w:ascii="Times New Roman" w:hAnsi="Times New Roman" w:eastAsia="宋体" w:cs="Times New Roman"/>
          <w:color w:val="auto"/>
          <w:szCs w:val="21"/>
        </w:rPr>
        <w:t xml:space="preserve">小时之内响应，</w:t>
      </w:r>
      <w:r>
        <w:rPr>
          <w:rFonts w:hint="default" w:ascii="Times New Roman" w:hAnsi="Times New Roman" w:eastAsia="宋体" w:cs="Times New Roman"/>
          <w:color w:val="auto"/>
          <w:szCs w:val="21"/>
        </w:rPr>
        <w:t xml:space="preserve">3</w:t>
      </w:r>
      <w:r>
        <w:rPr>
          <w:rFonts w:hint="eastAsia" w:ascii="Times New Roman" w:hAnsi="Times New Roman" w:eastAsia="宋体" w:cs="Times New Roman"/>
          <w:color w:val="auto"/>
          <w:szCs w:val="21"/>
        </w:rPr>
        <w:t xml:space="preserve">小时内到达甲方现场（若本地无维修站点，2</w:t>
      </w:r>
      <w:r>
        <w:rPr>
          <w:rFonts w:hint="default" w:ascii="Times New Roman" w:hAnsi="Times New Roman" w:eastAsia="宋体" w:cs="Times New Roman"/>
          <w:color w:val="auto"/>
          <w:szCs w:val="21"/>
        </w:rPr>
        <w:t xml:space="preserve">4</w:t>
      </w:r>
      <w:r>
        <w:rPr>
          <w:rFonts w:hint="eastAsia" w:ascii="Times New Roman" w:hAnsi="Times New Roman" w:eastAsia="宋体" w:cs="Times New Roman"/>
          <w:color w:val="auto"/>
          <w:szCs w:val="21"/>
        </w:rPr>
        <w:t xml:space="preserve">小时内到达现场）。如若乙方在4</w:t>
      </w:r>
      <w:r>
        <w:rPr>
          <w:rFonts w:hint="default" w:ascii="Times New Roman" w:hAnsi="Times New Roman" w:eastAsia="宋体" w:cs="Times New Roman"/>
          <w:color w:val="auto"/>
          <w:szCs w:val="21"/>
        </w:rPr>
        <w:t xml:space="preserve">8</w:t>
      </w:r>
      <w:r>
        <w:rPr>
          <w:rFonts w:hint="eastAsia" w:ascii="Times New Roman" w:hAnsi="Times New Roman" w:eastAsia="宋体" w:cs="Times New Roman"/>
          <w:color w:val="auto"/>
          <w:szCs w:val="21"/>
        </w:rPr>
        <w:t xml:space="preserve">小时内无法修复故障需为甲方免费提供备用机，否则甲方可自行采取必要的措施，由此产生的风险和费用由乙方承担。如有特殊情况，乙方应立即电话通知甲方不能响应的原因，在获得甲方同意后，才可推迟响应时间。</w:t>
      </w:r>
      <w:r/>
    </w:p>
    <w:p>
      <w:pPr>
        <w:ind w:firstLine="420"/>
        <w:spacing w:line="360" w:lineRule="auto"/>
        <w:rPr>
          <w:rFonts w:hint="eastAsia" w:ascii="Times New Roman" w:hAnsi="Times New Roman" w:eastAsia="宋体" w:cs="Times New Roman"/>
          <w:color w:val="auto"/>
          <w:szCs w:val="21"/>
        </w:rPr>
      </w:pPr>
      <w:r>
        <w:rPr>
          <w:rFonts w:hint="default" w:ascii="Times New Roman" w:hAnsi="Times New Roman" w:eastAsia="宋体" w:cs="Times New Roman"/>
          <w:color w:val="auto"/>
          <w:szCs w:val="21"/>
        </w:rPr>
        <w:t xml:space="preserve">4</w:t>
      </w:r>
      <w:r>
        <w:rPr>
          <w:rFonts w:hint="eastAsia" w:ascii="Times New Roman" w:hAnsi="Times New Roman" w:eastAsia="宋体" w:cs="Times New Roman"/>
          <w:color w:val="auto"/>
          <w:szCs w:val="21"/>
        </w:rPr>
        <w:t xml:space="preserve">、乙方在设备故障维修中，必须免费更换保修范围内的设备备件，并承担维修期间的往返费、人工费、维修所需备件的搬运费、安装调试费以及系统软件升级等一切费用。</w:t>
      </w:r>
      <w:r>
        <w:rPr>
          <w:rFonts w:hint="eastAsia" w:ascii="Times New Roman" w:hAnsi="Times New Roman" w:eastAsia="宋体" w:cs="Times New Roman"/>
          <w:color w:val="auto"/>
          <w:szCs w:val="21"/>
          <w:lang w:val="en-US" w:eastAsia="zh-CN"/>
        </w:rPr>
        <w:t xml:space="preserve">更换的设备备件</w:t>
      </w:r>
      <w:r>
        <w:rPr>
          <w:rFonts w:hint="eastAsia" w:ascii="Times New Roman" w:hAnsi="Times New Roman" w:eastAsia="宋体" w:cs="Times New Roman"/>
          <w:color w:val="auto"/>
          <w:szCs w:val="21"/>
        </w:rPr>
        <w:t xml:space="preserve">乙方</w:t>
      </w:r>
      <w:r>
        <w:rPr>
          <w:rFonts w:hint="eastAsia" w:ascii="Times New Roman" w:hAnsi="Times New Roman" w:eastAsia="宋体" w:cs="Times New Roman"/>
          <w:color w:val="auto"/>
          <w:szCs w:val="21"/>
          <w:lang w:val="en-US" w:eastAsia="zh-CN"/>
        </w:rPr>
        <w:t xml:space="preserve">应</w:t>
      </w:r>
      <w:r>
        <w:rPr>
          <w:rFonts w:hint="eastAsia" w:ascii="Times New Roman" w:hAnsi="Times New Roman" w:eastAsia="宋体" w:cs="Times New Roman"/>
          <w:color w:val="auto"/>
          <w:szCs w:val="21"/>
        </w:rPr>
        <w:t xml:space="preserve">提供原设备制造商认可</w:t>
      </w:r>
      <w:r>
        <w:rPr>
          <w:rFonts w:hint="eastAsia" w:ascii="Times New Roman" w:hAnsi="Times New Roman" w:eastAsia="宋体" w:cs="Times New Roman"/>
          <w:color w:val="auto"/>
          <w:szCs w:val="21"/>
          <w:lang w:val="en-US" w:eastAsia="zh-CN"/>
        </w:rPr>
        <w:t xml:space="preserve">并能用于原设备的相关证件</w:t>
      </w:r>
      <w:r>
        <w:rPr>
          <w:rFonts w:hint="eastAsia" w:ascii="Times New Roman" w:hAnsi="Times New Roman" w:eastAsia="宋体" w:cs="Times New Roman"/>
          <w:color w:val="auto"/>
          <w:szCs w:val="21"/>
        </w:rPr>
        <w:t xml:space="preserve">（进口产品需提供报关单）</w:t>
      </w:r>
      <w:r>
        <w:rPr>
          <w:rFonts w:hint="eastAsia" w:ascii="Times New Roman" w:hAnsi="Times New Roman" w:eastAsia="宋体" w:cs="Times New Roman"/>
          <w:color w:val="auto"/>
          <w:szCs w:val="21"/>
          <w:lang w:eastAsia="zh-CN"/>
        </w:rPr>
        <w:t xml:space="preserve">，</w:t>
      </w:r>
      <w:r>
        <w:rPr>
          <w:rFonts w:hint="eastAsia" w:ascii="Times New Roman" w:hAnsi="Times New Roman" w:eastAsia="宋体" w:cs="Times New Roman"/>
          <w:color w:val="auto"/>
          <w:szCs w:val="21"/>
        </w:rPr>
        <w:t xml:space="preserve">如乙方无法提供原装</w:t>
      </w:r>
      <w:r>
        <w:rPr>
          <w:rFonts w:hint="eastAsia" w:ascii="Times New Roman" w:hAnsi="Times New Roman" w:eastAsia="宋体" w:cs="Times New Roman"/>
          <w:color w:val="auto"/>
          <w:szCs w:val="21"/>
          <w:lang w:val="en-US" w:eastAsia="zh-CN"/>
        </w:rPr>
        <w:t xml:space="preserve">备件</w:t>
      </w:r>
      <w:r>
        <w:rPr>
          <w:rFonts w:hint="eastAsia" w:ascii="Times New Roman" w:hAnsi="Times New Roman" w:eastAsia="宋体" w:cs="Times New Roman"/>
          <w:color w:val="auto"/>
          <w:szCs w:val="21"/>
        </w:rPr>
        <w:t xml:space="preserve">的，经甲方认可后可换用与原装</w:t>
      </w:r>
      <w:r>
        <w:rPr>
          <w:rFonts w:hint="eastAsia" w:ascii="Times New Roman" w:hAnsi="Times New Roman" w:eastAsia="宋体" w:cs="Times New Roman"/>
          <w:color w:val="auto"/>
          <w:szCs w:val="21"/>
          <w:lang w:val="en-US" w:eastAsia="zh-CN"/>
        </w:rPr>
        <w:t xml:space="preserve">备件</w:t>
      </w:r>
      <w:r>
        <w:rPr>
          <w:rFonts w:hint="eastAsia" w:ascii="Times New Roman" w:hAnsi="Times New Roman" w:eastAsia="宋体" w:cs="Times New Roman"/>
          <w:color w:val="auto"/>
          <w:szCs w:val="21"/>
        </w:rPr>
        <w:t xml:space="preserve">质量性能相当的替代</w:t>
      </w:r>
      <w:r>
        <w:rPr>
          <w:rFonts w:hint="eastAsia" w:ascii="Times New Roman" w:hAnsi="Times New Roman" w:eastAsia="宋体" w:cs="Times New Roman"/>
          <w:color w:val="auto"/>
          <w:szCs w:val="21"/>
          <w:lang w:val="en-US" w:eastAsia="zh-CN"/>
        </w:rPr>
        <w:t xml:space="preserve">备件</w:t>
      </w:r>
      <w:r>
        <w:rPr>
          <w:rFonts w:hint="eastAsia" w:ascii="Times New Roman" w:hAnsi="Times New Roman" w:eastAsia="宋体" w:cs="Times New Roman"/>
          <w:color w:val="auto"/>
          <w:szCs w:val="21"/>
        </w:rPr>
        <w:t xml:space="preserve">。</w:t>
      </w:r>
      <w:r/>
    </w:p>
    <w:p>
      <w:pPr>
        <w:ind w:firstLine="420"/>
        <w:spacing w:line="360" w:lineRule="auto"/>
        <w:rPr>
          <w:rFonts w:hint="default" w:ascii="Times New Roman" w:hAnsi="Times New Roman" w:eastAsia="宋体" w:cs="Times New Roman"/>
          <w:color w:val="auto"/>
          <w:szCs w:val="21"/>
          <w:lang w:val="en-US"/>
        </w:rPr>
      </w:pPr>
      <w:r>
        <w:rPr>
          <w:rFonts w:hint="eastAsia" w:ascii="Times New Roman" w:hAnsi="Times New Roman" w:eastAsia="宋体" w:cs="Times New Roman"/>
          <w:color w:val="auto"/>
          <w:szCs w:val="21"/>
          <w:lang w:val="en-US" w:eastAsia="zh-CN"/>
        </w:rPr>
        <w:t xml:space="preserve">5</w:t>
      </w:r>
      <w:r>
        <w:rPr>
          <w:rFonts w:hint="eastAsia" w:ascii="Times New Roman" w:hAnsi="Times New Roman" w:eastAsia="宋体" w:cs="Times New Roman"/>
          <w:color w:val="auto"/>
          <w:szCs w:val="21"/>
        </w:rPr>
        <w:t xml:space="preserve">、乙方承诺：一年内开机率保证在</w:t>
      </w:r>
      <w:r>
        <w:rPr>
          <w:rFonts w:hint="default" w:ascii="Times New Roman" w:hAnsi="Times New Roman" w:eastAsia="宋体" w:cs="Times New Roman"/>
          <w:color w:val="auto"/>
          <w:szCs w:val="21"/>
        </w:rPr>
        <w:t xml:space="preserve">95</w:t>
      </w:r>
      <w:r>
        <w:rPr>
          <w:rFonts w:hint="eastAsia" w:ascii="Times New Roman" w:hAnsi="Times New Roman" w:eastAsia="宋体" w:cs="Times New Roman"/>
          <w:color w:val="auto"/>
          <w:szCs w:val="21"/>
        </w:rPr>
        <w:t xml:space="preserve">%</w:t>
      </w:r>
      <w:r>
        <w:rPr>
          <w:rFonts w:hint="eastAsia" w:ascii="Times New Roman" w:hAnsi="Times New Roman" w:eastAsia="宋体" w:cs="Times New Roman"/>
          <w:color w:val="auto"/>
          <w:szCs w:val="21"/>
          <w:lang w:val="en-US" w:eastAsia="zh-CN"/>
        </w:rPr>
        <w:t xml:space="preserve"> </w:t>
      </w:r>
      <w:r>
        <w:rPr>
          <w:rFonts w:hint="eastAsia" w:ascii="Times New Roman" w:hAnsi="Times New Roman" w:eastAsia="宋体" w:cs="Times New Roman"/>
          <w:color w:val="auto"/>
          <w:szCs w:val="21"/>
        </w:rPr>
        <w:t xml:space="preserve">以上（3</w:t>
      </w:r>
      <w:r>
        <w:rPr>
          <w:rFonts w:hint="default" w:ascii="Times New Roman" w:hAnsi="Times New Roman" w:eastAsia="宋体" w:cs="Times New Roman"/>
          <w:color w:val="auto"/>
          <w:szCs w:val="21"/>
        </w:rPr>
        <w:t xml:space="preserve">65</w:t>
      </w:r>
      <w:r>
        <w:rPr>
          <w:rFonts w:hint="eastAsia" w:ascii="Times New Roman" w:hAnsi="Times New Roman" w:eastAsia="宋体" w:cs="Times New Roman"/>
          <w:color w:val="auto"/>
          <w:szCs w:val="21"/>
        </w:rPr>
        <w:t xml:space="preserve">天），停机时间不超过</w:t>
      </w:r>
      <w:r>
        <w:rPr>
          <w:rFonts w:hint="default" w:ascii="Times New Roman" w:hAnsi="Times New Roman" w:eastAsia="宋体" w:cs="Times New Roman"/>
          <w:color w:val="auto"/>
          <w:szCs w:val="21"/>
        </w:rPr>
        <w:t xml:space="preserve">18</w:t>
      </w:r>
      <w:r>
        <w:rPr>
          <w:rFonts w:hint="eastAsia" w:ascii="Times New Roman" w:hAnsi="Times New Roman" w:eastAsia="宋体" w:cs="Times New Roman"/>
          <w:color w:val="auto"/>
          <w:szCs w:val="21"/>
        </w:rPr>
        <w:t xml:space="preserve">天，停机每超过1天，维保合同期顺延</w:t>
      </w:r>
      <w:r>
        <w:rPr>
          <w:rFonts w:hint="default" w:ascii="Times New Roman" w:hAnsi="Times New Roman" w:eastAsia="宋体" w:cs="Times New Roman"/>
          <w:color w:val="auto"/>
          <w:szCs w:val="21"/>
        </w:rPr>
        <w:t xml:space="preserve">5</w:t>
      </w:r>
      <w:r>
        <w:rPr>
          <w:rFonts w:hint="eastAsia" w:ascii="Times New Roman" w:hAnsi="Times New Roman" w:eastAsia="宋体" w:cs="Times New Roman"/>
          <w:color w:val="auto"/>
          <w:szCs w:val="21"/>
        </w:rPr>
        <w:t xml:space="preserve">天。乙方</w:t>
      </w:r>
      <w:r>
        <w:rPr>
          <w:rFonts w:hint="eastAsia" w:ascii="Times New Roman" w:hAnsi="Times New Roman" w:eastAsia="宋体" w:cs="Times New Roman"/>
          <w:color w:val="auto"/>
          <w:szCs w:val="21"/>
          <w:lang w:val="en-US" w:eastAsia="zh-CN"/>
        </w:rPr>
        <w:t xml:space="preserve">如短期内无法修复该设备，需为甲方免费提供完好备用机，直到设备修复。</w:t>
      </w:r>
      <w:r/>
    </w:p>
    <w:p>
      <w:pPr>
        <w:ind w:firstLine="420"/>
        <w:spacing w:line="360" w:lineRule="auto"/>
        <w:rPr>
          <w:rFonts w:hint="default" w:ascii="Times New Roman" w:hAnsi="Times New Roman" w:eastAsia="宋体" w:cs="Times New Roman"/>
          <w:color w:val="auto"/>
          <w:szCs w:val="21"/>
        </w:rPr>
      </w:pPr>
      <w:r>
        <w:rPr>
          <w:rFonts w:hint="eastAsia" w:ascii="Times New Roman" w:hAnsi="Times New Roman" w:eastAsia="宋体" w:cs="Times New Roman"/>
          <w:color w:val="auto"/>
          <w:szCs w:val="21"/>
          <w:lang w:val="en-US" w:eastAsia="zh-CN"/>
        </w:rPr>
        <w:t xml:space="preserve">6</w:t>
      </w:r>
      <w:r>
        <w:rPr>
          <w:rFonts w:hint="eastAsia" w:ascii="Times New Roman" w:hAnsi="Times New Roman" w:eastAsia="宋体" w:cs="Times New Roman"/>
          <w:color w:val="auto"/>
          <w:szCs w:val="21"/>
        </w:rPr>
        <w:t xml:space="preserve">、保修期内，每次故障维修及保养结束后一周内乙方必须提供维修、保养记录、质量检测记录并交甲方临床医学工程处备案登记。</w:t>
      </w:r>
      <w:r/>
    </w:p>
    <w:p>
      <w:pPr>
        <w:ind w:firstLine="420"/>
        <w:spacing w:line="360" w:lineRule="auto"/>
        <w:rPr>
          <w:rFonts w:hint="default" w:ascii="Times New Roman" w:hAnsi="Times New Roman" w:eastAsia="宋体" w:cs="Times New Roman"/>
          <w:color w:val="auto"/>
          <w:szCs w:val="21"/>
        </w:rPr>
      </w:pPr>
      <w:r>
        <w:rPr>
          <w:rFonts w:hint="eastAsia" w:ascii="Times New Roman" w:hAnsi="Times New Roman" w:eastAsia="宋体" w:cs="Times New Roman"/>
          <w:color w:val="auto"/>
          <w:szCs w:val="21"/>
          <w:lang w:val="en-US" w:eastAsia="zh-CN"/>
        </w:rPr>
        <w:t xml:space="preserve">7</w:t>
      </w:r>
      <w:r>
        <w:rPr>
          <w:rFonts w:hint="eastAsia" w:ascii="Times New Roman" w:hAnsi="Times New Roman" w:eastAsia="宋体" w:cs="Times New Roman"/>
          <w:color w:val="auto"/>
          <w:szCs w:val="21"/>
        </w:rPr>
        <w:t xml:space="preserve">、乙方工程师至甲方维修设备，必须事先与甲方临床医学工程处取得联系，并与甲方工程师共同完成维修工作。否则引起的一切责任由乙方负责。</w:t>
      </w:r>
      <w:r/>
    </w:p>
    <w:p>
      <w:pPr>
        <w:ind w:firstLine="420"/>
        <w:spacing w:line="360" w:lineRule="auto"/>
        <w:rPr>
          <w:rFonts w:hint="default" w:ascii="Times New Roman" w:hAnsi="Times New Roman" w:eastAsia="宋体" w:cs="Times New Roman"/>
          <w:color w:val="auto"/>
          <w:szCs w:val="21"/>
        </w:rPr>
      </w:pPr>
      <w:r>
        <w:rPr>
          <w:rFonts w:hint="eastAsia" w:ascii="Times New Roman" w:hAnsi="Times New Roman" w:eastAsia="宋体" w:cs="Times New Roman"/>
          <w:color w:val="auto"/>
          <w:szCs w:val="21"/>
          <w:lang w:val="en-US" w:eastAsia="zh-CN"/>
        </w:rPr>
        <w:t xml:space="preserve">8</w:t>
      </w:r>
      <w:r>
        <w:rPr>
          <w:rFonts w:hint="eastAsia" w:ascii="Times New Roman" w:hAnsi="Times New Roman" w:eastAsia="宋体" w:cs="Times New Roman"/>
          <w:color w:val="auto"/>
          <w:szCs w:val="21"/>
        </w:rPr>
        <w:t xml:space="preserve">、乙方维修人员在维修期间必须遵守院方在安全、防盗、停车、周围环境卫生及排放污物的有关规定，否则引起的一切责任由乙方负责。</w:t>
      </w:r>
      <w:r/>
    </w:p>
    <w:p>
      <w:pPr>
        <w:ind w:firstLine="420"/>
        <w:spacing w:line="360" w:lineRule="auto"/>
        <w:rPr>
          <w:rFonts w:hint="default" w:ascii="Times New Roman" w:hAnsi="Times New Roman" w:eastAsia="宋体" w:cs="Times New Roman"/>
          <w:color w:val="auto"/>
          <w:szCs w:val="21"/>
        </w:rPr>
      </w:pPr>
      <w:r>
        <w:rPr>
          <w:rFonts w:hint="eastAsia" w:ascii="Times New Roman" w:hAnsi="Times New Roman" w:eastAsia="宋体" w:cs="Times New Roman"/>
          <w:color w:val="auto"/>
          <w:szCs w:val="21"/>
        </w:rPr>
        <w:t xml:space="preserve">六、违约责任</w:t>
      </w:r>
      <w:r/>
    </w:p>
    <w:p>
      <w:pPr>
        <w:ind w:firstLine="420"/>
        <w:spacing w:line="360" w:lineRule="auto"/>
        <w:rPr>
          <w:rFonts w:hint="default" w:ascii="Times New Roman" w:hAnsi="宋体" w:eastAsia="宋体" w:cs="Times New Roman"/>
          <w:color w:val="auto"/>
          <w:szCs w:val="24"/>
        </w:rPr>
      </w:pPr>
      <w:r>
        <w:rPr>
          <w:rFonts w:hint="default" w:ascii="Times New Roman" w:hAnsi="宋体" w:eastAsia="宋体" w:cs="Times New Roman"/>
          <w:color w:val="auto"/>
          <w:szCs w:val="24"/>
        </w:rPr>
        <w:t xml:space="preserve">1</w:t>
      </w:r>
      <w:r>
        <w:rPr>
          <w:rFonts w:hint="eastAsia" w:ascii="Times New Roman" w:hAnsi="宋体" w:eastAsia="宋体" w:cs="Times New Roman"/>
          <w:color w:val="auto"/>
          <w:szCs w:val="24"/>
        </w:rPr>
        <w:t xml:space="preserve">、自本协议生效之日起，双方应严格依约履行。一方违约，应赔偿由此给其他方造成的损失。</w:t>
      </w:r>
      <w:r/>
    </w:p>
    <w:p>
      <w:pPr>
        <w:ind w:firstLine="420"/>
        <w:spacing w:line="360" w:lineRule="auto"/>
        <w:rPr>
          <w:rFonts w:hint="default" w:ascii="Times New Roman" w:hAnsi="宋体" w:eastAsia="宋体" w:cs="Times New Roman"/>
          <w:color w:val="auto"/>
          <w:szCs w:val="24"/>
        </w:rPr>
      </w:pPr>
      <w:r>
        <w:rPr>
          <w:rFonts w:hint="eastAsia" w:ascii="Times New Roman" w:hAnsi="宋体" w:eastAsia="宋体" w:cs="Times New Roman"/>
          <w:color w:val="auto"/>
          <w:szCs w:val="24"/>
        </w:rPr>
        <w:t xml:space="preserve">2、如果乙方没有按照合同规定进行维保服务，每逾期一日，乙方应按合同金额的1%计算，但该违约金总额不超过合同总金额的30%。乙方</w:t>
      </w:r>
      <w:bookmarkStart w:id="126" w:name="_Hlk100650392"/>
      <w:r>
        <w:rPr>
          <w:rFonts w:hint="eastAsia" w:ascii="Times New Roman" w:hAnsi="宋体" w:eastAsia="宋体" w:cs="Times New Roman"/>
          <w:color w:val="auto"/>
          <w:szCs w:val="24"/>
        </w:rPr>
        <w:t xml:space="preserve">逾期不进行维保服</w:t>
      </w:r>
      <w:bookmarkEnd w:id="126"/>
      <w:r>
        <w:rPr>
          <w:rFonts w:hint="eastAsia" w:ascii="Times New Roman" w:hAnsi="宋体" w:eastAsia="宋体" w:cs="Times New Roman"/>
          <w:color w:val="auto"/>
          <w:szCs w:val="24"/>
          <w:lang w:val="en-US" w:eastAsia="zh-CN"/>
        </w:rPr>
        <w:t xml:space="preserve">务10</w:t>
      </w:r>
      <w:r>
        <w:rPr>
          <w:rFonts w:hint="eastAsia" w:ascii="Times New Roman" w:hAnsi="宋体" w:eastAsia="宋体" w:cs="Times New Roman"/>
          <w:color w:val="auto"/>
          <w:szCs w:val="24"/>
        </w:rPr>
        <w:t xml:space="preserve">日以上的，则视乙方不能提供正常维保，甲方有权因此解除本合同</w:t>
      </w:r>
      <w:r>
        <w:rPr>
          <w:rFonts w:hint="eastAsia" w:ascii="宋体" w:hAnsi="宋体" w:eastAsia="宋体" w:cs="Times New Roman"/>
          <w:color w:val="auto"/>
          <w:szCs w:val="21"/>
          <w:lang w:eastAsia="zh-CN"/>
        </w:rPr>
        <w:t xml:space="preserve">，</w:t>
      </w:r>
      <w:r>
        <w:rPr>
          <w:rFonts w:hint="eastAsia" w:ascii="宋体" w:hAnsi="宋体" w:eastAsia="宋体" w:cs="Times New Roman"/>
          <w:color w:val="auto"/>
          <w:szCs w:val="21"/>
          <w:lang w:val="en-US" w:eastAsia="zh-CN"/>
        </w:rPr>
        <w:t xml:space="preserve">同时乙方应承担</w:t>
      </w:r>
      <w:r>
        <w:rPr>
          <w:rFonts w:hint="eastAsia" w:ascii="宋体" w:hAnsi="宋体" w:eastAsia="宋体" w:cs="Times New Roman"/>
          <w:color w:val="auto"/>
          <w:szCs w:val="21"/>
        </w:rPr>
        <w:t xml:space="preserve">3</w:t>
      </w:r>
      <w:r>
        <w:rPr>
          <w:rFonts w:hint="default" w:ascii="宋体" w:hAnsi="宋体" w:eastAsia="宋体" w:cs="Times New Roman"/>
          <w:color w:val="auto"/>
          <w:szCs w:val="21"/>
        </w:rPr>
        <w:t xml:space="preserve">0</w:t>
      </w:r>
      <w:r>
        <w:rPr>
          <w:rFonts w:hint="eastAsia" w:ascii="宋体" w:hAnsi="宋体" w:eastAsia="宋体" w:cs="Times New Roman"/>
          <w:color w:val="auto"/>
          <w:szCs w:val="21"/>
        </w:rPr>
        <w:t xml:space="preserve">%</w:t>
      </w:r>
      <w:r>
        <w:rPr>
          <w:rFonts w:hint="eastAsia" w:ascii="宋体" w:hAnsi="宋体" w:eastAsia="宋体" w:cs="Times New Roman"/>
          <w:color w:val="auto"/>
          <w:szCs w:val="21"/>
          <w:lang w:val="en-US" w:eastAsia="zh-CN"/>
        </w:rPr>
        <w:t xml:space="preserve">的违约金</w:t>
      </w:r>
      <w:r>
        <w:rPr>
          <w:rFonts w:hint="eastAsia" w:ascii="宋体" w:hAnsi="宋体" w:eastAsia="宋体" w:cs="Times New Roman"/>
          <w:color w:val="auto"/>
          <w:szCs w:val="21"/>
        </w:rPr>
        <w:t xml:space="preserve">。</w:t>
      </w:r>
      <w:r/>
    </w:p>
    <w:p>
      <w:pPr>
        <w:ind w:firstLine="420"/>
        <w:spacing w:line="360" w:lineRule="auto"/>
        <w:rPr>
          <w:rFonts w:hint="default" w:ascii="Times New Roman" w:hAnsi="宋体" w:eastAsia="宋体" w:cs="Times New Roman"/>
          <w:color w:val="auto"/>
          <w:szCs w:val="24"/>
        </w:rPr>
      </w:pPr>
      <w:r>
        <w:rPr>
          <w:rFonts w:hint="eastAsia" w:ascii="Times New Roman" w:hAnsi="宋体" w:eastAsia="宋体" w:cs="Times New Roman"/>
          <w:color w:val="auto"/>
          <w:szCs w:val="24"/>
        </w:rPr>
        <w:t xml:space="preserve">3、乙方若违反本合同</w:t>
      </w:r>
      <w:bookmarkStart w:id="127" w:name="_Hlk100650478"/>
      <w:r>
        <w:rPr>
          <w:rFonts w:hint="eastAsia" w:ascii="Times New Roman" w:hAnsi="宋体" w:eastAsia="宋体" w:cs="Times New Roman"/>
          <w:color w:val="auto"/>
          <w:szCs w:val="24"/>
        </w:rPr>
        <w:t xml:space="preserve">第</w:t>
      </w:r>
      <w:r>
        <w:rPr>
          <w:rFonts w:hint="eastAsia" w:ascii="Times New Roman" w:hAnsi="宋体" w:eastAsia="宋体" w:cs="Times New Roman"/>
          <w:color w:val="auto"/>
          <w:szCs w:val="24"/>
          <w:lang w:val="en-US" w:eastAsia="zh-CN"/>
        </w:rPr>
        <w:t xml:space="preserve">六</w:t>
      </w:r>
      <w:r>
        <w:rPr>
          <w:rFonts w:hint="eastAsia" w:ascii="Times New Roman" w:hAnsi="宋体" w:eastAsia="宋体" w:cs="Times New Roman"/>
          <w:color w:val="auto"/>
          <w:szCs w:val="24"/>
        </w:rPr>
        <w:t xml:space="preserve">条下相关款项、</w:t>
      </w:r>
      <w:bookmarkEnd w:id="127"/>
      <w:r>
        <w:rPr>
          <w:rFonts w:hint="eastAsia" w:ascii="Times New Roman" w:hAnsi="宋体" w:eastAsia="宋体" w:cs="Times New Roman"/>
          <w:color w:val="auto"/>
          <w:szCs w:val="24"/>
        </w:rPr>
        <w:t xml:space="preserve">第</w:t>
      </w:r>
      <w:r>
        <w:rPr>
          <w:rFonts w:hint="eastAsia" w:ascii="Times New Roman" w:hAnsi="宋体" w:eastAsia="宋体" w:cs="Times New Roman"/>
          <w:color w:val="auto"/>
          <w:szCs w:val="24"/>
          <w:lang w:val="en-US" w:eastAsia="zh-CN"/>
        </w:rPr>
        <w:t xml:space="preserve">八</w:t>
      </w:r>
      <w:r>
        <w:rPr>
          <w:rFonts w:hint="eastAsia" w:ascii="Times New Roman" w:hAnsi="宋体" w:eastAsia="宋体" w:cs="Times New Roman"/>
          <w:color w:val="auto"/>
          <w:szCs w:val="24"/>
        </w:rPr>
        <w:t xml:space="preserve">条与第</w:t>
      </w:r>
      <w:r>
        <w:rPr>
          <w:rFonts w:hint="eastAsia" w:ascii="Times New Roman" w:hAnsi="宋体" w:eastAsia="宋体" w:cs="Times New Roman"/>
          <w:color w:val="auto"/>
          <w:szCs w:val="24"/>
          <w:lang w:val="en-US" w:eastAsia="zh-CN"/>
        </w:rPr>
        <w:t xml:space="preserve">九</w:t>
      </w:r>
      <w:r>
        <w:rPr>
          <w:rFonts w:hint="eastAsia" w:ascii="Times New Roman" w:hAnsi="宋体" w:eastAsia="宋体" w:cs="Times New Roman"/>
          <w:color w:val="auto"/>
          <w:szCs w:val="24"/>
        </w:rPr>
        <w:t xml:space="preserve">条视为对本合同的重大违约，甲方随时有权书面通知乙方立即解除本合同。</w:t>
      </w:r>
      <w:r/>
    </w:p>
    <w:p>
      <w:pPr>
        <w:ind w:firstLine="420"/>
        <w:spacing w:line="360" w:lineRule="auto"/>
        <w:rPr>
          <w:rFonts w:hint="default" w:ascii="Times New Roman" w:hAnsi="宋体" w:eastAsia="宋体" w:cs="Times New Roman"/>
          <w:color w:val="auto"/>
          <w:szCs w:val="24"/>
        </w:rPr>
      </w:pPr>
      <w:r>
        <w:rPr>
          <w:rFonts w:hint="eastAsia" w:ascii="Times New Roman" w:hAnsi="宋体" w:eastAsia="宋体" w:cs="Times New Roman"/>
          <w:color w:val="auto"/>
          <w:szCs w:val="24"/>
        </w:rPr>
        <w:t xml:space="preserve">4、因乙方的违约行为给甲方造成损失的（包括所有直接或间接损失），如果违约金不足以补偿该损失的，甲方有权继续要求乙方赔偿甲方所有实际损失，并保留申诉的权利。</w:t>
      </w:r>
      <w:r/>
    </w:p>
    <w:p>
      <w:pPr>
        <w:spacing w:line="360" w:lineRule="auto"/>
        <w:rPr>
          <w:rFonts w:hint="default" w:ascii="Times New Roman" w:hAnsi="宋体" w:eastAsia="宋体" w:cs="Times New Roman"/>
          <w:color w:val="auto"/>
          <w:szCs w:val="24"/>
        </w:rPr>
      </w:pPr>
      <w:r/>
      <w:bookmarkStart w:id="128" w:name="_Hlk100650496"/>
      <w:r>
        <w:rPr>
          <w:rFonts w:hint="eastAsia" w:ascii="Times New Roman" w:hAnsi="宋体" w:eastAsia="宋体" w:cs="Times New Roman"/>
          <w:color w:val="auto"/>
          <w:szCs w:val="24"/>
        </w:rPr>
        <w:t xml:space="preserve">七、不可抗力条款</w:t>
      </w:r>
      <w:r/>
    </w:p>
    <w:p>
      <w:pPr>
        <w:ind w:firstLine="420"/>
        <w:spacing w:line="360" w:lineRule="auto"/>
        <w:rPr>
          <w:rFonts w:hint="default" w:ascii="Times New Roman" w:hAnsi="宋体" w:eastAsia="宋体" w:cs="Times New Roman"/>
          <w:color w:val="auto"/>
          <w:szCs w:val="24"/>
        </w:rPr>
      </w:pPr>
      <w:r>
        <w:rPr>
          <w:rFonts w:hint="eastAsia" w:ascii="Times New Roman" w:hAnsi="宋体" w:eastAsia="宋体" w:cs="Times New Roman"/>
          <w:color w:val="auto"/>
          <w:szCs w:val="24"/>
        </w:rPr>
        <w:t xml:space="preserve">由于甲乙双方在签订本合同时不可预见的、遭受影响的一方不能克服和不能避免的，对本合同的履行产生影响的不可抗力事件（如火灾、水灾、地震、战争、恐怖事件、禁运、劳工纠纷、暴乱事件、军事行为等）及强制性的政府法案及条例，导致乙方在不可抗力影响的延误期内将暂停履行合同下受该不可抗力事件影响的合同义务时，乙方应及时通知甲方，以减轻可能给甲方造成的损失，并应在其后1</w:t>
      </w:r>
      <w:r>
        <w:rPr>
          <w:rFonts w:hint="default" w:ascii="Times New Roman" w:hAnsi="宋体" w:eastAsia="宋体" w:cs="Times New Roman"/>
          <w:color w:val="auto"/>
          <w:szCs w:val="24"/>
        </w:rPr>
        <w:t xml:space="preserve">5</w:t>
      </w:r>
      <w:r>
        <w:rPr>
          <w:rFonts w:hint="eastAsia" w:ascii="Times New Roman" w:hAnsi="宋体" w:eastAsia="宋体" w:cs="Times New Roman"/>
          <w:color w:val="auto"/>
          <w:szCs w:val="24"/>
        </w:rPr>
        <w:t xml:space="preserve">个工作日内对该不可抗力事件的发生及其持续时间提供有关机构出具的适当证明。在取得有关机构证明后，甲方允许乙方延期履行、部分履行或不履行合同，并根据情况可部分或全部免除乙方应承担的违约责任。</w:t>
      </w:r>
      <w:bookmarkEnd w:id="128"/>
      <w:r/>
      <w:r/>
    </w:p>
    <w:p>
      <w:pPr>
        <w:spacing w:line="360" w:lineRule="auto"/>
        <w:tabs>
          <w:tab w:val="left" w:pos="420" w:leader="none"/>
        </w:tabs>
        <w:rPr>
          <w:rFonts w:hint="default" w:ascii="Times New Roman" w:hAnsi="宋体" w:eastAsia="宋体" w:cs="Times New Roman"/>
          <w:color w:val="auto"/>
          <w:szCs w:val="24"/>
        </w:rPr>
      </w:pPr>
      <w:r>
        <w:rPr>
          <w:rFonts w:hint="eastAsia" w:ascii="Times New Roman" w:hAnsi="宋体" w:eastAsia="宋体" w:cs="Times New Roman"/>
          <w:color w:val="auto"/>
          <w:szCs w:val="24"/>
        </w:rPr>
        <w:t xml:space="preserve">八、保密条款</w:t>
      </w:r>
      <w:r/>
    </w:p>
    <w:p>
      <w:pPr>
        <w:ind w:firstLine="420"/>
        <w:spacing w:line="360" w:lineRule="auto"/>
        <w:rPr>
          <w:rFonts w:hint="default" w:ascii="Times New Roman" w:hAnsi="宋体" w:eastAsia="宋体" w:cs="Times New Roman"/>
          <w:color w:val="auto"/>
          <w:szCs w:val="24"/>
        </w:rPr>
      </w:pPr>
      <w:r>
        <w:rPr>
          <w:rFonts w:hint="eastAsia" w:ascii="Times New Roman" w:hAnsi="宋体" w:eastAsia="宋体" w:cs="Times New Roman"/>
          <w:color w:val="auto"/>
          <w:szCs w:val="24"/>
        </w:rPr>
        <w:t xml:space="preserve">1、双方及其雇员对于本协议的签订、本协议的内容、本协议的履行以及因履行本协议而获知的甲方的技术、商务、管理（及甲方患者的）等相关信息应承担保密义务。未经甲方书面同意，不得向任何第三方泄露。法律、行政法规另有规定者除外。</w:t>
      </w:r>
      <w:r/>
    </w:p>
    <w:p>
      <w:pPr>
        <w:ind w:firstLine="420"/>
        <w:spacing w:line="360" w:lineRule="auto"/>
        <w:rPr>
          <w:rFonts w:hint="default" w:ascii="Times New Roman" w:hAnsi="宋体" w:eastAsia="宋体" w:cs="Times New Roman"/>
          <w:color w:val="auto"/>
          <w:szCs w:val="24"/>
        </w:rPr>
      </w:pPr>
      <w:r>
        <w:rPr>
          <w:rFonts w:hint="eastAsia" w:ascii="Times New Roman" w:hAnsi="宋体" w:eastAsia="宋体" w:cs="Times New Roman"/>
          <w:color w:val="auto"/>
          <w:szCs w:val="24"/>
        </w:rPr>
        <w:t xml:space="preserve">2、双方应确保己方人员遵守本条约定保密义务，否则由此产生的一切后果由违约方承担责任。</w:t>
      </w:r>
      <w:r/>
    </w:p>
    <w:p>
      <w:pPr>
        <w:ind w:firstLine="420"/>
        <w:spacing w:line="360" w:lineRule="auto"/>
        <w:rPr>
          <w:rFonts w:hint="default" w:ascii="Times New Roman" w:hAnsi="宋体" w:eastAsia="宋体" w:cs="Times New Roman"/>
          <w:color w:val="auto"/>
          <w:szCs w:val="24"/>
        </w:rPr>
      </w:pPr>
      <w:r>
        <w:rPr>
          <w:rFonts w:hint="eastAsia" w:ascii="Times New Roman" w:hAnsi="宋体" w:eastAsia="宋体" w:cs="Times New Roman"/>
          <w:color w:val="auto"/>
          <w:szCs w:val="24"/>
        </w:rPr>
        <w:t xml:space="preserve">3、本条约定在本协议解除、终止或被认为无效后仍然有效。</w:t>
      </w:r>
      <w:r/>
    </w:p>
    <w:p>
      <w:pPr>
        <w:spacing w:line="360" w:lineRule="auto"/>
        <w:rPr>
          <w:rFonts w:hint="default" w:ascii="Times New Roman" w:hAnsi="宋体" w:eastAsia="宋体" w:cs="Times New Roman"/>
          <w:color w:val="auto"/>
          <w:szCs w:val="24"/>
        </w:rPr>
      </w:pPr>
      <w:r/>
      <w:bookmarkStart w:id="129" w:name="_Hlk184062533"/>
      <w:r>
        <w:rPr>
          <w:rFonts w:hint="eastAsia" w:ascii="宋体" w:hAnsi="宋体" w:eastAsia="宋体" w:cs="Times New Roman"/>
          <w:color w:val="auto"/>
          <w:szCs w:val="21"/>
        </w:rPr>
        <w:t xml:space="preserve">九、</w:t>
      </w:r>
      <w:r>
        <w:rPr>
          <w:rFonts w:hint="eastAsia" w:ascii="Times New Roman" w:hAnsi="宋体" w:eastAsia="宋体" w:cs="Times New Roman"/>
          <w:color w:val="auto"/>
          <w:szCs w:val="24"/>
        </w:rPr>
        <w:t xml:space="preserve">廉洁条款</w:t>
      </w:r>
      <w:r/>
    </w:p>
    <w:p>
      <w:pPr>
        <w:ind w:firstLine="420"/>
        <w:spacing w:line="360" w:lineRule="auto"/>
        <w:rPr>
          <w:rFonts w:hint="eastAsia" w:ascii="Times New Roman" w:hAnsi="宋体" w:eastAsia="宋体" w:cs="Times New Roman"/>
          <w:color w:val="auto"/>
          <w:szCs w:val="24"/>
        </w:rPr>
      </w:pPr>
      <w:r>
        <w:rPr>
          <w:rFonts w:hint="eastAsia" w:ascii="Times New Roman" w:hAnsi="宋体" w:eastAsia="宋体" w:cs="Times New Roman"/>
          <w:color w:val="auto"/>
          <w:szCs w:val="24"/>
        </w:rPr>
        <w:t xml:space="preserve">甲乙双方须遵守《南京市第一医院医药产品购销廉洁合约》，合约内容如下：</w:t>
      </w:r>
      <w:r/>
    </w:p>
    <w:p>
      <w:pPr>
        <w:ind w:firstLine="420"/>
        <w:spacing w:line="360" w:lineRule="auto"/>
        <w:rPr>
          <w:rFonts w:hint="eastAsia" w:ascii="Times New Roman" w:hAnsi="宋体" w:eastAsia="宋体" w:cs="Times New Roman"/>
          <w:color w:val="auto"/>
          <w:szCs w:val="24"/>
        </w:rPr>
      </w:pPr>
      <w:r>
        <w:rPr>
          <w:rFonts w:hint="eastAsia" w:ascii="Times New Roman" w:hAnsi="宋体" w:eastAsia="宋体" w:cs="Times New Roman"/>
          <w:color w:val="auto"/>
          <w:szCs w:val="24"/>
        </w:rPr>
        <w:t xml:space="preserve">为进一步加强医疗卫生行风建设，规范医疗卫生机构医药购销行为，有效防范商业贿赂行为，营造公平交易、诚实守信的购销环境，经甲、乙双方协商，同意签订本合约，并共同遵守：</w:t>
      </w:r>
      <w:r/>
    </w:p>
    <w:p>
      <w:pPr>
        <w:ind w:firstLine="420"/>
        <w:spacing w:line="360" w:lineRule="auto"/>
        <w:rPr>
          <w:rFonts w:hint="eastAsia" w:ascii="Times New Roman" w:hAnsi="宋体" w:eastAsia="宋体" w:cs="Times New Roman"/>
          <w:color w:val="auto"/>
          <w:szCs w:val="24"/>
        </w:rPr>
      </w:pPr>
      <w:r>
        <w:rPr>
          <w:rFonts w:hint="eastAsia" w:ascii="Times New Roman" w:hAnsi="宋体" w:eastAsia="宋体" w:cs="Times New Roman"/>
          <w:color w:val="auto"/>
          <w:szCs w:val="24"/>
        </w:rPr>
        <w:t xml:space="preserve">1、甲乙双方按照《民法典》及医药产品购销合同约定购销药品、医用设备、医用耗材等医药产品。</w:t>
      </w:r>
      <w:r/>
    </w:p>
    <w:p>
      <w:pPr>
        <w:ind w:firstLine="420"/>
        <w:spacing w:line="360" w:lineRule="auto"/>
        <w:rPr>
          <w:rFonts w:hint="eastAsia" w:ascii="Times New Roman" w:hAnsi="宋体" w:eastAsia="宋体" w:cs="Times New Roman"/>
          <w:color w:val="auto"/>
          <w:szCs w:val="24"/>
        </w:rPr>
      </w:pPr>
      <w:r>
        <w:rPr>
          <w:rFonts w:hint="eastAsia" w:ascii="Times New Roman" w:hAnsi="宋体" w:eastAsia="宋体" w:cs="Times New Roman"/>
          <w:color w:val="auto"/>
          <w:szCs w:val="24"/>
        </w:rPr>
        <w:t xml:space="preserve">2、甲乙双方应当严格执行医药产品购销合同验收、入库制度，对采购医药产品及发票进行查验，不得违反有关规定合同外采购供应、违价采购供应或从非规定渠道采购供应。 </w:t>
      </w:r>
      <w:r/>
    </w:p>
    <w:p>
      <w:pPr>
        <w:ind w:firstLine="420"/>
        <w:spacing w:line="360" w:lineRule="auto"/>
        <w:rPr>
          <w:rFonts w:hint="eastAsia" w:ascii="Times New Roman" w:hAnsi="宋体" w:eastAsia="宋体" w:cs="Times New Roman"/>
          <w:color w:val="auto"/>
          <w:szCs w:val="24"/>
        </w:rPr>
      </w:pPr>
      <w:r>
        <w:rPr>
          <w:rFonts w:hint="eastAsia" w:ascii="Times New Roman" w:hAnsi="宋体" w:eastAsia="宋体" w:cs="Times New Roman"/>
          <w:color w:val="auto"/>
          <w:szCs w:val="24"/>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20"/>
        <w:spacing w:line="360" w:lineRule="auto"/>
        <w:rPr>
          <w:rFonts w:hint="eastAsia" w:ascii="Times New Roman" w:hAnsi="宋体" w:eastAsia="宋体" w:cs="Times New Roman"/>
          <w:color w:val="auto"/>
          <w:szCs w:val="24"/>
        </w:rPr>
      </w:pPr>
      <w:r>
        <w:rPr>
          <w:rFonts w:hint="eastAsia" w:ascii="Times New Roman" w:hAnsi="宋体" w:eastAsia="宋体" w:cs="Times New Roman"/>
          <w:color w:val="auto"/>
          <w:szCs w:val="24"/>
        </w:rPr>
        <w:t xml:space="preserve">4、严禁甲方工作人员利用任何途径和方式，为乙方统计医师个人及临床科室有关医药产品用量信息，或为乙方统计提供便利。</w:t>
      </w:r>
      <w:r/>
    </w:p>
    <w:p>
      <w:pPr>
        <w:ind w:firstLine="420"/>
        <w:spacing w:line="360" w:lineRule="auto"/>
        <w:rPr>
          <w:rFonts w:hint="eastAsia" w:ascii="Times New Roman" w:hAnsi="宋体" w:eastAsia="宋体" w:cs="Times New Roman"/>
          <w:color w:val="auto"/>
          <w:szCs w:val="24"/>
        </w:rPr>
      </w:pPr>
      <w:r>
        <w:rPr>
          <w:rFonts w:hint="eastAsia" w:ascii="Times New Roman" w:hAnsi="宋体" w:eastAsia="宋体" w:cs="Times New Roman"/>
          <w:color w:val="auto"/>
          <w:szCs w:val="24"/>
        </w:rPr>
        <w:t xml:space="preserve">5、乙方不得以回扣、宴请等方式影响甲方工作人员采购或使用医药产品的选择权，乙方不得组织甲方参加旅游、娱乐、宴请等非公务活动。</w:t>
      </w:r>
      <w:r/>
    </w:p>
    <w:p>
      <w:pPr>
        <w:ind w:firstLine="420"/>
        <w:spacing w:line="360" w:lineRule="auto"/>
        <w:rPr>
          <w:rFonts w:hint="eastAsia" w:ascii="Times New Roman" w:hAnsi="宋体" w:eastAsia="宋体" w:cs="Times New Roman"/>
          <w:color w:val="auto"/>
          <w:szCs w:val="24"/>
        </w:rPr>
      </w:pPr>
      <w:r>
        <w:rPr>
          <w:rFonts w:hint="eastAsia" w:ascii="Times New Roman" w:hAnsi="宋体" w:eastAsia="宋体" w:cs="Times New Roman"/>
          <w:color w:val="auto"/>
          <w:szCs w:val="24"/>
        </w:rPr>
        <w:t xml:space="preserve">6、乙方指定销售代表必须在工作时间到甲方指定地点联系商谈，不得到住院部、门诊部、医技科室等推销医药产品，不得借故到甲方相关领导、部门负责人及相关工作人员家中访谈并提供任何好处费。</w:t>
      </w:r>
      <w:r/>
    </w:p>
    <w:p>
      <w:pPr>
        <w:ind w:firstLine="420"/>
        <w:spacing w:line="360" w:lineRule="auto"/>
        <w:rPr>
          <w:rFonts w:hint="eastAsia" w:ascii="Times New Roman" w:hAnsi="宋体" w:eastAsia="宋体" w:cs="Times New Roman"/>
          <w:color w:val="auto"/>
          <w:szCs w:val="24"/>
        </w:rPr>
      </w:pPr>
      <w:r>
        <w:rPr>
          <w:rFonts w:hint="eastAsia" w:ascii="Times New Roman" w:hAnsi="宋体" w:eastAsia="宋体" w:cs="Times New Roman"/>
          <w:color w:val="auto"/>
          <w:szCs w:val="24"/>
        </w:rPr>
        <w:t xml:space="preserve">7、乙方如违反本合约，一经发现，甲方有权终止购销合同，并向有关上级主管部门报告。如乙方被列入商业贿赂不良记录，则严格按照国家相关规定处理。</w:t>
      </w:r>
      <w:r/>
    </w:p>
    <w:p>
      <w:pPr>
        <w:ind w:firstLine="420"/>
        <w:spacing w:line="360" w:lineRule="auto"/>
        <w:rPr>
          <w:rFonts w:hint="eastAsia" w:ascii="Times New Roman" w:hAnsi="宋体" w:eastAsia="宋体" w:cs="Times New Roman"/>
          <w:color w:val="auto"/>
          <w:szCs w:val="24"/>
        </w:rPr>
      </w:pPr>
      <w:r>
        <w:rPr>
          <w:rFonts w:hint="eastAsia" w:ascii="Times New Roman" w:hAnsi="宋体" w:eastAsia="宋体" w:cs="Times New Roman"/>
          <w:color w:val="auto"/>
          <w:szCs w:val="24"/>
        </w:rPr>
        <w:t xml:space="preserve">8、本合约作为医药产品购销合同的重要组成部分，与购销合同一并执行，具有同等的法律效力。</w:t>
      </w:r>
      <w:r/>
    </w:p>
    <w:p>
      <w:pPr>
        <w:ind w:firstLine="420"/>
        <w:spacing w:line="360" w:lineRule="auto"/>
        <w:rPr>
          <w:rFonts w:hint="eastAsia" w:ascii="Times New Roman" w:hAnsi="宋体" w:eastAsia="宋体" w:cs="Times New Roman"/>
          <w:color w:val="auto"/>
          <w:szCs w:val="24"/>
        </w:rPr>
      </w:pPr>
      <w:r>
        <w:rPr>
          <w:rFonts w:hint="eastAsia" w:ascii="Times New Roman" w:hAnsi="宋体" w:eastAsia="宋体" w:cs="Times New Roman"/>
          <w:color w:val="auto"/>
          <w:szCs w:val="24"/>
        </w:rPr>
        <w:t xml:space="preserve">9、本条例</w:t>
      </w:r>
      <w:r>
        <w:rPr>
          <w:rFonts w:hint="eastAsia" w:ascii="Times New Roman" w:hAnsi="宋体" w:eastAsia="宋体" w:cs="Times New Roman"/>
          <w:color w:val="auto"/>
          <w:szCs w:val="24"/>
          <w:lang w:val="en-US" w:eastAsia="zh-CN"/>
        </w:rPr>
        <w:t xml:space="preserve">由</w:t>
      </w:r>
      <w:r>
        <w:rPr>
          <w:rFonts w:hint="eastAsia" w:ascii="Times New Roman" w:hAnsi="宋体" w:eastAsia="宋体" w:cs="Times New Roman"/>
          <w:color w:val="auto"/>
          <w:szCs w:val="24"/>
        </w:rPr>
        <w:t xml:space="preserve">南京市第一医院负责解释。</w:t>
      </w:r>
      <w:bookmarkEnd w:id="129"/>
      <w:r/>
      <w:r/>
    </w:p>
    <w:p>
      <w:pPr>
        <w:spacing w:line="360" w:lineRule="auto"/>
        <w:rPr>
          <w:rFonts w:hint="default" w:ascii="Times New Roman" w:hAnsi="Times New Roman" w:eastAsia="宋体" w:cs="Times New Roman"/>
          <w:color w:val="auto"/>
          <w:szCs w:val="21"/>
        </w:rPr>
      </w:pPr>
      <w:r/>
      <w:bookmarkStart w:id="130" w:name="_Hlk184062763"/>
      <w:r>
        <w:rPr>
          <w:rFonts w:hint="eastAsia" w:ascii="Times New Roman" w:hAnsi="Times New Roman" w:eastAsia="宋体" w:cs="Times New Roman"/>
          <w:color w:val="auto"/>
          <w:szCs w:val="21"/>
        </w:rPr>
        <w:t xml:space="preserve">十、争议解决：因本合同签订以及履行过程所产生的任何纠纷，双方友好协商解决，未能协商一致的，可至甲方所在地有管辖权的法院起诉。</w:t>
      </w:r>
      <w:bookmarkEnd w:id="130"/>
      <w:r/>
      <w:r/>
    </w:p>
    <w:p>
      <w:pPr>
        <w:spacing w:line="360" w:lineRule="auto"/>
        <w:rPr>
          <w:rFonts w:hint="default" w:ascii="Times New Roman" w:hAnsi="宋体" w:eastAsia="宋体" w:cs="Times New Roman"/>
          <w:color w:val="auto"/>
          <w:szCs w:val="24"/>
        </w:rPr>
      </w:pPr>
      <w:r/>
      <w:bookmarkStart w:id="131" w:name="_Hlk100650549"/>
      <w:r>
        <w:rPr>
          <w:rFonts w:hint="eastAsia" w:ascii="Times New Roman" w:hAnsi="宋体" w:eastAsia="宋体" w:cs="Times New Roman"/>
          <w:color w:val="auto"/>
          <w:szCs w:val="24"/>
        </w:rPr>
        <w:t xml:space="preserve">十一、合同的解除条款</w:t>
      </w:r>
      <w:r/>
    </w:p>
    <w:p>
      <w:pPr>
        <w:ind w:firstLine="420"/>
        <w:spacing w:line="360" w:lineRule="auto"/>
        <w:rPr>
          <w:rFonts w:hint="default" w:ascii="Times New Roman" w:hAnsi="宋体" w:eastAsia="宋体" w:cs="Times New Roman"/>
          <w:color w:val="auto"/>
          <w:szCs w:val="24"/>
        </w:rPr>
      </w:pPr>
      <w:r>
        <w:rPr>
          <w:rFonts w:hint="eastAsia" w:ascii="Times New Roman" w:hAnsi="宋体" w:eastAsia="宋体" w:cs="Times New Roman"/>
          <w:color w:val="auto"/>
          <w:szCs w:val="24"/>
        </w:rPr>
        <w:t xml:space="preserve">本合同第九条下解约事由与法定解约事由出现后，解约方有权提前三个工作日书面通知对方解约，自通知送达之日起，本合同解除。</w:t>
      </w:r>
      <w:bookmarkEnd w:id="131"/>
      <w:r/>
      <w:r/>
    </w:p>
    <w:p>
      <w:pPr>
        <w:spacing w:line="360" w:lineRule="auto"/>
        <w:rPr>
          <w:rFonts w:hint="default" w:ascii="Times New Roman" w:hAnsi="宋体" w:eastAsia="宋体" w:cs="Times New Roman"/>
          <w:color w:val="auto"/>
          <w:szCs w:val="24"/>
        </w:rPr>
      </w:pPr>
      <w:r>
        <w:rPr>
          <w:rFonts w:hint="eastAsia" w:ascii="Times New Roman" w:hAnsi="宋体" w:eastAsia="宋体" w:cs="Times New Roman"/>
          <w:color w:val="auto"/>
          <w:szCs w:val="24"/>
        </w:rPr>
        <w:t xml:space="preserve">十二、其他条款</w:t>
      </w:r>
      <w:r/>
    </w:p>
    <w:p>
      <w:pPr>
        <w:ind w:firstLine="420"/>
        <w:spacing w:line="360" w:lineRule="auto"/>
        <w:rPr>
          <w:rFonts w:hint="default" w:ascii="Times New Roman" w:hAnsi="宋体" w:eastAsia="宋体" w:cs="Times New Roman"/>
          <w:color w:val="auto"/>
          <w:szCs w:val="24"/>
        </w:rPr>
      </w:pPr>
      <w:r/>
      <w:bookmarkStart w:id="132" w:name="_Hlk100650600"/>
      <w:r>
        <w:rPr>
          <w:rFonts w:hint="eastAsia" w:ascii="Times New Roman" w:hAnsi="宋体" w:eastAsia="宋体" w:cs="Times New Roman"/>
          <w:color w:val="auto"/>
          <w:szCs w:val="24"/>
        </w:rPr>
        <w:t xml:space="preserve">1、本项目招标文件、投标文件、合同及其附件、其他承诺为本项目不可分割的组成部分，具有同等法律效力。</w:t>
      </w:r>
      <w:bookmarkEnd w:id="132"/>
      <w:r/>
      <w:r/>
    </w:p>
    <w:p>
      <w:pPr>
        <w:ind w:firstLine="420"/>
        <w:spacing w:line="360" w:lineRule="auto"/>
        <w:rPr>
          <w:rFonts w:hint="default" w:ascii="Times New Roman" w:hAnsi="宋体" w:eastAsia="宋体" w:cs="Times New Roman"/>
          <w:color w:val="auto"/>
          <w:szCs w:val="24"/>
        </w:rPr>
      </w:pPr>
      <w:r>
        <w:rPr>
          <w:rFonts w:hint="eastAsia" w:ascii="Times New Roman" w:hAnsi="宋体" w:eastAsia="宋体" w:cs="Times New Roman"/>
          <w:color w:val="auto"/>
          <w:szCs w:val="24"/>
        </w:rPr>
        <w:t xml:space="preserve">2、本合同一式肆份，甲方执叁份，乙方执壹份，经双方签字盖章并加盖骑缝章后生效，未经事宜双方协商解决。</w:t>
      </w:r>
      <w:r/>
    </w:p>
    <w:p>
      <w:pPr>
        <w:ind w:firstLine="420"/>
        <w:spacing w:line="380" w:lineRule="exact"/>
        <w:rPr>
          <w:rFonts w:hint="default" w:ascii="Times New Roman" w:hAnsi="宋体" w:eastAsia="宋体" w:cs="Times New Roman"/>
          <w:color w:val="auto"/>
          <w:szCs w:val="24"/>
        </w:rPr>
      </w:pPr>
      <w:r/>
      <w:bookmarkStart w:id="133" w:name="_Hlk100650618"/>
      <w:r>
        <w:rPr>
          <w:rFonts w:hint="eastAsia" w:ascii="Times New Roman" w:hAnsi="宋体" w:eastAsia="宋体" w:cs="Times New Roman"/>
          <w:color w:val="auto"/>
          <w:szCs w:val="24"/>
        </w:rPr>
        <w:t xml:space="preserve">3、本合同适用的语言文字为汉语文字，本合同适用法律法规为中华人民共和国及其区域内相关法律法规，本合同条款解释语言以中文为准。</w:t>
      </w:r>
      <w:bookmarkEnd w:id="133"/>
      <w:r/>
      <w:r/>
    </w:p>
    <w:p>
      <w:pPr>
        <w:spacing w:line="360" w:lineRule="auto"/>
        <w:rPr>
          <w:rFonts w:hint="default" w:ascii="Times New Roman" w:hAnsi="Times New Roman" w:eastAsia="宋体" w:cs="Times New Roman"/>
          <w:color w:val="auto"/>
          <w:szCs w:val="21"/>
        </w:rPr>
      </w:pPr>
      <w:r>
        <w:rPr>
          <w:rFonts w:hint="eastAsia" w:ascii="Times New Roman" w:hAnsi="Times New Roman" w:eastAsia="宋体" w:cs="Times New Roman"/>
          <w:color w:val="auto"/>
          <w:szCs w:val="21"/>
        </w:rPr>
        <w:t xml:space="preserve">甲方：</w:t>
      </w:r>
      <w:r>
        <w:rPr>
          <w:rFonts w:hint="eastAsia" w:ascii="Times New Roman" w:hAnsi="Times New Roman" w:eastAsia="宋体" w:cs="Times New Roman"/>
          <w:color w:val="auto"/>
          <w:szCs w:val="21"/>
          <w:u w:val="single"/>
        </w:rPr>
        <w:t xml:space="preserve">     </w:t>
      </w:r>
      <w:r>
        <w:rPr>
          <w:rFonts w:hint="eastAsia" w:ascii="Times New Roman" w:hAnsi="宋体" w:eastAsia="宋体" w:cs="Times New Roman"/>
          <w:color w:val="auto"/>
          <w:szCs w:val="24"/>
          <w:u w:val="single"/>
        </w:rPr>
        <w:t xml:space="preserve"> 南京市第一医院</w:t>
      </w:r>
      <w:r>
        <w:rPr>
          <w:rFonts w:hint="eastAsia" w:ascii="Times New Roman" w:hAnsi="Times New Roman" w:eastAsia="宋体" w:cs="Times New Roman"/>
          <w:color w:val="auto"/>
          <w:szCs w:val="21"/>
          <w:u w:val="single"/>
        </w:rPr>
        <w:t xml:space="preserve">     </w:t>
      </w:r>
      <w:r>
        <w:rPr>
          <w:rFonts w:hint="eastAsia" w:ascii="Times New Roman" w:hAnsi="Times New Roman" w:eastAsia="宋体" w:cs="Times New Roman"/>
          <w:color w:val="auto"/>
          <w:szCs w:val="21"/>
        </w:rPr>
        <w:t xml:space="preserve">（盖章）</w:t>
      </w:r>
      <w:r>
        <w:rPr>
          <w:rFonts w:hint="default" w:ascii="Times New Roman" w:hAnsi="Times New Roman" w:eastAsia="宋体" w:cs="Times New Roman"/>
          <w:color w:val="auto"/>
          <w:szCs w:val="21"/>
        </w:rPr>
        <w:t xml:space="preserve">      </w:t>
      </w:r>
      <w:r>
        <w:rPr>
          <w:rFonts w:hint="eastAsia" w:ascii="Times New Roman" w:hAnsi="Times New Roman" w:eastAsia="宋体" w:cs="Times New Roman"/>
          <w:color w:val="auto"/>
          <w:szCs w:val="21"/>
          <w:lang w:val="en-US" w:eastAsia="zh-CN"/>
        </w:rPr>
        <w:t xml:space="preserve"> 乙方</w:t>
      </w:r>
      <w:r>
        <w:rPr>
          <w:rFonts w:hint="eastAsia" w:ascii="Times New Roman" w:hAnsi="Times New Roman" w:eastAsia="宋体" w:cs="Times New Roman"/>
          <w:color w:val="auto"/>
          <w:szCs w:val="21"/>
        </w:rPr>
        <w:t xml:space="preserve">：</w:t>
      </w:r>
      <w:r>
        <w:rPr>
          <w:rFonts w:hint="eastAsia" w:ascii="楷体_GB2312" w:hAnsi="Times New Roman" w:eastAsia="楷体_GB2312" w:cs="Times New Roman"/>
          <w:color w:val="auto"/>
          <w:szCs w:val="21"/>
          <w:u w:val="single"/>
        </w:rPr>
        <w:t xml:space="preserve"> </w:t>
      </w:r>
      <w:r>
        <w:rPr>
          <w:rFonts w:hint="default" w:ascii="楷体_GB2312" w:hAnsi="Times New Roman" w:eastAsia="楷体_GB2312" w:cs="Times New Roman"/>
          <w:color w:val="auto"/>
          <w:szCs w:val="21"/>
          <w:u w:val="single"/>
        </w:rPr>
        <w:t xml:space="preserve">            </w:t>
      </w:r>
      <w:r>
        <w:rPr>
          <w:rFonts w:hint="eastAsia" w:ascii="Times New Roman" w:hAnsi="Times New Roman" w:eastAsia="宋体" w:cs="Times New Roman"/>
          <w:color w:val="auto"/>
          <w:szCs w:val="24"/>
          <w:u w:val="single"/>
        </w:rPr>
        <w:t xml:space="preserve"> </w:t>
      </w:r>
      <w:r>
        <w:rPr>
          <w:rFonts w:hint="eastAsia" w:ascii="Times New Roman" w:hAnsi="Times New Roman" w:eastAsia="宋体" w:cs="Times New Roman"/>
          <w:color w:val="auto"/>
          <w:szCs w:val="21"/>
        </w:rPr>
        <w:t xml:space="preserve">（盖章）</w:t>
      </w:r>
      <w:r/>
    </w:p>
    <w:p>
      <w:pPr>
        <w:spacing w:line="360" w:lineRule="auto"/>
        <w:rPr>
          <w:rFonts w:hint="default" w:ascii="Times New Roman" w:hAnsi="Times New Roman" w:eastAsia="宋体" w:cs="Times New Roman"/>
          <w:color w:val="auto"/>
          <w:szCs w:val="21"/>
        </w:rPr>
      </w:pPr>
      <w:r>
        <w:rPr>
          <w:rFonts w:hint="eastAsia" w:ascii="Times New Roman" w:hAnsi="Times New Roman" w:eastAsia="宋体" w:cs="Times New Roman"/>
          <w:color w:val="auto"/>
          <w:szCs w:val="21"/>
        </w:rPr>
        <w:t xml:space="preserve">地址：</w:t>
      </w:r>
      <w:r>
        <w:rPr>
          <w:rFonts w:hint="eastAsia" w:ascii="楷体_GB2312" w:hAnsi="Times New Roman" w:eastAsia="楷体_GB2312" w:cs="Times New Roman"/>
          <w:color w:val="auto"/>
          <w:szCs w:val="21"/>
          <w:u w:val="single"/>
        </w:rPr>
        <w:t xml:space="preserve">  </w:t>
      </w:r>
      <w:r>
        <w:rPr>
          <w:rFonts w:hint="eastAsia" w:ascii="Times New Roman" w:hAnsi="宋体" w:eastAsia="宋体" w:cs="Times New Roman"/>
          <w:color w:val="auto"/>
          <w:szCs w:val="24"/>
          <w:u w:val="single"/>
        </w:rPr>
        <w:t xml:space="preserve">南京市秦淮区长乐路6</w:t>
      </w:r>
      <w:r>
        <w:rPr>
          <w:rFonts w:hint="default" w:ascii="Times New Roman" w:hAnsi="宋体" w:eastAsia="宋体" w:cs="Times New Roman"/>
          <w:color w:val="auto"/>
          <w:szCs w:val="24"/>
          <w:u w:val="single"/>
        </w:rPr>
        <w:t xml:space="preserve">8</w:t>
      </w:r>
      <w:r>
        <w:rPr>
          <w:rFonts w:hint="eastAsia" w:ascii="Times New Roman" w:hAnsi="宋体" w:eastAsia="宋体" w:cs="Times New Roman"/>
          <w:color w:val="auto"/>
          <w:szCs w:val="24"/>
          <w:u w:val="single"/>
        </w:rPr>
        <w:t xml:space="preserve">号</w:t>
      </w:r>
      <w:r>
        <w:rPr>
          <w:rFonts w:hint="eastAsia" w:ascii="Times New Roman" w:hAnsi="Times New Roman" w:eastAsia="宋体" w:cs="Times New Roman"/>
          <w:color w:val="auto"/>
          <w:szCs w:val="21"/>
          <w:u w:val="single"/>
        </w:rPr>
        <w:t xml:space="preserve"> </w:t>
      </w:r>
      <w:r>
        <w:rPr>
          <w:rFonts w:hint="default" w:ascii="Times New Roman" w:hAnsi="Times New Roman" w:eastAsia="宋体" w:cs="Times New Roman"/>
          <w:color w:val="auto"/>
          <w:szCs w:val="21"/>
        </w:rPr>
        <w:t xml:space="preserve">   </w:t>
      </w:r>
      <w:r>
        <w:rPr>
          <w:rFonts w:hint="eastAsia" w:ascii="Times New Roman" w:hAnsi="Times New Roman" w:eastAsia="宋体" w:cs="Times New Roman"/>
          <w:color w:val="auto"/>
          <w:szCs w:val="21"/>
        </w:rPr>
        <w:t xml:space="preserve">         </w:t>
      </w:r>
      <w:r>
        <w:rPr>
          <w:rFonts w:hint="default" w:ascii="Times New Roman" w:hAnsi="Times New Roman" w:eastAsia="宋体" w:cs="Times New Roman"/>
          <w:color w:val="auto"/>
          <w:szCs w:val="21"/>
        </w:rPr>
        <w:t xml:space="preserve">  </w:t>
      </w:r>
      <w:r>
        <w:rPr>
          <w:rFonts w:hint="eastAsia" w:ascii="Times New Roman" w:hAnsi="Times New Roman" w:eastAsia="宋体" w:cs="Times New Roman"/>
          <w:color w:val="auto"/>
          <w:szCs w:val="21"/>
          <w:lang w:val="en-US" w:eastAsia="zh-CN"/>
        </w:rPr>
        <w:t xml:space="preserve">地址</w:t>
      </w:r>
      <w:r>
        <w:rPr>
          <w:rFonts w:hint="eastAsia" w:ascii="Times New Roman" w:hAnsi="Times New Roman" w:eastAsia="宋体" w:cs="Times New Roman"/>
          <w:color w:val="auto"/>
          <w:szCs w:val="21"/>
        </w:rPr>
        <w:t xml:space="preserve">：</w:t>
      </w:r>
      <w:r>
        <w:rPr>
          <w:rFonts w:hint="eastAsia" w:ascii="楷体_GB2312" w:hAnsi="Times New Roman" w:eastAsia="楷体_GB2312" w:cs="Times New Roman"/>
          <w:color w:val="auto"/>
          <w:szCs w:val="21"/>
          <w:u w:val="single"/>
        </w:rPr>
        <w:t xml:space="preserve"> </w:t>
      </w:r>
      <w:r>
        <w:rPr>
          <w:rFonts w:hint="default" w:ascii="楷体_GB2312" w:hAnsi="Times New Roman" w:eastAsia="楷体_GB2312" w:cs="Times New Roman"/>
          <w:color w:val="auto"/>
          <w:szCs w:val="21"/>
          <w:u w:val="single"/>
        </w:rPr>
        <w:t xml:space="preserve">                   </w:t>
      </w:r>
      <w:r>
        <w:rPr>
          <w:rFonts w:hint="eastAsia" w:ascii="楷体_GB2312" w:hAnsi="Times New Roman" w:eastAsia="楷体_GB2312" w:cs="Times New Roman"/>
          <w:color w:val="auto"/>
          <w:szCs w:val="21"/>
          <w:u w:val="single"/>
        </w:rPr>
        <w:t xml:space="preserve"> </w:t>
      </w:r>
      <w:r>
        <w:rPr>
          <w:rFonts w:hint="eastAsia" w:ascii="Times New Roman" w:hAnsi="Times New Roman" w:eastAsia="宋体" w:cs="Times New Roman"/>
          <w:color w:val="auto"/>
          <w:sz w:val="18"/>
          <w:szCs w:val="18"/>
          <w:u w:val="single"/>
        </w:rPr>
        <w:t xml:space="preserve"> </w:t>
      </w:r>
      <w:r/>
    </w:p>
    <w:p>
      <w:pPr>
        <w:spacing w:line="360" w:lineRule="auto"/>
        <w:rPr>
          <w:rFonts w:hint="eastAsia" w:ascii="宋体" w:hAnsi="宋体" w:eastAsia="宋体" w:cs="Times New Roman"/>
          <w:bCs/>
          <w:iCs/>
          <w:color w:val="auto"/>
          <w:sz w:val="22"/>
          <w:szCs w:val="24"/>
          <w:u w:val="single"/>
        </w:rPr>
      </w:pPr>
      <w:r>
        <w:rPr>
          <w:rFonts w:hint="eastAsia" w:ascii="Times New Roman" w:hAnsi="Times New Roman" w:eastAsia="宋体" w:cs="Times New Roman"/>
          <w:color w:val="auto"/>
          <w:szCs w:val="21"/>
        </w:rPr>
        <w:t xml:space="preserve">联系方式：</w:t>
      </w:r>
      <w:r>
        <w:rPr>
          <w:rFonts w:hint="eastAsia" w:ascii="Times New Roman" w:hAnsi="Times New Roman" w:eastAsia="宋体" w:cs="Times New Roman"/>
          <w:color w:val="auto"/>
          <w:szCs w:val="21"/>
          <w:u w:val="single"/>
        </w:rPr>
        <w:t xml:space="preserve">025-5227</w:t>
      </w:r>
      <w:r>
        <w:rPr>
          <w:rFonts w:hint="default" w:ascii="Times New Roman" w:hAnsi="Times New Roman" w:eastAsia="宋体" w:cs="Times New Roman"/>
          <w:color w:val="auto"/>
          <w:szCs w:val="21"/>
          <w:u w:val="single"/>
        </w:rPr>
        <w:t xml:space="preserve">1418</w:t>
      </w:r>
      <w:r>
        <w:rPr>
          <w:rFonts w:hint="default" w:ascii="Times New Roman" w:hAnsi="Times New Roman" w:eastAsia="宋体" w:cs="Times New Roman"/>
          <w:color w:val="auto"/>
          <w:szCs w:val="21"/>
        </w:rPr>
        <w:t xml:space="preserve">     </w:t>
      </w:r>
      <w:r>
        <w:rPr>
          <w:rFonts w:hint="eastAsia" w:ascii="Times New Roman" w:hAnsi="Times New Roman" w:eastAsia="宋体" w:cs="Times New Roman"/>
          <w:color w:val="auto"/>
          <w:szCs w:val="21"/>
        </w:rPr>
        <w:t xml:space="preserve"> </w:t>
      </w:r>
      <w:r>
        <w:rPr>
          <w:rFonts w:hint="default" w:ascii="Times New Roman" w:hAnsi="Times New Roman" w:eastAsia="宋体" w:cs="Times New Roman"/>
          <w:color w:val="auto"/>
          <w:szCs w:val="21"/>
        </w:rPr>
        <w:t xml:space="preserve">                 </w:t>
      </w:r>
      <w:r>
        <w:rPr>
          <w:rFonts w:hint="eastAsia" w:ascii="Times New Roman" w:hAnsi="Times New Roman" w:eastAsia="宋体" w:cs="Times New Roman"/>
          <w:color w:val="auto"/>
          <w:szCs w:val="21"/>
          <w:lang w:val="en-US" w:eastAsia="zh-CN"/>
        </w:rPr>
        <w:t xml:space="preserve">  联系方式</w:t>
      </w:r>
      <w:r>
        <w:rPr>
          <w:rFonts w:hint="eastAsia" w:ascii="楷体_GB2312" w:hAnsi="Times New Roman" w:eastAsia="楷体_GB2312" w:cs="Times New Roman"/>
          <w:color w:val="auto"/>
          <w:szCs w:val="21"/>
          <w:u w:val="single"/>
        </w:rPr>
        <w:t xml:space="preserve">：</w:t>
      </w:r>
      <w:r>
        <w:rPr>
          <w:rFonts w:hint="default" w:ascii="楷体_GB2312" w:hAnsi="Times New Roman" w:eastAsia="楷体_GB2312" w:cs="Times New Roman"/>
          <w:color w:val="auto"/>
          <w:szCs w:val="21"/>
          <w:u w:val="single"/>
        </w:rPr>
        <w:t xml:space="preserve">             </w:t>
      </w:r>
      <w:r/>
    </w:p>
    <w:p>
      <w:pPr>
        <w:spacing w:line="360" w:lineRule="auto"/>
        <w:rPr>
          <w:rFonts w:hint="default" w:ascii="Times New Roman" w:hAnsi="Times New Roman" w:eastAsia="宋体" w:cs="Times New Roman"/>
          <w:color w:val="auto"/>
          <w:szCs w:val="21"/>
        </w:rPr>
      </w:pPr>
      <w:r>
        <w:rPr>
          <w:rFonts w:hint="eastAsia" w:ascii="Times New Roman" w:hAnsi="Times New Roman" w:eastAsia="宋体" w:cs="Times New Roman"/>
          <w:color w:val="auto"/>
          <w:szCs w:val="21"/>
        </w:rPr>
        <w:t xml:space="preserve">甲方法定代表人</w:t>
      </w:r>
      <w:r>
        <w:rPr>
          <w:rFonts w:hint="eastAsia" w:ascii="Times New Roman" w:hAnsi="Times New Roman" w:eastAsia="宋体" w:cs="Times New Roman"/>
          <w:color w:val="auto"/>
          <w:szCs w:val="21"/>
          <w:lang w:eastAsia="zh-CN"/>
        </w:rPr>
        <w:t xml:space="preserve">：</w:t>
      </w:r>
      <w:r>
        <w:rPr>
          <w:rFonts w:hint="default" w:ascii="Times New Roman" w:hAnsi="Times New Roman" w:eastAsia="宋体" w:cs="Times New Roman"/>
          <w:color w:val="auto"/>
          <w:szCs w:val="21"/>
        </w:rPr>
        <w:t xml:space="preserve">                               </w:t>
      </w:r>
      <w:r>
        <w:rPr>
          <w:rFonts w:hint="eastAsia" w:ascii="Times New Roman" w:hAnsi="Times New Roman" w:eastAsia="宋体" w:cs="Times New Roman"/>
          <w:color w:val="auto"/>
          <w:szCs w:val="21"/>
        </w:rPr>
        <w:t xml:space="preserve">乙方法定代表人</w:t>
      </w:r>
      <w:r>
        <w:rPr>
          <w:rFonts w:hint="eastAsia" w:ascii="Times New Roman" w:hAnsi="Times New Roman" w:eastAsia="宋体" w:cs="Times New Roman"/>
          <w:color w:val="auto"/>
          <w:szCs w:val="21"/>
          <w:lang w:eastAsia="zh-CN"/>
        </w:rPr>
        <w:t xml:space="preserve">：</w:t>
      </w:r>
      <w:r>
        <w:rPr>
          <w:rFonts w:hint="default" w:ascii="Times New Roman" w:hAnsi="Times New Roman" w:eastAsia="宋体" w:cs="Times New Roman"/>
          <w:color w:val="auto"/>
          <w:szCs w:val="21"/>
        </w:rPr>
        <w:t xml:space="preserve"> </w:t>
      </w:r>
      <w:r/>
    </w:p>
    <w:p>
      <w:pPr>
        <w:spacing w:line="360" w:lineRule="auto"/>
        <w:rPr>
          <w:rFonts w:hint="default" w:ascii="Times New Roman" w:hAnsi="Times New Roman" w:eastAsia="宋体" w:cs="Times New Roman"/>
          <w:color w:val="auto"/>
          <w:szCs w:val="21"/>
        </w:rPr>
      </w:pPr>
      <w:r>
        <w:rPr>
          <w:rFonts w:hint="eastAsia" w:ascii="Times New Roman" w:hAnsi="Times New Roman" w:eastAsia="宋体" w:cs="Times New Roman"/>
          <w:color w:val="auto"/>
          <w:szCs w:val="21"/>
        </w:rPr>
        <w:t xml:space="preserve">或授权委托人：</w:t>
      </w:r>
      <w:r>
        <w:rPr>
          <w:rFonts w:hint="default" w:ascii="Times New Roman" w:hAnsi="Times New Roman" w:eastAsia="宋体" w:cs="Times New Roman"/>
          <w:color w:val="auto"/>
          <w:szCs w:val="21"/>
        </w:rPr>
        <w:t xml:space="preserve">______________________           </w:t>
      </w:r>
      <w:r>
        <w:rPr>
          <w:rFonts w:hint="eastAsia" w:ascii="Times New Roman" w:hAnsi="Times New Roman" w:eastAsia="宋体" w:cs="Times New Roman"/>
          <w:color w:val="auto"/>
          <w:szCs w:val="21"/>
        </w:rPr>
        <w:t xml:space="preserve">或授权委托人：</w:t>
      </w:r>
      <w:r>
        <w:rPr>
          <w:rFonts w:hint="default" w:ascii="Times New Roman" w:hAnsi="Times New Roman" w:eastAsia="宋体" w:cs="Times New Roman"/>
          <w:color w:val="auto"/>
          <w:szCs w:val="21"/>
        </w:rPr>
        <w:t xml:space="preserve">_____________________                                                  </w:t>
      </w:r>
      <w:r/>
    </w:p>
    <w:p>
      <w:pPr>
        <w:spacing w:line="360" w:lineRule="auto"/>
        <w:rPr>
          <w:rFonts w:hint="eastAsia" w:ascii="Times New Roman" w:hAnsi="Times New Roman" w:eastAsia="宋体" w:cs="Times New Roman"/>
          <w:color w:val="auto"/>
          <w:szCs w:val="21"/>
          <w:u w:val="single"/>
        </w:rPr>
      </w:pPr>
      <w:r>
        <w:rPr>
          <w:rFonts w:hint="eastAsia" w:ascii="Times New Roman" w:hAnsi="Times New Roman" w:eastAsia="宋体" w:cs="Times New Roman"/>
          <w:color w:val="auto"/>
          <w:szCs w:val="21"/>
        </w:rPr>
        <w:t xml:space="preserve">日期：</w:t>
      </w:r>
      <w:r>
        <w:rPr>
          <w:rFonts w:hint="default" w:ascii="Times New Roman" w:hAnsi="Times New Roman" w:eastAsia="宋体" w:cs="Times New Roman"/>
          <w:color w:val="auto"/>
          <w:szCs w:val="21"/>
        </w:rPr>
        <w:t xml:space="preserve">______________________________           </w:t>
      </w:r>
      <w:r>
        <w:rPr>
          <w:rFonts w:hint="eastAsia" w:ascii="Times New Roman" w:hAnsi="Times New Roman" w:eastAsia="宋体" w:cs="Times New Roman"/>
          <w:color w:val="auto"/>
          <w:szCs w:val="21"/>
        </w:rPr>
        <w:t xml:space="preserve">日期：</w:t>
      </w:r>
      <w:r>
        <w:rPr>
          <w:rFonts w:hint="default" w:ascii="Times New Roman" w:hAnsi="Times New Roman" w:eastAsia="宋体" w:cs="Times New Roman"/>
          <w:color w:val="auto"/>
          <w:szCs w:val="21"/>
          <w:u w:val="single"/>
        </w:rPr>
        <w:t xml:space="preserve">_                           </w:t>
      </w:r>
      <w:r/>
    </w:p>
    <w:p>
      <w:pPr>
        <w:spacing w:line="360" w:lineRule="auto"/>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r>
      <w:r/>
    </w:p>
    <w:p>
      <w:pPr>
        <w:spacing w:line="360" w:lineRule="auto"/>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r>
      <w:r/>
    </w:p>
    <w:p>
      <w:pPr>
        <w:spacing w:line="360" w:lineRule="auto"/>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r>
      <w:r/>
    </w:p>
    <w:p>
      <w:pPr>
        <w:spacing w:line="360" w:lineRule="auto"/>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r>
      <w:r/>
    </w:p>
    <w:p>
      <w:pPr>
        <w:spacing w:line="360" w:lineRule="auto"/>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r>
      <w:r/>
    </w:p>
    <w:p>
      <w:pPr>
        <w:spacing w:line="360" w:lineRule="auto"/>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t xml:space="preserve">附表</w:t>
      </w:r>
      <w:r>
        <w:rPr>
          <w:rFonts w:hint="eastAsia" w:ascii="Times New Roman" w:hAnsi="Times New Roman" w:eastAsia="宋体" w:cs="Times New Roman"/>
          <w:color w:val="auto"/>
          <w:szCs w:val="24"/>
        </w:rPr>
        <w:t xml:space="preserve">： </w:t>
      </w:r>
      <w:r>
        <w:rPr>
          <w:rFonts w:hint="default" w:ascii="Times New Roman" w:hAnsi="Times New Roman" w:eastAsia="宋体" w:cs="Times New Roman"/>
          <w:color w:val="auto"/>
          <w:szCs w:val="24"/>
        </w:rPr>
        <w:t xml:space="preserve">   </w:t>
      </w:r>
      <w:r/>
    </w:p>
    <w:p>
      <w:pPr>
        <w:spacing w:line="360" w:lineRule="auto"/>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t xml:space="preserve">（</w:t>
      </w:r>
      <w:r>
        <w:rPr>
          <w:rFonts w:hint="eastAsia" w:ascii="Times New Roman" w:hAnsi="Times New Roman" w:eastAsia="宋体" w:cs="Times New Roman"/>
          <w:color w:val="auto"/>
          <w:szCs w:val="24"/>
          <w:lang w:val="en-US" w:eastAsia="zh-CN"/>
        </w:rPr>
        <w:t xml:space="preserve">品牌：              ，</w:t>
      </w:r>
      <w:r>
        <w:rPr>
          <w:rFonts w:hint="default" w:ascii="Times New Roman" w:hAnsi="Times New Roman" w:eastAsia="宋体" w:cs="Times New Roman"/>
          <w:color w:val="auto"/>
          <w:szCs w:val="24"/>
        </w:rPr>
        <w:t xml:space="preserve">数量：</w:t>
      </w:r>
      <w:r>
        <w:rPr>
          <w:rFonts w:hint="eastAsia" w:ascii="Times New Roman" w:hAnsi="Times New Roman" w:eastAsia="宋体" w:cs="Times New Roman"/>
          <w:color w:val="auto"/>
          <w:szCs w:val="24"/>
          <w:lang w:val="en-US" w:eastAsia="zh-CN"/>
        </w:rPr>
        <w:t xml:space="preserve">  </w:t>
      </w:r>
      <w:r>
        <w:rPr>
          <w:rFonts w:hint="eastAsia" w:ascii="Times New Roman" w:hAnsi="Times New Roman" w:eastAsia="宋体" w:cs="Times New Roman"/>
          <w:color w:val="auto"/>
          <w:szCs w:val="24"/>
        </w:rPr>
        <w:t xml:space="preserve"> </w:t>
      </w:r>
      <w:r>
        <w:rPr>
          <w:rFonts w:hint="eastAsia" w:ascii="Times New Roman" w:hAnsi="Times New Roman" w:eastAsia="宋体" w:cs="Times New Roman"/>
          <w:color w:val="auto"/>
          <w:szCs w:val="24"/>
          <w:lang w:val="en-US" w:eastAsia="zh-CN"/>
        </w:rPr>
        <w:t xml:space="preserve">      </w:t>
      </w:r>
      <w:r>
        <w:rPr>
          <w:rFonts w:hint="default" w:ascii="Times New Roman" w:hAnsi="Times New Roman" w:eastAsia="宋体" w:cs="Times New Roman"/>
          <w:color w:val="auto"/>
          <w:szCs w:val="24"/>
        </w:rPr>
        <w:t xml:space="preserve"> ，设备具体型号、编号详见下表），整机保修。</w:t>
      </w:r>
      <w:r/>
    </w:p>
    <w:tbl>
      <w:tblPr>
        <w:tblStyle w:val="8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1"/>
        <w:gridCol w:w="2728"/>
        <w:gridCol w:w="2909"/>
        <w:gridCol w:w="2378"/>
      </w:tblGrid>
      <w:tr>
        <w:trPr>
          <w:jc w:val="center"/>
          <w:trHeight w:val="386"/>
        </w:trPr>
        <w:tc>
          <w:tcPr>
            <w:tcW w:w="1041" w:type="dxa"/>
            <w:vAlign w:val="center"/>
            <w:textDirection w:val="lrTb"/>
            <w:noWrap w:val="false"/>
          </w:tcPr>
          <w:p>
            <w:pPr>
              <w:jc w:val="center"/>
              <w:spacing w:line="360" w:lineRule="auto"/>
              <w:widowControl/>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 xml:space="preserve">编号</w:t>
            </w:r>
            <w:r/>
          </w:p>
        </w:tc>
        <w:tc>
          <w:tcPr>
            <w:tcW w:w="2728" w:type="dxa"/>
            <w:vAlign w:val="center"/>
            <w:textDirection w:val="lrTb"/>
            <w:noWrap/>
          </w:tcPr>
          <w:p>
            <w:pPr>
              <w:jc w:val="center"/>
              <w:spacing w:line="360" w:lineRule="auto"/>
              <w:widowControl/>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 xml:space="preserve">名称</w:t>
            </w:r>
            <w:r/>
          </w:p>
        </w:tc>
        <w:tc>
          <w:tcPr>
            <w:tcW w:w="2909" w:type="dxa"/>
            <w:vAlign w:val="center"/>
            <w:textDirection w:val="lrTb"/>
            <w:noWrap/>
          </w:tcPr>
          <w:p>
            <w:pPr>
              <w:jc w:val="center"/>
              <w:spacing w:line="360" w:lineRule="auto"/>
              <w:widowControl/>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 xml:space="preserve">型号</w:t>
            </w:r>
            <w:r/>
          </w:p>
        </w:tc>
        <w:tc>
          <w:tcPr>
            <w:tcW w:w="2378" w:type="dxa"/>
            <w:vAlign w:val="center"/>
            <w:textDirection w:val="lrTb"/>
            <w:noWrap/>
          </w:tcPr>
          <w:p>
            <w:pPr>
              <w:jc w:val="center"/>
              <w:spacing w:line="360" w:lineRule="auto"/>
              <w:widowControl/>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 xml:space="preserve">SN号</w:t>
            </w:r>
            <w:r/>
          </w:p>
        </w:tc>
      </w:tr>
      <w:tr>
        <w:trPr>
          <w:jc w:val="center"/>
          <w:trHeight w:val="348"/>
        </w:trPr>
        <w:tc>
          <w:tcPr>
            <w:tcW w:w="1041" w:type="dxa"/>
            <w:vAlign w:val="center"/>
            <w:textDirection w:val="lrTb"/>
            <w:noWrap/>
          </w:tcPr>
          <w:p>
            <w:pPr>
              <w:jc w:val="center"/>
              <w:spacing w:line="360" w:lineRule="auto"/>
              <w:widowControl/>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 xml:space="preserve">1</w:t>
            </w:r>
            <w:r/>
          </w:p>
        </w:tc>
        <w:tc>
          <w:tcPr>
            <w:tcW w:w="2728" w:type="dxa"/>
            <w:vAlign w:val="center"/>
            <w:textDirection w:val="lrTb"/>
            <w:noWrap w:val="false"/>
          </w:tcPr>
          <w:p>
            <w:pPr>
              <w:jc w:val="center"/>
              <w:spacing w:line="360" w:lineRule="auto"/>
              <w:widowControl/>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r>
            <w:r/>
          </w:p>
        </w:tc>
        <w:tc>
          <w:tcPr>
            <w:tcW w:w="2909" w:type="dxa"/>
            <w:vAlign w:val="center"/>
            <w:textDirection w:val="lrTb"/>
            <w:noWrap/>
          </w:tcPr>
          <w:p>
            <w:pPr>
              <w:jc w:val="center"/>
              <w:spacing w:line="360" w:lineRule="auto"/>
              <w:widowControl/>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r>
            <w:r/>
          </w:p>
        </w:tc>
        <w:tc>
          <w:tcPr>
            <w:tcW w:w="2378" w:type="dxa"/>
            <w:vAlign w:val="center"/>
            <w:textDirection w:val="lrTb"/>
            <w:noWrap w:val="false"/>
          </w:tcPr>
          <w:p>
            <w:pPr>
              <w:jc w:val="center"/>
              <w:spacing w:line="360" w:lineRule="auto"/>
              <w:widowControl/>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r>
            <w:r/>
          </w:p>
        </w:tc>
      </w:tr>
      <w:tr>
        <w:trPr>
          <w:jc w:val="center"/>
          <w:trHeight w:val="375"/>
        </w:trPr>
        <w:tc>
          <w:tcPr>
            <w:tcW w:w="1041" w:type="dxa"/>
            <w:vAlign w:val="center"/>
            <w:textDirection w:val="lrTb"/>
            <w:noWrap/>
          </w:tcPr>
          <w:p>
            <w:pPr>
              <w:jc w:val="center"/>
              <w:spacing w:line="360" w:lineRule="auto"/>
              <w:widowControl/>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 xml:space="preserve">2</w:t>
            </w:r>
            <w:r/>
          </w:p>
        </w:tc>
        <w:tc>
          <w:tcPr>
            <w:tcW w:w="2728" w:type="dxa"/>
            <w:vAlign w:val="center"/>
            <w:textDirection w:val="lrTb"/>
            <w:noWrap w:val="false"/>
          </w:tcPr>
          <w:p>
            <w:pPr>
              <w:jc w:val="center"/>
              <w:spacing w:line="360" w:lineRule="auto"/>
              <w:widowControl/>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r>
            <w:r/>
          </w:p>
        </w:tc>
        <w:tc>
          <w:tcPr>
            <w:tcW w:w="2909" w:type="dxa"/>
            <w:vAlign w:val="center"/>
            <w:textDirection w:val="lrTb"/>
            <w:noWrap/>
          </w:tcPr>
          <w:p>
            <w:pPr>
              <w:jc w:val="center"/>
              <w:spacing w:line="360" w:lineRule="auto"/>
              <w:widowControl/>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r>
            <w:r/>
          </w:p>
        </w:tc>
        <w:tc>
          <w:tcPr>
            <w:tcW w:w="2378" w:type="dxa"/>
            <w:vAlign w:val="center"/>
            <w:textDirection w:val="lrTb"/>
            <w:noWrap w:val="false"/>
          </w:tcPr>
          <w:p>
            <w:pPr>
              <w:jc w:val="center"/>
              <w:spacing w:line="360" w:lineRule="auto"/>
              <w:widowControl/>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r>
            <w:r/>
          </w:p>
        </w:tc>
      </w:tr>
      <w:tr>
        <w:trPr>
          <w:jc w:val="center"/>
          <w:trHeight w:val="375"/>
        </w:trPr>
        <w:tc>
          <w:tcPr>
            <w:tcW w:w="1041" w:type="dxa"/>
            <w:vAlign w:val="center"/>
            <w:textDirection w:val="lrTb"/>
            <w:noWrap/>
          </w:tcPr>
          <w:p>
            <w:pPr>
              <w:jc w:val="center"/>
              <w:spacing w:line="360" w:lineRule="auto"/>
              <w:widowControl/>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 xml:space="preserve">3</w:t>
            </w:r>
            <w:r/>
          </w:p>
        </w:tc>
        <w:tc>
          <w:tcPr>
            <w:tcW w:w="2728" w:type="dxa"/>
            <w:vAlign w:val="center"/>
            <w:textDirection w:val="lrTb"/>
            <w:noWrap w:val="false"/>
          </w:tcPr>
          <w:p>
            <w:pPr>
              <w:jc w:val="center"/>
              <w:spacing w:line="360" w:lineRule="auto"/>
              <w:widowControl/>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r>
            <w:r/>
          </w:p>
        </w:tc>
        <w:tc>
          <w:tcPr>
            <w:tcW w:w="2909" w:type="dxa"/>
            <w:vAlign w:val="center"/>
            <w:textDirection w:val="lrTb"/>
            <w:noWrap/>
          </w:tcPr>
          <w:p>
            <w:pPr>
              <w:jc w:val="center"/>
              <w:spacing w:line="360" w:lineRule="auto"/>
              <w:widowControl/>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r>
            <w:r/>
          </w:p>
        </w:tc>
        <w:tc>
          <w:tcPr>
            <w:tcW w:w="2378" w:type="dxa"/>
            <w:vAlign w:val="center"/>
            <w:textDirection w:val="lrTb"/>
            <w:noWrap w:val="false"/>
          </w:tcPr>
          <w:p>
            <w:pPr>
              <w:jc w:val="center"/>
              <w:spacing w:line="360" w:lineRule="auto"/>
              <w:widowControl/>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r>
            <w:r/>
          </w:p>
        </w:tc>
      </w:tr>
      <w:tr>
        <w:trPr>
          <w:jc w:val="center"/>
          <w:trHeight w:val="375"/>
        </w:trPr>
        <w:tc>
          <w:tcPr>
            <w:tcW w:w="1041" w:type="dxa"/>
            <w:vAlign w:val="center"/>
            <w:textDirection w:val="lrTb"/>
            <w:noWrap/>
          </w:tcPr>
          <w:p>
            <w:pPr>
              <w:jc w:val="center"/>
              <w:spacing w:line="360" w:lineRule="auto"/>
              <w:widowControl/>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 xml:space="preserve">4</w:t>
            </w:r>
            <w:r/>
          </w:p>
        </w:tc>
        <w:tc>
          <w:tcPr>
            <w:tcW w:w="2728" w:type="dxa"/>
            <w:vAlign w:val="center"/>
            <w:textDirection w:val="lrTb"/>
            <w:noWrap w:val="false"/>
          </w:tcPr>
          <w:p>
            <w:pPr>
              <w:jc w:val="center"/>
              <w:spacing w:line="360" w:lineRule="auto"/>
              <w:widowControl/>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r>
            <w:r/>
          </w:p>
        </w:tc>
        <w:tc>
          <w:tcPr>
            <w:tcW w:w="2909" w:type="dxa"/>
            <w:vAlign w:val="center"/>
            <w:textDirection w:val="lrTb"/>
            <w:noWrap/>
          </w:tcPr>
          <w:p>
            <w:pPr>
              <w:jc w:val="center"/>
              <w:spacing w:line="360" w:lineRule="auto"/>
              <w:widowControl/>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r>
            <w:r/>
          </w:p>
        </w:tc>
        <w:tc>
          <w:tcPr>
            <w:tcW w:w="2378" w:type="dxa"/>
            <w:vAlign w:val="center"/>
            <w:textDirection w:val="lrTb"/>
            <w:noWrap w:val="false"/>
          </w:tcPr>
          <w:p>
            <w:pPr>
              <w:jc w:val="center"/>
              <w:spacing w:line="360" w:lineRule="auto"/>
              <w:widowControl/>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r>
            <w:r/>
          </w:p>
        </w:tc>
      </w:tr>
      <w:tr>
        <w:trPr>
          <w:jc w:val="center"/>
          <w:trHeight w:val="375"/>
        </w:trPr>
        <w:tc>
          <w:tcPr>
            <w:tcW w:w="1041" w:type="dxa"/>
            <w:vAlign w:val="center"/>
            <w:textDirection w:val="lrTb"/>
            <w:noWrap/>
          </w:tcPr>
          <w:p>
            <w:pPr>
              <w:jc w:val="center"/>
              <w:spacing w:line="360" w:lineRule="auto"/>
              <w:widowControl/>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 xml:space="preserve">5</w:t>
            </w:r>
            <w:r/>
          </w:p>
        </w:tc>
        <w:tc>
          <w:tcPr>
            <w:tcW w:w="2728" w:type="dxa"/>
            <w:vAlign w:val="center"/>
            <w:textDirection w:val="lrTb"/>
            <w:noWrap w:val="false"/>
          </w:tcPr>
          <w:p>
            <w:pPr>
              <w:jc w:val="center"/>
              <w:spacing w:line="360" w:lineRule="auto"/>
              <w:widowControl/>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r>
            <w:r/>
          </w:p>
        </w:tc>
        <w:tc>
          <w:tcPr>
            <w:tcW w:w="2909" w:type="dxa"/>
            <w:vAlign w:val="center"/>
            <w:textDirection w:val="lrTb"/>
            <w:noWrap/>
          </w:tcPr>
          <w:p>
            <w:pPr>
              <w:jc w:val="center"/>
              <w:spacing w:line="360" w:lineRule="auto"/>
              <w:widowControl/>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r>
            <w:r/>
          </w:p>
        </w:tc>
        <w:tc>
          <w:tcPr>
            <w:tcW w:w="2378" w:type="dxa"/>
            <w:vAlign w:val="center"/>
            <w:textDirection w:val="lrTb"/>
            <w:noWrap w:val="false"/>
          </w:tcPr>
          <w:p>
            <w:pPr>
              <w:jc w:val="center"/>
              <w:spacing w:line="360" w:lineRule="auto"/>
              <w:widowControl/>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r>
            <w:r/>
          </w:p>
        </w:tc>
      </w:tr>
      <w:tr>
        <w:trPr>
          <w:jc w:val="center"/>
          <w:trHeight w:val="375"/>
        </w:trPr>
        <w:tc>
          <w:tcPr>
            <w:tcW w:w="1041" w:type="dxa"/>
            <w:vAlign w:val="center"/>
            <w:textDirection w:val="lrTb"/>
            <w:noWrap/>
          </w:tcPr>
          <w:p>
            <w:pPr>
              <w:jc w:val="center"/>
              <w:spacing w:line="360" w:lineRule="auto"/>
              <w:widowControl/>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 xml:space="preserve">6</w:t>
            </w:r>
            <w:r/>
          </w:p>
        </w:tc>
        <w:tc>
          <w:tcPr>
            <w:tcW w:w="2728" w:type="dxa"/>
            <w:vAlign w:val="center"/>
            <w:textDirection w:val="lrTb"/>
            <w:noWrap w:val="false"/>
          </w:tcPr>
          <w:p>
            <w:pPr>
              <w:jc w:val="center"/>
              <w:spacing w:line="360" w:lineRule="auto"/>
              <w:widowControl/>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r>
            <w:r/>
          </w:p>
        </w:tc>
        <w:tc>
          <w:tcPr>
            <w:tcW w:w="2909" w:type="dxa"/>
            <w:vAlign w:val="center"/>
            <w:textDirection w:val="lrTb"/>
            <w:noWrap/>
          </w:tcPr>
          <w:p>
            <w:pPr>
              <w:jc w:val="center"/>
              <w:spacing w:line="360" w:lineRule="auto"/>
              <w:widowControl/>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r>
            <w:r/>
          </w:p>
        </w:tc>
        <w:tc>
          <w:tcPr>
            <w:tcW w:w="2378" w:type="dxa"/>
            <w:vAlign w:val="center"/>
            <w:textDirection w:val="lrTb"/>
            <w:noWrap w:val="false"/>
          </w:tcPr>
          <w:p>
            <w:pPr>
              <w:jc w:val="center"/>
              <w:spacing w:line="360" w:lineRule="auto"/>
              <w:widowControl/>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r>
            <w:r/>
          </w:p>
        </w:tc>
      </w:tr>
      <w:tr>
        <w:trPr>
          <w:jc w:val="center"/>
          <w:trHeight w:val="390"/>
        </w:trPr>
        <w:tc>
          <w:tcPr>
            <w:tcW w:w="1041" w:type="dxa"/>
            <w:vAlign w:val="center"/>
            <w:textDirection w:val="lrTb"/>
            <w:noWrap/>
          </w:tcPr>
          <w:p>
            <w:pPr>
              <w:jc w:val="center"/>
              <w:spacing w:line="360" w:lineRule="auto"/>
              <w:widowControl/>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 xml:space="preserve">7</w:t>
            </w:r>
            <w:r/>
          </w:p>
        </w:tc>
        <w:tc>
          <w:tcPr>
            <w:tcW w:w="2728" w:type="dxa"/>
            <w:vAlign w:val="center"/>
            <w:textDirection w:val="lrTb"/>
            <w:noWrap w:val="false"/>
          </w:tcPr>
          <w:p>
            <w:pPr>
              <w:jc w:val="center"/>
              <w:spacing w:line="360" w:lineRule="auto"/>
              <w:widowControl/>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r>
            <w:r/>
          </w:p>
        </w:tc>
        <w:tc>
          <w:tcPr>
            <w:tcW w:w="2909" w:type="dxa"/>
            <w:vAlign w:val="center"/>
            <w:textDirection w:val="lrTb"/>
            <w:noWrap/>
          </w:tcPr>
          <w:p>
            <w:pPr>
              <w:jc w:val="center"/>
              <w:spacing w:line="360" w:lineRule="auto"/>
              <w:widowControl/>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r>
            <w:r/>
          </w:p>
        </w:tc>
        <w:tc>
          <w:tcPr>
            <w:tcW w:w="2378" w:type="dxa"/>
            <w:vAlign w:val="center"/>
            <w:textDirection w:val="lrTb"/>
            <w:noWrap w:val="false"/>
          </w:tcPr>
          <w:p>
            <w:pPr>
              <w:jc w:val="center"/>
              <w:spacing w:line="360" w:lineRule="auto"/>
              <w:widowControl/>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r>
            <w:r/>
          </w:p>
        </w:tc>
      </w:tr>
    </w:tbl>
    <w:p>
      <w:pP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r>
      <w:r/>
    </w:p>
    <w:p>
      <w:pPr>
        <w:pStyle w:val="892"/>
        <w:rPr>
          <w:rFonts w:hint="eastAsia"/>
          <w:color w:val="auto"/>
          <w:lang w:eastAsia="zh-CN"/>
        </w:rPr>
      </w:pPr>
      <w:r>
        <w:rPr>
          <w:rFonts w:hint="eastAsia"/>
          <w:color w:val="auto"/>
          <w:lang w:eastAsia="zh-CN"/>
        </w:rPr>
      </w:r>
      <w:r/>
    </w:p>
    <w:p>
      <w:pPr>
        <w:rPr>
          <w:rFonts w:hint="eastAsia"/>
          <w:color w:val="auto"/>
          <w:lang w:eastAsia="zh-CN"/>
        </w:rPr>
      </w:pPr>
      <w:r>
        <w:rPr>
          <w:rFonts w:hint="eastAsia"/>
          <w:color w:val="auto"/>
          <w:lang w:eastAsia="zh-CN"/>
        </w:rPr>
      </w:r>
      <w:r/>
    </w:p>
    <w:p>
      <w:pPr>
        <w:pStyle w:val="885"/>
        <w:rPr>
          <w:rFonts w:hint="eastAsia"/>
          <w:color w:val="auto"/>
          <w:lang w:eastAsia="zh-CN"/>
        </w:rPr>
      </w:pPr>
      <w:r>
        <w:rPr>
          <w:rFonts w:hint="eastAsia"/>
          <w:color w:val="auto"/>
          <w:lang w:eastAsia="zh-CN"/>
        </w:rPr>
      </w:r>
      <w:r/>
    </w:p>
    <w:p>
      <w:pPr>
        <w:pStyle w:val="885"/>
        <w:rPr>
          <w:rFonts w:hint="eastAsia"/>
          <w:color w:val="auto"/>
          <w:lang w:eastAsia="zh-CN"/>
        </w:rPr>
      </w:pPr>
      <w:r>
        <w:rPr>
          <w:rFonts w:hint="eastAsia"/>
          <w:color w:val="auto"/>
          <w:lang w:eastAsia="zh-CN"/>
        </w:rPr>
      </w:r>
      <w:r/>
    </w:p>
    <w:p>
      <w:pPr>
        <w:pStyle w:val="874"/>
        <w:jc w:val="center"/>
        <w:spacing w:line="360" w:lineRule="auto"/>
        <w:rPr>
          <w:rFonts w:hint="eastAsia" w:ascii="宋体" w:hAnsi="宋体" w:eastAsia="宋体" w:cs="宋体"/>
          <w:color w:val="auto"/>
          <w:sz w:val="44"/>
          <w:szCs w:val="96"/>
        </w:rPr>
      </w:pPr>
      <w:r>
        <w:rPr>
          <w:rFonts w:hint="eastAsia" w:ascii="宋体" w:hAnsi="宋体" w:eastAsia="宋体" w:cs="宋体"/>
          <w:color w:val="auto"/>
          <w:sz w:val="44"/>
          <w:szCs w:val="96"/>
        </w:rPr>
      </w:r>
      <w:r/>
    </w:p>
    <w:p>
      <w:pPr>
        <w:pStyle w:val="874"/>
        <w:jc w:val="center"/>
        <w:spacing w:line="360" w:lineRule="auto"/>
        <w:rPr>
          <w:rFonts w:hint="eastAsia" w:ascii="宋体" w:hAnsi="宋体" w:eastAsia="宋体" w:cs="宋体"/>
          <w:color w:val="auto"/>
          <w:sz w:val="44"/>
          <w:szCs w:val="96"/>
        </w:rPr>
      </w:pPr>
      <w:r>
        <w:rPr>
          <w:rFonts w:hint="eastAsia" w:ascii="宋体" w:hAnsi="宋体" w:eastAsia="宋体" w:cs="宋体"/>
          <w:color w:val="auto"/>
          <w:sz w:val="44"/>
          <w:szCs w:val="96"/>
        </w:rPr>
        <w:t xml:space="preserve">年度考核表</w:t>
      </w:r>
      <w:r/>
    </w:p>
    <w:tbl>
      <w:tblPr>
        <w:tblStyle w:val="884"/>
        <w:tblW w:w="9642" w:type="dxa"/>
        <w:jc w:val="center"/>
        <w:tblLayout w:type="fixed"/>
        <w:tblCellMar>
          <w:left w:w="15" w:type="dxa"/>
          <w:top w:w="15" w:type="dxa"/>
          <w:right w:w="15" w:type="dxa"/>
          <w:bottom w:w="15" w:type="dxa"/>
        </w:tblCellMar>
        <w:tblLook w:val="04A0" w:firstRow="1" w:lastRow="0" w:firstColumn="1" w:lastColumn="0" w:noHBand="0" w:noVBand="1"/>
      </w:tblPr>
      <w:tblGrid>
        <w:gridCol w:w="666"/>
        <w:gridCol w:w="6534"/>
        <w:gridCol w:w="1129"/>
        <w:gridCol w:w="1313"/>
      </w:tblGrid>
      <w:tr>
        <w:trPr>
          <w:jc w:val="center"/>
          <w:trHeight w:val="117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before="156" w:after="156" w:line="240" w:lineRule="exact"/>
              <w:widowControl/>
              <w:rPr>
                <w:rFonts w:hint="eastAsia" w:ascii="宋体" w:hAnsi="宋体" w:cs="宋体"/>
                <w:color w:val="auto"/>
                <w:szCs w:val="21"/>
              </w:rPr>
            </w:pPr>
            <w:r>
              <w:rPr>
                <w:rFonts w:hint="eastAsia" w:ascii="宋体" w:hAnsi="宋体" w:cs="宋体"/>
                <w:color w:val="auto"/>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6534" w:type="dxa"/>
            <w:vAlign w:val="center"/>
            <w:textDirection w:val="lrTb"/>
            <w:noWrap w:val="false"/>
          </w:tcPr>
          <w:p>
            <w:pPr>
              <w:jc w:val="center"/>
              <w:spacing w:before="156" w:after="156" w:line="240" w:lineRule="exact"/>
              <w:widowControl/>
              <w:rPr>
                <w:rFonts w:hint="eastAsia" w:ascii="宋体" w:hAnsi="宋体" w:cs="宋体"/>
                <w:color w:val="auto"/>
                <w:szCs w:val="21"/>
              </w:rPr>
            </w:pPr>
            <w:r>
              <w:rPr>
                <w:rFonts w:hint="eastAsia" w:ascii="宋体" w:hAnsi="宋体" w:cs="宋体"/>
                <w:color w:val="auto"/>
                <w:szCs w:val="21"/>
                <w:lang w:bidi="ar"/>
              </w:rPr>
              <w:t xml:space="preserve">考核内容</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before="156" w:after="156" w:line="240" w:lineRule="exact"/>
              <w:widowControl/>
              <w:rPr>
                <w:rFonts w:hint="eastAsia" w:ascii="宋体" w:hAnsi="宋体" w:cs="宋体"/>
                <w:color w:val="auto"/>
                <w:szCs w:val="21"/>
                <w:lang w:bidi="ar"/>
              </w:rPr>
            </w:pPr>
            <w:r>
              <w:rPr>
                <w:rFonts w:hint="eastAsia" w:ascii="宋体" w:hAnsi="宋体" w:cs="宋体"/>
                <w:color w:val="auto"/>
                <w:szCs w:val="21"/>
                <w:lang w:bidi="ar"/>
              </w:rPr>
              <w:t xml:space="preserve">分值</w:t>
            </w:r>
            <w:r/>
          </w:p>
          <w:p>
            <w:pPr>
              <w:jc w:val="center"/>
              <w:spacing w:before="156" w:after="156" w:line="240" w:lineRule="exact"/>
              <w:widowControl/>
              <w:rPr>
                <w:rFonts w:hint="eastAsia" w:ascii="宋体" w:hAnsi="宋体" w:cs="宋体"/>
                <w:color w:val="auto"/>
                <w:szCs w:val="21"/>
              </w:rPr>
            </w:pPr>
            <w:r>
              <w:rPr>
                <w:rFonts w:hint="eastAsia" w:ascii="宋体" w:hAnsi="宋体" w:cs="宋体"/>
                <w:color w:val="auto"/>
                <w:szCs w:val="21"/>
                <w:lang w:bidi="ar"/>
              </w:rPr>
              <w:t xml:space="preserve">（100分）</w:t>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spacing w:before="156" w:after="156" w:line="240" w:lineRule="exact"/>
              <w:widowControl/>
              <w:rPr>
                <w:rFonts w:hint="eastAsia" w:ascii="宋体" w:hAnsi="宋体" w:cs="宋体"/>
                <w:color w:val="auto"/>
                <w:szCs w:val="21"/>
              </w:rPr>
            </w:pPr>
            <w:r>
              <w:rPr>
                <w:rFonts w:hint="eastAsia" w:ascii="宋体" w:hAnsi="宋体" w:cs="宋体"/>
                <w:color w:val="auto"/>
                <w:szCs w:val="21"/>
                <w:lang w:bidi="ar"/>
              </w:rPr>
              <w:t xml:space="preserve">得分</w:t>
            </w:r>
            <w:r/>
          </w:p>
        </w:tc>
      </w:tr>
      <w:tr>
        <w:trPr>
          <w:jc w:val="center"/>
          <w:trHeight w:val="992"/>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before="156" w:after="156" w:line="240" w:lineRule="exact"/>
              <w:widowControl/>
              <w:rPr>
                <w:rFonts w:hint="eastAsia" w:ascii="宋体" w:hAnsi="宋体" w:cs="宋体"/>
                <w:color w:val="auto"/>
                <w:szCs w:val="21"/>
              </w:rPr>
            </w:pPr>
            <w:r>
              <w:rPr>
                <w:rFonts w:hint="eastAsia" w:ascii="宋体" w:hAnsi="宋体" w:cs="宋体"/>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W w:w="6534" w:type="dxa"/>
            <w:vAlign w:val="center"/>
            <w:textDirection w:val="lrTb"/>
            <w:noWrap w:val="false"/>
          </w:tcPr>
          <w:p>
            <w:pPr>
              <w:jc w:val="left"/>
              <w:spacing w:before="156" w:after="156" w:line="240" w:lineRule="exact"/>
              <w:widowControl/>
              <w:rPr>
                <w:rFonts w:hint="eastAsia" w:ascii="宋体" w:hAnsi="宋体" w:cs="宋体"/>
                <w:color w:val="auto"/>
                <w:szCs w:val="21"/>
              </w:rPr>
            </w:pPr>
            <w:r>
              <w:rPr>
                <w:rFonts w:hint="eastAsia" w:ascii="宋体" w:hAnsi="宋体" w:cs="宋体"/>
                <w:color w:val="auto"/>
                <w:szCs w:val="21"/>
              </w:rPr>
              <w:t xml:space="preserve">保修期内，每年对设备保养2次及以上包含但不限于保养所需的配件更换等)，每少一次扣20分。</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before="156" w:after="156" w:line="240" w:lineRule="exact"/>
              <w:widowControl/>
              <w:rPr>
                <w:rFonts w:hint="eastAsia" w:ascii="宋体" w:hAnsi="宋体" w:cs="宋体"/>
                <w:color w:val="auto"/>
                <w:szCs w:val="21"/>
              </w:rPr>
            </w:pPr>
            <w:r>
              <w:rPr>
                <w:rFonts w:hint="eastAsia" w:ascii="宋体" w:hAnsi="宋体" w:cs="宋体"/>
                <w:color w:val="auto"/>
                <w:szCs w:val="21"/>
              </w:rPr>
              <w:t xml:space="preserve">20</w:t>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spacing w:before="156" w:after="156" w:line="240" w:lineRule="exact"/>
              <w:rPr>
                <w:rFonts w:hint="eastAsia" w:ascii="宋体" w:hAnsi="宋体" w:cs="宋体"/>
                <w:color w:val="auto"/>
                <w:szCs w:val="21"/>
              </w:rPr>
            </w:pPr>
            <w:r>
              <w:rPr>
                <w:rFonts w:hint="eastAsia" w:ascii="宋体" w:hAnsi="宋体" w:cs="宋体"/>
                <w:color w:val="auto"/>
                <w:szCs w:val="21"/>
              </w:rPr>
            </w:r>
            <w:r/>
          </w:p>
        </w:tc>
      </w:tr>
      <w:tr>
        <w:trPr>
          <w:jc w:val="center"/>
          <w:trHeight w:val="992"/>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before="156" w:after="156" w:line="240" w:lineRule="exact"/>
              <w:widowControl/>
              <w:rPr>
                <w:rFonts w:hint="eastAsia" w:ascii="宋体" w:hAnsi="宋体" w:cs="宋体"/>
                <w:color w:val="auto"/>
                <w:szCs w:val="21"/>
              </w:rPr>
            </w:pPr>
            <w:r>
              <w:rPr>
                <w:rFonts w:hint="eastAsia" w:ascii="宋体" w:hAnsi="宋体" w:cs="宋体"/>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6534" w:type="dxa"/>
            <w:vAlign w:val="center"/>
            <w:textDirection w:val="lrTb"/>
            <w:noWrap w:val="false"/>
          </w:tcPr>
          <w:p>
            <w:pPr>
              <w:jc w:val="left"/>
              <w:spacing w:before="156" w:after="156" w:line="240" w:lineRule="exact"/>
              <w:widowControl/>
              <w:rPr>
                <w:rFonts w:hint="eastAsia" w:ascii="宋体" w:hAnsi="宋体" w:cs="宋体"/>
                <w:color w:val="auto"/>
                <w:szCs w:val="21"/>
              </w:rPr>
            </w:pPr>
            <w:r>
              <w:rPr>
                <w:rFonts w:hint="eastAsia" w:ascii="宋体" w:hAnsi="宋体" w:cs="宋体"/>
                <w:color w:val="auto"/>
                <w:szCs w:val="21"/>
              </w:rPr>
              <w:t xml:space="preserve">所更换的配件必须为原厂全新配件,如有不符，每项扣10分。</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before="156" w:after="156" w:line="240" w:lineRule="exact"/>
              <w:widowControl/>
              <w:rPr>
                <w:rFonts w:hint="eastAsia" w:ascii="宋体" w:hAnsi="宋体" w:cs="宋体"/>
                <w:color w:val="auto"/>
                <w:szCs w:val="21"/>
              </w:rPr>
            </w:pPr>
            <w:r>
              <w:rPr>
                <w:rFonts w:hint="eastAsia" w:ascii="宋体" w:hAnsi="宋体" w:cs="宋体"/>
                <w:color w:val="auto"/>
                <w:szCs w:val="21"/>
              </w:rPr>
              <w:t xml:space="preserve">20</w:t>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spacing w:before="156" w:after="156" w:line="240" w:lineRule="exact"/>
              <w:rPr>
                <w:rFonts w:hint="eastAsia" w:ascii="宋体" w:hAnsi="宋体" w:cs="宋体"/>
                <w:color w:val="auto"/>
                <w:szCs w:val="21"/>
              </w:rPr>
            </w:pPr>
            <w:r>
              <w:rPr>
                <w:rFonts w:hint="eastAsia" w:ascii="宋体" w:hAnsi="宋体" w:cs="宋体"/>
                <w:color w:val="auto"/>
                <w:szCs w:val="21"/>
              </w:rPr>
            </w:r>
            <w:r/>
          </w:p>
        </w:tc>
      </w:tr>
      <w:tr>
        <w:trPr>
          <w:jc w:val="center"/>
          <w:trHeight w:val="992"/>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before="156" w:after="156" w:line="240" w:lineRule="exact"/>
              <w:widowControl/>
              <w:rPr>
                <w:rFonts w:hint="eastAsia" w:ascii="宋体" w:hAnsi="宋体" w:cs="宋体"/>
                <w:color w:val="auto"/>
                <w:szCs w:val="21"/>
              </w:rPr>
            </w:pPr>
            <w:r>
              <w:rPr>
                <w:rFonts w:hint="eastAsia" w:ascii="宋体" w:hAnsi="宋体" w:cs="宋体"/>
                <w:color w:val="auto"/>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6534" w:type="dxa"/>
            <w:vAlign w:val="center"/>
            <w:textDirection w:val="lrTb"/>
            <w:noWrap w:val="false"/>
          </w:tcPr>
          <w:p>
            <w:pPr>
              <w:jc w:val="left"/>
              <w:spacing w:before="156" w:after="156" w:line="240" w:lineRule="exact"/>
              <w:widowControl/>
              <w:rPr>
                <w:rFonts w:hint="eastAsia" w:ascii="宋体" w:hAnsi="宋体" w:cs="宋体"/>
                <w:color w:val="auto"/>
                <w:szCs w:val="21"/>
              </w:rPr>
            </w:pPr>
            <w:r>
              <w:rPr>
                <w:rFonts w:hint="eastAsia" w:ascii="宋体" w:hAnsi="宋体" w:cs="宋体"/>
                <w:color w:val="auto"/>
                <w:szCs w:val="21"/>
              </w:rPr>
              <w:t xml:space="preserve">每天24h电话支持，如果设备发生故障，乙方接到报修电话后2小时内响应，并给出解决方案。未及时响应的每次扣5分。</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before="156" w:after="156" w:line="240" w:lineRule="exact"/>
              <w:widowControl/>
              <w:rPr>
                <w:rFonts w:hint="eastAsia" w:ascii="宋体" w:hAnsi="宋体" w:cs="宋体"/>
                <w:color w:val="auto"/>
                <w:szCs w:val="21"/>
              </w:rPr>
            </w:pPr>
            <w:r>
              <w:rPr>
                <w:rFonts w:hint="eastAsia" w:ascii="宋体" w:hAnsi="宋体" w:cs="宋体"/>
                <w:color w:val="auto"/>
                <w:szCs w:val="21"/>
              </w:rPr>
              <w:t xml:space="preserve">20</w:t>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spacing w:before="156" w:after="156" w:line="240" w:lineRule="exact"/>
              <w:rPr>
                <w:rFonts w:hint="eastAsia" w:ascii="宋体" w:hAnsi="宋体" w:cs="宋体"/>
                <w:color w:val="auto"/>
                <w:szCs w:val="21"/>
              </w:rPr>
            </w:pPr>
            <w:r>
              <w:rPr>
                <w:rFonts w:hint="eastAsia" w:ascii="宋体" w:hAnsi="宋体" w:cs="宋体"/>
                <w:color w:val="auto"/>
                <w:szCs w:val="21"/>
              </w:rPr>
            </w:r>
            <w:r/>
          </w:p>
        </w:tc>
      </w:tr>
      <w:tr>
        <w:trPr>
          <w:jc w:val="center"/>
          <w:trHeight w:val="1142"/>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before="156" w:after="156" w:line="240" w:lineRule="exact"/>
              <w:widowControl/>
              <w:rPr>
                <w:rFonts w:hint="eastAsia" w:ascii="宋体" w:hAnsi="宋体" w:cs="宋体"/>
                <w:color w:val="auto"/>
                <w:szCs w:val="21"/>
                <w:lang w:bidi="ar"/>
              </w:rPr>
            </w:pPr>
            <w:r>
              <w:rPr>
                <w:rFonts w:hint="eastAsia" w:ascii="宋体" w:hAnsi="宋体" w:cs="宋体"/>
                <w:color w:val="auto"/>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534" w:type="dxa"/>
            <w:vAlign w:val="center"/>
            <w:textDirection w:val="lrTb"/>
            <w:noWrap w:val="false"/>
          </w:tcPr>
          <w:p>
            <w:pPr>
              <w:pStyle w:val="890"/>
              <w:ind w:left="105"/>
              <w:spacing w:before="156" w:after="156" w:line="240" w:lineRule="exact"/>
              <w:rPr>
                <w:rFonts w:hint="eastAsia" w:ascii="宋体" w:hAnsi="宋体" w:cs="宋体"/>
                <w:color w:val="auto"/>
                <w:szCs w:val="21"/>
              </w:rPr>
            </w:pPr>
            <w:r>
              <w:rPr>
                <w:rFonts w:hint="eastAsia" w:ascii="宋体" w:hAnsi="宋体" w:cs="宋体"/>
                <w:color w:val="auto"/>
                <w:szCs w:val="21"/>
              </w:rPr>
              <w:t xml:space="preserve">电话支持无法解决的，维修人员需24小时内到达现场。未按时到达或完成维修的每次扣5分。无特殊原因单次故障维修时长超过4天，每次扣5分。</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before="156" w:after="156" w:line="240" w:lineRule="exact"/>
              <w:widowControl/>
              <w:rPr>
                <w:rFonts w:hint="eastAsia" w:ascii="宋体" w:hAnsi="宋体" w:cs="宋体"/>
                <w:color w:val="auto"/>
                <w:szCs w:val="21"/>
                <w:lang w:bidi="ar"/>
              </w:rPr>
            </w:pPr>
            <w:r>
              <w:rPr>
                <w:rFonts w:hint="eastAsia" w:ascii="宋体" w:hAnsi="宋体" w:cs="宋体"/>
                <w:color w:val="auto"/>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spacing w:before="156" w:after="156" w:line="240" w:lineRule="exact"/>
              <w:rPr>
                <w:rFonts w:hint="eastAsia" w:ascii="宋体" w:hAnsi="宋体" w:cs="宋体"/>
                <w:color w:val="auto"/>
                <w:szCs w:val="21"/>
              </w:rPr>
            </w:pPr>
            <w:r>
              <w:rPr>
                <w:rFonts w:hint="eastAsia" w:ascii="宋体" w:hAnsi="宋体" w:cs="宋体"/>
                <w:color w:val="auto"/>
                <w:szCs w:val="21"/>
              </w:rPr>
            </w:r>
            <w:r/>
          </w:p>
        </w:tc>
      </w:tr>
      <w:tr>
        <w:trPr>
          <w:jc w:val="center"/>
          <w:trHeight w:val="992"/>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before="156" w:after="156" w:line="240" w:lineRule="exact"/>
              <w:widowControl/>
              <w:rPr>
                <w:rFonts w:hint="eastAsia" w:ascii="宋体" w:hAnsi="宋体" w:cs="宋体"/>
                <w:color w:val="auto"/>
                <w:szCs w:val="21"/>
                <w:lang w:bidi="ar"/>
              </w:rPr>
            </w:pPr>
            <w:r>
              <w:rPr>
                <w:rFonts w:hint="eastAsia" w:ascii="宋体" w:hAnsi="宋体" w:cs="宋体"/>
                <w:color w:val="auto"/>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6534" w:type="dxa"/>
            <w:vAlign w:val="center"/>
            <w:textDirection w:val="lrTb"/>
            <w:noWrap w:val="false"/>
          </w:tcPr>
          <w:p>
            <w:pPr>
              <w:spacing w:before="156" w:after="156" w:line="240" w:lineRule="exact"/>
              <w:widowControl/>
              <w:rPr>
                <w:rFonts w:hint="eastAsia" w:ascii="宋体" w:hAnsi="宋体" w:cs="宋体"/>
                <w:color w:val="auto"/>
                <w:szCs w:val="21"/>
              </w:rPr>
            </w:pPr>
            <w:r>
              <w:rPr>
                <w:rFonts w:hint="eastAsia" w:ascii="宋体" w:hAnsi="宋体" w:cs="宋体"/>
                <w:color w:val="auto"/>
                <w:szCs w:val="21"/>
              </w:rPr>
              <w:t xml:space="preserve">考核期内每年开机率小于95%的，每低一个百分点扣5分。</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before="156" w:after="156" w:line="240" w:lineRule="exact"/>
              <w:widowControl/>
              <w:rPr>
                <w:rFonts w:hint="eastAsia" w:ascii="宋体" w:hAnsi="宋体" w:cs="宋体"/>
                <w:color w:val="auto"/>
                <w:szCs w:val="21"/>
                <w:lang w:bidi="ar"/>
              </w:rPr>
            </w:pPr>
            <w:r>
              <w:rPr>
                <w:rFonts w:hint="eastAsia" w:ascii="宋体" w:hAnsi="宋体" w:cs="宋体"/>
                <w:color w:val="auto"/>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spacing w:before="156" w:after="156" w:line="240" w:lineRule="exact"/>
              <w:rPr>
                <w:rFonts w:hint="eastAsia" w:ascii="宋体" w:hAnsi="宋体" w:cs="宋体"/>
                <w:color w:val="auto"/>
                <w:szCs w:val="21"/>
              </w:rPr>
            </w:pPr>
            <w:r>
              <w:rPr>
                <w:rFonts w:hint="eastAsia" w:ascii="宋体" w:hAnsi="宋体" w:cs="宋体"/>
                <w:color w:val="auto"/>
                <w:szCs w:val="21"/>
              </w:rPr>
            </w:r>
            <w:r/>
          </w:p>
        </w:tc>
      </w:tr>
      <w:tr>
        <w:trPr>
          <w:jc w:val="center"/>
          <w:trHeight w:val="705"/>
        </w:trPr>
        <w:tc>
          <w:tcPr>
            <w:gridSpan w:val="2"/>
            <w:tcBorders>
              <w:top w:val="single" w:color="000000" w:sz="4" w:space="0"/>
              <w:left w:val="single" w:color="000000" w:sz="4" w:space="0"/>
              <w:bottom w:val="single" w:color="000000" w:sz="4" w:space="0"/>
              <w:right w:val="single" w:color="000000" w:sz="4" w:space="0"/>
            </w:tcBorders>
            <w:tcW w:w="7200" w:type="dxa"/>
            <w:vAlign w:val="center"/>
            <w:textDirection w:val="lrTb"/>
            <w:noWrap w:val="false"/>
          </w:tcPr>
          <w:p>
            <w:pPr>
              <w:jc w:val="left"/>
              <w:spacing w:before="156" w:after="156" w:line="240" w:lineRule="exact"/>
              <w:widowControl/>
              <w:rPr>
                <w:rFonts w:hint="eastAsia" w:ascii="宋体" w:hAnsi="宋体" w:cs="宋体"/>
                <w:color w:val="auto"/>
                <w:szCs w:val="21"/>
              </w:rPr>
            </w:pPr>
            <w:r>
              <w:rPr>
                <w:rFonts w:hint="eastAsia" w:ascii="宋体" w:hAnsi="宋体" w:cs="宋体"/>
                <w:color w:val="auto"/>
                <w:szCs w:val="21"/>
                <w:lang w:bidi="ar"/>
              </w:rPr>
              <w:t xml:space="preserve">考核人签字：</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before="156" w:after="156" w:line="240" w:lineRule="exact"/>
              <w:widowControl/>
              <w:rPr>
                <w:rFonts w:hint="eastAsia" w:ascii="宋体" w:hAnsi="宋体" w:cs="宋体"/>
                <w:color w:val="auto"/>
                <w:szCs w:val="21"/>
              </w:rPr>
            </w:pPr>
            <w:r>
              <w:rPr>
                <w:rFonts w:hint="eastAsia" w:ascii="宋体" w:hAnsi="宋体" w:cs="宋体"/>
                <w:color w:val="auto"/>
                <w:szCs w:val="21"/>
                <w:lang w:bidi="ar"/>
              </w:rPr>
              <w:t xml:space="preserve">合计</w:t>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spacing w:before="156" w:after="156" w:line="240" w:lineRule="exact"/>
              <w:rPr>
                <w:rFonts w:hint="eastAsia" w:ascii="宋体" w:hAnsi="宋体" w:cs="宋体"/>
                <w:color w:val="auto"/>
                <w:szCs w:val="21"/>
              </w:rPr>
            </w:pPr>
            <w:r>
              <w:rPr>
                <w:rFonts w:hint="eastAsia" w:ascii="宋体" w:hAnsi="宋体" w:cs="宋体"/>
                <w:color w:val="auto"/>
                <w:szCs w:val="21"/>
              </w:rPr>
            </w:r>
            <w:r/>
          </w:p>
        </w:tc>
      </w:tr>
    </w:tbl>
    <w:p>
      <w:pPr>
        <w:pStyle w:val="1140"/>
        <w:ind w:firstLine="420"/>
        <w:spacing w:after="0"/>
        <w:rPr>
          <w:rFonts w:hint="eastAsia" w:cs="宋体"/>
          <w:color w:val="auto"/>
          <w:sz w:val="21"/>
          <w:szCs w:val="21"/>
        </w:rPr>
      </w:pPr>
      <w:r>
        <w:rPr>
          <w:rFonts w:hint="eastAsia" w:cs="宋体"/>
          <w:color w:val="auto"/>
          <w:sz w:val="21"/>
          <w:szCs w:val="21"/>
        </w:rPr>
        <w:t xml:space="preserve">注：</w:t>
      </w:r>
      <w:r/>
    </w:p>
    <w:p>
      <w:pPr>
        <w:pStyle w:val="1141"/>
        <w:ind w:firstLine="420"/>
        <w:jc w:val="both"/>
        <w:spacing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1．本评分标准采取百分制，各项目分数累加后得出总分，用于评估整体服务质量。</w:t>
      </w:r>
      <w:r/>
    </w:p>
    <w:p>
      <w:pPr>
        <w:pStyle w:val="1140"/>
        <w:ind w:firstLine="420"/>
        <w:jc w:val="both"/>
        <w:spacing w:after="0"/>
        <w:rPr>
          <w:rFonts w:hint="eastAsia" w:cs="宋体"/>
          <w:color w:val="auto"/>
          <w:sz w:val="21"/>
          <w:szCs w:val="21"/>
        </w:rPr>
      </w:pPr>
      <w:r>
        <w:rPr>
          <w:rFonts w:hint="eastAsia" w:cs="宋体"/>
          <w:color w:val="auto"/>
          <w:sz w:val="21"/>
          <w:szCs w:val="21"/>
        </w:rPr>
        <w:t xml:space="preserve">2．考核采用每年考核一次。若连续2次考核不合格，则甲方有权终止此项合同，且不承担任何责任并付款义务。</w:t>
      </w:r>
      <w:r/>
    </w:p>
    <w:p>
      <w:pPr>
        <w:pStyle w:val="1141"/>
        <w:ind w:firstLine="420"/>
        <w:jc w:val="both"/>
        <w:spacing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3．对于未达到最低要求的项目，将根据实际情况给予扣分，并要求限期整改。</w:t>
      </w:r>
      <w:r/>
    </w:p>
    <w:p>
      <w:pPr>
        <w:pStyle w:val="1140"/>
        <w:ind w:firstLine="420"/>
        <w:spacing w:after="0"/>
        <w:rPr>
          <w:rFonts w:hint="eastAsia" w:cs="宋体"/>
          <w:color w:val="auto"/>
          <w:sz w:val="21"/>
          <w:szCs w:val="21"/>
        </w:rPr>
      </w:pPr>
      <w:r>
        <w:rPr>
          <w:rFonts w:hint="eastAsia" w:cs="宋体"/>
          <w:color w:val="auto"/>
          <w:sz w:val="21"/>
          <w:szCs w:val="21"/>
        </w:rPr>
        <w:t xml:space="preserve">4．考核结果将作为维保单位服务质量评价、资金分配及合作续签的重要依据。根据考核内容综合给予考核分值（满分为100分），根据考核分值核算结算款的发放：对中标人的服务实行每年度考核，每年度得分在90分及以上全额支付款项，低于90分，每低一分扣除中标人1%的一个年度的合同款，扣款在结算款中直接扣除。</w:t>
      </w:r>
      <w:r/>
    </w:p>
    <w:p>
      <w:pPr>
        <w:rPr>
          <w:rFonts w:hint="eastAsia" w:ascii="宋体" w:hAnsi="宋体" w:cs="宋体"/>
          <w:color w:val="auto"/>
        </w:rPr>
      </w:pPr>
      <w:r>
        <w:rPr>
          <w:rFonts w:hint="eastAsia" w:ascii="宋体" w:hAnsi="宋体" w:cs="宋体"/>
          <w:color w:val="auto"/>
        </w:rPr>
      </w:r>
      <w:r/>
    </w:p>
    <w:p>
      <w:pPr>
        <w:pStyle w:val="885"/>
        <w:rPr>
          <w:rFonts w:hint="eastAsia"/>
          <w:color w:val="auto"/>
          <w:lang w:eastAsia="zh-CN"/>
        </w:rPr>
      </w:pPr>
      <w:r>
        <w:rPr>
          <w:rFonts w:hint="eastAsia"/>
          <w:color w:val="auto"/>
          <w:lang w:eastAsia="zh-CN"/>
        </w:rPr>
      </w:r>
      <w:r/>
    </w:p>
    <w:p>
      <w:pPr>
        <w:pStyle w:val="885"/>
        <w:rPr>
          <w:rFonts w:hint="eastAsia"/>
          <w:color w:val="auto"/>
          <w:lang w:eastAsia="zh-CN"/>
        </w:rPr>
      </w:pPr>
      <w:r>
        <w:rPr>
          <w:rFonts w:hint="eastAsia"/>
          <w:color w:val="auto"/>
          <w:lang w:eastAsia="zh-CN"/>
        </w:rPr>
      </w:r>
      <w:r/>
    </w:p>
    <w:p>
      <w:pPr>
        <w:pStyle w:val="975"/>
        <w:jc w:val="center"/>
        <w:spacing w:beforeAutospacing="0" w:afterAutospacing="0"/>
        <w:widowControl/>
        <w:rPr>
          <w:rFonts w:hint="eastAsia" w:ascii="宋体" w:hAnsi="宋体" w:eastAsia="宋体" w:cs="宋体"/>
          <w:b/>
          <w:bCs/>
          <w:color w:val="auto"/>
          <w:sz w:val="72"/>
          <w:szCs w:val="7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auto"/>
          <w:sz w:val="72"/>
          <w:szCs w:val="72"/>
          <w:highlight w:val="none"/>
        </w:rPr>
      </w:r>
      <w:r/>
    </w:p>
    <w:p>
      <w:pPr>
        <w:pStyle w:val="975"/>
        <w:jc w:val="center"/>
        <w:spacing w:beforeAutospacing="0" w:afterAutospacing="0"/>
        <w:widowControl/>
        <w:rPr>
          <w:rFonts w:hint="eastAsia" w:ascii="宋体" w:hAnsi="宋体" w:eastAsia="宋体" w:cs="宋体"/>
          <w:b/>
          <w:bCs/>
          <w:color w:val="auto"/>
          <w:sz w:val="72"/>
          <w:szCs w:val="7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auto"/>
          <w:sz w:val="72"/>
          <w:szCs w:val="72"/>
          <w:highlight w:val="none"/>
        </w:rPr>
      </w:r>
      <w:r/>
    </w:p>
    <w:p>
      <w:pPr>
        <w:pStyle w:val="975"/>
        <w:jc w:val="center"/>
        <w:spacing w:beforeAutospacing="0" w:afterAutospacing="0"/>
        <w:widowControl/>
        <w:rPr>
          <w:rFonts w:hint="eastAsia" w:ascii="宋体" w:hAnsi="宋体" w:eastAsia="宋体" w:cs="宋体"/>
          <w:b/>
          <w:bCs/>
          <w:color w:val="auto"/>
          <w:sz w:val="72"/>
          <w:szCs w:val="7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auto"/>
          <w:sz w:val="72"/>
          <w:szCs w:val="72"/>
          <w:highlight w:val="none"/>
        </w:rPr>
      </w:r>
      <w:r/>
    </w:p>
    <w:p>
      <w:pPr>
        <w:pStyle w:val="975"/>
        <w:jc w:val="center"/>
        <w:spacing w:beforeAutospacing="0" w:afterAutospacing="0"/>
        <w:widowControl/>
        <w:rPr>
          <w:rFonts w:hint="eastAsia" w:ascii="宋体" w:hAnsi="宋体" w:eastAsia="宋体" w:cs="宋体"/>
          <w:b/>
          <w:bCs/>
          <w:color w:val="auto"/>
          <w:sz w:val="72"/>
          <w:szCs w:val="7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auto"/>
          <w:sz w:val="72"/>
          <w:szCs w:val="72"/>
          <w:highlight w:val="none"/>
        </w:rPr>
      </w:r>
      <w:r/>
    </w:p>
    <w:p>
      <w:pPr>
        <w:pStyle w:val="975"/>
        <w:jc w:val="center"/>
        <w:spacing w:beforeAutospacing="0" w:afterAutospacing="0"/>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auto"/>
          <w:sz w:val="72"/>
          <w:szCs w:val="72"/>
          <w:highlight w:val="none"/>
        </w:rPr>
        <w:t xml:space="preserve">投标文件</w:t>
      </w:r>
      <w:r/>
    </w:p>
    <w:p>
      <w:pPr>
        <w:pStyle w:val="975"/>
        <w:jc w:val="center"/>
        <w:spacing w:beforeAutospacing="0" w:afterAutospacing="0"/>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auto"/>
          <w:sz w:val="72"/>
          <w:szCs w:val="72"/>
          <w:highlight w:val="none"/>
        </w:rPr>
        <w:t xml:space="preserve"> </w:t>
      </w:r>
      <w:r/>
    </w:p>
    <w:p>
      <w:pPr>
        <w:pStyle w:val="975"/>
        <w:jc w:val="center"/>
        <w:spacing w:beforeAutospacing="0" w:afterAutospacing="0"/>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auto"/>
          <w:sz w:val="72"/>
          <w:szCs w:val="72"/>
          <w:highlight w:val="none"/>
        </w:rPr>
        <w:t xml:space="preserve"> </w:t>
      </w:r>
      <w:r/>
    </w:p>
    <w:p>
      <w:pPr>
        <w:pStyle w:val="975"/>
        <w:jc w:val="center"/>
        <w:spacing w:beforeAutospacing="0" w:afterAutospacing="0"/>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auto"/>
          <w:sz w:val="36"/>
          <w:szCs w:val="36"/>
          <w:highlight w:val="none"/>
        </w:rPr>
        <w:t xml:space="preserve"> </w:t>
      </w:r>
      <w:r/>
    </w:p>
    <w:p>
      <w:pPr>
        <w:pStyle w:val="975"/>
        <w:jc w:val="center"/>
        <w:spacing w:beforeAutospacing="0" w:afterAutospacing="0"/>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auto"/>
          <w:sz w:val="36"/>
          <w:szCs w:val="36"/>
          <w:highlight w:val="none"/>
        </w:rPr>
        <w:t xml:space="preserve"> </w:t>
      </w:r>
      <w:r/>
    </w:p>
    <w:p>
      <w:pPr>
        <w:pStyle w:val="975"/>
        <w:jc w:val="center"/>
        <w:spacing w:beforeAutospacing="0" w:afterAutospacing="0"/>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auto"/>
          <w:sz w:val="36"/>
          <w:szCs w:val="36"/>
          <w:highlight w:val="none"/>
        </w:rPr>
        <w:t xml:space="preserve"> </w:t>
      </w:r>
      <w:r/>
    </w:p>
    <w:p>
      <w:pPr>
        <w:pStyle w:val="975"/>
        <w:ind w:firstLine="1081"/>
        <w:jc w:val="both"/>
        <w:spacing w:beforeAutospacing="0" w:afterAutospacing="0"/>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auto"/>
          <w:sz w:val="36"/>
          <w:szCs w:val="36"/>
          <w:highlight w:val="none"/>
        </w:rPr>
        <w:t xml:space="preserve">项 目 名 称：</w:t>
      </w:r>
      <w:r>
        <w:rPr>
          <w:rFonts w:hint="eastAsia" w:ascii="宋体" w:hAnsi="宋体" w:eastAsia="宋体" w:cs="宋体"/>
          <w:b/>
          <w:bCs/>
          <w:color w:val="auto"/>
          <w:sz w:val="36"/>
          <w:szCs w:val="36"/>
          <w:highlight w:val="none"/>
          <w:u w:val="single"/>
        </w:rPr>
        <w:t xml:space="preserve">          </w:t>
      </w:r>
      <w:r/>
    </w:p>
    <w:p>
      <w:pPr>
        <w:pStyle w:val="975"/>
        <w:ind w:firstLine="1081"/>
        <w:jc w:val="both"/>
        <w:spacing w:beforeAutospacing="0" w:afterAutospacing="0"/>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auto"/>
          <w:sz w:val="36"/>
          <w:szCs w:val="36"/>
          <w:highlight w:val="none"/>
        </w:rPr>
        <w:t xml:space="preserve">招 标 编 号：</w:t>
      </w:r>
      <w:r>
        <w:rPr>
          <w:rFonts w:hint="eastAsia" w:ascii="宋体" w:hAnsi="宋体" w:eastAsia="宋体" w:cs="宋体"/>
          <w:b/>
          <w:bCs/>
          <w:color w:val="auto"/>
          <w:sz w:val="36"/>
          <w:szCs w:val="36"/>
          <w:highlight w:val="none"/>
          <w:u w:val="single"/>
        </w:rPr>
        <w:t xml:space="preserve">          </w:t>
      </w:r>
      <w:r/>
    </w:p>
    <w:p>
      <w:pPr>
        <w:pStyle w:val="975"/>
        <w:jc w:val="both"/>
        <w:spacing w:beforeAutospacing="0" w:afterAutospacing="0"/>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auto"/>
          <w:sz w:val="36"/>
          <w:szCs w:val="36"/>
          <w:highlight w:val="none"/>
        </w:rPr>
        <w:t xml:space="preserve">   投标人名称 ：</w:t>
      </w:r>
      <w:r>
        <w:rPr>
          <w:rFonts w:hint="eastAsia" w:ascii="宋体" w:hAnsi="宋体" w:eastAsia="宋体" w:cs="宋体"/>
          <w:b/>
          <w:bCs/>
          <w:color w:val="auto"/>
          <w:sz w:val="36"/>
          <w:szCs w:val="36"/>
          <w:highlight w:val="none"/>
          <w:u w:val="single"/>
        </w:rPr>
        <w:t xml:space="preserve">（加盖CA电子公章）</w:t>
      </w:r>
      <w:r/>
    </w:p>
    <w:p>
      <w:pPr>
        <w:pStyle w:val="975"/>
        <w:jc w:val="both"/>
        <w:spacing w:beforeAutospacing="0" w:afterAutospacing="0"/>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auto"/>
          <w:sz w:val="36"/>
          <w:szCs w:val="36"/>
          <w:highlight w:val="none"/>
        </w:rPr>
        <w:t xml:space="preserve">   日     期 ：</w:t>
      </w:r>
      <w:r>
        <w:rPr>
          <w:rFonts w:hint="eastAsia" w:ascii="宋体" w:hAnsi="宋体" w:eastAsia="宋体" w:cs="宋体"/>
          <w:b/>
          <w:bCs/>
          <w:color w:val="auto"/>
          <w:sz w:val="36"/>
          <w:szCs w:val="36"/>
          <w:highlight w:val="none"/>
          <w:u w:val="single"/>
        </w:rPr>
        <w:t xml:space="preserve">          </w:t>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（一）投标函(格式)：</w:t>
      </w:r>
      <w:r/>
    </w:p>
    <w:p>
      <w:pPr>
        <w:jc w:val="center"/>
        <w:spacing w:line="360" w:lineRule="auto"/>
        <w:rPr>
          <w:rFonts w:hint="eastAsia" w:ascii="宋体" w:hAnsi="宋体" w:eastAsia="宋体" w:cs="宋体"/>
          <w:b/>
          <w:color w:val="auto"/>
          <w:sz w:val="36"/>
          <w:szCs w:val="28"/>
          <w:highlight w:val="none"/>
        </w:rPr>
      </w:pPr>
      <w:r>
        <w:rPr>
          <w:rFonts w:hint="eastAsia" w:ascii="宋体" w:hAnsi="宋体" w:eastAsia="宋体" w:cs="宋体"/>
          <w:b/>
          <w:color w:val="auto"/>
          <w:sz w:val="36"/>
          <w:szCs w:val="28"/>
          <w:highlight w:val="none"/>
        </w:rPr>
        <w:t xml:space="preserve">投  标  函</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致苏美达国际技术贸易有限公司：</w:t>
      </w:r>
      <w:r/>
    </w:p>
    <w:p>
      <w:pPr>
        <w:ind w:firstLine="420"/>
        <w:jc w:val="left"/>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我方收到贵方编号</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招标文件，经仔细阅读和研究，我们决定参加此次项目的投标。</w:t>
      </w:r>
      <w:r/>
    </w:p>
    <w:p>
      <w:pPr>
        <w:ind w:firstLine="420"/>
        <w:spacing w:line="360" w:lineRule="auto"/>
        <w:tabs>
          <w:tab w:val="left" w:pos="420" w:leader="none"/>
          <w:tab w:val="left" w:pos="945" w:leader="none"/>
          <w:tab w:val="left" w:pos="1155"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一、我方愿意按照招标文件的一切要求，提供本项目的投标，投标总价见《开标一览表》。</w:t>
      </w:r>
      <w:r/>
    </w:p>
    <w:p>
      <w:pPr>
        <w:ind w:firstLine="420"/>
        <w:spacing w:line="360" w:lineRule="auto"/>
        <w:tabs>
          <w:tab w:val="left" w:pos="315" w:leader="none"/>
          <w:tab w:val="left" w:pos="945" w:leader="none"/>
          <w:tab w:val="left" w:pos="1155"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二、我方愿意提供苏美达国际技术贸易有限公司在招标文件中要求的文件、资料。</w:t>
      </w:r>
      <w:r/>
    </w:p>
    <w:p>
      <w:pPr>
        <w:ind w:firstLine="420"/>
        <w:spacing w:line="360" w:lineRule="auto"/>
        <w:tabs>
          <w:tab w:val="left" w:pos="945"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三、我方同意按招标文件中的规定，本投标文件投标的有效期限为开标之日起90天。</w:t>
      </w:r>
      <w:r/>
    </w:p>
    <w:p>
      <w:pPr>
        <w:ind w:firstLine="420"/>
        <w:spacing w:line="360" w:lineRule="auto"/>
        <w:tabs>
          <w:tab w:val="left" w:pos="945"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四、如果我方的投标文件被接受，我方将履行招标文件中规定的每一项要求，按期、按质、按量，完成服务任务。</w:t>
      </w:r>
      <w:r/>
    </w:p>
    <w:p>
      <w:pPr>
        <w:ind w:left="480"/>
        <w:spacing w:line="360" w:lineRule="auto"/>
        <w:tabs>
          <w:tab w:val="left" w:pos="945"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五、我方认为你们有权决定中标者。</w:t>
      </w:r>
      <w:r/>
    </w:p>
    <w:p>
      <w:pPr>
        <w:ind w:firstLine="420"/>
        <w:spacing w:line="360" w:lineRule="auto"/>
        <w:tabs>
          <w:tab w:val="left" w:pos="315" w:leader="none"/>
          <w:tab w:val="left" w:pos="945" w:leader="none"/>
          <w:tab w:val="left" w:pos="1155"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六、我方愿意遵守《中华人民共和国政府采购法》，并按《中华人民共和国民法典》、财政部《政府采购货物和服务招标投标管理办法》和合同条款履行自己的全部责任。</w:t>
      </w:r>
      <w:r/>
    </w:p>
    <w:p>
      <w:pPr>
        <w:ind w:firstLine="420"/>
        <w:spacing w:line="360" w:lineRule="auto"/>
        <w:tabs>
          <w:tab w:val="left" w:pos="315" w:leader="none"/>
          <w:tab w:val="left" w:pos="945" w:leader="none"/>
          <w:tab w:val="left" w:pos="1155"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七、我方认可并遵守招标文件的所有规定，放弃对招标文件提出质疑的权利。</w:t>
      </w:r>
      <w:r/>
    </w:p>
    <w:p>
      <w:pPr>
        <w:ind w:firstLine="420"/>
        <w:spacing w:line="360" w:lineRule="auto"/>
        <w:tabs>
          <w:tab w:val="left" w:pos="945"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八、如果我方被确定为</w:t>
      </w:r>
      <w:r>
        <w:rPr>
          <w:rFonts w:hint="eastAsia" w:ascii="宋体" w:hAnsi="宋体" w:cs="宋体"/>
          <w:bCs/>
          <w:color w:val="auto"/>
          <w:szCs w:val="21"/>
          <w:highlight w:val="none"/>
          <w:lang w:eastAsia="zh-CN"/>
        </w:rPr>
        <w:t xml:space="preserve">中标人</w:t>
      </w:r>
      <w:r>
        <w:rPr>
          <w:rFonts w:hint="eastAsia" w:ascii="宋体" w:hAnsi="宋体" w:eastAsia="宋体" w:cs="宋体"/>
          <w:bCs/>
          <w:color w:val="auto"/>
          <w:szCs w:val="21"/>
          <w:highlight w:val="none"/>
        </w:rPr>
        <w:t xml:space="preserve">，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20"/>
        <w:spacing w:line="360" w:lineRule="auto"/>
        <w:tabs>
          <w:tab w:val="left" w:pos="945"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九、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投标人(盖章)：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法定代表人或法定代表人授权代表签字或盖章：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电话：                              传真：</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通讯地址：                          邮编：</w:t>
      </w:r>
      <w:r/>
    </w:p>
    <w:p>
      <w:pPr>
        <w:spacing w:line="360" w:lineRule="auto"/>
        <w:rPr>
          <w:rFonts w:hint="eastAsia" w:ascii="宋体" w:hAnsi="宋体" w:eastAsia="宋体" w:cs="宋体"/>
          <w:bCs/>
          <w:color w:val="auto"/>
          <w:sz w:val="24"/>
          <w:szCs w:val="24"/>
          <w:highlight w:val="none"/>
        </w:rPr>
        <w:sectPr>
          <w:headerReference w:type="default" r:id="rId11"/>
          <w:footerReference w:type="default" r:id="rId17"/>
          <w:footnotePr/>
          <w:endnotePr/>
          <w:type w:val="nextPage"/>
          <w:pgSz w:w="11907" w:h="16840" w:orient="portrait"/>
          <w:pgMar w:top="1134" w:right="1134" w:bottom="1134" w:left="1134" w:header="851" w:footer="992" w:gutter="0"/>
          <w:cols w:num="1" w:sep="0" w:space="1701" w:equalWidth="1"/>
          <w:docGrid w:linePitch="360"/>
        </w:sectPr>
        <w:outlineLvl w:val="0"/>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）法定代表人授权委托书(格式)：</w:t>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360" w:lineRule="auto"/>
        <w:rPr>
          <w:rFonts w:hint="eastAsia" w:ascii="宋体" w:hAnsi="宋体" w:eastAsia="宋体" w:cs="宋体"/>
          <w:b/>
          <w:color w:val="auto"/>
          <w:sz w:val="36"/>
          <w:szCs w:val="28"/>
          <w:highlight w:val="none"/>
        </w:rPr>
      </w:pPr>
      <w:r>
        <w:rPr>
          <w:rFonts w:hint="eastAsia" w:ascii="宋体" w:hAnsi="宋体" w:eastAsia="宋体" w:cs="宋体"/>
          <w:b/>
          <w:color w:val="auto"/>
          <w:sz w:val="36"/>
          <w:szCs w:val="28"/>
          <w:highlight w:val="none"/>
        </w:rPr>
        <w:t xml:space="preserve">法定代表人授权委托书</w:t>
      </w:r>
      <w:r/>
    </w:p>
    <w:p>
      <w:pPr>
        <w:jc w:val="center"/>
        <w:spacing w:line="360" w:lineRule="auto"/>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Cs w:val="21"/>
          <w:highlight w:val="none"/>
        </w:rPr>
        <w:t xml:space="preserve">           招标编号：</w:t>
      </w:r>
      <w:r/>
    </w:p>
    <w:p>
      <w:pPr>
        <w:ind w:firstLine="46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日期：</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苏美达国际技术贸易有限公司：</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系中华人民共和国合法企业，特授权</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代表我公司(单位)全权办理针对本项目</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的投标、参与开标、评标、签约等具体工作，并签署全部有关的文件、协议及合同。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我公司(单位)对被授权人的签名负全部责任。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在撤销授权的书面通知送达你处以前，本授权书一直有效，被授权人签署的所有文件(在授权书有效期内签署的)不因授权的撤销而失效。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被授权人情况：</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姓名：         性别：             电话：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投标人(盖章)：</w:t>
      </w:r>
      <w:r/>
    </w:p>
    <w:p>
      <w:pPr>
        <w:ind w:firstLine="357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357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法定代表人(签字或盖章)：</w:t>
      </w:r>
      <w:r/>
    </w:p>
    <w:p>
      <w:pPr>
        <w:ind w:firstLine="40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0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0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0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0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95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投标人法定代表人身份证：</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g">
            <w:drawing>
              <wp:inline xmlns:wp="http://schemas.openxmlformats.org/drawingml/2006/wordprocessingDrawing" distT="0" distB="0" distL="0" distR="0">
                <wp:extent cx="2418080" cy="1584960"/>
                <wp:effectExtent l="0" t="0" r="0" b="0"/>
                <wp:docPr id="4" name="文本框 4"/>
                <wp:cNvGraphicFramePr/>
                <a:graphic xmlns:a="http://schemas.openxmlformats.org/drawingml/2006/main">
                  <a:graphicData uri="http://schemas.microsoft.com/office/word/2010/wordprocessingShape">
                    <wps:wsp>
                      <wps:cNvPr id="0" name=""/>
                      <wps:cNvSpPr txBox="1"/>
                      <wps:spPr bwMode="auto">
                        <a:xfrm>
                          <a:off x="0" y="0"/>
                          <a:ext cx="241808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3" o:spid="_x0000_s3" o:spt="202" type="#_x0000_t202" style="width:190.4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auto"/>
          <w:sz w:val="32"/>
          <w:szCs w:val="32"/>
          <w:highlight w:val="none"/>
        </w:rPr>
        <w:t xml:space="preserve"> </w:t>
      </w:r>
      <w:r>
        <w:rPr>
          <w:rFonts w:hint="eastAsia" w:ascii="宋体" w:hAnsi="宋体" w:eastAsia="宋体" w:cs="宋体"/>
          <w:bCs/>
          <w:color w:val="auto"/>
          <w:sz w:val="24"/>
          <w:szCs w:val="24"/>
          <w:highlight w:val="none"/>
        </w:rPr>
        <mc:AlternateContent>
          <mc:Choice Requires="wpg">
            <w:drawing>
              <wp:inline xmlns:wp="http://schemas.openxmlformats.org/drawingml/2006/wordprocessingDrawing" distT="0" distB="0" distL="0" distR="0">
                <wp:extent cx="2395855" cy="1584960"/>
                <wp:effectExtent l="0" t="0" r="0" b="0"/>
                <wp:docPr id="5" name="文本框 5"/>
                <wp:cNvGraphicFramePr/>
                <a:graphic xmlns:a="http://schemas.openxmlformats.org/drawingml/2006/main">
                  <a:graphicData uri="http://schemas.microsoft.com/office/word/2010/wordprocessingShape">
                    <wps:wsp>
                      <wps:cNvPr id="0" name=""/>
                      <wps:cNvSpPr txBox="1"/>
                      <wps:spPr bwMode="auto">
                        <a:xfrm>
                          <a:off x="0" y="0"/>
                          <a:ext cx="239585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4" o:spid="_x0000_s4" o:spt="202" type="#_x0000_t202" style="width:188.6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eastAsia="宋体" w:cs="宋体"/>
          <w:bCs/>
          <w:color w:val="auto"/>
          <w:sz w:val="24"/>
          <w:szCs w:val="24"/>
          <w:highlight w:val="none"/>
        </w:rPr>
        <w:t xml:space="preserve">       </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法定代表人授权代表身份证：（</w:t>
      </w:r>
      <w:r>
        <w:rPr>
          <w:rFonts w:hint="eastAsia" w:ascii="宋体" w:hAnsi="宋体" w:eastAsia="宋体" w:cs="宋体"/>
          <w:b/>
          <w:bCs/>
          <w:color w:val="auto"/>
          <w:sz w:val="24"/>
          <w:szCs w:val="24"/>
          <w:highlight w:val="none"/>
        </w:rPr>
        <w:t xml:space="preserve">法定代表人亲自参与投标的除外）</w:t>
      </w:r>
      <w:r/>
    </w:p>
    <w:p>
      <w:pPr>
        <w:pStyle w:val="955"/>
        <w:rPr>
          <w:rFonts w:hint="eastAsia" w:ascii="宋体" w:hAnsi="宋体" w:eastAsia="宋体" w:cs="宋体"/>
          <w:color w:val="auto"/>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2414270" cy="1584960"/>
                <wp:effectExtent l="0" t="0" r="0" b="0"/>
                <wp:docPr id="6" name="文本框 6"/>
                <wp:cNvGraphicFramePr/>
                <a:graphic xmlns:a="http://schemas.openxmlformats.org/drawingml/2006/main">
                  <a:graphicData uri="http://schemas.microsoft.com/office/word/2010/wordprocessingShape">
                    <wps:wsp>
                      <wps:cNvPr id="0" name=""/>
                      <wps:cNvSpPr txBox="1"/>
                      <wps:spPr bwMode="auto">
                        <a:xfrm>
                          <a:off x="0" y="0"/>
                          <a:ext cx="241427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5" o:spid="_x0000_s5" o:spt="202" type="#_x0000_t202" style="width:190.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2397125" cy="1584960"/>
                <wp:effectExtent l="0" t="0" r="0" b="0"/>
                <wp:docPr id="7" name="文本框 7"/>
                <wp:cNvGraphicFramePr/>
                <a:graphic xmlns:a="http://schemas.openxmlformats.org/drawingml/2006/main">
                  <a:graphicData uri="http://schemas.microsoft.com/office/word/2010/wordprocessingShape">
                    <wps:wsp>
                      <wps:cNvPr id="0" name=""/>
                      <wps:cNvSpPr txBox="1"/>
                      <wps:spPr bwMode="auto">
                        <a:xfrm>
                          <a:off x="0" y="0"/>
                          <a:ext cx="239712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6" o:spid="_x0000_s6" o:spt="202" type="#_x0000_t202" style="width:188.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）开标一览表(</w:t>
      </w:r>
      <w:r>
        <w:rPr>
          <w:rFonts w:hint="eastAsia" w:ascii="宋体" w:hAnsi="宋体" w:eastAsia="宋体" w:cs="宋体"/>
          <w:b/>
          <w:color w:val="auto"/>
          <w:sz w:val="24"/>
          <w:szCs w:val="24"/>
          <w:highlight w:val="none"/>
          <w:lang w:val="en-US" w:eastAsia="zh-CN"/>
        </w:rPr>
        <w:t xml:space="preserve">系统生成</w:t>
      </w:r>
      <w:r>
        <w:rPr>
          <w:rFonts w:hint="eastAsia" w:ascii="宋体" w:hAnsi="宋体" w:eastAsia="宋体" w:cs="宋体"/>
          <w:b/>
          <w:color w:val="auto"/>
          <w:sz w:val="24"/>
          <w:szCs w:val="24"/>
          <w:highlight w:val="none"/>
        </w:rPr>
        <w:t xml:space="preserve">)：</w:t>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3"/>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3"/>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3"/>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）细目报价表 (格式)：</w:t>
      </w:r>
      <w:r/>
    </w:p>
    <w:p>
      <w:pPr>
        <w:jc w:val="center"/>
        <w:spacing w:line="360" w:lineRule="auto"/>
        <w:rPr>
          <w:rFonts w:hint="eastAsia" w:ascii="宋体" w:hAnsi="宋体" w:eastAsia="宋体" w:cs="宋体"/>
          <w:b/>
          <w:color w:val="auto"/>
          <w:sz w:val="36"/>
          <w:szCs w:val="28"/>
          <w:highlight w:val="none"/>
        </w:rPr>
      </w:pPr>
      <w:r>
        <w:rPr>
          <w:rFonts w:hint="eastAsia" w:ascii="宋体" w:hAnsi="宋体" w:eastAsia="宋体" w:cs="宋体"/>
          <w:b/>
          <w:color w:val="auto"/>
          <w:sz w:val="36"/>
          <w:szCs w:val="28"/>
          <w:highlight w:val="none"/>
        </w:rPr>
        <w:t xml:space="preserve">细目报价表</w:t>
      </w:r>
      <w:r/>
    </w:p>
    <w:p>
      <w:pPr>
        <w:pStyle w:val="955"/>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投标人名称（盖章）                              招标编号：</w:t>
      </w:r>
      <w:r/>
    </w:p>
    <w:p>
      <w:pPr>
        <w:spacing w:line="240" w:lineRule="exact"/>
        <w:rPr>
          <w:rFonts w:hint="eastAsia" w:ascii="宋体" w:hAnsi="宋体" w:eastAsia="宋体" w:cs="宋体"/>
          <w:b/>
          <w:bCs/>
          <w:color w:val="auto"/>
          <w:szCs w:val="21"/>
          <w:highlight w:val="none"/>
        </w:rPr>
        <w:outlineLvl w:val="0"/>
      </w:pPr>
      <w:r>
        <w:rPr>
          <w:rFonts w:hint="eastAsia" w:ascii="宋体" w:hAnsi="宋体" w:eastAsia="宋体" w:cs="宋体"/>
          <w:b/>
          <w:bCs/>
          <w:color w:val="auto"/>
          <w:szCs w:val="21"/>
          <w:highlight w:val="none"/>
        </w:rPr>
      </w:r>
      <w:r/>
    </w:p>
    <w:tbl>
      <w:tblPr>
        <w:tblStyle w:val="884"/>
        <w:tblW w:w="94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190"/>
        <w:gridCol w:w="959"/>
        <w:gridCol w:w="1734"/>
        <w:gridCol w:w="970"/>
        <w:gridCol w:w="720"/>
        <w:gridCol w:w="1145"/>
        <w:gridCol w:w="900"/>
        <w:gridCol w:w="1034"/>
      </w:tblGrid>
      <w:tr>
        <w:trPr>
          <w:jc w:val="center"/>
        </w:trPr>
        <w:tc>
          <w:tcPr>
            <w:tcW w:w="761" w:type="dxa"/>
            <w:textDirection w:val="lrTb"/>
            <w:noWrap w:val="false"/>
          </w:tcPr>
          <w:p>
            <w:pPr>
              <w:jc w:val="both"/>
              <w:spacing w:line="400" w:lineRule="exact"/>
              <w:rPr>
                <w:rFonts w:hint="default" w:ascii="宋体" w:hAnsi="宋体" w:eastAsia="宋体" w:cs="Times New Roman"/>
                <w:color w:val="auto"/>
                <w:szCs w:val="21"/>
              </w:rPr>
            </w:pPr>
            <w:r>
              <w:rPr>
                <w:rFonts w:hint="eastAsia" w:ascii="宋体" w:hAnsi="宋体" w:eastAsia="宋体" w:cs="Times New Roman"/>
                <w:color w:val="auto"/>
                <w:szCs w:val="21"/>
              </w:rPr>
              <w:t xml:space="preserve">序号</w:t>
            </w:r>
            <w:r/>
          </w:p>
        </w:tc>
        <w:tc>
          <w:tcPr>
            <w:tcW w:w="1190" w:type="dxa"/>
            <w:textDirection w:val="lrTb"/>
            <w:noWrap w:val="false"/>
          </w:tcPr>
          <w:p>
            <w:pPr>
              <w:jc w:val="both"/>
              <w:spacing w:line="400" w:lineRule="exact"/>
              <w:rPr>
                <w:rFonts w:hint="default" w:ascii="宋体" w:hAnsi="宋体" w:eastAsia="宋体" w:cs="Times New Roman"/>
                <w:color w:val="auto"/>
                <w:szCs w:val="21"/>
              </w:rPr>
            </w:pPr>
            <w:r>
              <w:rPr>
                <w:rFonts w:hint="eastAsia" w:ascii="宋体" w:hAnsi="宋体" w:eastAsia="宋体" w:cs="Times New Roman"/>
                <w:color w:val="auto"/>
                <w:szCs w:val="21"/>
              </w:rPr>
              <w:t xml:space="preserve">维保设备名称</w:t>
            </w:r>
            <w:r/>
          </w:p>
        </w:tc>
        <w:tc>
          <w:tcPr>
            <w:tcW w:w="959" w:type="dxa"/>
            <w:textDirection w:val="lrTb"/>
            <w:noWrap w:val="false"/>
          </w:tcPr>
          <w:p>
            <w:pPr>
              <w:jc w:val="both"/>
              <w:spacing w:line="400" w:lineRule="exact"/>
              <w:rPr>
                <w:rFonts w:hint="default" w:ascii="宋体" w:hAnsi="宋体" w:eastAsia="宋体" w:cs="Times New Roman"/>
                <w:color w:val="auto"/>
                <w:szCs w:val="21"/>
              </w:rPr>
            </w:pPr>
            <w:r>
              <w:rPr>
                <w:rFonts w:hint="eastAsia" w:ascii="宋体" w:hAnsi="宋体" w:eastAsia="宋体" w:cs="Times New Roman"/>
                <w:color w:val="auto"/>
                <w:szCs w:val="21"/>
              </w:rPr>
              <w:t xml:space="preserve">品牌、型号、规格</w:t>
            </w:r>
            <w:r/>
          </w:p>
        </w:tc>
        <w:tc>
          <w:tcPr>
            <w:tcW w:w="1734" w:type="dxa"/>
            <w:textDirection w:val="lrTb"/>
            <w:noWrap w:val="false"/>
          </w:tcPr>
          <w:p>
            <w:pPr>
              <w:jc w:val="both"/>
              <w:spacing w:line="400" w:lineRule="exact"/>
              <w:rPr>
                <w:rFonts w:hint="default" w:ascii="宋体" w:hAnsi="宋体" w:eastAsia="宋体" w:cs="Times New Roman"/>
                <w:color w:val="auto"/>
                <w:szCs w:val="21"/>
              </w:rPr>
            </w:pPr>
            <w:r>
              <w:rPr>
                <w:rFonts w:hint="eastAsia" w:ascii="宋体" w:hAnsi="宋体" w:eastAsia="宋体" w:cs="Times New Roman"/>
                <w:color w:val="auto"/>
                <w:szCs w:val="21"/>
              </w:rPr>
              <w:t xml:space="preserve">维保内容</w:t>
            </w:r>
            <w:r/>
          </w:p>
        </w:tc>
        <w:tc>
          <w:tcPr>
            <w:tcW w:w="970" w:type="dxa"/>
            <w:textDirection w:val="lrTb"/>
            <w:noWrap w:val="false"/>
          </w:tcPr>
          <w:p>
            <w:pPr>
              <w:jc w:val="both"/>
              <w:spacing w:line="400" w:lineRule="exact"/>
              <w:rPr>
                <w:rFonts w:hint="default" w:ascii="宋体" w:hAnsi="宋体" w:eastAsia="宋体" w:cs="Times New Roman"/>
                <w:color w:val="auto"/>
                <w:szCs w:val="21"/>
              </w:rPr>
            </w:pPr>
            <w:r>
              <w:rPr>
                <w:rFonts w:hint="eastAsia" w:ascii="宋体" w:hAnsi="宋体" w:eastAsia="宋体" w:cs="Times New Roman"/>
                <w:color w:val="auto"/>
                <w:szCs w:val="21"/>
              </w:rPr>
              <w:t xml:space="preserve">单位</w:t>
            </w:r>
            <w:r/>
          </w:p>
        </w:tc>
        <w:tc>
          <w:tcPr>
            <w:tcW w:w="720" w:type="dxa"/>
            <w:textDirection w:val="lrTb"/>
            <w:noWrap w:val="false"/>
          </w:tcPr>
          <w:p>
            <w:pPr>
              <w:jc w:val="both"/>
              <w:spacing w:line="400" w:lineRule="exact"/>
              <w:rPr>
                <w:rFonts w:hint="default" w:ascii="宋体" w:hAnsi="宋体" w:eastAsia="宋体" w:cs="Times New Roman"/>
                <w:color w:val="auto"/>
                <w:szCs w:val="21"/>
              </w:rPr>
            </w:pPr>
            <w:r>
              <w:rPr>
                <w:rFonts w:hint="eastAsia" w:ascii="宋体" w:hAnsi="宋体" w:eastAsia="宋体" w:cs="Times New Roman"/>
                <w:color w:val="auto"/>
                <w:szCs w:val="21"/>
              </w:rPr>
              <w:t xml:space="preserve">数量</w:t>
            </w:r>
            <w:r/>
          </w:p>
        </w:tc>
        <w:tc>
          <w:tcPr>
            <w:tcW w:w="1145" w:type="dxa"/>
            <w:textDirection w:val="lrTb"/>
            <w:noWrap w:val="false"/>
          </w:tcPr>
          <w:p>
            <w:pPr>
              <w:jc w:val="both"/>
              <w:spacing w:line="400" w:lineRule="exact"/>
              <w:rPr>
                <w:rFonts w:hint="default" w:ascii="宋体" w:hAnsi="宋体" w:eastAsia="宋体" w:cs="Times New Roman"/>
                <w:color w:val="auto"/>
                <w:szCs w:val="21"/>
              </w:rPr>
            </w:pPr>
            <w:r>
              <w:rPr>
                <w:rFonts w:hint="eastAsia" w:ascii="宋体" w:hAnsi="宋体" w:eastAsia="宋体" w:cs="Times New Roman"/>
                <w:color w:val="auto"/>
                <w:szCs w:val="21"/>
              </w:rPr>
              <w:t xml:space="preserve">维保单价（元）</w:t>
            </w:r>
            <w:r/>
          </w:p>
        </w:tc>
        <w:tc>
          <w:tcPr>
            <w:tcW w:w="900" w:type="dxa"/>
            <w:textDirection w:val="lrTb"/>
            <w:noWrap w:val="false"/>
          </w:tcPr>
          <w:p>
            <w:pPr>
              <w:jc w:val="both"/>
              <w:spacing w:line="400" w:lineRule="exact"/>
              <w:rPr>
                <w:rFonts w:hint="default" w:ascii="宋体" w:hAnsi="宋体" w:eastAsia="宋体" w:cs="Times New Roman"/>
                <w:color w:val="auto"/>
                <w:szCs w:val="21"/>
              </w:rPr>
            </w:pPr>
            <w:r>
              <w:rPr>
                <w:rFonts w:hint="eastAsia" w:ascii="宋体" w:hAnsi="宋体" w:eastAsia="宋体" w:cs="Times New Roman"/>
                <w:color w:val="auto"/>
                <w:szCs w:val="21"/>
              </w:rPr>
              <w:t xml:space="preserve">维保期</w:t>
            </w:r>
            <w:r/>
          </w:p>
        </w:tc>
        <w:tc>
          <w:tcPr>
            <w:tcW w:w="1034" w:type="dxa"/>
            <w:textDirection w:val="lrTb"/>
            <w:noWrap w:val="false"/>
          </w:tcPr>
          <w:p>
            <w:pPr>
              <w:jc w:val="both"/>
              <w:spacing w:line="400" w:lineRule="exact"/>
              <w:rPr>
                <w:rFonts w:hint="default" w:ascii="宋体" w:hAnsi="宋体" w:eastAsia="宋体" w:cs="Times New Roman"/>
                <w:color w:val="auto"/>
                <w:szCs w:val="21"/>
              </w:rPr>
            </w:pPr>
            <w:r>
              <w:rPr>
                <w:rFonts w:hint="eastAsia" w:ascii="宋体" w:hAnsi="宋体" w:eastAsia="宋体" w:cs="Times New Roman"/>
                <w:color w:val="auto"/>
                <w:szCs w:val="21"/>
              </w:rPr>
              <w:t xml:space="preserve">维保总价（元）</w:t>
            </w:r>
            <w:r/>
          </w:p>
        </w:tc>
      </w:tr>
      <w:tr>
        <w:trPr>
          <w:jc w:val="center"/>
        </w:trPr>
        <w:tc>
          <w:tcPr>
            <w:tcW w:w="761" w:type="dxa"/>
            <w:textDirection w:val="lrTb"/>
            <w:noWrap w:val="false"/>
          </w:tcPr>
          <w:p>
            <w:pPr>
              <w:ind w:firstLine="480"/>
              <w:jc w:val="center"/>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1190" w:type="dxa"/>
            <w:textDirection w:val="lrTb"/>
            <w:noWrap w:val="false"/>
          </w:tcPr>
          <w:p>
            <w:pPr>
              <w:ind w:firstLine="480"/>
              <w:jc w:val="center"/>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959" w:type="dxa"/>
            <w:textDirection w:val="lrTb"/>
            <w:noWrap w:val="false"/>
          </w:tcPr>
          <w:p>
            <w:pPr>
              <w:ind w:firstLine="480"/>
              <w:jc w:val="center"/>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1734" w:type="dxa"/>
            <w:textDirection w:val="lrTb"/>
            <w:noWrap w:val="false"/>
          </w:tcPr>
          <w:p>
            <w:pPr>
              <w:ind w:firstLine="480"/>
              <w:jc w:val="center"/>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970" w:type="dxa"/>
            <w:textDirection w:val="lrTb"/>
            <w:noWrap w:val="false"/>
          </w:tcPr>
          <w:p>
            <w:pPr>
              <w:ind w:firstLine="480"/>
              <w:jc w:val="center"/>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720" w:type="dxa"/>
            <w:textDirection w:val="lrTb"/>
            <w:noWrap w:val="false"/>
          </w:tcPr>
          <w:p>
            <w:pPr>
              <w:ind w:firstLine="480"/>
              <w:jc w:val="center"/>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1145" w:type="dxa"/>
            <w:textDirection w:val="lrTb"/>
            <w:noWrap w:val="false"/>
          </w:tcPr>
          <w:p>
            <w:pPr>
              <w:ind w:firstLine="480"/>
              <w:jc w:val="center"/>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900" w:type="dxa"/>
            <w:textDirection w:val="lrTb"/>
            <w:noWrap w:val="false"/>
          </w:tcPr>
          <w:p>
            <w:pPr>
              <w:ind w:firstLine="480"/>
              <w:jc w:val="center"/>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1034" w:type="dxa"/>
            <w:textDirection w:val="lrTb"/>
            <w:noWrap w:val="false"/>
          </w:tcPr>
          <w:p>
            <w:pPr>
              <w:ind w:firstLine="480"/>
              <w:jc w:val="center"/>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r>
      <w:tr>
        <w:trPr>
          <w:jc w:val="center"/>
        </w:trPr>
        <w:tc>
          <w:tcPr>
            <w:tcW w:w="761"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1190"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959"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1734"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970"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720"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1145"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900"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1034"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r>
      <w:tr>
        <w:trPr>
          <w:jc w:val="center"/>
        </w:trPr>
        <w:tc>
          <w:tcPr>
            <w:tcW w:w="761"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1190"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959"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1734"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970"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720"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1145"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900"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1034"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r>
      <w:tr>
        <w:trPr>
          <w:jc w:val="center"/>
        </w:trPr>
        <w:tc>
          <w:tcPr>
            <w:tcW w:w="761"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1190"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959"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1734"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970"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720"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1145"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900"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1034"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r>
      <w:tr>
        <w:trPr>
          <w:jc w:val="center"/>
        </w:trPr>
        <w:tc>
          <w:tcPr>
            <w:tcW w:w="761"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1190"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959"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1734"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970"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720"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1145"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900"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1034"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r>
      <w:tr>
        <w:trPr>
          <w:jc w:val="center"/>
        </w:trPr>
        <w:tc>
          <w:tcPr>
            <w:tcW w:w="761"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1190"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959"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1734"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970"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720"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1145"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900"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1034"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r>
      <w:tr>
        <w:trPr>
          <w:jc w:val="center"/>
        </w:trPr>
        <w:tc>
          <w:tcPr>
            <w:tcW w:w="761"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1190"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959"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1734"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970"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720"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1145"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900"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c>
          <w:tcPr>
            <w:tcW w:w="1034" w:type="dxa"/>
            <w:textDirection w:val="lrTb"/>
            <w:noWrap w:val="false"/>
          </w:tcPr>
          <w:p>
            <w:pPr>
              <w:ind w:firstLine="480"/>
              <w:spacing w:line="400" w:lineRule="exact"/>
              <w:rPr>
                <w:rFonts w:hint="default" w:ascii="宋体" w:hAnsi="宋体" w:eastAsia="宋体" w:cs="Times New Roman"/>
                <w:color w:val="auto"/>
                <w:szCs w:val="21"/>
              </w:rPr>
            </w:pPr>
            <w:r>
              <w:rPr>
                <w:rFonts w:hint="default" w:ascii="宋体" w:hAnsi="宋体" w:eastAsia="宋体" w:cs="Times New Roman"/>
                <w:color w:val="auto"/>
                <w:szCs w:val="21"/>
              </w:rPr>
            </w:r>
            <w:r/>
          </w:p>
        </w:tc>
      </w:tr>
      <w:tr>
        <w:trPr>
          <w:cantSplit/>
          <w:jc w:val="center"/>
        </w:trPr>
        <w:tc>
          <w:tcPr>
            <w:gridSpan w:val="9"/>
            <w:tcW w:w="9413" w:type="dxa"/>
            <w:textDirection w:val="lrTb"/>
            <w:noWrap w:val="false"/>
          </w:tcPr>
          <w:p>
            <w:pPr>
              <w:ind w:firstLine="480"/>
              <w:spacing w:line="400" w:lineRule="exact"/>
              <w:rPr>
                <w:rFonts w:hint="default" w:ascii="宋体" w:hAnsi="宋体" w:eastAsia="宋体" w:cs="Times New Roman"/>
                <w:color w:val="auto"/>
                <w:szCs w:val="21"/>
              </w:rPr>
            </w:pPr>
            <w:r>
              <w:rPr>
                <w:rFonts w:hint="eastAsia" w:ascii="宋体" w:hAnsi="宋体" w:eastAsia="宋体" w:cs="Times New Roman"/>
                <w:color w:val="auto"/>
                <w:szCs w:val="21"/>
              </w:rPr>
              <w:t xml:space="preserve">投标总价：</w:t>
            </w:r>
            <w:r/>
          </w:p>
          <w:p>
            <w:pPr>
              <w:ind w:firstLine="480"/>
              <w:spacing w:line="400" w:lineRule="exact"/>
              <w:rPr>
                <w:rFonts w:hint="default" w:ascii="宋体" w:hAnsi="宋体" w:eastAsia="宋体" w:cs="Times New Roman"/>
                <w:color w:val="auto"/>
                <w:szCs w:val="21"/>
              </w:rPr>
            </w:pPr>
            <w:r>
              <w:rPr>
                <w:rFonts w:hint="eastAsia" w:ascii="宋体" w:hAnsi="宋体" w:eastAsia="宋体" w:cs="Times New Roman"/>
                <w:color w:val="auto"/>
                <w:szCs w:val="21"/>
              </w:rPr>
              <w:t xml:space="preserve">金额大写                            元</w:t>
            </w:r>
            <w:r/>
          </w:p>
        </w:tc>
      </w:tr>
    </w:tbl>
    <w:p>
      <w:pPr>
        <w:pStyle w:val="89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89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89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spacing w:line="240" w:lineRule="exact"/>
        <w:rPr>
          <w:rFonts w:hint="eastAsia" w:ascii="宋体" w:hAnsi="宋体" w:eastAsia="宋体" w:cs="宋体"/>
          <w:b/>
          <w:bCs/>
          <w:color w:val="auto"/>
          <w:szCs w:val="21"/>
          <w:highlight w:val="none"/>
        </w:rPr>
        <w:outlineLvl w:val="0"/>
      </w:pPr>
      <w:r>
        <w:rPr>
          <w:rFonts w:hint="eastAsia" w:ascii="宋体" w:hAnsi="宋体" w:eastAsia="宋体" w:cs="宋体"/>
          <w:b/>
          <w:bCs/>
          <w:color w:val="auto"/>
          <w:szCs w:val="21"/>
          <w:highlight w:val="none"/>
        </w:rPr>
      </w:r>
      <w:r/>
    </w:p>
    <w:p>
      <w:pPr>
        <w:spacing w:line="360" w:lineRule="auto"/>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法定代表人或法定代表人授权代表签字或盖章：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w:t>
      </w:r>
      <w:r/>
    </w:p>
    <w:p>
      <w:pPr>
        <w:pStyle w:val="913"/>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129"/>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bidi="ar-SA"/>
        </w:rPr>
        <w:t xml:space="preserve">采购需求偏离响应表（格式）：</w:t>
      </w:r>
      <w:r/>
    </w:p>
    <w:p>
      <w:pPr>
        <w:jc w:val="center"/>
        <w:spacing w:line="360" w:lineRule="auto"/>
        <w:rPr>
          <w:rFonts w:hint="eastAsia" w:ascii="宋体" w:hAnsi="宋体" w:eastAsia="宋体" w:cs="宋体"/>
          <w:b/>
          <w:color w:val="auto"/>
          <w:sz w:val="36"/>
          <w:szCs w:val="28"/>
          <w:highlight w:val="none"/>
        </w:rPr>
      </w:pPr>
      <w:r>
        <w:rPr>
          <w:rFonts w:hint="eastAsia" w:ascii="宋体" w:hAnsi="宋体" w:eastAsia="宋体" w:cs="宋体"/>
          <w:b/>
          <w:color w:val="auto"/>
          <w:sz w:val="36"/>
          <w:szCs w:val="28"/>
          <w:highlight w:val="none"/>
        </w:rPr>
      </w:r>
      <w:r/>
    </w:p>
    <w:p>
      <w:pPr>
        <w:jc w:val="center"/>
        <w:spacing w:line="360" w:lineRule="auto"/>
        <w:rPr>
          <w:rFonts w:hint="eastAsia" w:ascii="宋体" w:hAnsi="宋体" w:eastAsia="宋体" w:cs="宋体"/>
          <w:b/>
          <w:color w:val="auto"/>
          <w:sz w:val="36"/>
          <w:szCs w:val="28"/>
          <w:highlight w:val="none"/>
          <w:lang w:eastAsia="zh-CN"/>
        </w:rPr>
      </w:pPr>
      <w:r>
        <w:rPr>
          <w:rFonts w:hint="eastAsia" w:ascii="宋体" w:hAnsi="宋体" w:eastAsia="宋体" w:cs="宋体"/>
          <w:b/>
          <w:color w:val="auto"/>
          <w:sz w:val="36"/>
          <w:szCs w:val="28"/>
          <w:highlight w:val="none"/>
          <w:lang w:eastAsia="zh-CN"/>
        </w:rPr>
        <w:t xml:space="preserve">采购需求偏离响应表</w:t>
      </w:r>
      <w:r/>
    </w:p>
    <w:p>
      <w:pP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招标编号：</w:t>
      </w:r>
      <w:r/>
    </w:p>
    <w:tbl>
      <w:tblPr>
        <w:tblStyle w:val="884"/>
        <w:tblpPr w:horzAnchor="text" w:tblpXSpec="center" w:vertAnchor="text" w:tblpY="1"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2051"/>
        <w:gridCol w:w="2970"/>
        <w:gridCol w:w="2149"/>
        <w:gridCol w:w="1335"/>
      </w:tblGrid>
      <w:tr>
        <w:trPr>
          <w:jc w:val="center"/>
          <w:trHeight w:val="855"/>
        </w:trPr>
        <w:tc>
          <w:tcPr>
            <w:tcW w:w="934" w:type="dxa"/>
            <w:vAlign w:val="center"/>
            <w:textDirection w:val="lrTb"/>
            <w:noWrap w:val="false"/>
          </w:tcPr>
          <w:p>
            <w:pPr>
              <w:jc w:val="left"/>
              <w:spacing w:line="360"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t xml:space="preserve">序号</w:t>
            </w:r>
            <w:r/>
          </w:p>
        </w:tc>
        <w:tc>
          <w:tcPr>
            <w:tcW w:w="2051" w:type="dxa"/>
            <w:vAlign w:val="center"/>
            <w:textDirection w:val="lrTb"/>
            <w:noWrap w:val="false"/>
          </w:tcPr>
          <w:p>
            <w:pPr>
              <w:jc w:val="center"/>
              <w:spacing w:line="360"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t xml:space="preserve">招标文件条目号</w:t>
            </w:r>
            <w:r/>
          </w:p>
        </w:tc>
        <w:tc>
          <w:tcPr>
            <w:tcW w:w="2970" w:type="dxa"/>
            <w:vAlign w:val="center"/>
            <w:textDirection w:val="lrTb"/>
            <w:noWrap w:val="false"/>
          </w:tcPr>
          <w:p>
            <w:pPr>
              <w:jc w:val="center"/>
              <w:spacing w:line="360"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t xml:space="preserve">招标文件要求的条款</w:t>
            </w:r>
            <w:r/>
          </w:p>
        </w:tc>
        <w:tc>
          <w:tcPr>
            <w:tcW w:w="2149" w:type="dxa"/>
            <w:vAlign w:val="center"/>
            <w:textDirection w:val="lrTb"/>
            <w:noWrap w:val="false"/>
          </w:tcPr>
          <w:p>
            <w:pPr>
              <w:jc w:val="center"/>
              <w:spacing w:line="360"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t xml:space="preserve">投标文件响应情况</w:t>
            </w:r>
            <w:r/>
          </w:p>
        </w:tc>
        <w:tc>
          <w:tcPr>
            <w:tcW w:w="1335" w:type="dxa"/>
            <w:vAlign w:val="center"/>
            <w:textDirection w:val="lrTb"/>
            <w:noWrap w:val="false"/>
          </w:tcPr>
          <w:p>
            <w:pPr>
              <w:jc w:val="center"/>
              <w:spacing w:line="360"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t xml:space="preserve">偏离/响应</w:t>
            </w:r>
            <w:r/>
          </w:p>
        </w:tc>
      </w:tr>
      <w:tr>
        <w:trPr>
          <w:jc w:val="center"/>
          <w:trHeight w:val="478"/>
        </w:trPr>
        <w:tc>
          <w:tcPr>
            <w:tcW w:w="934" w:type="dxa"/>
            <w:vAlign w:val="center"/>
            <w:textDirection w:val="lrTb"/>
            <w:noWrap w:val="false"/>
          </w:tcPr>
          <w:p>
            <w:pPr>
              <w:jc w:val="left"/>
              <w:spacing w:line="360"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tc>
        <w:tc>
          <w:tcPr>
            <w:tcW w:w="2051" w:type="dxa"/>
            <w:vAlign w:val="center"/>
            <w:textDirection w:val="lrTb"/>
            <w:noWrap w:val="false"/>
          </w:tcPr>
          <w:p>
            <w:pPr>
              <w:jc w:val="center"/>
              <w:spacing w:line="360"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tc>
        <w:tc>
          <w:tcPr>
            <w:tcW w:w="2970" w:type="dxa"/>
            <w:vAlign w:val="center"/>
            <w:textDirection w:val="lrTb"/>
            <w:noWrap w:val="false"/>
          </w:tcPr>
          <w:p>
            <w:pPr>
              <w:jc w:val="center"/>
              <w:spacing w:line="360"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tc>
        <w:tc>
          <w:tcPr>
            <w:tcW w:w="2149" w:type="dxa"/>
            <w:vAlign w:val="center"/>
            <w:textDirection w:val="lrTb"/>
            <w:noWrap w:val="false"/>
          </w:tcPr>
          <w:p>
            <w:pPr>
              <w:jc w:val="center"/>
              <w:spacing w:line="360"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tc>
        <w:tc>
          <w:tcPr>
            <w:tcW w:w="1335" w:type="dxa"/>
            <w:vAlign w:val="center"/>
            <w:textDirection w:val="lrTb"/>
            <w:noWrap w:val="false"/>
          </w:tcPr>
          <w:p>
            <w:pPr>
              <w:jc w:val="center"/>
              <w:spacing w:line="360"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tc>
        <w:tc>
          <w:tcPr>
            <w:tcW w:w="2051" w:type="dxa"/>
            <w:vAlign w:val="center"/>
            <w:textDirection w:val="lrTb"/>
            <w:noWrap w:val="false"/>
          </w:tcPr>
          <w:p>
            <w:pPr>
              <w:jc w:val="center"/>
              <w:spacing w:line="360"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tc>
        <w:tc>
          <w:tcPr>
            <w:tcW w:w="2970" w:type="dxa"/>
            <w:vAlign w:val="center"/>
            <w:textDirection w:val="lrTb"/>
            <w:noWrap w:val="false"/>
          </w:tcPr>
          <w:p>
            <w:pPr>
              <w:jc w:val="center"/>
              <w:spacing w:line="360"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tc>
        <w:tc>
          <w:tcPr>
            <w:tcW w:w="2149" w:type="dxa"/>
            <w:vAlign w:val="center"/>
            <w:textDirection w:val="lrTb"/>
            <w:noWrap w:val="false"/>
          </w:tcPr>
          <w:p>
            <w:pPr>
              <w:jc w:val="center"/>
              <w:spacing w:line="360"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tc>
        <w:tc>
          <w:tcPr>
            <w:tcW w:w="1335" w:type="dxa"/>
            <w:vAlign w:val="center"/>
            <w:textDirection w:val="lrTb"/>
            <w:noWrap w:val="false"/>
          </w:tcPr>
          <w:p>
            <w:pPr>
              <w:jc w:val="center"/>
              <w:spacing w:line="360"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tc>
        <w:tc>
          <w:tcPr>
            <w:tcW w:w="2051" w:type="dxa"/>
            <w:vAlign w:val="center"/>
            <w:textDirection w:val="lrTb"/>
            <w:noWrap w:val="false"/>
          </w:tcPr>
          <w:p>
            <w:pPr>
              <w:jc w:val="center"/>
              <w:spacing w:line="360"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tc>
        <w:tc>
          <w:tcPr>
            <w:tcW w:w="2970" w:type="dxa"/>
            <w:vAlign w:val="center"/>
            <w:textDirection w:val="lrTb"/>
            <w:noWrap w:val="false"/>
          </w:tcPr>
          <w:p>
            <w:pPr>
              <w:jc w:val="center"/>
              <w:spacing w:line="360"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tc>
        <w:tc>
          <w:tcPr>
            <w:tcW w:w="2149" w:type="dxa"/>
            <w:vAlign w:val="center"/>
            <w:textDirection w:val="lrTb"/>
            <w:noWrap w:val="false"/>
          </w:tcPr>
          <w:p>
            <w:pPr>
              <w:jc w:val="center"/>
              <w:spacing w:line="360"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tc>
        <w:tc>
          <w:tcPr>
            <w:tcW w:w="1335" w:type="dxa"/>
            <w:vAlign w:val="center"/>
            <w:textDirection w:val="lrTb"/>
            <w:noWrap w:val="false"/>
          </w:tcPr>
          <w:p>
            <w:pPr>
              <w:jc w:val="center"/>
              <w:spacing w:line="360"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tc>
        <w:tc>
          <w:tcPr>
            <w:tcW w:w="2051" w:type="dxa"/>
            <w:vAlign w:val="center"/>
            <w:textDirection w:val="lrTb"/>
            <w:noWrap w:val="false"/>
          </w:tcPr>
          <w:p>
            <w:pPr>
              <w:jc w:val="center"/>
              <w:spacing w:line="360"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tc>
        <w:tc>
          <w:tcPr>
            <w:tcW w:w="2970" w:type="dxa"/>
            <w:vAlign w:val="center"/>
            <w:textDirection w:val="lrTb"/>
            <w:noWrap w:val="false"/>
          </w:tcPr>
          <w:p>
            <w:pPr>
              <w:jc w:val="center"/>
              <w:spacing w:line="360"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tc>
        <w:tc>
          <w:tcPr>
            <w:tcW w:w="2149" w:type="dxa"/>
            <w:vAlign w:val="center"/>
            <w:textDirection w:val="lrTb"/>
            <w:noWrap w:val="false"/>
          </w:tcPr>
          <w:p>
            <w:pPr>
              <w:jc w:val="center"/>
              <w:spacing w:line="360"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tc>
        <w:tc>
          <w:tcPr>
            <w:tcW w:w="1335" w:type="dxa"/>
            <w:vAlign w:val="center"/>
            <w:textDirection w:val="lrTb"/>
            <w:noWrap w:val="false"/>
          </w:tcPr>
          <w:p>
            <w:pPr>
              <w:jc w:val="center"/>
              <w:spacing w:line="360"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tc>
        <w:tc>
          <w:tcPr>
            <w:tcW w:w="2051" w:type="dxa"/>
            <w:vAlign w:val="center"/>
            <w:textDirection w:val="lrTb"/>
            <w:noWrap w:val="false"/>
          </w:tcPr>
          <w:p>
            <w:pPr>
              <w:jc w:val="center"/>
              <w:spacing w:line="360"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tc>
        <w:tc>
          <w:tcPr>
            <w:tcW w:w="2970" w:type="dxa"/>
            <w:vAlign w:val="center"/>
            <w:textDirection w:val="lrTb"/>
            <w:noWrap w:val="false"/>
          </w:tcPr>
          <w:p>
            <w:pPr>
              <w:jc w:val="center"/>
              <w:spacing w:line="360"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tc>
        <w:tc>
          <w:tcPr>
            <w:tcW w:w="2149" w:type="dxa"/>
            <w:vAlign w:val="center"/>
            <w:textDirection w:val="lrTb"/>
            <w:noWrap w:val="false"/>
          </w:tcPr>
          <w:p>
            <w:pPr>
              <w:jc w:val="center"/>
              <w:spacing w:line="360"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tc>
        <w:tc>
          <w:tcPr>
            <w:tcW w:w="1335" w:type="dxa"/>
            <w:vAlign w:val="center"/>
            <w:textDirection w:val="lrTb"/>
            <w:noWrap w:val="false"/>
          </w:tcPr>
          <w:p>
            <w:pPr>
              <w:jc w:val="center"/>
              <w:spacing w:line="360"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tc>
        <w:tc>
          <w:tcPr>
            <w:tcW w:w="2051" w:type="dxa"/>
            <w:vAlign w:val="center"/>
            <w:textDirection w:val="lrTb"/>
            <w:noWrap w:val="false"/>
          </w:tcPr>
          <w:p>
            <w:pPr>
              <w:jc w:val="center"/>
              <w:spacing w:line="360"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tc>
        <w:tc>
          <w:tcPr>
            <w:tcW w:w="2970" w:type="dxa"/>
            <w:vAlign w:val="center"/>
            <w:textDirection w:val="lrTb"/>
            <w:noWrap w:val="false"/>
          </w:tcPr>
          <w:p>
            <w:pPr>
              <w:jc w:val="center"/>
              <w:spacing w:line="360"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tc>
        <w:tc>
          <w:tcPr>
            <w:tcW w:w="2149" w:type="dxa"/>
            <w:vAlign w:val="center"/>
            <w:textDirection w:val="lrTb"/>
            <w:noWrap w:val="false"/>
          </w:tcPr>
          <w:p>
            <w:pPr>
              <w:jc w:val="center"/>
              <w:spacing w:line="360"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tc>
        <w:tc>
          <w:tcPr>
            <w:tcW w:w="1335" w:type="dxa"/>
            <w:vAlign w:val="center"/>
            <w:textDirection w:val="lrTb"/>
            <w:noWrap w:val="false"/>
          </w:tcPr>
          <w:p>
            <w:pPr>
              <w:jc w:val="center"/>
              <w:spacing w:line="360"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tc>
      </w:tr>
      <w:tr>
        <w:trPr>
          <w:jc w:val="center"/>
          <w:trHeight w:val="495"/>
        </w:trPr>
        <w:tc>
          <w:tcPr>
            <w:tcW w:w="934" w:type="dxa"/>
            <w:vAlign w:val="center"/>
            <w:textDirection w:val="lrTb"/>
            <w:noWrap w:val="false"/>
          </w:tcPr>
          <w:p>
            <w:pPr>
              <w:jc w:val="center"/>
              <w:spacing w:line="360"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tc>
        <w:tc>
          <w:tcPr>
            <w:tcW w:w="2051" w:type="dxa"/>
            <w:vAlign w:val="center"/>
            <w:textDirection w:val="lrTb"/>
            <w:noWrap w:val="false"/>
          </w:tcPr>
          <w:p>
            <w:pPr>
              <w:jc w:val="center"/>
              <w:spacing w:line="360"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tc>
        <w:tc>
          <w:tcPr>
            <w:tcW w:w="2970" w:type="dxa"/>
            <w:vAlign w:val="center"/>
            <w:textDirection w:val="lrTb"/>
            <w:noWrap w:val="false"/>
          </w:tcPr>
          <w:p>
            <w:pPr>
              <w:jc w:val="center"/>
              <w:spacing w:line="360"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tc>
        <w:tc>
          <w:tcPr>
            <w:tcW w:w="2149" w:type="dxa"/>
            <w:vAlign w:val="center"/>
            <w:textDirection w:val="lrTb"/>
            <w:noWrap w:val="false"/>
          </w:tcPr>
          <w:p>
            <w:pPr>
              <w:jc w:val="center"/>
              <w:spacing w:line="360"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tc>
        <w:tc>
          <w:tcPr>
            <w:tcW w:w="1335" w:type="dxa"/>
            <w:vAlign w:val="center"/>
            <w:textDirection w:val="lrTb"/>
            <w:noWrap w:val="false"/>
          </w:tcPr>
          <w:p>
            <w:pPr>
              <w:jc w:val="center"/>
              <w:spacing w:line="360"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tc>
      </w:tr>
    </w:tbl>
    <w:p>
      <w:pPr>
        <w:pStyle w:val="1130"/>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投标人名称（盖章）：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法定代表人或法定代表人授权代表签字或盖章：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w:t>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注：1、投标人应对招标文件</w:t>
      </w:r>
      <w:r>
        <w:rPr>
          <w:rFonts w:hint="eastAsia" w:ascii="宋体" w:hAnsi="宋体" w:cs="宋体"/>
          <w:color w:val="auto"/>
          <w:szCs w:val="21"/>
          <w:highlight w:val="none"/>
          <w:lang w:val="en-US" w:eastAsia="zh-CN"/>
        </w:rPr>
        <w:t xml:space="preserve">第四章</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采购需求</w:t>
      </w:r>
      <w:r>
        <w:rPr>
          <w:rFonts w:hint="eastAsia" w:ascii="宋体" w:hAnsi="宋体" w:eastAsia="宋体" w:cs="宋体"/>
          <w:color w:val="auto"/>
          <w:szCs w:val="21"/>
          <w:highlight w:val="none"/>
        </w:rPr>
        <w:t xml:space="preserve">》要求的内容给予逐条响应。</w:t>
      </w:r>
      <w:r/>
    </w:p>
    <w:p>
      <w:pPr>
        <w:numPr>
          <w:ilvl w:val="0"/>
          <w:numId w:val="8"/>
        </w:num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“偏离/响应”栏请注明”响应或无偏离/正偏离/负偏离，正偏离指供应商的响应高于招标文件要求，负偏离指供应商的响应低于招标文件要求。</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3、如果行数不够，请自行增加。</w:t>
      </w:r>
      <w:r/>
    </w:p>
    <w:p>
      <w:pPr>
        <w:pStyle w:val="95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）中小企业声明函（格式）：</w:t>
      </w:r>
      <w:r/>
    </w:p>
    <w:p>
      <w:pPr>
        <w:ind w:firstLine="560"/>
        <w:jc w:val="center"/>
        <w:spacing w:beforeAutospacing="0" w:afterAutospacing="0"/>
        <w:widowControl w:val="off"/>
        <w:rPr>
          <w:rFonts w:ascii="黑体" w:hAnsi="宋体" w:eastAsia="黑体" w:cs="黑体"/>
          <w:color w:val="auto"/>
          <w:sz w:val="28"/>
          <w:szCs w:val="28"/>
          <w:highlight w:val="none"/>
          <w:lang w:val="en-US" w:eastAsia="zh-CN" w:bidi="ar-SA"/>
        </w:rPr>
      </w:pPr>
      <w:r>
        <w:rPr>
          <w:rFonts w:ascii="黑体" w:hAnsi="宋体" w:eastAsia="黑体" w:cs="黑体"/>
          <w:color w:val="auto"/>
          <w:sz w:val="28"/>
          <w:szCs w:val="28"/>
          <w:highlight w:val="none"/>
          <w:lang w:val="en-US" w:eastAsia="zh-CN" w:bidi="ar-SA"/>
        </w:rPr>
      </w:r>
      <w:r/>
    </w:p>
    <w:p>
      <w:pPr>
        <w:ind w:firstLine="560"/>
        <w:jc w:val="center"/>
        <w:spacing w:beforeAutospacing="0" w:afterAutospacing="0"/>
        <w:widowControl w:val="off"/>
        <w:rPr>
          <w:rFonts w:ascii="Times New Roman" w:hAnsi="Times New Roman" w:eastAsia="宋体" w:cs="Times New Roman"/>
          <w:color w:val="auto"/>
          <w:sz w:val="24"/>
          <w:highlight w:val="none"/>
          <w:lang w:val="en-US" w:eastAsia="zh-CN" w:bidi="ar-SA"/>
        </w:rPr>
      </w:pPr>
      <w:r>
        <w:rPr>
          <w:rFonts w:ascii="黑体" w:hAnsi="宋体" w:eastAsia="黑体" w:cs="黑体"/>
          <w:color w:val="auto"/>
          <w:sz w:val="28"/>
          <w:szCs w:val="28"/>
          <w:highlight w:val="none"/>
          <w:lang w:val="en-US" w:eastAsia="zh-CN" w:bidi="ar-SA"/>
        </w:rPr>
        <w:t xml:space="preserve">中小企业声明函（工程、服务）</w:t>
      </w:r>
      <w:r/>
    </w:p>
    <w:p>
      <w:pPr>
        <w:ind w:firstLine="480"/>
        <w:jc w:val="left"/>
        <w:spacing w:beforeAutospacing="0" w:afterAutospacing="0" w:line="360" w:lineRule="auto"/>
        <w:widowControl/>
        <w:rPr>
          <w:rFonts w:ascii="Times New Roman" w:hAnsi="Times New Roman" w:eastAsia="宋体" w:cs="Times New Roman"/>
          <w:color w:val="auto"/>
          <w:sz w:val="24"/>
          <w:highlight w:val="none"/>
          <w:lang w:val="en-US" w:eastAsia="zh-CN" w:bidi="ar-SA"/>
        </w:rPr>
      </w:pPr>
      <w:r>
        <w:rPr>
          <w:rFonts w:ascii="Times New Roman" w:hAnsi="Times New Roman" w:eastAsia="宋体" w:cs="Times New Roman"/>
          <w:color w:val="auto"/>
          <w:sz w:val="24"/>
          <w:highlight w:val="none"/>
          <w:lang w:val="en-US" w:eastAsia="zh-CN" w:bidi="ar-SA"/>
        </w:rPr>
        <w:t xml:space="preserve"> </w:t>
      </w:r>
      <w:r/>
    </w:p>
    <w:p>
      <w:pPr>
        <w:ind w:firstLine="480"/>
        <w:jc w:val="left"/>
        <w:spacing w:beforeAutospacing="0" w:afterAutospacing="0" w:line="360" w:lineRule="auto"/>
        <w:widowControl/>
        <w:rPr>
          <w:rFonts w:ascii="Times New Roman" w:hAnsi="Times New Roman"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本公司（联合体）郑重声明，根据《政府采购促进中小企业发展管理办法》（财库﹝2020﹞46 号）的规定，本公司（联合体）参加</w:t>
      </w:r>
      <w:r>
        <w:rPr>
          <w:rFonts w:hint="eastAsia" w:ascii="宋体" w:hAnsi="宋体" w:eastAsia="宋体" w:cs="宋体"/>
          <w:color w:val="auto"/>
          <w:sz w:val="21"/>
          <w:szCs w:val="21"/>
          <w:highlight w:val="none"/>
          <w:u w:val="single"/>
          <w:lang w:val="en-US" w:eastAsia="zh-CN" w:bidi="ar-SA"/>
        </w:rPr>
        <w:t xml:space="preserve">（单位名称）</w:t>
      </w:r>
      <w:r>
        <w:rPr>
          <w:rFonts w:hint="eastAsia" w:ascii="宋体" w:hAnsi="宋体" w:eastAsia="宋体" w:cs="宋体"/>
          <w:color w:val="auto"/>
          <w:sz w:val="21"/>
          <w:szCs w:val="21"/>
          <w:highlight w:val="none"/>
          <w:lang w:val="en-US" w:eastAsia="zh-CN" w:bidi="ar-SA"/>
        </w:rPr>
        <w:t xml:space="preserve">的</w:t>
      </w:r>
      <w:r>
        <w:rPr>
          <w:rFonts w:hint="eastAsia" w:ascii="宋体" w:hAnsi="宋体" w:eastAsia="宋体" w:cs="宋体"/>
          <w:color w:val="auto"/>
          <w:sz w:val="21"/>
          <w:szCs w:val="21"/>
          <w:highlight w:val="none"/>
          <w:u w:val="single"/>
          <w:lang w:val="en-US" w:eastAsia="zh-CN" w:bidi="ar-SA"/>
        </w:rPr>
        <w:t xml:space="preserve">（项目名称）</w:t>
      </w:r>
      <w:r>
        <w:rPr>
          <w:rFonts w:hint="eastAsia" w:ascii="宋体" w:hAnsi="宋体" w:eastAsia="宋体" w:cs="宋体"/>
          <w:color w:val="auto"/>
          <w:sz w:val="21"/>
          <w:szCs w:val="21"/>
          <w:highlight w:val="none"/>
          <w:lang w:val="en-US" w:eastAsia="zh-CN" w:bidi="ar-S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beforeAutospacing="0" w:afterAutospacing="0" w:line="360" w:lineRule="auto"/>
        <w:widowControl/>
        <w:rPr>
          <w:rFonts w:ascii="Times New Roman" w:hAnsi="Times New Roman"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 </w:t>
      </w:r>
      <w:r>
        <w:rPr>
          <w:rFonts w:hint="eastAsia" w:ascii="宋体" w:hAnsi="宋体" w:eastAsia="宋体" w:cs="宋体"/>
          <w:color w:val="auto"/>
          <w:sz w:val="21"/>
          <w:szCs w:val="21"/>
          <w:highlight w:val="none"/>
          <w:u w:val="single"/>
          <w:lang w:val="en-US" w:eastAsia="zh-CN" w:bidi="ar-SA"/>
        </w:rPr>
        <w:t xml:space="preserve">（标的名称）</w:t>
      </w:r>
      <w:r>
        <w:rPr>
          <w:rFonts w:hint="eastAsia" w:ascii="宋体" w:hAnsi="宋体" w:eastAsia="宋体" w:cs="宋体"/>
          <w:color w:val="auto"/>
          <w:sz w:val="21"/>
          <w:szCs w:val="21"/>
          <w:highlight w:val="none"/>
          <w:lang w:val="en-US" w:eastAsia="zh-CN" w:bidi="ar-SA"/>
        </w:rPr>
        <w:t xml:space="preserve"> ，属于</w:t>
      </w:r>
      <w:r>
        <w:rPr>
          <w:rFonts w:hint="eastAsia" w:ascii="宋体" w:hAnsi="宋体" w:eastAsia="宋体" w:cs="宋体"/>
          <w:color w:val="auto"/>
          <w:sz w:val="21"/>
          <w:szCs w:val="21"/>
          <w:highlight w:val="none"/>
          <w:u w:val="single"/>
          <w:lang w:val="en-US" w:eastAsia="zh-CN" w:bidi="ar-SA"/>
        </w:rPr>
        <w:t xml:space="preserve">（招标文件中明确的所属行业）</w:t>
      </w:r>
      <w:r>
        <w:rPr>
          <w:rFonts w:hint="eastAsia" w:ascii="宋体" w:hAnsi="宋体" w:eastAsia="宋体" w:cs="宋体"/>
          <w:color w:val="auto"/>
          <w:sz w:val="21"/>
          <w:szCs w:val="21"/>
          <w:highlight w:val="none"/>
          <w:lang w:val="en-US" w:eastAsia="zh-CN" w:bidi="ar-SA"/>
        </w:rPr>
        <w:t xml:space="preserve">；承建（承接）企业为</w:t>
      </w:r>
      <w:r>
        <w:rPr>
          <w:rFonts w:hint="eastAsia" w:ascii="宋体" w:hAnsi="宋体" w:eastAsia="宋体" w:cs="宋体"/>
          <w:color w:val="auto"/>
          <w:sz w:val="21"/>
          <w:szCs w:val="21"/>
          <w:highlight w:val="none"/>
          <w:u w:val="single"/>
          <w:lang w:val="en-US" w:eastAsia="zh-CN" w:bidi="ar-SA"/>
        </w:rPr>
        <w:t xml:space="preserve">（企业名称）</w:t>
      </w:r>
      <w:r>
        <w:rPr>
          <w:rFonts w:hint="eastAsia" w:ascii="宋体" w:hAnsi="宋体" w:eastAsia="宋体" w:cs="宋体"/>
          <w:color w:val="auto"/>
          <w:sz w:val="21"/>
          <w:szCs w:val="21"/>
          <w:highlight w:val="none"/>
          <w:lang w:val="en-US" w:eastAsia="zh-CN" w:bidi="ar-SA"/>
        </w:rPr>
        <w:t xml:space="preserve">，从业人员</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人，营业收入为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万元，资产总额为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万元</w:t>
      </w:r>
      <w:r>
        <w:rPr>
          <w:rFonts w:hint="eastAsia" w:ascii="宋体" w:hAnsi="宋体" w:eastAsia="宋体" w:cs="宋体"/>
          <w:color w:val="auto"/>
          <w:sz w:val="21"/>
          <w:szCs w:val="21"/>
          <w:highlight w:val="none"/>
          <w:vertAlign w:val="superscript"/>
          <w:lang w:val="en-US" w:eastAsia="zh-CN" w:bidi="ar-SA"/>
        </w:rPr>
        <w:t xml:space="preserve">1</w:t>
      </w:r>
      <w:r>
        <w:rPr>
          <w:rFonts w:hint="eastAsia" w:ascii="宋体" w:hAnsi="宋体" w:eastAsia="宋体" w:cs="宋体"/>
          <w:color w:val="auto"/>
          <w:sz w:val="21"/>
          <w:szCs w:val="21"/>
          <w:highlight w:val="none"/>
          <w:lang w:val="en-US" w:eastAsia="zh-CN" w:bidi="ar-SA"/>
        </w:rPr>
        <w:t xml:space="preserve">，属于</w:t>
      </w:r>
      <w:r>
        <w:rPr>
          <w:rFonts w:hint="eastAsia" w:ascii="宋体" w:hAnsi="宋体" w:eastAsia="宋体" w:cs="宋体"/>
          <w:color w:val="auto"/>
          <w:sz w:val="21"/>
          <w:szCs w:val="21"/>
          <w:highlight w:val="none"/>
          <w:u w:val="single"/>
          <w:lang w:val="en-US" w:eastAsia="zh-CN" w:bidi="ar-SA"/>
        </w:rPr>
        <w:t xml:space="preserve">（中型企业、小型企业、微型企业）</w:t>
      </w:r>
      <w:r>
        <w:rPr>
          <w:rFonts w:hint="eastAsia" w:ascii="宋体" w:hAnsi="宋体" w:eastAsia="宋体" w:cs="宋体"/>
          <w:color w:val="auto"/>
          <w:sz w:val="21"/>
          <w:szCs w:val="21"/>
          <w:highlight w:val="none"/>
          <w:lang w:val="en-US" w:eastAsia="zh-CN" w:bidi="ar-SA"/>
        </w:rPr>
        <w:t xml:space="preserve">；</w:t>
      </w:r>
      <w:r/>
    </w:p>
    <w:p>
      <w:pPr>
        <w:ind w:firstLine="480"/>
        <w:jc w:val="left"/>
        <w:spacing w:beforeAutospacing="0" w:afterAutospacing="0" w:line="360" w:lineRule="auto"/>
        <w:widowControl/>
        <w:rPr>
          <w:rFonts w:ascii="Times New Roman" w:hAnsi="Times New Roman"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 </w:t>
      </w:r>
      <w:r>
        <w:rPr>
          <w:rFonts w:hint="eastAsia" w:ascii="宋体" w:hAnsi="宋体" w:eastAsia="宋体" w:cs="宋体"/>
          <w:color w:val="auto"/>
          <w:sz w:val="21"/>
          <w:szCs w:val="21"/>
          <w:highlight w:val="none"/>
          <w:u w:val="single"/>
          <w:lang w:val="en-US" w:eastAsia="zh-CN" w:bidi="ar-SA"/>
        </w:rPr>
        <w:t xml:space="preserve">（标的名称）</w:t>
      </w:r>
      <w:r>
        <w:rPr>
          <w:rFonts w:hint="eastAsia" w:ascii="宋体" w:hAnsi="宋体" w:eastAsia="宋体" w:cs="宋体"/>
          <w:color w:val="auto"/>
          <w:sz w:val="21"/>
          <w:szCs w:val="21"/>
          <w:highlight w:val="none"/>
          <w:lang w:val="en-US" w:eastAsia="zh-CN" w:bidi="ar-SA"/>
        </w:rPr>
        <w:t xml:space="preserve"> ，属于</w:t>
      </w:r>
      <w:r>
        <w:rPr>
          <w:rFonts w:hint="eastAsia" w:ascii="宋体" w:hAnsi="宋体" w:eastAsia="宋体" w:cs="宋体"/>
          <w:color w:val="auto"/>
          <w:sz w:val="21"/>
          <w:szCs w:val="21"/>
          <w:highlight w:val="none"/>
          <w:u w:val="single"/>
          <w:lang w:val="en-US" w:eastAsia="zh-CN" w:bidi="ar-SA"/>
        </w:rPr>
        <w:t xml:space="preserve">（招标文件中明确的所属行业）</w:t>
      </w:r>
      <w:r>
        <w:rPr>
          <w:rFonts w:hint="eastAsia" w:ascii="宋体" w:hAnsi="宋体" w:eastAsia="宋体" w:cs="宋体"/>
          <w:color w:val="auto"/>
          <w:sz w:val="21"/>
          <w:szCs w:val="21"/>
          <w:highlight w:val="none"/>
          <w:lang w:val="en-US" w:eastAsia="zh-CN" w:bidi="ar-SA"/>
        </w:rPr>
        <w:t xml:space="preserve">；承建（承接）企业为</w:t>
      </w:r>
      <w:r>
        <w:rPr>
          <w:rFonts w:hint="eastAsia" w:ascii="宋体" w:hAnsi="宋体" w:eastAsia="宋体" w:cs="宋体"/>
          <w:color w:val="auto"/>
          <w:sz w:val="21"/>
          <w:szCs w:val="21"/>
          <w:highlight w:val="none"/>
          <w:u w:val="single"/>
          <w:lang w:val="en-US" w:eastAsia="zh-CN" w:bidi="ar-SA"/>
        </w:rPr>
        <w:t xml:space="preserve">（企业名称）</w:t>
      </w:r>
      <w:r>
        <w:rPr>
          <w:rFonts w:hint="eastAsia" w:ascii="宋体" w:hAnsi="宋体" w:eastAsia="宋体" w:cs="宋体"/>
          <w:color w:val="auto"/>
          <w:sz w:val="21"/>
          <w:szCs w:val="21"/>
          <w:highlight w:val="none"/>
          <w:lang w:val="en-US" w:eastAsia="zh-CN" w:bidi="ar-SA"/>
        </w:rPr>
        <w:t xml:space="preserve">，从业人员</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人，营业收入为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万元，资产总额为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万元，属于</w:t>
      </w:r>
      <w:r>
        <w:rPr>
          <w:rFonts w:hint="eastAsia" w:ascii="宋体" w:hAnsi="宋体" w:eastAsia="宋体" w:cs="宋体"/>
          <w:color w:val="auto"/>
          <w:sz w:val="21"/>
          <w:szCs w:val="21"/>
          <w:highlight w:val="none"/>
          <w:u w:val="single"/>
          <w:lang w:val="en-US" w:eastAsia="zh-CN" w:bidi="ar-SA"/>
        </w:rPr>
        <w:t xml:space="preserve">（中型企业、小型企业、微型企业）</w:t>
      </w:r>
      <w:r>
        <w:rPr>
          <w:rFonts w:hint="eastAsia" w:ascii="宋体" w:hAnsi="宋体" w:eastAsia="宋体" w:cs="宋体"/>
          <w:color w:val="auto"/>
          <w:sz w:val="21"/>
          <w:szCs w:val="21"/>
          <w:highlight w:val="none"/>
          <w:lang w:val="en-US" w:eastAsia="zh-CN" w:bidi="ar-SA"/>
        </w:rPr>
        <w:t xml:space="preserve">；</w:t>
      </w:r>
      <w:r/>
    </w:p>
    <w:p>
      <w:pPr>
        <w:ind w:firstLine="480"/>
        <w:jc w:val="left"/>
        <w:spacing w:beforeAutospacing="0" w:afterAutospacing="0" w:line="360" w:lineRule="auto"/>
        <w:widowControl/>
        <w:rPr>
          <w:rFonts w:ascii="Times New Roman" w:hAnsi="Times New Roman"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p>
    <w:p>
      <w:pPr>
        <w:ind w:firstLine="480"/>
        <w:jc w:val="left"/>
        <w:spacing w:beforeAutospacing="0" w:afterAutospacing="0" w:line="360" w:lineRule="auto"/>
        <w:widowControl/>
        <w:rPr>
          <w:rFonts w:ascii="Times New Roman" w:hAnsi="Times New Roman"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以上企业，不属于大企业的分支机构，不存在控股股东为大企业的情形，也不存在与大企业的负责人为同一人的情形。</w:t>
      </w:r>
      <w:r/>
    </w:p>
    <w:p>
      <w:pPr>
        <w:ind w:firstLine="480"/>
        <w:jc w:val="left"/>
        <w:spacing w:beforeAutospacing="0" w:afterAutospacing="0" w:line="360" w:lineRule="auto"/>
        <w:widowControl/>
        <w:rPr>
          <w:rFonts w:ascii="Times New Roman" w:hAnsi="Times New Roman"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本企业对上述声明内容的真实性负责。如有虚假，将依法承担相应责任。</w:t>
      </w:r>
      <w:r/>
    </w:p>
    <w:p>
      <w:pPr>
        <w:ind w:firstLine="480"/>
        <w:jc w:val="left"/>
        <w:spacing w:beforeAutospacing="0" w:afterAutospacing="0" w:line="36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 </w:t>
      </w:r>
      <w:r/>
    </w:p>
    <w:p>
      <w:pPr>
        <w:ind w:firstLine="480"/>
        <w:jc w:val="right"/>
        <w:spacing w:beforeAutospacing="0" w:afterAutospacing="0" w:line="360" w:lineRule="auto"/>
        <w:widowControl/>
        <w:rPr>
          <w:rFonts w:ascii="Times New Roman" w:hAnsi="Times New Roman"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企业名称（盖章）：    </w:t>
      </w:r>
      <w:r/>
    </w:p>
    <w:p>
      <w:pPr>
        <w:ind w:firstLine="480"/>
        <w:jc w:val="center"/>
        <w:spacing w:beforeAutospacing="0" w:afterAutospacing="0" w:line="360" w:lineRule="auto"/>
        <w:widowControl/>
        <w:rPr>
          <w:rFonts w:ascii="Times New Roman" w:hAnsi="Times New Roman" w:eastAsia="宋体" w:cs="Times New Roman"/>
          <w:color w:val="auto"/>
          <w:sz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                                                日期：</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r/>
    </w:p>
    <w:p>
      <w:pPr>
        <w:ind w:firstLine="480"/>
        <w:jc w:val="both"/>
        <w:spacing w:beforeAutospacing="0" w:afterAutospacing="0"/>
        <w:widowControl w:val="off"/>
        <w:rPr>
          <w:rFonts w:ascii="Times New Roman" w:hAnsi="Times New Roman" w:eastAsia="宋体" w:cs="Times New Roman"/>
          <w:color w:val="auto"/>
          <w:sz w:val="24"/>
          <w:highlight w:val="none"/>
          <w:lang w:val="en-US" w:eastAsia="zh-CN" w:bidi="ar-SA"/>
        </w:rPr>
      </w:pPr>
      <w:r>
        <w:rPr>
          <w:rFonts w:ascii="Times New Roman" w:hAnsi="Times New Roman" w:eastAsia="宋体" w:cs="Times New Roman"/>
          <w:color w:val="auto"/>
          <w:sz w:val="24"/>
          <w:highlight w:val="none"/>
          <w:lang w:val="en-US" w:eastAsia="zh-CN" w:bidi="ar-SA"/>
        </w:rPr>
        <w:t xml:space="preserve"> </w:t>
      </w:r>
      <w:r/>
    </w:p>
    <w:p>
      <w:pPr>
        <w:ind w:firstLine="480"/>
        <w:jc w:val="both"/>
        <w:spacing w:beforeAutospacing="0" w:afterAutospacing="0" w:line="300" w:lineRule="auto"/>
        <w:widowControl w:val="off"/>
        <w:rPr>
          <w:rFonts w:ascii="Times New Roman" w:hAnsi="Times New Roman" w:eastAsia="宋体" w:cs="Times New Roman"/>
          <w:color w:val="auto"/>
          <w:sz w:val="24"/>
          <w:highlight w:val="none"/>
          <w:lang w:val="en-US" w:eastAsia="zh-CN" w:bidi="ar-SA"/>
        </w:rPr>
      </w:pPr>
      <w:r>
        <w:rPr>
          <w:rFonts w:ascii="Times New Roman" w:hAnsi="Times New Roman" w:eastAsia="宋体" w:cs="Times New Roman"/>
          <w:color w:val="auto"/>
          <w:sz w:val="24"/>
          <w:highlight w:val="none"/>
          <w:lang w:val="en-US" w:eastAsia="zh-CN" w:bidi="ar-SA"/>
        </w:rPr>
      </w:r>
      <w:r/>
    </w:p>
    <w:p>
      <w:pPr>
        <w:ind w:firstLine="480"/>
        <w:jc w:val="both"/>
        <w:spacing w:beforeAutospacing="0" w:afterAutospacing="0" w:line="300" w:lineRule="auto"/>
        <w:widowControl w:val="off"/>
        <w:rPr>
          <w:rFonts w:ascii="Times New Roman" w:hAnsi="Times New Roman" w:eastAsia="宋体" w:cs="Times New Roman"/>
          <w:color w:val="auto"/>
          <w:sz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注：1.从业人员、营业收入、资产总额填报上一年度数据，无上一年度数据的新成立企业可不填报。</w:t>
      </w:r>
      <w:r/>
    </w:p>
    <w:p>
      <w:pPr>
        <w:numPr>
          <w:ilvl w:val="0"/>
          <w:numId w:val="8"/>
        </w:numPr>
        <w:ind w:firstLine="420"/>
        <w:jc w:val="both"/>
        <w:spacing w:beforeAutospacing="0" w:afterAutospacing="0" w:line="30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both"/>
        <w:spacing w:beforeAutospacing="0" w:afterAutospacing="0" w:line="30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center"/>
        <w:spacing w:line="360" w:lineRule="auto"/>
        <w:rPr>
          <w:rFonts w:hint="eastAsia" w:ascii="宋体" w:hAnsi="宋体" w:eastAsia="宋体" w:cs="宋体"/>
          <w:b/>
          <w:color w:val="auto"/>
          <w:sz w:val="36"/>
          <w:szCs w:val="28"/>
          <w:highlight w:val="none"/>
        </w:rPr>
      </w:pPr>
      <w:r>
        <w:rPr>
          <w:rFonts w:hint="eastAsia" w:ascii="宋体" w:hAnsi="宋体" w:eastAsia="宋体" w:cs="宋体"/>
          <w:b/>
          <w:color w:val="auto"/>
          <w:sz w:val="36"/>
          <w:szCs w:val="28"/>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rPr>
          <w:rFonts w:hint="eastAsia" w:ascii="宋体" w:hAnsi="宋体" w:eastAsia="宋体" w:cs="宋体"/>
          <w:b/>
          <w:color w:val="auto"/>
          <w:szCs w:val="21"/>
          <w:highlight w:val="none"/>
        </w:rPr>
        <w:t xml:space="preserve">（</w:t>
      </w:r>
      <w:r>
        <w:rPr>
          <w:rFonts w:hint="eastAsia" w:ascii="宋体" w:hAnsi="宋体" w:cs="宋体"/>
          <w:b/>
          <w:color w:val="auto"/>
          <w:szCs w:val="21"/>
          <w:highlight w:val="none"/>
          <w:lang w:val="en-US" w:eastAsia="zh-CN"/>
        </w:rPr>
        <w:t xml:space="preserve">七</w:t>
      </w:r>
      <w:r>
        <w:rPr>
          <w:rFonts w:hint="eastAsia" w:ascii="宋体" w:hAnsi="宋体" w:eastAsia="宋体" w:cs="宋体"/>
          <w:b/>
          <w:color w:val="auto"/>
          <w:szCs w:val="21"/>
          <w:highlight w:val="none"/>
        </w:rPr>
        <w:t xml:space="preserve">）残疾人福利性单位声明函（格式）：</w:t>
      </w:r>
      <w:r/>
    </w:p>
    <w:p>
      <w:pPr>
        <w:spacing w:line="588" w:lineRule="exact"/>
        <w:rPr>
          <w:rFonts w:hint="eastAsia" w:ascii="宋体" w:hAnsi="宋体" w:eastAsia="宋体" w:cs="宋体"/>
          <w:b/>
          <w:color w:val="auto"/>
          <w:spacing w:val="6"/>
          <w:sz w:val="30"/>
          <w:szCs w:val="30"/>
          <w:highlight w:val="none"/>
        </w:rPr>
      </w:pPr>
      <w:r>
        <w:rPr>
          <w:rFonts w:hint="eastAsia" w:ascii="宋体" w:hAnsi="宋体" w:eastAsia="宋体" w:cs="宋体"/>
          <w:b/>
          <w:color w:val="auto"/>
          <w:spacing w:val="6"/>
          <w:sz w:val="30"/>
          <w:szCs w:val="30"/>
          <w:highlight w:val="none"/>
        </w:rPr>
      </w:r>
      <w:r/>
    </w:p>
    <w:p>
      <w:pPr>
        <w:jc w:val="center"/>
        <w:spacing w:line="360" w:lineRule="auto"/>
        <w:rPr>
          <w:rFonts w:hint="eastAsia" w:ascii="宋体" w:hAnsi="宋体" w:eastAsia="宋体" w:cs="宋体"/>
          <w:b/>
          <w:color w:val="auto"/>
          <w:sz w:val="36"/>
          <w:szCs w:val="28"/>
          <w:highlight w:val="none"/>
        </w:rPr>
      </w:pPr>
      <w:r>
        <w:rPr>
          <w:rFonts w:hint="eastAsia" w:ascii="宋体" w:hAnsi="宋体" w:eastAsia="宋体" w:cs="宋体"/>
          <w:b/>
          <w:color w:val="auto"/>
          <w:sz w:val="36"/>
          <w:szCs w:val="28"/>
          <w:highlight w:val="none"/>
        </w:rPr>
        <w:t xml:space="preserve">残疾人福利性单位声明函</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eastAsia="宋体" w:cs="宋体"/>
          <w:bCs/>
          <w:color w:val="auto"/>
          <w:szCs w:val="21"/>
          <w:highlight w:val="none"/>
          <w:u w:val="single"/>
        </w:rPr>
        <w:t xml:space="preserve">             项目</w:t>
      </w:r>
      <w:r>
        <w:rPr>
          <w:rFonts w:hint="eastAsia" w:ascii="宋体" w:hAnsi="宋体" w:eastAsia="宋体" w:cs="宋体"/>
          <w:bCs/>
          <w:color w:val="auto"/>
          <w:szCs w:val="21"/>
          <w:highlight w:val="none"/>
        </w:rPr>
        <w:t xml:space="preserve">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本单位对上述声明的真实性负责。如有虚假，将依法承担相应责任。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399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单位名称（盖章）：</w:t>
      </w:r>
      <w:r/>
    </w:p>
    <w:p>
      <w:pPr>
        <w:ind w:firstLine="399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日  期：</w:t>
      </w:r>
      <w:r/>
    </w:p>
    <w:p>
      <w:pPr>
        <w:pStyle w:val="1129"/>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2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9"/>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5"/>
        <w:numPr>
          <w:ilvl w:val="0"/>
          <w:numId w:val="0"/>
        </w:numPr>
        <w:ind w:right="0"/>
        <w:jc w:val="both"/>
        <w:keepLines w:val="0"/>
        <w:keepNext w:val="0"/>
        <w:spacing w:before="100" w:beforeAutospacing="1" w:after="100" w:afterAutospacing="1" w:line="500" w:lineRule="atLeast"/>
        <w:widowControl/>
        <w:rPr>
          <w:rFonts w:hint="eastAsia" w:ascii="宋体" w:hAnsi="宋体" w:eastAsia="宋体" w:cs="宋体"/>
          <w:b/>
          <w:color w:val="auto"/>
          <w:szCs w:val="21"/>
          <w:highlight w:val="none"/>
        </w:rPr>
        <w:suppressLineNumbers w:val="0"/>
      </w:pP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八</w:t>
      </w:r>
      <w:r>
        <w:rPr>
          <w:rFonts w:hint="eastAsia" w:ascii="宋体" w:hAnsi="宋体" w:cs="宋体"/>
          <w:b/>
          <w:color w:val="auto"/>
          <w:szCs w:val="21"/>
          <w:highlight w:val="none"/>
          <w:lang w:eastAsia="zh-CN"/>
        </w:rPr>
        <w:t xml:space="preserve">）</w:t>
      </w:r>
      <w:r>
        <w:rPr>
          <w:rFonts w:hint="eastAsia" w:ascii="宋体" w:hAnsi="宋体" w:eastAsia="宋体" w:cs="宋体"/>
          <w:b/>
          <w:color w:val="auto"/>
          <w:szCs w:val="21"/>
          <w:highlight w:val="none"/>
        </w:rPr>
        <w:t xml:space="preserve">南京市政府采购供应商信用记录表暨信用承诺书（格式）：</w:t>
      </w:r>
      <w:r/>
    </w:p>
    <w:p>
      <w:pPr>
        <w:pStyle w:val="975"/>
        <w:numPr>
          <w:ilvl w:val="0"/>
          <w:numId w:val="0"/>
        </w:numPr>
        <w:ind w:right="0"/>
        <w:jc w:val="center"/>
        <w:keepLines w:val="0"/>
        <w:keepNext w:val="0"/>
        <w:spacing w:before="100" w:beforeAutospacing="1" w:after="100" w:afterAutospacing="1" w:line="500" w:lineRule="atLeast"/>
        <w:widowControl/>
        <w:rPr>
          <w:rFonts w:hint="eastAsia" w:ascii="宋体" w:hAnsi="宋体" w:eastAsia="宋体" w:cs="宋体"/>
          <w:b/>
          <w:color w:val="auto"/>
          <w:szCs w:val="21"/>
          <w:highlight w:val="none"/>
        </w:rPr>
        <w:suppressLineNumbers w:val="0"/>
      </w:pPr>
      <w:r>
        <w:rPr>
          <w:rFonts w:hint="eastAsia" w:ascii="宋体" w:hAnsi="宋体" w:eastAsia="宋体" w:cs="宋体"/>
          <w:b/>
          <w:color w:val="auto"/>
          <w:szCs w:val="21"/>
          <w:highlight w:val="none"/>
        </w:rPr>
        <w:t xml:space="preserve">南京市政府采购供应商信用记录表暨信用承诺书</w:t>
      </w:r>
      <w:r/>
    </w:p>
    <w:p>
      <w:pPr>
        <w:pStyle w:val="975"/>
        <w:ind w:left="0" w:right="0"/>
        <w:jc w:val="right"/>
        <w:keepLines w:val="0"/>
        <w:keepNext w:val="0"/>
        <w:spacing w:before="0" w:beforeAutospacing="0" w:after="0" w:afterAutospacing="0" w:line="240" w:lineRule="auto"/>
        <w:widowControl/>
        <w:rPr>
          <w:rFonts w:hint="eastAsia" w:ascii="宋体" w:hAnsi="宋体" w:eastAsia="宋体" w:cs="宋体"/>
          <w:color w:val="auto"/>
          <w:highlight w:val="none"/>
        </w:rPr>
        <w:suppressLineNumbers w:val="0"/>
      </w:pPr>
      <w:r>
        <w:rPr>
          <w:rFonts w:hint="eastAsia" w:ascii="宋体" w:hAnsi="宋体" w:eastAsia="宋体" w:cs="宋体"/>
          <w:b w:val="0"/>
          <w:bCs w:val="0"/>
          <w:color w:val="auto"/>
          <w:sz w:val="21"/>
          <w:szCs w:val="21"/>
          <w:highlight w:val="none"/>
        </w:rPr>
        <w:t xml:space="preserve">年月日</w:t>
      </w:r>
      <w:r>
        <w:rPr>
          <w:rFonts w:hint="eastAsia" w:ascii="宋体" w:hAnsi="宋体" w:eastAsia="宋体" w:cs="宋体"/>
          <w:color w:val="auto"/>
          <w:highlight w:val="none"/>
        </w:rPr>
        <w:t xml:space="preserve"> </w:t>
      </w:r>
      <w:r/>
    </w:p>
    <w:tbl>
      <w:tblPr>
        <w:tblStyle w:val="884"/>
        <w:tblW w:w="8991" w:type="dxa"/>
        <w:tblCellSpacing w:w="15" w:type="dxa"/>
        <w:tblInd w:w="-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702"/>
        <w:gridCol w:w="1037"/>
        <w:gridCol w:w="6889"/>
        <w:gridCol w:w="363"/>
      </w:tblGrid>
      <w:tr>
        <w:trPr>
          <w:tblCellSpacing w:w="15" w:type="dxa"/>
          <w:trHeight w:val="20"/>
        </w:trPr>
        <w:tc>
          <w:tcPr>
            <w:tcW w:w="657" w:type="dxa"/>
            <w:vAlign w:val="center"/>
            <w:textDirection w:val="lrTb"/>
            <w:noWrap w:val="false"/>
          </w:tcPr>
          <w:p>
            <w:pPr>
              <w:ind w:left="0" w:right="0"/>
              <w:jc w:val="left"/>
              <w:keepLines w:val="0"/>
              <w:keepNext w:val="0"/>
              <w:spacing w:before="100" w:beforeAutospacing="1" w:after="100" w:afterAutospacing="1" w:line="22" w:lineRule="atLeast"/>
              <w:widowControl/>
              <w:rPr>
                <w:rFonts w:hint="eastAsia" w:ascii="宋体" w:hAnsi="宋体" w:eastAsia="宋体" w:cs="宋体"/>
                <w:color w:val="auto"/>
                <w:sz w:val="24"/>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单位名称</w:t>
            </w:r>
            <w:r>
              <w:rPr>
                <w:rFonts w:hint="eastAsia" w:ascii="宋体" w:hAnsi="宋体" w:eastAsia="宋体" w:cs="宋体"/>
                <w:color w:val="auto"/>
                <w:sz w:val="24"/>
                <w:highlight w:val="none"/>
                <w:lang w:val="en-US" w:eastAsia="zh-CN" w:bidi="ar-SA"/>
              </w:rPr>
              <w:t xml:space="preserve"> </w:t>
            </w:r>
            <w:r/>
          </w:p>
        </w:tc>
        <w:tc>
          <w:tcPr>
            <w:tcW w:w="1007" w:type="dxa"/>
            <w:vAlign w:val="center"/>
            <w:textDirection w:val="lrTb"/>
            <w:noWrap w:val="false"/>
          </w:tcPr>
          <w:p>
            <w:pPr>
              <w:ind w:left="0" w:right="0"/>
              <w:jc w:val="left"/>
              <w:keepLines w:val="0"/>
              <w:keepNext w:val="0"/>
              <w:spacing w:before="100" w:beforeAutospacing="1" w:after="100" w:afterAutospacing="1" w:line="22" w:lineRule="atLeast"/>
              <w:widowControl/>
              <w:rPr>
                <w:rFonts w:hint="eastAsia" w:ascii="宋体" w:hAnsi="宋体" w:eastAsia="宋体" w:cs="宋体"/>
                <w:color w:val="auto"/>
                <w:sz w:val="24"/>
                <w:highlight w:val="none"/>
                <w:lang w:val="en-US" w:eastAsia="zh-CN" w:bidi="ar-SA"/>
              </w:rPr>
              <w:suppressLineNumbers w:val="0"/>
            </w:pPr>
            <w:r>
              <w:rPr>
                <w:rFonts w:hint="eastAsia" w:ascii="宋体" w:hAnsi="宋体" w:eastAsia="宋体" w:cs="宋体"/>
                <w:color w:val="auto"/>
                <w:sz w:val="24"/>
                <w:highlight w:val="none"/>
                <w:lang w:val="en-US" w:eastAsia="zh-CN" w:bidi="ar-SA"/>
              </w:rPr>
            </w:r>
            <w:r/>
          </w:p>
        </w:tc>
        <w:tc>
          <w:tcPr>
            <w:tcW w:w="6859" w:type="dxa"/>
            <w:vAlign w:val="center"/>
            <w:textDirection w:val="lrTb"/>
            <w:noWrap w:val="false"/>
          </w:tcPr>
          <w:p>
            <w:pPr>
              <w:ind w:left="0" w:right="0"/>
              <w:jc w:val="left"/>
              <w:keepLines w:val="0"/>
              <w:keepNext w:val="0"/>
              <w:spacing w:before="100" w:beforeAutospacing="1" w:after="100" w:afterAutospacing="1" w:line="22" w:lineRule="atLeast"/>
              <w:widowControl/>
              <w:rPr>
                <w:rFonts w:hint="eastAsia" w:ascii="宋体" w:hAnsi="宋体" w:eastAsia="宋体" w:cs="宋体"/>
                <w:color w:val="auto"/>
                <w:sz w:val="24"/>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统一社会信用代码</w:t>
            </w:r>
            <w:r>
              <w:rPr>
                <w:rFonts w:hint="eastAsia" w:ascii="宋体" w:hAnsi="宋体" w:eastAsia="宋体" w:cs="宋体"/>
                <w:color w:val="auto"/>
                <w:sz w:val="24"/>
                <w:highlight w:val="none"/>
                <w:lang w:val="en-US" w:eastAsia="zh-CN" w:bidi="ar-SA"/>
              </w:rPr>
              <w:t xml:space="preserve"> </w:t>
            </w:r>
            <w:r/>
          </w:p>
        </w:tc>
        <w:tc>
          <w:tcPr>
            <w:tcW w:w="318" w:type="dxa"/>
            <w:vAlign w:val="center"/>
            <w:textDirection w:val="lrTb"/>
            <w:noWrap w:val="false"/>
          </w:tcPr>
          <w:p>
            <w:pPr>
              <w:ind w:left="0" w:right="0"/>
              <w:jc w:val="left"/>
              <w:keepLines w:val="0"/>
              <w:keepNext w:val="0"/>
              <w:spacing w:before="100" w:beforeAutospacing="1" w:after="100" w:afterAutospacing="1" w:line="22" w:lineRule="atLeast"/>
              <w:widowControl/>
              <w:rPr>
                <w:rFonts w:hint="eastAsia" w:ascii="宋体" w:hAnsi="宋体" w:eastAsia="宋体" w:cs="宋体"/>
                <w:color w:val="auto"/>
                <w:sz w:val="24"/>
                <w:highlight w:val="none"/>
                <w:lang w:val="en-US" w:eastAsia="zh-CN" w:bidi="ar-SA"/>
              </w:rPr>
              <w:suppressLineNumbers w:val="0"/>
            </w:pPr>
            <w:r>
              <w:rPr>
                <w:rFonts w:hint="eastAsia" w:ascii="宋体" w:hAnsi="宋体" w:eastAsia="宋体" w:cs="宋体"/>
                <w:color w:val="auto"/>
                <w:sz w:val="24"/>
                <w:highlight w:val="none"/>
                <w:lang w:val="en-US" w:eastAsia="zh-CN" w:bidi="ar-SA"/>
              </w:rPr>
            </w:r>
            <w:r/>
          </w:p>
        </w:tc>
      </w:tr>
      <w:tr>
        <w:trPr>
          <w:tblCellSpacing w:w="15" w:type="dxa"/>
          <w:trHeight w:val="20"/>
        </w:trPr>
        <w:tc>
          <w:tcPr>
            <w:tcW w:w="657" w:type="dxa"/>
            <w:vAlign w:val="center"/>
            <w:textDirection w:val="lrTb"/>
            <w:noWrap w:val="false"/>
          </w:tcPr>
          <w:p>
            <w:pPr>
              <w:ind w:left="0" w:right="0"/>
              <w:jc w:val="left"/>
              <w:keepLines w:val="0"/>
              <w:keepNext w:val="0"/>
              <w:spacing w:before="100" w:beforeAutospacing="1" w:after="100" w:afterAutospacing="1" w:line="22" w:lineRule="atLeast"/>
              <w:widowControl/>
              <w:rPr>
                <w:rFonts w:hint="eastAsia" w:ascii="宋体" w:hAnsi="宋体" w:eastAsia="宋体" w:cs="宋体"/>
                <w:color w:val="auto"/>
                <w:sz w:val="24"/>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法定代表人</w:t>
            </w:r>
            <w:r>
              <w:rPr>
                <w:rFonts w:hint="eastAsia" w:ascii="宋体" w:hAnsi="宋体" w:eastAsia="宋体" w:cs="宋体"/>
                <w:color w:val="auto"/>
                <w:sz w:val="24"/>
                <w:highlight w:val="none"/>
                <w:lang w:val="en-US" w:eastAsia="zh-CN" w:bidi="ar-SA"/>
              </w:rPr>
              <w:t xml:space="preserve"> </w:t>
            </w:r>
            <w:r/>
          </w:p>
        </w:tc>
        <w:tc>
          <w:tcPr>
            <w:tcW w:w="1007" w:type="dxa"/>
            <w:vAlign w:val="center"/>
            <w:textDirection w:val="lrTb"/>
            <w:noWrap w:val="false"/>
          </w:tcPr>
          <w:p>
            <w:pPr>
              <w:ind w:left="0" w:right="0"/>
              <w:jc w:val="left"/>
              <w:keepLines w:val="0"/>
              <w:keepNext w:val="0"/>
              <w:spacing w:before="100" w:beforeAutospacing="1" w:after="100" w:afterAutospacing="1" w:line="22" w:lineRule="atLeast"/>
              <w:widowControl/>
              <w:rPr>
                <w:rFonts w:hint="eastAsia" w:ascii="宋体" w:hAnsi="宋体" w:eastAsia="宋体" w:cs="宋体"/>
                <w:color w:val="auto"/>
                <w:sz w:val="24"/>
                <w:highlight w:val="none"/>
                <w:lang w:val="en-US" w:eastAsia="zh-CN" w:bidi="ar-SA"/>
              </w:rPr>
              <w:suppressLineNumbers w:val="0"/>
            </w:pPr>
            <w:r>
              <w:rPr>
                <w:rFonts w:hint="eastAsia" w:ascii="宋体" w:hAnsi="宋体" w:eastAsia="宋体" w:cs="宋体"/>
                <w:color w:val="auto"/>
                <w:sz w:val="24"/>
                <w:highlight w:val="none"/>
                <w:lang w:val="en-US" w:eastAsia="zh-CN" w:bidi="ar-SA"/>
              </w:rPr>
            </w:r>
            <w:r/>
          </w:p>
        </w:tc>
        <w:tc>
          <w:tcPr>
            <w:tcW w:w="6859" w:type="dxa"/>
            <w:vAlign w:val="center"/>
            <w:textDirection w:val="lrTb"/>
            <w:noWrap w:val="false"/>
          </w:tcPr>
          <w:p>
            <w:pPr>
              <w:ind w:left="0" w:right="0"/>
              <w:jc w:val="left"/>
              <w:keepLines w:val="0"/>
              <w:keepNext w:val="0"/>
              <w:spacing w:before="100" w:beforeAutospacing="1" w:after="100" w:afterAutospacing="1" w:line="22" w:lineRule="atLeast"/>
              <w:widowControl/>
              <w:rPr>
                <w:rFonts w:hint="eastAsia" w:ascii="宋体" w:hAnsi="宋体" w:eastAsia="宋体" w:cs="宋体"/>
                <w:color w:val="auto"/>
                <w:sz w:val="24"/>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联系人</w:t>
            </w:r>
            <w:r>
              <w:rPr>
                <w:rFonts w:hint="eastAsia" w:ascii="宋体" w:hAnsi="宋体" w:eastAsia="宋体" w:cs="宋体"/>
                <w:color w:val="auto"/>
                <w:sz w:val="24"/>
                <w:highlight w:val="none"/>
                <w:lang w:val="en-US" w:eastAsia="zh-CN" w:bidi="ar-SA"/>
              </w:rPr>
              <w:t xml:space="preserve"> </w:t>
            </w:r>
            <w:r/>
          </w:p>
        </w:tc>
        <w:tc>
          <w:tcPr>
            <w:tcW w:w="318" w:type="dxa"/>
            <w:vAlign w:val="center"/>
            <w:textDirection w:val="lrTb"/>
            <w:noWrap w:val="false"/>
          </w:tcPr>
          <w:p>
            <w:pPr>
              <w:ind w:left="0" w:right="0"/>
              <w:jc w:val="left"/>
              <w:keepLines w:val="0"/>
              <w:keepNext w:val="0"/>
              <w:spacing w:before="100" w:beforeAutospacing="1" w:after="100" w:afterAutospacing="1" w:line="22" w:lineRule="atLeast"/>
              <w:widowControl/>
              <w:rPr>
                <w:rFonts w:hint="eastAsia" w:ascii="宋体" w:hAnsi="宋体" w:eastAsia="宋体" w:cs="宋体"/>
                <w:color w:val="auto"/>
                <w:sz w:val="24"/>
                <w:highlight w:val="none"/>
                <w:lang w:val="en-US" w:eastAsia="zh-CN" w:bidi="ar-SA"/>
              </w:rPr>
              <w:suppressLineNumbers w:val="0"/>
            </w:pPr>
            <w:r>
              <w:rPr>
                <w:rFonts w:hint="eastAsia" w:ascii="宋体" w:hAnsi="宋体" w:eastAsia="宋体" w:cs="宋体"/>
                <w:color w:val="auto"/>
                <w:sz w:val="24"/>
                <w:highlight w:val="none"/>
                <w:lang w:val="en-US" w:eastAsia="zh-CN" w:bidi="ar-SA"/>
              </w:rPr>
            </w:r>
            <w:r/>
          </w:p>
        </w:tc>
      </w:tr>
      <w:tr>
        <w:trPr>
          <w:tblCellSpacing w:w="15" w:type="dxa"/>
          <w:trHeight w:val="20"/>
        </w:trPr>
        <w:tc>
          <w:tcPr>
            <w:tcW w:w="657" w:type="dxa"/>
            <w:vAlign w:val="center"/>
            <w:textDirection w:val="lrTb"/>
            <w:noWrap w:val="false"/>
          </w:tcPr>
          <w:p>
            <w:pPr>
              <w:ind w:left="0" w:right="0"/>
              <w:jc w:val="left"/>
              <w:keepLines w:val="0"/>
              <w:keepNext w:val="0"/>
              <w:spacing w:before="100" w:beforeAutospacing="1" w:after="100" w:afterAutospacing="1" w:line="22" w:lineRule="atLeast"/>
              <w:widowControl/>
              <w:rPr>
                <w:rFonts w:hint="eastAsia" w:ascii="宋体" w:hAnsi="宋体" w:eastAsia="宋体" w:cs="宋体"/>
                <w:color w:val="auto"/>
                <w:sz w:val="24"/>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联系地址</w:t>
            </w:r>
            <w:r>
              <w:rPr>
                <w:rFonts w:hint="eastAsia" w:ascii="宋体" w:hAnsi="宋体" w:eastAsia="宋体" w:cs="宋体"/>
                <w:color w:val="auto"/>
                <w:sz w:val="24"/>
                <w:highlight w:val="none"/>
                <w:lang w:val="en-US" w:eastAsia="zh-CN" w:bidi="ar-SA"/>
              </w:rPr>
              <w:t xml:space="preserve"> </w:t>
            </w:r>
            <w:r/>
          </w:p>
        </w:tc>
        <w:tc>
          <w:tcPr>
            <w:tcW w:w="1007" w:type="dxa"/>
            <w:vAlign w:val="center"/>
            <w:textDirection w:val="lrTb"/>
            <w:noWrap w:val="false"/>
          </w:tcPr>
          <w:p>
            <w:pPr>
              <w:ind w:left="0" w:right="0"/>
              <w:jc w:val="left"/>
              <w:keepLines w:val="0"/>
              <w:keepNext w:val="0"/>
              <w:spacing w:before="100" w:beforeAutospacing="1" w:after="100" w:afterAutospacing="1" w:line="22" w:lineRule="atLeast"/>
              <w:widowControl/>
              <w:rPr>
                <w:rFonts w:hint="eastAsia" w:ascii="宋体" w:hAnsi="宋体" w:eastAsia="宋体" w:cs="宋体"/>
                <w:color w:val="auto"/>
                <w:sz w:val="24"/>
                <w:highlight w:val="none"/>
                <w:lang w:val="en-US" w:eastAsia="zh-CN" w:bidi="ar-SA"/>
              </w:rPr>
              <w:suppressLineNumbers w:val="0"/>
            </w:pPr>
            <w:r>
              <w:rPr>
                <w:rFonts w:hint="eastAsia" w:ascii="宋体" w:hAnsi="宋体" w:eastAsia="宋体" w:cs="宋体"/>
                <w:color w:val="auto"/>
                <w:sz w:val="24"/>
                <w:highlight w:val="none"/>
                <w:lang w:val="en-US" w:eastAsia="zh-CN" w:bidi="ar-SA"/>
              </w:rPr>
            </w:r>
            <w:r/>
          </w:p>
        </w:tc>
        <w:tc>
          <w:tcPr>
            <w:tcW w:w="6859" w:type="dxa"/>
            <w:vAlign w:val="center"/>
            <w:textDirection w:val="lrTb"/>
            <w:noWrap w:val="false"/>
          </w:tcPr>
          <w:p>
            <w:pPr>
              <w:ind w:left="0" w:right="0"/>
              <w:jc w:val="left"/>
              <w:keepLines w:val="0"/>
              <w:keepNext w:val="0"/>
              <w:spacing w:before="100" w:beforeAutospacing="1" w:after="100" w:afterAutospacing="1" w:line="22" w:lineRule="atLeast"/>
              <w:widowControl/>
              <w:rPr>
                <w:rFonts w:hint="eastAsia" w:ascii="宋体" w:hAnsi="宋体" w:eastAsia="宋体" w:cs="宋体"/>
                <w:color w:val="auto"/>
                <w:sz w:val="24"/>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联系电话</w:t>
            </w:r>
            <w:r>
              <w:rPr>
                <w:rFonts w:hint="eastAsia" w:ascii="宋体" w:hAnsi="宋体" w:eastAsia="宋体" w:cs="宋体"/>
                <w:color w:val="auto"/>
                <w:sz w:val="24"/>
                <w:highlight w:val="none"/>
                <w:lang w:val="en-US" w:eastAsia="zh-CN" w:bidi="ar-SA"/>
              </w:rPr>
              <w:t xml:space="preserve"> </w:t>
            </w:r>
            <w:r/>
          </w:p>
        </w:tc>
        <w:tc>
          <w:tcPr>
            <w:tcW w:w="318" w:type="dxa"/>
            <w:vAlign w:val="center"/>
            <w:textDirection w:val="lrTb"/>
            <w:noWrap w:val="false"/>
          </w:tcPr>
          <w:p>
            <w:pPr>
              <w:ind w:left="0" w:right="0"/>
              <w:jc w:val="left"/>
              <w:keepLines w:val="0"/>
              <w:keepNext w:val="0"/>
              <w:spacing w:before="100" w:beforeAutospacing="1" w:after="100" w:afterAutospacing="1" w:line="22" w:lineRule="atLeast"/>
              <w:widowControl/>
              <w:rPr>
                <w:rFonts w:hint="eastAsia" w:ascii="宋体" w:hAnsi="宋体" w:eastAsia="宋体" w:cs="宋体"/>
                <w:color w:val="auto"/>
                <w:sz w:val="24"/>
                <w:highlight w:val="none"/>
                <w:lang w:val="en-US" w:eastAsia="zh-CN" w:bidi="ar-SA"/>
              </w:rPr>
              <w:suppressLineNumbers w:val="0"/>
            </w:pPr>
            <w:r>
              <w:rPr>
                <w:rFonts w:hint="eastAsia" w:ascii="宋体" w:hAnsi="宋体" w:eastAsia="宋体" w:cs="宋体"/>
                <w:color w:val="auto"/>
                <w:sz w:val="24"/>
                <w:highlight w:val="none"/>
                <w:lang w:val="en-US" w:eastAsia="zh-CN" w:bidi="ar-SA"/>
              </w:rPr>
            </w:r>
            <w:r/>
          </w:p>
        </w:tc>
      </w:tr>
      <w:tr>
        <w:trPr>
          <w:tblCellSpacing w:w="15" w:type="dxa"/>
          <w:trHeight w:val="1024"/>
        </w:trPr>
        <w:tc>
          <w:tcPr>
            <w:tcW w:w="657" w:type="dxa"/>
            <w:vAlign w:val="center"/>
            <w:textDirection w:val="lrTb"/>
            <w:noWrap w:val="false"/>
          </w:tcPr>
          <w:p>
            <w:pPr>
              <w:ind w:left="0" w:right="0"/>
              <w:jc w:val="left"/>
              <w:keepLines w:val="0"/>
              <w:keepNext w:val="0"/>
              <w:spacing w:before="100" w:beforeAutospacing="1" w:after="100" w:afterAutospacing="1" w:line="22" w:lineRule="atLeast"/>
              <w:widowControl/>
              <w:rPr>
                <w:rFonts w:hint="eastAsia" w:ascii="宋体" w:hAnsi="宋体" w:eastAsia="宋体" w:cs="宋体"/>
                <w:color w:val="auto"/>
                <w:sz w:val="24"/>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诚信档案记录情况</w:t>
            </w:r>
            <w:r>
              <w:rPr>
                <w:rFonts w:hint="eastAsia" w:ascii="宋体" w:hAnsi="宋体" w:eastAsia="宋体" w:cs="宋体"/>
                <w:color w:val="auto"/>
                <w:sz w:val="24"/>
                <w:highlight w:val="none"/>
                <w:lang w:val="en-US" w:eastAsia="zh-CN" w:bidi="ar-SA"/>
              </w:rPr>
              <w:t xml:space="preserve"> </w:t>
            </w:r>
            <w:r/>
          </w:p>
        </w:tc>
        <w:tc>
          <w:tcPr>
            <w:gridSpan w:val="3"/>
            <w:tcW w:w="8244" w:type="dxa"/>
            <w:vAlign w:val="center"/>
            <w:textDirection w:val="lrTb"/>
            <w:noWrap w:val="false"/>
          </w:tcPr>
          <w:p>
            <w:pPr>
              <w:ind w:left="0" w:right="0"/>
              <w:jc w:val="left"/>
              <w:keepLines w:val="0"/>
              <w:keepNext w:val="0"/>
              <w:spacing w:before="100" w:beforeAutospacing="1" w:after="100" w:afterAutospacing="1" w:line="22" w:lineRule="atLeast"/>
              <w:widowControl/>
              <w:rPr>
                <w:rFonts w:hint="eastAsia" w:ascii="宋体" w:hAnsi="宋体" w:eastAsia="宋体" w:cs="宋体"/>
                <w:color w:val="auto"/>
                <w:sz w:val="24"/>
                <w:highlight w:val="none"/>
                <w:lang w:val="en-US" w:eastAsia="zh-CN" w:bidi="ar-SA"/>
              </w:rPr>
              <w:suppressLineNumbers w:val="0"/>
            </w:pPr>
            <w:r>
              <w:rPr>
                <w:rFonts w:hint="eastAsia" w:ascii="宋体" w:hAnsi="宋体" w:eastAsia="宋体" w:cs="宋体"/>
                <w:color w:val="auto"/>
                <w:sz w:val="24"/>
                <w:highlight w:val="none"/>
                <w:lang w:val="en-US" w:eastAsia="zh-CN" w:bidi="ar-SA"/>
              </w:rPr>
            </w:r>
            <w:r/>
          </w:p>
        </w:tc>
      </w:tr>
      <w:tr>
        <w:trPr>
          <w:tblCellSpacing w:w="15" w:type="dxa"/>
          <w:trHeight w:val="5318"/>
        </w:trPr>
        <w:tc>
          <w:tcPr>
            <w:tcW w:w="657" w:type="dxa"/>
            <w:vAlign w:val="center"/>
            <w:textDirection w:val="lrTb"/>
            <w:noWrap w:val="false"/>
          </w:tcPr>
          <w:p>
            <w:pPr>
              <w:ind w:left="0" w:right="0"/>
              <w:jc w:val="left"/>
              <w:keepLines w:val="0"/>
              <w:keepNext w:val="0"/>
              <w:spacing w:before="100" w:beforeAutospacing="1" w:after="100" w:afterAutospacing="1" w:line="22" w:lineRule="atLeast"/>
              <w:widowControl/>
              <w:rPr>
                <w:rFonts w:hint="eastAsia" w:ascii="宋体" w:hAnsi="宋体" w:eastAsia="宋体" w:cs="宋体"/>
                <w:color w:val="auto"/>
                <w:sz w:val="24"/>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信用承诺</w:t>
            </w:r>
            <w:r>
              <w:rPr>
                <w:rFonts w:hint="eastAsia" w:ascii="宋体" w:hAnsi="宋体" w:eastAsia="宋体" w:cs="宋体"/>
                <w:color w:val="auto"/>
                <w:sz w:val="24"/>
                <w:highlight w:val="none"/>
                <w:lang w:val="en-US" w:eastAsia="zh-CN" w:bidi="ar-SA"/>
              </w:rPr>
              <w:t xml:space="preserve"> </w:t>
            </w:r>
            <w:r/>
          </w:p>
        </w:tc>
        <w:tc>
          <w:tcPr>
            <w:gridSpan w:val="3"/>
            <w:tcW w:w="8244" w:type="dxa"/>
            <w:vAlign w:val="center"/>
            <w:textDirection w:val="lrTb"/>
            <w:noWrap w:val="false"/>
          </w:tcPr>
          <w:p>
            <w:pPr>
              <w:ind w:left="0" w:right="0" w:firstLine="420"/>
              <w:jc w:val="left"/>
              <w:keepLines w:val="0"/>
              <w:keepNext w:val="0"/>
              <w:spacing w:before="100" w:beforeAutospacing="1" w:after="100" w:afterAutospacing="1" w:line="22" w:lineRule="atLeast"/>
              <w:widowControl/>
              <w:rPr>
                <w:rFonts w:hint="eastAsia" w:ascii="宋体" w:hAnsi="宋体" w:eastAsia="宋体" w:cs="宋体"/>
                <w:color w:val="auto"/>
                <w:sz w:val="24"/>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我公司自愿参加苏美达国际技术贸易有限公司组织的本次采购活动，严格遵守《中华人民共和国政府采购法》及相关法律法规，坚守公开、公平、公正、诚实信用的原则，依法诚信经营，无条件遵守本次政府采购活动的各项规定。</w:t>
            </w:r>
            <w:r>
              <w:rPr>
                <w:rFonts w:hint="eastAsia" w:ascii="宋体" w:hAnsi="宋体" w:eastAsia="宋体" w:cs="宋体"/>
                <w:color w:val="auto"/>
                <w:sz w:val="24"/>
                <w:highlight w:val="none"/>
                <w:lang w:val="en-US" w:eastAsia="zh-CN" w:bidi="ar-SA"/>
              </w:rPr>
              <w:t xml:space="preserve"> </w:t>
            </w:r>
            <w:r/>
          </w:p>
          <w:p>
            <w:pPr>
              <w:ind w:left="0" w:right="0" w:firstLine="420"/>
              <w:jc w:val="left"/>
              <w:keepLines w:val="0"/>
              <w:keepNext w:val="0"/>
              <w:spacing w:before="100" w:beforeAutospacing="1" w:after="100" w:afterAutospacing="1" w:line="22" w:lineRule="atLeast"/>
              <w:widowControl/>
              <w:rPr>
                <w:rFonts w:hint="eastAsia" w:ascii="宋体" w:hAnsi="宋体" w:eastAsia="宋体" w:cs="宋体"/>
                <w:color w:val="auto"/>
                <w:sz w:val="24"/>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我</w:t>
            </w:r>
            <w:r>
              <w:rPr>
                <w:rFonts w:hint="eastAsia" w:ascii="宋体" w:hAnsi="宋体" w:eastAsia="宋体" w:cs="宋体"/>
                <w:b w:val="0"/>
                <w:bCs w:val="0"/>
                <w:color w:val="auto"/>
                <w:sz w:val="21"/>
                <w:szCs w:val="21"/>
                <w:highlight w:val="none"/>
                <w:lang w:val="en-US" w:eastAsia="zh-CN" w:bidi="ar-SA"/>
              </w:rPr>
              <w:t xml:space="preserve">们郑重承诺，本公司符合《中华人民共和国政府采购法》第二十二条规定的条件，包括：具有独立承担民事责任的能力；具有良好的商业信誉和健全的财务会计制度；具有履行合同所必需的设备和专业技术能力；具有依法缴纳税收和社会保障资金的良好记录；参加政府采购活动前三年内，在经营活动中没有重大违法记录；未被列入失信被执行人、重大税收违法案件当事人名单、政府采购严重违法失信行为记录名单；符合法律、行政法规和采购文件规定的其他条件。如有弄虚作假或其他违法违规行为，愿承担一切法律责任，接受各级政府采购监督部门和有权机关的审查和处罚。</w:t>
            </w:r>
            <w:r>
              <w:rPr>
                <w:rFonts w:hint="eastAsia" w:ascii="宋体" w:hAnsi="宋体" w:eastAsia="宋体" w:cs="宋体"/>
                <w:color w:val="auto"/>
                <w:sz w:val="24"/>
                <w:highlight w:val="none"/>
                <w:lang w:val="en-US" w:eastAsia="zh-CN" w:bidi="ar-SA"/>
              </w:rPr>
              <w:t xml:space="preserve"> </w:t>
            </w:r>
            <w:r/>
          </w:p>
          <w:p>
            <w:pPr>
              <w:ind w:left="0" w:right="0"/>
              <w:jc w:val="right"/>
              <w:keepLines w:val="0"/>
              <w:keepNext w:val="0"/>
              <w:spacing w:before="100" w:beforeAutospacing="1" w:after="100" w:afterAutospacing="1" w:line="22" w:lineRule="atLeast"/>
              <w:widowControl/>
              <w:rPr>
                <w:rFonts w:hint="eastAsia" w:ascii="宋体" w:hAnsi="宋体" w:eastAsia="宋体" w:cs="宋体"/>
                <w:color w:val="auto"/>
                <w:sz w:val="24"/>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供应商名称（盖章）：</w:t>
            </w:r>
            <w:r>
              <w:rPr>
                <w:rFonts w:hint="eastAsia" w:ascii="宋体" w:hAnsi="宋体" w:eastAsia="宋体" w:cs="宋体"/>
                <w:color w:val="auto"/>
                <w:sz w:val="24"/>
                <w:highlight w:val="none"/>
                <w:lang w:val="en-US" w:eastAsia="zh-CN" w:bidi="ar-SA"/>
              </w:rPr>
              <w:t xml:space="preserve"> </w:t>
            </w:r>
            <w:r/>
          </w:p>
          <w:p>
            <w:pPr>
              <w:ind w:left="0" w:right="0"/>
              <w:jc w:val="right"/>
              <w:keepLines w:val="0"/>
              <w:keepNext w:val="0"/>
              <w:spacing w:before="100" w:beforeAutospacing="1" w:after="100" w:afterAutospacing="1" w:line="22" w:lineRule="atLeast"/>
              <w:widowControl/>
              <w:rPr>
                <w:rFonts w:hint="eastAsia" w:ascii="宋体" w:hAnsi="宋体" w:eastAsia="宋体" w:cs="宋体"/>
                <w:color w:val="auto"/>
                <w:sz w:val="24"/>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法定代表人（签字）：</w:t>
            </w:r>
            <w:r>
              <w:rPr>
                <w:rFonts w:hint="eastAsia" w:ascii="宋体" w:hAnsi="宋体" w:eastAsia="宋体" w:cs="宋体"/>
                <w:color w:val="auto"/>
                <w:sz w:val="24"/>
                <w:highlight w:val="none"/>
                <w:lang w:val="en-US" w:eastAsia="zh-CN" w:bidi="ar-SA"/>
              </w:rPr>
              <w:t xml:space="preserve"> </w:t>
            </w:r>
            <w:r/>
          </w:p>
          <w:p>
            <w:pPr>
              <w:ind w:left="0" w:right="0"/>
              <w:jc w:val="right"/>
              <w:keepLines w:val="0"/>
              <w:keepNext w:val="0"/>
              <w:spacing w:before="100" w:beforeAutospacing="1" w:after="100" w:afterAutospacing="1" w:line="22" w:lineRule="atLeast"/>
              <w:widowControl/>
              <w:rPr>
                <w:rFonts w:hint="eastAsia" w:ascii="宋体" w:hAnsi="宋体" w:eastAsia="宋体" w:cs="宋体"/>
                <w:color w:val="auto"/>
                <w:sz w:val="24"/>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年月日</w:t>
            </w:r>
            <w:r>
              <w:rPr>
                <w:rFonts w:hint="eastAsia" w:ascii="宋体" w:hAnsi="宋体" w:eastAsia="宋体" w:cs="宋体"/>
                <w:color w:val="auto"/>
                <w:sz w:val="24"/>
                <w:highlight w:val="none"/>
                <w:lang w:val="en-US" w:eastAsia="zh-CN" w:bidi="ar-SA"/>
              </w:rPr>
              <w:t xml:space="preserve"> </w:t>
            </w:r>
            <w:r/>
          </w:p>
        </w:tc>
      </w:tr>
    </w:tbl>
    <w:p>
      <w:pPr>
        <w:ind w:right="-5"/>
        <w:jc w:val="left"/>
        <w:keepLines w:val="0"/>
        <w:keepNext w:val="0"/>
        <w:spacing w:before="100" w:beforeAutospacing="1" w:after="100" w:afterAutospacing="1"/>
        <w:widowControl/>
        <w:rPr>
          <w:rFonts w:hint="eastAsia" w:ascii="宋体" w:hAnsi="宋体" w:eastAsia="宋体" w:cs="宋体"/>
          <w:color w:val="auto"/>
          <w:sz w:val="18"/>
          <w:szCs w:val="18"/>
          <w:highlight w:val="none"/>
          <w:lang w:val="en-US" w:eastAsia="zh-CN" w:bidi="ar-SA"/>
        </w:rPr>
        <w:suppressLineNumbers w:val="0"/>
      </w:pPr>
      <w:r>
        <w:rPr>
          <w:rFonts w:hint="eastAsia" w:ascii="宋体" w:hAnsi="宋体" w:eastAsia="宋体" w:cs="宋体"/>
          <w:bCs/>
          <w:color w:val="auto"/>
          <w:sz w:val="18"/>
          <w:szCs w:val="18"/>
          <w:highlight w:val="none"/>
          <w:lang w:val="en-US" w:eastAsia="zh-CN" w:bidi="ar-SA"/>
        </w:rPr>
        <w:t xml:space="preserve">点击‘南京公共采购信息网</w:t>
      </w:r>
      <w:r>
        <w:rPr>
          <w:rFonts w:hint="eastAsia" w:ascii="宋体" w:hAnsi="宋体" w:eastAsia="宋体" w:cs="宋体"/>
          <w:bCs/>
          <w:color w:val="auto"/>
          <w:sz w:val="18"/>
          <w:szCs w:val="18"/>
          <w:highlight w:val="none"/>
          <w:lang w:val="en-US" w:eastAsia="zh-CN" w:bidi="ar-SA"/>
        </w:rPr>
        <w:t xml:space="preserve">’首页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p>
    <w:p>
      <w:pPr>
        <w:pStyle w:val="1126"/>
        <w:ind w:firstLine="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sectPr>
      <w:headerReference w:type="default" r:id="rId12"/>
      <w:headerReference w:type="first" r:id="rId13"/>
      <w:footerReference w:type="default" r:id="rId18"/>
      <w:footerReference w:type="first" r:id="rId19"/>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楷体_GB2312">
    <w:panose1 w:val="02010609060101010101"/>
  </w:font>
  <w:font w:name="Symbol">
    <w:panose1 w:val="05050102010706020507"/>
  </w:font>
  <w:font w:name="Wingdings">
    <w:panose1 w:val="05000000000000000000"/>
  </w:font>
  <w:font w:name="Tahoma">
    <w:panose1 w:val="020B0604030504040204"/>
  </w:font>
  <w:font w:name="Segoe UI Symbol">
    <w:panose1 w:val="020B0502040204020203"/>
  </w:font>
  <w:font w:name="华文新魏">
    <w:panose1 w:val="02010800040101010101"/>
  </w:font>
  <w:font w:name="等线">
    <w:panose1 w:val="02010600030101010101"/>
  </w:font>
  <w:font w:name="仿宋">
    <w:panose1 w:val="02010609060101010101"/>
  </w:font>
  <w:font w:name="Courier New">
    <w:panose1 w:val="02070309020205020404"/>
  </w:font>
  <w:font w:name="Calibri">
    <w:panose1 w:val="020F0502020204030204"/>
  </w:font>
  <w:font w:name="微软雅黑">
    <w:panose1 w:val="020B0503020204020204"/>
  </w:font>
  <w:font w:name="仿宋_GB2312">
    <w:panose1 w:val="02010609060101010101"/>
  </w:font>
  <w:font w:name="华文中宋">
    <w:panose1 w:val="02010600040101010101"/>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rPr>
        <w:rStyle w:val="984"/>
        <w:rFonts w:hint="eastAsia"/>
      </w:rPr>
    </w:pPr>
    <w:r>
      <w:rPr>
        <w:rStyle w:val="984"/>
        <w:rFonts w:hint="eastAsia"/>
      </w:rPr>
      <w:t xml:space="preserve">            </w:t>
    </w:r>
    <w:r/>
  </w:p>
  <w:p>
    <w:pPr>
      <w:pStyle w:val="1132"/>
      <w:rPr>
        <w:rStyle w:val="984"/>
        <w:rFonts w:hint="eastAsia"/>
      </w:rPr>
      <w:framePr w:wrap="around" w:vAnchor="text" w:hAnchor="page" w:x="6104" w:y="52"/>
    </w:pPr>
    <w:r>
      <w:rPr>
        <w:rStyle w:val="984"/>
        <w:rFonts w:hint="eastAsia"/>
      </w:rPr>
      <w:t xml:space="preserve">                   </w:t>
    </w:r>
    <w:r/>
  </w:p>
  <w:p>
    <w:pPr>
      <w:pStyle w:val="1132"/>
      <w:jc w:val="center"/>
      <w:rPr>
        <w:rFonts w:hint="eastAsia"/>
        <w:sz w:val="24"/>
        <w:szCs w:val="21"/>
      </w:rPr>
    </w:pPr>
    <w:r>
      <w:rPr>
        <w:rFonts w:hint="eastAsia"/>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center"/>
    </w:pPr>
    <w:r>
      <w:fldChar w:fldCharType="begin"/>
    </w:r>
    <w:r>
      <w:instrText xml:space="preserve">PAGE   \* MERGEFORMAT</w:instrText>
    </w:r>
    <w:r>
      <w:fldChar w:fldCharType="separate"/>
    </w:r>
    <w:r>
      <w:rPr>
        <w:lang w:val="zh-CN"/>
      </w:rPr>
      <w:t xml:space="preserve">90</w:t>
    </w:r>
    <w:r>
      <w:fldChar w:fldCharType="end"/>
    </w:r>
    <w:r/>
  </w:p>
  <w:p>
    <w:pPr>
      <w:pStyle w:val="1132"/>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lang w:val="zh-CN"/>
      </w:rPr>
      <w:t xml:space="preserve"> </w:t>
    </w:r>
    <w:r/>
  </w:p>
  <w:p>
    <w:pPr>
      <w:pStyle w:val="1132"/>
      <w:jc w:val="center"/>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center"/>
    </w:pPr>
    <w:r>
      <w:rPr>
        <w:rFonts w:hint="eastAsia"/>
      </w:rPr>
      <w:t xml:space="preserve">第</w:t>
    </w:r>
    <w:r>
      <w:fldChar w:fldCharType="begin"/>
    </w:r>
    <w:r>
      <w:rPr>
        <w:rStyle w:val="984"/>
      </w:rPr>
      <w:instrText xml:space="preserve"> PAGE </w:instrText>
    </w:r>
    <w:r>
      <w:fldChar w:fldCharType="separate"/>
    </w:r>
    <w:r>
      <w:rPr>
        <w:rStyle w:val="984"/>
      </w:rPr>
      <w:t xml:space="preserve">1</w:t>
    </w:r>
    <w:r>
      <w:fldChar w:fldCharType="end"/>
    </w:r>
    <w:r>
      <w:rPr>
        <w:rStyle w:val="984"/>
        <w:rFonts w:hint="eastAsia"/>
      </w:rPr>
      <w:t xml:space="preserve">页，共</w:t>
    </w:r>
    <w:r>
      <w:fldChar w:fldCharType="begin"/>
    </w:r>
    <w:r>
      <w:rPr>
        <w:rStyle w:val="984"/>
      </w:rPr>
      <w:instrText xml:space="preserve"> NUMPAGES </w:instrText>
    </w:r>
    <w:r>
      <w:fldChar w:fldCharType="separate"/>
    </w:r>
    <w:r>
      <w:rPr>
        <w:rStyle w:val="984"/>
      </w:rPr>
      <w:t xml:space="preserve">8</w:t>
    </w:r>
    <w:r>
      <w:fldChar w:fldCharType="end"/>
    </w:r>
    <w:r>
      <w:rPr>
        <w:rStyle w:val="984"/>
        <w:rFonts w:hint="eastAsia"/>
      </w:rPr>
      <w:t xml:space="preserve">页</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3"/>
                            <w:tabs>
                              <w:tab w:val="clear" w:pos="7143" w:leader="none"/>
                              <w:tab w:val="clear" w:pos="14287" w:leader="none"/>
                            </w:tabs>
                          </w:pPr>
                          <w:r>
                            <w:fldChar w:fldCharType="begin"/>
                          </w:r>
                          <w:r>
                            <w:instrText xml:space="preserve"> PAGE  \* MERGEFORMAT </w:instrText>
                          </w:r>
                          <w:r>
                            <w:fldChar w:fldCharType="separate"/>
                          </w:r>
                          <w:r>
                            <w:t xml:space="preserve">45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3"/>
                      <w:tabs>
                        <w:tab w:val="clear" w:pos="7143" w:leader="none"/>
                        <w:tab w:val="clear" w:pos="14287" w:leader="none"/>
                      </w:tabs>
                    </w:pPr>
                    <w:r>
                      <w:fldChar w:fldCharType="begin"/>
                    </w:r>
                    <w:r>
                      <w:instrText xml:space="preserve"> PAGE  \* MERGEFORMAT </w:instrText>
                    </w:r>
                    <w:r>
                      <w:fldChar w:fldCharType="separate"/>
                    </w:r>
                    <w:r>
                      <w:t xml:space="preserve">45</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center"/>
    </w:pPr>
    <w:r>
      <w:fldChar w:fldCharType="begin"/>
    </w:r>
    <w:r>
      <w:instrText xml:space="preserve">PAGE   \* MERGEFORMAT</w:instrText>
    </w:r>
    <w:r>
      <w:fldChar w:fldCharType="separate"/>
    </w:r>
    <w:r>
      <w:rPr>
        <w:lang w:val="zh-CN"/>
      </w:rPr>
      <w:t xml:space="preserve">90</w:t>
    </w:r>
    <w:r>
      <w:fldChar w:fldCharType="end"/>
    </w:r>
    <w:r/>
  </w:p>
  <w:p>
    <w:pPr>
      <w:pStyle w:val="1132"/>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jc w:val="left"/>
      <w:rPr>
        <w:rFonts w:hint="eastAsia"/>
        <w:sz w:val="21"/>
      </w:rPr>
    </w:pPr>
    <w:r>
      <w:rPr>
        <w:rFonts w:hint="eastAsia"/>
        <w:sz w:val="21"/>
      </w:rPr>
      <w:t xml:space="preserve">苏美达国际技术贸易有限公司                                           SUMEC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jc w:val="left"/>
      <w:rPr>
        <w:rFonts w:hint="eastAsia"/>
        <w:sz w:val="21"/>
      </w:rPr>
    </w:pPr>
    <w:r>
      <w:rPr>
        <w:rFonts w:hint="eastAsia"/>
        <w:sz w:val="21"/>
      </w:rPr>
      <w:t xml:space="preserve">苏美达国际技术贸易有限公司                                           SUMEC       </w:t>
    </w:r>
    <w:r/>
  </w:p>
  <w:p>
    <w:pPr>
      <w:pStyle w:val="964"/>
      <w:rPr>
        <w:b/>
        <w:bCs/>
      </w:rPr>
    </w:pPr>
    <w:r>
      <w:rPr>
        <w:b/>
        <w:bC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jc w:val="left"/>
      <w:rPr>
        <w:rFonts w:hint="eastAsia"/>
        <w:sz w:val="21"/>
      </w:rPr>
    </w:pPr>
    <w:r>
      <w:rPr>
        <w:rFonts w:hint="eastAsia"/>
        <w:sz w:val="21"/>
      </w:rPr>
      <w:t xml:space="preserve">苏美达国际技术贸易有限公司                                           SUMEC       </w:t>
    </w:r>
    <w:r/>
  </w:p>
  <w:p>
    <w:pPr>
      <w:pStyle w:val="1131"/>
      <w:jc w:val="right"/>
      <w:spacing w:line="40" w:lineRule="exact"/>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jc w:val="left"/>
      <w:rPr>
        <w:rFonts w:hint="eastAsia"/>
        <w:sz w:val="21"/>
      </w:rPr>
    </w:pPr>
    <w:r>
      <w:rPr>
        <w:rFonts w:hint="eastAsia"/>
        <w:sz w:val="21"/>
      </w:rPr>
      <w:t xml:space="preserve">苏美达国际技术贸易有限公司                                           SUMEC       </w:t>
    </w:r>
    <w:r/>
  </w:p>
  <w:p>
    <w:pPr>
      <w:pStyle w:val="1131"/>
      <w:jc w:val="right"/>
      <w:spacing w:line="40" w:lineRule="exact"/>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jc w:val="left"/>
      <w:rPr>
        <w:rFonts w:hint="eastAsia"/>
        <w:sz w:val="21"/>
      </w:rPr>
    </w:pPr>
    <w:r>
      <w:rPr>
        <w:rFonts w:hint="eastAsia"/>
        <w:sz w:val="21"/>
      </w:rPr>
      <w:t xml:space="preserve">苏美达国际技术贸易有限公司                                           SUMEC       </w:t>
    </w:r>
    <w:r/>
  </w:p>
  <w:p>
    <w:pPr>
      <w:pStyle w:val="96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2">
    <w:multiLevelType w:val="hybridMultilevel"/>
    <w:lvl w:ilvl="0">
      <w:start w:val="6"/>
      <w:numFmt w:val="chineseCounting"/>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135"/>
      <w:isLgl w:val="false"/>
      <w:suff w:val="space"/>
      <w:lvlText w:val="%1."/>
      <w:lvlJc w:val="left"/>
      <w:pPr>
        <w:ind w:left="1486" w:hanging="1486"/>
      </w:pPr>
      <w:rPr>
        <w:color w:val="000000"/>
        <w:sz w:val="24"/>
        <w:szCs w:val="24"/>
      </w:rPr>
    </w:lvl>
    <w:lvl w:ilvl="1">
      <w:start w:val="1"/>
      <w:numFmt w:val="decimal"/>
      <w:pStyle w:val="1134"/>
      <w:isLgl w:val="false"/>
      <w:suff w:val="space"/>
      <w:lvlText w:val="%1.%2."/>
      <w:lvlJc w:val="left"/>
      <w:pPr>
        <w:ind w:left="1486" w:hanging="1486"/>
      </w:pPr>
      <w:rPr>
        <w:rFonts w:ascii="Arial Narrow" w:hAnsi="Arial Narrow" w:eastAsia="仿宋_GB2312"/>
        <w:b w:val="0"/>
        <w:i w:val="0"/>
        <w:color w:val="000000"/>
        <w:sz w:val="24"/>
      </w:rPr>
    </w:lvl>
    <w:lvl w:ilvl="2">
      <w:start w:val="1"/>
      <w:numFmt w:val="decimal"/>
      <w:pStyle w:val="1133"/>
      <w:isLgl w:val="false"/>
      <w:suff w:val="space"/>
      <w:lvlText w:val="%1.%2.%3."/>
      <w:lvlJc w:val="left"/>
      <w:pPr>
        <w:ind w:left="1486" w:hanging="1486"/>
      </w:pPr>
      <w:rPr>
        <w:rFonts w:ascii="Arial Narrow" w:hAnsi="Arial Narrow" w:eastAsia="仿宋_GB2312"/>
        <w:b w:val="0"/>
        <w:i w:val="0"/>
        <w:color w:val="000000"/>
        <w:sz w:val="24"/>
      </w:rPr>
    </w:lvl>
    <w:lvl w:ilvl="3">
      <w:start w:val="1"/>
      <w:numFmt w:val="decimal"/>
      <w:isLgl w:val="false"/>
      <w:suff w:val="space"/>
      <w:lvlText w:val="%1.%2.%3.%4."/>
      <w:lvlJc w:val="left"/>
      <w:pPr>
        <w:ind w:left="2337" w:hanging="1486"/>
      </w:pPr>
      <w:rPr>
        <w:rFonts w:ascii="Arial Narrow" w:hAnsi="Arial Narrow" w:eastAsia="仿宋_GB2312"/>
        <w:b w:val="0"/>
        <w:i w:val="0"/>
        <w:color w:val="000000"/>
        <w:sz w:val="24"/>
      </w:rPr>
    </w:lvl>
    <w:lvl w:ilvl="4">
      <w:start w:val="1"/>
      <w:numFmt w:val="decimal"/>
      <w:isLgl w:val="false"/>
      <w:suff w:val="space"/>
      <w:lvlText w:val="%1.%2.%3.%4.%5."/>
      <w:lvlJc w:val="left"/>
      <w:pPr>
        <w:ind w:left="1486" w:hanging="1486"/>
      </w:pPr>
      <w:rPr>
        <w:rFonts w:ascii="Arial Narrow" w:hAnsi="Arial Narrow" w:eastAsia="仿宋_GB2312"/>
        <w:b w:val="0"/>
        <w:i w:val="0"/>
        <w:sz w:val="24"/>
      </w:rPr>
    </w:lvl>
    <w:lvl w:ilvl="5">
      <w:start w:val="1"/>
      <w:numFmt w:val="decimal"/>
      <w:isLgl w:val="false"/>
      <w:suff w:val="space"/>
      <w:lvlText w:val="%1.%2.%3.%4.%5.%6."/>
      <w:lvlJc w:val="left"/>
      <w:pPr>
        <w:ind w:left="1486" w:hanging="1486"/>
      </w:pPr>
    </w:lvl>
    <w:lvl w:ilvl="6">
      <w:start w:val="1"/>
      <w:numFmt w:val="decimal"/>
      <w:isLgl w:val="false"/>
      <w:suff w:val="space"/>
      <w:lvlText w:val="%1.%2.%3.%4.%5.%6.%7."/>
      <w:lvlJc w:val="left"/>
      <w:pPr>
        <w:ind w:left="1486" w:hanging="1486"/>
      </w:pPr>
    </w:lvl>
    <w:lvl w:ilvl="7">
      <w:start w:val="1"/>
      <w:numFmt w:val="decimal"/>
      <w:isLgl w:val="false"/>
      <w:suff w:val="space"/>
      <w:lvlText w:val="%1.%2.%3.%4.%5.%6.%7.%8."/>
      <w:lvlJc w:val="left"/>
      <w:pPr>
        <w:ind w:left="1486" w:hanging="1486"/>
      </w:pPr>
    </w:lvl>
    <w:lvl w:ilvl="8">
      <w:start w:val="1"/>
      <w:numFmt w:val="decimal"/>
      <w:isLgl w:val="false"/>
      <w:suff w:val="space"/>
      <w:lvlText w:val="%1.%2.%3.%4.%5.%6.%7.%8.%9."/>
      <w:lvlJc w:val="left"/>
      <w:pPr>
        <w:ind w:left="1486" w:hanging="1486"/>
      </w:pPr>
    </w:lvl>
  </w:abstractNum>
  <w:abstractNum w:abstractNumId="4">
    <w:multiLevelType w:val="hybridMultilevel"/>
    <w:lvl w:ilvl="0">
      <w:start w:val="2"/>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tab"/>
      <w:lvlText w:val="第%1章"/>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num>
  <w:num w:numId="4">
    <w:abstractNumId w:val="7"/>
  </w:num>
  <w:num w:numId="5">
    <w:abstractNumId w:val="1"/>
  </w:num>
  <w:num w:numId="6">
    <w:abstractNumId w:val="6"/>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3" w:default="1">
    <w:name w:val="Normal"/>
    <w:next w:val="885"/>
    <w:link w:val="1127"/>
    <w:uiPriority w:val="0"/>
    <w:qFormat/>
    <w:pPr>
      <w:jc w:val="both"/>
      <w:widowControl w:val="off"/>
    </w:pPr>
    <w:rPr>
      <w:rFonts w:hint="default" w:ascii="Times New Roman" w:hAnsi="Times New Roman" w:eastAsia="宋体" w:cs="Times New Roman"/>
      <w:sz w:val="21"/>
      <w:lang w:val="en-US" w:eastAsia="zh-CN" w:bidi="ar-SA"/>
    </w:rPr>
  </w:style>
  <w:style w:type="paragraph" w:styleId="874">
    <w:name w:val="Heading 1"/>
    <w:basedOn w:val="873"/>
    <w:next w:val="873"/>
    <w:link w:val="914"/>
    <w:uiPriority w:val="9"/>
    <w:qFormat/>
    <w:pPr>
      <w:keepLines/>
      <w:keepNext/>
      <w:spacing w:before="480" w:after="200"/>
      <w:outlineLvl w:val="0"/>
    </w:pPr>
    <w:rPr>
      <w:rFonts w:ascii="Arial" w:hAnsi="Arial" w:eastAsia="Arial" w:cs="Arial"/>
      <w:sz w:val="40"/>
      <w:szCs w:val="40"/>
    </w:rPr>
  </w:style>
  <w:style w:type="paragraph" w:styleId="875">
    <w:name w:val="Heading 2"/>
    <w:basedOn w:val="873"/>
    <w:next w:val="873"/>
    <w:link w:val="915"/>
    <w:uiPriority w:val="9"/>
    <w:unhideWhenUsed/>
    <w:qFormat/>
    <w:pPr>
      <w:keepLines/>
      <w:keepNext/>
      <w:spacing w:before="360" w:after="200"/>
      <w:outlineLvl w:val="1"/>
    </w:pPr>
    <w:rPr>
      <w:rFonts w:ascii="Arial" w:hAnsi="Arial" w:eastAsia="Arial" w:cs="Arial"/>
      <w:sz w:val="34"/>
    </w:rPr>
  </w:style>
  <w:style w:type="paragraph" w:styleId="876">
    <w:name w:val="Heading 3"/>
    <w:basedOn w:val="873"/>
    <w:next w:val="873"/>
    <w:uiPriority w:val="9"/>
    <w:unhideWhenUsed/>
    <w:qFormat/>
    <w:pPr>
      <w:keepLines/>
      <w:keepNext/>
      <w:spacing w:before="320" w:after="200"/>
      <w:outlineLvl w:val="2"/>
    </w:pPr>
    <w:rPr>
      <w:rFonts w:ascii="Arial" w:hAnsi="Arial" w:eastAsia="Arial" w:cs="Arial"/>
      <w:sz w:val="30"/>
      <w:szCs w:val="30"/>
    </w:rPr>
  </w:style>
  <w:style w:type="paragraph" w:styleId="877">
    <w:name w:val="Heading 4"/>
    <w:basedOn w:val="873"/>
    <w:next w:val="873"/>
    <w:link w:val="916"/>
    <w:uiPriority w:val="9"/>
    <w:unhideWhenUsed/>
    <w:qFormat/>
    <w:pPr>
      <w:keepLines/>
      <w:keepNext/>
      <w:spacing w:before="320" w:after="200"/>
      <w:outlineLvl w:val="3"/>
    </w:pPr>
    <w:rPr>
      <w:rFonts w:ascii="Arial" w:hAnsi="Arial" w:eastAsia="Arial" w:cs="Arial"/>
      <w:b/>
      <w:bCs/>
      <w:sz w:val="26"/>
      <w:szCs w:val="26"/>
    </w:rPr>
  </w:style>
  <w:style w:type="paragraph" w:styleId="878">
    <w:name w:val="Heading 5"/>
    <w:basedOn w:val="873"/>
    <w:next w:val="873"/>
    <w:link w:val="917"/>
    <w:uiPriority w:val="9"/>
    <w:unhideWhenUsed/>
    <w:qFormat/>
    <w:pPr>
      <w:keepLines/>
      <w:keepNext/>
      <w:spacing w:before="320" w:after="200"/>
      <w:outlineLvl w:val="4"/>
    </w:pPr>
    <w:rPr>
      <w:rFonts w:ascii="Arial" w:hAnsi="Arial" w:eastAsia="Arial" w:cs="Arial"/>
      <w:b/>
      <w:bCs/>
      <w:sz w:val="24"/>
      <w:szCs w:val="24"/>
    </w:rPr>
  </w:style>
  <w:style w:type="paragraph" w:styleId="879">
    <w:name w:val="Heading 6"/>
    <w:basedOn w:val="873"/>
    <w:next w:val="873"/>
    <w:link w:val="918"/>
    <w:uiPriority w:val="9"/>
    <w:unhideWhenUsed/>
    <w:qFormat/>
    <w:pPr>
      <w:keepLines/>
      <w:keepNext/>
      <w:spacing w:before="320" w:after="200"/>
      <w:outlineLvl w:val="5"/>
    </w:pPr>
    <w:rPr>
      <w:rFonts w:ascii="Arial" w:hAnsi="Arial" w:eastAsia="Arial" w:cs="Arial"/>
      <w:b/>
      <w:bCs/>
      <w:sz w:val="22"/>
      <w:szCs w:val="22"/>
    </w:rPr>
  </w:style>
  <w:style w:type="paragraph" w:styleId="880">
    <w:name w:val="Heading 7"/>
    <w:basedOn w:val="873"/>
    <w:next w:val="873"/>
    <w:link w:val="919"/>
    <w:uiPriority w:val="9"/>
    <w:unhideWhenUsed/>
    <w:qFormat/>
    <w:pPr>
      <w:keepLines/>
      <w:keepNext/>
      <w:spacing w:before="320" w:after="200"/>
      <w:outlineLvl w:val="6"/>
    </w:pPr>
    <w:rPr>
      <w:rFonts w:ascii="Arial" w:hAnsi="Arial" w:eastAsia="Arial" w:cs="Arial"/>
      <w:b/>
      <w:bCs/>
      <w:i/>
      <w:iCs/>
      <w:sz w:val="22"/>
      <w:szCs w:val="22"/>
    </w:rPr>
  </w:style>
  <w:style w:type="paragraph" w:styleId="881">
    <w:name w:val="Heading 8"/>
    <w:basedOn w:val="873"/>
    <w:next w:val="873"/>
    <w:link w:val="920"/>
    <w:uiPriority w:val="9"/>
    <w:unhideWhenUsed/>
    <w:qFormat/>
    <w:pPr>
      <w:keepLines/>
      <w:keepNext/>
      <w:spacing w:before="320" w:after="200"/>
      <w:outlineLvl w:val="7"/>
    </w:pPr>
    <w:rPr>
      <w:rFonts w:ascii="Arial" w:hAnsi="Arial" w:eastAsia="Arial" w:cs="Arial"/>
      <w:i/>
      <w:iCs/>
      <w:sz w:val="22"/>
      <w:szCs w:val="22"/>
    </w:rPr>
  </w:style>
  <w:style w:type="paragraph" w:styleId="882">
    <w:name w:val="Heading 9"/>
    <w:basedOn w:val="873"/>
    <w:next w:val="873"/>
    <w:link w:val="921"/>
    <w:uiPriority w:val="9"/>
    <w:unhideWhenUsed/>
    <w:qFormat/>
    <w:pPr>
      <w:keepLines/>
      <w:keepNext/>
      <w:spacing w:before="320" w:after="200"/>
      <w:outlineLvl w:val="8"/>
    </w:pPr>
    <w:rPr>
      <w:rFonts w:ascii="Arial" w:hAnsi="Arial" w:eastAsia="Arial" w:cs="Arial"/>
      <w:i/>
      <w:iCs/>
      <w:sz w:val="21"/>
      <w:szCs w:val="21"/>
    </w:rPr>
  </w:style>
  <w:style w:type="character" w:styleId="883" w:default="1">
    <w:name w:val="Default Paragraph Font"/>
    <w:uiPriority w:val="1"/>
    <w:semiHidden/>
    <w:unhideWhenUsed/>
    <w:qFormat/>
  </w:style>
  <w:style w:type="table" w:styleId="884" w:default="1">
    <w:name w:val="Normal Table"/>
    <w:uiPriority w:val="99"/>
    <w:semiHidden/>
    <w:unhideWhenUsed/>
    <w:qFormat/>
    <w:tblPr>
      <w:tblCellMar>
        <w:left w:w="108" w:type="dxa"/>
        <w:top w:w="0" w:type="dxa"/>
        <w:right w:w="108" w:type="dxa"/>
        <w:bottom w:w="0" w:type="dxa"/>
      </w:tblCellMar>
    </w:tblPr>
  </w:style>
  <w:style w:type="paragraph" w:styleId="885">
    <w:name w:val="Block Text"/>
    <w:basedOn w:val="873"/>
    <w:uiPriority w:val="99"/>
    <w:unhideWhenUsed/>
    <w:qFormat/>
    <w:pPr>
      <w:ind w:left="1440" w:right="1440"/>
      <w:spacing w:after="120"/>
    </w:pPr>
  </w:style>
  <w:style w:type="paragraph" w:styleId="886">
    <w:name w:val="toc 7"/>
    <w:basedOn w:val="873"/>
    <w:next w:val="873"/>
    <w:uiPriority w:val="39"/>
    <w:unhideWhenUsed/>
    <w:qFormat/>
    <w:pPr>
      <w:ind w:left="1701" w:right="0" w:firstLine="0"/>
      <w:spacing w:after="57"/>
    </w:pPr>
  </w:style>
  <w:style w:type="paragraph" w:styleId="887">
    <w:name w:val="Caption"/>
    <w:basedOn w:val="873"/>
    <w:next w:val="873"/>
    <w:uiPriority w:val="35"/>
    <w:semiHidden/>
    <w:unhideWhenUsed/>
    <w:qFormat/>
    <w:pPr>
      <w:spacing w:line="276" w:lineRule="auto"/>
    </w:pPr>
    <w:rPr>
      <w:b/>
      <w:bCs/>
      <w:color w:val="4f81bd" w:themeColor="accent1"/>
      <w:sz w:val="18"/>
      <w:szCs w:val="18"/>
    </w:rPr>
  </w:style>
  <w:style w:type="paragraph" w:styleId="888">
    <w:name w:val="annotation text"/>
    <w:basedOn w:val="873"/>
    <w:uiPriority w:val="99"/>
    <w:semiHidden/>
    <w:unhideWhenUsed/>
    <w:qFormat/>
    <w:pPr>
      <w:jc w:val="left"/>
    </w:pPr>
  </w:style>
  <w:style w:type="paragraph" w:styleId="889">
    <w:name w:val="Body Text"/>
    <w:basedOn w:val="873"/>
    <w:next w:val="873"/>
    <w:uiPriority w:val="0"/>
    <w:qFormat/>
    <w:rPr>
      <w:rFonts w:ascii="仿宋_GB2312" w:eastAsia="仿宋_GB2312"/>
      <w:sz w:val="28"/>
      <w:szCs w:val="20"/>
    </w:rPr>
  </w:style>
  <w:style w:type="paragraph" w:styleId="890">
    <w:name w:val="Body Text Indent"/>
    <w:basedOn w:val="873"/>
    <w:next w:val="891"/>
    <w:uiPriority w:val="0"/>
    <w:qFormat/>
    <w:pPr>
      <w:ind w:left="420"/>
      <w:spacing w:after="120"/>
    </w:pPr>
  </w:style>
  <w:style w:type="paragraph" w:styleId="891">
    <w:name w:val="envelope return"/>
    <w:basedOn w:val="873"/>
    <w:uiPriority w:val="99"/>
    <w:semiHidden/>
    <w:unhideWhenUsed/>
    <w:qFormat/>
    <w:rPr>
      <w:rFonts w:asciiTheme="majorHAnsi" w:hAnsiTheme="majorHAnsi" w:eastAsiaTheme="majorEastAsia" w:cstheme="majorBidi"/>
    </w:rPr>
  </w:style>
  <w:style w:type="paragraph" w:styleId="892">
    <w:name w:val="index 4"/>
    <w:basedOn w:val="873"/>
    <w:next w:val="873"/>
    <w:uiPriority w:val="0"/>
    <w:qFormat/>
    <w:pPr>
      <w:ind w:left="600"/>
    </w:pPr>
    <w:rPr>
      <w:rFonts w:ascii="Calibri" w:hAnsi="Calibri"/>
    </w:rPr>
  </w:style>
  <w:style w:type="paragraph" w:styleId="893">
    <w:name w:val="toc 5"/>
    <w:basedOn w:val="873"/>
    <w:next w:val="873"/>
    <w:uiPriority w:val="39"/>
    <w:unhideWhenUsed/>
    <w:qFormat/>
    <w:pPr>
      <w:ind w:left="1134" w:right="0" w:firstLine="0"/>
      <w:spacing w:after="57"/>
    </w:pPr>
  </w:style>
  <w:style w:type="paragraph" w:styleId="894">
    <w:name w:val="toc 3"/>
    <w:basedOn w:val="873"/>
    <w:next w:val="873"/>
    <w:uiPriority w:val="39"/>
    <w:unhideWhenUsed/>
    <w:qFormat/>
    <w:pPr>
      <w:ind w:left="567" w:right="0" w:firstLine="0"/>
      <w:spacing w:after="57"/>
    </w:pPr>
  </w:style>
  <w:style w:type="paragraph" w:styleId="895">
    <w:name w:val="toc 8"/>
    <w:basedOn w:val="873"/>
    <w:next w:val="873"/>
    <w:uiPriority w:val="39"/>
    <w:unhideWhenUsed/>
    <w:qFormat/>
    <w:pPr>
      <w:ind w:left="1984" w:right="0" w:firstLine="0"/>
      <w:spacing w:after="57"/>
    </w:pPr>
  </w:style>
  <w:style w:type="paragraph" w:styleId="896">
    <w:name w:val="endnote text"/>
    <w:basedOn w:val="873"/>
    <w:link w:val="931"/>
    <w:uiPriority w:val="99"/>
    <w:semiHidden/>
    <w:unhideWhenUsed/>
    <w:qFormat/>
    <w:pPr>
      <w:spacing w:after="0" w:line="240" w:lineRule="auto"/>
    </w:pPr>
    <w:rPr>
      <w:sz w:val="20"/>
    </w:rPr>
  </w:style>
  <w:style w:type="paragraph" w:styleId="897">
    <w:name w:val="Footer"/>
    <w:basedOn w:val="873"/>
    <w:uiPriority w:val="99"/>
    <w:unhideWhenUsed/>
    <w:qFormat/>
    <w:pPr>
      <w:spacing w:after="0" w:line="240" w:lineRule="auto"/>
      <w:tabs>
        <w:tab w:val="center" w:pos="7143" w:leader="none"/>
        <w:tab w:val="right" w:pos="14287" w:leader="none"/>
      </w:tabs>
    </w:pPr>
  </w:style>
  <w:style w:type="paragraph" w:styleId="898">
    <w:name w:val="Header"/>
    <w:basedOn w:val="873"/>
    <w:uiPriority w:val="99"/>
    <w:unhideWhenUsed/>
    <w:qFormat/>
    <w:pPr>
      <w:spacing w:after="0" w:line="240" w:lineRule="auto"/>
      <w:tabs>
        <w:tab w:val="center" w:pos="7143" w:leader="none"/>
        <w:tab w:val="right" w:pos="14287" w:leader="none"/>
      </w:tabs>
    </w:pPr>
  </w:style>
  <w:style w:type="paragraph" w:styleId="899">
    <w:name w:val="toc 1"/>
    <w:basedOn w:val="873"/>
    <w:next w:val="873"/>
    <w:uiPriority w:val="39"/>
    <w:unhideWhenUsed/>
    <w:qFormat/>
    <w:pPr>
      <w:ind w:left="0" w:right="0" w:firstLine="0"/>
      <w:spacing w:after="57"/>
    </w:pPr>
  </w:style>
  <w:style w:type="paragraph" w:styleId="900">
    <w:name w:val="toc 4"/>
    <w:basedOn w:val="873"/>
    <w:next w:val="873"/>
    <w:uiPriority w:val="39"/>
    <w:unhideWhenUsed/>
    <w:qFormat/>
    <w:pPr>
      <w:ind w:left="850" w:right="0" w:firstLine="0"/>
      <w:spacing w:after="57"/>
    </w:pPr>
  </w:style>
  <w:style w:type="paragraph" w:styleId="901">
    <w:name w:val="Subtitle"/>
    <w:basedOn w:val="873"/>
    <w:next w:val="873"/>
    <w:link w:val="925"/>
    <w:uiPriority w:val="11"/>
    <w:qFormat/>
    <w:pPr>
      <w:spacing w:before="200" w:after="200"/>
    </w:pPr>
    <w:rPr>
      <w:sz w:val="24"/>
      <w:szCs w:val="24"/>
    </w:rPr>
  </w:style>
  <w:style w:type="paragraph" w:styleId="902">
    <w:name w:val="footnote text"/>
    <w:basedOn w:val="873"/>
    <w:link w:val="930"/>
    <w:uiPriority w:val="99"/>
    <w:semiHidden/>
    <w:unhideWhenUsed/>
    <w:qFormat/>
    <w:pPr>
      <w:spacing w:after="40" w:line="240" w:lineRule="auto"/>
    </w:pPr>
    <w:rPr>
      <w:sz w:val="18"/>
    </w:rPr>
  </w:style>
  <w:style w:type="paragraph" w:styleId="903">
    <w:name w:val="toc 6"/>
    <w:basedOn w:val="873"/>
    <w:next w:val="873"/>
    <w:uiPriority w:val="39"/>
    <w:unhideWhenUsed/>
    <w:qFormat/>
    <w:pPr>
      <w:ind w:left="1417" w:right="0" w:firstLine="0"/>
      <w:spacing w:after="57"/>
    </w:pPr>
  </w:style>
  <w:style w:type="paragraph" w:styleId="904">
    <w:name w:val="table of figures"/>
    <w:basedOn w:val="873"/>
    <w:next w:val="873"/>
    <w:uiPriority w:val="99"/>
    <w:unhideWhenUsed/>
    <w:qFormat/>
    <w:pPr>
      <w:spacing w:after="0" w:afterAutospacing="0"/>
    </w:pPr>
  </w:style>
  <w:style w:type="paragraph" w:styleId="905">
    <w:name w:val="toc 2"/>
    <w:basedOn w:val="873"/>
    <w:next w:val="873"/>
    <w:uiPriority w:val="39"/>
    <w:unhideWhenUsed/>
    <w:qFormat/>
    <w:pPr>
      <w:ind w:left="283" w:right="0" w:firstLine="0"/>
      <w:spacing w:after="57"/>
    </w:pPr>
  </w:style>
  <w:style w:type="paragraph" w:styleId="906">
    <w:name w:val="toc 9"/>
    <w:basedOn w:val="873"/>
    <w:next w:val="873"/>
    <w:uiPriority w:val="39"/>
    <w:unhideWhenUsed/>
    <w:qFormat/>
    <w:pPr>
      <w:ind w:left="2268" w:right="0" w:firstLine="0"/>
      <w:spacing w:after="57"/>
    </w:pPr>
  </w:style>
  <w:style w:type="paragraph" w:styleId="907">
    <w:name w:val="Title"/>
    <w:basedOn w:val="873"/>
    <w:next w:val="873"/>
    <w:link w:val="924"/>
    <w:uiPriority w:val="10"/>
    <w:qFormat/>
    <w:pPr>
      <w:contextualSpacing/>
      <w:spacing w:before="300" w:after="200"/>
    </w:pPr>
    <w:rPr>
      <w:sz w:val="48"/>
      <w:szCs w:val="48"/>
    </w:rPr>
  </w:style>
  <w:style w:type="paragraph" w:styleId="908">
    <w:name w:val="Body Text First Indent"/>
    <w:uiPriority w:val="99"/>
    <w:unhideWhenUsed/>
    <w:qFormat/>
    <w:pPr>
      <w:ind w:firstLine="420"/>
      <w:jc w:val="both"/>
      <w:spacing w:after="120"/>
      <w:widowControl w:val="off"/>
    </w:pPr>
    <w:rPr>
      <w:rFonts w:ascii="Times New Roman" w:hAnsi="Times New Roman" w:eastAsia="宋体" w:cs="Times New Roman"/>
      <w:sz w:val="21"/>
      <w:szCs w:val="24"/>
      <w:lang w:val="en-US" w:eastAsia="zh-CN" w:bidi="ar-SA"/>
    </w:rPr>
  </w:style>
  <w:style w:type="table" w:styleId="90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0">
    <w:name w:val="endnote reference"/>
    <w:uiPriority w:val="99"/>
    <w:semiHidden/>
    <w:unhideWhenUsed/>
    <w:qFormat/>
    <w:rPr>
      <w:vertAlign w:val="superscript"/>
    </w:rPr>
  </w:style>
  <w:style w:type="character" w:styleId="911">
    <w:name w:val="Hyperlink"/>
    <w:uiPriority w:val="99"/>
    <w:unhideWhenUsed/>
    <w:qFormat/>
    <w:rPr>
      <w:color w:val="0000ff" w:themeColor="hyperlink"/>
      <w:u w:val="single"/>
    </w:rPr>
  </w:style>
  <w:style w:type="character" w:styleId="912">
    <w:name w:val="footnote reference"/>
    <w:uiPriority w:val="99"/>
    <w:unhideWhenUsed/>
    <w:qFormat/>
    <w:rPr>
      <w:vertAlign w:val="superscript"/>
    </w:rPr>
  </w:style>
  <w:style w:type="paragraph" w:styleId="913" w:customStyle="1">
    <w:name w:val="索引 41"/>
    <w:basedOn w:val="873"/>
    <w:next w:val="873"/>
    <w:uiPriority w:val="99"/>
    <w:qFormat/>
    <w:pPr>
      <w:ind w:left="600"/>
    </w:pPr>
    <w:rPr>
      <w:szCs w:val="24"/>
    </w:rPr>
  </w:style>
  <w:style w:type="character" w:styleId="914" w:customStyle="1">
    <w:name w:val="Heading 1 Char"/>
    <w:link w:val="874"/>
    <w:uiPriority w:val="9"/>
    <w:qFormat/>
    <w:rPr>
      <w:rFonts w:ascii="Arial" w:hAnsi="Arial" w:eastAsia="Arial" w:cs="Arial"/>
      <w:sz w:val="40"/>
      <w:szCs w:val="40"/>
    </w:rPr>
  </w:style>
  <w:style w:type="character" w:styleId="915" w:customStyle="1">
    <w:name w:val="Heading 2 Char"/>
    <w:link w:val="875"/>
    <w:uiPriority w:val="9"/>
    <w:qFormat/>
    <w:rPr>
      <w:rFonts w:ascii="Arial" w:hAnsi="Arial" w:eastAsia="Arial" w:cs="Arial"/>
      <w:sz w:val="34"/>
    </w:rPr>
  </w:style>
  <w:style w:type="character" w:styleId="916" w:customStyle="1">
    <w:name w:val="Heading 4 Char"/>
    <w:link w:val="877"/>
    <w:uiPriority w:val="9"/>
    <w:qFormat/>
    <w:rPr>
      <w:rFonts w:ascii="Arial" w:hAnsi="Arial" w:eastAsia="Arial" w:cs="Arial"/>
      <w:b/>
      <w:bCs/>
      <w:sz w:val="26"/>
      <w:szCs w:val="26"/>
    </w:rPr>
  </w:style>
  <w:style w:type="character" w:styleId="917" w:customStyle="1">
    <w:name w:val="Heading 5 Char"/>
    <w:link w:val="878"/>
    <w:uiPriority w:val="9"/>
    <w:qFormat/>
    <w:rPr>
      <w:rFonts w:ascii="Arial" w:hAnsi="Arial" w:eastAsia="Arial" w:cs="Arial"/>
      <w:b/>
      <w:bCs/>
      <w:sz w:val="24"/>
      <w:szCs w:val="24"/>
    </w:rPr>
  </w:style>
  <w:style w:type="character" w:styleId="918" w:customStyle="1">
    <w:name w:val="Heading 6 Char"/>
    <w:link w:val="879"/>
    <w:uiPriority w:val="9"/>
    <w:qFormat/>
    <w:rPr>
      <w:rFonts w:ascii="Arial" w:hAnsi="Arial" w:eastAsia="Arial" w:cs="Arial"/>
      <w:b/>
      <w:bCs/>
      <w:sz w:val="22"/>
      <w:szCs w:val="22"/>
    </w:rPr>
  </w:style>
  <w:style w:type="character" w:styleId="919" w:customStyle="1">
    <w:name w:val="Heading 7 Char"/>
    <w:link w:val="880"/>
    <w:uiPriority w:val="9"/>
    <w:qFormat/>
    <w:rPr>
      <w:rFonts w:ascii="Arial" w:hAnsi="Arial" w:eastAsia="Arial" w:cs="Arial"/>
      <w:b/>
      <w:bCs/>
      <w:i/>
      <w:iCs/>
      <w:sz w:val="22"/>
      <w:szCs w:val="22"/>
    </w:rPr>
  </w:style>
  <w:style w:type="character" w:styleId="920" w:customStyle="1">
    <w:name w:val="Heading 8 Char"/>
    <w:link w:val="881"/>
    <w:uiPriority w:val="9"/>
    <w:qFormat/>
    <w:rPr>
      <w:rFonts w:ascii="Arial" w:hAnsi="Arial" w:eastAsia="Arial" w:cs="Arial"/>
      <w:i/>
      <w:iCs/>
      <w:sz w:val="22"/>
      <w:szCs w:val="22"/>
    </w:rPr>
  </w:style>
  <w:style w:type="character" w:styleId="921" w:customStyle="1">
    <w:name w:val="Heading 9 Char"/>
    <w:link w:val="882"/>
    <w:uiPriority w:val="9"/>
    <w:qFormat/>
    <w:rPr>
      <w:rFonts w:ascii="Arial" w:hAnsi="Arial" w:eastAsia="Arial" w:cs="Arial"/>
      <w:i/>
      <w:iCs/>
      <w:sz w:val="21"/>
      <w:szCs w:val="21"/>
    </w:rPr>
  </w:style>
  <w:style w:type="paragraph" w:styleId="922">
    <w:name w:val="List Paragraph"/>
    <w:basedOn w:val="873"/>
    <w:uiPriority w:val="34"/>
    <w:qFormat/>
    <w:pPr>
      <w:contextualSpacing/>
      <w:ind w:left="720"/>
    </w:pPr>
  </w:style>
  <w:style w:type="paragraph" w:styleId="923">
    <w:name w:val="No Spacing"/>
    <w:uiPriority w:val="1"/>
    <w:qFormat/>
    <w:pPr>
      <w:spacing w:before="0" w:after="0" w:line="240" w:lineRule="auto"/>
    </w:pPr>
    <w:rPr>
      <w:rFonts w:hint="default" w:ascii="Times New Roman" w:hAnsi="Times New Roman" w:eastAsia="宋体" w:cs="Times New Roman"/>
    </w:rPr>
  </w:style>
  <w:style w:type="character" w:styleId="924" w:customStyle="1">
    <w:name w:val="Title Char"/>
    <w:link w:val="907"/>
    <w:uiPriority w:val="10"/>
    <w:qFormat/>
    <w:rPr>
      <w:sz w:val="48"/>
      <w:szCs w:val="48"/>
    </w:rPr>
  </w:style>
  <w:style w:type="character" w:styleId="925" w:customStyle="1">
    <w:name w:val="Subtitle Char"/>
    <w:link w:val="901"/>
    <w:uiPriority w:val="11"/>
    <w:qFormat/>
    <w:rPr>
      <w:sz w:val="24"/>
      <w:szCs w:val="24"/>
    </w:rPr>
  </w:style>
  <w:style w:type="paragraph" w:styleId="926">
    <w:name w:val="Quote"/>
    <w:basedOn w:val="873"/>
    <w:next w:val="873"/>
    <w:link w:val="927"/>
    <w:uiPriority w:val="29"/>
    <w:qFormat/>
    <w:pPr>
      <w:ind w:left="720" w:right="720"/>
    </w:pPr>
    <w:rPr>
      <w:i/>
    </w:rPr>
  </w:style>
  <w:style w:type="character" w:styleId="927" w:customStyle="1">
    <w:name w:val="Quote Char"/>
    <w:link w:val="926"/>
    <w:uiPriority w:val="29"/>
    <w:qFormat/>
    <w:rPr>
      <w:i/>
    </w:rPr>
  </w:style>
  <w:style w:type="paragraph" w:styleId="928">
    <w:name w:val="Intense Quote"/>
    <w:basedOn w:val="873"/>
    <w:next w:val="873"/>
    <w:link w:val="9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9" w:customStyle="1">
    <w:name w:val="Intense Quote Char"/>
    <w:link w:val="928"/>
    <w:uiPriority w:val="30"/>
    <w:qFormat/>
    <w:rPr>
      <w:i/>
    </w:rPr>
  </w:style>
  <w:style w:type="character" w:styleId="930" w:customStyle="1">
    <w:name w:val="Footnote Text Char"/>
    <w:link w:val="902"/>
    <w:uiPriority w:val="99"/>
    <w:qFormat/>
    <w:rPr>
      <w:sz w:val="18"/>
    </w:rPr>
  </w:style>
  <w:style w:type="character" w:styleId="931" w:customStyle="1">
    <w:name w:val="Endnote Text Char"/>
    <w:link w:val="896"/>
    <w:uiPriority w:val="99"/>
    <w:qFormat/>
    <w:rPr>
      <w:sz w:val="20"/>
    </w:rPr>
  </w:style>
  <w:style w:type="paragraph" w:styleId="932" w:customStyle="1">
    <w:name w:val="标题 11"/>
    <w:basedOn w:val="873"/>
    <w:next w:val="873"/>
    <w:link w:val="943"/>
    <w:uiPriority w:val="9"/>
    <w:qFormat/>
    <w:pPr>
      <w:keepLines/>
      <w:keepNext/>
      <w:spacing w:before="480" w:after="200"/>
      <w:outlineLvl w:val="0"/>
    </w:pPr>
    <w:rPr>
      <w:rFonts w:ascii="Arial" w:hAnsi="Arial" w:eastAsia="Arial" w:cs="Arial"/>
      <w:sz w:val="40"/>
      <w:szCs w:val="40"/>
    </w:rPr>
  </w:style>
  <w:style w:type="paragraph" w:styleId="933" w:customStyle="1">
    <w:name w:val="标题 21"/>
    <w:basedOn w:val="873"/>
    <w:next w:val="873"/>
    <w:link w:val="944"/>
    <w:uiPriority w:val="9"/>
    <w:qFormat/>
    <w:pPr>
      <w:keepLines/>
      <w:keepNext/>
      <w:spacing w:before="360" w:after="200"/>
      <w:outlineLvl w:val="1"/>
    </w:pPr>
    <w:rPr>
      <w:rFonts w:ascii="Arial" w:hAnsi="Arial" w:eastAsia="Arial" w:cs="Arial"/>
      <w:sz w:val="34"/>
    </w:rPr>
  </w:style>
  <w:style w:type="paragraph" w:styleId="934" w:customStyle="1">
    <w:name w:val="标题 311"/>
    <w:basedOn w:val="873"/>
    <w:next w:val="873"/>
    <w:uiPriority w:val="9"/>
    <w:qFormat/>
    <w:pPr>
      <w:keepLines/>
      <w:keepNext/>
      <w:spacing w:before="320" w:after="200"/>
      <w:outlineLvl w:val="2"/>
    </w:pPr>
    <w:rPr>
      <w:rFonts w:ascii="Arial" w:hAnsi="Arial" w:eastAsia="Arial" w:cs="Arial"/>
      <w:sz w:val="30"/>
      <w:szCs w:val="30"/>
    </w:rPr>
  </w:style>
  <w:style w:type="paragraph" w:styleId="935" w:customStyle="1">
    <w:name w:val="标题 41"/>
    <w:basedOn w:val="873"/>
    <w:next w:val="873"/>
    <w:link w:val="945"/>
    <w:uiPriority w:val="9"/>
    <w:qFormat/>
    <w:pPr>
      <w:keepLines/>
      <w:keepNext/>
      <w:spacing w:before="320" w:after="200"/>
      <w:outlineLvl w:val="3"/>
    </w:pPr>
    <w:rPr>
      <w:rFonts w:ascii="Arial" w:hAnsi="Arial" w:eastAsia="Arial" w:cs="Arial"/>
      <w:b/>
      <w:bCs/>
      <w:sz w:val="26"/>
      <w:szCs w:val="26"/>
    </w:rPr>
  </w:style>
  <w:style w:type="paragraph" w:styleId="936" w:customStyle="1">
    <w:name w:val="标题 51"/>
    <w:basedOn w:val="873"/>
    <w:next w:val="873"/>
    <w:link w:val="946"/>
    <w:uiPriority w:val="9"/>
    <w:qFormat/>
    <w:pPr>
      <w:keepLines/>
      <w:keepNext/>
      <w:spacing w:before="320" w:after="200"/>
      <w:outlineLvl w:val="4"/>
    </w:pPr>
    <w:rPr>
      <w:rFonts w:ascii="Arial" w:hAnsi="Arial" w:eastAsia="Arial" w:cs="Arial"/>
      <w:b/>
      <w:bCs/>
      <w:sz w:val="24"/>
      <w:szCs w:val="24"/>
    </w:rPr>
  </w:style>
  <w:style w:type="paragraph" w:styleId="937" w:customStyle="1">
    <w:name w:val="标题 61"/>
    <w:basedOn w:val="873"/>
    <w:next w:val="873"/>
    <w:link w:val="947"/>
    <w:uiPriority w:val="9"/>
    <w:qFormat/>
    <w:pPr>
      <w:keepLines/>
      <w:keepNext/>
      <w:spacing w:before="320" w:after="200"/>
      <w:outlineLvl w:val="5"/>
    </w:pPr>
    <w:rPr>
      <w:rFonts w:ascii="Arial" w:hAnsi="Arial" w:eastAsia="Arial" w:cs="Arial"/>
      <w:b/>
      <w:bCs/>
      <w:sz w:val="22"/>
      <w:szCs w:val="22"/>
    </w:rPr>
  </w:style>
  <w:style w:type="paragraph" w:styleId="938" w:customStyle="1">
    <w:name w:val="标题 71"/>
    <w:basedOn w:val="873"/>
    <w:next w:val="873"/>
    <w:link w:val="948"/>
    <w:uiPriority w:val="9"/>
    <w:qFormat/>
    <w:pPr>
      <w:keepLines/>
      <w:keepNext/>
      <w:spacing w:before="320" w:after="200"/>
      <w:outlineLvl w:val="6"/>
    </w:pPr>
    <w:rPr>
      <w:rFonts w:ascii="Arial" w:hAnsi="Arial" w:eastAsia="Arial" w:cs="Arial"/>
      <w:b/>
      <w:bCs/>
      <w:i/>
      <w:iCs/>
      <w:sz w:val="22"/>
      <w:szCs w:val="22"/>
    </w:rPr>
  </w:style>
  <w:style w:type="paragraph" w:styleId="939" w:customStyle="1">
    <w:name w:val="标题 81"/>
    <w:basedOn w:val="873"/>
    <w:next w:val="873"/>
    <w:link w:val="949"/>
    <w:uiPriority w:val="9"/>
    <w:qFormat/>
    <w:pPr>
      <w:keepLines/>
      <w:keepNext/>
      <w:spacing w:before="320" w:after="200"/>
      <w:outlineLvl w:val="7"/>
    </w:pPr>
    <w:rPr>
      <w:rFonts w:ascii="Arial" w:hAnsi="Arial" w:eastAsia="Arial" w:cs="Arial"/>
      <w:i/>
      <w:iCs/>
      <w:sz w:val="22"/>
      <w:szCs w:val="22"/>
    </w:rPr>
  </w:style>
  <w:style w:type="paragraph" w:styleId="940" w:customStyle="1">
    <w:name w:val="标题 91"/>
    <w:basedOn w:val="873"/>
    <w:next w:val="873"/>
    <w:link w:val="950"/>
    <w:uiPriority w:val="9"/>
    <w:qFormat/>
    <w:pPr>
      <w:keepLines/>
      <w:keepNext/>
      <w:spacing w:before="320" w:after="200"/>
      <w:outlineLvl w:val="8"/>
    </w:pPr>
    <w:rPr>
      <w:rFonts w:ascii="Arial" w:hAnsi="Arial" w:eastAsia="Arial" w:cs="Arial"/>
      <w:i/>
      <w:iCs/>
      <w:sz w:val="21"/>
      <w:szCs w:val="21"/>
    </w:rPr>
  </w:style>
  <w:style w:type="character" w:styleId="941" w:customStyle="1">
    <w:name w:val="默认段落字体1"/>
    <w:link w:val="873"/>
    <w:uiPriority w:val="0"/>
    <w:semiHidden/>
    <w:qFormat/>
  </w:style>
  <w:style w:type="table" w:styleId="942" w:customStyle="1">
    <w:name w:val="普通表格1"/>
    <w:uiPriority w:val="0"/>
    <w:semiHidden/>
    <w:qFormat/>
    <w:tblPr/>
  </w:style>
  <w:style w:type="character" w:styleId="943" w:customStyle="1">
    <w:name w:val="标题 1 字符"/>
    <w:link w:val="932"/>
    <w:uiPriority w:val="9"/>
    <w:qFormat/>
    <w:rPr>
      <w:rFonts w:ascii="Arial" w:hAnsi="Arial" w:eastAsia="Arial" w:cs="Arial"/>
      <w:sz w:val="40"/>
      <w:szCs w:val="40"/>
    </w:rPr>
  </w:style>
  <w:style w:type="character" w:styleId="944" w:customStyle="1">
    <w:name w:val="标题 2 字符"/>
    <w:link w:val="933"/>
    <w:uiPriority w:val="9"/>
    <w:qFormat/>
    <w:rPr>
      <w:rFonts w:ascii="Arial" w:hAnsi="Arial" w:eastAsia="Arial" w:cs="Arial"/>
      <w:sz w:val="34"/>
    </w:rPr>
  </w:style>
  <w:style w:type="character" w:styleId="945" w:customStyle="1">
    <w:name w:val="标题 4 字符"/>
    <w:link w:val="935"/>
    <w:uiPriority w:val="9"/>
    <w:qFormat/>
    <w:rPr>
      <w:rFonts w:ascii="Arial" w:hAnsi="Arial" w:eastAsia="Arial" w:cs="Arial"/>
      <w:b/>
      <w:bCs/>
      <w:sz w:val="26"/>
      <w:szCs w:val="26"/>
    </w:rPr>
  </w:style>
  <w:style w:type="character" w:styleId="946" w:customStyle="1">
    <w:name w:val="标题 5 字符"/>
    <w:link w:val="936"/>
    <w:uiPriority w:val="9"/>
    <w:qFormat/>
    <w:rPr>
      <w:rFonts w:ascii="Arial" w:hAnsi="Arial" w:eastAsia="Arial" w:cs="Arial"/>
      <w:b/>
      <w:bCs/>
      <w:sz w:val="24"/>
      <w:szCs w:val="24"/>
    </w:rPr>
  </w:style>
  <w:style w:type="character" w:styleId="947" w:customStyle="1">
    <w:name w:val="标题 6 字符"/>
    <w:link w:val="937"/>
    <w:uiPriority w:val="9"/>
    <w:qFormat/>
    <w:rPr>
      <w:rFonts w:ascii="Arial" w:hAnsi="Arial" w:eastAsia="Arial" w:cs="Arial"/>
      <w:b/>
      <w:bCs/>
      <w:sz w:val="22"/>
      <w:szCs w:val="22"/>
    </w:rPr>
  </w:style>
  <w:style w:type="character" w:styleId="948" w:customStyle="1">
    <w:name w:val="标题 7 字符"/>
    <w:link w:val="938"/>
    <w:uiPriority w:val="9"/>
    <w:qFormat/>
    <w:rPr>
      <w:rFonts w:ascii="Arial" w:hAnsi="Arial" w:eastAsia="Arial" w:cs="Arial"/>
      <w:b/>
      <w:bCs/>
      <w:i/>
      <w:iCs/>
      <w:sz w:val="22"/>
      <w:szCs w:val="22"/>
    </w:rPr>
  </w:style>
  <w:style w:type="character" w:styleId="949" w:customStyle="1">
    <w:name w:val="标题 8 字符"/>
    <w:link w:val="939"/>
    <w:uiPriority w:val="9"/>
    <w:qFormat/>
    <w:rPr>
      <w:rFonts w:ascii="Arial" w:hAnsi="Arial" w:eastAsia="Arial" w:cs="Arial"/>
      <w:i/>
      <w:iCs/>
      <w:sz w:val="22"/>
      <w:szCs w:val="22"/>
    </w:rPr>
  </w:style>
  <w:style w:type="character" w:styleId="950" w:customStyle="1">
    <w:name w:val="标题 9 字符"/>
    <w:link w:val="940"/>
    <w:uiPriority w:val="9"/>
    <w:qFormat/>
    <w:rPr>
      <w:rFonts w:ascii="Arial" w:hAnsi="Arial" w:eastAsia="Arial" w:cs="Arial"/>
      <w:i/>
      <w:iCs/>
      <w:sz w:val="21"/>
      <w:szCs w:val="21"/>
    </w:rPr>
  </w:style>
  <w:style w:type="paragraph" w:styleId="951" w:customStyle="1">
    <w:name w:val="目录 71"/>
    <w:basedOn w:val="873"/>
    <w:next w:val="873"/>
    <w:uiPriority w:val="39"/>
    <w:unhideWhenUsed/>
    <w:qFormat/>
    <w:pPr>
      <w:ind w:left="1701" w:right="0" w:firstLine="0"/>
      <w:spacing w:after="57"/>
    </w:pPr>
  </w:style>
  <w:style w:type="paragraph" w:styleId="952" w:customStyle="1">
    <w:name w:val="正文缩进11"/>
    <w:basedOn w:val="873"/>
    <w:uiPriority w:val="0"/>
    <w:qFormat/>
    <w:pPr>
      <w:ind w:firstLine="420"/>
    </w:pPr>
  </w:style>
  <w:style w:type="paragraph" w:styleId="953" w:customStyle="1">
    <w:name w:val="题注1"/>
    <w:basedOn w:val="873"/>
    <w:next w:val="873"/>
    <w:uiPriority w:val="35"/>
    <w:qFormat/>
    <w:pPr>
      <w:spacing w:line="276" w:lineRule="auto"/>
    </w:pPr>
    <w:rPr>
      <w:b/>
      <w:bCs/>
      <w:color w:val="4874cb"/>
      <w:sz w:val="18"/>
      <w:szCs w:val="18"/>
    </w:rPr>
  </w:style>
  <w:style w:type="paragraph" w:styleId="954" w:customStyle="1">
    <w:name w:val="批注文字1"/>
    <w:basedOn w:val="873"/>
    <w:uiPriority w:val="99"/>
    <w:unhideWhenUsed/>
    <w:qFormat/>
    <w:pPr>
      <w:jc w:val="left"/>
    </w:pPr>
  </w:style>
  <w:style w:type="paragraph" w:styleId="955" w:customStyle="1">
    <w:name w:val="正文文本11"/>
    <w:basedOn w:val="873"/>
    <w:next w:val="873"/>
    <w:uiPriority w:val="99"/>
    <w:qFormat/>
    <w:rPr>
      <w:rFonts w:ascii="华文中宋" w:eastAsia="华文中宋"/>
      <w:bCs/>
      <w:sz w:val="28"/>
    </w:rPr>
  </w:style>
  <w:style w:type="paragraph" w:styleId="956" w:customStyle="1">
    <w:name w:val="正文文本缩进1"/>
    <w:basedOn w:val="873"/>
    <w:uiPriority w:val="0"/>
    <w:qFormat/>
    <w:pPr>
      <w:ind w:firstLine="560"/>
    </w:pPr>
    <w:rPr>
      <w:rFonts w:ascii="仿宋_GB2312" w:eastAsia="仿宋_GB2312"/>
      <w:sz w:val="28"/>
    </w:rPr>
  </w:style>
  <w:style w:type="paragraph" w:styleId="957" w:customStyle="1">
    <w:name w:val="目录 51"/>
    <w:basedOn w:val="873"/>
    <w:next w:val="873"/>
    <w:uiPriority w:val="39"/>
    <w:unhideWhenUsed/>
    <w:qFormat/>
    <w:pPr>
      <w:ind w:left="1134" w:right="0" w:firstLine="0"/>
      <w:spacing w:after="57"/>
    </w:pPr>
  </w:style>
  <w:style w:type="paragraph" w:styleId="958" w:customStyle="1">
    <w:name w:val="目录 311"/>
    <w:basedOn w:val="873"/>
    <w:next w:val="873"/>
    <w:uiPriority w:val="39"/>
    <w:unhideWhenUsed/>
    <w:qFormat/>
    <w:pPr>
      <w:ind w:left="567" w:right="0" w:firstLine="0"/>
      <w:spacing w:after="57"/>
    </w:pPr>
  </w:style>
  <w:style w:type="paragraph" w:styleId="959" w:customStyle="1">
    <w:name w:val="纯文本1"/>
    <w:basedOn w:val="873"/>
    <w:uiPriority w:val="0"/>
    <w:qFormat/>
    <w:pPr>
      <w:jc w:val="left"/>
      <w:widowControl/>
    </w:pPr>
    <w:rPr>
      <w:rFonts w:ascii="宋体" w:hAnsi="Courier New"/>
    </w:rPr>
  </w:style>
  <w:style w:type="paragraph" w:styleId="960" w:customStyle="1">
    <w:name w:val="目录 81"/>
    <w:basedOn w:val="873"/>
    <w:next w:val="873"/>
    <w:uiPriority w:val="39"/>
    <w:unhideWhenUsed/>
    <w:qFormat/>
    <w:pPr>
      <w:ind w:left="1984" w:right="0" w:firstLine="0"/>
      <w:spacing w:after="57"/>
    </w:pPr>
  </w:style>
  <w:style w:type="paragraph" w:styleId="961" w:customStyle="1">
    <w:name w:val="尾注文本1"/>
    <w:basedOn w:val="873"/>
    <w:link w:val="962"/>
    <w:uiPriority w:val="99"/>
    <w:unhideWhenUsed/>
    <w:qFormat/>
    <w:pPr>
      <w:spacing w:after="0" w:line="240" w:lineRule="auto"/>
    </w:pPr>
    <w:rPr>
      <w:sz w:val="20"/>
    </w:rPr>
  </w:style>
  <w:style w:type="character" w:styleId="962" w:customStyle="1">
    <w:name w:val="尾注文本 字符"/>
    <w:link w:val="961"/>
    <w:uiPriority w:val="99"/>
    <w:qFormat/>
    <w:rPr>
      <w:sz w:val="20"/>
    </w:rPr>
  </w:style>
  <w:style w:type="paragraph" w:styleId="963" w:customStyle="1">
    <w:name w:val="页脚11"/>
    <w:basedOn w:val="873"/>
    <w:uiPriority w:val="99"/>
    <w:unhideWhenUsed/>
    <w:qFormat/>
    <w:pPr>
      <w:spacing w:after="0" w:line="240" w:lineRule="auto"/>
      <w:tabs>
        <w:tab w:val="center" w:pos="7143" w:leader="none"/>
        <w:tab w:val="right" w:pos="14287" w:leader="none"/>
      </w:tabs>
    </w:pPr>
  </w:style>
  <w:style w:type="paragraph" w:styleId="964" w:customStyle="1">
    <w:name w:val="页眉11"/>
    <w:basedOn w:val="873"/>
    <w:uiPriority w:val="99"/>
    <w:unhideWhenUsed/>
    <w:qFormat/>
    <w:pPr>
      <w:spacing w:after="0" w:line="240" w:lineRule="auto"/>
      <w:tabs>
        <w:tab w:val="center" w:pos="7143" w:leader="none"/>
        <w:tab w:val="right" w:pos="14287" w:leader="none"/>
      </w:tabs>
    </w:pPr>
  </w:style>
  <w:style w:type="paragraph" w:styleId="965" w:customStyle="1">
    <w:name w:val="目录 111"/>
    <w:basedOn w:val="873"/>
    <w:next w:val="873"/>
    <w:uiPriority w:val="39"/>
    <w:unhideWhenUsed/>
    <w:qFormat/>
    <w:pPr>
      <w:ind w:left="0" w:right="0" w:firstLine="0"/>
      <w:spacing w:after="57"/>
    </w:pPr>
  </w:style>
  <w:style w:type="paragraph" w:styleId="966" w:customStyle="1">
    <w:name w:val="目录 41"/>
    <w:basedOn w:val="873"/>
    <w:next w:val="873"/>
    <w:uiPriority w:val="39"/>
    <w:unhideWhenUsed/>
    <w:qFormat/>
    <w:pPr>
      <w:ind w:left="850" w:right="0" w:firstLine="0"/>
      <w:spacing w:after="57"/>
    </w:pPr>
  </w:style>
  <w:style w:type="paragraph" w:styleId="967" w:customStyle="1">
    <w:name w:val="副标题1"/>
    <w:basedOn w:val="873"/>
    <w:next w:val="873"/>
    <w:link w:val="968"/>
    <w:uiPriority w:val="11"/>
    <w:qFormat/>
    <w:pPr>
      <w:spacing w:before="200" w:after="200"/>
    </w:pPr>
    <w:rPr>
      <w:sz w:val="24"/>
      <w:szCs w:val="24"/>
    </w:rPr>
  </w:style>
  <w:style w:type="character" w:styleId="968" w:customStyle="1">
    <w:name w:val="副标题 字符"/>
    <w:link w:val="967"/>
    <w:uiPriority w:val="11"/>
    <w:qFormat/>
    <w:rPr>
      <w:sz w:val="24"/>
      <w:szCs w:val="24"/>
    </w:rPr>
  </w:style>
  <w:style w:type="paragraph" w:styleId="969" w:customStyle="1">
    <w:name w:val="脚注文本1"/>
    <w:basedOn w:val="873"/>
    <w:link w:val="970"/>
    <w:uiPriority w:val="99"/>
    <w:unhideWhenUsed/>
    <w:qFormat/>
    <w:pPr>
      <w:spacing w:after="40" w:line="240" w:lineRule="auto"/>
    </w:pPr>
    <w:rPr>
      <w:sz w:val="18"/>
    </w:rPr>
  </w:style>
  <w:style w:type="character" w:styleId="970" w:customStyle="1">
    <w:name w:val="脚注文本 字符"/>
    <w:link w:val="969"/>
    <w:uiPriority w:val="99"/>
    <w:qFormat/>
    <w:rPr>
      <w:sz w:val="18"/>
    </w:rPr>
  </w:style>
  <w:style w:type="paragraph" w:styleId="971" w:customStyle="1">
    <w:name w:val="目录 61"/>
    <w:basedOn w:val="873"/>
    <w:next w:val="873"/>
    <w:uiPriority w:val="39"/>
    <w:unhideWhenUsed/>
    <w:qFormat/>
    <w:pPr>
      <w:ind w:left="1417" w:right="0" w:firstLine="0"/>
      <w:spacing w:after="57"/>
    </w:pPr>
  </w:style>
  <w:style w:type="paragraph" w:styleId="972" w:customStyle="1">
    <w:name w:val="图表目录1"/>
    <w:basedOn w:val="873"/>
    <w:next w:val="873"/>
    <w:uiPriority w:val="99"/>
    <w:unhideWhenUsed/>
    <w:qFormat/>
    <w:pPr>
      <w:spacing w:after="0" w:afterAutospacing="0"/>
    </w:pPr>
  </w:style>
  <w:style w:type="paragraph" w:styleId="973" w:customStyle="1">
    <w:name w:val="目录 21"/>
    <w:basedOn w:val="873"/>
    <w:next w:val="873"/>
    <w:uiPriority w:val="39"/>
    <w:unhideWhenUsed/>
    <w:qFormat/>
    <w:pPr>
      <w:ind w:left="283" w:right="0" w:firstLine="0"/>
      <w:spacing w:after="57"/>
    </w:pPr>
  </w:style>
  <w:style w:type="paragraph" w:styleId="974" w:customStyle="1">
    <w:name w:val="目录 91"/>
    <w:basedOn w:val="873"/>
    <w:next w:val="873"/>
    <w:uiPriority w:val="39"/>
    <w:unhideWhenUsed/>
    <w:qFormat/>
    <w:pPr>
      <w:ind w:left="2268" w:right="0" w:firstLine="0"/>
      <w:spacing w:after="57"/>
    </w:pPr>
  </w:style>
  <w:style w:type="paragraph" w:styleId="975" w:customStyle="1">
    <w:name w:val="普通(网站)11"/>
    <w:basedOn w:val="873"/>
    <w:uiPriority w:val="0"/>
    <w:qFormat/>
    <w:pPr>
      <w:jc w:val="left"/>
      <w:spacing w:beforeAutospacing="1" w:afterAutospacing="1"/>
    </w:pPr>
    <w:rPr>
      <w:rFonts w:cs="Times New Roman"/>
      <w:sz w:val="24"/>
    </w:rPr>
  </w:style>
  <w:style w:type="paragraph" w:styleId="976" w:customStyle="1">
    <w:name w:val="标题1"/>
    <w:basedOn w:val="873"/>
    <w:next w:val="873"/>
    <w:link w:val="977"/>
    <w:uiPriority w:val="10"/>
    <w:qFormat/>
    <w:pPr>
      <w:contextualSpacing/>
      <w:spacing w:before="300" w:after="200"/>
    </w:pPr>
    <w:rPr>
      <w:sz w:val="48"/>
      <w:szCs w:val="48"/>
    </w:rPr>
  </w:style>
  <w:style w:type="character" w:styleId="977" w:customStyle="1">
    <w:name w:val="标题 字符"/>
    <w:link w:val="976"/>
    <w:uiPriority w:val="10"/>
    <w:qFormat/>
    <w:rPr>
      <w:sz w:val="48"/>
      <w:szCs w:val="48"/>
    </w:rPr>
  </w:style>
  <w:style w:type="table" w:styleId="978" w:customStyle="1">
    <w:name w:val="网格型1"/>
    <w:uiPriority w:val="59"/>
    <w:qFormat/>
    <w:rPr>
      <w:lang w:val="en-US" w:eastAsia="zh-CN" w:bidi="ar-SA"/>
    </w:rPr>
    <w:tblPr/>
  </w:style>
  <w:style w:type="character" w:styleId="979" w:customStyle="1">
    <w:name w:val="尾注引用1"/>
    <w:link w:val="873"/>
    <w:uiPriority w:val="99"/>
    <w:unhideWhenUsed/>
    <w:qFormat/>
    <w:rPr>
      <w:vertAlign w:val="superscript"/>
    </w:rPr>
  </w:style>
  <w:style w:type="character" w:styleId="980" w:customStyle="1">
    <w:name w:val="页码11"/>
    <w:link w:val="873"/>
    <w:uiPriority w:val="0"/>
    <w:qFormat/>
  </w:style>
  <w:style w:type="character" w:styleId="981" w:customStyle="1">
    <w:name w:val="超链接11"/>
    <w:link w:val="873"/>
    <w:uiPriority w:val="99"/>
    <w:unhideWhenUsed/>
    <w:qFormat/>
    <w:rPr>
      <w:color w:val="0026e5"/>
      <w:u w:val="single"/>
    </w:rPr>
  </w:style>
  <w:style w:type="character" w:styleId="982" w:customStyle="1">
    <w:name w:val="脚注引用1"/>
    <w:link w:val="873"/>
    <w:uiPriority w:val="99"/>
    <w:unhideWhenUsed/>
    <w:qFormat/>
    <w:rPr>
      <w:vertAlign w:val="superscript"/>
    </w:rPr>
  </w:style>
  <w:style w:type="character" w:styleId="983" w:customStyle="1">
    <w:name w:val="要点1"/>
    <w:link w:val="873"/>
    <w:uiPriority w:val="0"/>
    <w:qFormat/>
    <w:rPr>
      <w:rFonts w:ascii="Times New Roman" w:hAnsi="Times New Roman" w:eastAsia="宋体" w:cs="Times New Roman"/>
      <w:sz w:val="21"/>
      <w:lang w:val="en-US" w:eastAsia="zh-CN" w:bidi="ar-SA"/>
    </w:rPr>
  </w:style>
  <w:style w:type="character" w:styleId="984" w:customStyle="1">
    <w:name w:val="页码1"/>
    <w:link w:val="873"/>
    <w:uiPriority w:val="99"/>
    <w:qFormat/>
  </w:style>
  <w:style w:type="paragraph" w:styleId="985" w:customStyle="1">
    <w:name w:val="正文文本1"/>
    <w:basedOn w:val="873"/>
    <w:uiPriority w:val="0"/>
    <w:qFormat/>
    <w:rPr>
      <w:rFonts w:ascii="宋体"/>
      <w:sz w:val="28"/>
    </w:rPr>
  </w:style>
  <w:style w:type="character" w:styleId="986" w:customStyle="1">
    <w:name w:val="Heading 3 Char"/>
    <w:link w:val="873"/>
    <w:uiPriority w:val="9"/>
    <w:qFormat/>
    <w:rPr>
      <w:rFonts w:ascii="Arial" w:hAnsi="Arial" w:eastAsia="Arial" w:cs="Arial"/>
      <w:sz w:val="30"/>
      <w:szCs w:val="30"/>
    </w:rPr>
  </w:style>
  <w:style w:type="paragraph" w:styleId="987" w:customStyle="1">
    <w:name w:val="无间隔"/>
    <w:uiPriority w:val="1"/>
    <w:qFormat/>
    <w:rPr>
      <w:rFonts w:hint="default" w:ascii="等线" w:hAnsi="等线" w:eastAsia="等线" w:cs="Times New Roman"/>
      <w:lang w:val="en-US" w:eastAsia="zh-CN" w:bidi="ar-SA"/>
    </w:rPr>
  </w:style>
  <w:style w:type="paragraph" w:styleId="988" w:customStyle="1">
    <w:name w:val="引用"/>
    <w:basedOn w:val="873"/>
    <w:next w:val="873"/>
    <w:link w:val="989"/>
    <w:uiPriority w:val="29"/>
    <w:qFormat/>
    <w:pPr>
      <w:ind w:left="720" w:right="720"/>
    </w:pPr>
    <w:rPr>
      <w:i/>
    </w:rPr>
  </w:style>
  <w:style w:type="character" w:styleId="989" w:customStyle="1">
    <w:name w:val="引用 字符"/>
    <w:link w:val="988"/>
    <w:uiPriority w:val="29"/>
    <w:qFormat/>
    <w:rPr>
      <w:i/>
    </w:rPr>
  </w:style>
  <w:style w:type="paragraph" w:styleId="990" w:customStyle="1">
    <w:name w:val="明显引用"/>
    <w:basedOn w:val="873"/>
    <w:next w:val="873"/>
    <w:link w:val="9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1" w:customStyle="1">
    <w:name w:val="明显引用 字符"/>
    <w:link w:val="990"/>
    <w:uiPriority w:val="30"/>
    <w:qFormat/>
    <w:rPr>
      <w:i/>
    </w:rPr>
  </w:style>
  <w:style w:type="character" w:styleId="992" w:customStyle="1">
    <w:name w:val="Header Char"/>
    <w:link w:val="873"/>
    <w:uiPriority w:val="99"/>
    <w:qFormat/>
  </w:style>
  <w:style w:type="character" w:styleId="993" w:customStyle="1">
    <w:name w:val="Footer Char"/>
    <w:link w:val="873"/>
    <w:uiPriority w:val="99"/>
    <w:qFormat/>
  </w:style>
  <w:style w:type="character" w:styleId="994" w:customStyle="1">
    <w:name w:val="Caption Char"/>
    <w:link w:val="873"/>
    <w:uiPriority w:val="99"/>
    <w:qFormat/>
  </w:style>
  <w:style w:type="table" w:styleId="995" w:customStyle="1">
    <w:name w:val="Table Grid Light"/>
    <w:basedOn w:val="942"/>
    <w:uiPriority w:val="59"/>
    <w:qFormat/>
    <w:pPr>
      <w:spacing w:after="0" w:line="240" w:lineRule="auto"/>
    </w:pPr>
    <w:tblPr/>
  </w:style>
  <w:style w:type="table" w:styleId="996" w:customStyle="1">
    <w:name w:val="Plain Table 1"/>
    <w:basedOn w:val="942"/>
    <w:uiPriority w:val="59"/>
    <w:qFormat/>
    <w:pPr>
      <w:spacing w:after="0" w:line="240" w:lineRule="auto"/>
    </w:pPr>
    <w:tblPr/>
  </w:style>
  <w:style w:type="table" w:styleId="997" w:customStyle="1">
    <w:name w:val="Plain Table 2"/>
    <w:basedOn w:val="942"/>
    <w:uiPriority w:val="59"/>
    <w:qFormat/>
    <w:pPr>
      <w:spacing w:after="0" w:line="240" w:lineRule="auto"/>
    </w:pPr>
    <w:tblPr/>
  </w:style>
  <w:style w:type="table" w:styleId="998" w:customStyle="1">
    <w:name w:val="Plain Table 3"/>
    <w:basedOn w:val="942"/>
    <w:uiPriority w:val="99"/>
    <w:qFormat/>
    <w:pPr>
      <w:spacing w:after="0" w:line="240" w:lineRule="auto"/>
    </w:pPr>
    <w:tblPr/>
  </w:style>
  <w:style w:type="table" w:styleId="999" w:customStyle="1">
    <w:name w:val="Plain Table 4"/>
    <w:basedOn w:val="942"/>
    <w:uiPriority w:val="99"/>
    <w:qFormat/>
    <w:pPr>
      <w:spacing w:after="0" w:line="240" w:lineRule="auto"/>
    </w:pPr>
    <w:tblPr/>
  </w:style>
  <w:style w:type="table" w:styleId="1000" w:customStyle="1">
    <w:name w:val="Plain Table 5"/>
    <w:basedOn w:val="942"/>
    <w:uiPriority w:val="99"/>
    <w:qFormat/>
    <w:pPr>
      <w:spacing w:after="0" w:line="240" w:lineRule="auto"/>
    </w:pPr>
    <w:tblPr/>
  </w:style>
  <w:style w:type="table" w:styleId="1001" w:customStyle="1">
    <w:name w:val="Grid Table 1 Light"/>
    <w:basedOn w:val="942"/>
    <w:uiPriority w:val="99"/>
    <w:qFormat/>
    <w:pPr>
      <w:spacing w:after="0" w:line="240" w:lineRule="auto"/>
    </w:pPr>
    <w:tblPr/>
  </w:style>
  <w:style w:type="table" w:styleId="1002" w:customStyle="1">
    <w:name w:val="Grid Table 1 Light - Accent 1"/>
    <w:basedOn w:val="942"/>
    <w:uiPriority w:val="99"/>
    <w:qFormat/>
    <w:pPr>
      <w:spacing w:after="0" w:line="240" w:lineRule="auto"/>
    </w:pPr>
    <w:tblPr/>
  </w:style>
  <w:style w:type="table" w:styleId="1003" w:customStyle="1">
    <w:name w:val="Grid Table 1 Light - Accent 2"/>
    <w:basedOn w:val="942"/>
    <w:uiPriority w:val="99"/>
    <w:qFormat/>
    <w:pPr>
      <w:spacing w:after="0" w:line="240" w:lineRule="auto"/>
    </w:pPr>
    <w:tblPr/>
  </w:style>
  <w:style w:type="table" w:styleId="1004" w:customStyle="1">
    <w:name w:val="Grid Table 1 Light - Accent 3"/>
    <w:basedOn w:val="942"/>
    <w:uiPriority w:val="99"/>
    <w:qFormat/>
    <w:pPr>
      <w:spacing w:after="0" w:line="240" w:lineRule="auto"/>
    </w:pPr>
    <w:tblPr/>
  </w:style>
  <w:style w:type="table" w:styleId="1005" w:customStyle="1">
    <w:name w:val="Grid Table 1 Light - Accent 4"/>
    <w:basedOn w:val="942"/>
    <w:uiPriority w:val="99"/>
    <w:qFormat/>
    <w:pPr>
      <w:spacing w:after="0" w:line="240" w:lineRule="auto"/>
    </w:pPr>
    <w:tblPr/>
  </w:style>
  <w:style w:type="table" w:styleId="1006" w:customStyle="1">
    <w:name w:val="Grid Table 1 Light - Accent 5"/>
    <w:basedOn w:val="942"/>
    <w:uiPriority w:val="99"/>
    <w:qFormat/>
    <w:pPr>
      <w:spacing w:after="0" w:line="240" w:lineRule="auto"/>
    </w:pPr>
    <w:tblPr/>
  </w:style>
  <w:style w:type="table" w:styleId="1007" w:customStyle="1">
    <w:name w:val="Grid Table 1 Light - Accent 6"/>
    <w:basedOn w:val="942"/>
    <w:uiPriority w:val="99"/>
    <w:qFormat/>
    <w:pPr>
      <w:spacing w:after="0" w:line="240" w:lineRule="auto"/>
    </w:pPr>
    <w:tblPr/>
  </w:style>
  <w:style w:type="table" w:styleId="1008" w:customStyle="1">
    <w:name w:val="Grid Table 2"/>
    <w:basedOn w:val="942"/>
    <w:uiPriority w:val="99"/>
    <w:qFormat/>
    <w:pPr>
      <w:spacing w:after="0" w:line="240" w:lineRule="auto"/>
    </w:pPr>
    <w:tblPr/>
  </w:style>
  <w:style w:type="table" w:styleId="1009" w:customStyle="1">
    <w:name w:val="Grid Table 2 - Accent 1"/>
    <w:basedOn w:val="942"/>
    <w:uiPriority w:val="99"/>
    <w:qFormat/>
    <w:pPr>
      <w:spacing w:after="0" w:line="240" w:lineRule="auto"/>
    </w:pPr>
    <w:tblPr/>
  </w:style>
  <w:style w:type="table" w:styleId="1010" w:customStyle="1">
    <w:name w:val="Grid Table 2 - Accent 2"/>
    <w:basedOn w:val="942"/>
    <w:uiPriority w:val="99"/>
    <w:qFormat/>
    <w:pPr>
      <w:spacing w:after="0" w:line="240" w:lineRule="auto"/>
    </w:pPr>
    <w:tblPr/>
  </w:style>
  <w:style w:type="table" w:styleId="1011" w:customStyle="1">
    <w:name w:val="Grid Table 2 - Accent 3"/>
    <w:basedOn w:val="942"/>
    <w:uiPriority w:val="99"/>
    <w:qFormat/>
    <w:pPr>
      <w:spacing w:after="0" w:line="240" w:lineRule="auto"/>
    </w:pPr>
    <w:tblPr/>
  </w:style>
  <w:style w:type="table" w:styleId="1012" w:customStyle="1">
    <w:name w:val="Grid Table 2 - Accent 4"/>
    <w:basedOn w:val="942"/>
    <w:uiPriority w:val="99"/>
    <w:qFormat/>
    <w:pPr>
      <w:spacing w:after="0" w:line="240" w:lineRule="auto"/>
    </w:pPr>
    <w:tblPr/>
  </w:style>
  <w:style w:type="table" w:styleId="1013" w:customStyle="1">
    <w:name w:val="Grid Table 2 - Accent 5"/>
    <w:basedOn w:val="942"/>
    <w:uiPriority w:val="99"/>
    <w:qFormat/>
    <w:pPr>
      <w:spacing w:after="0" w:line="240" w:lineRule="auto"/>
    </w:pPr>
    <w:tblPr/>
  </w:style>
  <w:style w:type="table" w:styleId="1014" w:customStyle="1">
    <w:name w:val="Grid Table 2 - Accent 6"/>
    <w:basedOn w:val="942"/>
    <w:uiPriority w:val="99"/>
    <w:qFormat/>
    <w:pPr>
      <w:spacing w:after="0" w:line="240" w:lineRule="auto"/>
    </w:pPr>
    <w:tblPr/>
  </w:style>
  <w:style w:type="table" w:styleId="1015" w:customStyle="1">
    <w:name w:val="Grid Table 3"/>
    <w:basedOn w:val="942"/>
    <w:uiPriority w:val="99"/>
    <w:qFormat/>
    <w:pPr>
      <w:spacing w:after="0" w:line="240" w:lineRule="auto"/>
    </w:pPr>
    <w:tblPr/>
  </w:style>
  <w:style w:type="table" w:styleId="1016" w:customStyle="1">
    <w:name w:val="Grid Table 3 - Accent 1"/>
    <w:basedOn w:val="942"/>
    <w:uiPriority w:val="99"/>
    <w:qFormat/>
    <w:pPr>
      <w:spacing w:after="0" w:line="240" w:lineRule="auto"/>
    </w:pPr>
    <w:tblPr/>
  </w:style>
  <w:style w:type="table" w:styleId="1017" w:customStyle="1">
    <w:name w:val="Grid Table 3 - Accent 2"/>
    <w:basedOn w:val="942"/>
    <w:uiPriority w:val="99"/>
    <w:qFormat/>
    <w:pPr>
      <w:spacing w:after="0" w:line="240" w:lineRule="auto"/>
    </w:pPr>
    <w:tblPr/>
  </w:style>
  <w:style w:type="table" w:styleId="1018" w:customStyle="1">
    <w:name w:val="Grid Table 3 - Accent 3"/>
    <w:basedOn w:val="942"/>
    <w:uiPriority w:val="99"/>
    <w:qFormat/>
    <w:pPr>
      <w:spacing w:after="0" w:line="240" w:lineRule="auto"/>
    </w:pPr>
    <w:tblPr/>
  </w:style>
  <w:style w:type="table" w:styleId="1019" w:customStyle="1">
    <w:name w:val="Grid Table 3 - Accent 4"/>
    <w:basedOn w:val="942"/>
    <w:uiPriority w:val="99"/>
    <w:qFormat/>
    <w:pPr>
      <w:spacing w:after="0" w:line="240" w:lineRule="auto"/>
    </w:pPr>
    <w:tblPr/>
  </w:style>
  <w:style w:type="table" w:styleId="1020" w:customStyle="1">
    <w:name w:val="Grid Table 3 - Accent 5"/>
    <w:basedOn w:val="942"/>
    <w:uiPriority w:val="99"/>
    <w:qFormat/>
    <w:pPr>
      <w:spacing w:after="0" w:line="240" w:lineRule="auto"/>
    </w:pPr>
    <w:tblPr/>
  </w:style>
  <w:style w:type="table" w:styleId="1021" w:customStyle="1">
    <w:name w:val="Grid Table 3 - Accent 6"/>
    <w:basedOn w:val="942"/>
    <w:uiPriority w:val="99"/>
    <w:qFormat/>
    <w:pPr>
      <w:spacing w:after="0" w:line="240" w:lineRule="auto"/>
    </w:pPr>
    <w:tblPr/>
  </w:style>
  <w:style w:type="table" w:styleId="1022" w:customStyle="1">
    <w:name w:val="Grid Table 4"/>
    <w:basedOn w:val="942"/>
    <w:uiPriority w:val="59"/>
    <w:qFormat/>
    <w:pPr>
      <w:spacing w:after="0" w:line="240" w:lineRule="auto"/>
    </w:pPr>
    <w:tblPr/>
  </w:style>
  <w:style w:type="table" w:styleId="1023" w:customStyle="1">
    <w:name w:val="Grid Table 4 - Accent 1"/>
    <w:basedOn w:val="942"/>
    <w:uiPriority w:val="59"/>
    <w:qFormat/>
    <w:pPr>
      <w:spacing w:after="0" w:line="240" w:lineRule="auto"/>
    </w:pPr>
    <w:tblPr/>
  </w:style>
  <w:style w:type="table" w:styleId="1024" w:customStyle="1">
    <w:name w:val="Grid Table 4 - Accent 2"/>
    <w:basedOn w:val="942"/>
    <w:uiPriority w:val="59"/>
    <w:qFormat/>
    <w:pPr>
      <w:spacing w:after="0" w:line="240" w:lineRule="auto"/>
    </w:pPr>
    <w:tblPr/>
  </w:style>
  <w:style w:type="table" w:styleId="1025" w:customStyle="1">
    <w:name w:val="Grid Table 4 - Accent 3"/>
    <w:basedOn w:val="942"/>
    <w:uiPriority w:val="59"/>
    <w:qFormat/>
    <w:pPr>
      <w:spacing w:after="0" w:line="240" w:lineRule="auto"/>
    </w:pPr>
    <w:tblPr/>
  </w:style>
  <w:style w:type="table" w:styleId="1026" w:customStyle="1">
    <w:name w:val="Grid Table 4 - Accent 4"/>
    <w:basedOn w:val="942"/>
    <w:uiPriority w:val="59"/>
    <w:qFormat/>
    <w:pPr>
      <w:spacing w:after="0" w:line="240" w:lineRule="auto"/>
    </w:pPr>
    <w:tblPr/>
  </w:style>
  <w:style w:type="table" w:styleId="1027" w:customStyle="1">
    <w:name w:val="Grid Table 4 - Accent 5"/>
    <w:basedOn w:val="942"/>
    <w:uiPriority w:val="59"/>
    <w:qFormat/>
    <w:pPr>
      <w:spacing w:after="0" w:line="240" w:lineRule="auto"/>
    </w:pPr>
    <w:tblPr/>
  </w:style>
  <w:style w:type="table" w:styleId="1028" w:customStyle="1">
    <w:name w:val="Grid Table 4 - Accent 6"/>
    <w:basedOn w:val="942"/>
    <w:uiPriority w:val="59"/>
    <w:qFormat/>
    <w:pPr>
      <w:spacing w:after="0" w:line="240" w:lineRule="auto"/>
    </w:pPr>
    <w:tblPr/>
  </w:style>
  <w:style w:type="table" w:styleId="1029" w:customStyle="1">
    <w:name w:val="Grid Table 5 Dark"/>
    <w:basedOn w:val="942"/>
    <w:uiPriority w:val="99"/>
    <w:qFormat/>
    <w:pPr>
      <w:spacing w:after="0" w:line="240" w:lineRule="auto"/>
    </w:pPr>
    <w:tblPr/>
  </w:style>
  <w:style w:type="table" w:styleId="1030" w:customStyle="1">
    <w:name w:val="Grid Table 5 Dark- Accent 1"/>
    <w:basedOn w:val="942"/>
    <w:uiPriority w:val="99"/>
    <w:qFormat/>
    <w:pPr>
      <w:spacing w:after="0" w:line="240" w:lineRule="auto"/>
    </w:pPr>
    <w:tblPr/>
  </w:style>
  <w:style w:type="table" w:styleId="1031" w:customStyle="1">
    <w:name w:val="Grid Table 5 Dark - Accent 2"/>
    <w:basedOn w:val="942"/>
    <w:uiPriority w:val="99"/>
    <w:qFormat/>
    <w:pPr>
      <w:spacing w:after="0" w:line="240" w:lineRule="auto"/>
    </w:pPr>
    <w:tblPr/>
  </w:style>
  <w:style w:type="table" w:styleId="1032" w:customStyle="1">
    <w:name w:val="Grid Table 5 Dark - Accent 3"/>
    <w:basedOn w:val="942"/>
    <w:uiPriority w:val="99"/>
    <w:qFormat/>
    <w:pPr>
      <w:spacing w:after="0" w:line="240" w:lineRule="auto"/>
    </w:pPr>
    <w:tblPr/>
  </w:style>
  <w:style w:type="table" w:styleId="1033" w:customStyle="1">
    <w:name w:val="Grid Table 5 Dark- Accent 4"/>
    <w:basedOn w:val="942"/>
    <w:uiPriority w:val="99"/>
    <w:qFormat/>
    <w:pPr>
      <w:spacing w:after="0" w:line="240" w:lineRule="auto"/>
    </w:pPr>
    <w:tblPr/>
  </w:style>
  <w:style w:type="table" w:styleId="1034" w:customStyle="1">
    <w:name w:val="Grid Table 5 Dark - Accent 5"/>
    <w:basedOn w:val="942"/>
    <w:uiPriority w:val="99"/>
    <w:qFormat/>
    <w:pPr>
      <w:spacing w:after="0" w:line="240" w:lineRule="auto"/>
    </w:pPr>
    <w:tblPr/>
  </w:style>
  <w:style w:type="table" w:styleId="1035" w:customStyle="1">
    <w:name w:val="Grid Table 5 Dark - Accent 6"/>
    <w:basedOn w:val="942"/>
    <w:uiPriority w:val="99"/>
    <w:qFormat/>
    <w:pPr>
      <w:spacing w:after="0" w:line="240" w:lineRule="auto"/>
    </w:pPr>
    <w:tblPr/>
  </w:style>
  <w:style w:type="table" w:styleId="1036" w:customStyle="1">
    <w:name w:val="Grid Table 6 Colorful"/>
    <w:basedOn w:val="942"/>
    <w:uiPriority w:val="99"/>
    <w:qFormat/>
    <w:pPr>
      <w:spacing w:after="0" w:line="240" w:lineRule="auto"/>
    </w:pPr>
    <w:tblPr/>
  </w:style>
  <w:style w:type="table" w:styleId="1037" w:customStyle="1">
    <w:name w:val="Grid Table 6 Colorful - Accent 1"/>
    <w:basedOn w:val="942"/>
    <w:uiPriority w:val="99"/>
    <w:qFormat/>
    <w:pPr>
      <w:spacing w:after="0" w:line="240" w:lineRule="auto"/>
    </w:pPr>
    <w:tblPr/>
  </w:style>
  <w:style w:type="table" w:styleId="1038" w:customStyle="1">
    <w:name w:val="Grid Table 6 Colorful - Accent 2"/>
    <w:basedOn w:val="942"/>
    <w:uiPriority w:val="99"/>
    <w:qFormat/>
    <w:pPr>
      <w:spacing w:after="0" w:line="240" w:lineRule="auto"/>
    </w:pPr>
    <w:tblPr/>
  </w:style>
  <w:style w:type="table" w:styleId="1039" w:customStyle="1">
    <w:name w:val="Grid Table 6 Colorful - Accent 3"/>
    <w:basedOn w:val="942"/>
    <w:uiPriority w:val="99"/>
    <w:qFormat/>
    <w:pPr>
      <w:spacing w:after="0" w:line="240" w:lineRule="auto"/>
    </w:pPr>
    <w:tblPr/>
  </w:style>
  <w:style w:type="table" w:styleId="1040" w:customStyle="1">
    <w:name w:val="Grid Table 6 Colorful - Accent 4"/>
    <w:basedOn w:val="942"/>
    <w:uiPriority w:val="99"/>
    <w:qFormat/>
    <w:pPr>
      <w:spacing w:after="0" w:line="240" w:lineRule="auto"/>
    </w:pPr>
    <w:tblPr/>
  </w:style>
  <w:style w:type="table" w:styleId="1041" w:customStyle="1">
    <w:name w:val="Grid Table 6 Colorful - Accent 5"/>
    <w:basedOn w:val="942"/>
    <w:uiPriority w:val="99"/>
    <w:qFormat/>
    <w:pPr>
      <w:spacing w:after="0" w:line="240" w:lineRule="auto"/>
    </w:pPr>
    <w:tblPr/>
  </w:style>
  <w:style w:type="table" w:styleId="1042" w:customStyle="1">
    <w:name w:val="Grid Table 6 Colorful - Accent 6"/>
    <w:basedOn w:val="942"/>
    <w:uiPriority w:val="99"/>
    <w:qFormat/>
    <w:pPr>
      <w:spacing w:after="0" w:line="240" w:lineRule="auto"/>
    </w:pPr>
    <w:tblPr/>
  </w:style>
  <w:style w:type="table" w:styleId="1043" w:customStyle="1">
    <w:name w:val="Grid Table 7 Colorful"/>
    <w:basedOn w:val="942"/>
    <w:uiPriority w:val="99"/>
    <w:qFormat/>
    <w:pPr>
      <w:spacing w:after="0" w:line="240" w:lineRule="auto"/>
    </w:pPr>
    <w:tblPr/>
  </w:style>
  <w:style w:type="table" w:styleId="1044" w:customStyle="1">
    <w:name w:val="Grid Table 7 Colorful - Accent 1"/>
    <w:basedOn w:val="942"/>
    <w:uiPriority w:val="99"/>
    <w:qFormat/>
    <w:pPr>
      <w:spacing w:after="0" w:line="240" w:lineRule="auto"/>
    </w:pPr>
    <w:tblPr/>
  </w:style>
  <w:style w:type="table" w:styleId="1045" w:customStyle="1">
    <w:name w:val="Grid Table 7 Colorful - Accent 2"/>
    <w:basedOn w:val="942"/>
    <w:uiPriority w:val="99"/>
    <w:qFormat/>
    <w:pPr>
      <w:spacing w:after="0" w:line="240" w:lineRule="auto"/>
    </w:pPr>
    <w:tblPr/>
  </w:style>
  <w:style w:type="table" w:styleId="1046" w:customStyle="1">
    <w:name w:val="Grid Table 7 Colorful - Accent 3"/>
    <w:basedOn w:val="942"/>
    <w:uiPriority w:val="99"/>
    <w:qFormat/>
    <w:pPr>
      <w:spacing w:after="0" w:line="240" w:lineRule="auto"/>
    </w:pPr>
    <w:tblPr/>
  </w:style>
  <w:style w:type="table" w:styleId="1047" w:customStyle="1">
    <w:name w:val="Grid Table 7 Colorful - Accent 4"/>
    <w:basedOn w:val="942"/>
    <w:uiPriority w:val="99"/>
    <w:qFormat/>
    <w:pPr>
      <w:spacing w:after="0" w:line="240" w:lineRule="auto"/>
    </w:pPr>
    <w:tblPr/>
  </w:style>
  <w:style w:type="table" w:styleId="1048" w:customStyle="1">
    <w:name w:val="Grid Table 7 Colorful - Accent 5"/>
    <w:basedOn w:val="942"/>
    <w:uiPriority w:val="99"/>
    <w:qFormat/>
    <w:pPr>
      <w:spacing w:after="0" w:line="240" w:lineRule="auto"/>
    </w:pPr>
    <w:tblPr/>
  </w:style>
  <w:style w:type="table" w:styleId="1049" w:customStyle="1">
    <w:name w:val="Grid Table 7 Colorful - Accent 6"/>
    <w:basedOn w:val="942"/>
    <w:uiPriority w:val="99"/>
    <w:qFormat/>
    <w:pPr>
      <w:spacing w:after="0" w:line="240" w:lineRule="auto"/>
    </w:pPr>
    <w:tblPr/>
  </w:style>
  <w:style w:type="table" w:styleId="1050" w:customStyle="1">
    <w:name w:val="List Table 1 Light"/>
    <w:basedOn w:val="942"/>
    <w:uiPriority w:val="99"/>
    <w:qFormat/>
    <w:pPr>
      <w:spacing w:after="0" w:line="240" w:lineRule="auto"/>
    </w:pPr>
    <w:tblPr/>
  </w:style>
  <w:style w:type="table" w:styleId="1051" w:customStyle="1">
    <w:name w:val="List Table 1 Light - Accent 1"/>
    <w:basedOn w:val="942"/>
    <w:uiPriority w:val="99"/>
    <w:qFormat/>
    <w:pPr>
      <w:spacing w:after="0" w:line="240" w:lineRule="auto"/>
    </w:pPr>
    <w:tblPr/>
  </w:style>
  <w:style w:type="table" w:styleId="1052" w:customStyle="1">
    <w:name w:val="List Table 1 Light - Accent 2"/>
    <w:basedOn w:val="942"/>
    <w:uiPriority w:val="99"/>
    <w:qFormat/>
    <w:pPr>
      <w:spacing w:after="0" w:line="240" w:lineRule="auto"/>
    </w:pPr>
    <w:tblPr/>
  </w:style>
  <w:style w:type="table" w:styleId="1053" w:customStyle="1">
    <w:name w:val="List Table 1 Light - Accent 3"/>
    <w:basedOn w:val="942"/>
    <w:uiPriority w:val="99"/>
    <w:qFormat/>
    <w:pPr>
      <w:spacing w:after="0" w:line="240" w:lineRule="auto"/>
    </w:pPr>
    <w:tblPr/>
  </w:style>
  <w:style w:type="table" w:styleId="1054" w:customStyle="1">
    <w:name w:val="List Table 1 Light - Accent 4"/>
    <w:basedOn w:val="942"/>
    <w:uiPriority w:val="99"/>
    <w:qFormat/>
    <w:pPr>
      <w:spacing w:after="0" w:line="240" w:lineRule="auto"/>
    </w:pPr>
    <w:tblPr/>
  </w:style>
  <w:style w:type="table" w:styleId="1055" w:customStyle="1">
    <w:name w:val="List Table 1 Light - Accent 5"/>
    <w:basedOn w:val="942"/>
    <w:uiPriority w:val="99"/>
    <w:qFormat/>
    <w:pPr>
      <w:spacing w:after="0" w:line="240" w:lineRule="auto"/>
    </w:pPr>
    <w:tblPr/>
  </w:style>
  <w:style w:type="table" w:styleId="1056" w:customStyle="1">
    <w:name w:val="List Table 1 Light - Accent 6"/>
    <w:basedOn w:val="942"/>
    <w:uiPriority w:val="99"/>
    <w:qFormat/>
    <w:pPr>
      <w:spacing w:after="0" w:line="240" w:lineRule="auto"/>
    </w:pPr>
    <w:tblPr/>
  </w:style>
  <w:style w:type="table" w:styleId="1057" w:customStyle="1">
    <w:name w:val="List Table 2"/>
    <w:basedOn w:val="942"/>
    <w:uiPriority w:val="99"/>
    <w:qFormat/>
    <w:pPr>
      <w:spacing w:after="0" w:line="240" w:lineRule="auto"/>
    </w:pPr>
    <w:tblPr/>
  </w:style>
  <w:style w:type="table" w:styleId="1058" w:customStyle="1">
    <w:name w:val="List Table 2 - Accent 1"/>
    <w:basedOn w:val="942"/>
    <w:uiPriority w:val="99"/>
    <w:qFormat/>
    <w:pPr>
      <w:spacing w:after="0" w:line="240" w:lineRule="auto"/>
    </w:pPr>
    <w:tblPr/>
  </w:style>
  <w:style w:type="table" w:styleId="1059" w:customStyle="1">
    <w:name w:val="List Table 2 - Accent 2"/>
    <w:basedOn w:val="942"/>
    <w:uiPriority w:val="99"/>
    <w:qFormat/>
    <w:pPr>
      <w:spacing w:after="0" w:line="240" w:lineRule="auto"/>
    </w:pPr>
    <w:tblPr/>
  </w:style>
  <w:style w:type="table" w:styleId="1060" w:customStyle="1">
    <w:name w:val="List Table 2 - Accent 3"/>
    <w:basedOn w:val="942"/>
    <w:uiPriority w:val="99"/>
    <w:qFormat/>
    <w:pPr>
      <w:spacing w:after="0" w:line="240" w:lineRule="auto"/>
    </w:pPr>
    <w:tblPr/>
  </w:style>
  <w:style w:type="table" w:styleId="1061" w:customStyle="1">
    <w:name w:val="List Table 2 - Accent 4"/>
    <w:basedOn w:val="942"/>
    <w:uiPriority w:val="99"/>
    <w:qFormat/>
    <w:pPr>
      <w:spacing w:after="0" w:line="240" w:lineRule="auto"/>
    </w:pPr>
    <w:tblPr/>
  </w:style>
  <w:style w:type="table" w:styleId="1062" w:customStyle="1">
    <w:name w:val="List Table 2 - Accent 5"/>
    <w:basedOn w:val="942"/>
    <w:uiPriority w:val="99"/>
    <w:qFormat/>
    <w:pPr>
      <w:spacing w:after="0" w:line="240" w:lineRule="auto"/>
    </w:pPr>
    <w:tblPr/>
  </w:style>
  <w:style w:type="table" w:styleId="1063" w:customStyle="1">
    <w:name w:val="List Table 2 - Accent 6"/>
    <w:basedOn w:val="942"/>
    <w:uiPriority w:val="99"/>
    <w:qFormat/>
    <w:pPr>
      <w:spacing w:after="0" w:line="240" w:lineRule="auto"/>
    </w:pPr>
    <w:tblPr/>
  </w:style>
  <w:style w:type="table" w:styleId="1064" w:customStyle="1">
    <w:name w:val="List Table 3"/>
    <w:basedOn w:val="942"/>
    <w:uiPriority w:val="99"/>
    <w:qFormat/>
    <w:pPr>
      <w:spacing w:after="0" w:line="240" w:lineRule="auto"/>
    </w:pPr>
    <w:tblPr/>
  </w:style>
  <w:style w:type="table" w:styleId="1065" w:customStyle="1">
    <w:name w:val="List Table 3 - Accent 1"/>
    <w:basedOn w:val="942"/>
    <w:uiPriority w:val="99"/>
    <w:qFormat/>
    <w:pPr>
      <w:spacing w:after="0" w:line="240" w:lineRule="auto"/>
    </w:pPr>
    <w:tblPr/>
  </w:style>
  <w:style w:type="table" w:styleId="1066" w:customStyle="1">
    <w:name w:val="List Table 3 - Accent 2"/>
    <w:basedOn w:val="942"/>
    <w:uiPriority w:val="99"/>
    <w:qFormat/>
    <w:pPr>
      <w:spacing w:after="0" w:line="240" w:lineRule="auto"/>
    </w:pPr>
    <w:tblPr/>
  </w:style>
  <w:style w:type="table" w:styleId="1067" w:customStyle="1">
    <w:name w:val="List Table 3 - Accent 3"/>
    <w:basedOn w:val="942"/>
    <w:uiPriority w:val="99"/>
    <w:qFormat/>
    <w:pPr>
      <w:spacing w:after="0" w:line="240" w:lineRule="auto"/>
    </w:pPr>
    <w:tblPr/>
  </w:style>
  <w:style w:type="table" w:styleId="1068" w:customStyle="1">
    <w:name w:val="List Table 3 - Accent 4"/>
    <w:basedOn w:val="942"/>
    <w:uiPriority w:val="99"/>
    <w:qFormat/>
    <w:pPr>
      <w:spacing w:after="0" w:line="240" w:lineRule="auto"/>
    </w:pPr>
    <w:tblPr/>
  </w:style>
  <w:style w:type="table" w:styleId="1069" w:customStyle="1">
    <w:name w:val="List Table 3 - Accent 5"/>
    <w:basedOn w:val="942"/>
    <w:uiPriority w:val="99"/>
    <w:qFormat/>
    <w:pPr>
      <w:spacing w:after="0" w:line="240" w:lineRule="auto"/>
    </w:pPr>
    <w:tblPr/>
  </w:style>
  <w:style w:type="table" w:styleId="1070" w:customStyle="1">
    <w:name w:val="List Table 3 - Accent 6"/>
    <w:basedOn w:val="942"/>
    <w:uiPriority w:val="99"/>
    <w:qFormat/>
    <w:pPr>
      <w:spacing w:after="0" w:line="240" w:lineRule="auto"/>
    </w:pPr>
    <w:tblPr/>
  </w:style>
  <w:style w:type="table" w:styleId="1071" w:customStyle="1">
    <w:name w:val="List Table 4"/>
    <w:basedOn w:val="942"/>
    <w:uiPriority w:val="99"/>
    <w:qFormat/>
    <w:pPr>
      <w:spacing w:after="0" w:line="240" w:lineRule="auto"/>
    </w:pPr>
    <w:tblPr/>
  </w:style>
  <w:style w:type="table" w:styleId="1072" w:customStyle="1">
    <w:name w:val="List Table 4 - Accent 1"/>
    <w:basedOn w:val="942"/>
    <w:uiPriority w:val="99"/>
    <w:qFormat/>
    <w:pPr>
      <w:spacing w:after="0" w:line="240" w:lineRule="auto"/>
    </w:pPr>
    <w:tblPr/>
  </w:style>
  <w:style w:type="table" w:styleId="1073" w:customStyle="1">
    <w:name w:val="List Table 4 - Accent 2"/>
    <w:basedOn w:val="942"/>
    <w:uiPriority w:val="99"/>
    <w:qFormat/>
    <w:pPr>
      <w:spacing w:after="0" w:line="240" w:lineRule="auto"/>
    </w:pPr>
    <w:tblPr/>
  </w:style>
  <w:style w:type="table" w:styleId="1074" w:customStyle="1">
    <w:name w:val="List Table 4 - Accent 3"/>
    <w:basedOn w:val="942"/>
    <w:uiPriority w:val="99"/>
    <w:qFormat/>
    <w:pPr>
      <w:spacing w:after="0" w:line="240" w:lineRule="auto"/>
    </w:pPr>
    <w:tblPr/>
  </w:style>
  <w:style w:type="table" w:styleId="1075" w:customStyle="1">
    <w:name w:val="List Table 4 - Accent 4"/>
    <w:basedOn w:val="942"/>
    <w:uiPriority w:val="99"/>
    <w:qFormat/>
    <w:pPr>
      <w:spacing w:after="0" w:line="240" w:lineRule="auto"/>
    </w:pPr>
    <w:tblPr/>
  </w:style>
  <w:style w:type="table" w:styleId="1076" w:customStyle="1">
    <w:name w:val="List Table 4 - Accent 5"/>
    <w:basedOn w:val="942"/>
    <w:uiPriority w:val="99"/>
    <w:qFormat/>
    <w:pPr>
      <w:spacing w:after="0" w:line="240" w:lineRule="auto"/>
    </w:pPr>
    <w:tblPr/>
  </w:style>
  <w:style w:type="table" w:styleId="1077" w:customStyle="1">
    <w:name w:val="List Table 4 - Accent 6"/>
    <w:basedOn w:val="942"/>
    <w:uiPriority w:val="99"/>
    <w:qFormat/>
    <w:pPr>
      <w:spacing w:after="0" w:line="240" w:lineRule="auto"/>
    </w:pPr>
    <w:tblPr/>
  </w:style>
  <w:style w:type="table" w:styleId="1078" w:customStyle="1">
    <w:name w:val="List Table 5 Dark"/>
    <w:basedOn w:val="942"/>
    <w:uiPriority w:val="99"/>
    <w:qFormat/>
    <w:pPr>
      <w:spacing w:after="0" w:line="240" w:lineRule="auto"/>
    </w:pPr>
    <w:tblPr/>
  </w:style>
  <w:style w:type="table" w:styleId="1079" w:customStyle="1">
    <w:name w:val="List Table 5 Dark - Accent 1"/>
    <w:basedOn w:val="942"/>
    <w:uiPriority w:val="99"/>
    <w:qFormat/>
    <w:pPr>
      <w:spacing w:after="0" w:line="240" w:lineRule="auto"/>
    </w:pPr>
    <w:tblPr/>
  </w:style>
  <w:style w:type="table" w:styleId="1080" w:customStyle="1">
    <w:name w:val="List Table 5 Dark - Accent 2"/>
    <w:basedOn w:val="942"/>
    <w:uiPriority w:val="99"/>
    <w:qFormat/>
    <w:pPr>
      <w:spacing w:after="0" w:line="240" w:lineRule="auto"/>
    </w:pPr>
    <w:tblPr/>
  </w:style>
  <w:style w:type="table" w:styleId="1081" w:customStyle="1">
    <w:name w:val="List Table 5 Dark - Accent 3"/>
    <w:basedOn w:val="942"/>
    <w:uiPriority w:val="99"/>
    <w:qFormat/>
    <w:pPr>
      <w:spacing w:after="0" w:line="240" w:lineRule="auto"/>
    </w:pPr>
    <w:tblPr/>
  </w:style>
  <w:style w:type="table" w:styleId="1082" w:customStyle="1">
    <w:name w:val="List Table 5 Dark - Accent 4"/>
    <w:basedOn w:val="942"/>
    <w:uiPriority w:val="99"/>
    <w:qFormat/>
    <w:pPr>
      <w:spacing w:after="0" w:line="240" w:lineRule="auto"/>
    </w:pPr>
    <w:tblPr/>
  </w:style>
  <w:style w:type="table" w:styleId="1083" w:customStyle="1">
    <w:name w:val="List Table 5 Dark - Accent 5"/>
    <w:basedOn w:val="942"/>
    <w:uiPriority w:val="99"/>
    <w:qFormat/>
    <w:pPr>
      <w:spacing w:after="0" w:line="240" w:lineRule="auto"/>
    </w:pPr>
    <w:tblPr/>
  </w:style>
  <w:style w:type="table" w:styleId="1084" w:customStyle="1">
    <w:name w:val="List Table 5 Dark - Accent 6"/>
    <w:basedOn w:val="942"/>
    <w:uiPriority w:val="99"/>
    <w:qFormat/>
    <w:pPr>
      <w:spacing w:after="0" w:line="240" w:lineRule="auto"/>
    </w:pPr>
    <w:tblPr/>
  </w:style>
  <w:style w:type="table" w:styleId="1085" w:customStyle="1">
    <w:name w:val="List Table 6 Colorful"/>
    <w:basedOn w:val="942"/>
    <w:uiPriority w:val="99"/>
    <w:qFormat/>
    <w:pPr>
      <w:spacing w:after="0" w:line="240" w:lineRule="auto"/>
    </w:pPr>
    <w:tblPr/>
  </w:style>
  <w:style w:type="table" w:styleId="1086" w:customStyle="1">
    <w:name w:val="List Table 6 Colorful - Accent 1"/>
    <w:basedOn w:val="942"/>
    <w:uiPriority w:val="99"/>
    <w:qFormat/>
    <w:pPr>
      <w:spacing w:after="0" w:line="240" w:lineRule="auto"/>
    </w:pPr>
    <w:tblPr/>
  </w:style>
  <w:style w:type="table" w:styleId="1087" w:customStyle="1">
    <w:name w:val="List Table 6 Colorful - Accent 2"/>
    <w:basedOn w:val="942"/>
    <w:uiPriority w:val="99"/>
    <w:qFormat/>
    <w:pPr>
      <w:spacing w:after="0" w:line="240" w:lineRule="auto"/>
    </w:pPr>
    <w:tblPr/>
  </w:style>
  <w:style w:type="table" w:styleId="1088" w:customStyle="1">
    <w:name w:val="List Table 6 Colorful - Accent 3"/>
    <w:basedOn w:val="942"/>
    <w:uiPriority w:val="99"/>
    <w:qFormat/>
    <w:pPr>
      <w:spacing w:after="0" w:line="240" w:lineRule="auto"/>
    </w:pPr>
    <w:tblPr/>
  </w:style>
  <w:style w:type="table" w:styleId="1089" w:customStyle="1">
    <w:name w:val="List Table 6 Colorful - Accent 4"/>
    <w:basedOn w:val="942"/>
    <w:uiPriority w:val="99"/>
    <w:qFormat/>
    <w:pPr>
      <w:spacing w:after="0" w:line="240" w:lineRule="auto"/>
    </w:pPr>
    <w:tblPr/>
  </w:style>
  <w:style w:type="table" w:styleId="1090" w:customStyle="1">
    <w:name w:val="List Table 6 Colorful - Accent 5"/>
    <w:basedOn w:val="942"/>
    <w:uiPriority w:val="99"/>
    <w:qFormat/>
    <w:pPr>
      <w:spacing w:after="0" w:line="240" w:lineRule="auto"/>
    </w:pPr>
    <w:tblPr/>
  </w:style>
  <w:style w:type="table" w:styleId="1091" w:customStyle="1">
    <w:name w:val="List Table 6 Colorful - Accent 6"/>
    <w:basedOn w:val="942"/>
    <w:uiPriority w:val="99"/>
    <w:qFormat/>
    <w:pPr>
      <w:spacing w:after="0" w:line="240" w:lineRule="auto"/>
    </w:pPr>
    <w:tblPr/>
  </w:style>
  <w:style w:type="table" w:styleId="1092" w:customStyle="1">
    <w:name w:val="List Table 7 Colorful"/>
    <w:basedOn w:val="942"/>
    <w:uiPriority w:val="99"/>
    <w:qFormat/>
    <w:pPr>
      <w:spacing w:after="0" w:line="240" w:lineRule="auto"/>
    </w:pPr>
    <w:tblPr/>
  </w:style>
  <w:style w:type="table" w:styleId="1093" w:customStyle="1">
    <w:name w:val="List Table 7 Colorful - Accent 1"/>
    <w:basedOn w:val="942"/>
    <w:uiPriority w:val="99"/>
    <w:qFormat/>
    <w:pPr>
      <w:spacing w:after="0" w:line="240" w:lineRule="auto"/>
    </w:pPr>
    <w:tblPr/>
  </w:style>
  <w:style w:type="table" w:styleId="1094" w:customStyle="1">
    <w:name w:val="List Table 7 Colorful - Accent 2"/>
    <w:basedOn w:val="942"/>
    <w:uiPriority w:val="99"/>
    <w:qFormat/>
    <w:pPr>
      <w:spacing w:after="0" w:line="240" w:lineRule="auto"/>
    </w:pPr>
    <w:tblPr/>
  </w:style>
  <w:style w:type="table" w:styleId="1095" w:customStyle="1">
    <w:name w:val="List Table 7 Colorful - Accent 3"/>
    <w:basedOn w:val="942"/>
    <w:uiPriority w:val="99"/>
    <w:qFormat/>
    <w:pPr>
      <w:spacing w:after="0" w:line="240" w:lineRule="auto"/>
    </w:pPr>
    <w:tblPr/>
  </w:style>
  <w:style w:type="table" w:styleId="1096" w:customStyle="1">
    <w:name w:val="List Table 7 Colorful - Accent 4"/>
    <w:basedOn w:val="942"/>
    <w:uiPriority w:val="99"/>
    <w:qFormat/>
    <w:pPr>
      <w:spacing w:after="0" w:line="240" w:lineRule="auto"/>
    </w:pPr>
    <w:tblPr/>
  </w:style>
  <w:style w:type="table" w:styleId="1097" w:customStyle="1">
    <w:name w:val="List Table 7 Colorful - Accent 5"/>
    <w:basedOn w:val="942"/>
    <w:uiPriority w:val="99"/>
    <w:qFormat/>
    <w:pPr>
      <w:spacing w:after="0" w:line="240" w:lineRule="auto"/>
    </w:pPr>
    <w:tblPr/>
  </w:style>
  <w:style w:type="table" w:styleId="1098" w:customStyle="1">
    <w:name w:val="List Table 7 Colorful - Accent 6"/>
    <w:basedOn w:val="942"/>
    <w:uiPriority w:val="99"/>
    <w:qFormat/>
    <w:pPr>
      <w:spacing w:after="0" w:line="240" w:lineRule="auto"/>
    </w:pPr>
    <w:tblPr/>
  </w:style>
  <w:style w:type="table" w:styleId="1099" w:customStyle="1">
    <w:name w:val="Lined - Accent"/>
    <w:basedOn w:val="942"/>
    <w:uiPriority w:val="99"/>
    <w:qFormat/>
    <w:pPr>
      <w:spacing w:after="0" w:line="240" w:lineRule="auto"/>
    </w:pPr>
    <w:rPr>
      <w:color w:val="404040"/>
    </w:rPr>
    <w:tblPr/>
  </w:style>
  <w:style w:type="table" w:styleId="1100" w:customStyle="1">
    <w:name w:val="Lined - Accent 1"/>
    <w:basedOn w:val="942"/>
    <w:uiPriority w:val="99"/>
    <w:qFormat/>
    <w:pPr>
      <w:spacing w:after="0" w:line="240" w:lineRule="auto"/>
    </w:pPr>
    <w:rPr>
      <w:color w:val="404040"/>
    </w:rPr>
    <w:tblPr/>
  </w:style>
  <w:style w:type="table" w:styleId="1101" w:customStyle="1">
    <w:name w:val="Lined - Accent 2"/>
    <w:basedOn w:val="942"/>
    <w:uiPriority w:val="99"/>
    <w:qFormat/>
    <w:pPr>
      <w:spacing w:after="0" w:line="240" w:lineRule="auto"/>
    </w:pPr>
    <w:rPr>
      <w:color w:val="404040"/>
    </w:rPr>
    <w:tblPr/>
  </w:style>
  <w:style w:type="table" w:styleId="1102" w:customStyle="1">
    <w:name w:val="Lined - Accent 3"/>
    <w:basedOn w:val="942"/>
    <w:uiPriority w:val="99"/>
    <w:qFormat/>
    <w:pPr>
      <w:spacing w:after="0" w:line="240" w:lineRule="auto"/>
    </w:pPr>
    <w:rPr>
      <w:color w:val="404040"/>
    </w:rPr>
    <w:tblPr/>
  </w:style>
  <w:style w:type="table" w:styleId="1103" w:customStyle="1">
    <w:name w:val="Lined - Accent 4"/>
    <w:basedOn w:val="942"/>
    <w:uiPriority w:val="99"/>
    <w:qFormat/>
    <w:pPr>
      <w:spacing w:after="0" w:line="240" w:lineRule="auto"/>
    </w:pPr>
    <w:rPr>
      <w:color w:val="404040"/>
    </w:rPr>
    <w:tblPr/>
  </w:style>
  <w:style w:type="table" w:styleId="1104" w:customStyle="1">
    <w:name w:val="Lined - Accent 5"/>
    <w:basedOn w:val="942"/>
    <w:uiPriority w:val="99"/>
    <w:qFormat/>
    <w:pPr>
      <w:spacing w:after="0" w:line="240" w:lineRule="auto"/>
    </w:pPr>
    <w:rPr>
      <w:color w:val="404040"/>
    </w:rPr>
    <w:tblPr/>
  </w:style>
  <w:style w:type="table" w:styleId="1105" w:customStyle="1">
    <w:name w:val="Lined - Accent 6"/>
    <w:basedOn w:val="942"/>
    <w:uiPriority w:val="99"/>
    <w:qFormat/>
    <w:pPr>
      <w:spacing w:after="0" w:line="240" w:lineRule="auto"/>
    </w:pPr>
    <w:rPr>
      <w:color w:val="404040"/>
    </w:rPr>
    <w:tblPr/>
  </w:style>
  <w:style w:type="table" w:styleId="1106" w:customStyle="1">
    <w:name w:val="Bordered &amp; Lined - Accent"/>
    <w:basedOn w:val="942"/>
    <w:uiPriority w:val="99"/>
    <w:qFormat/>
    <w:pPr>
      <w:spacing w:after="0" w:line="240" w:lineRule="auto"/>
    </w:pPr>
    <w:rPr>
      <w:color w:val="404040"/>
    </w:rPr>
    <w:tblPr/>
  </w:style>
  <w:style w:type="table" w:styleId="1107" w:customStyle="1">
    <w:name w:val="Bordered &amp; Lined - Accent 1"/>
    <w:basedOn w:val="942"/>
    <w:uiPriority w:val="99"/>
    <w:qFormat/>
    <w:pPr>
      <w:spacing w:after="0" w:line="240" w:lineRule="auto"/>
    </w:pPr>
    <w:rPr>
      <w:color w:val="404040"/>
    </w:rPr>
    <w:tblPr/>
  </w:style>
  <w:style w:type="table" w:styleId="1108" w:customStyle="1">
    <w:name w:val="Bordered &amp; Lined - Accent 2"/>
    <w:basedOn w:val="942"/>
    <w:uiPriority w:val="99"/>
    <w:qFormat/>
    <w:pPr>
      <w:spacing w:after="0" w:line="240" w:lineRule="auto"/>
    </w:pPr>
    <w:rPr>
      <w:color w:val="404040"/>
    </w:rPr>
    <w:tblPr/>
  </w:style>
  <w:style w:type="table" w:styleId="1109" w:customStyle="1">
    <w:name w:val="Bordered &amp; Lined - Accent 3"/>
    <w:basedOn w:val="942"/>
    <w:uiPriority w:val="99"/>
    <w:qFormat/>
    <w:pPr>
      <w:spacing w:after="0" w:line="240" w:lineRule="auto"/>
    </w:pPr>
    <w:rPr>
      <w:color w:val="404040"/>
    </w:rPr>
    <w:tblPr/>
  </w:style>
  <w:style w:type="table" w:styleId="1110" w:customStyle="1">
    <w:name w:val="Bordered &amp; Lined - Accent 4"/>
    <w:basedOn w:val="942"/>
    <w:uiPriority w:val="99"/>
    <w:qFormat/>
    <w:pPr>
      <w:spacing w:after="0" w:line="240" w:lineRule="auto"/>
    </w:pPr>
    <w:rPr>
      <w:color w:val="404040"/>
    </w:rPr>
    <w:tblPr/>
  </w:style>
  <w:style w:type="table" w:styleId="1111" w:customStyle="1">
    <w:name w:val="Bordered &amp; Lined - Accent 5"/>
    <w:basedOn w:val="942"/>
    <w:uiPriority w:val="99"/>
    <w:qFormat/>
    <w:pPr>
      <w:spacing w:after="0" w:line="240" w:lineRule="auto"/>
    </w:pPr>
    <w:rPr>
      <w:color w:val="404040"/>
    </w:rPr>
    <w:tblPr/>
  </w:style>
  <w:style w:type="table" w:styleId="1112" w:customStyle="1">
    <w:name w:val="Bordered &amp; Lined - Accent 6"/>
    <w:basedOn w:val="942"/>
    <w:uiPriority w:val="99"/>
    <w:qFormat/>
    <w:pPr>
      <w:spacing w:after="0" w:line="240" w:lineRule="auto"/>
    </w:pPr>
    <w:rPr>
      <w:color w:val="404040"/>
    </w:rPr>
    <w:tblPr/>
  </w:style>
  <w:style w:type="table" w:styleId="1113" w:customStyle="1">
    <w:name w:val="Bordered"/>
    <w:basedOn w:val="942"/>
    <w:uiPriority w:val="99"/>
    <w:qFormat/>
    <w:pPr>
      <w:spacing w:after="0" w:line="240" w:lineRule="auto"/>
    </w:pPr>
    <w:tblPr/>
  </w:style>
  <w:style w:type="table" w:styleId="1114" w:customStyle="1">
    <w:name w:val="Bordered - Accent 1"/>
    <w:basedOn w:val="942"/>
    <w:uiPriority w:val="99"/>
    <w:qFormat/>
    <w:pPr>
      <w:spacing w:after="0" w:line="240" w:lineRule="auto"/>
    </w:pPr>
    <w:tblPr/>
  </w:style>
  <w:style w:type="table" w:styleId="1115" w:customStyle="1">
    <w:name w:val="Bordered - Accent 2"/>
    <w:basedOn w:val="942"/>
    <w:uiPriority w:val="99"/>
    <w:qFormat/>
    <w:pPr>
      <w:spacing w:after="0" w:line="240" w:lineRule="auto"/>
    </w:pPr>
    <w:tblPr/>
  </w:style>
  <w:style w:type="table" w:styleId="1116" w:customStyle="1">
    <w:name w:val="Bordered - Accent 3"/>
    <w:basedOn w:val="942"/>
    <w:uiPriority w:val="99"/>
    <w:qFormat/>
    <w:pPr>
      <w:spacing w:after="0" w:line="240" w:lineRule="auto"/>
    </w:pPr>
    <w:tblPr/>
  </w:style>
  <w:style w:type="table" w:styleId="1117" w:customStyle="1">
    <w:name w:val="Bordered - Accent 4"/>
    <w:basedOn w:val="942"/>
    <w:uiPriority w:val="99"/>
    <w:qFormat/>
    <w:pPr>
      <w:spacing w:after="0" w:line="240" w:lineRule="auto"/>
    </w:pPr>
    <w:tblPr/>
  </w:style>
  <w:style w:type="table" w:styleId="1118" w:customStyle="1">
    <w:name w:val="Bordered - Accent 5"/>
    <w:basedOn w:val="942"/>
    <w:uiPriority w:val="99"/>
    <w:qFormat/>
    <w:pPr>
      <w:spacing w:after="0" w:line="240" w:lineRule="auto"/>
    </w:pPr>
    <w:tblPr/>
  </w:style>
  <w:style w:type="table" w:styleId="1119" w:customStyle="1">
    <w:name w:val="Bordered - Accent 6"/>
    <w:basedOn w:val="942"/>
    <w:uiPriority w:val="99"/>
    <w:qFormat/>
    <w:pPr>
      <w:spacing w:after="0" w:line="240" w:lineRule="auto"/>
    </w:pPr>
    <w:tblPr/>
  </w:style>
  <w:style w:type="paragraph" w:styleId="1120" w:customStyle="1">
    <w:name w:val="TOC Heading"/>
    <w:uiPriority w:val="39"/>
    <w:unhideWhenUsed/>
    <w:qFormat/>
    <w:rPr>
      <w:rFonts w:hint="default" w:ascii="等线" w:hAnsi="等线" w:eastAsia="等线" w:cs="Times New Roman"/>
      <w:lang w:val="en-US" w:eastAsia="zh-CN" w:bidi="ar-SA"/>
    </w:rPr>
  </w:style>
  <w:style w:type="paragraph" w:styleId="1121" w:customStyle="1">
    <w:name w:val="正文缩进1"/>
    <w:basedOn w:val="873"/>
    <w:uiPriority w:val="99"/>
    <w:qFormat/>
    <w:pPr>
      <w:ind w:firstLine="420"/>
    </w:pPr>
    <w:rPr>
      <w:b/>
      <w:sz w:val="24"/>
    </w:rPr>
  </w:style>
  <w:style w:type="paragraph" w:styleId="1122" w:customStyle="1">
    <w:name w:val="目录 11"/>
    <w:basedOn w:val="873"/>
    <w:next w:val="873"/>
    <w:uiPriority w:val="39"/>
    <w:qFormat/>
  </w:style>
  <w:style w:type="paragraph" w:styleId="1123" w:customStyle="1">
    <w:name w:val="目录 31"/>
    <w:basedOn w:val="873"/>
    <w:next w:val="873"/>
    <w:uiPriority w:val="39"/>
    <w:qFormat/>
    <w:pPr>
      <w:ind w:left="840"/>
    </w:pPr>
  </w:style>
  <w:style w:type="paragraph" w:styleId="1124" w:customStyle="1">
    <w:name w:val="正文文本缩进 31"/>
    <w:basedOn w:val="873"/>
    <w:uiPriority w:val="0"/>
    <w:qFormat/>
    <w:pPr>
      <w:ind w:firstLine="841"/>
    </w:pPr>
    <w:rPr>
      <w:rFonts w:eastAsia="华文新魏"/>
      <w:b/>
      <w:bCs/>
      <w:sz w:val="84"/>
    </w:rPr>
  </w:style>
  <w:style w:type="paragraph" w:styleId="1125" w:customStyle="1">
    <w:name w:val="普通(网站)1"/>
    <w:basedOn w:val="873"/>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126" w:customStyle="1">
    <w:name w:val="正文首行缩进1"/>
    <w:basedOn w:val="985"/>
    <w:uiPriority w:val="0"/>
    <w:qFormat/>
    <w:pPr>
      <w:ind w:firstLine="420"/>
      <w:spacing w:line="360" w:lineRule="auto"/>
    </w:pPr>
    <w:rPr>
      <w:rFonts w:ascii="Times New Roman" w:hAnsi="Times New Roman" w:cs="Times New Roman"/>
      <w:szCs w:val="21"/>
    </w:rPr>
  </w:style>
  <w:style w:type="character" w:styleId="1127" w:customStyle="1">
    <w:name w:val="超链接1"/>
    <w:link w:val="873"/>
    <w:uiPriority w:val="99"/>
    <w:qFormat/>
    <w:rPr>
      <w:rFonts w:ascii="Times New Roman" w:hAnsi="Times New Roman" w:eastAsia="宋体" w:cs="Times New Roman"/>
      <w:sz w:val="21"/>
      <w:lang w:val="en-US" w:eastAsia="zh-CN" w:bidi="ar-SA"/>
    </w:rPr>
  </w:style>
  <w:style w:type="paragraph" w:styleId="1128" w:customStyle="1">
    <w:name w:val="标题 31"/>
    <w:basedOn w:val="873"/>
    <w:next w:val="1121"/>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129" w:customStyle="1">
    <w:name w:val="列表段落"/>
    <w:basedOn w:val="873"/>
    <w:uiPriority w:val="0"/>
    <w:qFormat/>
    <w:pPr>
      <w:ind w:firstLine="420"/>
      <w:jc w:val="left"/>
      <w:spacing w:after="200"/>
      <w:widowControl/>
    </w:pPr>
    <w:rPr>
      <w:rFonts w:ascii="Tahoma" w:hAnsi="Tahoma" w:eastAsia="微软雅黑"/>
      <w:sz w:val="22"/>
      <w:szCs w:val="22"/>
    </w:rPr>
  </w:style>
  <w:style w:type="paragraph" w:styleId="1130" w:customStyle="1">
    <w:name w:val="_Style 6"/>
    <w:basedOn w:val="873"/>
    <w:uiPriority w:val="34"/>
    <w:qFormat/>
    <w:pPr>
      <w:ind w:firstLine="420"/>
    </w:pPr>
    <w:rPr>
      <w:szCs w:val="24"/>
    </w:rPr>
  </w:style>
  <w:style w:type="paragraph" w:styleId="1131" w:customStyle="1">
    <w:name w:val="页眉1"/>
    <w:basedOn w:val="873"/>
    <w:uiPriority w:val="99"/>
    <w:qFormat/>
    <w:pPr>
      <w:jc w:val="center"/>
      <w:tabs>
        <w:tab w:val="center" w:pos="4153" w:leader="none"/>
        <w:tab w:val="right" w:pos="8306" w:leader="none"/>
      </w:tabs>
      <w:pBdr>
        <w:bottom w:val="single" w:color="000000" w:sz="6" w:space="1"/>
      </w:pBdr>
    </w:pPr>
    <w:rPr>
      <w:sz w:val="18"/>
    </w:rPr>
  </w:style>
  <w:style w:type="paragraph" w:styleId="1132" w:customStyle="1">
    <w:name w:val="页脚1"/>
    <w:basedOn w:val="873"/>
    <w:uiPriority w:val="99"/>
    <w:qFormat/>
    <w:pPr>
      <w:jc w:val="left"/>
      <w:tabs>
        <w:tab w:val="center" w:pos="4153" w:leader="none"/>
        <w:tab w:val="right" w:pos="8306" w:leader="none"/>
      </w:tabs>
    </w:pPr>
    <w:rPr>
      <w:sz w:val="18"/>
    </w:rPr>
  </w:style>
  <w:style w:type="paragraph" w:styleId="1133" w:customStyle="1">
    <w:name w:val="A3"/>
    <w:basedOn w:val="1134"/>
    <w:uiPriority w:val="0"/>
    <w:qFormat/>
    <w:pPr>
      <w:numPr>
        <w:ilvl w:val="2"/>
      </w:numPr>
      <w:ind w:firstLine="0"/>
      <w:spacing w:before="120"/>
      <w:tabs>
        <w:tab w:val="left" w:pos="1418" w:leader="none"/>
      </w:tabs>
    </w:pPr>
    <w:rPr>
      <w:lang w:val="zh-CN"/>
    </w:rPr>
  </w:style>
  <w:style w:type="paragraph" w:styleId="1134" w:customStyle="1">
    <w:name w:val="A2"/>
    <w:basedOn w:val="1135"/>
    <w:uiPriority w:val="0"/>
    <w:qFormat/>
    <w:pPr>
      <w:numPr>
        <w:ilvl w:val="1"/>
      </w:numPr>
      <w:ind w:firstLine="0"/>
      <w:tabs>
        <w:tab w:val="left" w:pos="1418" w:leader="none"/>
      </w:tabs>
    </w:pPr>
    <w:rPr>
      <w:rFonts w:hAnsi="宋体"/>
      <w:b w:val="0"/>
      <w:szCs w:val="21"/>
    </w:rPr>
  </w:style>
  <w:style w:type="paragraph" w:styleId="1135" w:customStyle="1">
    <w:name w:val="A1"/>
    <w:uiPriority w:val="0"/>
    <w:qFormat/>
    <w:pPr>
      <w:numPr>
        <w:ilvl w:val="0"/>
        <w:numId w:val="1"/>
      </w:numPr>
      <w:ind w:left="4390" w:hanging="1418"/>
      <w:spacing w:before="240"/>
      <w:tabs>
        <w:tab w:val="left" w:pos="1418" w:leader="none"/>
      </w:tabs>
      <w:outlineLvl w:val="0"/>
    </w:pPr>
    <w:rPr>
      <w:rFonts w:hint="default" w:ascii="Arial Narrow" w:hAnsi="Arial Narrow" w:eastAsia="仿宋" w:cs="Times New Roman"/>
      <w:b/>
      <w:sz w:val="24"/>
      <w:szCs w:val="24"/>
      <w:lang w:val="en-US" w:eastAsia="zh-CN" w:bidi="ar-SA"/>
    </w:rPr>
  </w:style>
  <w:style w:type="table" w:styleId="1136" w:customStyle="1">
    <w:name w:val="无格式表格 21"/>
    <w:uiPriority w:val="42"/>
    <w:qFormat/>
    <w:tblPr/>
  </w:style>
  <w:style w:type="paragraph" w:styleId="1137" w:customStyle="1">
    <w:name w:val="_Style 13"/>
    <w:uiPriority w:val="0"/>
    <w:qFormat/>
    <w:pPr>
      <w:ind w:left="0"/>
      <w:jc w:val="left"/>
      <w:spacing w:before="120" w:after="120" w:line="288" w:lineRule="auto"/>
    </w:pPr>
    <w:rPr>
      <w:rFonts w:ascii="Arial" w:hAnsi="Arial" w:eastAsia="等线" w:cs="Arial"/>
      <w:sz w:val="22"/>
      <w:szCs w:val="22"/>
    </w:rPr>
  </w:style>
  <w:style w:type="paragraph" w:styleId="1138" w:customStyle="1">
    <w:name w:val="正文首行缩进 21"/>
    <w:basedOn w:val="1139"/>
    <w:uiPriority w:val="0"/>
    <w:qFormat/>
    <w:pPr>
      <w:ind w:left="420" w:firstLine="420"/>
      <w:spacing w:after="120" w:line="480" w:lineRule="exact"/>
    </w:pPr>
    <w:rPr>
      <w:szCs w:val="20"/>
    </w:rPr>
  </w:style>
  <w:style w:type="paragraph" w:styleId="1139" w:customStyle="1">
    <w:name w:val="正文文本缩进11"/>
    <w:basedOn w:val="873"/>
    <w:next w:val="873"/>
    <w:uiPriority w:val="0"/>
    <w:qFormat/>
    <w:pPr>
      <w:ind w:firstLine="570"/>
      <w:spacing w:line="360" w:lineRule="auto"/>
    </w:pPr>
    <w:rPr>
      <w:sz w:val="24"/>
    </w:rPr>
  </w:style>
  <w:style w:type="paragraph" w:styleId="1140" w:customStyle="1">
    <w:name w:val="首行缩进_0"/>
    <w:basedOn w:val="873"/>
    <w:uiPriority w:val="0"/>
    <w:qFormat/>
    <w:pPr>
      <w:ind w:firstLine="480"/>
      <w:jc w:val="left"/>
      <w:spacing w:line="360" w:lineRule="auto"/>
    </w:pPr>
    <w:rPr>
      <w:rFonts w:ascii="宋体" w:hAnsi="宋体"/>
      <w:sz w:val="24"/>
    </w:rPr>
  </w:style>
  <w:style w:type="paragraph" w:styleId="1141" w:customStyle="1">
    <w:name w:val="Normal_0_3"/>
    <w:uiPriority w:val="0"/>
    <w:qFormat/>
    <w:pPr>
      <w:spacing w:after="160" w:line="278" w:lineRule="auto"/>
    </w:pPr>
    <w:rPr>
      <w:rFonts w:ascii="Times New Roman" w:hAnsi="Times New Roman" w:eastAsia="Times New Roman" w:cs="Times New Roman"/>
      <w:sz w:val="24"/>
      <w:szCs w:val="24"/>
      <w:lang w:val="en-US" w:eastAsia="zh-CN" w:bidi="ar-SA"/>
    </w:rPr>
  </w:style>
  <w:style w:type="numbering" w:styleId="11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image" Target="media/image1.png"/><Relationship Id="rId2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南京鼓楼医院招标</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朱志</dc:creator>
  <cp:lastModifiedBy>邓梦诗</cp:lastModifiedBy>
  <cp:revision>9</cp:revision>
  <dcterms:created xsi:type="dcterms:W3CDTF">2024-12-21T12:30:00Z</dcterms:created>
  <dcterms:modified xsi:type="dcterms:W3CDTF">2025-11-14T03:32:58Z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eyJoZGlkIjoiOThlMDc0YjE1ZWU3OTViYmJmZjA5ZTFjMjBmNTNjODYiLCJ1c2VySWQiOiI1Nzk1NTU0NTYifQ==</vt:lpwstr>
  </property>
  <property fmtid="{D5CDD505-2E9C-101B-9397-08002B2CF9AE}" pid="3" name="KSOProductBuildVer">
    <vt:lpwstr>2052-12.1.0.23125</vt:lpwstr>
  </property>
  <property fmtid="{D5CDD505-2E9C-101B-9397-08002B2CF9AE}" pid="4" name="ICV">
    <vt:lpwstr>856DBF63661F48DA8FBD9180CEE29DD1_12</vt:lpwstr>
  </property>
</Properties>
</file>