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jc w:val="right"/>
        <w:rPr>
          <w:rFonts w:hint="eastAsia" w:ascii="仿宋" w:hAnsi="仿宋" w:eastAsia="仿宋" w:cs="仿宋"/>
          <w:highlight w:val="none"/>
        </w:rPr>
      </w:pPr>
      <w:r>
        <w:rPr>
          <w:rFonts w:hint="eastAsia" w:ascii="仿宋" w:hAnsi="仿宋" w:eastAsia="仿宋" w:cs="仿宋"/>
          <w:highlight w:val="none"/>
        </w:rPr>
        <mc:AlternateContent>
          <mc:Choice Requires="wpg">
            <w:drawing>
              <wp:inline xmlns:wp="http://schemas.openxmlformats.org/drawingml/2006/wordprocessingDrawing" distT="0" distB="0" distL="0" distR="0">
                <wp:extent cx="974725" cy="802005"/>
                <wp:effectExtent l="0" t="0" r="15875" b="17145"/>
                <wp:docPr id="5" name="图片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logo"/>
                        <pic:cNvPicPr>
                          <a:picLocks noChangeAspect="1"/>
                        </pic:cNvPicPr>
                        <pic:nvPr/>
                      </pic:nvPicPr>
                      <pic:blipFill>
                        <a:blip r:embed="rId17"/>
                        <a:stretch/>
                      </pic:blipFill>
                      <pic:spPr bwMode="auto">
                        <a:xfrm>
                          <a:off x="0" y="0"/>
                          <a:ext cx="974725" cy="802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6.8pt;height:63.1pt;mso-wrap-distance-left:0.0pt;mso-wrap-distance-top:0.0pt;mso-wrap-distance-right:0.0pt;mso-wrap-distance-bottom:0.0pt;" stroked="f">
                <v:path textboxrect="0,0,0,0"/>
                <v:imagedata r:id="rId17" o:title=""/>
              </v:shape>
            </w:pict>
          </mc:Fallback>
        </mc:AlternateContent>
      </w:r>
      <w:r/>
    </w:p>
    <w:p>
      <w:pPr>
        <w:pStyle w:val="1037"/>
        <w:rPr>
          <w:rFonts w:hint="eastAsia" w:ascii="仿宋" w:hAnsi="仿宋" w:eastAsia="仿宋" w:cs="仿宋"/>
          <w:highlight w:val="none"/>
        </w:rPr>
      </w:pPr>
      <w:r>
        <w:rPr>
          <w:rFonts w:hint="eastAsia" w:ascii="仿宋" w:hAnsi="仿宋" w:eastAsia="仿宋" w:cs="仿宋"/>
          <w:highlight w:val="none"/>
        </w:rPr>
      </w:r>
      <w:r/>
    </w:p>
    <w:p>
      <w:pPr>
        <w:jc w:val="center"/>
        <w:spacing w:line="360" w:lineRule="auto"/>
        <w:shd w:val="clear" w:color="auto" w:fill="ffffff"/>
        <w:widowControl/>
        <w:rPr>
          <w:rFonts w:hint="eastAsia" w:ascii="仿宋" w:hAnsi="仿宋" w:eastAsia="仿宋" w:cs="仿宋"/>
          <w:b/>
          <w:spacing w:val="-20"/>
          <w:sz w:val="48"/>
          <w:szCs w:val="48"/>
          <w:highlight w:val="none"/>
        </w:rPr>
      </w:pPr>
      <w:r>
        <w:rPr>
          <w:rFonts w:hint="eastAsia" w:ascii="仿宋" w:hAnsi="仿宋" w:eastAsia="仿宋" w:cs="仿宋"/>
          <w:b/>
          <w:spacing w:val="-20"/>
          <w:sz w:val="48"/>
          <w:szCs w:val="48"/>
          <w:highlight w:val="none"/>
        </w:rPr>
      </w:r>
      <w:r/>
    </w:p>
    <w:p>
      <w:pPr>
        <w:pStyle w:val="845"/>
        <w:rPr>
          <w:rFonts w:hint="eastAsia" w:ascii="仿宋" w:hAnsi="仿宋" w:eastAsia="仿宋" w:cs="仿宋"/>
          <w:highlight w:val="none"/>
        </w:rPr>
      </w:pPr>
      <w:r>
        <w:rPr>
          <w:rFonts w:hint="eastAsia" w:ascii="仿宋" w:hAnsi="仿宋" w:eastAsia="仿宋" w:cs="仿宋"/>
          <w:sz w:val="56"/>
          <w:szCs w:val="56"/>
          <w:highlight w:val="none"/>
        </w:rPr>
        <w:t xml:space="preserve">中共南京市雨花台区委党校2025年客房、餐饮服务</w:t>
      </w:r>
      <w:r/>
    </w:p>
    <w:p>
      <w:pPr>
        <w:pStyle w:val="845"/>
        <w:rPr>
          <w:rFonts w:hint="eastAsia" w:ascii="仿宋" w:hAnsi="仿宋" w:eastAsia="仿宋" w:cs="仿宋"/>
          <w:highlight w:val="none"/>
        </w:rPr>
      </w:pPr>
      <w:r>
        <w:rPr>
          <w:rFonts w:hint="eastAsia" w:ascii="仿宋" w:hAnsi="仿宋" w:eastAsia="仿宋" w:cs="仿宋"/>
          <w:highlight w:val="none"/>
        </w:rPr>
      </w:r>
      <w:r/>
    </w:p>
    <w:p>
      <w:pPr>
        <w:pStyle w:val="869"/>
        <w:rPr>
          <w:rFonts w:hint="eastAsia" w:ascii="仿宋" w:hAnsi="仿宋" w:eastAsia="仿宋" w:cs="仿宋"/>
          <w:highlight w:val="none"/>
        </w:rPr>
      </w:pPr>
      <w:r>
        <w:rPr>
          <w:rFonts w:hint="eastAsia" w:ascii="仿宋" w:hAnsi="仿宋" w:eastAsia="仿宋" w:cs="仿宋"/>
          <w:highlight w:val="none"/>
        </w:rPr>
      </w:r>
      <w:r/>
    </w:p>
    <w:p>
      <w:pPr>
        <w:jc w:val="center"/>
        <w:spacing w:line="360" w:lineRule="auto"/>
        <w:widowControl/>
        <w:rPr>
          <w:rFonts w:hint="eastAsia" w:ascii="仿宋" w:hAnsi="仿宋" w:eastAsia="仿宋" w:cs="仿宋"/>
          <w:b/>
          <w:sz w:val="72"/>
          <w:szCs w:val="72"/>
          <w:highlight w:val="none"/>
        </w:rPr>
      </w:pPr>
      <w:r>
        <w:rPr>
          <w:rFonts w:hint="eastAsia" w:ascii="仿宋" w:hAnsi="仿宋" w:eastAsia="仿宋" w:cs="仿宋"/>
          <w:b/>
          <w:sz w:val="72"/>
          <w:szCs w:val="72"/>
          <w:highlight w:val="none"/>
        </w:rPr>
        <w:t xml:space="preserve">招标文件</w:t>
      </w:r>
      <w:r/>
    </w:p>
    <w:p>
      <w:pPr>
        <w:jc w:val="center"/>
        <w:spacing w:line="360" w:lineRule="auto"/>
        <w:widowControl/>
        <w:rPr>
          <w:rFonts w:hint="eastAsia" w:ascii="仿宋" w:hAnsi="仿宋" w:eastAsia="仿宋" w:cs="仿宋"/>
          <w:b/>
          <w:sz w:val="36"/>
          <w:szCs w:val="36"/>
          <w:highlight w:val="none"/>
        </w:rPr>
      </w:pPr>
      <w:r/>
      <w:bookmarkStart w:id="0" w:name="_Toc22212"/>
      <w:r>
        <w:rPr>
          <w:rFonts w:hint="eastAsia" w:ascii="仿宋" w:hAnsi="仿宋" w:eastAsia="仿宋" w:cs="仿宋"/>
          <w:b/>
          <w:sz w:val="36"/>
          <w:szCs w:val="36"/>
          <w:highlight w:val="none"/>
        </w:rPr>
        <w:t xml:space="preserve">项目编号：</w:t>
      </w:r>
      <w:bookmarkEnd w:id="0"/>
      <w:r>
        <w:rPr>
          <w:rFonts w:hint="eastAsia" w:ascii="仿宋" w:hAnsi="仿宋" w:eastAsia="仿宋" w:cs="仿宋"/>
          <w:b/>
          <w:sz w:val="36"/>
          <w:szCs w:val="36"/>
          <w:highlight w:val="none"/>
        </w:rPr>
        <w:t xml:space="preserve">JSZC-320114-YCGC-G2024-0070</w:t>
      </w:r>
      <w:r/>
    </w:p>
    <w:p>
      <w:pPr>
        <w:jc w:val="center"/>
        <w:spacing w:line="360" w:lineRule="auto"/>
        <w:widowControl/>
        <w:rPr>
          <w:rFonts w:hint="eastAsia" w:ascii="仿宋" w:hAnsi="仿宋" w:eastAsia="仿宋" w:cs="仿宋"/>
          <w:b/>
          <w:sz w:val="72"/>
          <w:szCs w:val="72"/>
          <w:highlight w:val="none"/>
        </w:rPr>
      </w:pPr>
      <w:r>
        <w:rPr>
          <w:rFonts w:hint="eastAsia" w:ascii="仿宋" w:hAnsi="仿宋" w:eastAsia="仿宋" w:cs="仿宋"/>
          <w:b/>
          <w:sz w:val="72"/>
          <w:szCs w:val="72"/>
          <w:highlight w:val="none"/>
        </w:rPr>
      </w:r>
      <w:r/>
    </w:p>
    <w:p>
      <w:pPr>
        <w:pStyle w:val="1034"/>
        <w:rPr>
          <w:rFonts w:hint="eastAsia" w:ascii="仿宋" w:hAnsi="仿宋" w:eastAsia="仿宋" w:cs="仿宋"/>
          <w:highlight w:val="none"/>
          <w:lang w:eastAsia="zh-CN"/>
        </w:rPr>
        <w:outlineLvl w:val="9"/>
      </w:pPr>
      <w:r>
        <w:rPr>
          <w:rFonts w:hint="eastAsia" w:ascii="仿宋" w:hAnsi="仿宋" w:eastAsia="仿宋" w:cs="仿宋"/>
          <w:highlight w:val="none"/>
          <w:lang w:eastAsia="zh-CN"/>
        </w:rPr>
      </w:r>
      <w:r/>
    </w:p>
    <w:p>
      <w:pPr>
        <w:jc w:val="center"/>
        <w:spacing w:line="360" w:lineRule="auto"/>
        <w:widowControl/>
        <w:rPr>
          <w:rFonts w:hint="eastAsia" w:ascii="仿宋" w:hAnsi="仿宋" w:eastAsia="仿宋" w:cs="仿宋"/>
          <w:b/>
          <w:sz w:val="36"/>
          <w:szCs w:val="36"/>
          <w:highlight w:val="none"/>
        </w:rPr>
      </w:pPr>
      <w:r/>
      <w:bookmarkStart w:id="1" w:name="_Toc21333"/>
      <w:r>
        <w:rPr>
          <w:rFonts w:hint="eastAsia" w:ascii="仿宋" w:hAnsi="仿宋" w:eastAsia="仿宋" w:cs="仿宋"/>
          <w:b/>
          <w:sz w:val="36"/>
          <w:szCs w:val="36"/>
          <w:highlight w:val="none"/>
        </w:rPr>
        <w:t xml:space="preserve">采购人：</w:t>
      </w:r>
      <w:bookmarkEnd w:id="1"/>
      <w:r/>
      <w:bookmarkStart w:id="2" w:name="_Toc2950"/>
      <w:r>
        <w:rPr>
          <w:rFonts w:hint="eastAsia" w:ascii="仿宋" w:hAnsi="仿宋" w:eastAsia="仿宋" w:cs="仿宋"/>
          <w:b/>
          <w:sz w:val="36"/>
          <w:szCs w:val="36"/>
          <w:highlight w:val="none"/>
        </w:rPr>
        <w:t xml:space="preserve">中国共产党南京市雨花台区委员会党校</w:t>
      </w:r>
      <w:r/>
    </w:p>
    <w:p>
      <w:pPr>
        <w:jc w:val="center"/>
        <w:spacing w:line="360" w:lineRule="auto"/>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代理机构：源成工程咨询（江苏南京）有限责任公司</w:t>
      </w:r>
      <w:bookmarkEnd w:id="2"/>
      <w:r/>
      <w:r/>
    </w:p>
    <w:p>
      <w:pPr>
        <w:jc w:val="center"/>
        <w:spacing w:line="360" w:lineRule="auto"/>
        <w:shd w:val="clear" w:color="auto" w:fill="ffffff"/>
        <w:widowControl/>
        <w:rPr>
          <w:rFonts w:hint="eastAsia" w:ascii="仿宋" w:hAnsi="仿宋" w:eastAsia="仿宋" w:cs="仿宋"/>
          <w:b/>
          <w:sz w:val="36"/>
          <w:szCs w:val="36"/>
          <w:highlight w:val="none"/>
        </w:rPr>
      </w:pPr>
      <w:r>
        <w:rPr>
          <w:rFonts w:hint="eastAsia" w:ascii="仿宋" w:hAnsi="仿宋" w:eastAsia="仿宋" w:cs="仿宋"/>
          <w:b/>
          <w:sz w:val="36"/>
          <w:szCs w:val="36"/>
          <w:highlight w:val="none"/>
        </w:rPr>
        <w:t xml:space="preserve">2025年1月</w:t>
      </w:r>
      <w:r/>
    </w:p>
    <w:p>
      <w:pPr>
        <w:pStyle w:val="1140"/>
        <w:jc w:val="center"/>
        <w:rPr>
          <w:rFonts w:hint="eastAsia" w:ascii="仿宋" w:hAnsi="仿宋" w:eastAsia="仿宋" w:cs="仿宋"/>
          <w:color w:val="auto"/>
          <w:sz w:val="36"/>
          <w:szCs w:val="36"/>
          <w:highlight w:val="none"/>
          <w:lang w:val="zh-CN"/>
        </w:rPr>
        <w:sectPr>
          <w:footerReference w:type="default" r:id="rId10"/>
          <w:footnotePr/>
          <w:endnotePr>
            <w:numFmt w:val="decimal"/>
          </w:endnotePr>
          <w:type w:val="nextPage"/>
          <w:pgSz w:w="11906" w:h="16838" w:orient="portrait"/>
          <w:pgMar w:top="1417" w:right="1757" w:bottom="1417" w:left="1757" w:header="227" w:footer="720" w:gutter="0"/>
          <w:cols w:num="1" w:sep="0" w:space="720" w:equalWidth="1"/>
          <w:docGrid w:linePitch="360"/>
        </w:sectPr>
      </w:pPr>
      <w:r>
        <w:rPr>
          <w:rFonts w:hint="eastAsia" w:ascii="仿宋" w:hAnsi="仿宋" w:eastAsia="仿宋" w:cs="仿宋"/>
          <w:color w:val="auto"/>
          <w:sz w:val="36"/>
          <w:szCs w:val="36"/>
          <w:highlight w:val="none"/>
          <w:lang w:val="zh-CN"/>
        </w:rPr>
      </w:r>
      <w:r/>
    </w:p>
    <w:p>
      <w:pPr>
        <w:pStyle w:val="1140"/>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lang w:val="zh-CN"/>
        </w:rPr>
        <w:t xml:space="preserve">目录</w:t>
      </w:r>
      <w:r/>
    </w:p>
    <w:p>
      <w:pPr>
        <w:pStyle w:val="858"/>
        <w:tabs>
          <w:tab w:val="right" w:pos="8296" w:leader="dot"/>
        </w:tabs>
        <w:rPr>
          <w:rFonts w:hint="eastAsia" w:ascii="仿宋" w:hAnsi="仿宋" w:eastAsia="仿宋" w:cs="仿宋"/>
          <w:sz w:val="28"/>
          <w:szCs w:val="28"/>
          <w:highlight w:val="none"/>
        </w:rPr>
      </w:pPr>
      <w:r>
        <w:rPr>
          <w:rFonts w:hint="eastAsia" w:ascii="仿宋" w:hAnsi="仿宋" w:eastAsia="仿宋" w:cs="仿宋"/>
          <w:sz w:val="28"/>
          <w:szCs w:val="28"/>
          <w:highlight w:val="none"/>
        </w:rPr>
      </w:r>
      <w:r/>
    </w:p>
    <w:sdt>
      <w:sdtPr>
        <w15:appearance w15:val="boundingBox"/>
        <w15:color w:val="dbdbdb"/>
        <w:id w:val="147478893"/>
        <w:docPartObj>
          <w:docPartGallery w:val="Table of Contents"/>
          <w:docPartUnique w:val="true"/>
        </w:docPartObj>
        <w:rPr>
          <w:rFonts w:hint="eastAsia" w:ascii="仿宋" w:hAnsi="仿宋" w:eastAsia="仿宋" w:cs="仿宋"/>
          <w:highlight w:val="none"/>
        </w:rPr>
      </w:sdtPr>
      <w:sdtContent>
        <w:p>
          <w:pPr>
            <w:jc w:val="center"/>
            <w:rPr>
              <w:rFonts w:hint="eastAsia" w:ascii="仿宋" w:hAnsi="仿宋" w:eastAsia="仿宋" w:cs="仿宋"/>
              <w:highlight w:val="none"/>
            </w:rPr>
          </w:pPr>
          <w:r>
            <w:rPr>
              <w:rFonts w:hint="eastAsia" w:ascii="仿宋" w:hAnsi="仿宋" w:eastAsia="仿宋" w:cs="仿宋"/>
              <w:highlight w:val="none"/>
            </w:rPr>
          </w:r>
          <w:r/>
        </w:p>
        <w:p>
          <w:pPr>
            <w:pStyle w:val="858"/>
            <w:tabs>
              <w:tab w:val="right" w:pos="8392" w:leader="dot"/>
            </w:tabs>
            <w:rPr>
              <w:rFonts w:hint="eastAsia" w:ascii="仿宋" w:hAnsi="仿宋" w:eastAsia="仿宋" w:cs="仿宋"/>
              <w:sz w:val="24"/>
              <w:szCs w:val="32"/>
              <w:highlight w:val="none"/>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TOC \o "1-3" \h \u </w:instrText>
          </w:r>
          <w:r>
            <w:rPr>
              <w:rFonts w:hint="eastAsia" w:ascii="仿宋" w:hAnsi="仿宋" w:eastAsia="仿宋" w:cs="仿宋"/>
              <w:sz w:val="28"/>
              <w:szCs w:val="28"/>
              <w:highlight w:val="none"/>
            </w:rPr>
            <w:fldChar w:fldCharType="separate"/>
          </w:r>
          <w:r>
            <w:rPr>
              <w:highlight w:val="none"/>
            </w:rPr>
            <w:fldChar w:fldCharType="begin"/>
          </w:r>
          <w:r>
            <w:rPr>
              <w:highlight w:val="none"/>
            </w:rPr>
            <w:instrText xml:space="preserve"> HYPERLINK \l "_Toc29491" </w:instrText>
          </w:r>
          <w:r>
            <w:rPr>
              <w:highlight w:val="none"/>
            </w:rPr>
            <w:fldChar w:fldCharType="separate"/>
          </w:r>
          <w:r>
            <w:rPr>
              <w:rFonts w:hint="eastAsia" w:ascii="仿宋" w:hAnsi="仿宋" w:eastAsia="仿宋" w:cs="仿宋"/>
              <w:bCs/>
              <w:sz w:val="24"/>
              <w:highlight w:val="none"/>
            </w:rPr>
            <w:t xml:space="preserve">第一章</w:t>
          </w:r>
          <w:r>
            <w:rPr>
              <w:rFonts w:hint="eastAsia" w:ascii="仿宋" w:hAnsi="仿宋" w:eastAsia="仿宋" w:cs="仿宋"/>
              <w:sz w:val="24"/>
              <w:szCs w:val="32"/>
              <w:highlight w:val="none"/>
            </w:rPr>
            <w:t xml:space="preserve"> 招标公告</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_Toc29491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 xml:space="preserve">1</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r/>
        </w:p>
        <w:p>
          <w:pPr>
            <w:pStyle w:val="858"/>
            <w:tabs>
              <w:tab w:val="right" w:pos="8392" w:leader="dot"/>
            </w:tabs>
            <w:rPr>
              <w:rFonts w:hint="eastAsia" w:ascii="仿宋" w:hAnsi="仿宋" w:eastAsia="仿宋" w:cs="仿宋"/>
              <w:sz w:val="24"/>
              <w:szCs w:val="32"/>
              <w:highlight w:val="none"/>
            </w:rPr>
          </w:pPr>
          <w:r>
            <w:rPr>
              <w:highlight w:val="none"/>
            </w:rPr>
            <w:fldChar w:fldCharType="begin"/>
          </w:r>
          <w:r>
            <w:rPr>
              <w:highlight w:val="none"/>
            </w:rPr>
            <w:instrText xml:space="preserve"> HYPERLINK \l "_Toc19343" </w:instrText>
          </w:r>
          <w:r>
            <w:rPr>
              <w:highlight w:val="none"/>
            </w:rPr>
            <w:fldChar w:fldCharType="separate"/>
          </w:r>
          <w:r>
            <w:rPr>
              <w:rFonts w:hint="eastAsia" w:ascii="仿宋" w:hAnsi="仿宋" w:eastAsia="仿宋" w:cs="仿宋"/>
              <w:bCs/>
              <w:sz w:val="24"/>
              <w:szCs w:val="52"/>
              <w:highlight w:val="none"/>
            </w:rPr>
            <w:t xml:space="preserve">第二章 </w:t>
          </w:r>
          <w:r>
            <w:rPr>
              <w:rFonts w:hint="eastAsia" w:ascii="仿宋" w:hAnsi="仿宋" w:eastAsia="仿宋" w:cs="仿宋"/>
              <w:sz w:val="24"/>
              <w:szCs w:val="32"/>
              <w:highlight w:val="none"/>
            </w:rPr>
            <w:t xml:space="preserve">投标人须知</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_Toc19343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 xml:space="preserve">6</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r/>
        </w:p>
        <w:p>
          <w:pPr>
            <w:pStyle w:val="858"/>
            <w:tabs>
              <w:tab w:val="right" w:pos="8392" w:leader="dot"/>
            </w:tabs>
            <w:rPr>
              <w:rFonts w:hint="eastAsia" w:ascii="仿宋" w:hAnsi="仿宋" w:eastAsia="仿宋" w:cs="仿宋"/>
              <w:sz w:val="24"/>
              <w:szCs w:val="32"/>
              <w:highlight w:val="none"/>
            </w:rPr>
          </w:pPr>
          <w:r>
            <w:rPr>
              <w:highlight w:val="none"/>
            </w:rPr>
            <w:fldChar w:fldCharType="begin"/>
          </w:r>
          <w:r>
            <w:rPr>
              <w:highlight w:val="none"/>
            </w:rPr>
            <w:instrText xml:space="preserve"> HYPERLINK \l "_Toc26719" </w:instrText>
          </w:r>
          <w:r>
            <w:rPr>
              <w:highlight w:val="none"/>
            </w:rPr>
            <w:fldChar w:fldCharType="separate"/>
          </w:r>
          <w:r>
            <w:rPr>
              <w:rFonts w:hint="eastAsia" w:ascii="仿宋" w:hAnsi="仿宋" w:eastAsia="仿宋" w:cs="仿宋"/>
              <w:bCs/>
              <w:sz w:val="24"/>
              <w:szCs w:val="52"/>
              <w:highlight w:val="none"/>
            </w:rPr>
            <w:t xml:space="preserve">第三章</w:t>
          </w:r>
          <w:r>
            <w:rPr>
              <w:rFonts w:hint="eastAsia" w:ascii="仿宋" w:hAnsi="仿宋" w:eastAsia="仿宋" w:cs="仿宋"/>
              <w:sz w:val="24"/>
              <w:szCs w:val="32"/>
              <w:highlight w:val="none"/>
            </w:rPr>
            <w:t xml:space="preserve"> 评标标准</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_Toc26719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 xml:space="preserve">20</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r/>
        </w:p>
        <w:p>
          <w:pPr>
            <w:pStyle w:val="858"/>
            <w:tabs>
              <w:tab w:val="right" w:pos="8392" w:leader="dot"/>
            </w:tabs>
            <w:rPr>
              <w:rFonts w:hint="eastAsia" w:ascii="仿宋" w:hAnsi="仿宋" w:eastAsia="仿宋" w:cs="仿宋"/>
              <w:sz w:val="24"/>
              <w:szCs w:val="32"/>
              <w:highlight w:val="none"/>
            </w:rPr>
          </w:pPr>
          <w:r>
            <w:rPr>
              <w:highlight w:val="none"/>
            </w:rPr>
            <w:fldChar w:fldCharType="begin"/>
          </w:r>
          <w:r>
            <w:rPr>
              <w:highlight w:val="none"/>
            </w:rPr>
            <w:instrText xml:space="preserve"> HYPERLINK \l "_Toc4864" </w:instrText>
          </w:r>
          <w:r>
            <w:rPr>
              <w:highlight w:val="none"/>
            </w:rPr>
            <w:fldChar w:fldCharType="separate"/>
          </w:r>
          <w:r>
            <w:rPr>
              <w:rFonts w:hint="eastAsia" w:ascii="仿宋" w:hAnsi="仿宋" w:eastAsia="仿宋" w:cs="仿宋"/>
              <w:bCs/>
              <w:sz w:val="24"/>
              <w:szCs w:val="40"/>
              <w:highlight w:val="none"/>
            </w:rPr>
            <w:t xml:space="preserve">第四章</w:t>
          </w:r>
          <w:r>
            <w:rPr>
              <w:rFonts w:hint="eastAsia" w:ascii="仿宋" w:hAnsi="仿宋" w:eastAsia="仿宋" w:cs="仿宋"/>
              <w:sz w:val="24"/>
              <w:szCs w:val="40"/>
              <w:highlight w:val="none"/>
            </w:rPr>
            <w:t xml:space="preserve"> 采购需求</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_Toc4864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 xml:space="preserve">24</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r/>
        </w:p>
        <w:p>
          <w:pPr>
            <w:pStyle w:val="858"/>
            <w:tabs>
              <w:tab w:val="right" w:pos="8392" w:leader="dot"/>
            </w:tabs>
            <w:rPr>
              <w:rFonts w:hint="eastAsia" w:ascii="仿宋" w:hAnsi="仿宋" w:eastAsia="仿宋" w:cs="仿宋"/>
              <w:sz w:val="24"/>
              <w:szCs w:val="32"/>
              <w:highlight w:val="none"/>
            </w:rPr>
          </w:pPr>
          <w:r>
            <w:rPr>
              <w:highlight w:val="none"/>
            </w:rPr>
            <w:fldChar w:fldCharType="begin"/>
          </w:r>
          <w:r>
            <w:rPr>
              <w:highlight w:val="none"/>
            </w:rPr>
            <w:instrText xml:space="preserve"> HYPERLINK \l "_Toc24337" </w:instrText>
          </w:r>
          <w:r>
            <w:rPr>
              <w:highlight w:val="none"/>
            </w:rPr>
            <w:fldChar w:fldCharType="separate"/>
          </w:r>
          <w:r>
            <w:rPr>
              <w:rFonts w:hint="eastAsia" w:ascii="仿宋" w:hAnsi="仿宋" w:eastAsia="仿宋" w:cs="仿宋"/>
              <w:bCs/>
              <w:sz w:val="24"/>
              <w:szCs w:val="40"/>
              <w:highlight w:val="none"/>
            </w:rPr>
            <w:t xml:space="preserve">第五章</w:t>
          </w:r>
          <w:r>
            <w:rPr>
              <w:rFonts w:hint="eastAsia" w:ascii="仿宋" w:hAnsi="仿宋" w:eastAsia="仿宋" w:cs="仿宋"/>
              <w:sz w:val="24"/>
              <w:szCs w:val="40"/>
              <w:highlight w:val="none"/>
            </w:rPr>
            <w:t xml:space="preserve"> 合同主要条款及格式</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_Toc24337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 xml:space="preserve">41</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r/>
        </w:p>
        <w:p>
          <w:pPr>
            <w:pStyle w:val="858"/>
            <w:tabs>
              <w:tab w:val="right" w:pos="8392" w:leader="dot"/>
            </w:tabs>
            <w:rPr>
              <w:rFonts w:hint="eastAsia" w:ascii="仿宋" w:hAnsi="仿宋" w:eastAsia="仿宋" w:cs="仿宋"/>
              <w:sz w:val="24"/>
              <w:szCs w:val="32"/>
              <w:highlight w:val="none"/>
            </w:rPr>
          </w:pPr>
          <w:r>
            <w:rPr>
              <w:highlight w:val="none"/>
            </w:rPr>
            <w:fldChar w:fldCharType="begin"/>
          </w:r>
          <w:r>
            <w:rPr>
              <w:highlight w:val="none"/>
            </w:rPr>
            <w:instrText xml:space="preserve"> HYPERLINK \l "_Toc11882" </w:instrText>
          </w:r>
          <w:r>
            <w:rPr>
              <w:highlight w:val="none"/>
            </w:rPr>
            <w:fldChar w:fldCharType="separate"/>
          </w:r>
          <w:r>
            <w:rPr>
              <w:rFonts w:hint="eastAsia" w:ascii="仿宋" w:hAnsi="仿宋" w:eastAsia="仿宋" w:cs="仿宋"/>
              <w:bCs/>
              <w:sz w:val="24"/>
              <w:szCs w:val="40"/>
              <w:highlight w:val="none"/>
            </w:rPr>
            <w:t xml:space="preserve">第六章</w:t>
          </w:r>
          <w:r>
            <w:rPr>
              <w:rFonts w:hint="eastAsia" w:ascii="仿宋" w:hAnsi="仿宋" w:eastAsia="仿宋" w:cs="仿宋"/>
              <w:sz w:val="24"/>
              <w:szCs w:val="40"/>
              <w:highlight w:val="none"/>
            </w:rPr>
            <w:t xml:space="preserve"> 投标文件格式及附件</w:t>
          </w:r>
          <w:r>
            <w:rPr>
              <w:rFonts w:hint="eastAsia" w:ascii="仿宋" w:hAnsi="仿宋" w:eastAsia="仿宋" w:cs="仿宋"/>
              <w:sz w:val="24"/>
              <w:szCs w:val="32"/>
              <w:highlight w:val="none"/>
            </w:rPr>
            <w:tab/>
          </w:r>
          <w:r>
            <w:rPr>
              <w:rFonts w:hint="eastAsia" w:ascii="仿宋" w:hAnsi="仿宋" w:eastAsia="仿宋" w:cs="仿宋"/>
              <w:sz w:val="24"/>
              <w:szCs w:val="32"/>
              <w:highlight w:val="none"/>
            </w:rPr>
            <w:fldChar w:fldCharType="begin"/>
          </w:r>
          <w:r>
            <w:rPr>
              <w:rFonts w:hint="eastAsia" w:ascii="仿宋" w:hAnsi="仿宋" w:eastAsia="仿宋" w:cs="仿宋"/>
              <w:sz w:val="24"/>
              <w:szCs w:val="32"/>
              <w:highlight w:val="none"/>
            </w:rPr>
            <w:instrText xml:space="preserve"> PAGEREF _Toc11882 \h </w:instrText>
          </w:r>
          <w:r>
            <w:rPr>
              <w:rFonts w:hint="eastAsia" w:ascii="仿宋" w:hAnsi="仿宋" w:eastAsia="仿宋" w:cs="仿宋"/>
              <w:sz w:val="24"/>
              <w:szCs w:val="32"/>
              <w:highlight w:val="none"/>
            </w:rPr>
            <w:fldChar w:fldCharType="separate"/>
          </w:r>
          <w:r>
            <w:rPr>
              <w:rFonts w:hint="eastAsia" w:ascii="仿宋" w:hAnsi="仿宋" w:eastAsia="仿宋" w:cs="仿宋"/>
              <w:sz w:val="24"/>
              <w:szCs w:val="32"/>
              <w:highlight w:val="none"/>
            </w:rPr>
            <w:t xml:space="preserve">42</w:t>
          </w:r>
          <w:r>
            <w:rPr>
              <w:rFonts w:hint="eastAsia" w:ascii="仿宋" w:hAnsi="仿宋" w:eastAsia="仿宋" w:cs="仿宋"/>
              <w:sz w:val="24"/>
              <w:szCs w:val="32"/>
              <w:highlight w:val="none"/>
            </w:rPr>
            <w:fldChar w:fldCharType="end"/>
          </w:r>
          <w:r>
            <w:rPr>
              <w:rFonts w:hint="eastAsia" w:ascii="仿宋" w:hAnsi="仿宋" w:eastAsia="仿宋" w:cs="仿宋"/>
              <w:sz w:val="24"/>
              <w:szCs w:val="32"/>
              <w:highlight w:val="none"/>
            </w:rPr>
            <w:fldChar w:fldCharType="end"/>
          </w:r>
          <w:r/>
        </w:p>
        <w:p>
          <w:pPr>
            <w:pStyle w:val="867"/>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"_Toc32586" </w:instrText>
          </w:r>
          <w:r>
            <w:rPr>
              <w:highlight w:val="none"/>
            </w:rPr>
            <w:fldChar w:fldCharType="separate"/>
          </w:r>
          <w:r>
            <w:rPr>
              <w:rFonts w:hint="eastAsia" w:ascii="仿宋" w:hAnsi="仿宋" w:eastAsia="仿宋" w:cs="仿宋"/>
              <w:bCs/>
              <w:sz w:val="24"/>
              <w:szCs w:val="28"/>
              <w:highlight w:val="none"/>
            </w:rPr>
            <w:t xml:space="preserve">一、基本目录</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_Toc32586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70</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"_Toc29889" </w:instrText>
          </w:r>
          <w:r>
            <w:rPr>
              <w:highlight w:val="none"/>
            </w:rPr>
            <w:fldChar w:fldCharType="separate"/>
          </w:r>
          <w:r>
            <w:rPr>
              <w:rFonts w:hint="eastAsia" w:ascii="仿宋" w:hAnsi="仿宋" w:eastAsia="仿宋" w:cs="仿宋"/>
              <w:bCs/>
              <w:sz w:val="24"/>
              <w:szCs w:val="28"/>
              <w:highlight w:val="none"/>
            </w:rPr>
            <w:t xml:space="preserve">1、开标一览表</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_Toc29889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70</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"_Toc14723" </w:instrText>
          </w:r>
          <w:r>
            <w:rPr>
              <w:highlight w:val="none"/>
            </w:rPr>
            <w:fldChar w:fldCharType="separate"/>
          </w:r>
          <w:r>
            <w:rPr>
              <w:rFonts w:hint="eastAsia" w:ascii="仿宋" w:hAnsi="仿宋" w:eastAsia="仿宋" w:cs="仿宋"/>
              <w:bCs/>
              <w:sz w:val="24"/>
              <w:szCs w:val="28"/>
              <w:highlight w:val="none"/>
            </w:rPr>
            <w:t xml:space="preserve">2、投标申请及声明格式</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_Toc14723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71</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"_Toc9084" </w:instrText>
          </w:r>
          <w:r>
            <w:rPr>
              <w:highlight w:val="none"/>
            </w:rPr>
            <w:fldChar w:fldCharType="separate"/>
          </w:r>
          <w:r>
            <w:rPr>
              <w:rFonts w:hint="eastAsia" w:ascii="仿宋" w:hAnsi="仿宋" w:eastAsia="仿宋" w:cs="仿宋"/>
              <w:sz w:val="24"/>
              <w:szCs w:val="32"/>
              <w:highlight w:val="none"/>
            </w:rPr>
            <w:t xml:space="preserve">3、法定代表人授权书或法定代表人身份证明书</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_Toc9084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73</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"_Toc25450" </w:instrText>
          </w:r>
          <w:r>
            <w:rPr>
              <w:highlight w:val="none"/>
            </w:rPr>
            <w:fldChar w:fldCharType="separate"/>
          </w:r>
          <w:r>
            <w:rPr>
              <w:rFonts w:hint="eastAsia" w:ascii="仿宋" w:hAnsi="仿宋" w:eastAsia="仿宋" w:cs="仿宋"/>
              <w:sz w:val="24"/>
              <w:szCs w:val="32"/>
              <w:highlight w:val="none"/>
            </w:rPr>
            <w:t xml:space="preserve">4、报价一览表</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_Toc25450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75</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"_Toc5564" </w:instrText>
          </w:r>
          <w:r>
            <w:rPr>
              <w:highlight w:val="none"/>
            </w:rPr>
            <w:fldChar w:fldCharType="separate"/>
          </w:r>
          <w:r>
            <w:rPr>
              <w:rFonts w:hint="eastAsia" w:ascii="仿宋" w:hAnsi="仿宋" w:eastAsia="仿宋" w:cs="仿宋"/>
              <w:sz w:val="24"/>
              <w:szCs w:val="32"/>
              <w:highlight w:val="none"/>
            </w:rPr>
            <w:t xml:space="preserve">5、分项报价表</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_Toc5564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76</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"_Toc15853" </w:instrText>
          </w:r>
          <w:r>
            <w:rPr>
              <w:highlight w:val="none"/>
            </w:rPr>
            <w:fldChar w:fldCharType="separate"/>
          </w:r>
          <w:r>
            <w:rPr>
              <w:rFonts w:hint="eastAsia" w:ascii="仿宋" w:hAnsi="仿宋" w:eastAsia="仿宋" w:cs="仿宋"/>
              <w:bCs/>
              <w:sz w:val="24"/>
              <w:szCs w:val="28"/>
              <w:highlight w:val="none"/>
            </w:rPr>
            <w:t xml:space="preserve">6、技术条款偏离表格式</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_Toc15853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77</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"_Toc17808" </w:instrText>
          </w:r>
          <w:r>
            <w:rPr>
              <w:highlight w:val="none"/>
            </w:rPr>
            <w:fldChar w:fldCharType="separate"/>
          </w:r>
          <w:r>
            <w:rPr>
              <w:rFonts w:hint="eastAsia" w:ascii="仿宋" w:hAnsi="仿宋" w:eastAsia="仿宋" w:cs="仿宋"/>
              <w:bCs/>
              <w:sz w:val="24"/>
              <w:szCs w:val="28"/>
              <w:highlight w:val="none"/>
            </w:rPr>
            <w:t xml:space="preserve">7、商务条款偏离表格式</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_Toc17808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78</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"_Toc24948" </w:instrText>
          </w:r>
          <w:r>
            <w:rPr>
              <w:highlight w:val="none"/>
            </w:rPr>
            <w:fldChar w:fldCharType="separate"/>
          </w:r>
          <w:r>
            <w:rPr>
              <w:rFonts w:hint="eastAsia" w:ascii="仿宋" w:hAnsi="仿宋" w:eastAsia="仿宋" w:cs="仿宋"/>
              <w:bCs/>
              <w:sz w:val="24"/>
              <w:szCs w:val="28"/>
              <w:highlight w:val="none"/>
            </w:rPr>
            <w:t xml:space="preserve">8、招标文件要求及投标人认为需要提供的其他证明文件及材料</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_Toc24948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79</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67"/>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"_Toc6926" </w:instrText>
          </w:r>
          <w:r>
            <w:rPr>
              <w:highlight w:val="none"/>
            </w:rPr>
            <w:fldChar w:fldCharType="separate"/>
          </w:r>
          <w:r>
            <w:rPr>
              <w:rFonts w:hint="eastAsia" w:ascii="仿宋" w:hAnsi="仿宋" w:eastAsia="仿宋" w:cs="仿宋"/>
              <w:sz w:val="24"/>
              <w:szCs w:val="28"/>
              <w:highlight w:val="none"/>
            </w:rPr>
            <w:t xml:space="preserve">二、资格文件</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_Toc6926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80</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67"/>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"_Toc5467" </w:instrText>
          </w:r>
          <w:r>
            <w:rPr>
              <w:highlight w:val="none"/>
            </w:rPr>
            <w:fldChar w:fldCharType="separate"/>
          </w:r>
          <w:r>
            <w:rPr>
              <w:rFonts w:hint="eastAsia" w:ascii="仿宋" w:hAnsi="仿宋" w:eastAsia="仿宋" w:cs="仿宋"/>
              <w:bCs/>
              <w:sz w:val="24"/>
              <w:szCs w:val="28"/>
              <w:highlight w:val="none"/>
            </w:rPr>
            <w:t xml:space="preserve">三、综合评审评分项</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_Toc5467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81</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67"/>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"_Toc25662" </w:instrText>
          </w:r>
          <w:r>
            <w:rPr>
              <w:highlight w:val="none"/>
            </w:rPr>
            <w:fldChar w:fldCharType="separate"/>
          </w:r>
          <w:r>
            <w:rPr>
              <w:rFonts w:hint="eastAsia" w:ascii="仿宋" w:hAnsi="仿宋" w:eastAsia="仿宋" w:cs="仿宋"/>
              <w:bCs/>
              <w:sz w:val="24"/>
              <w:szCs w:val="28"/>
              <w:highlight w:val="none"/>
            </w:rPr>
            <w:t xml:space="preserve">四、价格折扣文件格式</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_Toc25662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82</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"_Toc10933" </w:instrText>
          </w:r>
          <w:r>
            <w:rPr>
              <w:highlight w:val="none"/>
            </w:rPr>
            <w:fldChar w:fldCharType="separate"/>
          </w:r>
          <w:r>
            <w:rPr>
              <w:rFonts w:hint="eastAsia" w:ascii="仿宋" w:hAnsi="仿宋" w:eastAsia="仿宋" w:cs="仿宋"/>
              <w:bCs/>
              <w:sz w:val="24"/>
              <w:szCs w:val="28"/>
              <w:highlight w:val="none"/>
            </w:rPr>
            <w:t xml:space="preserve">1、中小企业声明函</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_Toc10933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82</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"_Toc7838" </w:instrText>
          </w:r>
          <w:r>
            <w:rPr>
              <w:highlight w:val="none"/>
            </w:rPr>
            <w:fldChar w:fldCharType="separate"/>
          </w:r>
          <w:r>
            <w:rPr>
              <w:rFonts w:hint="eastAsia" w:ascii="仿宋" w:hAnsi="仿宋" w:eastAsia="仿宋" w:cs="仿宋"/>
              <w:bCs/>
              <w:sz w:val="24"/>
              <w:szCs w:val="28"/>
              <w:highlight w:val="none"/>
            </w:rPr>
            <w:t xml:space="preserve">2、残疾人福利性单位声明函</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_Toc7838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83</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"_Toc16165" </w:instrText>
          </w:r>
          <w:r>
            <w:rPr>
              <w:highlight w:val="none"/>
            </w:rPr>
            <w:fldChar w:fldCharType="separate"/>
          </w:r>
          <w:r>
            <w:rPr>
              <w:rFonts w:hint="eastAsia" w:ascii="仿宋" w:hAnsi="仿宋" w:eastAsia="仿宋" w:cs="仿宋"/>
              <w:bCs/>
              <w:sz w:val="24"/>
              <w:szCs w:val="28"/>
              <w:highlight w:val="none"/>
            </w:rPr>
            <w:t xml:space="preserve">3、属于监狱企业的证明文件</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_Toc16165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83</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"_Toc12854" </w:instrText>
          </w:r>
          <w:r>
            <w:rPr>
              <w:highlight w:val="none"/>
            </w:rPr>
            <w:fldChar w:fldCharType="separate"/>
          </w:r>
          <w:r>
            <w:rPr>
              <w:rFonts w:hint="eastAsia" w:ascii="仿宋" w:hAnsi="仿宋" w:eastAsia="仿宋" w:cs="仿宋"/>
              <w:bCs/>
              <w:sz w:val="24"/>
              <w:szCs w:val="28"/>
              <w:highlight w:val="none"/>
            </w:rPr>
            <w:t xml:space="preserve">4、节能产品认证证书</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_Toc12854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83</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"_Toc16067" </w:instrText>
          </w:r>
          <w:r>
            <w:rPr>
              <w:highlight w:val="none"/>
            </w:rPr>
            <w:fldChar w:fldCharType="separate"/>
          </w:r>
          <w:r>
            <w:rPr>
              <w:rFonts w:hint="eastAsia" w:ascii="仿宋" w:hAnsi="仿宋" w:eastAsia="仿宋" w:cs="仿宋"/>
              <w:bCs/>
              <w:sz w:val="24"/>
              <w:szCs w:val="28"/>
              <w:highlight w:val="none"/>
            </w:rPr>
            <w:t xml:space="preserve">5、环境标志产品认证证书</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_Toc16067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83</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"_Toc31947" </w:instrText>
          </w:r>
          <w:r>
            <w:rPr>
              <w:highlight w:val="none"/>
            </w:rPr>
            <w:fldChar w:fldCharType="separate"/>
          </w:r>
          <w:r>
            <w:rPr>
              <w:rFonts w:hint="eastAsia" w:ascii="仿宋" w:hAnsi="仿宋" w:eastAsia="仿宋" w:cs="仿宋"/>
              <w:bCs/>
              <w:sz w:val="24"/>
              <w:szCs w:val="28"/>
              <w:highlight w:val="none"/>
            </w:rPr>
            <w:t xml:space="preserve">6、进口产品转让技术、消化吸收再创新方案</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_Toc31947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83</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67"/>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"_Toc6361" </w:instrText>
          </w:r>
          <w:r>
            <w:rPr>
              <w:highlight w:val="none"/>
            </w:rPr>
            <w:fldChar w:fldCharType="separate"/>
          </w:r>
          <w:r>
            <w:rPr>
              <w:rFonts w:hint="eastAsia" w:ascii="仿宋" w:hAnsi="仿宋" w:eastAsia="仿宋" w:cs="仿宋"/>
              <w:bCs/>
              <w:sz w:val="24"/>
              <w:szCs w:val="28"/>
              <w:highlight w:val="none"/>
            </w:rPr>
            <w:t xml:space="preserve">五、附件</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_Toc6361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84</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"_Toc32432" </w:instrText>
          </w:r>
          <w:r>
            <w:rPr>
              <w:highlight w:val="none"/>
            </w:rPr>
            <w:fldChar w:fldCharType="separate"/>
          </w:r>
          <w:r>
            <w:rPr>
              <w:rFonts w:hint="eastAsia" w:ascii="仿宋" w:hAnsi="仿宋" w:eastAsia="仿宋" w:cs="仿宋"/>
              <w:bCs/>
              <w:sz w:val="24"/>
              <w:szCs w:val="28"/>
              <w:highlight w:val="none"/>
            </w:rPr>
            <w:t xml:space="preserve">附件一、拟参与本项目服务人员一览表</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_Toc32432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84</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"_Toc10708" </w:instrText>
          </w:r>
          <w:r>
            <w:rPr>
              <w:highlight w:val="none"/>
            </w:rPr>
            <w:fldChar w:fldCharType="separate"/>
          </w:r>
          <w:r>
            <w:rPr>
              <w:rFonts w:hint="eastAsia" w:ascii="仿宋" w:hAnsi="仿宋" w:eastAsia="仿宋" w:cs="仿宋"/>
              <w:bCs/>
              <w:sz w:val="24"/>
              <w:szCs w:val="28"/>
              <w:highlight w:val="none"/>
            </w:rPr>
            <w:t xml:space="preserve">附件二、投标人类似业绩情况表</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_Toc10708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85</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"_Toc12896" </w:instrText>
          </w:r>
          <w:r>
            <w:rPr>
              <w:highlight w:val="none"/>
            </w:rPr>
            <w:fldChar w:fldCharType="separate"/>
          </w:r>
          <w:r>
            <w:rPr>
              <w:rFonts w:hint="eastAsia" w:ascii="仿宋" w:hAnsi="仿宋" w:eastAsia="仿宋" w:cs="仿宋"/>
              <w:sz w:val="24"/>
              <w:szCs w:val="28"/>
              <w:highlight w:val="none"/>
            </w:rPr>
            <w:t xml:space="preserve">附件三、无重大违法记录声明格式</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_Toc12896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86</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"_Toc23293" </w:instrText>
          </w:r>
          <w:r>
            <w:rPr>
              <w:highlight w:val="none"/>
            </w:rPr>
            <w:fldChar w:fldCharType="separate"/>
          </w:r>
          <w:r>
            <w:rPr>
              <w:rFonts w:hint="eastAsia" w:ascii="仿宋" w:hAnsi="仿宋" w:eastAsia="仿宋" w:cs="仿宋"/>
              <w:bCs/>
              <w:sz w:val="24"/>
              <w:szCs w:val="28"/>
              <w:highlight w:val="none"/>
            </w:rPr>
            <w:t xml:space="preserve">附件四、具备履行合同所必需的设备和专业技术能力的声明格式</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_Toc23293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87</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pStyle w:val="849"/>
            <w:tabs>
              <w:tab w:val="right" w:pos="8392" w:leader="dot"/>
            </w:tabs>
            <w:rPr>
              <w:rFonts w:hint="eastAsia" w:ascii="仿宋" w:hAnsi="仿宋" w:eastAsia="仿宋" w:cs="仿宋"/>
              <w:sz w:val="24"/>
              <w:szCs w:val="28"/>
              <w:highlight w:val="none"/>
            </w:rPr>
          </w:pPr>
          <w:r>
            <w:rPr>
              <w:highlight w:val="none"/>
            </w:rPr>
            <w:fldChar w:fldCharType="begin"/>
          </w:r>
          <w:r>
            <w:rPr>
              <w:highlight w:val="none"/>
            </w:rPr>
            <w:instrText xml:space="preserve"> HYPERLINK \l "_Toc14803" </w:instrText>
          </w:r>
          <w:r>
            <w:rPr>
              <w:highlight w:val="none"/>
            </w:rPr>
            <w:fldChar w:fldCharType="separate"/>
          </w:r>
          <w:r>
            <w:rPr>
              <w:rFonts w:hint="eastAsia" w:ascii="仿宋" w:hAnsi="仿宋" w:eastAsia="仿宋" w:cs="仿宋"/>
              <w:sz w:val="24"/>
              <w:szCs w:val="32"/>
              <w:highlight w:val="none"/>
            </w:rPr>
            <w:t xml:space="preserve">附件五</w:t>
          </w:r>
          <w:r>
            <w:rPr>
              <w:rFonts w:hint="eastAsia" w:ascii="仿宋" w:hAnsi="仿宋" w:eastAsia="仿宋" w:cs="仿宋"/>
              <w:sz w:val="24"/>
              <w:szCs w:val="32"/>
              <w:highlight w:val="none"/>
              <w:lang w:val="zh-CN"/>
            </w:rPr>
            <w:t xml:space="preserve">、南京市政府采购供应商信用记录表暨信用承诺书</w:t>
          </w:r>
          <w:r>
            <w:rPr>
              <w:rFonts w:hint="eastAsia" w:ascii="仿宋" w:hAnsi="仿宋" w:eastAsia="仿宋" w:cs="仿宋"/>
              <w:sz w:val="24"/>
              <w:szCs w:val="28"/>
              <w:highlight w:val="none"/>
            </w:rPr>
            <w:tab/>
          </w:r>
          <w:r>
            <w:rPr>
              <w:rFonts w:hint="eastAsia" w:ascii="仿宋" w:hAnsi="仿宋" w:eastAsia="仿宋" w:cs="仿宋"/>
              <w:sz w:val="24"/>
              <w:szCs w:val="28"/>
              <w:highlight w:val="none"/>
            </w:rPr>
            <w:fldChar w:fldCharType="begin"/>
          </w:r>
          <w:r>
            <w:rPr>
              <w:rFonts w:hint="eastAsia" w:ascii="仿宋" w:hAnsi="仿宋" w:eastAsia="仿宋" w:cs="仿宋"/>
              <w:sz w:val="24"/>
              <w:szCs w:val="28"/>
              <w:highlight w:val="none"/>
            </w:rPr>
            <w:instrText xml:space="preserve"> PAGEREF _Toc14803 \h </w:instrText>
          </w:r>
          <w:r>
            <w:rPr>
              <w:rFonts w:hint="eastAsia" w:ascii="仿宋" w:hAnsi="仿宋" w:eastAsia="仿宋" w:cs="仿宋"/>
              <w:sz w:val="24"/>
              <w:szCs w:val="28"/>
              <w:highlight w:val="none"/>
            </w:rPr>
            <w:fldChar w:fldCharType="separate"/>
          </w:r>
          <w:r>
            <w:rPr>
              <w:rFonts w:hint="eastAsia" w:ascii="仿宋" w:hAnsi="仿宋" w:eastAsia="仿宋" w:cs="仿宋"/>
              <w:sz w:val="24"/>
              <w:szCs w:val="28"/>
              <w:highlight w:val="none"/>
            </w:rPr>
            <w:t xml:space="preserve">88</w:t>
          </w:r>
          <w:r>
            <w:rPr>
              <w:rFonts w:hint="eastAsia" w:ascii="仿宋" w:hAnsi="仿宋" w:eastAsia="仿宋" w:cs="仿宋"/>
              <w:sz w:val="24"/>
              <w:szCs w:val="28"/>
              <w:highlight w:val="none"/>
            </w:rPr>
            <w:fldChar w:fldCharType="end"/>
          </w:r>
          <w:r>
            <w:rPr>
              <w:rFonts w:hint="eastAsia" w:ascii="仿宋" w:hAnsi="仿宋" w:eastAsia="仿宋" w:cs="仿宋"/>
              <w:sz w:val="24"/>
              <w:szCs w:val="28"/>
              <w:highlight w:val="none"/>
            </w:rPr>
            <w:fldChar w:fldCharType="end"/>
          </w:r>
          <w:r/>
        </w:p>
        <w:p>
          <w:pPr>
            <w:spacing w:line="360" w:lineRule="auto"/>
            <w:rPr>
              <w:rFonts w:hint="eastAsia" w:ascii="仿宋" w:hAnsi="仿宋" w:eastAsia="仿宋" w:cs="仿宋"/>
              <w:sz w:val="24"/>
              <w:szCs w:val="32"/>
              <w:highlight w:val="none"/>
            </w:rPr>
          </w:pPr>
          <w:r>
            <w:rPr>
              <w:rFonts w:hint="eastAsia" w:ascii="仿宋" w:hAnsi="仿宋" w:eastAsia="仿宋" w:cs="仿宋"/>
              <w:sz w:val="24"/>
              <w:szCs w:val="28"/>
              <w:highlight w:val="none"/>
            </w:rPr>
            <w:fldChar w:fldCharType="end"/>
          </w:r>
          <w:r/>
        </w:p>
      </w:sdtContent>
    </w:sdt>
    <w:p>
      <w:pPr>
        <w:pStyle w:val="826"/>
        <w:numPr>
          <w:ilvl w:val="0"/>
          <w:numId w:val="0"/>
        </w:numPr>
        <w:spacing w:line="360" w:lineRule="auto"/>
        <w:rPr>
          <w:rFonts w:hint="eastAsia" w:ascii="仿宋" w:hAnsi="仿宋" w:eastAsia="仿宋" w:cs="仿宋"/>
          <w:sz w:val="40"/>
          <w:szCs w:val="24"/>
          <w:highlight w:val="none"/>
        </w:rPr>
      </w:pPr>
      <w:r/>
      <w:bookmarkStart w:id="3" w:name="_Toc481057143"/>
      <w:r/>
      <w:bookmarkStart w:id="4" w:name="_Hlk54715254"/>
      <w:r/>
      <w:bookmarkStart w:id="5" w:name="_Hlk52290185"/>
      <w:r/>
      <w:r/>
    </w:p>
    <w:p>
      <w:pPr>
        <w:rPr>
          <w:rFonts w:hint="eastAsia" w:ascii="仿宋" w:hAnsi="仿宋" w:eastAsia="仿宋" w:cs="仿宋"/>
          <w:b/>
          <w:bCs/>
          <w:sz w:val="32"/>
          <w:szCs w:val="21"/>
          <w:highlight w:val="none"/>
        </w:rPr>
      </w:pPr>
      <w:r>
        <w:rPr>
          <w:rFonts w:hint="eastAsia" w:ascii="仿宋" w:hAnsi="仿宋" w:eastAsia="仿宋" w:cs="仿宋"/>
          <w:b/>
          <w:bCs/>
          <w:sz w:val="32"/>
          <w:szCs w:val="21"/>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826"/>
        <w:numPr>
          <w:ilvl w:val="0"/>
          <w:numId w:val="0"/>
        </w:numPr>
        <w:spacing w:line="360" w:lineRule="auto"/>
        <w:rPr>
          <w:rFonts w:hint="eastAsia" w:ascii="仿宋" w:hAnsi="仿宋" w:eastAsia="仿宋" w:cs="仿宋"/>
          <w:szCs w:val="21"/>
          <w:highlight w:val="none"/>
        </w:rPr>
        <w:sectPr>
          <w:footerReference w:type="default" r:id="rId11"/>
          <w:footnotePr/>
          <w:endnotePr>
            <w:numFmt w:val="decimal"/>
          </w:endnotePr>
          <w:type w:val="nextPage"/>
          <w:pgSz w:w="11850" w:h="16783" w:orient="portrait"/>
          <w:pgMar w:top="1418" w:right="1418" w:bottom="1418" w:left="1418" w:header="1020" w:footer="907" w:gutter="0"/>
          <w:cols w:num="1" w:sep="0" w:space="720" w:equalWidth="1"/>
          <w:docGrid w:linePitch="360"/>
        </w:sectPr>
      </w:pPr>
      <w:r/>
      <w:bookmarkStart w:id="6" w:name="_Toc29491"/>
      <w:r/>
      <w:r/>
    </w:p>
    <w:p>
      <w:pPr>
        <w:pStyle w:val="826"/>
        <w:numPr>
          <w:ilvl w:val="0"/>
          <w:numId w:val="0"/>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第一章</w:t>
      </w:r>
      <w:r>
        <w:rPr>
          <w:rFonts w:hint="eastAsia" w:ascii="仿宋" w:hAnsi="仿宋" w:eastAsia="仿宋" w:cs="仿宋"/>
          <w:highlight w:val="none"/>
        </w:rPr>
        <w:t xml:space="preserve"> </w:t>
      </w:r>
      <w:bookmarkStart w:id="7" w:name="_Toc10141"/>
      <w:r>
        <w:rPr>
          <w:rFonts w:hint="eastAsia" w:ascii="仿宋" w:hAnsi="仿宋" w:eastAsia="仿宋" w:cs="仿宋"/>
          <w:highlight w:val="none"/>
        </w:rPr>
        <w:t xml:space="preserve">招标公告</w:t>
      </w:r>
      <w:bookmarkEnd w:id="3"/>
      <w:r/>
      <w:bookmarkEnd w:id="6"/>
      <w:r/>
      <w:bookmarkEnd w:id="7"/>
      <w:r/>
      <w:r/>
    </w:p>
    <w:p>
      <w:pPr>
        <w:ind w:firstLine="514"/>
        <w:spacing w:line="360" w:lineRule="auto"/>
        <w:widowControl/>
        <w:rPr>
          <w:rFonts w:hint="eastAsia" w:ascii="仿宋" w:hAnsi="仿宋" w:eastAsia="仿宋" w:cs="仿宋"/>
          <w:b/>
          <w:bCs/>
          <w:spacing w:val="8"/>
          <w:sz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b/>
          <w:bCs/>
          <w:spacing w:val="8"/>
          <w:sz w:val="24"/>
          <w:highlight w:val="none"/>
        </w:rPr>
        <w:t xml:space="preserve">项目概况</w:t>
      </w:r>
      <w:r/>
    </w:p>
    <w:p>
      <w:pPr>
        <w:ind w:firstLine="482"/>
        <w:spacing w:line="360" w:lineRule="auto"/>
        <w:widowControl/>
        <w:rPr>
          <w:rFonts w:hint="eastAsia" w:ascii="仿宋" w:hAnsi="仿宋" w:eastAsia="仿宋" w:cs="仿宋"/>
          <w:sz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b/>
          <w:bCs/>
          <w:sz w:val="24"/>
          <w:highlight w:val="none"/>
          <w:u w:val="single"/>
        </w:rPr>
        <w:t xml:space="preserve">中共南京市雨花台区委党校2025年客房、餐饮服务</w:t>
      </w:r>
      <w:r>
        <w:rPr>
          <w:rFonts w:hint="eastAsia" w:ascii="仿宋" w:hAnsi="仿宋" w:eastAsia="仿宋" w:cs="仿宋"/>
          <w:spacing w:val="8"/>
          <w:sz w:val="24"/>
          <w:highlight w:val="none"/>
        </w:rPr>
        <w:t xml:space="preserve">的潜在投标人应在</w:t>
      </w:r>
      <w:r>
        <w:rPr>
          <w:rFonts w:hint="eastAsia" w:ascii="仿宋" w:hAnsi="仿宋" w:eastAsia="仿宋" w:cs="仿宋"/>
          <w:b/>
          <w:bCs/>
          <w:sz w:val="24"/>
          <w:highlight w:val="none"/>
          <w:u w:val="single"/>
        </w:rPr>
        <w:t xml:space="preserve">江苏政府采购网</w:t>
      </w:r>
      <w:r>
        <w:rPr>
          <w:rFonts w:hint="eastAsia" w:ascii="仿宋" w:hAnsi="仿宋" w:eastAsia="仿宋" w:cs="仿宋"/>
          <w:sz w:val="24"/>
          <w:highlight w:val="none"/>
        </w:rPr>
        <w:t xml:space="preserve">获取采购文件，并于</w:t>
      </w:r>
      <w:r>
        <w:rPr>
          <w:rFonts w:hint="eastAsia" w:ascii="仿宋" w:hAnsi="仿宋" w:eastAsia="仿宋" w:cs="仿宋"/>
          <w:b/>
          <w:bCs/>
          <w:iCs/>
          <w:spacing w:val="8"/>
          <w:sz w:val="24"/>
          <w:highlight w:val="none"/>
          <w:u w:val="single"/>
        </w:rPr>
        <w:t xml:space="preserve">2025</w:t>
      </w:r>
      <w:r>
        <w:rPr>
          <w:rFonts w:hint="eastAsia" w:ascii="仿宋" w:hAnsi="仿宋" w:eastAsia="仿宋" w:cs="仿宋"/>
          <w:b/>
          <w:bCs/>
          <w:spacing w:val="8"/>
          <w:sz w:val="24"/>
          <w:highlight w:val="none"/>
          <w:u w:val="single"/>
        </w:rPr>
        <w:t xml:space="preserve">年1月</w:t>
      </w:r>
      <w:r>
        <w:rPr>
          <w:rFonts w:hint="eastAsia" w:ascii="仿宋" w:hAnsi="仿宋" w:eastAsia="仿宋" w:cs="仿宋"/>
          <w:b/>
          <w:bCs/>
          <w:spacing w:val="8"/>
          <w:sz w:val="24"/>
          <w:highlight w:val="none"/>
          <w:u w:val="single"/>
          <w:lang w:val="en-US" w:eastAsia="zh-CN"/>
        </w:rPr>
        <w:t xml:space="preserve">24</w:t>
      </w:r>
      <w:r>
        <w:rPr>
          <w:rFonts w:hint="eastAsia" w:ascii="仿宋" w:hAnsi="仿宋" w:eastAsia="仿宋" w:cs="仿宋"/>
          <w:b/>
          <w:bCs/>
          <w:spacing w:val="8"/>
          <w:sz w:val="24"/>
          <w:highlight w:val="none"/>
          <w:u w:val="single"/>
        </w:rPr>
        <w:t xml:space="preserve">日</w:t>
      </w:r>
      <w:r>
        <w:rPr>
          <w:rFonts w:hint="eastAsia" w:ascii="仿宋" w:hAnsi="仿宋" w:eastAsia="仿宋" w:cs="仿宋"/>
          <w:b/>
          <w:bCs/>
          <w:sz w:val="24"/>
          <w:highlight w:val="none"/>
          <w:u w:val="single"/>
        </w:rPr>
        <w:t xml:space="preserve">14点00分</w:t>
      </w:r>
      <w:r>
        <w:rPr>
          <w:rFonts w:hint="eastAsia" w:ascii="仿宋" w:hAnsi="仿宋" w:eastAsia="仿宋" w:cs="仿宋"/>
          <w:sz w:val="24"/>
          <w:highlight w:val="none"/>
        </w:rPr>
        <w:t xml:space="preserve">（北京时间）前递交投标文件。</w:t>
      </w:r>
      <w:r/>
    </w:p>
    <w:p>
      <w:pPr>
        <w:ind w:firstLine="482"/>
        <w:jc w:val="left"/>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一、项目基本情况</w:t>
      </w:r>
      <w:bookmarkEnd w:id="4"/>
      <w:r/>
      <w:bookmarkEnd w:id="5"/>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1.1项目编号：JSZC-320114-YCGC-G2024-0070</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1.2项目名称：中共南京市雨花台区委党校2025年客房、餐饮服务</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1.3预算金额：人民币</w:t>
      </w:r>
      <w:r>
        <w:rPr>
          <w:rFonts w:hint="eastAsia" w:ascii="仿宋" w:hAnsi="仿宋" w:eastAsia="仿宋" w:cs="仿宋"/>
          <w:spacing w:val="8"/>
          <w:sz w:val="24"/>
          <w:highlight w:val="none"/>
        </w:rPr>
        <w:t xml:space="preserve">1596万元；</w:t>
      </w:r>
      <w:r/>
    </w:p>
    <w:p>
      <w:pPr>
        <w:ind w:firstLine="480"/>
        <w:spacing w:line="360" w:lineRule="auto"/>
        <w:rPr>
          <w:rFonts w:hint="eastAsia" w:ascii="仿宋" w:hAnsi="仿宋" w:eastAsia="仿宋" w:cs="仿宋"/>
          <w:b/>
          <w:spacing w:val="8"/>
          <w:sz w:val="24"/>
          <w:highlight w:val="none"/>
        </w:rPr>
      </w:pPr>
      <w:r>
        <w:rPr>
          <w:rFonts w:hint="eastAsia" w:ascii="仿宋" w:hAnsi="仿宋" w:eastAsia="仿宋" w:cs="仿宋"/>
          <w:bCs/>
          <w:sz w:val="24"/>
          <w:highlight w:val="none"/>
        </w:rPr>
        <w:t xml:space="preserve">1.4</w:t>
      </w:r>
      <w:r>
        <w:rPr>
          <w:rFonts w:hint="eastAsia" w:ascii="仿宋" w:hAnsi="仿宋" w:eastAsia="仿宋" w:cs="仿宋"/>
          <w:spacing w:val="8"/>
          <w:sz w:val="24"/>
          <w:highlight w:val="none"/>
        </w:rPr>
        <w:t xml:space="preserve">最高限价：人民币1596万元/三年，532万/年。超过此价格报价，投标文件做无效投标处理。</w:t>
      </w:r>
      <w:r/>
    </w:p>
    <w:p>
      <w:pPr>
        <w:ind w:firstLine="480"/>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1.5采购需求：</w:t>
      </w:r>
      <w:r>
        <w:rPr>
          <w:rFonts w:hint="eastAsia" w:ascii="仿宋" w:hAnsi="仿宋" w:eastAsia="仿宋" w:cs="仿宋"/>
          <w:spacing w:val="13"/>
          <w:sz w:val="24"/>
          <w:highlight w:val="none"/>
        </w:rPr>
        <w:t xml:space="preserve">中国共产党南京市雨花台区委员会党校位于雨花台区观山路22号，校区占地约3.6万㎡，校园总建筑面积为31649.16㎡，低层园林中式建筑。校区由教学楼、报告厅、学员公寓、学员餐厅等单体组成。校区含162间双人间、17间单人间、6间套房合计185间，具备就餐服务和培训功能。现拟采购一家供应商对校区进行管理，提供住宿、就餐和培训（会议）服务保障</w:t>
      </w:r>
      <w:r>
        <w:rPr>
          <w:rFonts w:hint="eastAsia" w:ascii="仿宋" w:hAnsi="仿宋" w:eastAsia="仿宋" w:cs="仿宋"/>
          <w:sz w:val="24"/>
          <w:highlight w:val="none"/>
        </w:rPr>
        <w:t xml:space="preserve">，具体要求详见采购文件。</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1.6合同履行期限：三年</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1.7本项目标的所属行业：根据《关于印发中小企业划型标准规定的通知》（工信部联企业〔2011〕300号）及《国家统计局关于印发&lt;统计上大中小微型企业划分办法（2017）&gt;的通知》（国统字〔2017〕213号）等文件规定，本项目所属行业为餐饮业。</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1.8本项目（是/否）接受联合体：否</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1.9是否接受进口产品：否</w:t>
      </w:r>
      <w:r/>
    </w:p>
    <w:p>
      <w:pPr>
        <w:ind w:firstLine="482"/>
        <w:jc w:val="left"/>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二、申请人的资格要求：</w:t>
      </w:r>
      <w:r/>
    </w:p>
    <w:p>
      <w:pPr>
        <w:ind w:firstLine="514"/>
        <w:jc w:val="left"/>
        <w:spacing w:line="360" w:lineRule="auto"/>
        <w:rPr>
          <w:rFonts w:hint="eastAsia" w:ascii="仿宋" w:hAnsi="仿宋" w:eastAsia="仿宋" w:cs="仿宋"/>
          <w:b/>
          <w:spacing w:val="8"/>
          <w:sz w:val="24"/>
          <w:highlight w:val="none"/>
        </w:rPr>
      </w:pPr>
      <w:r>
        <w:rPr>
          <w:rFonts w:hint="eastAsia" w:ascii="仿宋" w:hAnsi="仿宋" w:eastAsia="仿宋" w:cs="仿宋"/>
          <w:b/>
          <w:spacing w:val="8"/>
          <w:sz w:val="24"/>
          <w:highlight w:val="none"/>
        </w:rPr>
        <w:t xml:space="preserve">2.1满足《中华人民共和国政府采购法》第二十二条规定：</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（1）具有独立承担民事责任的能力；</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（2）具有良好的商业信誉和健全的财务会计制度；</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（3）具有履行合同所必需的设备和专业技术能力；</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（4）有依法缴纳税收和社会保障资金的良好记录；</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（5）参加政府采购活动前三年内，在经营活动中没有重大违法记录；</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（6）法律、行政法规规定的其他条件：无。</w:t>
      </w:r>
      <w:r/>
    </w:p>
    <w:p>
      <w:pPr>
        <w:ind w:firstLine="514"/>
        <w:spacing w:line="360" w:lineRule="auto"/>
        <w:rPr>
          <w:rFonts w:hint="eastAsia" w:ascii="仿宋" w:hAnsi="仿宋" w:eastAsia="仿宋" w:cs="仿宋"/>
          <w:bCs/>
          <w:sz w:val="24"/>
          <w:highlight w:val="none"/>
        </w:rPr>
      </w:pPr>
      <w:r>
        <w:rPr>
          <w:rFonts w:hint="eastAsia" w:ascii="仿宋" w:hAnsi="仿宋" w:eastAsia="仿宋" w:cs="仿宋"/>
          <w:b/>
          <w:spacing w:val="8"/>
          <w:sz w:val="24"/>
          <w:highlight w:val="none"/>
        </w:rPr>
        <w:t xml:space="preserve">2.2落实政府采购政策需满足的资格要求：</w:t>
      </w:r>
      <w:r>
        <w:rPr>
          <w:rFonts w:hint="eastAsia" w:ascii="仿宋" w:hAnsi="仿宋" w:eastAsia="仿宋" w:cs="仿宋"/>
          <w:bCs/>
          <w:sz w:val="24"/>
          <w:highlight w:val="none"/>
        </w:rPr>
        <w:t xml:space="preserve">（如属于专门面向中小企业采购的项目，供应商应为中小微企业、监狱企业、残疾人福利单位）</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本项目按照以下第（</w:t>
      </w:r>
      <w:r>
        <w:rPr>
          <w:rFonts w:hint="eastAsia" w:ascii="仿宋" w:hAnsi="仿宋" w:eastAsia="仿宋" w:cs="仿宋"/>
          <w:b/>
          <w:sz w:val="24"/>
          <w:highlight w:val="none"/>
        </w:rPr>
        <w:t xml:space="preserve">4</w:t>
      </w:r>
      <w:r>
        <w:rPr>
          <w:rFonts w:hint="eastAsia" w:ascii="仿宋" w:hAnsi="仿宋" w:eastAsia="仿宋" w:cs="仿宋"/>
          <w:bCs/>
          <w:sz w:val="24"/>
          <w:highlight w:val="none"/>
        </w:rPr>
        <w:t xml:space="preserve">）种方式落实政府采购促进中小企业发展的要求：</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（1）本项目整体专门面向中小企业采购服务。</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（2）本项目整体专门面向小微企业采购服务。</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（3）本项目通过以下第（）种方式预留部分采购份额采购中小企业服务：</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①本项目要求供应商以联合体形式参加，中小企业合同金额应当达到的比例为_%。</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②本项目要求供应商进行合同分包，中小企业合同金额应当达到的比例为_%。</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（4）本项目为非预留份额的采购项目或采购包，执行价格扣除优惠政策，具体详见第三章评标办法与标准。</w:t>
      </w:r>
      <w:r/>
    </w:p>
    <w:p>
      <w:pPr>
        <w:ind w:firstLine="514"/>
        <w:spacing w:line="360" w:lineRule="auto"/>
        <w:rPr>
          <w:rFonts w:hint="eastAsia" w:ascii="仿宋" w:hAnsi="仿宋" w:eastAsia="仿宋" w:cs="仿宋"/>
          <w:b/>
          <w:sz w:val="24"/>
          <w:highlight w:val="none"/>
        </w:rPr>
      </w:pPr>
      <w:r>
        <w:rPr>
          <w:rFonts w:hint="eastAsia" w:ascii="仿宋" w:hAnsi="仿宋" w:eastAsia="仿宋" w:cs="仿宋"/>
          <w:b/>
          <w:spacing w:val="8"/>
          <w:sz w:val="24"/>
          <w:highlight w:val="none"/>
        </w:rPr>
        <w:t xml:space="preserve">2.3采购人根据采购项目的特殊要求规定的特定条件，并提供符合特殊要求的证明</w:t>
      </w:r>
      <w:r>
        <w:rPr>
          <w:rFonts w:hint="eastAsia" w:ascii="仿宋" w:hAnsi="仿宋" w:eastAsia="仿宋" w:cs="仿宋"/>
          <w:b/>
          <w:sz w:val="24"/>
          <w:highlight w:val="none"/>
        </w:rPr>
        <w:t xml:space="preserve">材料或者情况</w:t>
      </w:r>
      <w:r>
        <w:rPr>
          <w:rFonts w:hint="eastAsia" w:ascii="仿宋" w:hAnsi="仿宋" w:eastAsia="仿宋" w:cs="仿宋"/>
          <w:b/>
          <w:spacing w:val="8"/>
          <w:sz w:val="24"/>
          <w:highlight w:val="none"/>
        </w:rPr>
        <w:t xml:space="preserve">说明：</w:t>
      </w:r>
      <w:r>
        <w:rPr>
          <w:rFonts w:hint="eastAsia" w:ascii="仿宋" w:hAnsi="仿宋" w:eastAsia="仿宋" w:cs="仿宋"/>
          <w:b/>
          <w:sz w:val="24"/>
          <w:highlight w:val="none"/>
        </w:rPr>
        <w:t xml:space="preserve">无</w:t>
      </w:r>
      <w:r/>
    </w:p>
    <w:p>
      <w:pPr>
        <w:pStyle w:val="845"/>
        <w:ind w:firstLine="480"/>
        <w:jc w:val="both"/>
        <w:spacing w:line="360" w:lineRule="auto"/>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2.4 第</w:t>
      </w:r>
      <w:r>
        <w:rPr>
          <w:rFonts w:hint="eastAsia" w:ascii="仿宋" w:hAnsi="仿宋" w:eastAsia="仿宋" w:cs="仿宋"/>
          <w:b w:val="0"/>
          <w:bCs w:val="0"/>
          <w:spacing w:val="-42"/>
          <w:sz w:val="24"/>
          <w:highlight w:val="none"/>
        </w:rPr>
        <w:t xml:space="preserve"> </w:t>
      </w:r>
      <w:r>
        <w:rPr>
          <w:rFonts w:hint="eastAsia" w:ascii="仿宋" w:hAnsi="仿宋" w:eastAsia="仿宋" w:cs="仿宋"/>
          <w:b w:val="0"/>
          <w:bCs w:val="0"/>
          <w:sz w:val="24"/>
          <w:highlight w:val="none"/>
        </w:rPr>
        <w:t xml:space="preserve">2.1（5）条所称重大违法记录，是指供应商因违法经营受到刑事处罚或者责令停产停业、吊销许可证或者执照、较大数额罚款等行政处罚。</w:t>
      </w:r>
      <w:r/>
    </w:p>
    <w:p>
      <w:pPr>
        <w:pStyle w:val="845"/>
        <w:ind w:firstLine="480"/>
        <w:jc w:val="both"/>
        <w:spacing w:line="360" w:lineRule="auto"/>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2.5</w:t>
      </w:r>
      <w:r>
        <w:rPr>
          <w:rFonts w:hint="eastAsia" w:ascii="仿宋" w:hAnsi="仿宋" w:eastAsia="仿宋" w:cs="仿宋"/>
          <w:b w:val="0"/>
          <w:bCs w:val="0"/>
          <w:spacing w:val="-13"/>
          <w:sz w:val="24"/>
          <w:highlight w:val="none"/>
        </w:rPr>
        <w:t xml:space="preserve"> 供应商</w:t>
      </w:r>
      <w:r>
        <w:rPr>
          <w:rFonts w:hint="eastAsia" w:ascii="仿宋" w:hAnsi="仿宋" w:eastAsia="仿宋" w:cs="仿宋"/>
          <w:b w:val="0"/>
          <w:bCs w:val="0"/>
          <w:sz w:val="24"/>
          <w:highlight w:val="none"/>
        </w:rPr>
        <w:t xml:space="preserve">在参加政府采购活动前</w:t>
      </w:r>
      <w:r>
        <w:rPr>
          <w:rFonts w:hint="eastAsia" w:ascii="仿宋" w:hAnsi="仿宋" w:eastAsia="仿宋" w:cs="仿宋"/>
          <w:b w:val="0"/>
          <w:bCs w:val="0"/>
          <w:spacing w:val="-68"/>
          <w:sz w:val="24"/>
          <w:highlight w:val="none"/>
        </w:rPr>
        <w:t xml:space="preserve"> </w:t>
      </w:r>
      <w:r>
        <w:rPr>
          <w:rFonts w:hint="eastAsia" w:ascii="仿宋" w:hAnsi="仿宋" w:eastAsia="仿宋" w:cs="仿宋"/>
          <w:b w:val="0"/>
          <w:bCs w:val="0"/>
          <w:sz w:val="24"/>
          <w:highlight w:val="none"/>
        </w:rPr>
        <w:t xml:space="preserve">3</w:t>
      </w:r>
      <w:r>
        <w:rPr>
          <w:rFonts w:hint="eastAsia" w:ascii="仿宋" w:hAnsi="仿宋" w:eastAsia="仿宋" w:cs="仿宋"/>
          <w:b w:val="0"/>
          <w:bCs w:val="0"/>
          <w:spacing w:val="-13"/>
          <w:sz w:val="24"/>
          <w:highlight w:val="none"/>
        </w:rPr>
        <w:t xml:space="preserve"> </w:t>
      </w:r>
      <w:r>
        <w:rPr>
          <w:rFonts w:hint="eastAsia" w:ascii="仿宋" w:hAnsi="仿宋" w:eastAsia="仿宋" w:cs="仿宋"/>
          <w:b w:val="0"/>
          <w:bCs w:val="0"/>
          <w:sz w:val="24"/>
          <w:highlight w:val="none"/>
        </w:rPr>
        <w:t xml:space="preserve">年内因违法经营被禁止在一定期限内参加政府采购活动，期限届满的，可以参加政府采购活动。</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2.6单位负责人为同一人或者存在直接控股、管理关系的不同供应商，不得参加同一合同项下的政府采购活动。</w:t>
      </w:r>
      <w:r/>
    </w:p>
    <w:p>
      <w:pPr>
        <w:pStyle w:val="845"/>
        <w:ind w:firstLine="480"/>
        <w:jc w:val="both"/>
        <w:spacing w:line="360" w:lineRule="auto"/>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2.6不同投标人的法定代表人或委托代理人有夫妻、直系血亲关系的，不得参加本次采购活动。</w:t>
      </w:r>
      <w:r/>
    </w:p>
    <w:p>
      <w:pPr>
        <w:pStyle w:val="845"/>
        <w:ind w:firstLine="480"/>
        <w:jc w:val="both"/>
        <w:spacing w:line="360" w:lineRule="auto"/>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2.7 单位负责人为同一人或者存在直接控股、管理关系的不同供应商，不得参加同一合同项下的政府采购活动。</w:t>
      </w:r>
      <w:r/>
    </w:p>
    <w:p>
      <w:pPr>
        <w:pStyle w:val="845"/>
        <w:ind w:firstLine="480"/>
        <w:jc w:val="both"/>
        <w:spacing w:line="360" w:lineRule="auto"/>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2.8为采购项目提供整体设计、规范编制或者项目管理、监理、检测等服务的供应商，不得再参加该采购项目的其他采购活动。</w:t>
      </w:r>
      <w:r/>
    </w:p>
    <w:p>
      <w:pPr>
        <w:pStyle w:val="845"/>
        <w:ind w:firstLine="480"/>
        <w:jc w:val="both"/>
        <w:spacing w:line="360" w:lineRule="auto"/>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2.9 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firstLine="514"/>
        <w:spacing w:line="360" w:lineRule="auto"/>
        <w:widowControl/>
        <w:rPr>
          <w:rFonts w:hint="eastAsia" w:ascii="仿宋" w:hAnsi="仿宋" w:eastAsia="仿宋" w:cs="仿宋"/>
          <w:b/>
          <w:spacing w:val="8"/>
          <w:sz w:val="24"/>
          <w:highlight w:val="none"/>
        </w:rPr>
      </w:pPr>
      <w:r>
        <w:rPr>
          <w:rFonts w:hint="eastAsia" w:ascii="仿宋" w:hAnsi="仿宋" w:eastAsia="仿宋" w:cs="仿宋"/>
          <w:b/>
          <w:spacing w:val="8"/>
          <w:sz w:val="24"/>
          <w:highlight w:val="none"/>
        </w:rPr>
        <w:t xml:space="preserve">三、获取招标文件</w:t>
      </w:r>
      <w:r/>
    </w:p>
    <w:p>
      <w:pPr>
        <w:ind w:firstLine="512"/>
        <w:jc w:val="left"/>
        <w:spacing w:line="360" w:lineRule="auto"/>
        <w:shd w:val="clear" w:color="auto" w:fill="ffffff"/>
        <w:widowControl/>
        <w:rPr>
          <w:rFonts w:hint="eastAsia" w:ascii="仿宋" w:hAnsi="仿宋" w:eastAsia="仿宋" w:cs="仿宋"/>
          <w:spacing w:val="8"/>
          <w:sz w:val="24"/>
          <w:highlight w:val="none"/>
        </w:rPr>
      </w:pPr>
      <w:r>
        <w:rPr>
          <w:rFonts w:hint="eastAsia" w:ascii="仿宋" w:hAnsi="仿宋" w:eastAsia="仿宋" w:cs="仿宋"/>
          <w:spacing w:val="8"/>
          <w:sz w:val="24"/>
          <w:highlight w:val="none"/>
        </w:rPr>
        <w:t xml:space="preserve">3.1时间：自招标公告发布之日起5个工作日</w:t>
      </w:r>
      <w:r/>
    </w:p>
    <w:p>
      <w:pPr>
        <w:ind w:firstLine="512"/>
        <w:jc w:val="left"/>
        <w:spacing w:line="360" w:lineRule="auto"/>
        <w:shd w:val="clear" w:color="auto" w:fill="ffffff"/>
        <w:widowControl/>
        <w:rPr>
          <w:rFonts w:hint="eastAsia" w:ascii="仿宋" w:hAnsi="仿宋" w:eastAsia="仿宋" w:cs="仿宋"/>
          <w:spacing w:val="8"/>
          <w:sz w:val="24"/>
          <w:highlight w:val="none"/>
        </w:rPr>
      </w:pPr>
      <w:r>
        <w:rPr>
          <w:rFonts w:hint="eastAsia" w:ascii="仿宋" w:hAnsi="仿宋" w:eastAsia="仿宋" w:cs="仿宋"/>
          <w:spacing w:val="8"/>
          <w:sz w:val="24"/>
          <w:highlight w:val="none"/>
        </w:rPr>
        <w:t xml:space="preserve">3.2地点：江苏政府采购网。</w:t>
      </w:r>
      <w:r/>
    </w:p>
    <w:p>
      <w:pPr>
        <w:ind w:firstLine="512"/>
        <w:jc w:val="left"/>
        <w:spacing w:line="360" w:lineRule="auto"/>
        <w:shd w:val="clear" w:color="auto" w:fill="ffffff"/>
        <w:widowControl/>
        <w:rPr>
          <w:rFonts w:hint="eastAsia" w:ascii="仿宋" w:hAnsi="仿宋" w:eastAsia="仿宋" w:cs="仿宋"/>
          <w:spacing w:val="8"/>
          <w:sz w:val="24"/>
          <w:highlight w:val="none"/>
        </w:rPr>
      </w:pPr>
      <w:r>
        <w:rPr>
          <w:rFonts w:hint="eastAsia" w:ascii="仿宋" w:hAnsi="仿宋" w:eastAsia="仿宋" w:cs="仿宋"/>
          <w:spacing w:val="8"/>
          <w:sz w:val="24"/>
          <w:highlight w:val="none"/>
        </w:rPr>
        <w:t xml:space="preserve">3.3方式：网上下载</w:t>
      </w:r>
      <w:r/>
    </w:p>
    <w:p>
      <w:pPr>
        <w:ind w:firstLine="512"/>
        <w:jc w:val="left"/>
        <w:spacing w:line="360" w:lineRule="auto"/>
        <w:shd w:val="clear" w:color="auto" w:fill="ffffff"/>
        <w:widowControl/>
        <w:rPr>
          <w:rFonts w:hint="eastAsia" w:ascii="仿宋" w:hAnsi="仿宋" w:eastAsia="仿宋" w:cs="仿宋"/>
          <w:spacing w:val="8"/>
          <w:sz w:val="24"/>
          <w:highlight w:val="none"/>
        </w:rPr>
      </w:pPr>
      <w:r>
        <w:rPr>
          <w:rFonts w:hint="eastAsia" w:ascii="仿宋" w:hAnsi="仿宋" w:eastAsia="仿宋" w:cs="仿宋"/>
          <w:spacing w:val="8"/>
          <w:sz w:val="24"/>
          <w:highlight w:val="none"/>
        </w:rPr>
        <w:t xml:space="preserve">3.4售价：0.00元。</w:t>
      </w:r>
      <w:r/>
    </w:p>
    <w:p>
      <w:pPr>
        <w:ind w:firstLine="514"/>
        <w:spacing w:line="360" w:lineRule="auto"/>
        <w:widowControl/>
        <w:rPr>
          <w:rFonts w:hint="eastAsia" w:ascii="仿宋" w:hAnsi="仿宋" w:eastAsia="仿宋" w:cs="仿宋"/>
          <w:b/>
          <w:spacing w:val="8"/>
          <w:sz w:val="24"/>
          <w:highlight w:val="none"/>
        </w:rPr>
      </w:pPr>
      <w:r>
        <w:rPr>
          <w:rFonts w:hint="eastAsia" w:ascii="仿宋" w:hAnsi="仿宋" w:eastAsia="仿宋" w:cs="仿宋"/>
          <w:b/>
          <w:spacing w:val="8"/>
          <w:sz w:val="24"/>
          <w:highlight w:val="none"/>
        </w:rPr>
        <w:t xml:space="preserve">四、提交投标文件截止时间、开标时间和地点</w:t>
      </w:r>
      <w:r/>
    </w:p>
    <w:p>
      <w:pPr>
        <w:ind w:firstLine="512"/>
        <w:spacing w:line="360" w:lineRule="auto"/>
        <w:widowControl/>
        <w:rPr>
          <w:rFonts w:hint="eastAsia" w:ascii="仿宋" w:hAnsi="仿宋" w:eastAsia="仿宋" w:cs="仿宋"/>
          <w:spacing w:val="8"/>
          <w:sz w:val="24"/>
          <w:highlight w:val="none"/>
        </w:rPr>
      </w:pPr>
      <w:r>
        <w:rPr>
          <w:rFonts w:hint="eastAsia" w:ascii="仿宋" w:hAnsi="仿宋" w:eastAsia="仿宋" w:cs="仿宋"/>
          <w:spacing w:val="8"/>
          <w:sz w:val="24"/>
          <w:highlight w:val="none"/>
        </w:rPr>
        <w:t xml:space="preserve">4.1</w:t>
      </w:r>
      <w:r>
        <w:rPr>
          <w:rFonts w:hint="eastAsia" w:ascii="仿宋" w:hAnsi="仿宋" w:eastAsia="仿宋" w:cs="仿宋"/>
          <w:spacing w:val="15"/>
          <w:sz w:val="24"/>
          <w:highlight w:val="none"/>
          <w:shd w:val="clear" w:color="auto" w:fill="ffffff"/>
        </w:rPr>
        <w:t xml:space="preserve">提交投标文件截止时间、开标时间：</w:t>
      </w:r>
      <w:r>
        <w:rPr>
          <w:rFonts w:hint="eastAsia" w:ascii="仿宋" w:hAnsi="仿宋" w:eastAsia="仿宋" w:cs="仿宋"/>
          <w:b/>
          <w:bCs/>
          <w:sz w:val="24"/>
          <w:highlight w:val="none"/>
        </w:rPr>
        <w:t xml:space="preserve">2025</w:t>
      </w:r>
      <w:r>
        <w:rPr>
          <w:rFonts w:hint="eastAsia" w:ascii="仿宋" w:hAnsi="仿宋" w:eastAsia="仿宋" w:cs="仿宋"/>
          <w:b/>
          <w:bCs/>
          <w:spacing w:val="8"/>
          <w:sz w:val="24"/>
          <w:highlight w:val="none"/>
        </w:rPr>
        <w:t xml:space="preserve">年1月</w:t>
      </w:r>
      <w:r>
        <w:rPr>
          <w:rFonts w:hint="eastAsia" w:ascii="仿宋" w:hAnsi="仿宋" w:eastAsia="仿宋" w:cs="仿宋"/>
          <w:b/>
          <w:bCs/>
          <w:spacing w:val="8"/>
          <w:sz w:val="24"/>
          <w:highlight w:val="none"/>
          <w:lang w:val="en-US" w:eastAsia="zh-CN"/>
        </w:rPr>
        <w:t xml:space="preserve">24</w:t>
      </w:r>
      <w:r>
        <w:rPr>
          <w:rFonts w:hint="eastAsia" w:ascii="仿宋" w:hAnsi="仿宋" w:eastAsia="仿宋" w:cs="仿宋"/>
          <w:b/>
          <w:bCs/>
          <w:spacing w:val="8"/>
          <w:sz w:val="24"/>
          <w:highlight w:val="none"/>
        </w:rPr>
        <w:t xml:space="preserve">日14点</w:t>
      </w:r>
      <w:r>
        <w:rPr>
          <w:rFonts w:hint="eastAsia" w:ascii="仿宋" w:hAnsi="仿宋" w:eastAsia="仿宋" w:cs="仿宋"/>
          <w:b/>
          <w:bCs/>
          <w:sz w:val="24"/>
          <w:highlight w:val="none"/>
        </w:rPr>
        <w:t xml:space="preserve">00</w:t>
      </w:r>
      <w:r>
        <w:rPr>
          <w:rFonts w:hint="eastAsia" w:ascii="仿宋" w:hAnsi="仿宋" w:eastAsia="仿宋" w:cs="仿宋"/>
          <w:b/>
          <w:bCs/>
          <w:spacing w:val="8"/>
          <w:sz w:val="24"/>
          <w:highlight w:val="none"/>
        </w:rPr>
        <w:t xml:space="preserve">分</w:t>
      </w:r>
      <w:r>
        <w:rPr>
          <w:rFonts w:hint="eastAsia" w:ascii="仿宋" w:hAnsi="仿宋" w:eastAsia="仿宋" w:cs="仿宋"/>
          <w:spacing w:val="8"/>
          <w:sz w:val="24"/>
          <w:highlight w:val="none"/>
        </w:rPr>
        <w:t xml:space="preserve">（北京时间）</w:t>
      </w:r>
      <w:r/>
    </w:p>
    <w:p>
      <w:pPr>
        <w:pStyle w:val="870"/>
        <w:ind w:firstLine="540"/>
        <w:spacing w:before="0" w:beforeAutospacing="0" w:after="0" w:afterAutospacing="0" w:line="360" w:lineRule="auto"/>
        <w:rPr>
          <w:rFonts w:hint="eastAsia" w:ascii="仿宋" w:hAnsi="仿宋" w:eastAsia="仿宋" w:cs="仿宋"/>
          <w:spacing w:val="15"/>
          <w:highlight w:val="none"/>
          <w:shd w:val="clear" w:color="auto" w:fill="ffffff"/>
        </w:rPr>
      </w:pPr>
      <w:r>
        <w:rPr>
          <w:rFonts w:hint="eastAsia" w:ascii="仿宋" w:hAnsi="仿宋" w:eastAsia="仿宋" w:cs="仿宋"/>
          <w:spacing w:val="15"/>
          <w:highlight w:val="none"/>
          <w:shd w:val="clear" w:color="auto" w:fill="ffffff"/>
        </w:rPr>
        <w:t xml:space="preserve">4.2提交投标文件地点：江苏省政府采购管理交易系统（苏采云）（以下简称“苏采云”）（网址： http://jszfcg.jsczt.cn/）</w:t>
      </w:r>
      <w:r/>
    </w:p>
    <w:p>
      <w:pPr>
        <w:pStyle w:val="870"/>
        <w:ind w:firstLine="540"/>
        <w:spacing w:before="0" w:beforeAutospacing="0" w:after="0" w:afterAutospacing="0" w:line="360" w:lineRule="auto"/>
        <w:rPr>
          <w:rFonts w:hint="eastAsia" w:ascii="仿宋" w:hAnsi="仿宋" w:eastAsia="仿宋" w:cs="仿宋"/>
          <w:spacing w:val="15"/>
          <w:highlight w:val="none"/>
          <w:shd w:val="clear" w:color="auto" w:fill="ffffff"/>
        </w:rPr>
      </w:pPr>
      <w:r>
        <w:rPr>
          <w:rFonts w:hint="eastAsia" w:ascii="仿宋" w:hAnsi="仿宋" w:eastAsia="仿宋" w:cs="仿宋"/>
          <w:spacing w:val="15"/>
          <w:highlight w:val="none"/>
          <w:shd w:val="clear" w:color="auto" w:fill="ffffff"/>
        </w:rPr>
        <w:t xml:space="preserve">4.3开标地点：“苏采云”网上开标大厅。</w:t>
      </w:r>
      <w:r/>
    </w:p>
    <w:p>
      <w:pPr>
        <w:ind w:firstLine="514"/>
        <w:spacing w:line="360" w:lineRule="auto"/>
        <w:widowControl/>
        <w:rPr>
          <w:rFonts w:hint="eastAsia" w:ascii="仿宋" w:hAnsi="仿宋" w:eastAsia="仿宋" w:cs="仿宋"/>
          <w:b/>
          <w:spacing w:val="8"/>
          <w:sz w:val="24"/>
          <w:highlight w:val="none"/>
        </w:rPr>
      </w:pPr>
      <w:r>
        <w:rPr>
          <w:rFonts w:hint="eastAsia" w:ascii="仿宋" w:hAnsi="仿宋" w:eastAsia="仿宋" w:cs="仿宋"/>
          <w:b/>
          <w:spacing w:val="8"/>
          <w:sz w:val="24"/>
          <w:highlight w:val="none"/>
        </w:rPr>
        <w:t xml:space="preserve">五、公告期限</w:t>
      </w:r>
      <w:r/>
    </w:p>
    <w:p>
      <w:pPr>
        <w:ind w:firstLine="512"/>
        <w:spacing w:line="360" w:lineRule="auto"/>
        <w:widowControl/>
        <w:rPr>
          <w:rFonts w:hint="eastAsia" w:ascii="仿宋" w:hAnsi="仿宋" w:eastAsia="仿宋" w:cs="仿宋"/>
          <w:spacing w:val="8"/>
          <w:sz w:val="24"/>
          <w:highlight w:val="none"/>
        </w:rPr>
      </w:pPr>
      <w:r>
        <w:rPr>
          <w:rFonts w:hint="eastAsia" w:ascii="仿宋" w:hAnsi="仿宋" w:eastAsia="仿宋" w:cs="仿宋"/>
          <w:spacing w:val="8"/>
          <w:sz w:val="24"/>
          <w:highlight w:val="none"/>
        </w:rPr>
        <w:t xml:space="preserve">自本公告发布之日起5个工作日。</w:t>
      </w:r>
      <w:r/>
    </w:p>
    <w:p>
      <w:pPr>
        <w:ind w:firstLine="514"/>
        <w:spacing w:line="360" w:lineRule="auto"/>
        <w:widowControl/>
        <w:rPr>
          <w:rFonts w:hint="eastAsia" w:ascii="仿宋" w:hAnsi="仿宋" w:eastAsia="仿宋" w:cs="仿宋"/>
          <w:b/>
          <w:spacing w:val="8"/>
          <w:sz w:val="24"/>
          <w:highlight w:val="none"/>
        </w:rPr>
      </w:pPr>
      <w:r>
        <w:rPr>
          <w:rFonts w:hint="eastAsia" w:ascii="仿宋" w:hAnsi="仿宋" w:eastAsia="仿宋" w:cs="仿宋"/>
          <w:b/>
          <w:spacing w:val="8"/>
          <w:sz w:val="24"/>
          <w:highlight w:val="none"/>
        </w:rPr>
        <w:t xml:space="preserve">六、其他补充事宜</w:t>
      </w:r>
      <w:r/>
    </w:p>
    <w:p>
      <w:pPr>
        <w:ind w:firstLine="480"/>
        <w:spacing w:line="360" w:lineRule="auto"/>
        <w:shd w:val="clear" w:color="auto" w:fill="ffffff" w:themeFill="background1"/>
        <w:widowControl/>
        <w:rPr>
          <w:rFonts w:hint="eastAsia" w:ascii="仿宋" w:hAnsi="仿宋" w:eastAsia="仿宋" w:cs="仿宋"/>
          <w:sz w:val="24"/>
          <w:highlight w:val="none"/>
        </w:rPr>
      </w:pPr>
      <w:r>
        <w:rPr>
          <w:rFonts w:hint="eastAsia" w:ascii="仿宋" w:hAnsi="仿宋" w:eastAsia="仿宋" w:cs="仿宋"/>
          <w:sz w:val="24"/>
          <w:highlight w:val="none"/>
        </w:rPr>
        <w:t xml:space="preserve">6.1</w:t>
      </w:r>
      <w:r>
        <w:rPr>
          <w:rFonts w:hint="eastAsia" w:ascii="仿宋" w:hAnsi="仿宋" w:eastAsia="仿宋" w:cs="仿宋"/>
          <w:bCs/>
          <w:sz w:val="24"/>
          <w:highlight w:val="none"/>
        </w:rPr>
        <w:t xml:space="preserve">本采购公告在江苏政府采购网（http://www.ccgp-jiangsu.gov.cn/）、南京公共采购信息网（https://njgc.jfh.com/）公示发布，敬请各供应商关注</w:t>
      </w:r>
      <w:r>
        <w:rPr>
          <w:rFonts w:hint="eastAsia" w:ascii="仿宋" w:hAnsi="仿宋" w:eastAsia="仿宋" w:cs="仿宋"/>
          <w:sz w:val="24"/>
          <w:highlight w:val="none"/>
          <w:lang w:val="zh-CN"/>
        </w:rPr>
        <w:t xml:space="preserve">。</w:t>
      </w:r>
      <w:r/>
    </w:p>
    <w:p>
      <w:pPr>
        <w:pStyle w:val="1037"/>
        <w:ind w:firstLine="480"/>
        <w:spacing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6.2有关本次招标的事项若存在变动或修改，请及时关注“江苏政府采购网”（www.ccgp-jiangsu.gov.cn）、南京公共采购信息网（https://njgc.jfh.com/）发布的关于本项目的信息更正公告。</w:t>
      </w:r>
      <w:r/>
    </w:p>
    <w:p>
      <w:pPr>
        <w:ind w:firstLine="480"/>
        <w:spacing w:line="360" w:lineRule="auto"/>
        <w:shd w:val="clear" w:color="auto" w:fill="ffffff" w:themeFill="background1"/>
        <w:widowControl/>
        <w:rPr>
          <w:rFonts w:hint="eastAsia" w:ascii="仿宋" w:hAnsi="仿宋" w:eastAsia="仿宋" w:cs="仿宋"/>
          <w:bCs/>
          <w:sz w:val="24"/>
          <w:highlight w:val="none"/>
        </w:rPr>
      </w:pPr>
      <w:r>
        <w:rPr>
          <w:rFonts w:hint="eastAsia" w:ascii="仿宋" w:hAnsi="仿宋" w:eastAsia="仿宋" w:cs="仿宋"/>
          <w:sz w:val="24"/>
          <w:highlight w:val="none"/>
          <w:lang w:val="zh-CN"/>
        </w:rPr>
        <w:t xml:space="preserve">6.</w:t>
      </w:r>
      <w:r>
        <w:rPr>
          <w:rFonts w:hint="eastAsia" w:ascii="仿宋" w:hAnsi="仿宋" w:eastAsia="仿宋" w:cs="仿宋"/>
          <w:sz w:val="24"/>
          <w:highlight w:val="none"/>
        </w:rPr>
        <w:t xml:space="preserve">3</w:t>
      </w:r>
      <w:r>
        <w:rPr>
          <w:rFonts w:hint="eastAsia" w:ascii="仿宋" w:hAnsi="仿宋" w:eastAsia="仿宋" w:cs="仿宋"/>
          <w:bCs/>
          <w:sz w:val="24"/>
          <w:highlight w:val="none"/>
        </w:rPr>
        <w:t xml:space="preserve">勘察现场：招标人不集中组织，投标人可自行考察。</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bCs/>
          <w:sz w:val="24"/>
          <w:highlight w:val="none"/>
        </w:rPr>
        <w:t xml:space="preserve">6.4</w:t>
      </w:r>
      <w:r>
        <w:rPr>
          <w:rFonts w:hint="eastAsia" w:ascii="仿宋" w:hAnsi="仿宋" w:eastAsia="仿宋" w:cs="仿宋"/>
          <w:b/>
          <w:bCs/>
          <w:sz w:val="24"/>
          <w:highlight w:val="none"/>
        </w:rPr>
        <w:t xml:space="preserve">潜在供应商访问政府采购管理交易系统（苏采云）的网络地址和方法：</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3）“CA数字证书”的办理材料以及供应商操作手册详见：http://jsxcmm.com/help/gys.html。</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4）潜在供应商访问“苏采云”系统的网络地址和方法：“苏采云”系统的网址：http://jszfcg.jsczt.cn/jszc/login。</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6）招标代理机构（采购代理机构）将数据电文形式的采购文件加载至“苏采云”系统，供潜在供应商下载或者查阅。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7）苏采云系统使用谷歌浏览器参与不见面开标。</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“苏采云”南京地区客服热线025-83633744、025-83633743。</w:t>
      </w:r>
      <w:r/>
    </w:p>
    <w:p>
      <w:pPr>
        <w:ind w:firstLine="482"/>
        <w:spacing w:line="360" w:lineRule="auto"/>
        <w:shd w:val="clear" w:color="auto" w:fill="ffffff" w:themeFill="background1"/>
        <w:widowControl/>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6.</w:t>
      </w:r>
      <w:r>
        <w:rPr>
          <w:rFonts w:hint="eastAsia" w:ascii="仿宋" w:hAnsi="仿宋" w:eastAsia="仿宋" w:cs="仿宋"/>
          <w:b/>
          <w:bCs/>
          <w:sz w:val="24"/>
          <w:highlight w:val="none"/>
        </w:rPr>
        <w:t xml:space="preserve">5政府采购信用承诺</w:t>
      </w:r>
      <w:r/>
    </w:p>
    <w:p>
      <w:pPr>
        <w:ind w:firstLine="48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lang w:val="zh-CN"/>
        </w:rPr>
        <w:t xml:space="preserve">根据《关于在政府采购活动中推行信用承诺制的通知》宁财购通〔2021〕5号规定，</w:t>
      </w:r>
      <w:r>
        <w:rPr>
          <w:rFonts w:hint="eastAsia" w:ascii="仿宋" w:hAnsi="仿宋" w:eastAsia="仿宋" w:cs="仿宋"/>
          <w:sz w:val="24"/>
          <w:highlight w:val="none"/>
        </w:rPr>
        <w:t xml:space="preserve">参加</w:t>
      </w:r>
      <w:r>
        <w:rPr>
          <w:rFonts w:hint="eastAsia" w:ascii="仿宋" w:hAnsi="仿宋" w:eastAsia="仿宋" w:cs="仿宋"/>
          <w:sz w:val="24"/>
          <w:highlight w:val="none"/>
          <w:lang w:val="zh-CN"/>
        </w:rPr>
        <w:t xml:space="preserve">南京地区采购活动的供应商，应以书面形式向采购人或政府采购代理机构作出信用承诺。供应商应尽早做好承诺工作，点击“南京公共采购信息网”</w:t>
      </w:r>
      <w:r>
        <w:rPr>
          <w:rFonts w:hint="eastAsia" w:ascii="仿宋" w:hAnsi="仿宋" w:eastAsia="仿宋" w:cs="仿宋"/>
          <w:sz w:val="24"/>
          <w:highlight w:val="none"/>
        </w:rPr>
        <w:t xml:space="preserve">首页</w:t>
      </w:r>
      <w:r>
        <w:rPr>
          <w:rFonts w:hint="eastAsia" w:ascii="仿宋" w:hAnsi="仿宋" w:eastAsia="仿宋" w:cs="仿宋"/>
          <w:sz w:val="24"/>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仿宋" w:hAnsi="仿宋" w:eastAsia="仿宋" w:cs="仿宋"/>
          <w:b/>
          <w:bCs/>
          <w:sz w:val="24"/>
          <w:highlight w:val="none"/>
          <w:lang w:val="zh-CN"/>
        </w:rPr>
        <w:t xml:space="preserve">由</w:t>
      </w:r>
      <w:r>
        <w:rPr>
          <w:rFonts w:hint="eastAsia" w:ascii="仿宋" w:hAnsi="仿宋" w:eastAsia="仿宋" w:cs="仿宋"/>
          <w:b/>
          <w:bCs/>
          <w:sz w:val="24"/>
          <w:highlight w:val="none"/>
        </w:rPr>
        <w:t xml:space="preserve">法定代表人</w:t>
      </w:r>
      <w:r>
        <w:rPr>
          <w:rFonts w:hint="eastAsia" w:ascii="仿宋" w:hAnsi="仿宋" w:eastAsia="仿宋" w:cs="仿宋"/>
          <w:b/>
          <w:bCs/>
          <w:sz w:val="24"/>
          <w:highlight w:val="none"/>
          <w:lang w:val="zh-CN"/>
        </w:rPr>
        <w:t xml:space="preserve">签字并盖单位公章，</w:t>
      </w:r>
      <w:r>
        <w:rPr>
          <w:rFonts w:hint="eastAsia" w:ascii="仿宋" w:hAnsi="仿宋" w:eastAsia="仿宋" w:cs="仿宋"/>
          <w:b/>
          <w:bCs/>
          <w:sz w:val="24"/>
          <w:highlight w:val="none"/>
        </w:rPr>
        <w:t xml:space="preserve">随投标文件一并递交。</w:t>
      </w:r>
      <w:r/>
    </w:p>
    <w:p>
      <w:pPr>
        <w:ind w:firstLine="480"/>
        <w:spacing w:line="360" w:lineRule="auto"/>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在政府采购资格审查环节，供应商只需提供书面《南京市政府采购供应商信用记录表暨信用承诺书》，即可替代以下证明材料：</w:t>
      </w:r>
      <w:r/>
    </w:p>
    <w:p>
      <w:pPr>
        <w:ind w:firstLine="480"/>
        <w:spacing w:line="360" w:lineRule="auto"/>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（1）符合国家相关规定的财务状况报告；</w:t>
      </w:r>
      <w:r/>
    </w:p>
    <w:p>
      <w:pPr>
        <w:ind w:firstLine="480"/>
        <w:spacing w:line="360" w:lineRule="auto"/>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（2）依法缴纳税收的证明材料；</w:t>
      </w:r>
      <w:r/>
    </w:p>
    <w:p>
      <w:pPr>
        <w:ind w:firstLine="480"/>
        <w:spacing w:line="360" w:lineRule="auto"/>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（3）依法缴纳社会保障资金的证明材料；</w:t>
      </w:r>
      <w:r/>
    </w:p>
    <w:p>
      <w:pPr>
        <w:ind w:firstLine="480"/>
        <w:spacing w:line="360" w:lineRule="auto"/>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（4）具备履行政府采购合同所必需的设备和专业技术能力的证明材料；</w:t>
      </w:r>
      <w:r/>
    </w:p>
    <w:p>
      <w:pPr>
        <w:ind w:firstLine="480"/>
        <w:spacing w:line="360" w:lineRule="auto"/>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（5）参加政府采购活动前三年内在经营活动中没有重大违法记录的证明材料；</w:t>
      </w:r>
      <w:r/>
    </w:p>
    <w:p>
      <w:pPr>
        <w:ind w:firstLine="480"/>
        <w:spacing w:line="360" w:lineRule="auto"/>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（6）未被列入失信被执行人、重大税收违法失信主体、政府采购严重违法失信行为记录名单的证明材料。</w:t>
      </w:r>
      <w:r/>
    </w:p>
    <w:p>
      <w:pPr>
        <w:ind w:firstLine="480"/>
        <w:spacing w:line="360" w:lineRule="auto"/>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2"/>
        <w:spacing w:line="360" w:lineRule="auto"/>
        <w:widowControl/>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供应商涉及以下情形的，不适用信用承诺： </w:t>
      </w:r>
      <w:r/>
    </w:p>
    <w:p>
      <w:pPr>
        <w:ind w:firstLine="482"/>
        <w:spacing w:line="360" w:lineRule="auto"/>
        <w:widowControl/>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（1）供应商被列入严重失信主体名单； </w:t>
      </w:r>
      <w:r/>
    </w:p>
    <w:p>
      <w:pPr>
        <w:ind w:firstLine="482"/>
        <w:spacing w:line="360" w:lineRule="auto"/>
        <w:widowControl/>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（2）被相关监管部门作出行政处罚且尚在处罚有效期内； </w:t>
      </w:r>
      <w:r/>
    </w:p>
    <w:p>
      <w:pPr>
        <w:ind w:firstLine="482"/>
        <w:spacing w:line="360" w:lineRule="auto"/>
        <w:widowControl/>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（3）其他法律、行政法规规定的不适用信用承诺的情形。 </w:t>
      </w:r>
      <w:r/>
    </w:p>
    <w:p>
      <w:pPr>
        <w:ind w:firstLine="482"/>
        <w:spacing w:line="360" w:lineRule="auto"/>
        <w:widowControl/>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供应商对信用承诺内容的真实性、合法性、有效性负责。如作出虚假信用承诺，视同为“提供虚假材料谋取中标、成交”的违法行为。</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6.6采购项目需要落实的政府采购政策</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（1）政府采购促进中小企业发展</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（2）政府采购支持监狱企业发展</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（3）政府采购促进残疾人就业</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（4）政府采购鼓励采购节能环保产品</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（5）信息安全产品政策</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（6）进口产品政策</w:t>
      </w:r>
      <w:r/>
    </w:p>
    <w:p>
      <w:pPr>
        <w:ind w:firstLine="514"/>
        <w:spacing w:line="360" w:lineRule="auto"/>
        <w:widowControl/>
        <w:rPr>
          <w:rFonts w:hint="eastAsia" w:ascii="仿宋" w:hAnsi="仿宋" w:eastAsia="仿宋" w:cs="仿宋"/>
          <w:b/>
          <w:spacing w:val="8"/>
          <w:sz w:val="24"/>
          <w:highlight w:val="none"/>
        </w:rPr>
      </w:pPr>
      <w:r>
        <w:rPr>
          <w:rFonts w:hint="eastAsia" w:ascii="仿宋" w:hAnsi="仿宋" w:eastAsia="仿宋" w:cs="仿宋"/>
          <w:b/>
          <w:spacing w:val="8"/>
          <w:sz w:val="24"/>
          <w:highlight w:val="none"/>
        </w:rPr>
        <w:t xml:space="preserve">七、对本次招标提出询问，请按以下方式联系</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7.1采购人信息</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名称：中国共产党南京市雨花台区委员会党校</w:t>
      </w:r>
      <w:r/>
    </w:p>
    <w:p>
      <w:pPr>
        <w:ind w:firstLine="480"/>
        <w:spacing w:line="360" w:lineRule="auto"/>
        <w:widowControl/>
        <w:rPr>
          <w:rFonts w:hint="eastAsia" w:ascii="仿宋" w:hAnsi="仿宋" w:eastAsia="仿宋" w:cs="仿宋"/>
          <w:spacing w:val="-2"/>
          <w:sz w:val="24"/>
          <w:highlight w:val="none"/>
        </w:rPr>
      </w:pPr>
      <w:r>
        <w:rPr>
          <w:rFonts w:hint="eastAsia" w:ascii="仿宋" w:hAnsi="仿宋" w:eastAsia="仿宋" w:cs="仿宋"/>
          <w:bCs/>
          <w:sz w:val="24"/>
          <w:highlight w:val="none"/>
        </w:rPr>
        <w:t xml:space="preserve">地址：</w:t>
      </w:r>
      <w:r>
        <w:rPr>
          <w:rFonts w:hint="eastAsia" w:ascii="仿宋" w:hAnsi="仿宋" w:eastAsia="仿宋" w:cs="仿宋"/>
          <w:spacing w:val="-2"/>
          <w:sz w:val="24"/>
          <w:highlight w:val="none"/>
        </w:rPr>
        <w:t xml:space="preserve">南京市雨花台区观山路22号 </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联系人：/</w:t>
      </w:r>
      <w:r/>
    </w:p>
    <w:p>
      <w:pPr>
        <w:ind w:firstLine="480"/>
        <w:spacing w:line="360" w:lineRule="auto"/>
        <w:widowControl/>
        <w:rPr>
          <w:rFonts w:hint="eastAsia" w:ascii="仿宋" w:hAnsi="仿宋" w:eastAsia="仿宋" w:cs="仿宋"/>
          <w:sz w:val="24"/>
          <w:highlight w:val="none"/>
        </w:rPr>
      </w:pPr>
      <w:r>
        <w:rPr>
          <w:rFonts w:hint="eastAsia" w:ascii="仿宋" w:hAnsi="仿宋" w:eastAsia="仿宋" w:cs="仿宋"/>
          <w:bCs/>
          <w:sz w:val="24"/>
          <w:highlight w:val="none"/>
        </w:rPr>
        <w:t xml:space="preserve">联系电话：</w:t>
      </w:r>
      <w:r>
        <w:rPr>
          <w:rFonts w:hint="eastAsia" w:ascii="仿宋" w:hAnsi="仿宋" w:eastAsia="仿宋" w:cs="仿宋"/>
          <w:sz w:val="24"/>
          <w:highlight w:val="none"/>
        </w:rPr>
        <w:t xml:space="preserve">/</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7.2采购代理机构信息</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名称：源成工程咨询（江苏南京）有限责任公司</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地址：南京市雨花台区花神大道23号1号楼西4F408室</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联系人：张工</w:t>
      </w:r>
      <w:r/>
    </w:p>
    <w:p>
      <w:pPr>
        <w:ind w:firstLine="480"/>
        <w:spacing w:line="360" w:lineRule="auto"/>
        <w:widowControl/>
        <w:rPr>
          <w:rFonts w:hint="eastAsia" w:ascii="仿宋" w:hAnsi="仿宋" w:eastAsia="仿宋" w:cs="仿宋"/>
          <w:highlight w:val="none"/>
        </w:rPr>
      </w:pPr>
      <w:r>
        <w:rPr>
          <w:rFonts w:hint="eastAsia" w:ascii="仿宋" w:hAnsi="仿宋" w:eastAsia="仿宋" w:cs="仿宋"/>
          <w:bCs/>
          <w:sz w:val="24"/>
          <w:highlight w:val="none"/>
        </w:rPr>
        <w:t xml:space="preserve">联系方式：025-86803150</w:t>
      </w:r>
      <w:r>
        <w:rPr>
          <w:rFonts w:hint="eastAsia" w:ascii="仿宋" w:hAnsi="仿宋" w:eastAsia="仿宋" w:cs="仿宋"/>
          <w:highlight w:val="none"/>
        </w:rPr>
        <w:br w:type="page" w:clear="all"/>
      </w:r>
      <w:r/>
    </w:p>
    <w:p>
      <w:pPr>
        <w:pStyle w:val="826"/>
        <w:numPr>
          <w:ilvl w:val="0"/>
          <w:numId w:val="0"/>
        </w:numPr>
        <w:spacing w:line="360" w:lineRule="auto"/>
        <w:rPr>
          <w:rFonts w:hint="eastAsia" w:ascii="仿宋" w:hAnsi="仿宋" w:eastAsia="仿宋" w:cs="仿宋"/>
          <w:highlight w:val="none"/>
        </w:rPr>
      </w:pPr>
      <w:r/>
      <w:bookmarkStart w:id="8" w:name="_Toc452625218"/>
      <w:r/>
      <w:bookmarkStart w:id="9" w:name="_Toc20990"/>
      <w:r/>
      <w:bookmarkStart w:id="10" w:name="_Toc19343"/>
      <w:r>
        <w:rPr>
          <w:rFonts w:hint="eastAsia" w:ascii="仿宋" w:hAnsi="仿宋" w:eastAsia="仿宋" w:cs="仿宋"/>
          <w:highlight w:val="none"/>
        </w:rPr>
        <w:t xml:space="preserve">第二章投标人须知</w:t>
      </w:r>
      <w:bookmarkEnd w:id="8"/>
      <w:r/>
      <w:bookmarkEnd w:id="9"/>
      <w:r/>
      <w:bookmarkEnd w:id="10"/>
      <w:r/>
      <w:r/>
    </w:p>
    <w:p>
      <w:pPr>
        <w:ind w:firstLine="482"/>
        <w:spacing w:line="360" w:lineRule="auto"/>
        <w:shd w:val="clear" w:color="auto" w:fill="ffffff"/>
        <w:widowControl/>
        <w:rPr>
          <w:rFonts w:hint="eastAsia" w:ascii="仿宋" w:hAnsi="仿宋" w:eastAsia="仿宋" w:cs="仿宋"/>
          <w:sz w:val="24"/>
          <w:highlight w:val="none"/>
        </w:rPr>
        <w:outlineLvl w:val="1"/>
      </w:pPr>
      <w:r/>
      <w:bookmarkStart w:id="11" w:name="_Toc27417"/>
      <w:r/>
      <w:bookmarkStart w:id="12" w:name="_Toc31978"/>
      <w:r/>
      <w:bookmarkStart w:id="13" w:name="_Toc20406"/>
      <w:r/>
      <w:bookmarkStart w:id="14" w:name="_Toc28809"/>
      <w:r>
        <w:rPr>
          <w:rFonts w:hint="eastAsia" w:ascii="仿宋" w:hAnsi="仿宋" w:eastAsia="仿宋" w:cs="仿宋"/>
          <w:b/>
          <w:bCs/>
          <w:sz w:val="24"/>
          <w:highlight w:val="none"/>
        </w:rPr>
        <w:t xml:space="preserve">一、总 则</w:t>
      </w:r>
      <w:bookmarkEnd w:id="11"/>
      <w:r/>
      <w:bookmarkEnd w:id="12"/>
      <w:r/>
      <w:bookmarkEnd w:id="13"/>
      <w:r/>
      <w:bookmarkEnd w:id="14"/>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15" w:name="_Toc15240"/>
      <w:r/>
      <w:bookmarkStart w:id="16" w:name="_Toc18396"/>
      <w:r/>
      <w:bookmarkStart w:id="17" w:name="_Toc14974"/>
      <w:r/>
      <w:bookmarkStart w:id="18" w:name="_Toc11829"/>
      <w:r>
        <w:rPr>
          <w:rFonts w:hint="eastAsia" w:ascii="仿宋" w:hAnsi="仿宋" w:eastAsia="仿宋" w:cs="仿宋"/>
          <w:b/>
          <w:bCs/>
          <w:sz w:val="24"/>
          <w:highlight w:val="none"/>
        </w:rPr>
        <w:t xml:space="preserve">1、适用法律</w:t>
      </w:r>
      <w:bookmarkEnd w:id="15"/>
      <w:r/>
      <w:bookmarkEnd w:id="16"/>
      <w:r/>
      <w:bookmarkEnd w:id="17"/>
      <w:r/>
      <w:bookmarkEnd w:id="18"/>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19" w:name="_Toc10278"/>
      <w:r/>
      <w:bookmarkStart w:id="20" w:name="_Toc9954"/>
      <w:r/>
      <w:bookmarkStart w:id="21" w:name="_Toc30618"/>
      <w:r/>
      <w:bookmarkStart w:id="22" w:name="_Toc24623"/>
      <w:r>
        <w:rPr>
          <w:rFonts w:hint="eastAsia" w:ascii="仿宋" w:hAnsi="仿宋" w:eastAsia="仿宋" w:cs="仿宋"/>
          <w:b/>
          <w:bCs/>
          <w:sz w:val="24"/>
          <w:highlight w:val="none"/>
        </w:rPr>
        <w:t xml:space="preserve">2、定义</w:t>
      </w:r>
      <w:bookmarkEnd w:id="19"/>
      <w:r/>
      <w:bookmarkEnd w:id="20"/>
      <w:r/>
      <w:bookmarkEnd w:id="21"/>
      <w:r/>
      <w:bookmarkEnd w:id="22"/>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2.1“采购人”是指依法进行政府采购的国家机关、事业单位、团体组织。</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2.2“投标人（供应商）”是指参加投标竞争，并符合招标文件规定资格条件的法人、其他组织或者自然人。</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2.3“采购代理机构”是指集中采购机构和集中采购机构以外的采购代理机构，集中采购机构以外的采购代理机构，是从事采购代理业务的社会中介机构。</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2.4“货物和服务”指本招标文件中所述</w:t>
      </w:r>
      <w:r>
        <w:rPr>
          <w:rFonts w:hint="eastAsia" w:ascii="仿宋" w:hAnsi="仿宋" w:eastAsia="仿宋" w:cs="仿宋"/>
          <w:bCs/>
          <w:sz w:val="24"/>
          <w:highlight w:val="none"/>
        </w:rPr>
        <w:t xml:space="preserve">产品</w:t>
      </w:r>
      <w:r>
        <w:rPr>
          <w:rFonts w:hint="eastAsia" w:ascii="仿宋" w:hAnsi="仿宋" w:eastAsia="仿宋" w:cs="仿宋"/>
          <w:sz w:val="24"/>
          <w:highlight w:val="none"/>
        </w:rPr>
        <w:t xml:space="preserve">及相关服务。</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2.5“用户或使用单位”是指使用货物，接受服务的单位。</w:t>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23" w:name="_Toc10385"/>
      <w:r/>
      <w:bookmarkStart w:id="24" w:name="_Toc30814"/>
      <w:r/>
      <w:bookmarkStart w:id="25" w:name="_Toc22315"/>
      <w:r/>
      <w:bookmarkStart w:id="26" w:name="_Toc24158"/>
      <w:r>
        <w:rPr>
          <w:rFonts w:hint="eastAsia" w:ascii="仿宋" w:hAnsi="仿宋" w:eastAsia="仿宋" w:cs="仿宋"/>
          <w:b/>
          <w:bCs/>
          <w:sz w:val="24"/>
          <w:highlight w:val="none"/>
        </w:rPr>
        <w:t xml:space="preserve">3、政策功能</w:t>
      </w:r>
      <w:bookmarkEnd w:id="23"/>
      <w:r/>
      <w:bookmarkEnd w:id="24"/>
      <w:r/>
      <w:bookmarkEnd w:id="25"/>
      <w:r/>
      <w:bookmarkEnd w:id="26"/>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3.6进口产品政策</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（2）允许进口产品参加的，满足需求的国内产品可以参加。</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（3）允许进口产品参加的，优先采购向我国企业转让技术、与我国企业签订消化吸收再创新方案的投标人的进口产品。</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3.7未按要求提供相关材料的，不享受相关政策。</w:t>
      </w:r>
      <w:r/>
    </w:p>
    <w:p>
      <w:pPr>
        <w:ind w:firstLine="482"/>
        <w:spacing w:line="360" w:lineRule="auto"/>
        <w:shd w:val="clear" w:color="auto" w:fill="ffffff"/>
        <w:widowControl/>
        <w:rPr>
          <w:rFonts w:hint="eastAsia" w:ascii="仿宋" w:hAnsi="仿宋" w:eastAsia="仿宋" w:cs="仿宋"/>
          <w:sz w:val="24"/>
          <w:highlight w:val="none"/>
        </w:rPr>
        <w:outlineLvl w:val="1"/>
      </w:pPr>
      <w:r/>
      <w:bookmarkStart w:id="27" w:name="_Toc26222"/>
      <w:r/>
      <w:bookmarkStart w:id="28" w:name="_Toc2868"/>
      <w:r/>
      <w:bookmarkStart w:id="29" w:name="_Toc4724"/>
      <w:r/>
      <w:bookmarkStart w:id="30" w:name="_Toc19580"/>
      <w:r>
        <w:rPr>
          <w:rFonts w:hint="eastAsia" w:ascii="仿宋" w:hAnsi="仿宋" w:eastAsia="仿宋" w:cs="仿宋"/>
          <w:b/>
          <w:bCs/>
          <w:sz w:val="24"/>
          <w:highlight w:val="none"/>
        </w:rPr>
        <w:t xml:space="preserve">二、招标文件构成</w:t>
      </w:r>
      <w:bookmarkEnd w:id="27"/>
      <w:r/>
      <w:bookmarkEnd w:id="28"/>
      <w:r/>
      <w:bookmarkEnd w:id="29"/>
      <w:r/>
      <w:bookmarkEnd w:id="30"/>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31" w:name="_Toc8300"/>
      <w:r/>
      <w:bookmarkStart w:id="32" w:name="_Toc30101"/>
      <w:r/>
      <w:bookmarkStart w:id="33" w:name="_Toc21181"/>
      <w:r/>
      <w:bookmarkStart w:id="34" w:name="_Toc25811"/>
      <w:r>
        <w:rPr>
          <w:rFonts w:hint="eastAsia" w:ascii="仿宋" w:hAnsi="仿宋" w:eastAsia="仿宋" w:cs="仿宋"/>
          <w:b/>
          <w:bCs/>
          <w:sz w:val="24"/>
          <w:highlight w:val="none"/>
        </w:rPr>
        <w:t xml:space="preserve">4、招标文件组成</w:t>
      </w:r>
      <w:bookmarkEnd w:id="31"/>
      <w:r/>
      <w:bookmarkEnd w:id="32"/>
      <w:r/>
      <w:bookmarkEnd w:id="33"/>
      <w:r/>
      <w:bookmarkEnd w:id="34"/>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4.1招标文件包括以下主要内容：</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（1）招标公告；</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（2）投标人须知；</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（3）评标标准；</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（4）采购需求；</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（5）合同主要条款及格式；</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（6）投标文件格式及附件。</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如标书制作工具中格式和内容与“南京公共采购信息网/江苏政府采购网”发布的招标文件不一致的，以上述网站发布的招标文件为准。</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4.2 招标的最小单位是包。招标货物数量及技术要求中未分包的，投标人对要求提供的货物和服务不得部分投标；招标货物数量及技术要求中已经分包的，可以以包为单位投标。</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4.3 采购代理机构如果要求投标人按照招标文件规定提交备选投标方案的，投标人可以提交备选方案；否则，备选方案将被拒绝。</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4.4招标文件中要求的产品品牌或型号，是采购人根据项目所要实现的功能推荐的品牌或型号，仅供投标人参考，并不是限制条件。</w:t>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35" w:name="_Toc1163"/>
      <w:r/>
      <w:bookmarkStart w:id="36" w:name="_Toc21990"/>
      <w:r/>
      <w:bookmarkStart w:id="37" w:name="_Toc3277"/>
      <w:r/>
      <w:bookmarkStart w:id="38" w:name="_Toc6627"/>
      <w:r>
        <w:rPr>
          <w:rFonts w:hint="eastAsia" w:ascii="仿宋" w:hAnsi="仿宋" w:eastAsia="仿宋" w:cs="仿宋"/>
          <w:b/>
          <w:bCs/>
          <w:sz w:val="24"/>
          <w:highlight w:val="none"/>
        </w:rPr>
        <w:t xml:space="preserve">5、招标文件的澄清或者修改</w:t>
      </w:r>
      <w:bookmarkEnd w:id="35"/>
      <w:r/>
      <w:bookmarkEnd w:id="36"/>
      <w:r/>
      <w:bookmarkEnd w:id="37"/>
      <w:r/>
      <w:bookmarkEnd w:id="38"/>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82"/>
        <w:spacing w:line="360" w:lineRule="auto"/>
        <w:shd w:val="clear" w:color="auto" w:fill="ffffff"/>
        <w:widowControl/>
        <w:rPr>
          <w:rFonts w:hint="eastAsia" w:ascii="仿宋" w:hAnsi="仿宋" w:eastAsia="仿宋" w:cs="仿宋"/>
          <w:sz w:val="24"/>
          <w:highlight w:val="none"/>
        </w:rPr>
        <w:outlineLvl w:val="1"/>
      </w:pPr>
      <w:r/>
      <w:bookmarkStart w:id="39" w:name="_Toc2329"/>
      <w:r/>
      <w:bookmarkStart w:id="40" w:name="_Toc22845"/>
      <w:r/>
      <w:bookmarkStart w:id="41" w:name="_Toc20766"/>
      <w:r/>
      <w:bookmarkStart w:id="42" w:name="_Toc28119"/>
      <w:r>
        <w:rPr>
          <w:rFonts w:hint="eastAsia" w:ascii="仿宋" w:hAnsi="仿宋" w:eastAsia="仿宋" w:cs="仿宋"/>
          <w:b/>
          <w:bCs/>
          <w:sz w:val="24"/>
          <w:highlight w:val="none"/>
        </w:rPr>
        <w:t xml:space="preserve">三、投标文件的编制</w:t>
      </w:r>
      <w:bookmarkEnd w:id="39"/>
      <w:r/>
      <w:bookmarkEnd w:id="40"/>
      <w:r/>
      <w:bookmarkEnd w:id="41"/>
      <w:r/>
      <w:bookmarkEnd w:id="42"/>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43" w:name="_Toc15908"/>
      <w:r/>
      <w:bookmarkStart w:id="44" w:name="_Toc22583"/>
      <w:r/>
      <w:bookmarkStart w:id="45" w:name="_Toc29450"/>
      <w:r/>
      <w:bookmarkStart w:id="46" w:name="_Toc22360"/>
      <w:r>
        <w:rPr>
          <w:rFonts w:hint="eastAsia" w:ascii="仿宋" w:hAnsi="仿宋" w:eastAsia="仿宋" w:cs="仿宋"/>
          <w:b/>
          <w:bCs/>
          <w:sz w:val="24"/>
          <w:highlight w:val="none"/>
        </w:rPr>
        <w:t xml:space="preserve">6、投标文件的语言、计量单位、货币和编制</w:t>
      </w:r>
      <w:bookmarkEnd w:id="43"/>
      <w:r/>
      <w:bookmarkEnd w:id="44"/>
      <w:r/>
      <w:bookmarkEnd w:id="45"/>
      <w:r/>
      <w:bookmarkEnd w:id="46"/>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6.2投标人所使用的计量单位应为国家法定计量单位。</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6.3投标人应用人民币报价。投标产品如果是进口产品的，应提供人民币与</w:t>
      </w:r>
      <w:r>
        <w:rPr>
          <w:rFonts w:hint="eastAsia" w:ascii="仿宋" w:hAnsi="仿宋" w:eastAsia="仿宋" w:cs="仿宋"/>
          <w:b/>
          <w:bCs/>
          <w:sz w:val="24"/>
          <w:highlight w:val="none"/>
        </w:rPr>
        <w:t xml:space="preserve">外币之间的汇率。</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6.4投标文件应按照招标文件的规定编写并制作目录。</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6.5投标人应在投标文件中写清相应的项目编号、项目名称、投标人全称、地址、电话、传真等。</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Cs/>
          <w:sz w:val="24"/>
          <w:highlight w:val="none"/>
        </w:rPr>
        <w:t xml:space="preserve">6.6</w:t>
      </w:r>
      <w:r>
        <w:rPr>
          <w:rFonts w:hint="eastAsia" w:ascii="仿宋" w:hAnsi="仿宋" w:eastAsia="仿宋" w:cs="仿宋"/>
          <w:sz w:val="24"/>
          <w:highlight w:val="none"/>
        </w:rPr>
        <w:t xml:space="preserve">投标人根据招标文件载明的标的采购项目实际情况，拟在中标后将中标项目的非主体、非关键性工作交由他人完成的，应当在投标文件中载明。</w:t>
      </w:r>
      <w:r/>
    </w:p>
    <w:p>
      <w:pPr>
        <w:numPr>
          <w:ilvl w:val="0"/>
          <w:numId w:val="3"/>
        </w:numPr>
        <w:ind w:firstLine="482"/>
        <w:spacing w:line="360" w:lineRule="auto"/>
        <w:shd w:val="clear" w:color="auto" w:fill="ffffff"/>
        <w:widowControl/>
        <w:rPr>
          <w:rFonts w:hint="eastAsia" w:ascii="仿宋" w:hAnsi="仿宋" w:eastAsia="仿宋" w:cs="仿宋"/>
          <w:b/>
          <w:bCs/>
          <w:sz w:val="24"/>
          <w:highlight w:val="none"/>
        </w:rPr>
        <w:outlineLvl w:val="2"/>
      </w:pPr>
      <w:r/>
      <w:bookmarkStart w:id="47" w:name="_Toc26475"/>
      <w:r/>
      <w:bookmarkStart w:id="48" w:name="_Toc29691"/>
      <w:r/>
      <w:bookmarkStart w:id="49" w:name="_Toc2836"/>
      <w:r/>
      <w:bookmarkStart w:id="50" w:name="_Toc27292"/>
      <w:r>
        <w:rPr>
          <w:rFonts w:hint="eastAsia" w:ascii="仿宋" w:hAnsi="仿宋" w:eastAsia="仿宋" w:cs="仿宋"/>
          <w:b/>
          <w:bCs/>
          <w:sz w:val="24"/>
          <w:highlight w:val="none"/>
        </w:rPr>
        <w:t xml:space="preserve">联合体投标（本项目不接受）</w:t>
      </w:r>
      <w:bookmarkEnd w:id="47"/>
      <w:r/>
      <w:bookmarkEnd w:id="48"/>
      <w:r/>
      <w:bookmarkEnd w:id="49"/>
      <w:r/>
      <w:bookmarkEnd w:id="50"/>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7.1 两个以上的自然人、法人或者其他组织可以组成一个联合体，以一个投标人的身份共同参加政府采购。</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7.2 联合体中有同类资质的投标人按照联合体分工承担相同工作的，按照资质等级较低的投标人确定资质等级。</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7.3 联合体各方之间应当签订联合体协议，明确约定联合体各方承担的工作和相应的责任，并将联合体协议连同投标文件一同提交。</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7.4 以联合体形式参加政府采购活动的，联合体各方不得再单独参加或者与其他投标人另外组成联合体参加同一合同项下的政府采购活动。</w:t>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51" w:name="_Toc24583"/>
      <w:r/>
      <w:bookmarkStart w:id="52" w:name="_Toc32276"/>
      <w:r/>
      <w:bookmarkStart w:id="53" w:name="_Toc6981"/>
      <w:r/>
      <w:bookmarkStart w:id="54" w:name="_Toc20264"/>
      <w:r>
        <w:rPr>
          <w:rFonts w:hint="eastAsia" w:ascii="仿宋" w:hAnsi="仿宋" w:eastAsia="仿宋" w:cs="仿宋"/>
          <w:b/>
          <w:bCs/>
          <w:sz w:val="24"/>
          <w:highlight w:val="none"/>
        </w:rPr>
        <w:t xml:space="preserve">8、投标文件的组成</w:t>
      </w:r>
      <w:bookmarkEnd w:id="51"/>
      <w:r/>
      <w:bookmarkEnd w:id="52"/>
      <w:r/>
      <w:bookmarkEnd w:id="53"/>
      <w:r/>
      <w:bookmarkEnd w:id="54"/>
      <w:r/>
      <w:r/>
    </w:p>
    <w:p>
      <w:pPr>
        <w:ind w:firstLine="480"/>
        <w:jc w:val="left"/>
        <w:spacing w:line="360" w:lineRule="auto"/>
        <w:shd w:val="clear" w:color="auto" w:fill="ffffff"/>
        <w:widowControl/>
        <w:rPr>
          <w:rFonts w:hint="eastAsia" w:ascii="仿宋" w:hAnsi="仿宋" w:eastAsia="仿宋" w:cs="仿宋"/>
          <w:b/>
          <w:sz w:val="24"/>
          <w:highlight w:val="none"/>
        </w:rPr>
      </w:pPr>
      <w:r>
        <w:rPr>
          <w:rFonts w:hint="eastAsia" w:ascii="仿宋" w:hAnsi="仿宋" w:eastAsia="仿宋" w:cs="仿宋"/>
          <w:sz w:val="24"/>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仿宋" w:hAnsi="仿宋" w:eastAsia="仿宋" w:cs="仿宋"/>
          <w:b/>
          <w:sz w:val="24"/>
          <w:highlight w:val="none"/>
        </w:rPr>
        <w:t xml:space="preserve">对带</w:t>
      </w:r>
      <w:r>
        <w:rPr>
          <w:rFonts w:hint="eastAsia" w:ascii="仿宋" w:hAnsi="仿宋" w:eastAsia="仿宋" w:cs="仿宋"/>
          <w:b/>
          <w:bCs/>
          <w:sz w:val="24"/>
          <w:highlight w:val="none"/>
        </w:rPr>
        <w:t xml:space="preserve">星号（“</w:t>
      </w:r>
      <w:r>
        <w:rPr>
          <w:rFonts w:hint="eastAsia" w:ascii="仿宋" w:hAnsi="仿宋" w:eastAsia="仿宋" w:cs="仿宋"/>
          <w:spacing w:val="-2"/>
          <w:sz w:val="24"/>
          <w:highlight w:val="none"/>
        </w:rPr>
        <w:t xml:space="preserve">★</w:t>
      </w:r>
      <w:r>
        <w:rPr>
          <w:rFonts w:hint="eastAsia" w:ascii="仿宋" w:hAnsi="仿宋" w:eastAsia="仿宋" w:cs="仿宋"/>
          <w:b/>
          <w:bCs/>
          <w:sz w:val="24"/>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8.2 投标文件由商务、技术、价格以及其他部分内容组成。投标文件目录及有关格式按招标文件“第六章 投标文件格式及附件”的要求编制。</w:t>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55" w:name="_Toc5675"/>
      <w:r/>
      <w:bookmarkStart w:id="56" w:name="_Toc4090"/>
      <w:r/>
      <w:bookmarkStart w:id="57" w:name="_Toc15723"/>
      <w:r/>
      <w:bookmarkStart w:id="58" w:name="_Toc10153"/>
      <w:r>
        <w:rPr>
          <w:rFonts w:hint="eastAsia" w:ascii="仿宋" w:hAnsi="仿宋" w:eastAsia="仿宋" w:cs="仿宋"/>
          <w:b/>
          <w:bCs/>
          <w:sz w:val="24"/>
          <w:highlight w:val="none"/>
        </w:rPr>
        <w:t xml:space="preserve">9、投标文件的商务内容</w:t>
      </w:r>
      <w:bookmarkEnd w:id="55"/>
      <w:r/>
      <w:bookmarkEnd w:id="56"/>
      <w:r/>
      <w:bookmarkEnd w:id="57"/>
      <w:r/>
      <w:bookmarkEnd w:id="58"/>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9.1商务部分内容是证明投标人有资格参加投标和中标后有能力履行合同的文件，这些文件应能满足招标的要求，包括但不限于下列文件（</w:t>
      </w:r>
      <w:r>
        <w:rPr>
          <w:rFonts w:hint="eastAsia" w:ascii="仿宋" w:hAnsi="仿宋" w:eastAsia="仿宋" w:cs="仿宋"/>
          <w:b/>
          <w:sz w:val="24"/>
          <w:highlight w:val="none"/>
        </w:rPr>
        <w:t xml:space="preserve">（1）-（5）所述材料不得有缺失或提供不全或不满足招标文件的实质性要求</w:t>
      </w:r>
      <w:r>
        <w:rPr>
          <w:rFonts w:hint="eastAsia" w:ascii="仿宋" w:hAnsi="仿宋" w:eastAsia="仿宋" w:cs="仿宋"/>
          <w:sz w:val="24"/>
          <w:highlight w:val="none"/>
        </w:rPr>
        <w:t xml:space="preserve">）：</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（1）投标申请及声明</w:t>
      </w:r>
      <w:r>
        <w:rPr>
          <w:rFonts w:hint="eastAsia" w:ascii="仿宋" w:hAnsi="仿宋" w:eastAsia="仿宋" w:cs="仿宋"/>
          <w:bCs/>
          <w:sz w:val="24"/>
          <w:highlight w:val="none"/>
        </w:rPr>
        <w:t xml:space="preserve">（</w:t>
      </w:r>
      <w:r>
        <w:rPr>
          <w:rFonts w:hint="eastAsia" w:ascii="仿宋" w:hAnsi="仿宋" w:eastAsia="仿宋" w:cs="仿宋"/>
          <w:b/>
          <w:bCs/>
          <w:sz w:val="24"/>
          <w:highlight w:val="none"/>
        </w:rPr>
        <w:t xml:space="preserve">格式见第六章</w:t>
      </w:r>
      <w:r>
        <w:rPr>
          <w:rFonts w:hint="eastAsia" w:ascii="仿宋" w:hAnsi="仿宋" w:eastAsia="仿宋" w:cs="仿宋"/>
          <w:bCs/>
          <w:sz w:val="24"/>
          <w:highlight w:val="none"/>
        </w:rPr>
        <w:t xml:space="preserve">）</w:t>
      </w:r>
      <w:r>
        <w:rPr>
          <w:rFonts w:hint="eastAsia" w:ascii="仿宋" w:hAnsi="仿宋" w:eastAsia="仿宋" w:cs="仿宋"/>
          <w:sz w:val="24"/>
          <w:highlight w:val="none"/>
        </w:rPr>
        <w:t xml:space="preserve">；</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（2）法定代表人身份证明或法人授权书</w:t>
      </w:r>
      <w:r>
        <w:rPr>
          <w:rFonts w:hint="eastAsia" w:ascii="仿宋" w:hAnsi="仿宋" w:eastAsia="仿宋" w:cs="仿宋"/>
          <w:bCs/>
          <w:sz w:val="24"/>
          <w:highlight w:val="none"/>
        </w:rPr>
        <w:t xml:space="preserve">（</w:t>
      </w:r>
      <w:r>
        <w:rPr>
          <w:rFonts w:hint="eastAsia" w:ascii="仿宋" w:hAnsi="仿宋" w:eastAsia="仿宋" w:cs="仿宋"/>
          <w:b/>
          <w:bCs/>
          <w:sz w:val="24"/>
          <w:highlight w:val="none"/>
        </w:rPr>
        <w:t xml:space="preserve">格式见第六章</w:t>
      </w:r>
      <w:r>
        <w:rPr>
          <w:rFonts w:hint="eastAsia" w:ascii="仿宋" w:hAnsi="仿宋" w:eastAsia="仿宋" w:cs="仿宋"/>
          <w:bCs/>
          <w:sz w:val="24"/>
          <w:highlight w:val="none"/>
        </w:rPr>
        <w:t xml:space="preserve">）</w:t>
      </w:r>
      <w:r>
        <w:rPr>
          <w:rFonts w:hint="eastAsia" w:ascii="仿宋" w:hAnsi="仿宋" w:eastAsia="仿宋" w:cs="仿宋"/>
          <w:sz w:val="24"/>
          <w:highlight w:val="none"/>
        </w:rPr>
        <w:t xml:space="preserve">；</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（3）投标人资格资信证明文件：</w:t>
      </w:r>
      <w:r/>
    </w:p>
    <w:p>
      <w:pPr>
        <w:numPr>
          <w:ilvl w:val="1"/>
          <w:numId w:val="4"/>
        </w:numPr>
        <w:ind w:left="0" w:firstLine="480"/>
        <w:spacing w:line="360" w:lineRule="auto"/>
        <w:tabs>
          <w:tab w:val="left" w:pos="8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第一章招标公告中 2.1《中华人民共和国政府采购法》规定的资格条件证明文件（提供符合要求的</w:t>
      </w:r>
      <w:r>
        <w:rPr>
          <w:rFonts w:hint="eastAsia" w:ascii="仿宋" w:hAnsi="仿宋" w:eastAsia="仿宋" w:cs="仿宋"/>
          <w:sz w:val="24"/>
          <w:highlight w:val="none"/>
        </w:rPr>
        <w:t xml:space="preserve">《南京市政府采购供应商信用记录表暨信用承诺书</w:t>
      </w:r>
      <w:r>
        <w:rPr>
          <w:rFonts w:hint="eastAsia" w:ascii="仿宋" w:hAnsi="仿宋" w:eastAsia="仿宋" w:cs="仿宋"/>
          <w:bCs/>
          <w:sz w:val="24"/>
          <w:highlight w:val="none"/>
        </w:rPr>
        <w:t xml:space="preserve">》并法定代表人签字及加盖供投标人电子公章）；</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（4）分项报价表</w:t>
      </w:r>
      <w:r>
        <w:rPr>
          <w:rFonts w:hint="eastAsia" w:ascii="仿宋" w:hAnsi="仿宋" w:eastAsia="仿宋" w:cs="仿宋"/>
          <w:bCs/>
          <w:sz w:val="24"/>
          <w:highlight w:val="none"/>
        </w:rPr>
        <w:t xml:space="preserve">；</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（5）《南京市政府采购供应商信用记录表暨信用承诺书》</w:t>
      </w:r>
      <w:r>
        <w:rPr>
          <w:rFonts w:hint="eastAsia" w:ascii="仿宋" w:hAnsi="仿宋" w:eastAsia="仿宋" w:cs="仿宋"/>
          <w:b/>
          <w:sz w:val="24"/>
          <w:highlight w:val="none"/>
          <w:lang w:val="zh-CN"/>
        </w:rPr>
        <w:t xml:space="preserve">；</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（6）《商务条款偏离表》；</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（7）第三章评标标准中对应的所需证明材料（如有自行添加）；</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（8）要求采购人提供的配合（如有自拟并自行添加）；</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（9）其他（投标人认为有必要提供的声明和文件，如有，自行拟定并添加）。</w:t>
      </w:r>
      <w:r/>
    </w:p>
    <w:p>
      <w:pPr>
        <w:ind w:firstLine="482"/>
        <w:jc w:val="left"/>
        <w:spacing w:line="360" w:lineRule="auto"/>
        <w:shd w:val="clear" w:color="auto" w:fill="ffffff"/>
        <w:widowControl/>
        <w:rPr>
          <w:rFonts w:hint="eastAsia" w:ascii="仿宋" w:hAnsi="仿宋" w:eastAsia="仿宋" w:cs="仿宋"/>
          <w:sz w:val="24"/>
          <w:highlight w:val="none"/>
        </w:rPr>
        <w:outlineLvl w:val="2"/>
      </w:pPr>
      <w:r/>
      <w:bookmarkStart w:id="59" w:name="_Toc9639"/>
      <w:r/>
      <w:bookmarkStart w:id="60" w:name="_Toc26083"/>
      <w:r/>
      <w:bookmarkStart w:id="61" w:name="_Toc19837"/>
      <w:r/>
      <w:bookmarkStart w:id="62" w:name="_Toc26516"/>
      <w:r>
        <w:rPr>
          <w:rFonts w:hint="eastAsia" w:ascii="仿宋" w:hAnsi="仿宋" w:eastAsia="仿宋" w:cs="仿宋"/>
          <w:b/>
          <w:bCs/>
          <w:sz w:val="24"/>
          <w:highlight w:val="none"/>
        </w:rPr>
        <w:t xml:space="preserve">10、投标文件的技术内容</w:t>
      </w:r>
      <w:bookmarkEnd w:id="59"/>
      <w:r/>
      <w:bookmarkEnd w:id="60"/>
      <w:r/>
      <w:bookmarkEnd w:id="61"/>
      <w:r/>
      <w:bookmarkEnd w:id="62"/>
      <w:r/>
      <w:r/>
    </w:p>
    <w:p>
      <w:pPr>
        <w:ind w:firstLine="480"/>
        <w:jc w:val="left"/>
        <w:spacing w:line="360" w:lineRule="auto"/>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技术部分</w:t>
      </w:r>
      <w:r>
        <w:rPr>
          <w:rFonts w:hint="eastAsia" w:ascii="仿宋" w:hAnsi="仿宋" w:eastAsia="仿宋" w:cs="仿宋"/>
          <w:sz w:val="24"/>
          <w:highlight w:val="none"/>
        </w:rPr>
        <w:t xml:space="preserve">内容</w:t>
      </w:r>
      <w:r>
        <w:rPr>
          <w:rFonts w:hint="eastAsia" w:ascii="仿宋" w:hAnsi="仿宋" w:eastAsia="仿宋" w:cs="仿宋"/>
          <w:sz w:val="24"/>
          <w:highlight w:val="none"/>
          <w:lang w:val="zh-CN"/>
        </w:rPr>
        <w:t xml:space="preserve">是证明</w:t>
      </w:r>
      <w:r>
        <w:rPr>
          <w:rFonts w:hint="eastAsia" w:ascii="仿宋" w:hAnsi="仿宋" w:eastAsia="仿宋" w:cs="仿宋"/>
          <w:sz w:val="24"/>
          <w:highlight w:val="none"/>
        </w:rPr>
        <w:t xml:space="preserve">投标人提供的货物和服务是合格的、并符合招标文件要求的证明文件，以及</w:t>
      </w:r>
      <w:r>
        <w:rPr>
          <w:rFonts w:hint="eastAsia" w:ascii="仿宋" w:hAnsi="仿宋" w:eastAsia="仿宋" w:cs="仿宋"/>
          <w:sz w:val="24"/>
          <w:highlight w:val="none"/>
          <w:lang w:val="zh-CN"/>
        </w:rPr>
        <w:t xml:space="preserve">对货物和服务的详细说明，这些文件可以是文字资料、图纸、数据</w:t>
      </w:r>
      <w:r>
        <w:rPr>
          <w:rFonts w:hint="eastAsia" w:ascii="仿宋" w:hAnsi="仿宋" w:eastAsia="仿宋" w:cs="仿宋"/>
          <w:sz w:val="24"/>
          <w:highlight w:val="none"/>
        </w:rPr>
        <w:t xml:space="preserve">或其他证明文件</w:t>
      </w:r>
      <w:r>
        <w:rPr>
          <w:rFonts w:hint="eastAsia" w:ascii="仿宋" w:hAnsi="仿宋" w:eastAsia="仿宋" w:cs="仿宋"/>
          <w:sz w:val="24"/>
          <w:highlight w:val="none"/>
          <w:lang w:val="zh-CN"/>
        </w:rPr>
        <w:t xml:space="preserve">等。提供的货物和服务如与招标文件要求有不符之处，应说明其差别之所在。包括但不限于下列文件：</w:t>
      </w:r>
      <w:r/>
    </w:p>
    <w:p>
      <w:pPr>
        <w:ind w:firstLine="480"/>
        <w:jc w:val="left"/>
        <w:spacing w:line="360" w:lineRule="auto"/>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（1）技术说明或服务方案；</w:t>
      </w:r>
      <w:r/>
    </w:p>
    <w:p>
      <w:pPr>
        <w:ind w:firstLine="480"/>
        <w:jc w:val="left"/>
        <w:spacing w:line="360" w:lineRule="auto"/>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（2）《采购需求偏离表》；</w:t>
      </w:r>
      <w:r/>
    </w:p>
    <w:p>
      <w:pPr>
        <w:ind w:firstLine="480"/>
        <w:jc w:val="left"/>
        <w:spacing w:line="360" w:lineRule="auto"/>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（3）服务承诺；</w:t>
      </w:r>
      <w:r/>
    </w:p>
    <w:p>
      <w:pPr>
        <w:ind w:firstLine="480"/>
        <w:jc w:val="left"/>
        <w:spacing w:line="360" w:lineRule="auto"/>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（4）投标人拟投入本项目的设备、人员情况一览表；</w:t>
      </w:r>
      <w:r/>
    </w:p>
    <w:p>
      <w:pPr>
        <w:ind w:firstLine="480"/>
        <w:jc w:val="left"/>
        <w:spacing w:line="360" w:lineRule="auto"/>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（5）投标人认为需要提供的其他技术资料。</w:t>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63" w:name="_Toc8067"/>
      <w:r/>
      <w:bookmarkStart w:id="64" w:name="_Toc32231"/>
      <w:r/>
      <w:bookmarkStart w:id="65" w:name="_Toc7378"/>
      <w:r/>
      <w:bookmarkStart w:id="66" w:name="_Toc1117"/>
      <w:r>
        <w:rPr>
          <w:rFonts w:hint="eastAsia" w:ascii="仿宋" w:hAnsi="仿宋" w:eastAsia="仿宋" w:cs="仿宋"/>
          <w:b/>
          <w:bCs/>
          <w:sz w:val="24"/>
          <w:highlight w:val="none"/>
        </w:rPr>
        <w:t xml:space="preserve">11、投标文件的价格内容</w:t>
      </w:r>
      <w:bookmarkEnd w:id="63"/>
      <w:r/>
      <w:bookmarkEnd w:id="64"/>
      <w:r/>
      <w:bookmarkEnd w:id="65"/>
      <w:r/>
      <w:bookmarkEnd w:id="66"/>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11.1价格部分内容是对采购标的价格构成的说明，招标文件如无特别说明，每一项货物及服务仅接受一个价格。</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11.2报价应包含为履行本项目合同项下所有义务的全部含税费用（包括但不限于人员培训发生的所有含税费用、支付给员工的工资和国家强制缴纳的各种社会保障资金）</w:t>
      </w:r>
      <w:r>
        <w:rPr>
          <w:rFonts w:hint="eastAsia" w:ascii="仿宋" w:hAnsi="仿宋" w:eastAsia="仿宋" w:cs="仿宋"/>
          <w:sz w:val="24"/>
          <w:highlight w:val="none"/>
          <w:lang w:val="zh-CN"/>
        </w:rPr>
        <w:t xml:space="preserve">，</w:t>
      </w:r>
      <w:r>
        <w:rPr>
          <w:rFonts w:hint="eastAsia" w:ascii="仿宋" w:hAnsi="仿宋" w:eastAsia="仿宋" w:cs="仿宋"/>
          <w:bCs/>
          <w:sz w:val="24"/>
          <w:highlight w:val="none"/>
        </w:rPr>
        <w:t xml:space="preserve">以</w:t>
      </w:r>
      <w:r>
        <w:rPr>
          <w:rFonts w:hint="eastAsia" w:ascii="仿宋" w:hAnsi="仿宋" w:eastAsia="仿宋" w:cs="仿宋"/>
          <w:sz w:val="24"/>
          <w:highlight w:val="none"/>
        </w:rPr>
        <w:t xml:space="preserve">及投标人认为需要的其他费用等</w:t>
      </w:r>
      <w:r>
        <w:rPr>
          <w:rFonts w:hint="eastAsia" w:ascii="仿宋" w:hAnsi="仿宋" w:eastAsia="仿宋" w:cs="仿宋"/>
          <w:b/>
          <w:sz w:val="24"/>
          <w:highlight w:val="none"/>
        </w:rPr>
        <w:t xml:space="preserve">。</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11.3投标人的任何错漏、优惠、竞争性报价不得作为减轻责任、减少服务、增加收费、降低质量的理由。</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 w:hAnsi="仿宋" w:eastAsia="仿宋" w:cs="仿宋"/>
          <w:b/>
          <w:bCs/>
          <w:sz w:val="24"/>
          <w:highlight w:val="none"/>
        </w:rPr>
        <w:t xml:space="preserve">无效投标处理</w:t>
      </w:r>
      <w:r>
        <w:rPr>
          <w:rFonts w:hint="eastAsia" w:ascii="仿宋" w:hAnsi="仿宋" w:eastAsia="仿宋" w:cs="仿宋"/>
          <w:sz w:val="24"/>
          <w:highlight w:val="none"/>
        </w:rPr>
        <w:t xml:space="preserve">。</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11.5 投标人应在《开标一览表》《分项报价表》等标明投标货物和服务的单价、总价以及分项报价等。</w:t>
      </w:r>
      <w:r/>
    </w:p>
    <w:p>
      <w:pPr>
        <w:ind w:firstLine="480"/>
        <w:spacing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sz w:val="24"/>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82"/>
        <w:spacing w:line="360" w:lineRule="auto"/>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11.7本项目预算为：详见第一章</w:t>
      </w:r>
      <w:r>
        <w:rPr>
          <w:rFonts w:hint="eastAsia" w:ascii="仿宋" w:hAnsi="仿宋" w:eastAsia="仿宋" w:cs="仿宋"/>
          <w:bCs/>
          <w:sz w:val="24"/>
          <w:highlight w:val="none"/>
        </w:rPr>
        <w:t xml:space="preserve">。</w:t>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67" w:name="_Toc18341"/>
      <w:r/>
      <w:bookmarkStart w:id="68" w:name="_Toc5"/>
      <w:r/>
      <w:bookmarkStart w:id="69" w:name="_Toc1895"/>
      <w:r/>
      <w:bookmarkStart w:id="70" w:name="_Toc22428"/>
      <w:r>
        <w:rPr>
          <w:rFonts w:hint="eastAsia" w:ascii="仿宋" w:hAnsi="仿宋" w:eastAsia="仿宋" w:cs="仿宋"/>
          <w:b/>
          <w:bCs/>
          <w:sz w:val="24"/>
          <w:highlight w:val="none"/>
        </w:rPr>
        <w:t xml:space="preserve">12、投标文件的其他部分</w:t>
      </w:r>
      <w:bookmarkEnd w:id="67"/>
      <w:r/>
      <w:bookmarkEnd w:id="68"/>
      <w:r/>
      <w:bookmarkEnd w:id="69"/>
      <w:r/>
      <w:bookmarkEnd w:id="70"/>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12.1 其他部分由投标人根据编制投标文件需要提供的其他相关文件组成。</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12.2 </w:t>
      </w:r>
      <w:r>
        <w:rPr>
          <w:rFonts w:hint="eastAsia" w:ascii="仿宋" w:hAnsi="仿宋" w:eastAsia="仿宋" w:cs="仿宋"/>
          <w:sz w:val="24"/>
          <w:highlight w:val="none"/>
          <w:lang w:val="zh-CN"/>
        </w:rPr>
        <w:t xml:space="preserve">如标书制作工具中格式和内容与“南京公共采购信息网、江苏政府采购网”发布的</w:t>
      </w:r>
      <w:r>
        <w:rPr>
          <w:rFonts w:hint="eastAsia" w:ascii="仿宋" w:hAnsi="仿宋" w:eastAsia="仿宋" w:cs="仿宋"/>
          <w:sz w:val="24"/>
          <w:highlight w:val="none"/>
        </w:rPr>
        <w:t xml:space="preserve">招标</w:t>
      </w:r>
      <w:r>
        <w:rPr>
          <w:rFonts w:hint="eastAsia" w:ascii="仿宋" w:hAnsi="仿宋" w:eastAsia="仿宋" w:cs="仿宋"/>
          <w:sz w:val="24"/>
          <w:highlight w:val="none"/>
          <w:lang w:val="zh-CN"/>
        </w:rPr>
        <w:t xml:space="preserve">文件不一致，以</w:t>
      </w:r>
      <w:r>
        <w:rPr>
          <w:rFonts w:hint="eastAsia" w:ascii="仿宋" w:hAnsi="仿宋" w:eastAsia="仿宋" w:cs="仿宋"/>
          <w:sz w:val="24"/>
          <w:highlight w:val="none"/>
        </w:rPr>
        <w:t xml:space="preserve">上述网站</w:t>
      </w:r>
      <w:r>
        <w:rPr>
          <w:rFonts w:hint="eastAsia" w:ascii="仿宋" w:hAnsi="仿宋" w:eastAsia="仿宋" w:cs="仿宋"/>
          <w:sz w:val="24"/>
          <w:highlight w:val="none"/>
          <w:lang w:val="zh-CN"/>
        </w:rPr>
        <w:t xml:space="preserve">发布的</w:t>
      </w:r>
      <w:r>
        <w:rPr>
          <w:rFonts w:hint="eastAsia" w:ascii="仿宋" w:hAnsi="仿宋" w:eastAsia="仿宋" w:cs="仿宋"/>
          <w:sz w:val="24"/>
          <w:highlight w:val="none"/>
        </w:rPr>
        <w:t xml:space="preserve">招标</w:t>
      </w:r>
      <w:r>
        <w:rPr>
          <w:rFonts w:hint="eastAsia" w:ascii="仿宋" w:hAnsi="仿宋" w:eastAsia="仿宋" w:cs="仿宋"/>
          <w:sz w:val="24"/>
          <w:highlight w:val="none"/>
          <w:lang w:val="zh-CN"/>
        </w:rPr>
        <w:t xml:space="preserve">文件为准。</w:t>
      </w:r>
      <w:r/>
    </w:p>
    <w:p>
      <w:pPr>
        <w:ind w:firstLine="482"/>
        <w:spacing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13、投标保证金（本项目无需缴纳投标保证金）</w:t>
      </w:r>
      <w:r/>
    </w:p>
    <w:p>
      <w:pPr>
        <w:ind w:firstLine="482"/>
        <w:spacing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14、投标有效期</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14.1 自开标之日起</w:t>
      </w:r>
      <w:r>
        <w:rPr>
          <w:rFonts w:hint="eastAsia" w:ascii="仿宋" w:hAnsi="仿宋" w:eastAsia="仿宋" w:cs="仿宋"/>
          <w:b/>
          <w:sz w:val="24"/>
          <w:highlight w:val="none"/>
        </w:rPr>
        <w:t xml:space="preserve">90</w:t>
      </w:r>
      <w:r>
        <w:rPr>
          <w:rFonts w:hint="eastAsia" w:ascii="仿宋" w:hAnsi="仿宋" w:eastAsia="仿宋" w:cs="仿宋"/>
          <w:sz w:val="24"/>
          <w:highlight w:val="none"/>
        </w:rPr>
        <w:t xml:space="preserve">天内投标有效</w:t>
      </w:r>
      <w:r>
        <w:rPr>
          <w:rFonts w:hint="eastAsia" w:ascii="仿宋" w:hAnsi="仿宋" w:eastAsia="仿宋" w:cs="仿宋"/>
          <w:b/>
          <w:sz w:val="24"/>
          <w:highlight w:val="none"/>
        </w:rPr>
        <w:t xml:space="preserve">，投标有效期从提交投标文件的截止之日起算。投标文件中承诺的投标有效期应当不少于招标文件中载明的投标有效期。</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71" w:name="_Toc8732"/>
      <w:r/>
      <w:bookmarkStart w:id="72" w:name="_Toc11610"/>
      <w:r/>
      <w:bookmarkStart w:id="73" w:name="_Toc24542"/>
      <w:r/>
      <w:bookmarkStart w:id="74" w:name="_Toc25452"/>
      <w:r>
        <w:rPr>
          <w:rFonts w:hint="eastAsia" w:ascii="仿宋" w:hAnsi="仿宋" w:eastAsia="仿宋" w:cs="仿宋"/>
          <w:b/>
          <w:bCs/>
          <w:sz w:val="24"/>
          <w:highlight w:val="none"/>
        </w:rPr>
        <w:t xml:space="preserve">15、投标文件签署</w:t>
      </w:r>
      <w:bookmarkEnd w:id="71"/>
      <w:r/>
      <w:bookmarkEnd w:id="72"/>
      <w:r/>
      <w:bookmarkEnd w:id="73"/>
      <w:r/>
      <w:bookmarkEnd w:id="74"/>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15.1 投标文件应按照招标文件要求加盖电子公章，否则视为无效投标。</w:t>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75" w:name="_Toc31774"/>
      <w:r/>
      <w:bookmarkStart w:id="76" w:name="_Toc4625"/>
      <w:r/>
      <w:bookmarkStart w:id="77" w:name="_Toc32679"/>
      <w:r/>
      <w:bookmarkStart w:id="78" w:name="_Toc29765"/>
      <w:r>
        <w:rPr>
          <w:rFonts w:hint="eastAsia" w:ascii="仿宋" w:hAnsi="仿宋" w:eastAsia="仿宋" w:cs="仿宋"/>
          <w:b/>
          <w:bCs/>
          <w:sz w:val="24"/>
          <w:highlight w:val="none"/>
        </w:rPr>
        <w:t xml:space="preserve">16、投标费用</w:t>
      </w:r>
      <w:bookmarkEnd w:id="75"/>
      <w:r/>
      <w:bookmarkEnd w:id="76"/>
      <w:r/>
      <w:bookmarkEnd w:id="77"/>
      <w:r/>
      <w:bookmarkEnd w:id="78"/>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16.1 投标人应承担所有与准备和参加投标有关的费用，无论招标结果如何，采购代理机构和采购人在任何情况下均无义务和责任承担这些费用。</w:t>
      </w:r>
      <w:r/>
    </w:p>
    <w:p>
      <w:pPr>
        <w:ind w:firstLine="480"/>
        <w:spacing w:line="360" w:lineRule="auto"/>
        <w:shd w:val="clear" w:color="auto" w:fill="ffffff"/>
        <w:widowControl/>
        <w:rPr>
          <w:rFonts w:hint="eastAsia" w:ascii="仿宋" w:hAnsi="仿宋" w:eastAsia="仿宋" w:cs="仿宋"/>
          <w:sz w:val="24"/>
          <w:highlight w:val="none"/>
          <w:lang w:val="zh-CN"/>
        </w:rPr>
      </w:pPr>
      <w:r>
        <w:rPr>
          <w:rFonts w:hint="eastAsia" w:ascii="仿宋" w:hAnsi="仿宋" w:eastAsia="仿宋" w:cs="仿宋"/>
          <w:bCs/>
          <w:sz w:val="24"/>
          <w:highlight w:val="none"/>
        </w:rPr>
        <w:t xml:space="preserve">16.2 招标代理服务费：</w:t>
      </w:r>
      <w:r>
        <w:rPr>
          <w:rFonts w:hint="eastAsia" w:ascii="仿宋" w:hAnsi="仿宋" w:eastAsia="仿宋" w:cs="仿宋"/>
          <w:spacing w:val="-4"/>
          <w:sz w:val="24"/>
          <w:highlight w:val="none"/>
        </w:rPr>
        <w:t xml:space="preserve">本</w:t>
      </w:r>
      <w:r>
        <w:rPr>
          <w:rFonts w:hint="eastAsia" w:ascii="仿宋" w:hAnsi="仿宋" w:eastAsia="仿宋" w:cs="仿宋"/>
          <w:sz w:val="24"/>
          <w:highlight w:val="none"/>
        </w:rPr>
        <w:t xml:space="preserve">次招标代理费依据</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政府采购代理机构管理暂行办法</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财库〔2018〕2号</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第十五条，本项目代理费用由中标供应商支付。招标代理费</w:t>
      </w:r>
      <w:r>
        <w:rPr>
          <w:rFonts w:hint="eastAsia" w:ascii="仿宋" w:hAnsi="仿宋" w:eastAsia="仿宋" w:cs="仿宋"/>
          <w:sz w:val="24"/>
          <w:highlight w:val="none"/>
          <w:lang w:val="zh-CN"/>
        </w:rPr>
        <w:t xml:space="preserve">参照</w:t>
      </w:r>
      <w:r>
        <w:rPr>
          <w:rFonts w:hint="eastAsia" w:ascii="仿宋" w:hAnsi="仿宋" w:eastAsia="仿宋" w:cs="仿宋"/>
          <w:sz w:val="24"/>
          <w:highlight w:val="none"/>
        </w:rPr>
        <w:t xml:space="preserve">国家计委关于印发《招标代理服务收费管理暂行办法》的通知计价格〔2002〕1980号文件收取，计费基础为中标价，按差额定率累进法计算：即</w:t>
      </w:r>
      <w:r>
        <w:rPr>
          <w:rFonts w:hint="eastAsia" w:ascii="仿宋" w:hAnsi="仿宋" w:eastAsia="仿宋" w:cs="仿宋"/>
          <w:sz w:val="24"/>
          <w:highlight w:val="none"/>
          <w:lang w:val="zh-CN"/>
        </w:rPr>
        <w:t xml:space="preserve">（1~100）*1.5%</w:t>
      </w:r>
      <w:r>
        <w:rPr>
          <w:rFonts w:hint="eastAsia" w:ascii="仿宋" w:hAnsi="仿宋" w:eastAsia="仿宋" w:cs="仿宋"/>
          <w:sz w:val="24"/>
          <w:highlight w:val="none"/>
        </w:rPr>
        <w:t xml:space="preserve">+（100~500）</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0.8</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+（500~1000）</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0.45</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+(1000~5000)*0.25%</w:t>
      </w:r>
      <w:r>
        <w:rPr>
          <w:rFonts w:hint="eastAsia" w:ascii="仿宋" w:hAnsi="仿宋" w:eastAsia="仿宋" w:cs="仿宋"/>
          <w:sz w:val="24"/>
          <w:highlight w:val="none"/>
          <w:lang w:val="zh-CN"/>
        </w:rPr>
        <w:t xml:space="preserve">（单位万元），中标供应商在领取中标通知书前向招标代理机构支付招标服务费。本项费用无需在投标报价表中单列。</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招标代理服务费交纳方法：</w:t>
      </w:r>
      <w:r/>
    </w:p>
    <w:p>
      <w:pPr>
        <w:ind w:firstLine="480"/>
        <w:spacing w:line="360" w:lineRule="auto"/>
        <w:shd w:val="clear" w:color="auto" w:fill="ffffff"/>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（1）交纳方式：银行网银、电汇等；</w:t>
      </w:r>
      <w:r/>
    </w:p>
    <w:p>
      <w:pPr>
        <w:ind w:firstLine="480"/>
        <w:spacing w:line="360" w:lineRule="auto"/>
        <w:shd w:val="clear" w:color="auto" w:fill="ffffff"/>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（2）收款单位、开户银行及</w:t>
      </w:r>
      <w:r>
        <w:rPr>
          <w:rFonts w:hint="eastAsia" w:ascii="仿宋" w:hAnsi="仿宋" w:eastAsia="仿宋" w:cs="仿宋"/>
          <w:sz w:val="24"/>
          <w:highlight w:val="none"/>
        </w:rPr>
        <w:t xml:space="preserve">账</w:t>
      </w:r>
      <w:r>
        <w:rPr>
          <w:rFonts w:hint="eastAsia" w:ascii="仿宋" w:hAnsi="仿宋" w:eastAsia="仿宋" w:cs="仿宋"/>
          <w:sz w:val="24"/>
          <w:highlight w:val="none"/>
          <w:lang w:val="zh-CN"/>
        </w:rPr>
        <w:t xml:space="preserve">号：</w:t>
      </w:r>
      <w:r/>
    </w:p>
    <w:p>
      <w:pPr>
        <w:ind w:firstLine="480"/>
        <w:spacing w:line="360" w:lineRule="auto"/>
        <w:shd w:val="clear" w:color="auto" w:fill="ffffff"/>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收款单位：源成工程咨询（江苏南京）有限责任公司</w:t>
      </w:r>
      <w:r/>
    </w:p>
    <w:p>
      <w:pPr>
        <w:ind w:firstLine="480"/>
        <w:spacing w:line="360" w:lineRule="auto"/>
        <w:shd w:val="clear" w:color="auto" w:fill="ffffff"/>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开户银行：</w:t>
      </w:r>
      <w:r>
        <w:rPr>
          <w:rFonts w:hint="eastAsia" w:ascii="仿宋" w:hAnsi="仿宋" w:eastAsia="仿宋" w:cs="仿宋"/>
          <w:sz w:val="24"/>
          <w:highlight w:val="none"/>
        </w:rPr>
        <w:t xml:space="preserve">交通银行南京软件大道支行</w:t>
      </w:r>
      <w:r>
        <w:rPr>
          <w:rFonts w:hint="eastAsia" w:ascii="仿宋" w:hAnsi="仿宋" w:eastAsia="仿宋" w:cs="仿宋"/>
          <w:sz w:val="24"/>
          <w:highlight w:val="none"/>
          <w:lang w:val="zh-CN"/>
        </w:rPr>
        <w:t xml:space="preserve"> </w:t>
      </w:r>
      <w:r/>
    </w:p>
    <w:p>
      <w:pPr>
        <w:ind w:firstLine="480"/>
        <w:spacing w:line="360" w:lineRule="auto"/>
        <w:shd w:val="clear" w:color="auto" w:fill="ffffff"/>
        <w:widowControl/>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账号：</w:t>
      </w:r>
      <w:r>
        <w:rPr>
          <w:rFonts w:hint="eastAsia" w:ascii="仿宋" w:hAnsi="仿宋" w:eastAsia="仿宋" w:cs="仿宋"/>
          <w:sz w:val="24"/>
          <w:highlight w:val="none"/>
        </w:rPr>
        <w:t xml:space="preserve">320899991013000593407</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16.3开标公证费：无。</w:t>
      </w:r>
      <w:r/>
    </w:p>
    <w:p>
      <w:pPr>
        <w:ind w:firstLine="482"/>
        <w:spacing w:line="360" w:lineRule="auto"/>
        <w:shd w:val="clear" w:color="auto" w:fill="ffffff"/>
        <w:widowControl/>
        <w:rPr>
          <w:rFonts w:hint="eastAsia" w:ascii="仿宋" w:hAnsi="仿宋" w:eastAsia="仿宋" w:cs="仿宋"/>
          <w:sz w:val="24"/>
          <w:highlight w:val="none"/>
        </w:rPr>
        <w:outlineLvl w:val="1"/>
      </w:pPr>
      <w:r/>
      <w:bookmarkStart w:id="79" w:name="_Toc7257"/>
      <w:r/>
      <w:bookmarkStart w:id="80" w:name="_Toc5643"/>
      <w:r/>
      <w:bookmarkStart w:id="81" w:name="_Toc19582"/>
      <w:r/>
      <w:bookmarkStart w:id="82" w:name="_Toc14567"/>
      <w:r>
        <w:rPr>
          <w:rFonts w:hint="eastAsia" w:ascii="仿宋" w:hAnsi="仿宋" w:eastAsia="仿宋" w:cs="仿宋"/>
          <w:b/>
          <w:bCs/>
          <w:sz w:val="24"/>
          <w:highlight w:val="none"/>
        </w:rPr>
        <w:t xml:space="preserve">四、投标文件的递交</w:t>
      </w:r>
      <w:bookmarkEnd w:id="79"/>
      <w:r/>
      <w:bookmarkEnd w:id="80"/>
      <w:r/>
      <w:bookmarkEnd w:id="81"/>
      <w:r/>
      <w:bookmarkEnd w:id="82"/>
      <w:r/>
      <w:r/>
    </w:p>
    <w:p>
      <w:pPr>
        <w:ind w:firstLine="482"/>
        <w:spacing w:line="360" w:lineRule="auto"/>
        <w:shd w:val="clear" w:color="auto" w:fill="ffffff"/>
        <w:widowControl/>
        <w:rPr>
          <w:rFonts w:hint="eastAsia" w:ascii="仿宋" w:hAnsi="仿宋" w:eastAsia="仿宋" w:cs="仿宋"/>
          <w:b/>
          <w:bCs/>
          <w:sz w:val="24"/>
          <w:highlight w:val="none"/>
        </w:rPr>
        <w:outlineLvl w:val="2"/>
      </w:pPr>
      <w:r/>
      <w:bookmarkStart w:id="83" w:name="_Toc25300"/>
      <w:r/>
      <w:bookmarkStart w:id="84" w:name="_Toc1658"/>
      <w:r/>
      <w:bookmarkStart w:id="85" w:name="_Toc9850"/>
      <w:r/>
      <w:bookmarkStart w:id="86" w:name="_Toc8248"/>
      <w:r>
        <w:rPr>
          <w:rFonts w:hint="eastAsia" w:ascii="仿宋" w:hAnsi="仿宋" w:eastAsia="仿宋" w:cs="仿宋"/>
          <w:b/>
          <w:bCs/>
          <w:sz w:val="24"/>
          <w:highlight w:val="none"/>
        </w:rPr>
        <w:t xml:space="preserve">17、投标文件的递交</w:t>
      </w:r>
      <w:bookmarkEnd w:id="83"/>
      <w:r/>
      <w:bookmarkEnd w:id="84"/>
      <w:r/>
      <w:bookmarkEnd w:id="85"/>
      <w:r/>
      <w:bookmarkEnd w:id="86"/>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82"/>
        <w:spacing w:line="360" w:lineRule="auto"/>
        <w:shd w:val="clear" w:color="auto" w:fill="ffffff"/>
        <w:widowControl/>
        <w:rPr>
          <w:rFonts w:hint="eastAsia" w:ascii="仿宋" w:hAnsi="仿宋" w:eastAsia="仿宋" w:cs="仿宋"/>
          <w:b/>
          <w:bCs/>
          <w:sz w:val="24"/>
          <w:highlight w:val="none"/>
        </w:rPr>
        <w:outlineLvl w:val="2"/>
      </w:pPr>
      <w:r/>
      <w:bookmarkStart w:id="87" w:name="_Toc21608"/>
      <w:r/>
      <w:bookmarkStart w:id="88" w:name="_Toc25842"/>
      <w:r/>
      <w:bookmarkStart w:id="89" w:name="_Toc9945"/>
      <w:r/>
      <w:bookmarkStart w:id="90" w:name="_Toc11749"/>
      <w:r>
        <w:rPr>
          <w:rFonts w:hint="eastAsia" w:ascii="仿宋" w:hAnsi="仿宋" w:eastAsia="仿宋" w:cs="仿宋"/>
          <w:b/>
          <w:bCs/>
          <w:sz w:val="24"/>
          <w:highlight w:val="none"/>
        </w:rPr>
        <w:t xml:space="preserve">18、投标文件的解密</w:t>
      </w:r>
      <w:bookmarkEnd w:id="87"/>
      <w:r/>
      <w:bookmarkEnd w:id="88"/>
      <w:r/>
      <w:bookmarkEnd w:id="89"/>
      <w:r/>
      <w:bookmarkEnd w:id="90"/>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18.1 投标人应当按照《操作手册》规定，在“苏采云”系统规定的时间内对投标文件进行解密。</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18.3 投标人应充分考虑网络环境、网络带宽等因素可能对投标产生的影响，如因投标人自身原因造成的电子投标文件解密不成功的，做无效投标处理。</w:t>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91" w:name="_Toc15468"/>
      <w:r/>
      <w:bookmarkStart w:id="92" w:name="_Toc7211"/>
      <w:r/>
      <w:bookmarkStart w:id="93" w:name="_Toc16218"/>
      <w:r/>
      <w:bookmarkStart w:id="94" w:name="_Toc20531"/>
      <w:r>
        <w:rPr>
          <w:rFonts w:hint="eastAsia" w:ascii="仿宋" w:hAnsi="仿宋" w:eastAsia="仿宋" w:cs="仿宋"/>
          <w:b/>
          <w:bCs/>
          <w:sz w:val="24"/>
          <w:highlight w:val="none"/>
        </w:rPr>
        <w:t xml:space="preserve">19、投标文件的修改和撤回</w:t>
      </w:r>
      <w:bookmarkEnd w:id="91"/>
      <w:r/>
      <w:bookmarkEnd w:id="92"/>
      <w:r/>
      <w:bookmarkEnd w:id="93"/>
      <w:r/>
      <w:bookmarkEnd w:id="94"/>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19.2 投标截止时间之后，投标文件不得撤回。</w:t>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95" w:name="_Toc7890"/>
      <w:r/>
      <w:bookmarkStart w:id="96" w:name="_Toc22390"/>
      <w:r/>
      <w:bookmarkStart w:id="97" w:name="_Toc22258"/>
      <w:r/>
      <w:bookmarkStart w:id="98" w:name="_Toc22078"/>
      <w:r>
        <w:rPr>
          <w:rFonts w:hint="eastAsia" w:ascii="仿宋" w:hAnsi="仿宋" w:eastAsia="仿宋" w:cs="仿宋"/>
          <w:b/>
          <w:bCs/>
          <w:sz w:val="24"/>
          <w:highlight w:val="none"/>
        </w:rPr>
        <w:t xml:space="preserve">20、诚实信用</w:t>
      </w:r>
      <w:bookmarkEnd w:id="95"/>
      <w:r/>
      <w:bookmarkEnd w:id="96"/>
      <w:r/>
      <w:bookmarkEnd w:id="97"/>
      <w:r/>
      <w:bookmarkEnd w:id="98"/>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20.1投标人应当遵循公平竞争的原则，不得恶意串通，不得妨碍其他投标人的竞争行为，不得损害采购人或者其他投标人的合法权益。</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20.2在评标过程中发现投标人有上述情形的，评标委员会应当认定其投标无效，并书面报告本级财政部门。</w:t>
      </w:r>
      <w:r/>
    </w:p>
    <w:p>
      <w:pPr>
        <w:ind w:firstLine="482"/>
        <w:spacing w:line="360" w:lineRule="auto"/>
        <w:shd w:val="clear" w:color="auto" w:fill="ffffff"/>
        <w:widowControl/>
        <w:rPr>
          <w:rFonts w:hint="eastAsia" w:ascii="仿宋" w:hAnsi="仿宋" w:eastAsia="仿宋" w:cs="仿宋"/>
          <w:sz w:val="24"/>
          <w:highlight w:val="none"/>
        </w:rPr>
        <w:outlineLvl w:val="1"/>
      </w:pPr>
      <w:r/>
      <w:bookmarkStart w:id="99" w:name="_Toc18070"/>
      <w:r/>
      <w:bookmarkStart w:id="100" w:name="_Toc31160"/>
      <w:r/>
      <w:bookmarkStart w:id="101" w:name="_Toc26774"/>
      <w:r/>
      <w:bookmarkStart w:id="102" w:name="_Toc18583"/>
      <w:r>
        <w:rPr>
          <w:rFonts w:hint="eastAsia" w:ascii="仿宋" w:hAnsi="仿宋" w:eastAsia="仿宋" w:cs="仿宋"/>
          <w:b/>
          <w:bCs/>
          <w:sz w:val="24"/>
          <w:highlight w:val="none"/>
        </w:rPr>
        <w:t xml:space="preserve">五、开标、评标与定标</w:t>
      </w:r>
      <w:bookmarkEnd w:id="99"/>
      <w:r/>
      <w:bookmarkEnd w:id="100"/>
      <w:r/>
      <w:bookmarkEnd w:id="101"/>
      <w:r/>
      <w:bookmarkEnd w:id="102"/>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103" w:name="_Toc20980"/>
      <w:r/>
      <w:bookmarkStart w:id="104" w:name="_Toc7767"/>
      <w:r/>
      <w:bookmarkStart w:id="105" w:name="_Toc31434"/>
      <w:r/>
      <w:bookmarkStart w:id="106" w:name="_Toc15404"/>
      <w:r>
        <w:rPr>
          <w:rFonts w:hint="eastAsia" w:ascii="仿宋" w:hAnsi="仿宋" w:eastAsia="仿宋" w:cs="仿宋"/>
          <w:b/>
          <w:bCs/>
          <w:sz w:val="24"/>
          <w:highlight w:val="none"/>
        </w:rPr>
        <w:t xml:space="preserve">21、开标</w:t>
      </w:r>
      <w:bookmarkEnd w:id="103"/>
      <w:r/>
      <w:bookmarkEnd w:id="104"/>
      <w:r/>
      <w:bookmarkEnd w:id="105"/>
      <w:r/>
      <w:bookmarkEnd w:id="106"/>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21.2 投标人在开标过程中涉及到的投标文件解密、开标结果确认等工作，应按照《操作手册》规定执行。</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21.3投标人不足3家的，不得开标。</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21.4 投标人如果对开标过程和开标结果有疑义，应当根据《操作手册》规定提出，“苏采云”系统中《开标记录表》公布后5分钟内未提出的，视同认可开标结果。</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（1）招标文件存在不合理条款或者招标程序不符合规定的，采购人、采购代理机构改正后依法重新招标；</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（2）招标文件没有不合理条款、招标程序符合规定，需要采用其他采购方式采购的，采购人依法报财政部门批准，经批准后，可变更为其他采购方式采购。</w:t>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107" w:name="_Toc13033"/>
      <w:r/>
      <w:bookmarkStart w:id="108" w:name="_Toc23928"/>
      <w:r/>
      <w:bookmarkStart w:id="109" w:name="_Toc17490"/>
      <w:r/>
      <w:bookmarkStart w:id="110" w:name="_Toc21331"/>
      <w:r>
        <w:rPr>
          <w:rFonts w:hint="eastAsia" w:ascii="仿宋" w:hAnsi="仿宋" w:eastAsia="仿宋" w:cs="仿宋"/>
          <w:b/>
          <w:bCs/>
          <w:sz w:val="24"/>
          <w:highlight w:val="none"/>
        </w:rPr>
        <w:t xml:space="preserve">22、评标</w:t>
      </w:r>
      <w:bookmarkEnd w:id="107"/>
      <w:r/>
      <w:bookmarkEnd w:id="108"/>
      <w:r/>
      <w:bookmarkEnd w:id="109"/>
      <w:r/>
      <w:bookmarkEnd w:id="110"/>
      <w:r/>
      <w:r/>
    </w:p>
    <w:p>
      <w:pPr>
        <w:ind w:firstLine="482"/>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22.1 评标委员会</w:t>
      </w:r>
      <w:r/>
    </w:p>
    <w:p>
      <w:pPr>
        <w:ind w:firstLine="482"/>
        <w:spacing w:line="360" w:lineRule="auto"/>
        <w:shd w:val="clear" w:color="auto" w:fill="ffffff"/>
        <w:widowControl/>
        <w:rPr>
          <w:rFonts w:hint="eastAsia" w:ascii="仿宋" w:hAnsi="仿宋" w:eastAsia="仿宋" w:cs="仿宋"/>
          <w:bCs/>
          <w:sz w:val="24"/>
          <w:highlight w:val="none"/>
        </w:rPr>
      </w:pPr>
      <w:r>
        <w:rPr>
          <w:rFonts w:hint="eastAsia" w:ascii="仿宋" w:hAnsi="仿宋" w:eastAsia="仿宋" w:cs="仿宋"/>
          <w:b/>
          <w:bCs/>
          <w:sz w:val="24"/>
          <w:highlight w:val="none"/>
        </w:rPr>
        <w:t xml:space="preserve">22.1.1</w:t>
      </w:r>
      <w:r>
        <w:rPr>
          <w:rFonts w:hint="eastAsia" w:ascii="仿宋" w:hAnsi="仿宋" w:eastAsia="仿宋" w:cs="仿宋"/>
          <w:bCs/>
          <w:sz w:val="24"/>
          <w:highlight w:val="none"/>
        </w:rPr>
        <w:t xml:space="preserve">评标委员会负责具体评标事务，并独立履行下列职责：</w:t>
      </w:r>
      <w:r/>
    </w:p>
    <w:p>
      <w:pPr>
        <w:ind w:firstLine="480"/>
        <w:spacing w:line="360" w:lineRule="auto"/>
        <w:shd w:val="clear" w:color="auto" w:fill="ffffff"/>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（一）审查、评价投标文件是否符合招标文件的商务、技术等实质性要求；</w:t>
      </w:r>
      <w:r/>
    </w:p>
    <w:p>
      <w:pPr>
        <w:ind w:firstLine="480"/>
        <w:spacing w:line="360" w:lineRule="auto"/>
        <w:shd w:val="clear" w:color="auto" w:fill="ffffff"/>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（二）要求投标人对投标文件有关事项作出澄清或者说明；</w:t>
      </w:r>
      <w:r/>
    </w:p>
    <w:p>
      <w:pPr>
        <w:ind w:firstLine="480"/>
        <w:spacing w:line="360" w:lineRule="auto"/>
        <w:shd w:val="clear" w:color="auto" w:fill="ffffff"/>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（三）对投标文件进行比较和评价；</w:t>
      </w:r>
      <w:r/>
    </w:p>
    <w:p>
      <w:pPr>
        <w:ind w:firstLine="480"/>
        <w:spacing w:line="360" w:lineRule="auto"/>
        <w:shd w:val="clear" w:color="auto" w:fill="ffffff"/>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（四）确定中标候选人名单，以及根据采购人委托直接确定中标人；</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Cs/>
          <w:sz w:val="24"/>
          <w:highlight w:val="none"/>
        </w:rPr>
        <w:t xml:space="preserve">（五）向采购人、采购代理机构或者有关部门报告评标中发现的违法行为。</w:t>
      </w:r>
      <w:r/>
    </w:p>
    <w:p>
      <w:pPr>
        <w:ind w:firstLine="482"/>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22.1.2 </w:t>
      </w:r>
      <w:r>
        <w:rPr>
          <w:rFonts w:hint="eastAsia" w:ascii="仿宋" w:hAnsi="仿宋" w:eastAsia="仿宋" w:cs="仿宋"/>
          <w:sz w:val="24"/>
          <w:highlight w:val="none"/>
        </w:rPr>
        <w:t xml:space="preserve">评标委员会由</w:t>
      </w:r>
      <w:r>
        <w:rPr>
          <w:rFonts w:hint="eastAsia" w:ascii="仿宋" w:hAnsi="仿宋" w:eastAsia="仿宋" w:cs="仿宋"/>
          <w:bCs/>
          <w:sz w:val="24"/>
          <w:highlight w:val="none"/>
        </w:rPr>
        <w:t xml:space="preserve">采购人</w:t>
      </w:r>
      <w:r>
        <w:rPr>
          <w:rFonts w:hint="eastAsia" w:ascii="仿宋" w:hAnsi="仿宋" w:eastAsia="仿宋" w:cs="仿宋"/>
          <w:sz w:val="24"/>
          <w:highlight w:val="none"/>
        </w:rPr>
        <w:t xml:space="preserve">代表和有关技术、经济等方面的专家组成，独立开展评审工作。</w:t>
      </w:r>
      <w:r/>
    </w:p>
    <w:p>
      <w:pPr>
        <w:ind w:firstLine="482"/>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22.2  评标程序</w:t>
      </w:r>
      <w:r/>
    </w:p>
    <w:p>
      <w:pPr>
        <w:ind w:firstLine="482"/>
        <w:jc w:val="left"/>
        <w:spacing w:line="360" w:lineRule="auto"/>
        <w:shd w:val="clear" w:color="auto" w:fill="ffffff"/>
        <w:widowControl/>
        <w:rPr>
          <w:rFonts w:hint="eastAsia" w:ascii="仿宋" w:hAnsi="仿宋" w:eastAsia="仿宋" w:cs="仿宋"/>
          <w:b/>
          <w:sz w:val="24"/>
          <w:highlight w:val="none"/>
        </w:rPr>
      </w:pPr>
      <w:r>
        <w:rPr>
          <w:rFonts w:hint="eastAsia" w:ascii="仿宋" w:hAnsi="仿宋" w:eastAsia="仿宋" w:cs="仿宋"/>
          <w:b/>
          <w:sz w:val="24"/>
          <w:highlight w:val="none"/>
        </w:rPr>
        <w:t xml:space="preserve">22.2.1 </w:t>
      </w:r>
      <w:r>
        <w:rPr>
          <w:rFonts w:hint="eastAsia" w:ascii="仿宋" w:hAnsi="仿宋" w:eastAsia="仿宋" w:cs="仿宋"/>
          <w:b/>
          <w:bCs/>
          <w:sz w:val="24"/>
          <w:highlight w:val="none"/>
        </w:rPr>
        <w:t xml:space="preserve">投标文件的资格性检查。</w:t>
      </w:r>
      <w:r>
        <w:rPr>
          <w:rFonts w:hint="eastAsia" w:ascii="仿宋" w:hAnsi="仿宋" w:eastAsia="仿宋" w:cs="仿宋"/>
          <w:sz w:val="24"/>
          <w:highlight w:val="none"/>
        </w:rPr>
        <w:t xml:space="preserve">公开招标采购项目开标结束后，采购人或者采购代理机构应当依法对投标人的资格进行审查。合格投标人不足3家的，不得评标。</w:t>
      </w:r>
      <w:r/>
    </w:p>
    <w:p>
      <w:pPr>
        <w:ind w:firstLine="482"/>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22.2.2投标文件的符合性审查</w:t>
      </w:r>
      <w:r>
        <w:rPr>
          <w:rFonts w:hint="eastAsia" w:ascii="仿宋" w:hAnsi="仿宋" w:eastAsia="仿宋" w:cs="仿宋"/>
          <w:sz w:val="24"/>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82"/>
        <w:spacing w:line="360" w:lineRule="auto"/>
        <w:shd w:val="clear" w:color="auto" w:fill="ffffff"/>
        <w:widowControl/>
        <w:rPr>
          <w:rFonts w:hint="eastAsia" w:ascii="仿宋" w:hAnsi="仿宋" w:eastAsia="仿宋" w:cs="仿宋"/>
          <w:b/>
          <w:sz w:val="24"/>
          <w:highlight w:val="none"/>
        </w:rPr>
      </w:pPr>
      <w:r>
        <w:rPr>
          <w:rFonts w:hint="eastAsia" w:ascii="仿宋" w:hAnsi="仿宋" w:eastAsia="仿宋" w:cs="仿宋"/>
          <w:b/>
          <w:sz w:val="24"/>
          <w:highlight w:val="none"/>
        </w:rPr>
        <w:t xml:space="preserve">（1）投标人在“苏采云”系统规定的时间内未成功解密电子投标文件的；</w:t>
      </w:r>
      <w:r/>
    </w:p>
    <w:p>
      <w:pPr>
        <w:ind w:firstLine="482"/>
        <w:spacing w:line="360" w:lineRule="auto"/>
        <w:shd w:val="clear" w:color="auto" w:fill="ffffff"/>
        <w:widowControl/>
        <w:rPr>
          <w:rFonts w:hint="eastAsia" w:ascii="仿宋" w:hAnsi="仿宋" w:eastAsia="仿宋" w:cs="仿宋"/>
          <w:b/>
          <w:sz w:val="24"/>
          <w:highlight w:val="none"/>
        </w:rPr>
      </w:pPr>
      <w:r>
        <w:rPr>
          <w:rFonts w:hint="eastAsia" w:ascii="仿宋" w:hAnsi="仿宋" w:eastAsia="仿宋" w:cs="仿宋"/>
          <w:b/>
          <w:sz w:val="24"/>
          <w:highlight w:val="none"/>
        </w:rPr>
        <w:t xml:space="preserve">（2）投标人未按照招标文件要求上传电子投标文件的；</w:t>
      </w:r>
      <w:r/>
    </w:p>
    <w:p>
      <w:pPr>
        <w:ind w:firstLine="482"/>
        <w:spacing w:line="360" w:lineRule="auto"/>
        <w:shd w:val="clear" w:color="auto" w:fill="ffffff"/>
        <w:widowControl/>
        <w:rPr>
          <w:rFonts w:hint="eastAsia" w:ascii="仿宋" w:hAnsi="仿宋" w:eastAsia="仿宋" w:cs="仿宋"/>
          <w:b/>
          <w:sz w:val="24"/>
          <w:highlight w:val="none"/>
        </w:rPr>
      </w:pPr>
      <w:r>
        <w:rPr>
          <w:rFonts w:hint="eastAsia" w:ascii="仿宋" w:hAnsi="仿宋" w:eastAsia="仿宋" w:cs="仿宋"/>
          <w:b/>
          <w:sz w:val="24"/>
          <w:highlight w:val="none"/>
        </w:rPr>
        <w:t xml:space="preserve">（3）同一投标人提交两个（含两个）以上不同的投标报价的；</w:t>
      </w:r>
      <w:r/>
    </w:p>
    <w:p>
      <w:pPr>
        <w:ind w:firstLine="482"/>
        <w:spacing w:line="360" w:lineRule="auto"/>
        <w:shd w:val="clear" w:color="auto" w:fill="ffffff"/>
        <w:widowControl/>
        <w:rPr>
          <w:rFonts w:hint="eastAsia" w:ascii="仿宋" w:hAnsi="仿宋" w:eastAsia="仿宋" w:cs="仿宋"/>
          <w:b/>
          <w:sz w:val="24"/>
          <w:highlight w:val="none"/>
        </w:rPr>
      </w:pPr>
      <w:r>
        <w:rPr>
          <w:rFonts w:hint="eastAsia" w:ascii="仿宋" w:hAnsi="仿宋" w:eastAsia="仿宋" w:cs="仿宋"/>
          <w:b/>
          <w:sz w:val="24"/>
          <w:highlight w:val="none"/>
        </w:rPr>
        <w:t xml:space="preserve">（4）投标文件未按照招标文件要求加盖电子公章的；</w:t>
      </w:r>
      <w:r/>
    </w:p>
    <w:p>
      <w:pPr>
        <w:ind w:firstLine="482"/>
        <w:spacing w:line="360" w:lineRule="auto"/>
        <w:shd w:val="clear" w:color="auto" w:fill="ffffff"/>
        <w:widowControl/>
        <w:rPr>
          <w:rFonts w:hint="eastAsia" w:ascii="仿宋" w:hAnsi="仿宋" w:eastAsia="仿宋" w:cs="仿宋"/>
          <w:b/>
          <w:sz w:val="24"/>
          <w:highlight w:val="none"/>
        </w:rPr>
      </w:pPr>
      <w:r>
        <w:rPr>
          <w:rFonts w:hint="eastAsia" w:ascii="仿宋" w:hAnsi="仿宋" w:eastAsia="仿宋" w:cs="仿宋"/>
          <w:b/>
          <w:sz w:val="24"/>
          <w:highlight w:val="none"/>
        </w:rPr>
        <w:t xml:space="preserve">（5）不具备招标文件中规定的资格要求的；</w:t>
      </w:r>
      <w:r/>
    </w:p>
    <w:p>
      <w:pPr>
        <w:ind w:firstLine="482"/>
        <w:spacing w:line="360" w:lineRule="auto"/>
        <w:shd w:val="clear" w:color="auto" w:fill="ffffff"/>
        <w:widowControl/>
        <w:rPr>
          <w:rFonts w:hint="eastAsia" w:ascii="仿宋" w:hAnsi="仿宋" w:eastAsia="仿宋" w:cs="仿宋"/>
          <w:b/>
          <w:sz w:val="24"/>
          <w:highlight w:val="none"/>
        </w:rPr>
      </w:pPr>
      <w:r>
        <w:rPr>
          <w:rFonts w:hint="eastAsia" w:ascii="仿宋" w:hAnsi="仿宋" w:eastAsia="仿宋" w:cs="仿宋"/>
          <w:b/>
          <w:sz w:val="24"/>
          <w:highlight w:val="none"/>
        </w:rPr>
        <w:t xml:space="preserve">（6）报价超过招标文件中规定的预算金额或者最高限价的；</w:t>
      </w:r>
      <w:r/>
    </w:p>
    <w:p>
      <w:pPr>
        <w:ind w:firstLine="482"/>
        <w:spacing w:line="360" w:lineRule="auto"/>
        <w:shd w:val="clear" w:color="auto" w:fill="ffffff"/>
        <w:widowControl/>
        <w:rPr>
          <w:rFonts w:hint="eastAsia" w:ascii="仿宋" w:hAnsi="仿宋" w:eastAsia="仿宋" w:cs="仿宋"/>
          <w:b/>
          <w:sz w:val="24"/>
          <w:highlight w:val="none"/>
        </w:rPr>
      </w:pPr>
      <w:r>
        <w:rPr>
          <w:rFonts w:hint="eastAsia" w:ascii="仿宋" w:hAnsi="仿宋" w:eastAsia="仿宋" w:cs="仿宋"/>
          <w:b/>
          <w:sz w:val="24"/>
          <w:highlight w:val="none"/>
        </w:rPr>
        <w:t xml:space="preserve">（7）投标文件含有采购人不能接受的附加条件的；</w:t>
      </w:r>
      <w:r/>
    </w:p>
    <w:p>
      <w:pPr>
        <w:ind w:firstLine="482"/>
        <w:spacing w:line="360" w:lineRule="auto"/>
        <w:shd w:val="clear" w:color="auto" w:fill="ffffff"/>
        <w:widowControl/>
        <w:rPr>
          <w:rFonts w:hint="eastAsia" w:ascii="仿宋" w:hAnsi="仿宋" w:eastAsia="仿宋" w:cs="仿宋"/>
          <w:b/>
          <w:sz w:val="24"/>
          <w:highlight w:val="none"/>
          <w:lang w:val="zh-CN"/>
        </w:rPr>
      </w:pPr>
      <w:r>
        <w:rPr>
          <w:rFonts w:hint="eastAsia" w:ascii="仿宋" w:hAnsi="仿宋" w:eastAsia="仿宋" w:cs="仿宋"/>
          <w:b/>
          <w:sz w:val="24"/>
          <w:highlight w:val="none"/>
          <w:lang w:val="zh-CN"/>
        </w:rPr>
        <w:t xml:space="preserve">（</w:t>
      </w:r>
      <w:r>
        <w:rPr>
          <w:rFonts w:hint="eastAsia" w:ascii="仿宋" w:hAnsi="仿宋" w:eastAsia="仿宋" w:cs="仿宋"/>
          <w:b/>
          <w:sz w:val="24"/>
          <w:highlight w:val="none"/>
        </w:rPr>
        <w:t xml:space="preserve">8</w:t>
      </w:r>
      <w:r>
        <w:rPr>
          <w:rFonts w:hint="eastAsia" w:ascii="仿宋" w:hAnsi="仿宋" w:eastAsia="仿宋" w:cs="仿宋"/>
          <w:b/>
          <w:sz w:val="24"/>
          <w:highlight w:val="none"/>
          <w:lang w:val="zh-CN"/>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2"/>
        <w:spacing w:line="360" w:lineRule="auto"/>
        <w:shd w:val="clear" w:color="auto" w:fill="ffffff"/>
        <w:widowControl/>
        <w:rPr>
          <w:rFonts w:hint="eastAsia" w:ascii="仿宋" w:hAnsi="仿宋" w:eastAsia="仿宋" w:cs="仿宋"/>
          <w:b/>
          <w:sz w:val="24"/>
          <w:highlight w:val="none"/>
        </w:rPr>
      </w:pPr>
      <w:r>
        <w:rPr>
          <w:rFonts w:hint="eastAsia" w:ascii="仿宋" w:hAnsi="仿宋" w:eastAsia="仿宋" w:cs="仿宋"/>
          <w:b/>
          <w:sz w:val="24"/>
          <w:highlight w:val="none"/>
        </w:rPr>
        <w:t xml:space="preserve">（9）投标文件内容不全或不符合招标文件中规定的其他实质性要求的；</w:t>
      </w:r>
      <w:r/>
    </w:p>
    <w:p>
      <w:pPr>
        <w:ind w:firstLine="482"/>
        <w:spacing w:line="360" w:lineRule="auto"/>
        <w:shd w:val="clear" w:color="auto" w:fill="ffffff"/>
        <w:widowControl/>
        <w:rPr>
          <w:rFonts w:hint="eastAsia" w:ascii="仿宋" w:hAnsi="仿宋" w:eastAsia="仿宋" w:cs="仿宋"/>
          <w:b/>
          <w:sz w:val="24"/>
          <w:highlight w:val="none"/>
        </w:rPr>
      </w:pPr>
      <w:r>
        <w:rPr>
          <w:rFonts w:hint="eastAsia" w:ascii="仿宋" w:hAnsi="仿宋" w:eastAsia="仿宋" w:cs="仿宋"/>
          <w:b/>
          <w:sz w:val="24"/>
          <w:highlight w:val="none"/>
        </w:rPr>
        <w:t xml:space="preserve">（10）现行法律、法规、规章和招标文件规定的其他无效情形。</w:t>
      </w:r>
      <w:r/>
    </w:p>
    <w:p>
      <w:pPr>
        <w:ind w:firstLine="482"/>
        <w:spacing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22.2.2.1 实质性要求是指本招标文件中用带星号（“</w:t>
      </w:r>
      <w:r>
        <w:rPr>
          <w:rFonts w:hint="eastAsia" w:ascii="仿宋" w:hAnsi="仿宋" w:eastAsia="仿宋" w:cs="仿宋"/>
          <w:spacing w:val="-2"/>
          <w:sz w:val="24"/>
          <w:highlight w:val="none"/>
        </w:rPr>
        <w:t xml:space="preserve">★</w:t>
      </w:r>
      <w:r>
        <w:rPr>
          <w:rFonts w:hint="eastAsia" w:ascii="仿宋" w:hAnsi="仿宋" w:eastAsia="仿宋" w:cs="仿宋"/>
          <w:b/>
          <w:bCs/>
          <w:sz w:val="24"/>
          <w:highlight w:val="none"/>
        </w:rPr>
        <w:t xml:space="preserve">”）、“必须”或“应（应当）”等其他文字说明的商务和技术要求。</w:t>
      </w:r>
      <w:r/>
    </w:p>
    <w:p>
      <w:pPr>
        <w:ind w:firstLine="482"/>
        <w:spacing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22.2.2.2未通过资格审查或符合性审查的投标人，代理机构将通过“苏采云”系统告知其具体原因，评标结束后不再接受有关询问。</w:t>
      </w:r>
      <w:r/>
    </w:p>
    <w:p>
      <w:pPr>
        <w:ind w:firstLine="482"/>
        <w:jc w:val="left"/>
        <w:spacing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22.2.2.3有下列情形之一的予以废标：</w:t>
      </w:r>
      <w:r/>
    </w:p>
    <w:p>
      <w:pPr>
        <w:ind w:firstLine="482"/>
        <w:jc w:val="left"/>
        <w:spacing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（1）符合专业条件的投标人或者对招标文件作实质性响应的投标人不足三家的；</w:t>
      </w:r>
      <w:r/>
    </w:p>
    <w:p>
      <w:pPr>
        <w:ind w:firstLine="482"/>
        <w:jc w:val="left"/>
        <w:spacing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（2）出现影响采购公正的违法、违规行为的；</w:t>
      </w:r>
      <w:r/>
    </w:p>
    <w:p>
      <w:pPr>
        <w:ind w:firstLine="482"/>
        <w:jc w:val="left"/>
        <w:spacing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（3）投标人的报价均超过了采购预算，采购人不能支付的；</w:t>
      </w:r>
      <w:r/>
    </w:p>
    <w:p>
      <w:pPr>
        <w:ind w:firstLine="482"/>
        <w:jc w:val="left"/>
        <w:spacing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（4）因苏采云系统故障造成开标不成功的；</w:t>
      </w:r>
      <w:r/>
    </w:p>
    <w:p>
      <w:pPr>
        <w:ind w:firstLine="482"/>
        <w:jc w:val="left"/>
        <w:spacing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（5）因重大变故，采购任务取消的。</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22.2.3</w:t>
      </w:r>
      <w:r>
        <w:rPr>
          <w:rFonts w:hint="eastAsia" w:ascii="仿宋" w:hAnsi="仿宋" w:eastAsia="仿宋" w:cs="仿宋"/>
          <w:b/>
          <w:bCs/>
          <w:sz w:val="24"/>
          <w:highlight w:val="none"/>
        </w:rPr>
        <w:t xml:space="preserve">澄清有关问题</w:t>
      </w:r>
      <w:r>
        <w:rPr>
          <w:rFonts w:hint="eastAsia" w:ascii="仿宋" w:hAnsi="仿宋" w:eastAsia="仿宋" w:cs="仿宋"/>
          <w:sz w:val="24"/>
          <w:highlight w:val="none"/>
        </w:rPr>
        <w:t xml:space="preserve">。</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22.2.3.1 评标期间，评委会对投标文件中含义不明确、同类问题表述不一致或者有明显文字和计算错误的内容，有权要求投标人作出必要的澄清、说明或者补正。</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投标人的澄清、说明或者补正不得超出投标文件的范围或者改变投标文件的实质性内容。</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评委会并非对每个投标人都做澄清要求。</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22.2.3.3 接到评委会澄清、说明和补正要求的，投标人如未按规定作出澄清、说明和补正，其风险由投标人自行承担。</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22.2.3.4投标文件报价出现前后不一致的，除招标文件另有规定外，按照下列规定修正：</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（1）投标文件中开标一览表（报价表）内容与投标文件中相应内容不一致的，以开标一览表（报价表）为准；</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（2）大写金额和小写金额不一致的，以大写金额为准；</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（3）单价金额小数点或者百分比有明显错位的，以开标一览表的总价为准，并修改单价；</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（4）总价金额与按单价汇总金额不一致的，以单价金额计算结果为准。</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80"/>
        <w:spacing w:line="360" w:lineRule="auto"/>
        <w:shd w:val="clear" w:color="auto" w:fill="ffffff"/>
        <w:widowControl/>
        <w:rPr>
          <w:rFonts w:hint="eastAsia" w:ascii="仿宋" w:hAnsi="仿宋" w:eastAsia="仿宋" w:cs="仿宋"/>
          <w:b/>
          <w:sz w:val="24"/>
          <w:highlight w:val="none"/>
        </w:rPr>
      </w:pPr>
      <w:r>
        <w:rPr>
          <w:rFonts w:hint="eastAsia" w:ascii="仿宋" w:hAnsi="仿宋" w:eastAsia="仿宋" w:cs="仿宋"/>
          <w:sz w:val="24"/>
          <w:highlight w:val="none"/>
        </w:rPr>
        <w:t xml:space="preserve">2.2.3.5投标人在开、评标全过程中应保持通讯畅通，及时登录苏采云系统查阅、答复相关信息，并安排专人与代理机构及评委会联系。</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仿宋" w:hAnsi="仿宋" w:eastAsia="仿宋" w:cs="仿宋"/>
          <w:b/>
          <w:sz w:val="24"/>
          <w:highlight w:val="none"/>
        </w:rPr>
        <w:t xml:space="preserve">投标人不能证明其报价合理性的，评标委员会将其作为无效投标处理。</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22.2.4</w:t>
      </w:r>
      <w:r>
        <w:rPr>
          <w:rFonts w:hint="eastAsia" w:ascii="仿宋" w:hAnsi="仿宋" w:eastAsia="仿宋" w:cs="仿宋"/>
          <w:bCs/>
          <w:sz w:val="24"/>
          <w:highlight w:val="none"/>
        </w:rPr>
        <w:t xml:space="preserve">比较与评价。</w:t>
      </w:r>
      <w:r>
        <w:rPr>
          <w:rFonts w:hint="eastAsia" w:ascii="仿宋" w:hAnsi="仿宋" w:eastAsia="仿宋" w:cs="仿宋"/>
          <w:sz w:val="24"/>
          <w:highlight w:val="none"/>
        </w:rPr>
        <w:t xml:space="preserve">评标委员会应当按照招标文件中规定的评标方法和标准，对符合性审查合格的投标文件进行商务和技术评估，综合比较与评价。</w:t>
      </w:r>
      <w:r/>
    </w:p>
    <w:p>
      <w:pPr>
        <w:ind w:firstLine="482"/>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b/>
          <w:bCs/>
          <w:sz w:val="24"/>
          <w:highlight w:val="none"/>
        </w:rPr>
        <w:t xml:space="preserve">22.3 评标方法和标准</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22.3.1评标方法分为最低评标价法和综合评分法。本次招标的评标方法和标准，详见本招标文件第三章。</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22.3.2最低评标价法，是指投标文件满足招标文件全部实质性要求，且投标报价最低的投标人为中标候选人的评标方法。</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采用最低评标价法评标时，除了算术修正和落实政府采购政策需进行的价格扣除外，不对投标人的投标价格进行任何调整。</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22.3.3综合评分法，是指投标文件满足招标文件全部实质性要求，且按照评审因素的量化指标评审得分最高的投标人为中标候选人的评标方法。</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评审因素，包括价格、技术、商务等。</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评标时，评标委员会各成员应当独立对每个投标人的投标文件进行评价，并汇总每个投标人的得分。</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价格分采用低价优先法计算，即满足招标文件要求且投标价格最低的投标报价为评标基准价，其价格分为满分。</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评标总得分＝F1×A1＋F2×A2＋……＋Fn×An</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F1、F2……Fn分别为各项评审因素的得分；</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A1、A2、……An 分别为各项评审因素所占的权重(A1＋A2＋……＋An＝1)。</w:t>
      </w:r>
      <w:r/>
    </w:p>
    <w:p>
      <w:pPr>
        <w:ind w:firstLine="480"/>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因落实政府采购政策进行价格调整的，以调整后的价格计算评标基准价和投标报价。</w:t>
      </w:r>
      <w:r/>
    </w:p>
    <w:p>
      <w:pPr>
        <w:ind w:firstLine="482"/>
        <w:spacing w:line="360" w:lineRule="auto"/>
        <w:shd w:val="clear" w:color="auto" w:fill="ffffff"/>
        <w:widowControl/>
        <w:rPr>
          <w:rFonts w:hint="eastAsia" w:ascii="仿宋" w:hAnsi="仿宋" w:eastAsia="仿宋" w:cs="仿宋"/>
          <w:b/>
          <w:sz w:val="24"/>
          <w:highlight w:val="none"/>
        </w:rPr>
        <w:outlineLvl w:val="2"/>
      </w:pPr>
      <w:r/>
      <w:bookmarkStart w:id="111" w:name="_Toc11944"/>
      <w:r/>
      <w:bookmarkStart w:id="112" w:name="_Toc8485"/>
      <w:r/>
      <w:bookmarkStart w:id="113" w:name="_Toc21147"/>
      <w:r/>
      <w:bookmarkStart w:id="114" w:name="_Toc29378"/>
      <w:r>
        <w:rPr>
          <w:rFonts w:hint="eastAsia" w:ascii="仿宋" w:hAnsi="仿宋" w:eastAsia="仿宋" w:cs="仿宋"/>
          <w:b/>
          <w:bCs/>
          <w:sz w:val="24"/>
          <w:highlight w:val="none"/>
        </w:rPr>
        <w:t xml:space="preserve">23、</w:t>
      </w:r>
      <w:r>
        <w:rPr>
          <w:rFonts w:hint="eastAsia" w:ascii="仿宋" w:hAnsi="仿宋" w:eastAsia="仿宋" w:cs="仿宋"/>
          <w:b/>
          <w:sz w:val="24"/>
          <w:highlight w:val="none"/>
        </w:rPr>
        <w:t xml:space="preserve">确定中标人</w:t>
      </w:r>
      <w:bookmarkEnd w:id="111"/>
      <w:r/>
      <w:bookmarkEnd w:id="112"/>
      <w:r/>
      <w:bookmarkEnd w:id="113"/>
      <w:r/>
      <w:bookmarkEnd w:id="114"/>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因系统存储空间有限，中标结果公告届满之日起三十日后，苏采云系统不再保证提供下载《中标通知书》服务，因未及时下载而造成的不利后果由中标人自行承担。</w:t>
      </w:r>
      <w:r/>
    </w:p>
    <w:p>
      <w:pPr>
        <w:ind w:firstLine="482"/>
        <w:spacing w:line="360" w:lineRule="auto"/>
        <w:shd w:val="clear" w:color="auto" w:fill="ffffff"/>
        <w:widowControl/>
        <w:rPr>
          <w:rFonts w:hint="eastAsia" w:ascii="仿宋" w:hAnsi="仿宋" w:eastAsia="仿宋" w:cs="仿宋"/>
          <w:b/>
          <w:sz w:val="24"/>
          <w:highlight w:val="none"/>
        </w:rPr>
      </w:pPr>
      <w:r>
        <w:rPr>
          <w:rFonts w:hint="eastAsia" w:ascii="仿宋" w:hAnsi="仿宋" w:eastAsia="仿宋" w:cs="仿宋"/>
          <w:b/>
          <w:bCs/>
          <w:sz w:val="24"/>
          <w:highlight w:val="none"/>
        </w:rPr>
        <w:t xml:space="preserve">23.4 中标通知书对采购人和中标人具有同等法律效力。中标通知书发出后，采购人不得</w:t>
      </w:r>
      <w:r>
        <w:rPr>
          <w:rFonts w:hint="eastAsia" w:ascii="仿宋" w:hAnsi="仿宋" w:eastAsia="仿宋" w:cs="仿宋"/>
          <w:b/>
          <w:sz w:val="24"/>
          <w:highlight w:val="none"/>
        </w:rPr>
        <w:t xml:space="preserve">违法改变中标结果，中标人无正当理由不得放弃中标。</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23.5 所有投标文件不论中标与否，均不退回。</w:t>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115" w:name="_Toc2703"/>
      <w:r/>
      <w:bookmarkStart w:id="116" w:name="_Toc1030"/>
      <w:r/>
      <w:bookmarkStart w:id="117" w:name="_Toc17741"/>
      <w:r/>
      <w:bookmarkStart w:id="118" w:name="_Toc10827"/>
      <w:r>
        <w:rPr>
          <w:rFonts w:hint="eastAsia" w:ascii="仿宋" w:hAnsi="仿宋" w:eastAsia="仿宋" w:cs="仿宋"/>
          <w:b/>
          <w:bCs/>
          <w:sz w:val="24"/>
          <w:highlight w:val="none"/>
        </w:rPr>
        <w:t xml:space="preserve">24、编写评标报告</w:t>
      </w:r>
      <w:bookmarkEnd w:id="115"/>
      <w:r/>
      <w:bookmarkEnd w:id="116"/>
      <w:r/>
      <w:bookmarkEnd w:id="117"/>
      <w:r/>
      <w:bookmarkEnd w:id="118"/>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24.1评标委员会根据全体评标成员签字的原始评标记录和评标结果编写评标报告。</w:t>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119" w:name="_Toc19516"/>
      <w:r/>
      <w:bookmarkStart w:id="120" w:name="_Toc13041"/>
      <w:r/>
      <w:bookmarkStart w:id="121" w:name="_Toc30024"/>
      <w:r/>
      <w:bookmarkStart w:id="122" w:name="_Toc16678"/>
      <w:r>
        <w:rPr>
          <w:rFonts w:hint="eastAsia" w:ascii="仿宋" w:hAnsi="仿宋" w:eastAsia="仿宋" w:cs="仿宋"/>
          <w:b/>
          <w:bCs/>
          <w:sz w:val="24"/>
          <w:highlight w:val="none"/>
        </w:rPr>
        <w:t xml:space="preserve">25、评标过程的保密性</w:t>
      </w:r>
      <w:bookmarkEnd w:id="119"/>
      <w:r/>
      <w:bookmarkEnd w:id="120"/>
      <w:r/>
      <w:bookmarkEnd w:id="121"/>
      <w:r/>
      <w:bookmarkEnd w:id="122"/>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25.1 采购人和采购代理机构将采取必要措施，保证评标在严格保密的情况下进行。</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25.2 任何单位和个人不得非法干预、影响评标办法的确定，以及评标过程和结果。</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25.3 凡是与审查、澄清、评价和比较投标的有关资料等，均不向投标人及与评标无关的其他人员透露。</w:t>
      </w:r>
      <w:r/>
    </w:p>
    <w:p>
      <w:pPr>
        <w:ind w:firstLine="482"/>
        <w:spacing w:line="360" w:lineRule="auto"/>
        <w:shd w:val="clear" w:color="auto" w:fill="ffffff"/>
        <w:widowControl/>
        <w:rPr>
          <w:rFonts w:hint="eastAsia" w:ascii="仿宋" w:hAnsi="仿宋" w:eastAsia="仿宋" w:cs="仿宋"/>
          <w:sz w:val="24"/>
          <w:highlight w:val="none"/>
        </w:rPr>
        <w:outlineLvl w:val="1"/>
      </w:pPr>
      <w:r/>
      <w:bookmarkStart w:id="123" w:name="_Toc13134"/>
      <w:r/>
      <w:bookmarkStart w:id="124" w:name="_Toc17261"/>
      <w:r/>
      <w:bookmarkStart w:id="125" w:name="_Toc5309"/>
      <w:r/>
      <w:bookmarkStart w:id="126" w:name="_Toc8499"/>
      <w:r>
        <w:rPr>
          <w:rFonts w:hint="eastAsia" w:ascii="仿宋" w:hAnsi="仿宋" w:eastAsia="仿宋" w:cs="仿宋"/>
          <w:b/>
          <w:bCs/>
          <w:sz w:val="24"/>
          <w:highlight w:val="none"/>
        </w:rPr>
        <w:t xml:space="preserve">六、签订合同</w:t>
      </w:r>
      <w:bookmarkEnd w:id="123"/>
      <w:r/>
      <w:bookmarkEnd w:id="124"/>
      <w:r/>
      <w:bookmarkEnd w:id="125"/>
      <w:r/>
      <w:bookmarkEnd w:id="126"/>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127" w:name="_Toc3444"/>
      <w:r/>
      <w:bookmarkStart w:id="128" w:name="_Toc7384"/>
      <w:r/>
      <w:bookmarkStart w:id="129" w:name="_Toc8095"/>
      <w:r/>
      <w:bookmarkStart w:id="130" w:name="_Toc18234"/>
      <w:r>
        <w:rPr>
          <w:rFonts w:hint="eastAsia" w:ascii="仿宋" w:hAnsi="仿宋" w:eastAsia="仿宋" w:cs="仿宋"/>
          <w:b/>
          <w:bCs/>
          <w:sz w:val="24"/>
          <w:highlight w:val="none"/>
        </w:rPr>
        <w:t xml:space="preserve">26、签订合同</w:t>
      </w:r>
      <w:bookmarkEnd w:id="127"/>
      <w:r/>
      <w:bookmarkEnd w:id="128"/>
      <w:r/>
      <w:bookmarkEnd w:id="129"/>
      <w:r/>
      <w:bookmarkEnd w:id="130"/>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82"/>
        <w:spacing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sz w:val="24"/>
          <w:highlight w:val="none"/>
        </w:rPr>
        <w:t xml:space="preserve">26.2</w:t>
      </w:r>
      <w:r>
        <w:rPr>
          <w:rFonts w:hint="eastAsia" w:ascii="仿宋" w:hAnsi="仿宋" w:eastAsia="仿宋" w:cs="仿宋"/>
          <w:sz w:val="24"/>
          <w:highlight w:val="none"/>
        </w:rPr>
        <w:t xml:space="preserve">除继续履行将损害国家利益和社会公众利益的，政府采购合同的双方当事人不得擅自变更、中止或者终止合同。</w:t>
      </w:r>
      <w:r>
        <w:rPr>
          <w:rFonts w:hint="eastAsia" w:ascii="仿宋" w:hAnsi="仿宋" w:eastAsia="仿宋" w:cs="仿宋"/>
          <w:b/>
          <w:bCs/>
          <w:sz w:val="24"/>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26.3采购人不得向中标人提出任何不合理的要求作为签订合同的条件。</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26.6 采购人与中标人应当根据合同的约定依法履行合同义务。</w:t>
      </w:r>
      <w:r/>
    </w:p>
    <w:p>
      <w:pPr>
        <w:ind w:firstLine="482"/>
        <w:spacing w:line="360" w:lineRule="auto"/>
        <w:shd w:val="clear" w:color="auto" w:fill="ffffff"/>
        <w:widowControl/>
        <w:rPr>
          <w:rFonts w:hint="eastAsia" w:ascii="仿宋" w:hAnsi="仿宋" w:eastAsia="仿宋" w:cs="仿宋"/>
          <w:sz w:val="24"/>
          <w:highlight w:val="none"/>
        </w:rPr>
        <w:outlineLvl w:val="1"/>
      </w:pPr>
      <w:r/>
      <w:bookmarkStart w:id="131" w:name="_Toc23258"/>
      <w:r/>
      <w:bookmarkStart w:id="132" w:name="_Toc14938"/>
      <w:r/>
      <w:bookmarkStart w:id="133" w:name="_Toc19945"/>
      <w:r/>
      <w:bookmarkStart w:id="134" w:name="_Toc15972"/>
      <w:r>
        <w:rPr>
          <w:rFonts w:hint="eastAsia" w:ascii="仿宋" w:hAnsi="仿宋" w:eastAsia="仿宋" w:cs="仿宋"/>
          <w:b/>
          <w:bCs/>
          <w:sz w:val="24"/>
          <w:highlight w:val="none"/>
        </w:rPr>
        <w:t xml:space="preserve">七、质疑和投诉</w:t>
      </w:r>
      <w:bookmarkEnd w:id="131"/>
      <w:r/>
      <w:bookmarkEnd w:id="132"/>
      <w:r/>
      <w:bookmarkEnd w:id="133"/>
      <w:r/>
      <w:bookmarkEnd w:id="134"/>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135" w:name="_Toc16547"/>
      <w:r/>
      <w:bookmarkStart w:id="136" w:name="_Toc4985"/>
      <w:r/>
      <w:bookmarkStart w:id="137" w:name="_Toc15761"/>
      <w:r/>
      <w:bookmarkStart w:id="138" w:name="_Toc21796"/>
      <w:r>
        <w:rPr>
          <w:rFonts w:hint="eastAsia" w:ascii="仿宋" w:hAnsi="仿宋" w:eastAsia="仿宋" w:cs="仿宋"/>
          <w:b/>
          <w:bCs/>
          <w:sz w:val="24"/>
          <w:highlight w:val="none"/>
        </w:rPr>
        <w:t xml:space="preserve">27、质疑</w:t>
      </w:r>
      <w:bookmarkEnd w:id="135"/>
      <w:r/>
      <w:bookmarkEnd w:id="136"/>
      <w:r/>
      <w:bookmarkEnd w:id="137"/>
      <w:r/>
      <w:bookmarkEnd w:id="138"/>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27.1供应商对招标活动事项有疑问的，可以向采购代理机构提出询问，采购代理机构将依法作出答复，但答复的内容不涉及商业秘密</w:t>
      </w:r>
      <w:r>
        <w:rPr>
          <w:rFonts w:hint="eastAsia" w:ascii="仿宋" w:hAnsi="仿宋" w:eastAsia="仿宋" w:cs="仿宋"/>
          <w:b/>
          <w:bCs/>
          <w:sz w:val="24"/>
          <w:highlight w:val="none"/>
        </w:rPr>
        <w:t xml:space="preserve">。</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27.2提出质疑的供应商应当是参与所质疑项目采购活动的供应商。潜在供应商已依法获取其可质疑的采购文件的，可以对该文件提出质疑。</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82"/>
        <w:spacing w:line="360" w:lineRule="auto"/>
        <w:shd w:val="clear" w:color="auto" w:fill="ffffff"/>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供应商必须在法定质疑期内一次性提出针对同一采购程序环节的质疑。</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27.4 供应商提出质疑应当提交质疑函和必要的证明材料。质疑函应当包括下列内容：</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（一）供应商的姓名或者名称、地址、邮编、联系人及联系电话；</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（二）质疑项目的名称、编号；</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（三）具体、明确的质疑事项和与质疑事项相关的请求（具体条款）；</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（四）事实依据（具体条款）；</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（五）必要的法律依据（具体条款）；</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（六）提出质疑的日期。</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质疑函应当使用中文。相关当事人提供外文书证或者外国语视听资料的，应当附有中文译本，由翻译机构盖章或者翻译人员签名。</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27.5质疑函应当现场提交至采购代理机构联系人处，提交时应出示有效身份证明。未按上述要求提交质疑函的，质疑不予受理。</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27.7采购代理机构在收到投标人的书面质疑后将及时组织调查核实，在</w:t>
      </w:r>
      <w:r>
        <w:rPr>
          <w:rFonts w:hint="eastAsia" w:ascii="仿宋" w:hAnsi="仿宋" w:eastAsia="仿宋" w:cs="仿宋"/>
          <w:b/>
          <w:bCs/>
          <w:sz w:val="24"/>
          <w:highlight w:val="none"/>
        </w:rPr>
        <w:t xml:space="preserve">七个工作日内</w:t>
      </w:r>
      <w:r>
        <w:rPr>
          <w:rFonts w:hint="eastAsia" w:ascii="仿宋" w:hAnsi="仿宋" w:eastAsia="仿宋" w:cs="仿宋"/>
          <w:sz w:val="24"/>
          <w:highlight w:val="none"/>
        </w:rPr>
        <w:t xml:space="preserve">作出答复，并以书面或在网站公告形式通知质疑投标人和其他有关投标人，答复的内容不涉及商业秘密。</w:t>
      </w:r>
      <w:r/>
    </w:p>
    <w:p>
      <w:pPr>
        <w:ind w:firstLine="482"/>
        <w:spacing w:line="360" w:lineRule="auto"/>
        <w:shd w:val="clear" w:color="auto" w:fill="ffffff"/>
        <w:widowControl/>
        <w:rPr>
          <w:rFonts w:hint="eastAsia" w:ascii="仿宋" w:hAnsi="仿宋" w:eastAsia="仿宋" w:cs="仿宋"/>
          <w:sz w:val="24"/>
          <w:highlight w:val="none"/>
        </w:rPr>
        <w:outlineLvl w:val="2"/>
      </w:pPr>
      <w:r/>
      <w:bookmarkStart w:id="139" w:name="_Toc16587"/>
      <w:r/>
      <w:bookmarkStart w:id="140" w:name="_Toc20567"/>
      <w:r/>
      <w:bookmarkStart w:id="141" w:name="_Toc22899"/>
      <w:r/>
      <w:bookmarkStart w:id="142" w:name="_Toc14812"/>
      <w:r>
        <w:rPr>
          <w:rFonts w:hint="eastAsia" w:ascii="仿宋" w:hAnsi="仿宋" w:eastAsia="仿宋" w:cs="仿宋"/>
          <w:b/>
          <w:bCs/>
          <w:sz w:val="24"/>
          <w:highlight w:val="none"/>
        </w:rPr>
        <w:t xml:space="preserve">28、投诉</w:t>
      </w:r>
      <w:bookmarkEnd w:id="139"/>
      <w:r/>
      <w:bookmarkEnd w:id="140"/>
      <w:r/>
      <w:bookmarkEnd w:id="141"/>
      <w:r/>
      <w:bookmarkEnd w:id="142"/>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28.2供应商投诉应当有明确的请求和必要的证明材料。供应商投诉的事项不得超出已质疑事项的范围。</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28.3投诉人对政府采购监督管理部门的投诉处理决定不服或者政府采购监督管理部门逾期未作处理的，可以依法申请行政复议或者向人民法院提起行政诉讼。</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28.4 投诉人有下列行为之一的，属于严重失信行为，由财政部门列入不良行为记录名单，禁止其一至三年内参加政府采购活动。</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（1）投诉人在全国范围12个月内三次以上投诉查无实据的；</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（2）采用捏造事实、提供虚假材料或者以非法手段取得证明材料等方式进行虚假、恶意投诉。</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证据来源的合法性存在明显疑问，投诉人无法证明其取得方式合法的，视为以非法手段取得证明材料。</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br w:type="page" w:clear="all"/>
      </w:r>
      <w:r/>
    </w:p>
    <w:p>
      <w:pPr>
        <w:pStyle w:val="826"/>
        <w:numPr>
          <w:ilvl w:val="0"/>
          <w:numId w:val="0"/>
        </w:numPr>
        <w:spacing w:line="360" w:lineRule="auto"/>
        <w:rPr>
          <w:rFonts w:hint="eastAsia" w:ascii="仿宋" w:hAnsi="仿宋" w:eastAsia="仿宋" w:cs="仿宋"/>
          <w:highlight w:val="none"/>
        </w:rPr>
      </w:pPr>
      <w:r/>
      <w:bookmarkStart w:id="143" w:name="_Toc26719"/>
      <w:r/>
      <w:bookmarkStart w:id="144" w:name="_Toc481057145"/>
      <w:r>
        <w:rPr>
          <w:rFonts w:hint="eastAsia" w:ascii="仿宋" w:hAnsi="仿宋" w:eastAsia="仿宋" w:cs="仿宋"/>
          <w:highlight w:val="none"/>
        </w:rPr>
        <w:t xml:space="preserve">第三章 </w:t>
      </w:r>
      <w:bookmarkStart w:id="145" w:name="_Toc7731"/>
      <w:r>
        <w:rPr>
          <w:rFonts w:hint="eastAsia" w:ascii="仿宋" w:hAnsi="仿宋" w:eastAsia="仿宋" w:cs="仿宋"/>
          <w:highlight w:val="none"/>
        </w:rPr>
        <w:t xml:space="preserve">评标标准</w:t>
      </w:r>
      <w:bookmarkEnd w:id="143"/>
      <w:r/>
      <w:bookmarkEnd w:id="144"/>
      <w:r/>
      <w:bookmarkEnd w:id="145"/>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tbl>
      <w:tblPr>
        <w:tblStyle w:val="836"/>
        <w:tblW w:w="9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230"/>
        <w:gridCol w:w="5565"/>
        <w:gridCol w:w="690"/>
        <w:gridCol w:w="838"/>
      </w:tblGrid>
      <w:tr>
        <w:trPr>
          <w:jc w:val="center"/>
          <w:trHeight w:val="486"/>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评分</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因素</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分值</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类型</w:t>
            </w:r>
            <w:r/>
          </w:p>
        </w:tc>
      </w:tr>
      <w:tr>
        <w:trPr>
          <w:jc w:val="center"/>
          <w:trHeight w:val="90"/>
          <w:tblHeader/>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1</w:t>
            </w:r>
            <w:r/>
          </w:p>
        </w:tc>
        <w:tc>
          <w:tcPr>
            <w:tcBorders>
              <w:top w:val="single" w:color="auto" w:sz="4" w:space="0"/>
              <w:left w:val="single" w:color="auto" w:sz="4" w:space="0"/>
              <w:right w:val="single" w:color="auto" w:sz="4" w:space="0"/>
            </w:tcBorders>
            <w:tcW w:w="123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价格</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t xml:space="preserve">评标采用低价优先的方法，满足招标文件要求且投标价格最低的投标报价为评标基准价，其价格分为满分。其他投标人的价格分值按照下列公式计算：投标报价得分=(评标基准价／投标报价)×10。（小数点后保留两位，第三位四舍五入）</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计算</w:t>
            </w:r>
            <w:r/>
          </w:p>
        </w:tc>
      </w:tr>
      <w:tr>
        <w:trPr>
          <w:jc w:val="center"/>
          <w:trHeight w:val="812"/>
          <w:tblHeader/>
        </w:trPr>
        <w:tc>
          <w:tcPr>
            <w:tcBorders>
              <w:top w:val="single" w:color="auto" w:sz="4" w:space="0"/>
              <w:left w:val="single" w:color="auto" w:sz="4" w:space="0"/>
              <w:right w:val="single" w:color="auto" w:sz="4" w:space="0"/>
            </w:tcBorders>
            <w:tcW w:w="690" w:type="dxa"/>
            <w:vAlign w:val="center"/>
            <w:vMerge w:val="restart"/>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2</w:t>
            </w:r>
            <w:r/>
          </w:p>
        </w:tc>
        <w:tc>
          <w:tcPr>
            <w:tcBorders>
              <w:left w:val="single" w:color="auto" w:sz="4" w:space="0"/>
              <w:right w:val="single" w:color="auto" w:sz="4" w:space="0"/>
            </w:tcBorders>
            <w:tcW w:w="1230" w:type="dxa"/>
            <w:vAlign w:val="center"/>
            <w:vMerge w:val="restart"/>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服务方案</w:t>
            </w:r>
            <w:r/>
          </w:p>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（62分）</w:t>
            </w:r>
            <w:r/>
          </w:p>
        </w:tc>
        <w:tc>
          <w:tcPr>
            <w:tcBorders>
              <w:top w:val="single" w:color="auto" w:sz="4" w:space="0"/>
              <w:left w:val="single" w:color="auto" w:sz="4" w:space="0"/>
              <w:right w:val="single" w:color="auto" w:sz="4" w:space="0"/>
            </w:tcBorders>
            <w:tcW w:w="5565" w:type="dxa"/>
            <w:vAlign w:val="center"/>
            <w:textDirection w:val="lrTb"/>
            <w:noWrap w:val="false"/>
          </w:tcPr>
          <w:p>
            <w:pPr>
              <w:rPr>
                <w:rFonts w:hint="eastAsia" w:ascii="仿宋" w:hAnsi="仿宋" w:eastAsia="仿宋" w:cs="仿宋"/>
                <w:b/>
                <w:bCs/>
                <w:szCs w:val="21"/>
                <w:highlight w:val="none"/>
              </w:rPr>
            </w:pPr>
            <w:r>
              <w:rPr>
                <w:rFonts w:hint="eastAsia" w:ascii="仿宋" w:hAnsi="仿宋" w:eastAsia="仿宋" w:cs="仿宋"/>
                <w:b/>
                <w:bCs/>
                <w:szCs w:val="21"/>
                <w:highlight w:val="none"/>
              </w:rPr>
              <w:t xml:space="preserve">整体管理方案：</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根据投标文件提供本项目客房、会务管理、餐饮服务等总体设想、服务于本项目的重点、难点、不同于其他投标人的新颖思路等方面综合评分：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方案完善、科学可行、针对性强，重点、难点分析准确的得10分；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方案较为完善、针对性强，重点、难点把控大致准确的得7分；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方案基本完善、重点、难点把控基本合理的得4分；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方案内容、重点、难点把控合理性相对欠缺的得1分；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未编制不得分。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10</w:t>
            </w:r>
            <w:r/>
          </w:p>
        </w:tc>
        <w:tc>
          <w:tcPr>
            <w:tcBorders>
              <w:top w:val="single" w:color="auto" w:sz="4" w:space="0"/>
              <w:left w:val="single" w:color="auto" w:sz="4" w:space="0"/>
              <w:right w:val="single" w:color="auto" w:sz="4" w:space="0"/>
            </w:tcBorders>
            <w:tcW w:w="838" w:type="dxa"/>
            <w:vAlign w:val="center"/>
            <w:vMerge w:val="restart"/>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主观分</w:t>
            </w:r>
            <w:r/>
          </w:p>
        </w:tc>
      </w:tr>
      <w:tr>
        <w:trPr>
          <w:jc w:val="center"/>
          <w:trHeight w:val="713"/>
          <w:tblHeader/>
        </w:trPr>
        <w:tc>
          <w:tcPr>
            <w:tcBorders>
              <w:left w:val="single" w:color="auto" w:sz="4" w:space="0"/>
              <w:right w:val="single" w:color="auto" w:sz="4" w:space="0"/>
            </w:tcBorders>
            <w:tcW w:w="690" w:type="dxa"/>
            <w:vAlign w:val="center"/>
            <w:vMerge w:val="continue"/>
            <w:textDirection w:val="lrTb"/>
            <w:noWrap w:val="false"/>
          </w:tcPr>
          <w:p>
            <w:pPr>
              <w:ind w:left="60"/>
              <w:jc w:val="cente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230" w:type="dxa"/>
            <w:vAlign w:val="center"/>
            <w:vMerge w:val="continue"/>
            <w:textDirection w:val="lrTb"/>
            <w:noWrap w:val="false"/>
          </w:tcPr>
          <w:p>
            <w:pPr>
              <w:ind w:left="60"/>
              <w:jc w:val="cente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hint="eastAsia" w:ascii="仿宋" w:hAnsi="仿宋" w:eastAsia="仿宋" w:cs="仿宋"/>
                <w:b/>
                <w:bCs/>
                <w:szCs w:val="21"/>
                <w:highlight w:val="none"/>
              </w:rPr>
            </w:pPr>
            <w:r>
              <w:rPr>
                <w:rFonts w:hint="eastAsia" w:ascii="仿宋" w:hAnsi="仿宋" w:eastAsia="仿宋" w:cs="仿宋"/>
                <w:b/>
                <w:bCs/>
                <w:szCs w:val="21"/>
                <w:highlight w:val="none"/>
              </w:rPr>
              <w:t xml:space="preserve">服务架构：</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根据投标文件提供本项目的各部门、岗位设置及职责、人员配置，各类规章制度、管理规范、考核办法及项目管理的后期规划、目标等综合评分：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方案全面，主题突出，针对性强的得8分；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方案较全面，主题较突出，针对性较强的得5分；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方案基本符合项目需求的得3分；</w:t>
            </w:r>
            <w:r/>
          </w:p>
          <w:p>
            <w:pPr>
              <w:rPr>
                <w:rFonts w:hint="eastAsia" w:ascii="仿宋" w:hAnsi="仿宋" w:eastAsia="仿宋" w:cs="仿宋"/>
                <w:szCs w:val="21"/>
                <w:highlight w:val="none"/>
                <w:lang w:val="zh-CN"/>
              </w:rPr>
            </w:pPr>
            <w:r>
              <w:rPr>
                <w:rFonts w:hint="eastAsia" w:ascii="仿宋" w:hAnsi="仿宋" w:eastAsia="仿宋" w:cs="仿宋"/>
                <w:szCs w:val="21"/>
                <w:highlight w:val="none"/>
              </w:rPr>
              <w:t xml:space="preserve">未编制不得分。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8</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eastAsia" w:ascii="仿宋" w:hAnsi="仿宋" w:eastAsia="仿宋" w:cs="仿宋"/>
                <w:highlight w:val="none"/>
              </w:rPr>
            </w:pPr>
            <w:r>
              <w:rPr>
                <w:rFonts w:hint="eastAsia" w:ascii="仿宋" w:hAnsi="仿宋" w:eastAsia="仿宋" w:cs="仿宋"/>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hint="eastAsia" w:ascii="仿宋" w:hAnsi="仿宋" w:eastAsia="仿宋" w:cs="仿宋"/>
                <w:b/>
                <w:bCs/>
                <w:szCs w:val="21"/>
                <w:highlight w:val="none"/>
              </w:rPr>
            </w:pPr>
            <w:r>
              <w:rPr>
                <w:rFonts w:hint="eastAsia" w:ascii="仿宋" w:hAnsi="仿宋" w:eastAsia="仿宋" w:cs="仿宋"/>
                <w:b/>
                <w:bCs/>
                <w:szCs w:val="21"/>
                <w:highlight w:val="none"/>
              </w:rPr>
              <w:t xml:space="preserve">人员管理方案：</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（1）根据投标文件人员管理方案对于优秀员工激励、工资增长方案、骨干员工培养、防止优秀员工流失措施等方面综合评分：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方案全面，合理性、针对性强的得3分；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方案较全面，合理性、针对性较强的得2分；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方案基本符合项目需求的得1分；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未编制不得分。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（2）工资方案合理性：根据投标人工资方案（尤其是直接对客员工、管理人员、厨师等专业人员等一线人员）合理性综合评分：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方案全面，合理性、针对性强的得3分；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方案较全面，合理性、针对性较强的得2分；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方案基本符合项目需求的得1分；</w:t>
            </w:r>
            <w:r/>
          </w:p>
          <w:p>
            <w:pPr>
              <w:rPr>
                <w:rFonts w:hint="eastAsia" w:ascii="仿宋" w:hAnsi="仿宋" w:eastAsia="仿宋" w:cs="仿宋"/>
                <w:szCs w:val="20"/>
                <w:highlight w:val="none"/>
              </w:rPr>
            </w:pPr>
            <w:r>
              <w:rPr>
                <w:rFonts w:hint="eastAsia" w:ascii="仿宋" w:hAnsi="仿宋" w:eastAsia="仿宋" w:cs="仿宋"/>
                <w:szCs w:val="21"/>
                <w:highlight w:val="none"/>
              </w:rPr>
              <w:t xml:space="preserve">未编制不得分。</w:t>
            </w:r>
            <w:r/>
          </w:p>
        </w:tc>
        <w:tc>
          <w:tcPr>
            <w:tcBorders>
              <w:left w:val="single" w:color="auto" w:sz="4" w:space="0"/>
              <w:right w:val="single" w:color="auto" w:sz="4" w:space="0"/>
            </w:tcBorders>
            <w:tcW w:w="69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6</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632"/>
          <w:tblHeader/>
        </w:trPr>
        <w:tc>
          <w:tcPr>
            <w:tcBorders>
              <w:left w:val="single" w:color="auto" w:sz="4" w:space="0"/>
              <w:right w:val="single" w:color="auto" w:sz="4" w:space="0"/>
            </w:tcBorders>
            <w:tcW w:w="690" w:type="dxa"/>
            <w:vAlign w:val="center"/>
            <w:vMerge w:val="continue"/>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hint="eastAsia" w:ascii="仿宋" w:hAnsi="仿宋" w:eastAsia="仿宋" w:cs="仿宋"/>
                <w:b/>
                <w:bCs/>
                <w:szCs w:val="21"/>
                <w:highlight w:val="none"/>
              </w:rPr>
            </w:pPr>
            <w:r>
              <w:rPr>
                <w:rFonts w:hint="eastAsia" w:ascii="仿宋" w:hAnsi="仿宋" w:eastAsia="仿宋" w:cs="仿宋"/>
                <w:b/>
                <w:bCs/>
                <w:szCs w:val="21"/>
                <w:highlight w:val="none"/>
              </w:rPr>
              <w:t xml:space="preserve">餐饮服务和食品安全保障方案：</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（1）根据投标文件提供餐饮服务和食品安全保障方案、质量标准、考核控制办法及特色举措等综合评分：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方案全面，合理性、针对性强的得5分；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方案较全面，合理性、针对性较强的得3分；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方案基本符合项目需求的得1分；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未编制不得分。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（2）菜品质量管理方案：</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根据投标文件提供的菜品种类、菜品保障、新菜品更新、对外菜品学习交流机制及服务承诺综合评分：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方案全面，合理性、针对性强的得5分；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方案较全面，合理性、针对性较强的得3分；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方案基本符合项目需求的得1分；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未编制不得分。</w:t>
            </w:r>
            <w:r/>
          </w:p>
        </w:tc>
        <w:tc>
          <w:tcPr>
            <w:tcBorders>
              <w:left w:val="single" w:color="auto" w:sz="4" w:space="0"/>
              <w:right w:val="single" w:color="auto" w:sz="4" w:space="0"/>
            </w:tcBorders>
            <w:tcW w:w="69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10</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675"/>
          <w:tblHeader/>
        </w:trPr>
        <w:tc>
          <w:tcPr>
            <w:tcBorders>
              <w:left w:val="single" w:color="auto" w:sz="4" w:space="0"/>
              <w:right w:val="single" w:color="auto" w:sz="4" w:space="0"/>
            </w:tcBorders>
            <w:tcW w:w="690" w:type="dxa"/>
            <w:vAlign w:val="center"/>
            <w:vMerge w:val="continue"/>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hint="eastAsia" w:ascii="仿宋" w:hAnsi="仿宋" w:eastAsia="仿宋" w:cs="仿宋"/>
                <w:b/>
                <w:bCs/>
                <w:szCs w:val="21"/>
                <w:highlight w:val="none"/>
              </w:rPr>
            </w:pPr>
            <w:r>
              <w:rPr>
                <w:rFonts w:hint="eastAsia" w:ascii="仿宋" w:hAnsi="仿宋" w:eastAsia="仿宋" w:cs="仿宋"/>
                <w:b/>
                <w:bCs/>
                <w:szCs w:val="21"/>
                <w:highlight w:val="none"/>
              </w:rPr>
              <w:t xml:space="preserve">客房及会务实施方案：</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根据投标文件提供房务、会务服务的实施方案、质量标准、考核控制办法及特色举措等综合评分：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方案全面，合理性、针对性强的得7分；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方案较全面，合理性、针对性较强的得4分；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方案基本符合项目需求的得1分；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未编制不得分。</w:t>
            </w:r>
            <w:r/>
          </w:p>
        </w:tc>
        <w:tc>
          <w:tcPr>
            <w:tcBorders>
              <w:left w:val="single" w:color="auto" w:sz="4" w:space="0"/>
              <w:right w:val="single" w:color="auto" w:sz="4" w:space="0"/>
            </w:tcBorders>
            <w:tcW w:w="69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7</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675"/>
          <w:tblHeader/>
        </w:trPr>
        <w:tc>
          <w:tcPr>
            <w:tcBorders>
              <w:left w:val="single" w:color="auto" w:sz="4" w:space="0"/>
              <w:right w:val="single" w:color="auto" w:sz="4" w:space="0"/>
            </w:tcBorders>
            <w:tcW w:w="690" w:type="dxa"/>
            <w:vAlign w:val="center"/>
            <w:vMerge w:val="continue"/>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hint="eastAsia" w:ascii="仿宋" w:hAnsi="仿宋" w:eastAsia="仿宋" w:cs="仿宋"/>
                <w:b/>
                <w:bCs/>
                <w:szCs w:val="21"/>
                <w:highlight w:val="none"/>
              </w:rPr>
            </w:pPr>
            <w:r>
              <w:rPr>
                <w:rFonts w:hint="eastAsia" w:ascii="仿宋" w:hAnsi="仿宋" w:eastAsia="仿宋" w:cs="仿宋"/>
                <w:b/>
                <w:bCs/>
                <w:szCs w:val="21"/>
                <w:highlight w:val="none"/>
              </w:rPr>
              <w:t xml:space="preserve">各类应急方案：</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评委根据投标文件提供的管理服务期间各类突发事件应急处理预案的科学性、合理性、可操作性等进行综合评分：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对项目执行中可能遇到的风险有预测，应对方案合理可行的得7分；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对项目执行中可能遇到的风险有预测，应对方案较合理可行的得4分；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对项目执行中可能遇到的风险有预测，应对方案基本可行的得1分；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未编制不得分。</w:t>
            </w:r>
            <w:r/>
          </w:p>
        </w:tc>
        <w:tc>
          <w:tcPr>
            <w:tcBorders>
              <w:left w:val="single" w:color="auto" w:sz="4" w:space="0"/>
              <w:right w:val="single" w:color="auto" w:sz="4" w:space="0"/>
            </w:tcBorders>
            <w:tcW w:w="69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7</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675"/>
          <w:tblHeader/>
        </w:trPr>
        <w:tc>
          <w:tcPr>
            <w:tcBorders>
              <w:left w:val="single" w:color="auto" w:sz="4" w:space="0"/>
              <w:right w:val="single" w:color="auto" w:sz="4" w:space="0"/>
            </w:tcBorders>
            <w:tcW w:w="690" w:type="dxa"/>
            <w:vAlign w:val="center"/>
            <w:vMerge w:val="continue"/>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hint="eastAsia" w:ascii="仿宋" w:hAnsi="仿宋" w:eastAsia="仿宋" w:cs="仿宋"/>
                <w:b/>
                <w:bCs/>
                <w:szCs w:val="21"/>
                <w:highlight w:val="none"/>
              </w:rPr>
            </w:pPr>
            <w:r>
              <w:rPr>
                <w:rFonts w:hint="eastAsia" w:ascii="仿宋" w:hAnsi="仿宋" w:eastAsia="仿宋" w:cs="仿宋"/>
                <w:b/>
                <w:bCs/>
                <w:szCs w:val="21"/>
                <w:highlight w:val="none"/>
              </w:rPr>
              <w:t xml:space="preserve">质量控制和培训方案：</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根据投标文件提供的项目质量控制和员工培训的实施方案及特色举措等综合评分：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方案全面，主题突出，针对性强的得7分；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方案较全面，主题较突出，针对性较强的得4分；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方案基本符合项目需求的得1分；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未编制不得分。</w:t>
            </w:r>
            <w:r/>
          </w:p>
        </w:tc>
        <w:tc>
          <w:tcPr>
            <w:tcBorders>
              <w:left w:val="single" w:color="auto" w:sz="4" w:space="0"/>
              <w:right w:val="single" w:color="auto" w:sz="4" w:space="0"/>
            </w:tcBorders>
            <w:tcW w:w="69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7</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675"/>
          <w:tblHeader/>
        </w:trPr>
        <w:tc>
          <w:tcPr>
            <w:tcBorders>
              <w:left w:val="single" w:color="auto" w:sz="4" w:space="0"/>
              <w:right w:val="single" w:color="auto" w:sz="4" w:space="0"/>
            </w:tcBorders>
            <w:tcW w:w="690" w:type="dxa"/>
            <w:vAlign w:val="center"/>
            <w:vMerge w:val="continue"/>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left w:val="single" w:color="auto" w:sz="4" w:space="0"/>
              <w:right w:val="single" w:color="auto" w:sz="4" w:space="0"/>
            </w:tcBorders>
            <w:tcW w:w="1230" w:type="dxa"/>
            <w:vAlign w:val="center"/>
            <w:vMerge w:val="continue"/>
            <w:textDirection w:val="lrTb"/>
            <w:noWrap w:val="false"/>
          </w:tcPr>
          <w:p>
            <w:pPr>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auto" w:sz="4" w:space="0"/>
              <w:left w:val="single" w:color="auto" w:sz="4" w:space="0"/>
              <w:right w:val="single" w:color="auto" w:sz="4" w:space="0"/>
            </w:tcBorders>
            <w:tcW w:w="5565" w:type="dxa"/>
            <w:vAlign w:val="center"/>
            <w:textDirection w:val="lrTb"/>
            <w:noWrap w:val="false"/>
          </w:tcPr>
          <w:p>
            <w:pPr>
              <w:rPr>
                <w:rFonts w:hint="eastAsia" w:ascii="仿宋" w:hAnsi="仿宋" w:eastAsia="仿宋" w:cs="仿宋"/>
                <w:b/>
                <w:bCs/>
                <w:szCs w:val="21"/>
                <w:highlight w:val="none"/>
              </w:rPr>
            </w:pPr>
            <w:r>
              <w:rPr>
                <w:rFonts w:hint="eastAsia" w:ascii="仿宋" w:hAnsi="仿宋" w:eastAsia="仿宋" w:cs="仿宋"/>
                <w:b/>
                <w:bCs/>
                <w:szCs w:val="21"/>
                <w:highlight w:val="none"/>
              </w:rPr>
              <w:t xml:space="preserve">重大活动调剂能力和方案：</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根据投标文件提供的党校临时重大活动专业人员（各类厨师、餐饮服务员、房务清扫员、会务服务员）储备及调剂能力及方案等综合评分：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方案全面，主题突出，针对性强的得7分；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方案较全面，主题较突出，针对性较强的得4分；</w:t>
            </w:r>
            <w:r/>
          </w:p>
          <w:p>
            <w:pPr>
              <w:rPr>
                <w:rFonts w:hint="eastAsia" w:ascii="仿宋" w:hAnsi="仿宋" w:eastAsia="仿宋" w:cs="仿宋"/>
                <w:szCs w:val="21"/>
                <w:highlight w:val="none"/>
              </w:rPr>
            </w:pPr>
            <w:r>
              <w:rPr>
                <w:rFonts w:hint="eastAsia" w:ascii="仿宋" w:hAnsi="仿宋" w:eastAsia="仿宋" w:cs="仿宋"/>
                <w:szCs w:val="21"/>
                <w:highlight w:val="none"/>
              </w:rPr>
              <w:t xml:space="preserve">方案基本符合项目需求的得1分；</w:t>
            </w:r>
            <w:r/>
          </w:p>
          <w:p>
            <w:pPr>
              <w:rPr>
                <w:rFonts w:hint="eastAsia" w:ascii="仿宋" w:hAnsi="仿宋" w:eastAsia="仿宋" w:cs="仿宋"/>
                <w:bCs/>
                <w:szCs w:val="21"/>
                <w:highlight w:val="none"/>
              </w:rPr>
            </w:pPr>
            <w:r>
              <w:rPr>
                <w:rFonts w:hint="eastAsia" w:ascii="仿宋" w:hAnsi="仿宋" w:eastAsia="仿宋" w:cs="仿宋"/>
                <w:szCs w:val="21"/>
                <w:highlight w:val="none"/>
              </w:rPr>
              <w:t xml:space="preserve">未编制不得分。</w:t>
            </w:r>
            <w:r/>
          </w:p>
        </w:tc>
        <w:tc>
          <w:tcPr>
            <w:tcBorders>
              <w:left w:val="single" w:color="auto" w:sz="4" w:space="0"/>
              <w:right w:val="single" w:color="auto" w:sz="4" w:space="0"/>
            </w:tcBorders>
            <w:tcW w:w="69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7</w:t>
            </w:r>
            <w:r/>
          </w:p>
        </w:tc>
        <w:tc>
          <w:tcPr>
            <w:tcBorders>
              <w:left w:val="single" w:color="auto" w:sz="4" w:space="0"/>
              <w:right w:val="single" w:color="auto" w:sz="4" w:space="0"/>
            </w:tcBorders>
            <w:tcW w:w="838" w:type="dxa"/>
            <w:vAlign w:val="center"/>
            <w:vMerge w:val="continue"/>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651"/>
          <w:tblHeader/>
        </w:trPr>
        <w:tc>
          <w:tcPr>
            <w:tcBorders>
              <w:left w:val="single" w:color="auto" w:sz="4" w:space="0"/>
              <w:right w:val="single" w:color="auto" w:sz="4" w:space="0"/>
            </w:tcBorders>
            <w:tcW w:w="69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3</w:t>
            </w:r>
            <w:r/>
          </w:p>
        </w:tc>
        <w:tc>
          <w:tcPr>
            <w:tcBorders>
              <w:left w:val="single" w:color="auto" w:sz="4" w:space="0"/>
              <w:right w:val="single" w:color="auto" w:sz="4" w:space="0"/>
            </w:tcBorders>
            <w:tcW w:w="123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企业业绩</w:t>
            </w:r>
            <w:r/>
          </w:p>
          <w:p>
            <w:pPr>
              <w:jc w:val="center"/>
              <w:rPr>
                <w:rFonts w:hint="eastAsia" w:ascii="仿宋" w:hAnsi="仿宋" w:eastAsia="仿宋" w:cs="仿宋"/>
                <w:highlight w:val="none"/>
              </w:rPr>
            </w:pPr>
            <w:r>
              <w:rPr>
                <w:rFonts w:hint="eastAsia" w:ascii="仿宋" w:hAnsi="仿宋" w:eastAsia="仿宋" w:cs="仿宋"/>
                <w:szCs w:val="21"/>
                <w:highlight w:val="none"/>
              </w:rPr>
              <w:t xml:space="preserve">（9分）</w:t>
            </w:r>
            <w:r/>
          </w:p>
        </w:tc>
        <w:tc>
          <w:tcPr>
            <w:tcBorders>
              <w:top w:val="single" w:color="auto" w:sz="4" w:space="0"/>
              <w:left w:val="single" w:color="auto" w:sz="4" w:space="0"/>
              <w:right w:val="single" w:color="auto" w:sz="4" w:space="0"/>
            </w:tcBorders>
            <w:tcW w:w="5565" w:type="dxa"/>
            <w:vAlign w:val="center"/>
            <w:textDirection w:val="lrTb"/>
            <w:noWrap w:val="false"/>
          </w:tcPr>
          <w:p>
            <w:pPr>
              <w:pStyle w:val="837"/>
              <w:ind w:firstLine="0"/>
              <w:rPr>
                <w:rFonts w:hint="eastAsia" w:ascii="仿宋" w:hAnsi="仿宋" w:eastAsia="仿宋" w:cs="仿宋"/>
                <w:szCs w:val="21"/>
                <w:highlight w:val="none"/>
              </w:rPr>
            </w:pPr>
            <w:r>
              <w:rPr>
                <w:rFonts w:hint="eastAsia" w:ascii="仿宋" w:hAnsi="仿宋" w:eastAsia="仿宋" w:cs="仿宋"/>
                <w:szCs w:val="21"/>
                <w:highlight w:val="none"/>
              </w:rPr>
              <w:t xml:space="preserve">投标人提供2021年1月1日以来（以合同签订时间为准）承接的类似项目的业绩（服务内容需包含：餐饮服务，客房服务及会议接待服务等），每提供1个得3分，最多得9分。</w:t>
            </w:r>
            <w:r/>
          </w:p>
          <w:p>
            <w:pPr>
              <w:jc w:val="left"/>
              <w:rPr>
                <w:rFonts w:hint="eastAsia" w:ascii="仿宋" w:hAnsi="仿宋" w:eastAsia="仿宋" w:cs="仿宋"/>
                <w:szCs w:val="21"/>
                <w:highlight w:val="none"/>
                <w:lang w:val="zh-CN"/>
              </w:rPr>
            </w:pPr>
            <w:r>
              <w:rPr>
                <w:rFonts w:hint="eastAsia" w:ascii="仿宋" w:hAnsi="仿宋" w:eastAsia="仿宋" w:cs="仿宋"/>
                <w:szCs w:val="21"/>
                <w:highlight w:val="none"/>
              </w:rPr>
              <w:t xml:space="preserve">（提供合同电子文件加盖电子公章，合同须能反映项目名称、服务内容，签订时间和签章清晰可见，否则视为未提供）</w:t>
            </w:r>
            <w:r/>
          </w:p>
        </w:tc>
        <w:tc>
          <w:tcPr>
            <w:tcBorders>
              <w:left w:val="single" w:color="auto" w:sz="4" w:space="0"/>
              <w:right w:val="single" w:color="auto" w:sz="4" w:space="0"/>
            </w:tcBorders>
            <w:tcW w:w="690"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9</w:t>
            </w:r>
            <w:r/>
          </w:p>
        </w:tc>
        <w:tc>
          <w:tcPr>
            <w:tcBorders>
              <w:left w:val="single" w:color="auto" w:sz="4" w:space="0"/>
              <w:right w:val="single" w:color="auto" w:sz="4" w:space="0"/>
            </w:tcBorders>
            <w:tcW w:w="838" w:type="dxa"/>
            <w:vAlign w:val="center"/>
            <w:vMerge w:val="restart"/>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客观分</w:t>
            </w:r>
            <w:r/>
          </w:p>
        </w:tc>
      </w:tr>
      <w:tr>
        <w:trPr>
          <w:jc w:val="center"/>
          <w:trHeight w:val="651"/>
          <w:tblHeader/>
        </w:trPr>
        <w:tc>
          <w:tcPr>
            <w:tcBorders>
              <w:left w:val="single" w:color="auto" w:sz="4" w:space="0"/>
              <w:right w:val="single" w:color="auto" w:sz="4" w:space="0"/>
            </w:tcBorders>
            <w:tcW w:w="69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4</w:t>
            </w:r>
            <w:r/>
          </w:p>
        </w:tc>
        <w:tc>
          <w:tcPr>
            <w:tcBorders>
              <w:left w:val="single" w:color="auto" w:sz="4" w:space="0"/>
              <w:right w:val="single" w:color="auto" w:sz="4" w:space="0"/>
            </w:tcBorders>
            <w:tcW w:w="123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人员保障（11分）</w:t>
            </w:r>
            <w:r/>
          </w:p>
        </w:tc>
        <w:tc>
          <w:tcPr>
            <w:tcBorders>
              <w:top w:val="single" w:color="auto" w:sz="4" w:space="0"/>
              <w:left w:val="single" w:color="auto" w:sz="4" w:space="0"/>
              <w:right w:val="single" w:color="auto" w:sz="4" w:space="0"/>
            </w:tcBorders>
            <w:tcW w:w="5565" w:type="dxa"/>
            <w:vAlign w:val="center"/>
            <w:textDirection w:val="lrTb"/>
            <w:noWrap w:val="false"/>
          </w:tcPr>
          <w:p>
            <w:pPr>
              <w:pStyle w:val="1230"/>
              <w:ind w:right="51"/>
              <w:jc w:val="left"/>
              <w:spacing w:before="50" w:line="278" w:lineRule="auto"/>
              <w:rPr>
                <w:rFonts w:hint="eastAsia" w:ascii="仿宋" w:hAnsi="仿宋" w:eastAsia="仿宋" w:cs="仿宋"/>
                <w:szCs w:val="21"/>
                <w:highlight w:val="none"/>
              </w:rPr>
            </w:pPr>
            <w:r>
              <w:rPr>
                <w:rFonts w:hint="eastAsia" w:ascii="仿宋" w:hAnsi="仿宋" w:eastAsia="仿宋" w:cs="仿宋"/>
                <w:szCs w:val="21"/>
                <w:highlight w:val="none"/>
              </w:rPr>
              <w:t xml:space="preserve">拟派餐饮部工作人员（含餐饮部主管）：</w:t>
            </w:r>
            <w:r/>
          </w:p>
          <w:p>
            <w:pPr>
              <w:pStyle w:val="1230"/>
              <w:ind w:right="51"/>
              <w:jc w:val="left"/>
              <w:spacing w:before="50" w:line="278" w:lineRule="auto"/>
              <w:rPr>
                <w:rFonts w:hint="eastAsia" w:ascii="仿宋" w:hAnsi="仿宋" w:eastAsia="仿宋" w:cs="仿宋"/>
                <w:szCs w:val="21"/>
                <w:highlight w:val="none"/>
              </w:rPr>
            </w:pPr>
            <w:r>
              <w:rPr>
                <w:rFonts w:ascii="仿宋" w:hAnsi="仿宋" w:eastAsia="仿宋" w:cs="仿宋"/>
                <w:szCs w:val="21"/>
                <w:highlight w:val="none"/>
              </w:rPr>
              <w:t xml:space="preserve">①</w:t>
            </w:r>
            <w:r>
              <w:rPr>
                <w:rFonts w:hint="eastAsia" w:ascii="仿宋" w:hAnsi="仿宋" w:eastAsia="仿宋" w:cs="仿宋"/>
                <w:szCs w:val="21"/>
                <w:highlight w:val="none"/>
              </w:rPr>
              <w:t xml:space="preserve">餐饮部主管具有食品安全管理人员资格证书得2分，没有不得分。</w:t>
            </w:r>
            <w:r/>
          </w:p>
          <w:p>
            <w:pPr>
              <w:pStyle w:val="1230"/>
              <w:ind w:right="51"/>
              <w:jc w:val="left"/>
              <w:spacing w:before="50" w:line="278" w:lineRule="auto"/>
              <w:rPr>
                <w:rFonts w:hint="eastAsia" w:ascii="仿宋" w:hAnsi="仿宋" w:eastAsia="仿宋" w:cs="仿宋"/>
                <w:szCs w:val="21"/>
                <w:highlight w:val="none"/>
              </w:rPr>
            </w:pPr>
            <w:r>
              <w:rPr>
                <w:rFonts w:ascii="仿宋" w:hAnsi="仿宋" w:eastAsia="仿宋" w:cs="仿宋"/>
                <w:szCs w:val="21"/>
                <w:highlight w:val="none"/>
              </w:rPr>
              <w:t xml:space="preserve">②</w:t>
            </w:r>
            <w:r>
              <w:rPr>
                <w:rFonts w:hint="eastAsia" w:ascii="仿宋" w:hAnsi="仿宋" w:eastAsia="仿宋" w:cs="仿宋"/>
                <w:szCs w:val="21"/>
                <w:highlight w:val="none"/>
              </w:rPr>
              <w:t xml:space="preserve">餐饮部其他工</w:t>
            </w:r>
            <w:bookmarkStart w:id="246" w:name="_GoBack"/>
            <w:r/>
            <w:bookmarkEnd w:id="246"/>
            <w:r>
              <w:rPr>
                <w:rFonts w:hint="eastAsia" w:ascii="仿宋" w:hAnsi="仿宋" w:eastAsia="仿宋" w:cs="仿宋"/>
                <w:szCs w:val="21"/>
                <w:highlight w:val="none"/>
              </w:rPr>
              <w:t xml:space="preserve">作人员（除餐饮部主管）</w:t>
            </w:r>
            <w:r>
              <w:rPr>
                <w:rFonts w:ascii="仿宋" w:hAnsi="仿宋" w:eastAsia="仿宋" w:cs="仿宋"/>
                <w:szCs w:val="21"/>
                <w:highlight w:val="none"/>
              </w:rPr>
              <w:t xml:space="preserve">持有国家职业资格等级证书（中式烹调师或厨师或中式面点师）初级（职业资格五级）得1分/人；中级（职业资格四级）得2分/人，高级（职业资格三级）及以上得3分/人，人数最多按</w:t>
            </w:r>
            <w:r>
              <w:rPr>
                <w:rFonts w:hint="eastAsia" w:ascii="仿宋" w:hAnsi="仿宋" w:eastAsia="仿宋" w:cs="仿宋"/>
                <w:szCs w:val="21"/>
                <w:highlight w:val="none"/>
              </w:rPr>
              <w:t xml:space="preserve">3</w:t>
            </w:r>
            <w:r>
              <w:rPr>
                <w:rFonts w:ascii="仿宋" w:hAnsi="仿宋" w:eastAsia="仿宋" w:cs="仿宋"/>
                <w:szCs w:val="21"/>
                <w:highlight w:val="none"/>
              </w:rPr>
              <w:t xml:space="preserve">人计（一人多证按一证计，以最高级别为准）</w:t>
            </w:r>
            <w:r/>
          </w:p>
          <w:p>
            <w:pPr>
              <w:jc w:val="left"/>
              <w:rPr>
                <w:rFonts w:hint="eastAsia" w:ascii="仿宋" w:hAnsi="仿宋" w:eastAsia="仿宋" w:cs="仿宋"/>
                <w:szCs w:val="21"/>
                <w:highlight w:val="none"/>
              </w:rPr>
            </w:pPr>
            <w:r>
              <w:rPr>
                <w:rFonts w:hint="eastAsia" w:ascii="仿宋" w:hAnsi="仿宋" w:eastAsia="仿宋" w:cs="仿宋"/>
                <w:szCs w:val="21"/>
                <w:highlight w:val="none"/>
              </w:rPr>
              <w:t xml:space="preserve">提供上述人员相关证书或证明材料电子文件，并提供近半年内（2024年7月-2024年12月）投标人为其缴纳社会保险的证明材料电子文件加盖电子公章</w:t>
            </w:r>
            <w:r/>
          </w:p>
        </w:tc>
        <w:tc>
          <w:tcPr>
            <w:tcBorders>
              <w:left w:val="single" w:color="auto" w:sz="4" w:space="0"/>
              <w:right w:val="single" w:color="auto" w:sz="4" w:space="0"/>
            </w:tcBorders>
            <w:tcW w:w="690"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11</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699"/>
          <w:tblHeader/>
        </w:trPr>
        <w:tc>
          <w:tcPr>
            <w:tcBorders>
              <w:left w:val="single" w:color="auto" w:sz="4" w:space="0"/>
              <w:right w:val="single" w:color="auto" w:sz="4" w:space="0"/>
            </w:tcBorders>
            <w:tcW w:w="69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5</w:t>
            </w:r>
            <w:r/>
          </w:p>
        </w:tc>
        <w:tc>
          <w:tcPr>
            <w:tcBorders>
              <w:left w:val="single" w:color="auto" w:sz="4" w:space="0"/>
              <w:right w:val="single" w:color="auto" w:sz="4" w:space="0"/>
            </w:tcBorders>
            <w:tcW w:w="1230"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承诺   （8分）</w:t>
            </w:r>
            <w:r/>
          </w:p>
        </w:tc>
        <w:tc>
          <w:tcPr>
            <w:shd w:val="clear" w:color="auto" w:fill="auto"/>
            <w:tcBorders>
              <w:top w:val="single" w:color="auto" w:sz="4" w:space="0"/>
              <w:left w:val="single" w:color="auto" w:sz="4" w:space="0"/>
              <w:bottom w:val="single" w:color="auto" w:sz="4" w:space="0"/>
              <w:right w:val="single" w:color="auto" w:sz="4" w:space="0"/>
            </w:tcBorders>
            <w:tcW w:w="5565" w:type="dxa"/>
            <w:vAlign w:val="center"/>
            <w:textDirection w:val="lrTb"/>
            <w:noWrap w:val="false"/>
          </w:tcPr>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1、投标人须承诺中标后在服务过程中一切因投标人的工作疏忽导致的消防事故、失窃事件或其他财产损失和人身伤害均由投标人承担相关经济和法律责任； </w:t>
            </w:r>
            <w:r/>
          </w:p>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2、投标人承诺拟投入本项目工作人员的岗位职责、操作规范、人身安全、医疗、工资、各项保险、劳保用品、内部管理、各类纠纷等各项事宜及所涉及经费均由投标人自行负责，与招标人无关； </w:t>
            </w:r>
            <w:r/>
          </w:p>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3、投标人须承诺中标后在服务期间必须自觉遵守国家相关法律法规和招标人的各项规章制度，确保服务期内的各项服务内容全面到位； </w:t>
            </w:r>
            <w:r/>
          </w:p>
          <w:p>
            <w:pPr>
              <w:jc w:val="left"/>
              <w:widowControl/>
              <w:rPr>
                <w:rFonts w:hint="eastAsia" w:ascii="仿宋" w:hAnsi="仿宋" w:eastAsia="仿宋" w:cs="仿宋"/>
                <w:szCs w:val="21"/>
                <w:highlight w:val="none"/>
              </w:rPr>
            </w:pPr>
            <w:r>
              <w:rPr>
                <w:rFonts w:hint="eastAsia" w:ascii="仿宋" w:hAnsi="仿宋" w:eastAsia="仿宋" w:cs="仿宋"/>
                <w:szCs w:val="21"/>
                <w:highlight w:val="none"/>
              </w:rPr>
              <w:t xml:space="preserve">4、投标人须承诺拟投入本项目所有人员无任何犯罪前科及不良记录。</w:t>
            </w:r>
            <w:r/>
          </w:p>
          <w:p>
            <w:pPr>
              <w:widowControl/>
              <w:rPr>
                <w:rFonts w:hint="eastAsia" w:ascii="仿宋" w:hAnsi="仿宋" w:eastAsia="仿宋" w:cs="仿宋"/>
                <w:color w:val="000000"/>
                <w:szCs w:val="21"/>
                <w:highlight w:val="none"/>
                <w:lang w:bidi="ar"/>
              </w:rPr>
            </w:pPr>
            <w:r>
              <w:rPr>
                <w:rFonts w:hint="eastAsia" w:ascii="仿宋" w:hAnsi="仿宋" w:eastAsia="仿宋" w:cs="仿宋"/>
                <w:b/>
                <w:bCs/>
                <w:szCs w:val="21"/>
                <w:highlight w:val="none"/>
              </w:rPr>
              <w:t xml:space="preserve">承诺书格式自拟，加盖电子公章。以上承诺书每缺一项扣2分。</w:t>
            </w:r>
            <w:r/>
          </w:p>
        </w:tc>
        <w:tc>
          <w:tcPr>
            <w:tcBorders>
              <w:top w:val="single" w:color="auto" w:sz="4" w:space="0"/>
              <w:left w:val="single" w:color="auto" w:sz="4" w:space="0"/>
              <w:right w:val="single" w:color="auto" w:sz="4" w:space="0"/>
            </w:tcBorders>
            <w:tcW w:w="690" w:type="dxa"/>
            <w:vAlign w:val="center"/>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t xml:space="preserve">8</w:t>
            </w:r>
            <w:r/>
          </w:p>
        </w:tc>
        <w:tc>
          <w:tcPr>
            <w:tcBorders>
              <w:left w:val="single" w:color="auto" w:sz="4" w:space="0"/>
              <w:right w:val="single" w:color="auto" w:sz="4" w:space="0"/>
            </w:tcBorders>
            <w:tcW w:w="838" w:type="dxa"/>
            <w:vAlign w:val="center"/>
            <w:vMerge w:val="continue"/>
            <w:textDirection w:val="lrTb"/>
            <w:noWrap w:val="false"/>
          </w:tcPr>
          <w:p>
            <w:pPr>
              <w:jc w:val="center"/>
              <w:widowControl/>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341"/>
          <w:tblHeader/>
        </w:trPr>
        <w:tc>
          <w:tcPr>
            <w:gridSpan w:val="3"/>
            <w:tcBorders>
              <w:top w:val="single" w:color="auto" w:sz="4" w:space="0"/>
              <w:left w:val="single" w:color="auto" w:sz="4" w:space="0"/>
              <w:bottom w:val="single" w:color="auto" w:sz="4" w:space="0"/>
              <w:right w:val="single" w:color="auto" w:sz="4" w:space="0"/>
            </w:tcBorders>
            <w:tcW w:w="7485" w:type="dxa"/>
            <w:vAlign w:val="center"/>
            <w:textDirection w:val="lrTb"/>
            <w:noWrap w:val="false"/>
          </w:tcPr>
          <w:p>
            <w:pPr>
              <w:jc w:val="center"/>
              <w:rPr>
                <w:rFonts w:hint="eastAsia" w:ascii="仿宋" w:hAnsi="仿宋" w:eastAsia="仿宋" w:cs="仿宋"/>
                <w:szCs w:val="21"/>
                <w:highlight w:val="none"/>
                <w:lang w:bidi="ar"/>
              </w:rPr>
            </w:pPr>
            <w:r>
              <w:rPr>
                <w:rFonts w:hint="eastAsia" w:ascii="仿宋" w:hAnsi="仿宋" w:eastAsia="仿宋" w:cs="仿宋"/>
                <w:szCs w:val="21"/>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t xml:space="preserve">100</w:t>
            </w:r>
            <w:r/>
          </w:p>
        </w:tc>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rPr>
                <w:rFonts w:hint="eastAsia" w:ascii="仿宋" w:hAnsi="仿宋" w:eastAsia="仿宋" w:cs="仿宋"/>
                <w:szCs w:val="21"/>
                <w:highlight w:val="none"/>
              </w:rPr>
            </w:pPr>
            <w:r>
              <w:rPr>
                <w:rFonts w:hint="eastAsia" w:ascii="仿宋" w:hAnsi="仿宋" w:eastAsia="仿宋" w:cs="仿宋"/>
                <w:szCs w:val="21"/>
                <w:highlight w:val="none"/>
              </w:rPr>
            </w:r>
            <w:r/>
          </w:p>
        </w:tc>
      </w:tr>
    </w:tbl>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说明：</w:t>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1.所有认证、证明和业绩均以有效清晰的证明文件的扫描件为依据。</w:t>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2.小微企业</w:t>
      </w:r>
      <w:r/>
    </w:p>
    <w:p>
      <w:pPr>
        <w:spacing w:line="360" w:lineRule="auto"/>
        <w:rPr>
          <w:rFonts w:hint="eastAsia" w:ascii="仿宋" w:hAnsi="仿宋" w:eastAsia="仿宋" w:cs="仿宋"/>
          <w:b/>
          <w:sz w:val="24"/>
          <w:highlight w:val="none"/>
        </w:rPr>
      </w:pPr>
      <w:r>
        <w:rPr>
          <w:rFonts w:hint="eastAsia" w:ascii="仿宋" w:hAnsi="仿宋" w:eastAsia="仿宋" w:cs="仿宋"/>
          <w:sz w:val="24"/>
          <w:highlight w:val="none"/>
        </w:rPr>
        <w:t xml:space="preserve">对于专门面向中小企业或小型、微型企业的项目，只面向中小企业或小型、微型企业采</w:t>
      </w:r>
      <w:r>
        <w:rPr>
          <w:rFonts w:hint="eastAsia" w:ascii="仿宋" w:hAnsi="仿宋" w:eastAsia="仿宋" w:cs="仿宋"/>
          <w:spacing w:val="-3"/>
          <w:sz w:val="24"/>
          <w:highlight w:val="none"/>
        </w:rPr>
        <w:t xml:space="preserve">购。对于非专门面向中小企业的项目，对小型和微型企业的价格给予10%的扣除，用扣除后的价</w:t>
      </w:r>
      <w:r>
        <w:rPr>
          <w:rFonts w:hint="eastAsia" w:ascii="仿宋" w:hAnsi="仿宋" w:eastAsia="仿宋" w:cs="仿宋"/>
          <w:spacing w:val="-82"/>
          <w:sz w:val="24"/>
          <w:highlight w:val="none"/>
        </w:rPr>
        <w:t xml:space="preserve"> </w:t>
      </w:r>
      <w:r>
        <w:rPr>
          <w:rFonts w:hint="eastAsia" w:ascii="仿宋" w:hAnsi="仿宋" w:eastAsia="仿宋" w:cs="仿宋"/>
          <w:sz w:val="24"/>
          <w:highlight w:val="none"/>
        </w:rPr>
        <w:t xml:space="preserve">格参与评审。</w:t>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3.监狱和戒毒企业</w:t>
      </w:r>
      <w:r/>
    </w:p>
    <w:p>
      <w:pPr>
        <w:pStyle w:val="845"/>
        <w:jc w:val="both"/>
        <w:spacing w:line="360" w:lineRule="auto"/>
        <w:rPr>
          <w:rFonts w:hint="eastAsia" w:ascii="仿宋" w:hAnsi="仿宋" w:eastAsia="仿宋" w:cs="仿宋"/>
          <w:b w:val="0"/>
          <w:bCs w:val="0"/>
          <w:sz w:val="24"/>
          <w:highlight w:val="none"/>
        </w:rPr>
      </w:pPr>
      <w:r>
        <w:rPr>
          <w:rFonts w:hint="eastAsia" w:ascii="仿宋" w:hAnsi="仿宋" w:eastAsia="仿宋" w:cs="仿宋"/>
          <w:b w:val="0"/>
          <w:bCs w:val="0"/>
          <w:sz w:val="24"/>
          <w:highlight w:val="none"/>
        </w:rPr>
        <w:t xml:space="preserve">3.1本项目对监狱和戒毒企业，给予</w:t>
      </w:r>
      <w:r>
        <w:rPr>
          <w:rFonts w:hint="eastAsia" w:ascii="仿宋" w:hAnsi="仿宋" w:eastAsia="仿宋" w:cs="仿宋"/>
          <w:b w:val="0"/>
          <w:bCs w:val="0"/>
          <w:spacing w:val="-57"/>
          <w:sz w:val="24"/>
          <w:highlight w:val="none"/>
        </w:rPr>
        <w:t xml:space="preserve"> </w:t>
      </w:r>
      <w:r>
        <w:rPr>
          <w:rFonts w:hint="eastAsia" w:ascii="仿宋" w:hAnsi="仿宋" w:eastAsia="仿宋" w:cs="仿宋"/>
          <w:b w:val="0"/>
          <w:bCs w:val="0"/>
          <w:sz w:val="24"/>
          <w:highlight w:val="none"/>
        </w:rPr>
        <w:t xml:space="preserve">10%的价格扣除，用扣除后的价格参与评审。</w:t>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3.2监狱企业需提供由省级以上监狱管理局、戒毒管理局（含新疆生产建设兵团）出具的属于监狱企业的证明文件。</w:t>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3.3监狱企业标准请参照《关于政府采购支持监狱企业发展有关问题的通知》（财库〔2014〕68号）。</w:t>
      </w:r>
      <w:r/>
    </w:p>
    <w:p>
      <w:pPr>
        <w:numPr>
          <w:ilvl w:val="0"/>
          <w:numId w:val="5"/>
        </w:num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残疾人福利性单位</w:t>
      </w:r>
      <w:r/>
    </w:p>
    <w:p>
      <w:pPr>
        <w:pStyle w:val="845"/>
        <w:jc w:val="both"/>
        <w:spacing w:line="360" w:lineRule="auto"/>
        <w:rPr>
          <w:rFonts w:hint="eastAsia" w:ascii="仿宋" w:hAnsi="仿宋" w:eastAsia="仿宋" w:cs="仿宋"/>
          <w:sz w:val="24"/>
          <w:highlight w:val="none"/>
        </w:rPr>
      </w:pPr>
      <w:r>
        <w:rPr>
          <w:rFonts w:hint="eastAsia" w:ascii="仿宋" w:hAnsi="仿宋" w:eastAsia="仿宋" w:cs="仿宋"/>
          <w:b w:val="0"/>
          <w:bCs w:val="0"/>
          <w:sz w:val="24"/>
          <w:highlight w:val="none"/>
        </w:rPr>
        <w:t xml:space="preserve">4.1 本项目对残疾人福利性单位，给予10%的价格扣除，用扣除后的价格参与评审。</w:t>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4.2残疾人福利性单位需提供《残疾人福利性单位声明函》。</w:t>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4.3 残疾人福利性单位标准请参照《关于促进残疾人就业政府采购政策的通知》（财库〔2017〕141号）。</w:t>
      </w:r>
      <w:r/>
    </w:p>
    <w:p>
      <w:pPr>
        <w:pStyle w:val="845"/>
        <w:jc w:val="both"/>
        <w:spacing w:line="360" w:lineRule="auto"/>
        <w:rPr>
          <w:rFonts w:hint="eastAsia" w:ascii="仿宋" w:hAnsi="仿宋" w:eastAsia="仿宋" w:cs="仿宋"/>
          <w:b w:val="0"/>
          <w:sz w:val="24"/>
          <w:highlight w:val="none"/>
        </w:rPr>
      </w:pPr>
      <w:r>
        <w:rPr>
          <w:rFonts w:hint="eastAsia" w:ascii="仿宋" w:hAnsi="仿宋" w:eastAsia="仿宋" w:cs="仿宋"/>
          <w:b w:val="0"/>
          <w:sz w:val="24"/>
          <w:highlight w:val="none"/>
        </w:rPr>
        <w:t xml:space="preserve">5.监狱企业、残疾人福利性单位属于小型、微型企业的，不重复享受政策。</w:t>
      </w:r>
      <w:r/>
    </w:p>
    <w:p>
      <w:pPr>
        <w:pStyle w:val="845"/>
        <w:jc w:val="both"/>
        <w:spacing w:line="360" w:lineRule="auto"/>
        <w:rPr>
          <w:rFonts w:hint="eastAsia" w:ascii="仿宋" w:hAnsi="仿宋" w:eastAsia="仿宋" w:cs="仿宋"/>
          <w:sz w:val="24"/>
          <w:highlight w:val="none"/>
        </w:rPr>
      </w:pPr>
      <w:r>
        <w:rPr>
          <w:rFonts w:hint="eastAsia" w:ascii="仿宋" w:hAnsi="仿宋" w:eastAsia="仿宋" w:cs="仿宋"/>
          <w:b w:val="0"/>
          <w:bCs w:val="0"/>
          <w:sz w:val="24"/>
          <w:highlight w:val="none"/>
        </w:rPr>
        <w:t xml:space="preserve">6.对国家认定的节能产品和环保产品分别给予投标价的</w:t>
      </w:r>
      <w:r>
        <w:rPr>
          <w:rFonts w:hint="eastAsia" w:ascii="仿宋" w:hAnsi="仿宋" w:eastAsia="仿宋" w:cs="仿宋"/>
          <w:b w:val="0"/>
          <w:bCs w:val="0"/>
          <w:spacing w:val="55"/>
          <w:sz w:val="24"/>
          <w:highlight w:val="none"/>
        </w:rPr>
        <w:t xml:space="preserve">5</w:t>
      </w:r>
      <w:r>
        <w:rPr>
          <w:rFonts w:hint="eastAsia" w:ascii="仿宋" w:hAnsi="仿宋" w:eastAsia="仿宋" w:cs="仿宋"/>
          <w:b w:val="0"/>
          <w:bCs w:val="0"/>
          <w:sz w:val="24"/>
          <w:highlight w:val="none"/>
        </w:rPr>
        <w:t xml:space="preserve">%的价格扣除，用扣除后的价格参</w:t>
      </w:r>
      <w:r>
        <w:rPr>
          <w:rFonts w:hint="eastAsia" w:ascii="仿宋" w:hAnsi="仿宋" w:eastAsia="仿宋" w:cs="仿宋"/>
          <w:b w:val="0"/>
          <w:bCs w:val="0"/>
          <w:spacing w:val="-5"/>
          <w:sz w:val="24"/>
          <w:highlight w:val="none"/>
        </w:rPr>
        <w:t xml:space="preserve">与评审（节能、环保产品必须纳入“中国政府采购网 </w:t>
      </w:r>
      <w:r>
        <w:rPr>
          <w:highlight w:val="none"/>
        </w:rPr>
        <w:fldChar w:fldCharType="begin"/>
      </w:r>
      <w:r>
        <w:rPr>
          <w:highlight w:val="none"/>
        </w:rPr>
        <w:instrText xml:space="preserve"> HYPERLINK "http://www.ccgp.gov.cn/" \h </w:instrText>
      </w:r>
      <w:r>
        <w:rPr>
          <w:highlight w:val="none"/>
        </w:rPr>
        <w:fldChar w:fldCharType="separate"/>
      </w:r>
      <w:r>
        <w:rPr>
          <w:rFonts w:hint="eastAsia" w:ascii="仿宋" w:hAnsi="仿宋" w:eastAsia="仿宋" w:cs="仿宋"/>
          <w:b w:val="0"/>
          <w:bCs w:val="0"/>
          <w:spacing w:val="-3"/>
          <w:sz w:val="24"/>
          <w:highlight w:val="none"/>
        </w:rPr>
        <w:t xml:space="preserve">http://www.ccgp.gov.cn/</w:t>
      </w:r>
      <w:r>
        <w:rPr>
          <w:rFonts w:hint="eastAsia" w:ascii="仿宋" w:hAnsi="仿宋" w:eastAsia="仿宋" w:cs="仿宋"/>
          <w:b w:val="0"/>
          <w:bCs w:val="0"/>
          <w:spacing w:val="-3"/>
          <w:sz w:val="24"/>
          <w:highlight w:val="none"/>
        </w:rPr>
        <w:fldChar w:fldCharType="end"/>
      </w:r>
      <w:r>
        <w:rPr>
          <w:rFonts w:hint="eastAsia" w:ascii="仿宋" w:hAnsi="仿宋" w:eastAsia="仿宋" w:cs="仿宋"/>
          <w:b w:val="0"/>
          <w:bCs w:val="0"/>
          <w:spacing w:val="-3"/>
          <w:sz w:val="24"/>
          <w:highlight w:val="none"/>
        </w:rPr>
        <w:t xml:space="preserve">”等官方网站“节能、环</w:t>
      </w:r>
      <w:r>
        <w:rPr>
          <w:rFonts w:hint="eastAsia" w:ascii="仿宋" w:hAnsi="仿宋" w:eastAsia="仿宋" w:cs="仿宋"/>
          <w:b w:val="0"/>
          <w:bCs w:val="0"/>
          <w:spacing w:val="-88"/>
          <w:sz w:val="24"/>
          <w:highlight w:val="none"/>
        </w:rPr>
        <w:t xml:space="preserve"> </w:t>
      </w:r>
      <w:r>
        <w:rPr>
          <w:rFonts w:hint="eastAsia" w:ascii="仿宋" w:hAnsi="仿宋" w:eastAsia="仿宋" w:cs="仿宋"/>
          <w:b w:val="0"/>
          <w:bCs w:val="0"/>
          <w:sz w:val="24"/>
          <w:highlight w:val="none"/>
        </w:rPr>
        <w:t xml:space="preserve">保产品查询系统”，且以提供的证书扫描件为准）。</w:t>
      </w:r>
      <w:r>
        <w:rPr>
          <w:rFonts w:hint="eastAsia" w:ascii="仿宋" w:hAnsi="仿宋" w:eastAsia="仿宋" w:cs="仿宋"/>
          <w:sz w:val="24"/>
          <w:highlight w:val="none"/>
        </w:rPr>
        <w:br w:type="page" w:clear="all"/>
      </w:r>
      <w:r/>
    </w:p>
    <w:p>
      <w:pPr>
        <w:pStyle w:val="826"/>
        <w:numPr>
          <w:ilvl w:val="0"/>
          <w:numId w:val="0"/>
        </w:numPr>
        <w:spacing w:line="360" w:lineRule="auto"/>
        <w:rPr>
          <w:rFonts w:hint="eastAsia" w:ascii="仿宋" w:hAnsi="仿宋" w:eastAsia="仿宋" w:cs="仿宋"/>
          <w:szCs w:val="32"/>
          <w:highlight w:val="none"/>
        </w:rPr>
      </w:pPr>
      <w:r/>
      <w:bookmarkStart w:id="146" w:name="_Toc4864"/>
      <w:r/>
      <w:bookmarkStart w:id="147" w:name="_Toc31739"/>
      <w:r/>
      <w:bookmarkStart w:id="148" w:name="_Hlk96071152"/>
      <w:r/>
      <w:bookmarkStart w:id="149" w:name="_Toc481057147"/>
      <w:r>
        <w:rPr>
          <w:rFonts w:hint="eastAsia" w:ascii="仿宋" w:hAnsi="仿宋" w:eastAsia="仿宋" w:cs="仿宋"/>
          <w:szCs w:val="32"/>
          <w:highlight w:val="none"/>
        </w:rPr>
        <w:t xml:space="preserve">第四章 </w:t>
      </w:r>
      <w:bookmarkStart w:id="150" w:name="_Toc830"/>
      <w:r>
        <w:rPr>
          <w:rFonts w:hint="eastAsia" w:ascii="仿宋" w:hAnsi="仿宋" w:eastAsia="仿宋" w:cs="仿宋"/>
          <w:szCs w:val="32"/>
          <w:highlight w:val="none"/>
        </w:rPr>
        <w:t xml:space="preserve">采购需求</w:t>
      </w:r>
      <w:bookmarkEnd w:id="146"/>
      <w:r/>
      <w:bookmarkEnd w:id="147"/>
      <w:r/>
      <w:bookmarkEnd w:id="150"/>
      <w:r/>
      <w:r/>
    </w:p>
    <w:p>
      <w:pPr>
        <w:ind w:firstLine="482"/>
        <w:spacing w:line="360" w:lineRule="auto"/>
        <w:rPr>
          <w:rFonts w:hint="eastAsia" w:ascii="仿宋" w:hAnsi="仿宋" w:eastAsia="仿宋" w:cs="仿宋"/>
          <w:sz w:val="24"/>
          <w:szCs w:val="21"/>
          <w:highlight w:val="none"/>
        </w:rPr>
      </w:pPr>
      <w:r>
        <w:rPr>
          <w:rFonts w:hint="eastAsia" w:ascii="仿宋" w:hAnsi="仿宋" w:eastAsia="仿宋" w:cs="仿宋"/>
          <w:b/>
          <w:sz w:val="24"/>
          <w:szCs w:val="21"/>
          <w:highlight w:val="none"/>
        </w:rPr>
        <w:t xml:space="preserve">一、项目名称：</w:t>
      </w:r>
      <w:r>
        <w:rPr>
          <w:rFonts w:hint="eastAsia" w:ascii="仿宋" w:hAnsi="仿宋" w:eastAsia="仿宋" w:cs="仿宋"/>
          <w:sz w:val="24"/>
          <w:szCs w:val="21"/>
          <w:highlight w:val="none"/>
        </w:rPr>
        <w:t xml:space="preserve">中共南京市雨花台区委党校2025年客房、餐饮服务</w:t>
      </w:r>
      <w:r/>
    </w:p>
    <w:p>
      <w:pPr>
        <w:ind w:firstLine="482"/>
        <w:spacing w:line="360" w:lineRule="auto"/>
        <w:rPr>
          <w:rFonts w:hint="eastAsia" w:ascii="仿宋" w:hAnsi="仿宋" w:eastAsia="仿宋" w:cs="仿宋"/>
          <w:sz w:val="24"/>
          <w:szCs w:val="21"/>
          <w:highlight w:val="none"/>
        </w:rPr>
      </w:pPr>
      <w:r>
        <w:rPr>
          <w:rFonts w:hint="eastAsia" w:ascii="仿宋" w:hAnsi="仿宋" w:eastAsia="仿宋" w:cs="仿宋"/>
          <w:b/>
          <w:sz w:val="24"/>
          <w:szCs w:val="21"/>
          <w:highlight w:val="none"/>
        </w:rPr>
        <w:t xml:space="preserve">二、项目概述：</w:t>
      </w:r>
      <w:r>
        <w:rPr>
          <w:rFonts w:hint="eastAsia" w:ascii="仿宋" w:hAnsi="仿宋" w:eastAsia="仿宋" w:cs="仿宋"/>
          <w:sz w:val="24"/>
          <w:szCs w:val="32"/>
          <w:highlight w:val="none"/>
        </w:rPr>
        <w:t xml:space="preserve">中国共产党南京市雨花台区委员会党校位于雨花台区观山路22号，校区占地约3.6万㎡，校园总建筑面积为31649.16㎡，低层园林中式建筑。校区由教学办公楼、报告厅、学员公寓、学员餐厅等单体组成。校区含162间双人间、17间单人间、6间套房合计185间，具备住宿、就餐和培训（会议）服务保障功能。</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三、</w:t>
      </w:r>
      <w:r>
        <w:rPr>
          <w:rFonts w:hint="eastAsia" w:ascii="仿宋" w:hAnsi="仿宋" w:eastAsia="仿宋" w:cs="仿宋"/>
          <w:b/>
          <w:bCs/>
          <w:spacing w:val="6"/>
          <w:sz w:val="24"/>
          <w:highlight w:val="none"/>
        </w:rPr>
        <w:t xml:space="preserve">合同履行（服务）期限：</w:t>
      </w:r>
      <w:r>
        <w:rPr>
          <w:rFonts w:hint="eastAsia" w:ascii="仿宋" w:hAnsi="仿宋" w:eastAsia="仿宋" w:cs="仿宋"/>
          <w:spacing w:val="6"/>
          <w:sz w:val="24"/>
          <w:highlight w:val="none"/>
        </w:rPr>
        <w:t xml:space="preserve">三年</w:t>
      </w:r>
      <w:r>
        <w:rPr>
          <w:rFonts w:hint="eastAsia" w:ascii="仿宋" w:hAnsi="仿宋" w:eastAsia="仿宋" w:cs="仿宋"/>
          <w:sz w:val="24"/>
          <w:highlight w:val="none"/>
        </w:rPr>
        <w:t xml:space="preserve">。根据年度考核情况，由甲方决定是否继续签约下一年度合同。</w:t>
      </w:r>
      <w:r/>
    </w:p>
    <w:p>
      <w:pPr>
        <w:pStyle w:val="826"/>
        <w:numPr>
          <w:ilvl w:val="0"/>
          <w:numId w:val="0"/>
        </w:numPr>
        <w:ind w:firstLine="506"/>
        <w:jc w:val="both"/>
        <w:spacing w:before="0" w:after="0" w:line="360" w:lineRule="auto"/>
        <w:tabs>
          <w:tab w:val="left" w:pos="360" w:leader="none"/>
        </w:tabs>
        <w:rPr>
          <w:rFonts w:hint="eastAsia" w:ascii="仿宋" w:hAnsi="仿宋" w:eastAsia="仿宋" w:cs="仿宋"/>
          <w:spacing w:val="6"/>
          <w:sz w:val="24"/>
          <w:szCs w:val="24"/>
          <w:highlight w:val="none"/>
          <w:lang w:val="zh-CN"/>
        </w:rPr>
      </w:pPr>
      <w:r/>
      <w:bookmarkStart w:id="151" w:name="_Toc12521"/>
      <w:r/>
      <w:bookmarkStart w:id="152" w:name="_Toc16299"/>
      <w:r>
        <w:rPr>
          <w:rFonts w:hint="eastAsia" w:ascii="仿宋" w:hAnsi="仿宋" w:eastAsia="仿宋" w:cs="仿宋"/>
          <w:spacing w:val="6"/>
          <w:sz w:val="24"/>
          <w:szCs w:val="24"/>
          <w:highlight w:val="none"/>
        </w:rPr>
        <w:t xml:space="preserve">四、</w:t>
      </w:r>
      <w:bookmarkEnd w:id="151"/>
      <w:r>
        <w:rPr>
          <w:rFonts w:hint="eastAsia" w:ascii="仿宋" w:hAnsi="仿宋" w:eastAsia="仿宋" w:cs="仿宋"/>
          <w:spacing w:val="6"/>
          <w:sz w:val="24"/>
          <w:szCs w:val="24"/>
          <w:highlight w:val="none"/>
          <w:lang w:val="zh-CN"/>
        </w:rPr>
        <w:t xml:space="preserve">中国共产党南京市雨花台区委员会党校主要设施明细</w:t>
      </w:r>
      <w:bookmarkEnd w:id="152"/>
      <w:r/>
    </w:p>
    <w:p>
      <w:pPr>
        <w:jc w:val="center"/>
        <w:spacing w:line="52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中国共产党南京市雨花台区委员会党校主要设施明细表</w:t>
      </w:r>
      <w:r/>
    </w:p>
    <w:p>
      <w:pPr>
        <w:pStyle w:val="837"/>
        <w:rPr>
          <w:rFonts w:hint="eastAsia" w:ascii="仿宋" w:hAnsi="仿宋" w:eastAsia="仿宋" w:cs="仿宋"/>
          <w:highlight w:val="none"/>
        </w:rPr>
      </w:pPr>
      <w:r>
        <w:rPr>
          <w:rFonts w:hint="eastAsia" w:ascii="仿宋" w:hAnsi="仿宋" w:eastAsia="仿宋" w:cs="仿宋"/>
          <w:highlight w:val="none"/>
        </w:rPr>
      </w:r>
      <w:r/>
    </w:p>
    <w:tbl>
      <w:tblPr>
        <w:tblStyle w:val="836"/>
        <w:tblW w:w="910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85"/>
        <w:gridCol w:w="1516"/>
        <w:gridCol w:w="1276"/>
        <w:gridCol w:w="5728"/>
      </w:tblGrid>
      <w:tr>
        <w:trPr>
          <w:jc w:val="center"/>
          <w:trHeight w:val="393"/>
        </w:trPr>
        <w:tc>
          <w:tcPr>
            <w:tcBorders>
              <w:top w:val="single" w:color="auto" w:sz="4" w:space="0"/>
              <w:right w:val="single" w:color="auto" w:sz="4" w:space="0"/>
            </w:tcBorders>
            <w:tcW w:w="585"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建筑名称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面积（㎡）</w:t>
            </w:r>
            <w:r/>
          </w:p>
        </w:tc>
        <w:tc>
          <w:tcPr>
            <w:tcBorders>
              <w:top w:val="single" w:color="auto" w:sz="4" w:space="0"/>
              <w:left w:val="single" w:color="auto" w:sz="4" w:space="0"/>
              <w:bottom w:val="single" w:color="auto" w:sz="4" w:space="0"/>
            </w:tcBorders>
            <w:tcW w:w="5728"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说  明</w:t>
            </w:r>
            <w:r/>
          </w:p>
        </w:tc>
      </w:tr>
      <w:tr>
        <w:trPr>
          <w:jc w:val="center"/>
          <w:trHeight w:val="1827"/>
        </w:trPr>
        <w:tc>
          <w:tcPr>
            <w:tcBorders>
              <w:top w:val="single" w:color="auto" w:sz="4" w:space="0"/>
              <w:bottom w:val="single" w:color="auto" w:sz="4" w:space="0"/>
              <w:right w:val="single" w:color="auto" w:sz="4" w:space="0"/>
            </w:tcBorders>
            <w:tcW w:w="585"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会议中心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5476.08</w:t>
            </w:r>
            <w:r/>
          </w:p>
        </w:tc>
        <w:tc>
          <w:tcPr>
            <w:tcBorders>
              <w:top w:val="single" w:color="auto" w:sz="4" w:space="0"/>
              <w:left w:val="single" w:color="auto" w:sz="4" w:space="0"/>
              <w:bottom w:val="single" w:color="auto" w:sz="4" w:space="0"/>
            </w:tcBorders>
            <w:tcW w:w="5728"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报告厅：阶梯式会议中心，座位数388个， 男女公共卫生间、休息室</w:t>
            </w:r>
            <w:r/>
          </w:p>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一层： 5间会议室、1间教室、卫生间、茶水间</w:t>
            </w:r>
            <w:r/>
          </w:p>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二层： 4间会议室、1间教室、1个区史馆、卫生间、茶水间</w:t>
            </w:r>
            <w:r/>
          </w:p>
        </w:tc>
      </w:tr>
      <w:tr>
        <w:trPr>
          <w:jc w:val="center"/>
          <w:trHeight w:val="1761"/>
        </w:trPr>
        <w:tc>
          <w:tcPr>
            <w:tcBorders>
              <w:top w:val="single" w:color="auto" w:sz="4" w:space="0"/>
              <w:bottom w:val="single" w:color="auto" w:sz="4" w:space="0"/>
              <w:right w:val="single" w:color="auto" w:sz="4" w:space="0"/>
            </w:tcBorders>
            <w:tcW w:w="585"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教研楼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9033.6</w:t>
            </w:r>
            <w:r/>
          </w:p>
        </w:tc>
        <w:tc>
          <w:tcPr>
            <w:tcBorders>
              <w:top w:val="single" w:color="auto" w:sz="4" w:space="0"/>
              <w:left w:val="single" w:color="auto" w:sz="4" w:space="0"/>
              <w:bottom w:val="single" w:color="auto" w:sz="4" w:space="0"/>
            </w:tcBorders>
            <w:tcW w:w="5728"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一层：阅览室、图书室、档案室、1间新闻发布厅、1个多功能厅、4间教室、2间会议室、10间办公室、1间值班室、卫生间、茶水间。</w:t>
            </w:r>
            <w:r/>
          </w:p>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二层： 2间会议室、6间教室（其中2间环形教室）、1间接待室、13间办公室、公共卫生间。</w:t>
            </w:r>
            <w:r/>
          </w:p>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三层：2个备课室、5间办公室、公共卫生间、学员活动中心</w:t>
            </w:r>
            <w:r/>
          </w:p>
        </w:tc>
      </w:tr>
      <w:tr>
        <w:trPr>
          <w:jc w:val="center"/>
          <w:trHeight w:val="1279"/>
        </w:trPr>
        <w:tc>
          <w:tcPr>
            <w:tcBorders>
              <w:top w:val="single" w:color="auto" w:sz="4" w:space="0"/>
              <w:bottom w:val="single" w:color="auto" w:sz="4" w:space="0"/>
              <w:right w:val="single" w:color="auto" w:sz="4" w:space="0"/>
            </w:tcBorders>
            <w:tcW w:w="585"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学员公寓</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400" w:lineRule="exact"/>
              <w:rPr>
                <w:rFonts w:hint="eastAsia" w:ascii="仿宋" w:hAnsi="仿宋" w:eastAsia="仿宋" w:cs="仿宋"/>
                <w:szCs w:val="21"/>
                <w:highlight w:val="none"/>
              </w:rPr>
            </w:pPr>
            <w:r/>
            <w:bookmarkStart w:id="153" w:name="_Hlk57291727"/>
            <w:r>
              <w:rPr>
                <w:rFonts w:hint="eastAsia" w:ascii="仿宋" w:hAnsi="仿宋" w:eastAsia="仿宋" w:cs="仿宋"/>
                <w:szCs w:val="21"/>
                <w:highlight w:val="none"/>
              </w:rPr>
              <w:t xml:space="preserve">11965.7</w:t>
            </w:r>
            <w:bookmarkEnd w:id="153"/>
            <w:r/>
            <w:r/>
          </w:p>
        </w:tc>
        <w:tc>
          <w:tcPr>
            <w:tcBorders>
              <w:top w:val="single" w:color="auto" w:sz="4" w:space="0"/>
              <w:left w:val="single" w:color="auto" w:sz="4" w:space="0"/>
              <w:bottom w:val="single" w:color="auto" w:sz="4" w:space="0"/>
            </w:tcBorders>
            <w:tcW w:w="5728"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bCs/>
                <w:szCs w:val="21"/>
                <w:highlight w:val="none"/>
              </w:rPr>
              <w:t xml:space="preserve">标准间162间、单人间17间、套间6间、茶吧1间、健身房    1间、超市1间、大堂吧、储物间2间、其他功能性用房11间、卫生间</w:t>
            </w:r>
            <w:r/>
          </w:p>
        </w:tc>
      </w:tr>
      <w:tr>
        <w:trPr>
          <w:jc w:val="center"/>
          <w:trHeight w:val="630"/>
        </w:trPr>
        <w:tc>
          <w:tcPr>
            <w:tcBorders>
              <w:top w:val="single" w:color="auto" w:sz="4" w:space="0"/>
              <w:bottom w:val="single" w:color="auto" w:sz="4" w:space="0"/>
              <w:right w:val="single" w:color="auto" w:sz="4" w:space="0"/>
            </w:tcBorders>
            <w:tcW w:w="585"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516"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学员餐厅</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2421.17</w:t>
            </w:r>
            <w:r/>
          </w:p>
        </w:tc>
        <w:tc>
          <w:tcPr>
            <w:tcBorders>
              <w:top w:val="single" w:color="auto" w:sz="4" w:space="0"/>
              <w:left w:val="single" w:color="auto" w:sz="4" w:space="0"/>
              <w:bottom w:val="single" w:color="auto" w:sz="4" w:space="0"/>
            </w:tcBorders>
            <w:tcW w:w="5728" w:type="dxa"/>
            <w:vAlign w:val="center"/>
            <w:textDirection w:val="lrTb"/>
            <w:noWrap w:val="false"/>
          </w:tcPr>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一层：餐厅1个，约 210 ㎡、厨房后场、卫生间</w:t>
            </w:r>
            <w:r/>
          </w:p>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二层：餐厅1个，约 373.8㎡、包间约248.7㎡、4个包间、卫生间、传菜间</w:t>
            </w:r>
            <w:r/>
          </w:p>
          <w:p>
            <w:pPr>
              <w:spacing w:line="400" w:lineRule="exact"/>
              <w:rPr>
                <w:rFonts w:hint="eastAsia" w:ascii="仿宋" w:hAnsi="仿宋" w:eastAsia="仿宋" w:cs="仿宋"/>
                <w:szCs w:val="21"/>
                <w:highlight w:val="none"/>
              </w:rPr>
            </w:pPr>
            <w:r>
              <w:rPr>
                <w:rFonts w:hint="eastAsia" w:ascii="仿宋" w:hAnsi="仿宋" w:eastAsia="仿宋" w:cs="仿宋"/>
                <w:szCs w:val="21"/>
                <w:highlight w:val="none"/>
              </w:rPr>
              <w:t xml:space="preserve">三层：物业办公室1间、会议室1间、员工宿舍10间、卫生间</w:t>
            </w:r>
            <w:r/>
          </w:p>
        </w:tc>
      </w:tr>
    </w:tbl>
    <w:p>
      <w:pPr>
        <w:ind w:firstLine="482"/>
        <w:spacing w:line="360" w:lineRule="auto"/>
        <w:rPr>
          <w:rFonts w:hint="eastAsia" w:ascii="仿宋" w:hAnsi="仿宋" w:eastAsia="仿宋" w:cs="仿宋"/>
          <w:sz w:val="24"/>
          <w:highlight w:val="none"/>
        </w:rPr>
      </w:pPr>
      <w:r>
        <w:rPr>
          <w:rFonts w:hint="eastAsia" w:ascii="仿宋" w:hAnsi="仿宋" w:eastAsia="仿宋" w:cs="仿宋"/>
          <w:b/>
          <w:sz w:val="24"/>
          <w:highlight w:val="none"/>
        </w:rPr>
        <w:t xml:space="preserve">五、招标人提供的工作便利</w:t>
      </w:r>
      <w:r/>
    </w:p>
    <w:p>
      <w:pPr>
        <w:ind w:firstLine="480"/>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1、招标人免费提供办公家具和电话，产权归党校所有。</w:t>
      </w:r>
      <w:r/>
    </w:p>
    <w:p>
      <w:pPr>
        <w:ind w:firstLine="480"/>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2、招标人免费提供工作餐（早、中餐，按照15元/人/天标准）及6间办公用房或员工宿舍和1间会议室。</w:t>
      </w:r>
      <w:r/>
    </w:p>
    <w:p>
      <w:pPr>
        <w:ind w:firstLine="482"/>
        <w:spacing w:line="360" w:lineRule="auto"/>
        <w:widowControl/>
        <w:rPr>
          <w:rFonts w:hint="eastAsia" w:ascii="仿宋" w:hAnsi="仿宋" w:eastAsia="仿宋" w:cs="仿宋"/>
          <w:sz w:val="24"/>
          <w:highlight w:val="none"/>
        </w:rPr>
      </w:pPr>
      <w:r>
        <w:rPr>
          <w:rFonts w:hint="eastAsia" w:ascii="仿宋" w:hAnsi="仿宋" w:eastAsia="仿宋" w:cs="仿宋"/>
          <w:b/>
          <w:sz w:val="24"/>
          <w:highlight w:val="none"/>
        </w:rPr>
        <w:t xml:space="preserve">六、服务时间</w:t>
      </w:r>
      <w:r>
        <w:rPr>
          <w:rFonts w:hint="eastAsia" w:ascii="仿宋" w:hAnsi="仿宋" w:eastAsia="仿宋" w:cs="仿宋"/>
          <w:bCs/>
          <w:sz w:val="24"/>
          <w:highlight w:val="none"/>
        </w:rPr>
        <w:t xml:space="preserve">：三年。</w:t>
      </w:r>
      <w:r>
        <w:rPr>
          <w:rFonts w:hint="eastAsia" w:ascii="仿宋" w:hAnsi="仿宋" w:eastAsia="仿宋" w:cs="仿宋"/>
          <w:sz w:val="24"/>
          <w:highlight w:val="none"/>
        </w:rPr>
        <w:t xml:space="preserve">根据每年考核情况，党校有权决定是否由乙方履行后续服务合同。</w:t>
      </w:r>
      <w:r/>
    </w:p>
    <w:p>
      <w:pPr>
        <w:ind w:firstLine="482"/>
        <w:spacing w:line="360" w:lineRule="auto"/>
        <w:widowControl/>
        <w:rPr>
          <w:rFonts w:hint="eastAsia" w:ascii="仿宋" w:hAnsi="仿宋" w:eastAsia="仿宋" w:cs="仿宋"/>
          <w:bCs/>
          <w:sz w:val="24"/>
          <w:highlight w:val="none"/>
        </w:rPr>
      </w:pPr>
      <w:r>
        <w:rPr>
          <w:rFonts w:hint="eastAsia" w:ascii="仿宋" w:hAnsi="仿宋" w:eastAsia="仿宋" w:cs="仿宋"/>
          <w:b/>
          <w:sz w:val="24"/>
          <w:highlight w:val="none"/>
        </w:rPr>
        <w:t xml:space="preserve">七、服务费的结算</w:t>
      </w:r>
      <w:r>
        <w:rPr>
          <w:rFonts w:hint="eastAsia" w:ascii="仿宋" w:hAnsi="仿宋" w:eastAsia="仿宋" w:cs="仿宋"/>
          <w:bCs/>
          <w:sz w:val="24"/>
          <w:highlight w:val="none"/>
        </w:rPr>
        <w:t xml:space="preserve">：</w:t>
      </w:r>
      <w:r>
        <w:rPr>
          <w:rFonts w:hint="eastAsia" w:ascii="仿宋" w:hAnsi="仿宋" w:eastAsia="仿宋" w:cs="仿宋"/>
          <w:sz w:val="24"/>
          <w:highlight w:val="none"/>
        </w:rPr>
        <w:t xml:space="preserve">根据考核结果，管理人员工资和管理费按月发放。</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sz w:val="24"/>
          <w:highlight w:val="none"/>
        </w:rPr>
        <w:t xml:space="preserve">八、</w:t>
      </w:r>
      <w:r>
        <w:rPr>
          <w:rFonts w:hint="eastAsia" w:ascii="仿宋" w:hAnsi="仿宋" w:eastAsia="仿宋" w:cs="仿宋"/>
          <w:b/>
          <w:bCs/>
          <w:sz w:val="24"/>
          <w:highlight w:val="none"/>
        </w:rPr>
        <w:t xml:space="preserve">服务管理岗位人数要求</w:t>
      </w:r>
      <w:r/>
    </w:p>
    <w:p>
      <w:pPr>
        <w:ind w:firstLine="480"/>
        <w:spacing w:line="360" w:lineRule="auto"/>
        <w:widowControl/>
        <w:rPr>
          <w:rFonts w:hint="eastAsia" w:ascii="仿宋" w:hAnsi="仿宋" w:eastAsia="仿宋" w:cs="仿宋"/>
          <w:sz w:val="24"/>
          <w:szCs w:val="21"/>
          <w:highlight w:val="none"/>
        </w:rPr>
      </w:pPr>
      <w:r>
        <w:rPr>
          <w:rFonts w:hint="eastAsia" w:ascii="仿宋" w:hAnsi="仿宋" w:eastAsia="仿宋" w:cs="仿宋"/>
          <w:bCs/>
          <w:sz w:val="24"/>
          <w:highlight w:val="none"/>
        </w:rPr>
        <w:t xml:space="preserve">投标人根据</w:t>
      </w:r>
      <w:r>
        <w:rPr>
          <w:rFonts w:hint="eastAsia" w:ascii="仿宋" w:hAnsi="仿宋" w:eastAsia="仿宋" w:cs="仿宋"/>
          <w:sz w:val="24"/>
          <w:szCs w:val="21"/>
          <w:highlight w:val="none"/>
        </w:rPr>
        <w:t xml:space="preserve">中共南京市雨花台区委党校2025年客房、餐饮服务内容，按照四星级酒店服务标准配置服务及管理人员。人数不少于52人</w:t>
      </w:r>
      <w:r/>
    </w:p>
    <w:tbl>
      <w:tblPr>
        <w:tblStyle w:val="836"/>
        <w:tblW w:w="8079" w:type="dxa"/>
        <w:jc w:val="center"/>
        <w:tblLayout w:type="autofit"/>
        <w:tblCellMar>
          <w:left w:w="108" w:type="dxa"/>
          <w:top w:w="0" w:type="dxa"/>
          <w:right w:w="108" w:type="dxa"/>
          <w:bottom w:w="0" w:type="dxa"/>
        </w:tblCellMar>
        <w:tblLook w:val="04A0" w:firstRow="1" w:lastRow="0" w:firstColumn="1" w:lastColumn="0" w:noHBand="0" w:noVBand="1"/>
      </w:tblPr>
      <w:tblGrid>
        <w:gridCol w:w="3002"/>
        <w:gridCol w:w="2640"/>
        <w:gridCol w:w="2437"/>
      </w:tblGrid>
      <w:tr>
        <w:trPr>
          <w:jc w:val="center"/>
          <w:trHeight w:val="560"/>
        </w:trPr>
        <w:tc>
          <w:tcPr>
            <w:tcBorders>
              <w:top w:val="single" w:color="000000" w:sz="4" w:space="0"/>
              <w:left w:val="single" w:color="000000" w:sz="4" w:space="0"/>
              <w:bottom w:val="single" w:color="000000" w:sz="4" w:space="0"/>
              <w:right w:val="single" w:color="000000" w:sz="4" w:space="0"/>
            </w:tcBorders>
            <w:tcW w:w="3002"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部门</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职务</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编制人数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总经理（1人）</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项目总经理</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restart"/>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综合部（3人）</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综合主管</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出纳</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办公室文员</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restart"/>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房务部（20人）</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房务总监</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房务主管</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客房领班</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会场服务员</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7</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客房服务员</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8</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PA保洁员</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restart"/>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餐饮部（28人）</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行政总厨</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头炉</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炉灶</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头冷</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冷菜</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案板</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头面</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二面</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前厅主管</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前厅领班/库管</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前厅服务员</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9</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勤杂组长</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勤杂员</w:t>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5</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3002"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总计</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437"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52</w:t>
            </w:r>
            <w:r/>
          </w:p>
        </w:tc>
      </w:tr>
    </w:tbl>
    <w:p>
      <w:pPr>
        <w:ind w:firstLine="480"/>
        <w:spacing w:line="360" w:lineRule="auto"/>
        <w:widowControl/>
        <w:rPr>
          <w:rFonts w:hint="eastAsia" w:ascii="仿宋" w:hAnsi="仿宋" w:eastAsia="仿宋" w:cs="仿宋"/>
          <w:sz w:val="24"/>
          <w:szCs w:val="21"/>
          <w:highlight w:val="none"/>
        </w:rPr>
      </w:pPr>
      <w:r>
        <w:rPr>
          <w:rFonts w:hint="eastAsia" w:ascii="仿宋" w:hAnsi="仿宋" w:eastAsia="仿宋" w:cs="仿宋"/>
          <w:sz w:val="24"/>
          <w:szCs w:val="21"/>
          <w:highlight w:val="none"/>
        </w:rPr>
      </w:r>
      <w:r/>
    </w:p>
    <w:p>
      <w:pPr>
        <w:ind w:firstLine="48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t xml:space="preserve">九、主要管理人员要求</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（一）项目负责人：本项目负责人主要负责客房、会务与餐饮，负责对员工的教育、培训和日常管理及人力资源调配，负责各部门之间的工作协调，负责对各部门工作绩效的考核，负责与招标人的联系与沟通。</w:t>
      </w:r>
      <w:r/>
    </w:p>
    <w:p>
      <w:pPr>
        <w:ind w:firstLine="480"/>
        <w:spacing w:line="360" w:lineRule="auto"/>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（二）房务总监：负责完成客房各项安全、管理指标，完善相关工作流程、服务流程的制度及创新，下发前厅、客房等接待任务并督导高效优质地完成，负责酒店各类培训班学员的接待服务保障工作。</w:t>
      </w:r>
      <w:r/>
    </w:p>
    <w:p>
      <w:pPr>
        <w:ind w:firstLine="480"/>
        <w:spacing w:line="360" w:lineRule="auto"/>
        <w:widowControl/>
        <w:rPr>
          <w:rStyle w:val="1228"/>
          <w:rFonts w:hint="eastAsia" w:ascii="仿宋" w:hAnsi="仿宋" w:eastAsia="仿宋" w:cs="仿宋"/>
          <w:b/>
          <w:spacing w:val="-10"/>
          <w:sz w:val="24"/>
          <w:highlight w:val="none"/>
        </w:rPr>
      </w:pPr>
      <w:r>
        <w:rPr>
          <w:rFonts w:hint="eastAsia" w:ascii="仿宋" w:hAnsi="仿宋" w:eastAsia="仿宋" w:cs="仿宋"/>
          <w:bCs/>
          <w:sz w:val="24"/>
          <w:highlight w:val="none"/>
        </w:rPr>
        <w:t xml:space="preserve">（三）行政总厨：</w:t>
      </w:r>
      <w:r>
        <w:rPr>
          <w:rStyle w:val="1228"/>
          <w:rFonts w:hint="eastAsia" w:ascii="仿宋" w:hAnsi="仿宋" w:eastAsia="仿宋" w:cs="仿宋"/>
          <w:spacing w:val="-10"/>
          <w:sz w:val="24"/>
          <w:highlight w:val="none"/>
        </w:rPr>
        <w:t xml:space="preserve">负责全面抓好中西厨房的生产、管理工作，坚持指导菜肴制作，确保菜肴出品质量，负责厨师的培训、考核工作，并进行定期的业务培训，技术交流。定期与财务人员、采购人员一起调研市场行情和食品原料价格，共同制定每个周期的食品原料价格，制定并不断完善食品原料规格标准质量说明书。并全面负责厨房的安全管理工作，树立安全意识，确保宾客、酒店工作人员及设施、设备、物品、能源的安全。</w:t>
      </w:r>
      <w:r/>
    </w:p>
    <w:p>
      <w:pPr>
        <w:ind w:firstLine="482"/>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t xml:space="preserve">十、服务管理的基本要求</w:t>
      </w:r>
      <w:r/>
    </w:p>
    <w:p>
      <w:pPr>
        <w:ind w:firstLine="480"/>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1、管理人员工资：视派出的人数、职位按照同行业标准确定。本着既要提供优质服务又要合理节省开支、降低运行成本理念确定人员定额。</w:t>
      </w:r>
      <w:r/>
    </w:p>
    <w:p>
      <w:pPr>
        <w:ind w:firstLine="480"/>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2、确保招标人各类培训学员和教职工客房、餐饮、会务服务有序、周到、安全。根据招标人工作需要下达的培训计划，针对招标人培训任务特点，安排好节假日、淡旺季各岗位人员，确保招标人工作正常运行。</w:t>
      </w:r>
      <w:r/>
    </w:p>
    <w:p>
      <w:pPr>
        <w:ind w:firstLine="480"/>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3、客房、餐饮、会务等服务要符合星级的管理服务要求，同时要针对招标人学员入住的特点。</w:t>
      </w:r>
      <w:r/>
    </w:p>
    <w:p>
      <w:pPr>
        <w:ind w:firstLine="480"/>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4、投标人必须根据招投标文件提供管理人员配置情况，以及各项管理标准、岗位职责及工作程序、内部考核和服务承诺；必须遵守招标人各项制度和管理规定，并服从招标人职能部门的监管。</w:t>
      </w:r>
      <w:r/>
    </w:p>
    <w:p>
      <w:pPr>
        <w:ind w:firstLine="480"/>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5、投标人必须按照招标文件要求配置各岗位人员，如有岗位变动须经招标人同意；各岗位人员数量配置不到位，须在30天内配置齐全，招标人不承担缺岗人员的工资费用。</w:t>
      </w:r>
      <w:r/>
    </w:p>
    <w:p>
      <w:pPr>
        <w:ind w:firstLine="480"/>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6、投标人负责招聘录用员工，所有录用人员的由投标人负责培训管理考核。</w:t>
      </w:r>
      <w:r/>
    </w:p>
    <w:p>
      <w:pPr>
        <w:ind w:firstLine="480"/>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7、投标人对员工的培训每月不得少于1次，管理层及骨干员工针对性培训每年不少于1次，新录用员工必须进行岗前培训方可安排上岗。</w:t>
      </w:r>
      <w:r/>
    </w:p>
    <w:p>
      <w:pPr>
        <w:ind w:firstLine="480"/>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8、投标人必须严格执行南京市政府用工工资标准的有关规定，并承担其雇员的劳动报酬、福利待遇、按照劳动法交纳社会保险、劳动保护、工伤抚恤等用工费用，承担未正确执行劳动用工规定所产生的法律责任，维护和保障员工的合法权益。</w:t>
      </w:r>
      <w:r/>
    </w:p>
    <w:p>
      <w:pPr>
        <w:pStyle w:val="837"/>
        <w:ind w:firstLine="48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9、本项目服务所需工具、设备、物耗等均由招标人提供，投标人负责提供申购和领用报表，协助招标人做好采供工作。</w:t>
      </w:r>
      <w:r/>
    </w:p>
    <w:p>
      <w:pPr>
        <w:pStyle w:val="837"/>
        <w:ind w:firstLine="480"/>
        <w:spacing w:line="360" w:lineRule="auto"/>
        <w:rPr>
          <w:rFonts w:hint="eastAsia" w:ascii="仿宋" w:hAnsi="仿宋" w:eastAsia="仿宋" w:cs="仿宋"/>
          <w:sz w:val="24"/>
          <w:highlight w:val="none"/>
        </w:rPr>
        <w:outlineLvl w:val="0"/>
      </w:pPr>
      <w:r>
        <w:rPr>
          <w:rFonts w:hint="eastAsia" w:ascii="仿宋" w:hAnsi="仿宋" w:eastAsia="仿宋" w:cs="仿宋"/>
          <w:sz w:val="24"/>
          <w:highlight w:val="none"/>
        </w:rPr>
        <w:t xml:space="preserve">10、投标人应积极完成招标人安排的其他一些合理事务。</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十一、岗位人员配置数量及要求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（一）各岗位工作人员均应统一着装，整齐大方，服装颜色经招标人认可后由投标人负责购置，相应的费用计入此次报价。</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根据招标人工作需要，投标人应安排好双休日及节假日各岗位人员，一般情况下，双休日及节假日安排人员值班，保障正常运行。如有培训、会议等任务，投标人根据招标人工作任务需要，安排相应人员加班保障，其加班费、值班费计入此次报价。</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（三）投标人必须根据招标文件要求提供人员配置情况，以及各项管理标准、岗位职责及工作程序、自查考核和服务承诺；必须遵守招标人的各项制度和管理规定，并服从招标人职能管理部门的管理。</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投标人必须严格执行南京市政府用工工资标准的有关规定，并承担其雇员的劳动报酬、福利待遇、按劳动法交纳社会保险、劳动保护、工伤抚恤等用人费用，承担未认真执行劳动用工规定所产生的法律责任。维护和保障员工的合法权益。</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（五）投标人拟投入本项目的所有人员，如需岗位调动或更换，须提交书面申请给招标人确认，不得擅自更换。</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十二、管理服务要求</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（一）综合管理服务要求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1、投标人按照项目的实际情况和管理要求配备工作人员。</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2、部门经理和管理人员统一着装，挂牌上岗，仪表整洁。技术作业人员按照有关规定取得岗位证书，挂牌上岗。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3、制定项目管理与项目服务工作计划并组织实施，每季度向招标人报告一次计划实施情况。</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4、有明确的值班制度和交接班制度，工作有记录。建立管理处内部管理制度和考核制度。服务场所公示办事制度、办事规则、服务流程。</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5、采取多种形式与招标人或相关部门进行沟通，对沟通和测评结果进行分析并及时整改。</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6、建立服务管理档案，做好各种台账记录。</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7、财务管理。根据有关法规、条例的规定，投标人必须有该项目专用账户并进行独立核算，按要求向本项目服务人员支付人工工资。</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（二）客房服务要求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1、根据《客服通知单》，总台提前准备好房间并制作住宿安排表及房卡，提前到仓库领取客房配备的物品。</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2、报到当天，做好入住登记工作，协助客人做好报到物品的分发工作。</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3、做好宾客入住的指示牌、标语等制作。</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4、总台为客人提供“一站式服务”。入住当天，总台与会议主办方的负责人建立联系，双方确定联系电话，协调、解答客人所提出的一切问题，并及时向营运管理部汇报。</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5、根据国家星级宾馆的相关标准，做好客房的物品放置、服务工作。</w:t>
      </w:r>
      <w:r>
        <w:rPr>
          <w:rFonts w:hint="eastAsia" w:ascii="仿宋" w:hAnsi="仿宋" w:eastAsia="仿宋" w:cs="仿宋"/>
          <w:sz w:val="24"/>
          <w:highlight w:val="none"/>
        </w:rPr>
        <w:br/>
      </w:r>
      <w:r>
        <w:rPr>
          <w:rFonts w:hint="eastAsia" w:ascii="仿宋" w:hAnsi="仿宋" w:eastAsia="仿宋" w:cs="仿宋"/>
          <w:sz w:val="24"/>
          <w:highlight w:val="none"/>
        </w:rPr>
        <w:t xml:space="preserve">    6、客房及卫生间每天进行整理1次，应客人要求随时进房全面清扫整理，更换床单、被单及枕套，客用品和消耗品补充齐全。</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7、根据招标人特殊情况要求，提供管家式专业服务。</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（三）餐饮服务要求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1、根据《客服通知单》对自助餐、桌餐的要求进行准备工作，餐厅保持雅洁干净。厨房应根据所定的自助餐、桌餐标准，提前一天制作两套菜单，供客人选择。</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2、餐前餐厅要检查台布、椅套是否洁净、完好；根据菜单要求准备餐具，用具。</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3、自助餐应在开餐前5分钟左右把所有菜肴准备完毕，宴席在开餐前10分钟，把凉菜上好。</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4、桌席要根据通知单的要求准备餐花，水果。根据客人的要求，做好宴席席卡的制作及主宾菜单的打印工作。</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5、客到时，要在大厅门口热情迎接，做到客到招呼问好，把客人领到厅房。</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6、桌餐期间注意事项：</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（1）勤巡台，主动分菜。操作要轻拿轻放，避免影响讲话，客站起来讲话时，要停止操作，站立姿势端正，保持安静。</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（2）根据用餐快慢与厨房联系，掌握好上菜时间。如客人突然感到身体不舒服，应立即请示领导，应把食物原样保留以待化验。</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（3）当客人吃完主食后，撤掉茶碟、茶杯以外的餐具，上水果、香巾，水果吃完撤香巾、水果盘，将茶杯移正，续茶。</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（4）桌餐结束工作：结束时应送上意见卡，做好结帐工作。注意有无司机餐与工作餐，客人宣布散宴，服务员站在厅口欢送，并向客人道再见，欢迎下次光临，检查是否有遗留物品。</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（5）餐后收台正常时间为30分钟，先撤布巾，然后撤餐具，注意玻璃器皿与瓷器要分开放，整体要求：餐具干净、无污渍、无茶渍；地面、桌面干净、整洁；备餐桌上餐具、托盘等摆放整齐，无污渍。</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（四）会议服务要求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1、上课前（会前）的准备工作</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（1）首先要掌握会议主办单位、人数、时间、来客及具体要求；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（2）按要求布置会议室，摆放好用品用具。根据人数和要求摆放桌椅，将多余的桌椅撤去；</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（3）搞好会场内外的清洁卫生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（4）摆放的用具（茶杯、杯垫），盘距桌边6CM，茶杯柄向右，图案要统一；</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（5）按要求摆放告示牌，挂横幅、贴背板等；</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（6）按要求酌情摆放签到台：提供用具，桌椅，签到牌，铺设台裙；</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（7）如果提供自助茶水或饮料，需提前准备好服务台，提供相应的用品用具，派专人服务；</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（8）按要求铺好会议桌布，注意垂边整齐等；</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（9）调节好室内空气、温度；</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（10）协助相关部门检查电源，调试音响，灯光效果，电器设备（话筒、音响、灯、录像机、电视机、投影仪、幻灯机等）。</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2、入场时的迎宾工作</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（1）服务员着装整齐，提前30分钟到岗，在会议室门口迎接与会者入场；</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（2）客人入座后，由服务员为客倒茶，上毛巾，不得有遗漏。</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（3）与会人员全部进入会议室后，酌情在门外把手上挂“会议进行中、保持安静”的牌子。</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3、上课（开会）过程的服务工作</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（1）服务员要坚守岗位，注意观察和控制会议室的门，维持秩序，保证会场周围安静，保证会议安全；</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（2）注意观察会议情况，按时添加茶水；</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（3）接听电话可通过会议工作人员，不得大声传呼；</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（4）注意观察场内温度、空气，提请相关人员适时调整；</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（5）确保会议中的音响效果，并及时为客人调整话筒位置（高、低）。</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4、上课（会议）结束时的服务工作</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（1）及时打开大门，在门口欢送客人；</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（2）检查会场有无遗留文件及物品；</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（3）检查室内用品有无短缺和损坏；</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（4）进行安全检查，关闭所有电器、电源、收拾场内用品、用具；</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（5）清扫会议室卫生，必要时进行消毒，关灯锁门。</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5、主席台、接待室的服务工作</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（1）主席台、接待室是会议服务的重点，要由专人服务；</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（2）按要求及时做好主席台、接待室布置工作；</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（3）按人数摆放椅子，以及其它用具，按要求摆放茶叶；</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（4）根据要求摆放席卡；</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（5）注意观察主席台上人员要求，按时添加茶水。</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十三、管理服务目标</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（一）确保招标人各类培训、教学、会议和学员生活、服务有序、顺畅、周到、安全；</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（二）按照国家、地方的相关法规、管理条例与技术标准、行业规范要求及食品卫生法相关要求，提供优质、规范、高效的酒店式服务与管理和能耗、物耗控制；</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（三）管理服务范围内不发生重大安全责任事故；</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（四）管理服务范围内不发生重大火灾责任事故；</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（五）管理服务范围内不发生重大设备管理责任事故；</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（六）环境卫生、消杀达标率为100%；</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（七）有效投诉率低于5%,有效投诉处理率100%；</w:t>
      </w:r>
      <w:r/>
    </w:p>
    <w:p>
      <w:pPr>
        <w:ind w:firstLine="480"/>
        <w:spacing w:line="360" w:lineRule="auto"/>
        <w:rPr>
          <w:rFonts w:hint="eastAsia" w:ascii="仿宋" w:hAnsi="仿宋" w:eastAsia="仿宋" w:cs="仿宋"/>
          <w:b/>
          <w:sz w:val="24"/>
          <w:highlight w:val="none"/>
        </w:rPr>
      </w:pPr>
      <w:r>
        <w:rPr>
          <w:rFonts w:hint="eastAsia" w:ascii="仿宋" w:hAnsi="仿宋" w:eastAsia="仿宋" w:cs="仿宋"/>
          <w:sz w:val="24"/>
          <w:highlight w:val="none"/>
        </w:rPr>
        <w:t xml:space="preserve">（八）各类服务人员上岗培训率达到100%。</w:t>
      </w:r>
      <w:r/>
    </w:p>
    <w:p>
      <w:pPr>
        <w:ind w:firstLine="482"/>
        <w:spacing w:line="360" w:lineRule="auto"/>
        <w:widowControl/>
        <w:rPr>
          <w:rFonts w:hint="eastAsia" w:ascii="仿宋" w:hAnsi="仿宋" w:eastAsia="仿宋" w:cs="仿宋"/>
          <w:b/>
          <w:sz w:val="24"/>
          <w:highlight w:val="none"/>
        </w:rPr>
      </w:pPr>
      <w:r>
        <w:rPr>
          <w:rFonts w:hint="eastAsia" w:ascii="仿宋" w:hAnsi="仿宋" w:eastAsia="仿宋" w:cs="仿宋"/>
          <w:b/>
          <w:bCs/>
          <w:sz w:val="24"/>
          <w:highlight w:val="none"/>
        </w:rPr>
        <w:t xml:space="preserve">十四、</w:t>
      </w:r>
      <w:r>
        <w:rPr>
          <w:rFonts w:hint="eastAsia" w:ascii="仿宋" w:hAnsi="仿宋" w:eastAsia="仿宋" w:cs="仿宋"/>
          <w:b/>
          <w:sz w:val="24"/>
          <w:highlight w:val="none"/>
        </w:rPr>
        <w:t xml:space="preserve">其他要求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管理人员工资：视派出的人数、职位按照同行业标准确定。本着既要提供优质服务又要合理节省开支、降低运行成本理念确定人员编制。人员控制在上述岗位要求以内，防止人浮于事，杜绝吃空饷。运行一年后，投标人应根据招标人实际需求进行岗位调整。</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（二）确保招标人各类培训学员和教职工餐饮服务有序、周到、安全。根据招标人工作需要和下达的培训计划，针对招标人培训任务特点，安排好节假日、淡旺季各岗位人员，确保招标人工作正常运行。</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（三）餐饮中心、客房前厅、客房、会议、保洁、安保等服务要符合四星级的管理服务要求，同时要针对招标人学员入住的特点。</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（四）投标人必须根据招标文件提供人员配置情况，以及各项管理标准、岗位职责及工作程序、内部考核和服务承诺；必须遵守招标人各项制度和管理规定，并服从招标人职能部门的监管。</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五）投标人负责招聘录用员工，招标人职能部门有权进行审核，并对不合格人员提出整改意见，投标人按照整改意见进行调整。所有录用人员的管理及档案关系由投标人负责，发生的一切劳务纠纷由投标人负责。投标人在招聘人员时，择优录用目前在招标人工作的人员。</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（六）投标人对员工的培训每月不得少于1次，管理层及骨干员工针对性培训每年不少于1次，新录用员工必须进行岗前培训方可安排上岗。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（七）服务所需工具、设备、物耗等均由招标人提供，食材采购由招标人负责招聘供应商，投标人负责提供申购和领用报表，协助招标人做好采购工作。</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八）服务所需服装款式（含工作帽）由招标人选定，投标人负责制作采购，费用由投标人自行承担，参照四星级酒店人员工作服标准，每人四套：夏季2套，秋、冬季各1套。工作鞋：员工布鞋每人每年4双、管理层皮鞋每人每年1双。</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（九）积极配合招标人做好标准化建设、节能管理、资产管理等相关工作。</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十五、服务保障和自罚承诺</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（一）投标人应对照招标文件要求（具体见招标文件第四章），说明所提供已对招标人的需求做出了实质性的响应，或申明与需求的偏差和例外。</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（二）投标人可以在投标文件中提出不同的服务标准和保障承诺，使评标委员会相信替代服务相同于或优于原需求，特别对于具体参数要求的指标，投标人必须提供具体参数值。</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（三）中标人在本项目服务过程中若引发欠薪或违反相关法律法规等事项，造成较为恶劣社会影响的，招标人将提请相关主管部门对其进行处罚并解除合同。</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十六、投标报价说明</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报价应包括管理服务人员的年度工资预算（员工工作时间应该遵守南京市每月最高工作时间的相关规定；工资应该高于南京市最低工资标准；工作人员必须交纳包括养老、工伤、失业、生育、医疗等在内的社会保险及公积金；法定节假日加班按照国家规定计算并支付的超时工资和加班工资等；夏季高温费等；办公费、交通费、服装费、培训费、通讯费、招标代理费（此项无需单独列支，含在所投项目单价中）以及投标人与其本项目服务人员劳动关系发生变更时根据国家规定应支付的各类费用等。</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（二）报价应包含完成本招标发生的所有含税费用、支付给员工的工资和国家强制缴纳的各种社会保障资金，以及为完成本招标所有项目可能发生的费用，投标人必须提供配置交通工具、办公设备明细表等。</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三）投标人应充分考虑所有可能影响到报价的价格及政策等风险因素，一旦中标，总价将包定，一律不予调整。投标人报价除包含招标文件中列明的项目外还应包括保障该管理服务正常运行应当具有的物资和服务，对管理服务正常运行应当具有的物资和服务理解不一致的以招标人解释为准。投标人的任何错漏、优惠、竞争性报价不得作为减轻责任、减少服务、增加收费、降低质量的理由。</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十七、考核办法和细则</w:t>
      </w:r>
      <w:r/>
    </w:p>
    <w:p>
      <w:pPr>
        <w:pStyle w:val="1229"/>
        <w:rPr>
          <w:rFonts w:hint="eastAsia" w:ascii="仿宋" w:hAnsi="仿宋" w:eastAsia="仿宋" w:cs="仿宋"/>
          <w:highlight w:val="none"/>
        </w:rPr>
      </w:pPr>
      <w:r>
        <w:rPr>
          <w:rFonts w:hint="eastAsia" w:ascii="仿宋" w:hAnsi="仿宋" w:eastAsia="仿宋" w:cs="仿宋"/>
          <w:highlight w:val="none"/>
        </w:rPr>
        <w:t xml:space="preserve">（一）为了使中共雨花台区委党校的后勤服务管理系统规范、科学、高效地运行，根据党校购买服务的有关内容，制定本监管考核办法。</w:t>
      </w:r>
      <w:r/>
    </w:p>
    <w:p>
      <w:pPr>
        <w:pStyle w:val="1229"/>
        <w:rPr>
          <w:rFonts w:hint="eastAsia" w:ascii="仿宋" w:hAnsi="仿宋" w:eastAsia="仿宋" w:cs="仿宋"/>
          <w:highlight w:val="none"/>
        </w:rPr>
      </w:pPr>
      <w:r>
        <w:rPr>
          <w:rFonts w:hint="eastAsia" w:ascii="仿宋" w:hAnsi="仿宋" w:eastAsia="仿宋" w:cs="仿宋"/>
          <w:highlight w:val="none"/>
        </w:rPr>
        <w:t xml:space="preserve">（二）投标人应严格按照党校购买服务的要求，履行双方约定的权利和义务，严格遵守和执行党校制订的规章制度和工作流程，如发生违约和违规事项，应承担相应的管理责任。</w:t>
      </w:r>
      <w:r/>
    </w:p>
    <w:p>
      <w:pPr>
        <w:pStyle w:val="1229"/>
        <w:rPr>
          <w:rFonts w:hint="eastAsia" w:ascii="仿宋" w:hAnsi="仿宋" w:eastAsia="仿宋" w:cs="仿宋"/>
          <w:highlight w:val="none"/>
        </w:rPr>
      </w:pPr>
      <w:r>
        <w:rPr>
          <w:rFonts w:hint="eastAsia" w:ascii="仿宋" w:hAnsi="仿宋" w:eastAsia="仿宋" w:cs="仿宋"/>
          <w:highlight w:val="none"/>
        </w:rPr>
        <w:t xml:space="preserve">（三）招标人对中标人进行监控与考核的方式为:日常监督考核、学员评议、其他团队意见。</w:t>
      </w:r>
      <w:r/>
    </w:p>
    <w:p>
      <w:pPr>
        <w:pStyle w:val="1229"/>
        <w:rPr>
          <w:rFonts w:hint="eastAsia" w:ascii="仿宋" w:hAnsi="仿宋" w:eastAsia="仿宋" w:cs="仿宋"/>
          <w:highlight w:val="none"/>
        </w:rPr>
      </w:pPr>
      <w:r>
        <w:rPr>
          <w:rFonts w:hint="eastAsia" w:ascii="仿宋" w:hAnsi="仿宋" w:eastAsia="仿宋" w:cs="仿宋"/>
          <w:highlight w:val="none"/>
        </w:rPr>
        <w:t xml:space="preserve">（四）招标人对中标人日常监督考核的项目：以双方签订的合同和中标人投标文件中各项管理制度、操作规程为依据，逐项进行考核。主要对管理工作的评议项目：共三项即客房服务、餐饮服务、综合服务等。</w:t>
      </w:r>
      <w:r/>
    </w:p>
    <w:p>
      <w:pPr>
        <w:pStyle w:val="1229"/>
        <w:rPr>
          <w:rFonts w:hint="eastAsia" w:ascii="仿宋" w:hAnsi="仿宋" w:eastAsia="仿宋" w:cs="仿宋"/>
          <w:highlight w:val="none"/>
        </w:rPr>
      </w:pPr>
      <w:r>
        <w:rPr>
          <w:rFonts w:hint="eastAsia" w:ascii="仿宋" w:hAnsi="仿宋" w:eastAsia="仿宋" w:cs="仿宋"/>
          <w:highlight w:val="none"/>
        </w:rPr>
        <w:t xml:space="preserve">（五）招标人对中标人的监督考核方式：由招标人相关职能部门、管理人员和中标人项目负责人组成考核组，以定期（每月一次）和不定期的方式进行，做好检查记录，对发现的问题，应如实记录事项发生的时间、地点、当事人、初步调查原因等，作为考核依据，并存档备查。</w:t>
      </w:r>
      <w:r/>
    </w:p>
    <w:p>
      <w:pPr>
        <w:pStyle w:val="1229"/>
        <w:rPr>
          <w:rFonts w:hint="eastAsia" w:ascii="仿宋" w:hAnsi="仿宋" w:eastAsia="仿宋" w:cs="仿宋"/>
          <w:highlight w:val="none"/>
        </w:rPr>
      </w:pPr>
      <w:r>
        <w:rPr>
          <w:rFonts w:hint="eastAsia" w:ascii="仿宋" w:hAnsi="仿宋" w:eastAsia="仿宋" w:cs="仿宋"/>
          <w:highlight w:val="none"/>
        </w:rPr>
        <w:t xml:space="preserve">（六）对考核和评议的结果分为以下情况进行处罚：</w:t>
      </w:r>
      <w:r/>
    </w:p>
    <w:p>
      <w:pPr>
        <w:pStyle w:val="1229"/>
        <w:rPr>
          <w:rFonts w:hint="eastAsia" w:ascii="仿宋" w:hAnsi="仿宋" w:eastAsia="仿宋" w:cs="仿宋"/>
          <w:highlight w:val="none"/>
        </w:rPr>
      </w:pPr>
      <w:r>
        <w:rPr>
          <w:rFonts w:hint="eastAsia" w:ascii="仿宋" w:hAnsi="仿宋" w:eastAsia="仿宋" w:cs="仿宋"/>
          <w:highlight w:val="none"/>
        </w:rPr>
        <w:t xml:space="preserve">1、日常工作的检查：对照下述服务质量考核表，在一次考核中出现一项一次“不满意”的，扣除500元（从合同款中扣除，下同）；在一次考核中一个部门累计出现3项（含）以上“不满意”的，为部门服务考核的“不满意”，扣除2000元；在一次考核中整个部门考核为“不满意”的，扣除5000元。</w:t>
      </w:r>
      <w:r/>
    </w:p>
    <w:p>
      <w:pPr>
        <w:pStyle w:val="1229"/>
        <w:rPr>
          <w:rFonts w:hint="eastAsia" w:ascii="仿宋" w:hAnsi="仿宋" w:eastAsia="仿宋" w:cs="仿宋"/>
          <w:highlight w:val="none"/>
        </w:rPr>
      </w:pPr>
      <w:r>
        <w:rPr>
          <w:rFonts w:hint="eastAsia" w:ascii="仿宋" w:hAnsi="仿宋" w:eastAsia="仿宋" w:cs="仿宋"/>
          <w:highlight w:val="none"/>
        </w:rPr>
        <w:t xml:space="preserve">2、接到客户投诉或由于管理不当，造成采购人资产损坏且影响服务保障工作的，除对造成损失进行赔偿承担责任外，一经查实每次（件）扣除500-1000元；</w:t>
      </w:r>
      <w:r/>
    </w:p>
    <w:p>
      <w:pPr>
        <w:pStyle w:val="1229"/>
        <w:rPr>
          <w:rFonts w:hint="eastAsia" w:ascii="仿宋" w:hAnsi="仿宋" w:eastAsia="仿宋" w:cs="仿宋"/>
          <w:highlight w:val="none"/>
        </w:rPr>
      </w:pPr>
      <w:r>
        <w:rPr>
          <w:rFonts w:hint="eastAsia" w:ascii="仿宋" w:hAnsi="仿宋" w:eastAsia="仿宋" w:cs="仿宋"/>
          <w:highlight w:val="none"/>
        </w:rPr>
        <w:t xml:space="preserve">3、对重要客人及团队的接待服务保障工作中发生失误或受到投诉和批评的；造成采购人资产损坏且影响服务保障工作的，除对造成损失进行赔偿承担责任外，经查实每件（次）扣除1000-3000元；</w:t>
      </w:r>
      <w:r/>
    </w:p>
    <w:p>
      <w:pPr>
        <w:pStyle w:val="1229"/>
        <w:rPr>
          <w:rFonts w:hint="eastAsia" w:ascii="仿宋" w:hAnsi="仿宋" w:eastAsia="仿宋" w:cs="仿宋"/>
          <w:highlight w:val="none"/>
        </w:rPr>
      </w:pPr>
      <w:r>
        <w:rPr>
          <w:rFonts w:hint="eastAsia" w:ascii="仿宋" w:hAnsi="仿宋" w:eastAsia="仿宋" w:cs="仿宋"/>
          <w:highlight w:val="none"/>
        </w:rPr>
        <w:t xml:space="preserve">4、重大活动的服务保障工作发生失误或受到与会领导批评的，经查实，每次扣除5000元；</w:t>
      </w:r>
      <w:r/>
    </w:p>
    <w:p>
      <w:pPr>
        <w:pStyle w:val="1229"/>
        <w:rPr>
          <w:rFonts w:hint="eastAsia" w:ascii="仿宋" w:hAnsi="仿宋" w:eastAsia="仿宋" w:cs="仿宋"/>
          <w:highlight w:val="none"/>
        </w:rPr>
      </w:pPr>
      <w:r>
        <w:rPr>
          <w:rFonts w:hint="eastAsia" w:ascii="仿宋" w:hAnsi="仿宋" w:eastAsia="仿宋" w:cs="仿宋"/>
          <w:highlight w:val="none"/>
        </w:rPr>
        <w:t xml:space="preserve">5、在上级机关和专业职能单位专项检查中，如发现问题（招标人的责任除外）应及时整改，涉及到的处罚事项由中标人负责。</w:t>
      </w:r>
      <w:r/>
    </w:p>
    <w:p>
      <w:pPr>
        <w:pStyle w:val="1229"/>
        <w:rPr>
          <w:rFonts w:hint="eastAsia" w:ascii="仿宋" w:hAnsi="仿宋" w:eastAsia="仿宋" w:cs="仿宋"/>
          <w:highlight w:val="none"/>
        </w:rPr>
      </w:pPr>
      <w:r>
        <w:rPr>
          <w:rFonts w:hint="eastAsia" w:ascii="仿宋" w:hAnsi="仿宋" w:eastAsia="仿宋" w:cs="仿宋"/>
          <w:highlight w:val="none"/>
        </w:rPr>
        <w:t xml:space="preserve">6、发生火灾、失窃、食物中毒等重大人为事故，除对造成损失进行赔偿承担责任外，另扣除1-5万元。</w:t>
      </w:r>
      <w:r/>
    </w:p>
    <w:p>
      <w:pPr>
        <w:pStyle w:val="1229"/>
        <w:rPr>
          <w:rFonts w:hint="eastAsia" w:ascii="仿宋" w:hAnsi="仿宋" w:eastAsia="仿宋" w:cs="仿宋"/>
          <w:highlight w:val="none"/>
        </w:rPr>
      </w:pPr>
      <w:r>
        <w:rPr>
          <w:rFonts w:hint="eastAsia" w:ascii="仿宋" w:hAnsi="仿宋" w:eastAsia="仿宋" w:cs="仿宋"/>
          <w:highlight w:val="none"/>
        </w:rPr>
        <w:t xml:space="preserve">（七）招标人在对管理监管考核过程中</w:t>
      </w:r>
      <w:r>
        <w:rPr>
          <w:rFonts w:hint="eastAsia" w:ascii="仿宋" w:hAnsi="仿宋" w:eastAsia="仿宋" w:cs="仿宋"/>
          <w:b/>
          <w:highlight w:val="none"/>
        </w:rPr>
        <w:t xml:space="preserve">，</w:t>
      </w:r>
      <w:r>
        <w:rPr>
          <w:rFonts w:hint="eastAsia" w:ascii="仿宋" w:hAnsi="仿宋" w:eastAsia="仿宋" w:cs="仿宋"/>
          <w:highlight w:val="none"/>
        </w:rPr>
        <w:t xml:space="preserve">发现以下两种情况，招标人将于当月终止合同。</w:t>
      </w:r>
      <w:r/>
    </w:p>
    <w:p>
      <w:pPr>
        <w:pStyle w:val="1229"/>
        <w:rPr>
          <w:rFonts w:hint="eastAsia" w:ascii="仿宋" w:hAnsi="仿宋" w:eastAsia="仿宋" w:cs="仿宋"/>
          <w:highlight w:val="none"/>
        </w:rPr>
      </w:pPr>
      <w:r>
        <w:rPr>
          <w:rFonts w:hint="eastAsia" w:ascii="仿宋" w:hAnsi="仿宋" w:eastAsia="仿宋" w:cs="仿宋"/>
          <w:highlight w:val="none"/>
        </w:rPr>
        <w:t xml:space="preserve">1、招标人将监督检查评议的结果，以及处罚情况，进行整理并形成书面意见，反馈给中标人。中标人应对其中发现的问题，提出整改措施，提交招标人。在合同到期前或处罚扣除费用达到合同款项的70%时，招标人将根据中标人的实际工作情况，对中标人管理工作做出总体评价，并终止合同。</w:t>
      </w:r>
      <w:r/>
    </w:p>
    <w:p>
      <w:pPr>
        <w:pStyle w:val="1229"/>
        <w:rPr>
          <w:rFonts w:hint="eastAsia" w:ascii="仿宋" w:hAnsi="仿宋" w:eastAsia="仿宋" w:cs="仿宋"/>
          <w:highlight w:val="none"/>
        </w:rPr>
      </w:pPr>
      <w:r>
        <w:rPr>
          <w:rFonts w:hint="eastAsia" w:ascii="仿宋" w:hAnsi="仿宋" w:eastAsia="仿宋" w:cs="仿宋"/>
          <w:highlight w:val="none"/>
        </w:rPr>
        <w:t xml:space="preserve">2、中标人应按照《劳动合同法》与本项目服务人员签订劳动合同，并在约定的时间足额缴纳服务人员的社会保险金、公积金、发放服务人员工资。如出现不能及时发放工资和缴纳社会保险金、公积金的情形，招标人要求中标人限期改正，并第一次扣除5000元，第二次扣除10000元，第三次解除合同，同时追究其法律责任。</w:t>
      </w:r>
      <w:r/>
    </w:p>
    <w:p>
      <w:pPr>
        <w:pStyle w:val="1229"/>
        <w:ind w:firstLine="0"/>
        <w:rPr>
          <w:rFonts w:hint="eastAsia" w:ascii="仿宋" w:hAnsi="仿宋" w:eastAsia="仿宋" w:cs="仿宋"/>
          <w:bCs/>
          <w:highlight w:val="none"/>
        </w:rPr>
      </w:pPr>
      <w:r>
        <w:rPr>
          <w:rFonts w:hint="eastAsia" w:ascii="仿宋" w:hAnsi="仿宋" w:eastAsia="仿宋" w:cs="仿宋"/>
          <w:bCs/>
          <w:highlight w:val="none"/>
        </w:rPr>
        <w:t xml:space="preserve">（八）服务质量考核表</w:t>
      </w:r>
      <w:r/>
    </w:p>
    <w:p>
      <w:pPr>
        <w:pStyle w:val="1229"/>
        <w:ind w:firstLine="0"/>
        <w:rPr>
          <w:rFonts w:hint="eastAsia" w:ascii="仿宋" w:hAnsi="仿宋" w:eastAsia="仿宋" w:cs="仿宋"/>
          <w:bCs/>
          <w:highlight w:val="none"/>
        </w:rPr>
      </w:pPr>
      <w:r>
        <w:rPr>
          <w:rFonts w:hint="eastAsia" w:ascii="仿宋" w:hAnsi="仿宋" w:eastAsia="仿宋" w:cs="仿宋"/>
          <w:bCs/>
          <w:highlight w:val="none"/>
        </w:rPr>
      </w:r>
      <w:r/>
    </w:p>
    <w:p>
      <w:pPr>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______年_______月客房部服务质量考核表</w:t>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ind w:left="51" w:hanging="4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被考核部门</w:t>
      </w:r>
      <w:r>
        <w:rPr>
          <w:rFonts w:hint="eastAsia" w:ascii="仿宋" w:hAnsi="仿宋" w:eastAsia="仿宋" w:cs="仿宋"/>
          <w:sz w:val="24"/>
          <w:highlight w:val="none"/>
          <w:u w:val="single"/>
        </w:rPr>
        <w:t xml:space="preserve">      房务部     </w:t>
      </w:r>
      <w:r>
        <w:rPr>
          <w:rFonts w:hint="eastAsia" w:ascii="仿宋" w:hAnsi="仿宋" w:eastAsia="仿宋" w:cs="仿宋"/>
          <w:sz w:val="24"/>
          <w:highlight w:val="none"/>
        </w:rPr>
        <w:t xml:space="preserve">                   考核时间________________</w:t>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4"/>
        <w:gridCol w:w="5580"/>
        <w:gridCol w:w="1440"/>
        <w:gridCol w:w="1719"/>
      </w:tblGrid>
      <w:tr>
        <w:trPr>
          <w:jc w:val="center"/>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考核项目</w:t>
            </w:r>
            <w:r/>
          </w:p>
        </w:tc>
        <w:tc>
          <w:tcPr>
            <w:tcW w:w="5580"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考核内容及标准</w:t>
            </w:r>
            <w:r/>
          </w:p>
        </w:tc>
        <w:tc>
          <w:tcPr>
            <w:tcW w:w="1440"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部门负责人在岗位情况</w:t>
            </w:r>
            <w:r/>
          </w:p>
        </w:tc>
        <w:tc>
          <w:tcPr>
            <w:tcW w:w="1719"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满意程度</w:t>
            </w:r>
            <w:r/>
          </w:p>
        </w:tc>
      </w:tr>
      <w:tr>
        <w:trPr>
          <w:jc w:val="center"/>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总台</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楼层服务台</w:t>
            </w:r>
            <w:r/>
          </w:p>
        </w:tc>
        <w:tc>
          <w:tcPr>
            <w:tcW w:w="5580" w:type="dxa"/>
            <w:textDirection w:val="lrTb"/>
            <w:noWrap w:val="false"/>
          </w:tcPr>
          <w:p>
            <w:pPr>
              <w:numPr>
                <w:ilvl w:val="0"/>
                <w:numId w:val="6"/>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台面干净无杂物，台内物品摆放有序、无私人物品。</w:t>
            </w:r>
            <w:r/>
          </w:p>
          <w:p>
            <w:pPr>
              <w:numPr>
                <w:ilvl w:val="0"/>
                <w:numId w:val="6"/>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留言本、客人物品存放本等记录完整。</w:t>
            </w:r>
            <w:r/>
          </w:p>
          <w:p>
            <w:pPr>
              <w:numPr>
                <w:ilvl w:val="0"/>
                <w:numId w:val="6"/>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《客房管理软件》房务信息完整。</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171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Pr>
        <w:tc>
          <w:tcPr>
            <w:tcBorders>
              <w:bottom w:val="single" w:color="auto" w:sz="4" w:space="0"/>
            </w:tcBorders>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会议中心</w:t>
            </w:r>
            <w:r/>
          </w:p>
        </w:tc>
        <w:tc>
          <w:tcPr>
            <w:tcBorders>
              <w:bottom w:val="single" w:color="auto" w:sz="4" w:space="0"/>
            </w:tcBorders>
            <w:tcW w:w="5580" w:type="dxa"/>
            <w:textDirection w:val="lrTb"/>
            <w:noWrap w:val="false"/>
          </w:tcPr>
          <w:p>
            <w:pPr>
              <w:numPr>
                <w:ilvl w:val="0"/>
                <w:numId w:val="7"/>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室内地面干净无杂物。</w:t>
            </w:r>
            <w:r/>
          </w:p>
          <w:p>
            <w:pPr>
              <w:numPr>
                <w:ilvl w:val="0"/>
                <w:numId w:val="7"/>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桌椅、沙发干净无浮灰，茶杯摆放整齐。门窗无污渍。</w:t>
            </w:r>
            <w:r/>
          </w:p>
          <w:p>
            <w:pPr>
              <w:numPr>
                <w:ilvl w:val="0"/>
                <w:numId w:val="7"/>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计算机、打印机、电话机表面无浮灰。</w:t>
            </w:r>
            <w:r/>
          </w:p>
        </w:tc>
        <w:tc>
          <w:tcPr>
            <w:tcBorders>
              <w:bottom w:val="single" w:color="auto" w:sz="4" w:space="0"/>
            </w:tcBorders>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bottom w:val="single" w:color="auto" w:sz="4" w:space="0"/>
            </w:tcBorders>
            <w:tcW w:w="171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宿舍公寓</w:t>
            </w:r>
            <w:r/>
          </w:p>
        </w:tc>
        <w:tc>
          <w:tcPr>
            <w:tcW w:w="558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1、非房间内标配的物品，用后，是否归还原物品所管部门。</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2、房间内设备是否完好、齐全，设备、设施坏损是否及时开具报修单。</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3、客房用毕后，是否在规定时间内重做卫生、布草是否更换、整洁，无破损。客人遗留的物品是否及时交纳总台。</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4、窗帘挂钩有无松脱，拉动是否正常。</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5、房顶无灰尘、蜘蛛网，床头柜清洁，写字台桌面光洁，墙纸无灰尘霉斑，烟缸是否干净。</w:t>
            </w:r>
            <w:r/>
          </w:p>
          <w:p>
            <w:pPr>
              <w:numPr>
                <w:ilvl w:val="0"/>
                <w:numId w:val="8"/>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电话机、电灯开关表面无指印或污渍。</w:t>
            </w:r>
            <w:r/>
          </w:p>
          <w:p>
            <w:pPr>
              <w:numPr>
                <w:ilvl w:val="0"/>
                <w:numId w:val="8"/>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墙画悬挂端正、无浮灰，服务指南配备齐全，摆放位置正确。</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8、按《客情通知单》要求物品是否配备到位</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171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卫生间检查</w:t>
            </w:r>
            <w:r/>
          </w:p>
        </w:tc>
        <w:tc>
          <w:tcPr>
            <w:tcW w:w="5580" w:type="dxa"/>
            <w:textDirection w:val="lrTb"/>
            <w:noWrap w:val="false"/>
          </w:tcPr>
          <w:p>
            <w:pPr>
              <w:numPr>
                <w:ilvl w:val="0"/>
                <w:numId w:val="9"/>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玻璃杯、浴缸、浴帘、皂碟、洗面台、镜面清洁无污渍</w:t>
            </w:r>
            <w:r/>
          </w:p>
          <w:p>
            <w:pPr>
              <w:numPr>
                <w:ilvl w:val="0"/>
                <w:numId w:val="9"/>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布草、日用品配备齐全、摆放整洁。</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3、恭桶无异味，盖板消毒条是否贴好。</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4、水龙头、喷头表面光洁明亮。</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5、地面无水迹、污迹、排水处无毛发。</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6、地毯干净无污渍、毛发。</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171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固定资产、物资保管使用情况</w:t>
            </w:r>
            <w:r/>
          </w:p>
        </w:tc>
        <w:tc>
          <w:tcPr>
            <w:tcW w:w="5580" w:type="dxa"/>
            <w:textDirection w:val="lrTb"/>
            <w:noWrap w:val="false"/>
          </w:tcPr>
          <w:p>
            <w:pPr>
              <w:numPr>
                <w:ilvl w:val="0"/>
                <w:numId w:val="10"/>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使用保管的固定资产完好率应为100%。</w:t>
            </w:r>
            <w:r/>
          </w:p>
          <w:p>
            <w:pPr>
              <w:numPr>
                <w:ilvl w:val="0"/>
                <w:numId w:val="10"/>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使用保管的固定资产是否按规定位置摆放，标签是否齐全整洁。</w:t>
            </w:r>
            <w:r/>
          </w:p>
          <w:p>
            <w:pPr>
              <w:numPr>
                <w:ilvl w:val="0"/>
                <w:numId w:val="10"/>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使用物资的存放是否整齐、帐实是否相符，物资的消耗、损耗是否及时报给仓库核减。</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171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顾客反馈</w:t>
            </w:r>
            <w:r/>
          </w:p>
        </w:tc>
        <w:tc>
          <w:tcPr>
            <w:tcW w:w="5580" w:type="dxa"/>
            <w:vAlign w:val="center"/>
            <w:textDirection w:val="lrTb"/>
            <w:noWrap w:val="false"/>
          </w:tcPr>
          <w:p>
            <w:pPr>
              <w:numPr>
                <w:ilvl w:val="0"/>
                <w:numId w:val="11"/>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对顾客所提出的要求是否得到合理的满足。</w:t>
            </w:r>
            <w:r/>
          </w:p>
          <w:p>
            <w:pPr>
              <w:numPr>
                <w:ilvl w:val="0"/>
                <w:numId w:val="11"/>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顾客对服务及人员的投诉、表扬情况有无记录。</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171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考核结果</w:t>
            </w:r>
            <w:r/>
          </w:p>
        </w:tc>
        <w:tc>
          <w:tcPr>
            <w:gridSpan w:val="3"/>
            <w:tcW w:w="873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说明：</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党校负责人签字：                    供应商负责人签字：</w:t>
            </w:r>
            <w:r/>
          </w:p>
        </w:tc>
      </w:tr>
    </w:tbl>
    <w:p>
      <w:pPr>
        <w:ind w:left="480" w:hanging="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注：1、满意程度分：满意、基本满意、不满意。</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2、质量考核结束后，党校考核人及供应商负责人双方签字，不满意的事项说明原因。</w:t>
      </w:r>
      <w:r/>
    </w:p>
    <w:p>
      <w:pPr>
        <w:ind w:left="420" w:firstLine="1680"/>
        <w:spacing w:line="360" w:lineRule="auto"/>
        <w:rPr>
          <w:rFonts w:hint="eastAsia" w:ascii="仿宋" w:hAnsi="仿宋" w:eastAsia="仿宋" w:cs="仿宋"/>
          <w:sz w:val="24"/>
          <w:highlight w:val="none"/>
        </w:rPr>
        <w:sectPr>
          <w:footerReference w:type="default" r:id="rId12"/>
          <w:footnotePr/>
          <w:endnotePr>
            <w:numFmt w:val="decimal"/>
          </w:endnotePr>
          <w:type w:val="nextPage"/>
          <w:pgSz w:w="11850" w:h="16783" w:orient="portrait"/>
          <w:pgMar w:top="1418" w:right="1418" w:bottom="1418" w:left="1418" w:header="1020" w:footer="907" w:gutter="0"/>
          <w:pgNumType w:start="1"/>
          <w:cols w:num="1" w:sep="0" w:space="720" w:equalWidth="1"/>
          <w:docGrid w:linePitch="360"/>
        </w:sectPr>
      </w:pPr>
      <w:r>
        <w:rPr>
          <w:rFonts w:hint="eastAsia" w:ascii="仿宋" w:hAnsi="仿宋" w:eastAsia="仿宋" w:cs="仿宋"/>
          <w:sz w:val="24"/>
          <w:highlight w:val="none"/>
        </w:rPr>
      </w:r>
      <w:r/>
    </w:p>
    <w:p>
      <w:pPr>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______年_______月会务部服务质量考核表</w:t>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ind w:left="51" w:hanging="4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被考核部门</w:t>
      </w:r>
      <w:r>
        <w:rPr>
          <w:rFonts w:hint="eastAsia" w:ascii="仿宋" w:hAnsi="仿宋" w:eastAsia="仿宋" w:cs="仿宋"/>
          <w:sz w:val="24"/>
          <w:highlight w:val="none"/>
          <w:u w:val="single"/>
        </w:rPr>
        <w:t xml:space="preserve">      会务部     </w:t>
      </w:r>
      <w:r>
        <w:rPr>
          <w:rFonts w:hint="eastAsia" w:ascii="仿宋" w:hAnsi="仿宋" w:eastAsia="仿宋" w:cs="仿宋"/>
          <w:sz w:val="24"/>
          <w:highlight w:val="none"/>
        </w:rPr>
        <w:t xml:space="preserve">                   考核时间________________</w:t>
      </w:r>
      <w:r/>
    </w:p>
    <w:tbl>
      <w:tblPr>
        <w:tblStyle w:val="836"/>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4"/>
        <w:gridCol w:w="5580"/>
        <w:gridCol w:w="1440"/>
        <w:gridCol w:w="1719"/>
      </w:tblGrid>
      <w:tr>
        <w:trPr>
          <w:jc w:val="center"/>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考核项目</w:t>
            </w:r>
            <w:r/>
          </w:p>
        </w:tc>
        <w:tc>
          <w:tcPr>
            <w:tcW w:w="5580"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考核内容及标准</w:t>
            </w:r>
            <w:r/>
          </w:p>
        </w:tc>
        <w:tc>
          <w:tcPr>
            <w:tcW w:w="1440"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部门负责人在岗位情况</w:t>
            </w:r>
            <w:r/>
          </w:p>
        </w:tc>
        <w:tc>
          <w:tcPr>
            <w:tcW w:w="1719"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满意程度</w:t>
            </w:r>
            <w:r/>
          </w:p>
        </w:tc>
      </w:tr>
      <w:tr>
        <w:trPr>
          <w:jc w:val="center"/>
          <w:trHeight w:val="2853"/>
        </w:trPr>
        <w:tc>
          <w:tcPr>
            <w:tcW w:w="1184" w:type="dxa"/>
            <w:vAlign w:val="center"/>
            <w:vMerge w:val="restart"/>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基础管理</w:t>
            </w:r>
            <w:r/>
          </w:p>
        </w:tc>
        <w:tc>
          <w:tcPr>
            <w:tcW w:w="5580" w:type="dxa"/>
            <w:vAlign w:val="center"/>
            <w:textDirection w:val="lrTb"/>
            <w:noWrap w:val="false"/>
          </w:tcPr>
          <w:p>
            <w:pPr>
              <w:numPr>
                <w:ilvl w:val="0"/>
                <w:numId w:val="12"/>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礼仪会务服务人员必须经过培训，具有良好的仪态仪表。熟知所有会议场所的分布状况及设施配置和功能，熟练使用各种设备和掌握各类服务的基本技能。着装统一、整洁，文明礼貌、现场操作规范。</w:t>
            </w:r>
            <w:r/>
          </w:p>
          <w:p>
            <w:pPr>
              <w:numPr>
                <w:ilvl w:val="0"/>
                <w:numId w:val="12"/>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会议室、接待室、操作间等管理区域整洁整齐，无垃圾、杂物，无污渍、破损，设施设备完好率≥98%。</w:t>
            </w:r>
            <w:r/>
          </w:p>
          <w:p>
            <w:pPr>
              <w:numPr>
                <w:ilvl w:val="0"/>
                <w:numId w:val="12"/>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配合做好提供优质的讲解服务。</w:t>
            </w:r>
            <w:r/>
          </w:p>
        </w:tc>
        <w:tc>
          <w:tcPr>
            <w:tcW w:w="1440" w:type="dxa"/>
            <w:vMerge w:val="restart"/>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1719" w:type="dxa"/>
            <w:vMerge w:val="restart"/>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2828"/>
        </w:trPr>
        <w:tc>
          <w:tcPr>
            <w:tcW w:w="1184" w:type="dxa"/>
            <w:vAlign w:val="center"/>
            <w:vMerge w:val="restart"/>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会场布置</w:t>
            </w:r>
            <w:r/>
          </w:p>
        </w:tc>
        <w:tc>
          <w:tcPr>
            <w:tcBorders>
              <w:bottom w:val="single" w:color="auto" w:sz="4" w:space="0"/>
            </w:tcBorders>
            <w:tcW w:w="5580" w:type="dxa"/>
            <w:vAlign w:val="center"/>
            <w:textDirection w:val="lrTb"/>
            <w:noWrap w:val="false"/>
          </w:tcPr>
          <w:p>
            <w:pPr>
              <w:numPr>
                <w:ilvl w:val="0"/>
                <w:numId w:val="13"/>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临时（紧急）会议及时布置，一般会议提前半天布置，重要会议提前一天布置，大型会议按领导和主办单位要求布置。会场（会议室）布置整体效果符合主办单位要求。</w:t>
            </w:r>
            <w:r/>
          </w:p>
          <w:p>
            <w:pPr>
              <w:numPr>
                <w:ilvl w:val="0"/>
                <w:numId w:val="13"/>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主席台、投影、电视设置合理，话筒、席位卡、茶杯（含矿泉水）、方巾等摆放正确到位。音响、照明（灯光）、空调等调试、落实到位，满足会议使用要求。</w:t>
            </w:r>
            <w:r/>
          </w:p>
          <w:p>
            <w:pPr>
              <w:numPr>
                <w:ilvl w:val="0"/>
                <w:numId w:val="13"/>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会场干净，无脏杂物，无灰尘，无水迹，符合卫生要求。</w:t>
            </w:r>
            <w:r/>
          </w:p>
        </w:tc>
        <w:tc>
          <w:tcPr>
            <w:tcW w:w="1440" w:type="dxa"/>
            <w:vMerge w:val="restart"/>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1719" w:type="dxa"/>
            <w:vMerge w:val="restart"/>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1614"/>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会议服务</w:t>
            </w:r>
            <w:r/>
          </w:p>
        </w:tc>
        <w:tc>
          <w:tcPr>
            <w:tcW w:w="5580" w:type="dxa"/>
            <w:vAlign w:val="center"/>
            <w:textDirection w:val="lrTb"/>
            <w:noWrap w:val="false"/>
          </w:tcPr>
          <w:p>
            <w:pPr>
              <w:numPr>
                <w:ilvl w:val="0"/>
                <w:numId w:val="14"/>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会议服务人员必须提前到达会场（会议室），全面做好会议服务的各项准备。</w:t>
            </w:r>
            <w:r/>
          </w:p>
          <w:p>
            <w:pPr>
              <w:numPr>
                <w:ilvl w:val="0"/>
                <w:numId w:val="14"/>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全程保证音响、投影、电视、灯光等效果，准确无差错。不间断提供茶水等服务，保障服务到位。适时提供空调保障。</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171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909"/>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考核结果</w:t>
            </w:r>
            <w:r/>
          </w:p>
        </w:tc>
        <w:tc>
          <w:tcPr>
            <w:gridSpan w:val="3"/>
            <w:tcW w:w="873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说明：</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党校负责人签字：                    供应商负责人签字：</w:t>
            </w:r>
            <w:r/>
          </w:p>
        </w:tc>
      </w:tr>
    </w:tbl>
    <w:p>
      <w:pPr>
        <w:ind w:left="480" w:hanging="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注：1、满意程度分：满意、基本满意、不满意。</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2、质量考核结束后，党校考核人及供应商负责人双方签字，不满意的事项说明原因。</w:t>
      </w:r>
      <w:r/>
    </w:p>
    <w:p>
      <w:pPr>
        <w:ind w:left="420" w:firstLine="1680"/>
        <w:spacing w:line="360" w:lineRule="auto"/>
        <w:rPr>
          <w:rFonts w:hint="eastAsia" w:ascii="仿宋" w:hAnsi="仿宋" w:eastAsia="仿宋" w:cs="仿宋"/>
          <w:sz w:val="24"/>
          <w:highlight w:val="none"/>
        </w:rPr>
        <w:sectPr>
          <w:footnotePr/>
          <w:endnotePr>
            <w:numFmt w:val="decimal"/>
          </w:endnotePr>
          <w:type w:val="nextPage"/>
          <w:pgSz w:w="11850" w:h="16783" w:orient="portrait"/>
          <w:pgMar w:top="1418" w:right="1418" w:bottom="1418" w:left="1418" w:header="720" w:footer="720" w:gutter="0"/>
          <w:cols w:num="1" w:sep="0" w:space="720" w:equalWidth="1"/>
          <w:docGrid w:linePitch="360"/>
        </w:sectPr>
      </w:pPr>
      <w:r>
        <w:rPr>
          <w:rFonts w:hint="eastAsia" w:ascii="仿宋" w:hAnsi="仿宋" w:eastAsia="仿宋" w:cs="仿宋"/>
          <w:sz w:val="24"/>
          <w:highlight w:val="none"/>
        </w:rPr>
      </w:r>
      <w:r/>
    </w:p>
    <w:p>
      <w:pPr>
        <w:ind w:left="420" w:firstLine="1687"/>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 </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年</w:t>
      </w:r>
      <w:r>
        <w:rPr>
          <w:rFonts w:hint="eastAsia" w:ascii="仿宋" w:hAnsi="仿宋" w:eastAsia="仿宋" w:cs="仿宋"/>
          <w:b/>
          <w:sz w:val="24"/>
          <w:highlight w:val="none"/>
          <w:u w:val="single"/>
        </w:rPr>
        <w:t xml:space="preserve">      </w:t>
      </w:r>
      <w:r>
        <w:rPr>
          <w:rFonts w:hint="eastAsia" w:ascii="仿宋" w:hAnsi="仿宋" w:eastAsia="仿宋" w:cs="仿宋"/>
          <w:b/>
          <w:sz w:val="24"/>
          <w:highlight w:val="none"/>
        </w:rPr>
        <w:t xml:space="preserve">月餐厅及会务服务质量考核表</w:t>
      </w:r>
      <w:r/>
    </w:p>
    <w:p>
      <w:pPr>
        <w:ind w:left="42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51" w:hanging="4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被考核部门： </w:t>
      </w:r>
      <w:r>
        <w:rPr>
          <w:rFonts w:hint="eastAsia" w:ascii="仿宋" w:hAnsi="仿宋" w:eastAsia="仿宋" w:cs="仿宋"/>
          <w:sz w:val="24"/>
          <w:highlight w:val="none"/>
          <w:u w:val="single"/>
        </w:rPr>
        <w:t xml:space="preserve">     餐饮前台  </w:t>
      </w:r>
      <w:r>
        <w:rPr>
          <w:rFonts w:hint="eastAsia" w:ascii="仿宋" w:hAnsi="仿宋" w:eastAsia="仿宋" w:cs="仿宋"/>
          <w:sz w:val="24"/>
          <w:highlight w:val="none"/>
        </w:rPr>
        <w:t xml:space="preserve">                  考核时间________________</w:t>
      </w:r>
      <w:r/>
    </w:p>
    <w:tbl>
      <w:tblPr>
        <w:tblStyle w:val="836"/>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4"/>
        <w:gridCol w:w="5220"/>
        <w:gridCol w:w="1440"/>
        <w:gridCol w:w="2079"/>
      </w:tblGrid>
      <w:tr>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考核项目</w:t>
            </w:r>
            <w:r/>
          </w:p>
        </w:tc>
        <w:tc>
          <w:tcPr>
            <w:tcW w:w="5220"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考核内容及标准</w:t>
            </w:r>
            <w:r/>
          </w:p>
        </w:tc>
        <w:tc>
          <w:tcPr>
            <w:tcW w:w="1440"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部门负责人在岗位情况</w:t>
            </w:r>
            <w:r/>
          </w:p>
        </w:tc>
        <w:tc>
          <w:tcPr>
            <w:tcW w:w="2079"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满意程度</w:t>
            </w:r>
            <w:r/>
          </w:p>
        </w:tc>
      </w:tr>
      <w:tr>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公共区域卫生</w:t>
            </w:r>
            <w:r/>
          </w:p>
        </w:tc>
        <w:tc>
          <w:tcPr>
            <w:tcW w:w="522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1、大厅地面干净无油渍，吧台、工作台无杂物、无灰尘，无苍蝇。</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2、桌椅干净无杂物，三线对齐。</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3、工作台内的餐具用具分类摆放整齐，齐全。</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4、包间地面、门、墙壁及房内的装饰物干净整洁。</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5、所有照明设备正常，设备完好，音响正常，坏损是否开具报修单。</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摆台情况</w:t>
            </w:r>
            <w:r/>
          </w:p>
        </w:tc>
        <w:tc>
          <w:tcPr>
            <w:tcW w:w="522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1、是否按标准摆台，台型是否符合要求。</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2、台面上的餐具、用具是否干净、整齐、无污渍；地毯卫生整洁、无杂物。</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3、检查台号是否正确，窗帘垂挂要统一，无脱落。</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4、设施、设备坏损是否开具报修单。</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5、桌布、椅套按时清洗，保持整洁。</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1680"/>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服务要求</w:t>
            </w:r>
            <w:r/>
          </w:p>
        </w:tc>
        <w:tc>
          <w:tcPr>
            <w:tcW w:w="522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1、六知：知桌数、知人数、知主人身份、知宴席标准、知开餐时间、知菜式品种。</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2、三了解：了解顾客风俗习惯、了解顾客生活忌讳、了解顾客特殊要求。</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3、三轻：走路轻、说话轻、动作轻。</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4、四勤：眼勤、口勤、脚勤、手勤。</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5、客人消费签单的完整性和准确性。</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663"/>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服务员要求</w:t>
            </w:r>
            <w:r/>
          </w:p>
        </w:tc>
        <w:tc>
          <w:tcPr>
            <w:tcW w:w="5220" w:type="dxa"/>
            <w:textDirection w:val="lrTb"/>
            <w:noWrap w:val="false"/>
          </w:tcPr>
          <w:p>
            <w:pPr>
              <w:numPr>
                <w:ilvl w:val="0"/>
                <w:numId w:val="15"/>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服装统一、整洁，言行举止端庄，个人卫生清洁。</w:t>
            </w:r>
            <w:r/>
          </w:p>
          <w:p>
            <w:pPr>
              <w:numPr>
                <w:ilvl w:val="0"/>
                <w:numId w:val="15"/>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服务周到，礼节、礼貌良好。</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1230"/>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卫生间检查</w:t>
            </w:r>
            <w:r/>
          </w:p>
        </w:tc>
        <w:tc>
          <w:tcPr>
            <w:tcW w:w="522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1、卫生间镜面、台面、地面无水迹、污迹。</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2、恭桷无异味，小便池无污垢。</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3、水龙头表面光洁明亮。</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4、设备、设施坏损是否开具报修单。</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1551"/>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固定资产、物资保管使用情况</w:t>
            </w:r>
            <w:r/>
          </w:p>
        </w:tc>
        <w:tc>
          <w:tcPr>
            <w:tcW w:w="5220" w:type="dxa"/>
            <w:textDirection w:val="lrTb"/>
            <w:noWrap w:val="false"/>
          </w:tcPr>
          <w:p>
            <w:pPr>
              <w:numPr>
                <w:ilvl w:val="0"/>
                <w:numId w:val="16"/>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使用保管的固定资产完好率应为100%。</w:t>
            </w:r>
            <w:r/>
          </w:p>
          <w:p>
            <w:pPr>
              <w:numPr>
                <w:ilvl w:val="0"/>
                <w:numId w:val="16"/>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使用保管的固定资产是否按规定位置摆放，标签是否齐全整洁。</w:t>
            </w:r>
            <w:r/>
          </w:p>
          <w:p>
            <w:pPr>
              <w:numPr>
                <w:ilvl w:val="0"/>
                <w:numId w:val="16"/>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使用物资的存放是否整齐、帐目是否清楚，物资的消耗、损耗是否及时报给仓库核减。</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751"/>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顾客反馈</w:t>
            </w:r>
            <w:r/>
          </w:p>
        </w:tc>
        <w:tc>
          <w:tcPr>
            <w:tcW w:w="5220" w:type="dxa"/>
            <w:vAlign w:val="center"/>
            <w:textDirection w:val="lrTb"/>
            <w:noWrap w:val="false"/>
          </w:tcPr>
          <w:p>
            <w:pPr>
              <w:numPr>
                <w:ilvl w:val="0"/>
                <w:numId w:val="17"/>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顾客所提出的要求是否得到合理的满足。</w:t>
            </w:r>
            <w:r/>
          </w:p>
          <w:p>
            <w:pPr>
              <w:numPr>
                <w:ilvl w:val="0"/>
                <w:numId w:val="17"/>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顾客对服务及人员的投诉、表扬情况。</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cantSplit/>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考核结果</w:t>
            </w:r>
            <w:r/>
          </w:p>
        </w:tc>
        <w:tc>
          <w:tcPr>
            <w:gridSpan w:val="3"/>
            <w:tcW w:w="873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说明：</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党校负责人签字：                 供应商负责人签字：</w:t>
            </w:r>
            <w:r/>
          </w:p>
        </w:tc>
      </w:tr>
    </w:tbl>
    <w:p>
      <w:pPr>
        <w:ind w:left="480" w:hanging="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注：1、满意程度分：满意、基本满意、不满意。</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2、质量考核结束后，党校考核人及供应商负责人双方签字，不满意的事项说明原因。</w:t>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br w:type="page" w:clear="all"/>
      </w:r>
      <w:r>
        <w:rPr>
          <w:rFonts w:hint="eastAsia" w:ascii="仿宋" w:hAnsi="仿宋" w:eastAsia="仿宋" w:cs="仿宋"/>
          <w:b/>
          <w:sz w:val="24"/>
          <w:highlight w:val="none"/>
        </w:rPr>
        <w:t xml:space="preserve">______年_______月厨房服务质量考核表</w:t>
      </w:r>
      <w:r/>
    </w:p>
    <w:p>
      <w:pP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ind w:left="51" w:hanging="4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被考核部门：</w:t>
      </w:r>
      <w:r>
        <w:rPr>
          <w:rFonts w:hint="eastAsia" w:ascii="仿宋" w:hAnsi="仿宋" w:eastAsia="仿宋" w:cs="仿宋"/>
          <w:sz w:val="24"/>
          <w:highlight w:val="none"/>
          <w:u w:val="single"/>
        </w:rPr>
        <w:t xml:space="preserve">     厨房        </w:t>
      </w:r>
      <w:r>
        <w:rPr>
          <w:rFonts w:hint="eastAsia" w:ascii="仿宋" w:hAnsi="仿宋" w:eastAsia="仿宋" w:cs="仿宋"/>
          <w:sz w:val="24"/>
          <w:highlight w:val="none"/>
        </w:rPr>
        <w:t xml:space="preserve">                        考核时间________________</w:t>
      </w:r>
      <w:r/>
    </w:p>
    <w:tbl>
      <w:tblPr>
        <w:tblStyle w:val="836"/>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4"/>
        <w:gridCol w:w="5220"/>
        <w:gridCol w:w="1440"/>
        <w:gridCol w:w="2079"/>
      </w:tblGrid>
      <w:tr>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考核项目</w:t>
            </w:r>
            <w:r/>
          </w:p>
        </w:tc>
        <w:tc>
          <w:tcPr>
            <w:tcW w:w="5220"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考核内容及标准</w:t>
            </w:r>
            <w:r/>
          </w:p>
        </w:tc>
        <w:tc>
          <w:tcPr>
            <w:tcW w:w="1440"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部门负责人在岗位情况</w:t>
            </w:r>
            <w:r/>
          </w:p>
        </w:tc>
        <w:tc>
          <w:tcPr>
            <w:tcW w:w="2079"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满意程度</w:t>
            </w:r>
            <w:r/>
          </w:p>
        </w:tc>
      </w:tr>
      <w:tr>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厨房卫生</w:t>
            </w:r>
            <w:r/>
          </w:p>
        </w:tc>
        <w:tc>
          <w:tcPr>
            <w:tcW w:w="522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1、着装上岗、保持个人卫生。做到区域卫生、走道地面无积水，无油腻，无杂物，保持干燥。</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2、厨房层顶天花板、墙壁无吊灰。</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3、炉灶、冰箱、橱柜、货架、工作台，以及其他器械保持清洁明亮。</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4、库房物品摆放整齐，货架清洁，分类摆放，餐具备用品完好，数目准确。</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5、灶台、案台、调料罐、各种规格碗盘、器皿干净卫生，摆放整齐。</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6、自制、外购食品留样24小时，做好登记、备查。</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冷菜间标准</w:t>
            </w:r>
            <w:r/>
          </w:p>
        </w:tc>
        <w:tc>
          <w:tcPr>
            <w:tcW w:w="522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1、案桌干净整洁，厨柜摆放整齐。</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2、食品生熟分开，切割、装配生熟食品必须双刀、双砧板、双抹布，分别操作，果盘分开使用。</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3、切配、烹调用具，随时保持干燥，砧板、木面工作台显现本色。</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4、定期检查，整理冰箱。保证存放食品质量和整齐。</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5、每天检查所用冷藏设备的运转是否正常，发现问题及时报告，开具报修单。</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366"/>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面点房标准</w:t>
            </w:r>
            <w:r/>
          </w:p>
        </w:tc>
        <w:tc>
          <w:tcPr>
            <w:tcW w:w="522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1、面点房室内卫生干净整洁，灶台清洁无残留物。</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2、面杖、馅挑、刀具、模具、容器等用后洗净，定位存放，保持清洁。</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3、面机、烤箱等厨具设备用后清洁保养。</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4、用具整理、原料保管好</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748"/>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成本核算</w:t>
            </w:r>
            <w:r/>
          </w:p>
        </w:tc>
        <w:tc>
          <w:tcPr>
            <w:tcW w:w="5220" w:type="dxa"/>
            <w:textDirection w:val="lrTb"/>
            <w:noWrap w:val="false"/>
          </w:tcPr>
          <w:p>
            <w:pPr>
              <w:numPr>
                <w:ilvl w:val="0"/>
                <w:numId w:val="18"/>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根据学校《接待通知单》及领导通知的标准制作菜谱及副食采购单，经学校审核。</w:t>
            </w:r>
            <w:r/>
          </w:p>
          <w:p>
            <w:pPr>
              <w:numPr>
                <w:ilvl w:val="0"/>
                <w:numId w:val="18"/>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成本核算准确，误差不能超过10%。</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770"/>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菜肴制做</w:t>
            </w:r>
            <w:r/>
          </w:p>
        </w:tc>
        <w:tc>
          <w:tcPr>
            <w:tcW w:w="5220" w:type="dxa"/>
            <w:textDirection w:val="lrTb"/>
            <w:noWrap w:val="false"/>
          </w:tcPr>
          <w:p>
            <w:pPr>
              <w:numPr>
                <w:ilvl w:val="0"/>
                <w:numId w:val="19"/>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菜肴制作卫生、原料新鲜。</w:t>
            </w:r>
            <w:r/>
          </w:p>
          <w:p>
            <w:pPr>
              <w:numPr>
                <w:ilvl w:val="0"/>
                <w:numId w:val="19"/>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口味满足大多数顾客的要求。</w:t>
            </w:r>
            <w:r/>
          </w:p>
          <w:p>
            <w:pPr>
              <w:numPr>
                <w:ilvl w:val="0"/>
                <w:numId w:val="19"/>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菜谱完整、各类规格齐全，菜肴不断创新。</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1277"/>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固定资产、物资保管使用情况</w:t>
            </w:r>
            <w:r/>
          </w:p>
        </w:tc>
        <w:tc>
          <w:tcPr>
            <w:tcW w:w="522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1、使用保管的固定资产完好率应为100%。</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2、使用保管的固定资产是否按规定位置摆放，标签是否齐全整洁。</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3、物资的存放是否整齐、帐目是否清楚，物资的消耗、损耗是否及时报给仓库核减。</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708"/>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顾客反馈</w:t>
            </w:r>
            <w:r/>
          </w:p>
        </w:tc>
        <w:tc>
          <w:tcPr>
            <w:tcW w:w="5220" w:type="dxa"/>
            <w:vAlign w:val="center"/>
            <w:textDirection w:val="lrTb"/>
            <w:noWrap w:val="false"/>
          </w:tcPr>
          <w:p>
            <w:pPr>
              <w:numPr>
                <w:ilvl w:val="0"/>
                <w:numId w:val="20"/>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顾客所提出的要求是否得到合理的满足。</w:t>
            </w:r>
            <w:r/>
          </w:p>
          <w:p>
            <w:pPr>
              <w:numPr>
                <w:ilvl w:val="0"/>
                <w:numId w:val="20"/>
              </w:num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顾客对服务及人员的投诉、表扬情况有无记录。</w:t>
            </w:r>
            <w:r/>
          </w:p>
        </w:tc>
        <w:tc>
          <w:tcPr>
            <w:tcW w:w="1440"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cantSplit/>
          <w:trHeight w:val="784"/>
        </w:trPr>
        <w:tc>
          <w:tcPr>
            <w:tcW w:w="1184"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考核结果</w:t>
            </w:r>
            <w:r/>
          </w:p>
        </w:tc>
        <w:tc>
          <w:tcPr>
            <w:gridSpan w:val="3"/>
            <w:tcW w:w="8739" w:type="dxa"/>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说明：                                    </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党校负责人签字：                 供应商负责人签字：</w:t>
            </w:r>
            <w:r/>
          </w:p>
        </w:tc>
      </w:tr>
    </w:tbl>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注：1、满意程度分：满意、基本满意、不满意。</w:t>
      </w:r>
      <w:r/>
    </w:p>
    <w:p>
      <w:pPr>
        <w:pStyle w:val="847"/>
        <w:rPr>
          <w:rFonts w:hint="eastAsia" w:ascii="仿宋" w:hAnsi="仿宋" w:eastAsia="仿宋" w:cs="仿宋"/>
          <w:highlight w:val="none"/>
        </w:rPr>
      </w:pPr>
      <w:r>
        <w:rPr>
          <w:rFonts w:hint="eastAsia" w:ascii="仿宋" w:hAnsi="仿宋" w:eastAsia="仿宋" w:cs="仿宋"/>
          <w:sz w:val="24"/>
          <w:highlight w:val="none"/>
        </w:rPr>
        <w:t xml:space="preserve">2、质量考核结束后，党校考核人及供应商负责人双方签字，不满意的事项说明原因。</w:t>
      </w:r>
      <w:r>
        <w:rPr>
          <w:rFonts w:hint="eastAsia" w:ascii="仿宋" w:hAnsi="仿宋" w:eastAsia="仿宋" w:cs="仿宋"/>
          <w:b/>
          <w:bCs/>
          <w:sz w:val="24"/>
          <w:highlight w:val="none"/>
        </w:rPr>
        <w:br w:type="page" w:clear="all"/>
      </w:r>
      <w:r/>
    </w:p>
    <w:p>
      <w:pPr>
        <w:pStyle w:val="847"/>
        <w:rPr>
          <w:rFonts w:hint="eastAsia" w:ascii="仿宋" w:hAnsi="仿宋" w:eastAsia="仿宋" w:cs="仿宋"/>
          <w:highlight w:val="none"/>
        </w:rPr>
      </w:pPr>
      <w:r>
        <w:rPr>
          <w:rFonts w:hint="eastAsia" w:ascii="仿宋" w:hAnsi="仿宋" w:eastAsia="仿宋" w:cs="仿宋"/>
          <w:highlight w:val="none"/>
        </w:rPr>
      </w:r>
      <w:bookmarkEnd w:id="148"/>
      <w:bookmarkEnd w:id="149"/>
      <w:r/>
    </w:p>
    <w:p>
      <w:pPr>
        <w:pStyle w:val="826"/>
        <w:numPr>
          <w:ilvl w:val="0"/>
          <w:numId w:val="0"/>
        </w:numPr>
        <w:spacing w:line="360" w:lineRule="auto"/>
        <w:rPr>
          <w:rFonts w:hint="eastAsia" w:ascii="仿宋" w:hAnsi="仿宋" w:eastAsia="仿宋" w:cs="仿宋"/>
          <w:szCs w:val="32"/>
          <w:highlight w:val="none"/>
        </w:rPr>
      </w:pPr>
      <w:r/>
      <w:bookmarkStart w:id="154" w:name="_Toc24337"/>
      <w:r>
        <w:rPr>
          <w:rFonts w:hint="eastAsia" w:ascii="仿宋" w:hAnsi="仿宋" w:eastAsia="仿宋" w:cs="仿宋"/>
          <w:szCs w:val="32"/>
          <w:highlight w:val="none"/>
        </w:rPr>
        <w:t xml:space="preserve">第五章 </w:t>
      </w:r>
      <w:bookmarkStart w:id="155" w:name="_Toc28129"/>
      <w:r/>
      <w:bookmarkStart w:id="156" w:name="_Toc13325"/>
      <w:r>
        <w:rPr>
          <w:rFonts w:hint="eastAsia" w:ascii="仿宋" w:hAnsi="仿宋" w:eastAsia="仿宋" w:cs="仿宋"/>
          <w:szCs w:val="32"/>
          <w:highlight w:val="none"/>
        </w:rPr>
        <w:t xml:space="preserve">合同主要条款及格式</w:t>
      </w:r>
      <w:bookmarkEnd w:id="154"/>
      <w:r/>
      <w:bookmarkEnd w:id="155"/>
      <w:r/>
      <w:bookmarkEnd w:id="156"/>
      <w:r/>
      <w:r/>
    </w:p>
    <w:p>
      <w:pPr>
        <w:jc w:val="cente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注：本合同仅为合同的参考文本，若与项目需求书内容有冲突，以项目需求书为准，合同签订双方可根据项目的具体要求进行修订。</w:t>
      </w:r>
      <w:r/>
    </w:p>
    <w:p>
      <w:pPr>
        <w:rPr>
          <w:rFonts w:hint="eastAsia" w:ascii="仿宋" w:hAnsi="仿宋" w:eastAsia="仿宋" w:cs="仿宋"/>
          <w:highlight w:val="none"/>
        </w:rPr>
      </w:pPr>
      <w:r>
        <w:rPr>
          <w:rFonts w:hint="eastAsia" w:ascii="仿宋" w:hAnsi="仿宋" w:eastAsia="仿宋" w:cs="仿宋"/>
          <w:highlight w:val="none"/>
        </w:rPr>
        <w:br w:type="page" w:clear="all"/>
      </w:r>
      <w:r/>
    </w:p>
    <w:p>
      <w:pPr>
        <w:pStyle w:val="837"/>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jc w:val="center"/>
        <w:spacing w:line="300" w:lineRule="auto"/>
        <w:rPr>
          <w:rFonts w:hint="eastAsia" w:ascii="仿宋" w:hAnsi="仿宋" w:eastAsia="仿宋" w:cs="仿宋"/>
          <w:sz w:val="32"/>
          <w:szCs w:val="32"/>
          <w:highlight w:val="none"/>
        </w:rPr>
      </w:pPr>
      <w:r/>
      <w:bookmarkStart w:id="157" w:name="_Toc15886"/>
      <w:r/>
      <w:bookmarkStart w:id="158" w:name="_Toc11882"/>
      <w:r/>
      <w:r/>
    </w:p>
    <w:p>
      <w:pPr>
        <w:ind w:firstLine="420"/>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rPr>
          <w:rFonts w:hint="eastAsia" w:ascii="仿宋" w:hAnsi="仿宋" w:eastAsia="仿宋" w:cs="仿宋"/>
          <w:b/>
          <w:sz w:val="36"/>
          <w:szCs w:val="36"/>
          <w:highlight w:val="none"/>
        </w:rPr>
      </w:pPr>
      <w:r>
        <w:rPr>
          <w:rFonts w:hint="eastAsia" w:ascii="仿宋" w:hAnsi="仿宋" w:eastAsia="仿宋" w:cs="仿宋"/>
          <w:b/>
          <w:sz w:val="36"/>
          <w:szCs w:val="36"/>
          <w:highlight w:val="none"/>
        </w:rPr>
      </w:r>
      <w:r/>
    </w:p>
    <w:p>
      <w:pPr>
        <w:jc w:val="center"/>
        <w:rPr>
          <w:rFonts w:hint="eastAsia" w:ascii="仿宋" w:hAnsi="仿宋" w:eastAsia="仿宋" w:cs="仿宋"/>
          <w:b/>
          <w:sz w:val="52"/>
          <w:szCs w:val="52"/>
          <w:highlight w:val="none"/>
        </w:rPr>
      </w:pPr>
      <w:r>
        <w:rPr>
          <w:rFonts w:hint="eastAsia" w:ascii="仿宋" w:hAnsi="仿宋" w:eastAsia="仿宋" w:cs="仿宋"/>
          <w:b/>
          <w:sz w:val="52"/>
          <w:szCs w:val="52"/>
          <w:highlight w:val="none"/>
        </w:rPr>
        <w:t xml:space="preserve">中共南京市雨花台区委党校2025年客房、餐饮服务合同</w:t>
      </w:r>
      <w:r/>
    </w:p>
    <w:p>
      <w:pPr>
        <w:ind w:firstLine="883"/>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jc w:val="center"/>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ind w:firstLine="883"/>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ind w:firstLine="883"/>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ind w:firstLine="883"/>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ind w:firstLine="883"/>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ind w:firstLine="883"/>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ind w:firstLine="883"/>
        <w:jc w:val="center"/>
        <w:rPr>
          <w:rFonts w:hint="eastAsia" w:ascii="仿宋" w:hAnsi="仿宋" w:eastAsia="仿宋" w:cs="仿宋"/>
          <w:b/>
          <w:sz w:val="44"/>
          <w:szCs w:val="44"/>
          <w:highlight w:val="none"/>
        </w:rPr>
      </w:pPr>
      <w:r>
        <w:rPr>
          <w:rFonts w:hint="eastAsia" w:ascii="仿宋" w:hAnsi="仿宋" w:eastAsia="仿宋" w:cs="仿宋"/>
          <w:b/>
          <w:sz w:val="44"/>
          <w:szCs w:val="44"/>
          <w:highlight w:val="none"/>
        </w:rPr>
      </w:r>
      <w:r/>
    </w:p>
    <w:p>
      <w:pPr>
        <w:ind w:firstLine="602"/>
        <w:jc w:val="left"/>
        <w:spacing w:line="48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ind w:firstLine="602"/>
        <w:jc w:val="left"/>
        <w:spacing w:line="48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ind w:firstLine="851"/>
        <w:spacing w:line="480" w:lineRule="auto"/>
        <w:rPr>
          <w:rFonts w:hint="eastAsia" w:ascii="仿宋" w:hAnsi="仿宋" w:eastAsia="仿宋" w:cs="仿宋"/>
          <w:b/>
          <w:sz w:val="32"/>
          <w:szCs w:val="32"/>
          <w:highlight w:val="none"/>
          <w:u w:val="single"/>
        </w:rPr>
      </w:pPr>
      <w:r>
        <w:rPr>
          <w:rFonts w:hint="eastAsia" w:ascii="仿宋" w:hAnsi="仿宋" w:eastAsia="仿宋" w:cs="仿宋"/>
          <w:b/>
          <w:sz w:val="32"/>
          <w:szCs w:val="32"/>
          <w:highlight w:val="none"/>
        </w:rPr>
        <w:t xml:space="preserve">甲  方：中国共产党南京市雨花台区委员会党校</w:t>
      </w:r>
      <w:r/>
    </w:p>
    <w:p>
      <w:pPr>
        <w:ind w:firstLine="851"/>
        <w:jc w:val="left"/>
        <w:spacing w:line="48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乙  方： </w:t>
      </w:r>
      <w:r/>
    </w:p>
    <w:p>
      <w:pPr>
        <w:ind w:firstLine="851"/>
        <w:jc w:val="center"/>
        <w:spacing w:line="480" w:lineRule="auto"/>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日  期：  年  月  日</w:t>
      </w:r>
      <w:r/>
    </w:p>
    <w:p>
      <w:pPr>
        <w:ind w:firstLine="602"/>
        <w:jc w:val="left"/>
        <w:spacing w:line="48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jc w:val="left"/>
        <w:spacing w:line="560" w:lineRule="exact"/>
        <w:rPr>
          <w:rFonts w:hint="eastAsia" w:ascii="仿宋" w:hAnsi="仿宋" w:eastAsia="仿宋" w:cs="仿宋"/>
          <w:sz w:val="28"/>
          <w:szCs w:val="28"/>
          <w:highlight w:val="none"/>
          <w:u w:val="single"/>
        </w:rPr>
      </w:pPr>
      <w:r>
        <w:rPr>
          <w:rFonts w:hint="eastAsia" w:ascii="仿宋" w:hAnsi="仿宋" w:eastAsia="仿宋" w:cs="仿宋"/>
          <w:b/>
          <w:sz w:val="30"/>
          <w:szCs w:val="30"/>
          <w:highlight w:val="none"/>
        </w:rPr>
        <w:br w:type="page" w:clear="all"/>
      </w:r>
      <w:r>
        <w:rPr>
          <w:rFonts w:hint="eastAsia" w:ascii="仿宋" w:hAnsi="仿宋" w:eastAsia="仿宋" w:cs="仿宋"/>
          <w:sz w:val="28"/>
          <w:szCs w:val="28"/>
          <w:highlight w:val="none"/>
        </w:rPr>
        <w:t xml:space="preserve">甲方：</w:t>
      </w:r>
      <w:r>
        <w:rPr>
          <w:rFonts w:hint="eastAsia" w:ascii="仿宋" w:hAnsi="仿宋" w:eastAsia="仿宋" w:cs="仿宋"/>
          <w:sz w:val="28"/>
          <w:szCs w:val="28"/>
          <w:highlight w:val="none"/>
          <w:u w:val="single"/>
        </w:rPr>
        <w:t xml:space="preserve">中国共产党南京市雨花台区委员会党校</w:t>
      </w:r>
      <w:r/>
    </w:p>
    <w:p>
      <w:pPr>
        <w:jc w:val="left"/>
        <w:spacing w:line="56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住所地：</w:t>
      </w:r>
      <w:r>
        <w:rPr>
          <w:rFonts w:hint="eastAsia" w:ascii="仿宋" w:hAnsi="仿宋" w:eastAsia="仿宋" w:cs="仿宋"/>
          <w:sz w:val="28"/>
          <w:szCs w:val="28"/>
          <w:highlight w:val="none"/>
          <w:u w:val="single"/>
        </w:rPr>
        <w:t xml:space="preserve">南京市雨花台区观山路22号</w:t>
      </w:r>
      <w:r/>
    </w:p>
    <w:p>
      <w:pPr>
        <w:jc w:val="left"/>
        <w:spacing w:line="56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乙方（以下称乙方）：</w:t>
      </w:r>
      <w:r>
        <w:rPr>
          <w:rFonts w:hint="eastAsia" w:ascii="仿宋" w:hAnsi="仿宋" w:eastAsia="仿宋" w:cs="仿宋"/>
          <w:sz w:val="28"/>
          <w:szCs w:val="28"/>
          <w:highlight w:val="none"/>
          <w:u w:val="single"/>
        </w:rPr>
        <w:t xml:space="preserve">              </w:t>
      </w:r>
      <w:r/>
    </w:p>
    <w:p>
      <w:pPr>
        <w:jc w:val="left"/>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住所地：</w:t>
      </w:r>
      <w:r>
        <w:rPr>
          <w:rFonts w:hint="eastAsia" w:ascii="仿宋" w:hAnsi="仿宋" w:eastAsia="仿宋" w:cs="仿宋"/>
          <w:sz w:val="28"/>
          <w:szCs w:val="28"/>
          <w:highlight w:val="none"/>
          <w:u w:val="single"/>
        </w:rPr>
        <w:t xml:space="preserve">             </w:t>
      </w:r>
      <w:r/>
    </w:p>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一、合同文件</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中共南京市雨花台区委党校2025年客房、餐饮服务的招标文件、乙方的投标文件是构成本合同不可分割的部分，本合同的优先解释顺序如下：</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1.中共南京市雨花台区委党校2025年客房、餐饮服务的招标文件；</w:t>
      </w:r>
      <w:r/>
    </w:p>
    <w:p>
      <w:pPr>
        <w:ind w:firstLine="560"/>
        <w:spacing w:line="560" w:lineRule="exact"/>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2.乙方提交的投标文件和在招标过程中所作的其他承诺、声明、书面变更材料等；</w:t>
      </w:r>
      <w:r/>
    </w:p>
    <w:p>
      <w:pPr>
        <w:ind w:firstLine="560"/>
        <w:spacing w:line="560" w:lineRule="exact"/>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3.招标文件中所规定的资格证明文件；</w:t>
      </w:r>
      <w:r/>
    </w:p>
    <w:p>
      <w:pPr>
        <w:ind w:left="-2" w:firstLine="560"/>
        <w:spacing w:line="560" w:lineRule="exact"/>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4.招标代理机构发放的中标通知书；</w:t>
      </w:r>
      <w:r/>
    </w:p>
    <w:p>
      <w:pPr>
        <w:ind w:firstLine="560"/>
        <w:spacing w:line="560" w:lineRule="exact"/>
        <w:shd w:val="clear" w:color="auto" w:fill="ffffff"/>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5.双方商定的其他必要文件。</w:t>
      </w:r>
      <w:r/>
    </w:p>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二、合作方式及管理范围</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甲方委托乙方全面负责中共南京市雨花台区委党校2025年客房、餐饮服务。（详见招标文件）</w:t>
      </w:r>
      <w:r/>
    </w:p>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三、管理期限</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服务管理期限:自</w:t>
      </w:r>
      <w:r>
        <w:rPr>
          <w:rFonts w:hint="eastAsia" w:ascii="仿宋" w:hAnsi="仿宋" w:eastAsia="仿宋" w:cs="仿宋"/>
          <w:sz w:val="28"/>
          <w:szCs w:val="28"/>
          <w:highlight w:val="none"/>
          <w:u w:val="single"/>
        </w:rPr>
        <w:t xml:space="preserve"> 2025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2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1 </w:t>
      </w:r>
      <w:r>
        <w:rPr>
          <w:rFonts w:hint="eastAsia" w:ascii="仿宋" w:hAnsi="仿宋" w:eastAsia="仿宋" w:cs="仿宋"/>
          <w:sz w:val="28"/>
          <w:szCs w:val="28"/>
          <w:highlight w:val="none"/>
        </w:rPr>
        <w:t xml:space="preserve">日至</w:t>
      </w:r>
      <w:r>
        <w:rPr>
          <w:rFonts w:hint="eastAsia" w:ascii="仿宋" w:hAnsi="仿宋" w:eastAsia="仿宋" w:cs="仿宋"/>
          <w:sz w:val="28"/>
          <w:szCs w:val="28"/>
          <w:highlight w:val="none"/>
          <w:u w:val="single"/>
        </w:rPr>
        <w:t xml:space="preserve"> 2028 </w:t>
      </w:r>
      <w:r>
        <w:rPr>
          <w:rFonts w:hint="eastAsia" w:ascii="仿宋" w:hAnsi="仿宋" w:eastAsia="仿宋" w:cs="仿宋"/>
          <w:sz w:val="28"/>
          <w:szCs w:val="28"/>
          <w:highlight w:val="none"/>
        </w:rPr>
        <w:t xml:space="preserve">年</w:t>
      </w:r>
      <w:r>
        <w:rPr>
          <w:rFonts w:hint="eastAsia" w:ascii="仿宋" w:hAnsi="仿宋" w:eastAsia="仿宋" w:cs="仿宋"/>
          <w:sz w:val="28"/>
          <w:szCs w:val="28"/>
          <w:highlight w:val="none"/>
          <w:u w:val="single"/>
        </w:rPr>
        <w:t xml:space="preserve"> 1 </w:t>
      </w:r>
      <w:r>
        <w:rPr>
          <w:rFonts w:hint="eastAsia" w:ascii="仿宋" w:hAnsi="仿宋" w:eastAsia="仿宋" w:cs="仿宋"/>
          <w:sz w:val="28"/>
          <w:szCs w:val="28"/>
          <w:highlight w:val="none"/>
        </w:rPr>
        <w:t xml:space="preserve">月</w:t>
      </w:r>
      <w:r>
        <w:rPr>
          <w:rFonts w:hint="eastAsia" w:ascii="仿宋" w:hAnsi="仿宋" w:eastAsia="仿宋" w:cs="仿宋"/>
          <w:sz w:val="28"/>
          <w:szCs w:val="28"/>
          <w:highlight w:val="none"/>
          <w:u w:val="single"/>
        </w:rPr>
        <w:t xml:space="preserve"> 31</w:t>
      </w:r>
      <w:r>
        <w:rPr>
          <w:rFonts w:hint="eastAsia" w:ascii="仿宋" w:hAnsi="仿宋" w:eastAsia="仿宋" w:cs="仿宋"/>
          <w:sz w:val="28"/>
          <w:szCs w:val="28"/>
          <w:highlight w:val="none"/>
        </w:rPr>
        <w:t xml:space="preserve">日止。合同三年一签。根据每年考核情况，甲方有权决定是否由乙方履行后续服务合同。</w:t>
      </w:r>
      <w:r/>
    </w:p>
    <w:p>
      <w:pPr>
        <w:ind w:firstLine="560"/>
        <w:spacing w:line="56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如一方要求合同提前终止，需提前二个月书面通知对方，并经双方协商达成一致后执行。未经协商一致擅自解除合同的，应按合同总额10%向对方支付违约金。</w:t>
      </w:r>
      <w:r/>
    </w:p>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四、委托管理费用支付</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本服务中标总价款（3年）为（大写）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元(￥：</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元)。</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甲方根据合同约定，扣除乙方相应的违约金等款项后，按月支付委托管理服务费给乙方，乙方出具税务部门认可的相关发票，由甲方于次月20日前汇至乙方账户。若乙方未能提供前述发票的，甲方有权拒绝付款。</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乙方账号： </w:t>
      </w:r>
      <w:r/>
    </w:p>
    <w:p>
      <w:pPr>
        <w:ind w:firstLine="560"/>
        <w:spacing w:line="560" w:lineRule="exact"/>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开户行： </w:t>
      </w:r>
      <w:r/>
    </w:p>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五、双方的主要责任和权利：</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1.甲方：</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（1）甲方向乙方提供规范的设施和经营场所，并及时提供与管理有关的信息资料等。</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甲方向乙方免费提供早、中餐，按照15元/人/天标准，以及6间办公用房或员工宿舍和1间会议室。（与物业共用）服务于甲方后勤服务人员，其人事关系属乙方，其收入、福利、医疗等一切待遇和人事管理均由乙方负责。</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负责党校客房、餐饮、会务服务工作的资产管理。对乙方派出的管理团队日常运作、服务管理和合同（含乙方投标文件所有内容）实施开展有检查、监管的权利，并提出相关的要求，乙方必须服从甲方监管。授予乙方运作管理权限，支持配合其开展工作。甲方免费提供招标文件所确定的办公用房、办公家具、办公用品及固定电话等，产权归甲方所有。</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（4）全力支持乙方主持党校客房、餐饮、会务等日常运作和管理工作，及时做好与地方有关部门的沟通、协调工作，为其经营管理提供良好的外部环境。</w:t>
      </w:r>
      <w:r/>
    </w:p>
    <w:p>
      <w:pPr>
        <w:ind w:firstLine="560"/>
        <w:spacing w:line="560" w:lineRule="exact"/>
        <w:tabs>
          <w:tab w:val="left" w:pos="567" w:leader="none"/>
        </w:tabs>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（5）审核及批准乙方提交的管理制度、岗位设置、人员工资方案、设备添置计划等。</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（6）及时了解党校客房、餐饮、会务等设施的运行情况，并与乙方保持沟通，及时处置发现的问题。由于乙方管理不善或失误，造成甲方或第三方财产损失或人身伤害的，乙方应承担一切责任。</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（7）更换家具、固定装置及设施设备时，由乙方提出建议方案，甲方视情况而确定实施方案，原则上由乙方在假期进行，以维持党校处于良好状态，确保运作正常。</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（8）乙方组织员工外出培训和考察，食宿和交通费用包括在合同价款内，具体运作方式由双方商定。</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（9）按合同规定日期支付乙方管理费，包括人员工资及福利费用等。</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（10）乙方管理人员应保持相对稳定，不得随意调整人员，确需调整的要事先征求甲方意见，对乙方不称职的管理人员甲方有权要求更换。乙方应在收到甲方通知后7日内更换，否则应按2000元/人/天支付违约金。</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乙方在投标文件中确定的项目经理和管理人员，未经甲方书面同意不得单方自行调换，服务人员的更换需经甲方同意并备案，否则擅自更换项目经理或管理人员的，甲方有权解除合同，乙方应按合同总额的10%支付违约金。</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乙方出现以下任一情况，除承担损失赔偿外，甲方根据实际情况扣除乙方1000元至10000元的违约金，并有权直接在应付合同款项中予以扣除；一年内累计处罚超过10次的，甲方有权单方解除合同，乙方应自收到书面通知之日起10日内撤场完毕。 </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①乙方在运营活动中，因管理不到位、职责不明确、人员脱岗等原因造成有影响的责任事故的；</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②乙方未能在规定的期限内提供服务的，或不能按时提供服务造成误课和造成不良影响，或提供服务不到位造成受训单位不满等事故的；</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③乙方提供的服务不符合招标文件约定或甲方要求的，在收到甲方发出的违约整改通知后，10日内未能整改到位或拒绝整改的；</w:t>
      </w:r>
      <w:r/>
    </w:p>
    <w:p>
      <w:pPr>
        <w:ind w:firstLine="560"/>
        <w:spacing w:line="560" w:lineRule="exact"/>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④乙方未能履行合同规定的其他义务。</w:t>
      </w:r>
      <w:r>
        <w:rPr>
          <w:rFonts w:hint="eastAsia" w:ascii="仿宋" w:hAnsi="仿宋" w:eastAsia="仿宋" w:cs="仿宋"/>
          <w:color w:val="ff0000"/>
          <w:sz w:val="28"/>
          <w:szCs w:val="28"/>
          <w:highlight w:val="none"/>
        </w:rPr>
        <w:t xml:space="preserve"> </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w:t>
      </w:r>
      <w:r/>
    </w:p>
    <w:p>
      <w:pPr>
        <w:ind w:left="170" w:firstLine="28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（1）按乙方投标文件中所承诺的服务内容派出成建制管理服务团队进驻党校，全面负责日常运行与管理，根据实际情况，不断改善服务质量，完善内部管理，确保整体服务质量和接待水平的达到市委党校水平。</w:t>
      </w:r>
      <w:r/>
    </w:p>
    <w:p>
      <w:pPr>
        <w:ind w:left="170" w:firstLine="28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按要求招聘人员，建立培训网络。乙方招聘和派出人员上岗前必须进行专业培训，尽快提高员工和管理人员的管理水平和岗位操作技能，适应四星级酒店的操作规范和经营管理的需要。加强安全、保密教育，严格遵守甲方有关规章制度。乙方应执行国家、省、市有关规定依法用工，全面负责员工的生产、安全和劳务纠纷处理。</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对于乙方未足额及时发放工资，未足额缴纳社保，发生工伤等原因与员工或第三方公司发生劳动/劳务纠纷的以及其他债务纠纷的，一切责任由乙方自行承担并立即消除不良影响。如乙方未按期整改的，甲方有权从合同款项中垫付乙方员工的工资和社保，给甲方造成损失的或不良影响的，甲方有权向乙方追偿，情节严重、造成恶劣社会影响的甲方有权解除合同。</w:t>
      </w:r>
      <w:r/>
    </w:p>
    <w:p>
      <w:pPr>
        <w:ind w:left="170" w:firstLine="28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（3）依托酒店（饭店）或乙方的优势，引进先进的管理模式（不得转包），结合实际情况，创建、组织符合甲方特点的运作体系，不断提高服务质量。</w:t>
      </w:r>
      <w:r/>
    </w:p>
    <w:p>
      <w:pPr>
        <w:ind w:left="170" w:firstLine="28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需要使用客房、会场、食堂、教室等，事先必须得到甲方的同意，未经甲方同意，乙方对所管理的甲方公用设施不得擅自占用和改变其使用功能，不得用于与本合同服务管理无关的活动，不得转包、分包给其他单位和个人，确保委托管理资产安全，不损坏、不流失。</w:t>
      </w:r>
      <w:r/>
    </w:p>
    <w:p>
      <w:pPr>
        <w:ind w:left="170" w:firstLine="28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未经甲方同意，乙方不得以任何理由，安排人员在甲方学员食堂就餐和组织员工在食堂聚餐和安排人员住宿。一经发现，除住宿处以床位费的三倍价格收取费用，其他按市场价收取相关费用外，视情况做相应处理直至解聘责任人。修复好的房间及时做好台账，列入计划，不得另做他用或私自安排人员入住。需要使用包间时，按甲方要求，乙方行政总厨拟制菜单，经甲方监管负责人认可（签名）后，乙方采购员按照相关程序组织实施。</w:t>
      </w:r>
      <w:r/>
    </w:p>
    <w:p>
      <w:pPr>
        <w:ind w:left="170" w:firstLine="338"/>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负责食堂食品采购申报。甲方提前通知乙方就餐人数，并保持适当机动（5%），乙方行政总厨按甲方提供的就餐人数，在就餐前一天17：00前将采购清单交甲方监管部门负责人审核，实际采购食品的数量不能超出采购清单的2%，采购物品由乙方做好出入库登记。甲方不定期组织抽查，发现问题乙方应当立即整改，未及时整改的，甲方视情做相应处罚。</w:t>
      </w:r>
      <w:r/>
    </w:p>
    <w:p>
      <w:pPr>
        <w:ind w:left="170" w:firstLine="28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（7）努力提高餐饮制作水平，形成自身的餐饮特色。</w:t>
      </w:r>
      <w:r/>
    </w:p>
    <w:p>
      <w:pPr>
        <w:ind w:left="170" w:firstLine="28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（8）健全例会制度，每日晨会、每周例会、每月的质量分析会、安全例会等专题分析会以及部门内部会议制度。每周每月例会甲方派人参加。</w:t>
      </w:r>
      <w:r/>
    </w:p>
    <w:p>
      <w:pPr>
        <w:ind w:left="170" w:firstLine="28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（9）建立质管网络和制度。组建由项目经理牵头的质量管理组织，实施有关检查制度、考核办法以及大堂、质检巡查督导制度。相关考核制度报甲方备案。</w:t>
      </w:r>
      <w:r/>
    </w:p>
    <w:p>
      <w:pPr>
        <w:ind w:left="170" w:firstLine="28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乙方不负责固定资产设备更换和添置、酒店设施更新或改造，但有责任根据建设时的缺陷和市场变化向甲方提出相关建议和方案。货物领取以旧、空盒、空瓶、空桶、空芯换新，非一次性物品报废必须事先得到甲方的同意，否则算乙方丢失或损坏，乙方负责赔偿。半年按规定程序报废清理一次，并事先做好清单，时间视情况而定。</w:t>
      </w:r>
      <w:r/>
    </w:p>
    <w:p>
      <w:pPr>
        <w:ind w:left="170" w:firstLine="28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11）建立服务管理档案并负责及时记载有关变更情况，在管理期满时，应移交服务管理权，撤出校区，并协助甲方作好服务的交接和善后工作，移交或配合甲方移交管理用房、公共休息房和员工宿舍以及管理的全部档案资料（包括甲方提供的资料）及账目。</w:t>
      </w:r>
      <w:r/>
    </w:p>
    <w:p>
      <w:pPr>
        <w:ind w:left="170" w:firstLine="28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12）乙方派遣服务党校的员工应遵守校区疫情防控要求，制定并落实单位内部疫情防控措施及应急预案。如因乙方人员造成校区疫情防控负面影响，党校有权按照上级要求责令乙方进行整改，并对供货商进行处罚直至解除合同，乙方应当承担相应的法律责任和经济损失。</w:t>
      </w:r>
      <w:r/>
    </w:p>
    <w:p>
      <w:pPr>
        <w:ind w:left="170" w:firstLine="28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（13）乙方应履行管辖区域内的安全责任、疫情防控责任等。积极主动配合甲方做好疫情防控（含隔离点）、重大会议保障工作，确保高质量完成上级下达给甲方任务。</w:t>
      </w:r>
      <w:r/>
    </w:p>
    <w:p>
      <w:pPr>
        <w:pStyle w:val="837"/>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（14）乙方转包或擅自分包的，甲方有权解除合同，乙方应按合同总额的10%向甲方支付违约金；</w:t>
      </w:r>
      <w:r/>
    </w:p>
    <w:p>
      <w:pPr>
        <w:pStyle w:val="837"/>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（15）本合同因乙方原因解除的，乙方应按合同总额的10%向甲方支付违约金。</w:t>
      </w:r>
      <w:r/>
    </w:p>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六、争议的解决</w:t>
      </w:r>
      <w:r/>
    </w:p>
    <w:p>
      <w:pPr>
        <w:ind w:firstLine="560"/>
        <w:spacing w:line="56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 1.因履行本合同引起的或与本合同有关的争议，甲、乙双方应首先通过友好协商解决，如果协商不能解决争议，则采取以下第（1）种方式解决争议：</w:t>
      </w:r>
      <w:r/>
    </w:p>
    <w:p>
      <w:pPr>
        <w:ind w:firstLine="560"/>
        <w:spacing w:line="56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（1）向南京市雨花台区人民法院提起诉讼；</w:t>
      </w:r>
      <w:r/>
    </w:p>
    <w:p>
      <w:pPr>
        <w:ind w:firstLine="560"/>
        <w:spacing w:line="56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（2）向南京仲裁委员会按其仲裁规则申请仲裁。</w:t>
      </w:r>
      <w:r/>
    </w:p>
    <w:p>
      <w:pPr>
        <w:ind w:firstLine="560"/>
        <w:spacing w:line="560" w:lineRule="exact"/>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2.在诉讼期间，本合同应继续履行。</w:t>
      </w:r>
      <w:r/>
    </w:p>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七、合同生效及其他</w:t>
      </w:r>
      <w:r/>
    </w:p>
    <w:p>
      <w:pPr>
        <w:ind w:firstLine="560"/>
        <w:spacing w:line="560" w:lineRule="exact"/>
        <w:shd w:val="clear" w:color="auto" w:fill="ffffff"/>
        <w:widowControl/>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1、合同应在甲、乙双方代表签字并加盖公章后生效。</w:t>
      </w:r>
      <w:r/>
    </w:p>
    <w:p>
      <w:pPr>
        <w:ind w:firstLine="560"/>
        <w:spacing w:line="560" w:lineRule="exact"/>
        <w:shd w:val="clear" w:color="auto" w:fill="ffffff"/>
        <w:widowControl/>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2、</w:t>
      </w:r>
      <w:r>
        <w:rPr>
          <w:rFonts w:hint="eastAsia" w:ascii="仿宋" w:hAnsi="仿宋" w:eastAsia="仿宋" w:cs="仿宋"/>
          <w:b/>
          <w:bCs/>
          <w:sz w:val="28"/>
          <w:szCs w:val="28"/>
          <w:highlight w:val="none"/>
        </w:rPr>
        <w:t xml:space="preserve">本合同一式陆份，甲方执肆份，乙方执贰份</w:t>
      </w:r>
      <w:r>
        <w:rPr>
          <w:rFonts w:hint="eastAsia" w:ascii="仿宋" w:hAnsi="仿宋" w:eastAsia="仿宋" w:cs="仿宋"/>
          <w:sz w:val="28"/>
          <w:szCs w:val="28"/>
          <w:highlight w:val="none"/>
        </w:rPr>
        <w:t xml:space="preserve">。</w:t>
      </w:r>
      <w:r/>
    </w:p>
    <w:p>
      <w:pPr>
        <w:ind w:firstLine="560"/>
        <w:spacing w:line="560" w:lineRule="exact"/>
        <w:shd w:val="clear" w:color="auto" w:fill="ffffff"/>
        <w:widowControl/>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3、如需修改或补充合同内容，应经甲、乙双方协商，共同签署、书面修改或补充协议。该协议将作为本合同不可分割的一部分。</w:t>
      </w:r>
      <w:r/>
    </w:p>
    <w:p>
      <w:pPr>
        <w:ind w:firstLine="560"/>
        <w:spacing w:line="560" w:lineRule="exact"/>
        <w:shd w:val="clear" w:color="auto" w:fill="ffffff"/>
        <w:widowControl/>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4、本合同应按照中华人民共和国的现行法律进行解释。</w:t>
      </w:r>
      <w:r/>
    </w:p>
    <w:p>
      <w:pPr>
        <w:ind w:firstLine="560"/>
        <w:spacing w:line="560" w:lineRule="exact"/>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附件：</w:t>
      </w:r>
      <w:r>
        <w:rPr>
          <w:rFonts w:hint="eastAsia" w:ascii="仿宋" w:hAnsi="仿宋" w:eastAsia="仿宋" w:cs="仿宋"/>
          <w:color w:val="000000"/>
          <w:sz w:val="28"/>
          <w:szCs w:val="28"/>
          <w:highlight w:val="none"/>
        </w:rPr>
        <w:t xml:space="preserve">1、管理服务要求；</w:t>
      </w:r>
      <w:r/>
    </w:p>
    <w:p>
      <w:pPr>
        <w:ind w:firstLine="140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2、考核办法及登记表。</w:t>
      </w:r>
      <w:r/>
    </w:p>
    <w:p>
      <w:pPr>
        <w:ind w:right="-624"/>
        <w:jc w:val="left"/>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right="-624"/>
        <w:jc w:val="left"/>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甲方（公章）：                        乙方（公章）：         </w:t>
      </w:r>
      <w:r/>
    </w:p>
    <w:p>
      <w:pPr>
        <w:ind w:left="-603" w:right="-624"/>
        <w:jc w:val="left"/>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   </w:t>
      </w:r>
      <w:r/>
    </w:p>
    <w:p>
      <w:pPr>
        <w:ind w:left="-603" w:right="-624" w:firstLine="560"/>
        <w:jc w:val="left"/>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法定代表人或授权委托人:              法定代表人或授权委托人: </w:t>
      </w:r>
      <w:r/>
    </w:p>
    <w:p>
      <w:pPr>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日期：                               日期：</w:t>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left"/>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附件一：服务岗位设置、服务内容清单和管理服务要求</w:t>
      </w:r>
      <w:r/>
    </w:p>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一、服务岗位设置、服务内容清单</w:t>
      </w:r>
      <w:r/>
    </w:p>
    <w:p>
      <w:pPr>
        <w:ind w:firstLine="560"/>
        <w:jc w:val="left"/>
        <w:spacing w:line="56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乙方根据中共南京市雨花台区委党校客房、餐饮服务项目服务内容，按照四星级酒店服务标准配置服务及管理人员。人数不少于52人。</w:t>
      </w:r>
      <w:r/>
    </w:p>
    <w:p>
      <w:pPr>
        <w:ind w:firstLine="560"/>
        <w:jc w:val="center"/>
        <w:spacing w:line="56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服务岗位设置</w:t>
      </w:r>
      <w:r/>
    </w:p>
    <w:tbl>
      <w:tblPr>
        <w:tblStyle w:val="836"/>
        <w:tblW w:w="8045" w:type="dxa"/>
        <w:jc w:val="center"/>
        <w:tblLayout w:type="autofit"/>
        <w:tblCellMar>
          <w:left w:w="108" w:type="dxa"/>
          <w:top w:w="0" w:type="dxa"/>
          <w:right w:w="108" w:type="dxa"/>
          <w:bottom w:w="0" w:type="dxa"/>
        </w:tblCellMar>
        <w:tblLook w:val="04A0" w:firstRow="1" w:lastRow="0" w:firstColumn="1" w:lastColumn="0" w:noHBand="0" w:noVBand="1"/>
      </w:tblPr>
      <w:tblGrid>
        <w:gridCol w:w="3440"/>
        <w:gridCol w:w="2640"/>
        <w:gridCol w:w="1965"/>
      </w:tblGrid>
      <w:tr>
        <w:trPr>
          <w:jc w:val="center"/>
          <w:trHeight w:val="560"/>
        </w:trPr>
        <w:tc>
          <w:tcPr>
            <w:tcBorders>
              <w:top w:val="single" w:color="000000" w:sz="4" w:space="0"/>
              <w:left w:val="single" w:color="000000" w:sz="4" w:space="0"/>
              <w:bottom w:val="single" w:color="000000" w:sz="4" w:space="0"/>
              <w:right w:val="single" w:color="000000" w:sz="4" w:space="0"/>
            </w:tcBorders>
            <w:tcW w:w="34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部门</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职务</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编制人数</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总经理（1人）</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项目总经理</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restart"/>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综合部（3人）</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综合主管</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出纳</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办公室文员</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restart"/>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房务部（20人）</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房务总监</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房务主管</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客房领班</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none" w:color="000000" w:sz="4" w:space="0"/>
              <w:left w:val="none" w:color="000000" w:sz="4" w:space="0"/>
              <w:bottom w:val="none" w:color="000000" w:sz="4" w:space="0"/>
              <w:right w:val="non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会场服务员</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7</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客房服务员</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8</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PA保洁员</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restart"/>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餐饮部（28人）</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行政总厨</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头炉</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炉灶</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3</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头冷</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冷菜</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案板</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2</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头面</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二面</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前厅主管</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前厅领班/库管</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前厅服务员</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9</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勤杂组长</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3440" w:type="dxa"/>
            <w:vAlign w:val="center"/>
            <w:vMerge w:val="continue"/>
            <w:textDirection w:val="lrTb"/>
            <w:noWrap w:val="false"/>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勤杂员</w:t>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5</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3440"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总计</w:t>
            </w:r>
            <w:r/>
          </w:p>
        </w:tc>
        <w:tc>
          <w:tcPr>
            <w:tcBorders>
              <w:top w:val="single" w:color="000000" w:sz="4" w:space="0"/>
              <w:left w:val="single" w:color="000000" w:sz="4" w:space="0"/>
              <w:bottom w:val="single" w:color="000000" w:sz="4" w:space="0"/>
              <w:right w:val="single" w:color="000000" w:sz="4" w:space="0"/>
            </w:tcBorders>
            <w:tcW w:w="2640" w:type="dxa"/>
            <w:vAlign w:val="center"/>
            <w:textDirection w:val="lrTb"/>
            <w:noWrap/>
          </w:tcPr>
          <w:p>
            <w:pPr>
              <w:jc w:val="center"/>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tcPr>
          <w:p>
            <w:pPr>
              <w:jc w:val="center"/>
              <w:widowControl/>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lang w:bidi="ar"/>
              </w:rPr>
              <w:t xml:space="preserve">52</w:t>
            </w:r>
            <w:r/>
          </w:p>
        </w:tc>
      </w:tr>
    </w:tbl>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二、主要管理人员要求</w:t>
      </w:r>
      <w:r/>
    </w:p>
    <w:p>
      <w:pPr>
        <w:ind w:firstLine="560"/>
        <w:jc w:val="left"/>
        <w:spacing w:line="56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1.项目负责人：本项目负责人主要负责客房、会务与餐饮，负责对员工的教育、培训和日常管理及人力资源调配，负责各部门之间的工作协调，负责对各部门工作绩效的考核，负责与甲方的联系与沟通。</w:t>
      </w:r>
      <w:r/>
    </w:p>
    <w:p>
      <w:pPr>
        <w:ind w:firstLine="560"/>
        <w:jc w:val="left"/>
        <w:spacing w:line="56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2.房务总监：负责完成客房各项安全、管理指标，完善相关工作流程、服务流程的制度及创新，下发前厅、客房等接待任务并督导高效优质地完成，负责酒店各类培训班学员的接待服务保障工作。</w:t>
      </w:r>
      <w:r/>
    </w:p>
    <w:p>
      <w:pPr>
        <w:ind w:firstLine="560"/>
        <w:jc w:val="left"/>
        <w:spacing w:line="56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行政总厨：负责全面抓好中西厨房的生产、管理工作，坚持指导菜肴制作，确保菜肴出品质量，负责厨师的培训、考核工作，并进行定期的业务培训，技术交流。定期与财务人员、采购人员一起调研市场行情和食品原料价格，共同制定每个周期的食品原料价格，制定并不断完善食品原料规格标准质量说明书。并全面负责厨房的安全管理工作，树立安全意识，确保宾客、酒店工作人员及设施、设备、物品、能源的安全。</w:t>
      </w:r>
      <w:r/>
    </w:p>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三、服务管理的基本要求</w:t>
      </w:r>
      <w:r/>
    </w:p>
    <w:p>
      <w:pPr>
        <w:ind w:firstLine="560"/>
        <w:jc w:val="left"/>
        <w:spacing w:line="56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1.管理人员工资：视派出的人数、职位按照同行业标准确定。本着既要提供优质服务又要合理节省开支、降低运行成本理念确定人员定额。</w:t>
      </w:r>
      <w:r/>
    </w:p>
    <w:p>
      <w:pPr>
        <w:ind w:firstLine="560"/>
        <w:jc w:val="left"/>
        <w:spacing w:line="56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确保雨花台区委党校各类培训学员和教职工客房、餐饮、会务服务有序、周到、安全。根据雨花台区委党校工作需要下达的培训计划，针对党校培训任务特点，安排好节假日、淡旺季各岗位人员，确保党校工作正常运行。</w:t>
      </w:r>
      <w:r/>
    </w:p>
    <w:p>
      <w:pPr>
        <w:ind w:firstLine="560"/>
        <w:jc w:val="left"/>
        <w:spacing w:line="560" w:lineRule="exact"/>
        <w:widowControl/>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3.客房、餐饮、会务等服务要符合四星级的管理服务要求，同时要针对党校学员入住的特点。</w:t>
      </w:r>
      <w:r/>
    </w:p>
    <w:p>
      <w:pPr>
        <w:ind w:firstLine="56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4.乙方必须根据招投标文件提供管理人员配置情况，以及各项管理标准、岗位职责及工作程序、内部考核和服务承诺；必须遵守雨花台区委党校各项制度和管理规定，并服从党校职能部门的监管。</w:t>
      </w:r>
      <w:r/>
    </w:p>
    <w:p>
      <w:pPr>
        <w:ind w:firstLine="56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5.乙方必须按照投标文件配置各岗位人员，如有岗位变动须经甲方同意；各岗位人员数量配置不到位，须在30天内配置齐全，甲方不承担缺岗人员的工资费用。</w:t>
      </w:r>
      <w:r/>
    </w:p>
    <w:p>
      <w:pPr>
        <w:ind w:firstLine="56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6.乙方负责招聘录用员工，所有录用人员的由乙方负责培训管理考核。</w:t>
      </w:r>
      <w:r/>
    </w:p>
    <w:p>
      <w:pPr>
        <w:ind w:firstLine="56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7.乙方对员工的培训每月不得少于1次，管理层及骨干员工针对性培训每年不少于1次，新录用员工必须进行岗前培训方可安排上岗。</w:t>
      </w:r>
      <w:r/>
    </w:p>
    <w:p>
      <w:pPr>
        <w:ind w:firstLine="56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乙方必须严格执行南京市政府用工工资标准的有关规定，并承担其雇员的劳动报酬、福利待遇、按照劳动法交纳社会保险、劳动保护、工伤抚恤等用工费用，承担未正确执行劳动用工规定所产生的法律责任，维护和保障员工的合法权益。</w:t>
      </w:r>
      <w:r/>
    </w:p>
    <w:p>
      <w:pPr>
        <w:ind w:firstLine="560"/>
        <w:jc w:val="left"/>
        <w:spacing w:line="5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9.服务所需工具、设备、物耗等均由雨花台区委党校提供，乙方负责提供申购和领用报表，协助党校做好采供工作。</w:t>
      </w:r>
      <w:r/>
    </w:p>
    <w:p>
      <w:pPr>
        <w:ind w:firstLine="560"/>
        <w:jc w:val="left"/>
        <w:spacing w:line="560" w:lineRule="exact"/>
        <w:widowControl/>
        <w:rPr>
          <w:rFonts w:hint="eastAsia" w:ascii="仿宋" w:hAnsi="仿宋" w:eastAsia="仿宋" w:cs="仿宋"/>
          <w:sz w:val="24"/>
          <w:highlight w:val="none"/>
        </w:rPr>
      </w:pPr>
      <w:r>
        <w:rPr>
          <w:rFonts w:hint="eastAsia" w:ascii="仿宋" w:hAnsi="仿宋" w:eastAsia="仿宋" w:cs="仿宋"/>
          <w:sz w:val="28"/>
          <w:szCs w:val="28"/>
          <w:highlight w:val="none"/>
        </w:rPr>
        <w:t xml:space="preserve">10.乙方应积极完成党校安排的其他一些合理事务。</w:t>
      </w:r>
      <w:r/>
    </w:p>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四、岗位人员配置数量及要求</w:t>
      </w:r>
      <w:r/>
    </w:p>
    <w:p>
      <w:pPr>
        <w:ind w:firstLine="560"/>
        <w:spacing w:line="560" w:lineRule="exact"/>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1.各岗位工作人员均应统一着装，整齐大方，服装颜色经甲方认可后由乙方负责购置，相应的费用从合同款项中支付。</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根据采购人工作需要，乙方应安排好双休日及节假日各岗位人员值班工作，一般情况下，双休日及节假日安排人员值班，保障正常运行。如有培训、会议等任务，甲方根据工作需要，安排相应人员加班保障，其加班费、值班费由乙方从合同款项中支付。</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3.乙方必须根据采购文件提供人员配置情况，以及各项管理标准、岗位职责及工作程序、自查考核和服务承诺；必须遵守党校的各项制度和管理规定，并服从党校职能管理部门的管理。</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乙方必须严格执行南京市政府用工工资标准的有关规定，并承担其雇员的劳动报酬、福利待遇、按劳动法交纳社会保险、劳动保护、工伤抚恤等用人费用，承担未认真执行劳动用工规定所产生的法律责任。维护和保障员工的合法权益。</w:t>
      </w:r>
      <w:r/>
    </w:p>
    <w:p>
      <w:pPr>
        <w:ind w:firstLine="560"/>
        <w:spacing w:line="560" w:lineRule="exact"/>
        <w:rPr>
          <w:rFonts w:hint="eastAsia" w:ascii="仿宋" w:hAnsi="仿宋" w:eastAsia="仿宋" w:cs="仿宋"/>
          <w:sz w:val="24"/>
          <w:highlight w:val="none"/>
        </w:rPr>
      </w:pPr>
      <w:r>
        <w:rPr>
          <w:rFonts w:hint="eastAsia" w:ascii="仿宋" w:hAnsi="仿宋" w:eastAsia="仿宋" w:cs="仿宋"/>
          <w:sz w:val="28"/>
          <w:szCs w:val="28"/>
          <w:highlight w:val="none"/>
        </w:rPr>
        <w:t xml:space="preserve">5.乙方拟投入本项目的所有人员，如需岗位调动或更换，须提交书面申请给甲方确认，未经甲方确认，不得擅自更换管理人员。甲方通过日常检查考核，可对不合格服务人员提出人员调整方案，乙方应当按本合同条款落实。</w:t>
      </w:r>
      <w:r/>
    </w:p>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五、管理服务要求</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（一）综合管理服务要求</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1.乙方按照项目的实际情况和管理要求配备工作人员。</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2.部门经理和管理人员统一着装，挂牌上岗，仪表整洁。技术作业人员按照有关规定取得岗位证书，挂牌上岗。</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3.制定项目管理与项目服务工作计划并组织实施，每季度向采购人报告一次计划实施情况。</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4.有明确的值班制度和交接班制度，工作有记录。建立管理处内部管理制度和考核制度。服务场所公示办事制度、办事规则、服务流程。</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5.采取多种形式与采购人或相关部门进行沟通，对沟通和测评结果进行分析并及时整改。</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6.建立服务管理档案，做好各种台账记录。</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7.财务管理。根据有关法规、条例的规定，乙方必须有该项目专用账户并进行独立核算，按要求向服务人员支付人工工资。</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（二）客房服务要求</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1.根据《客服通知单》，总台提前准备好房间并制作住宿安排表及房卡，提前到仓库领取客房配备的物品。</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2.报到当天，做好入住登记工作，协助客人做好报到物品的分发工作。</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3.做好宾客入住的欢迎标语的制作。</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4.总台为客人提供“一站式服务”。入住当天，总台与会议主办方的负责人建立联系，双方确定联系电话，协调、解答客人所提出的一切问题，并及时向营运管理部汇报。</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5.根据国家星级宾馆的相关标准，做好客房的物品放置、服务工作。</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6.客房及卫生间每天进行整理1次，走客房或应客人要求随时进房全面清扫整理。走客房或应客人要求更换床单、被单及枕套，客用品和消耗品补充齐全。</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7.根据采购人特殊情况要求，提供管家式专业服务。</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（三）餐饮服务要求</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1.根据《客服通知单》对自助餐、桌餐的要求进行准备工作，餐厅保持雅洁干净。厨房应根据所定的自助餐、桌餐标准，提前一天制作两套菜单，供客人选择。</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2.餐前餐厅要检查台布、椅套是否洁净、完好；根据菜单要求准备餐具，用具。</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3.自助餐应在开餐前5分钟左右把所有菜肴准备完毕，宴席在开餐前10分钟，把凉菜上好。</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4.桌席要根据通知单的要求准备餐花，水果。根据客人的要求，做好宴席席卡的制作及主宾菜单的打印工作。</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5.客到时，要在大厅门口热情迎接，做到客到招呼问好，把客人领到厅房。</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6.桌餐期间注意事项：</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（1）勤巡台，主动分菜。操作要轻拿轻放，避免影响讲话，客站起来讲话时，要停止操作，站立姿势端正，保持安静。</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（2）根据用餐快慢与厨房联系，掌握好上菜时间。如客人突然感到身体不舒服，应立即请示领导，应把食物原样保留以待化验。</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（3）当客人吃完主食后，撤掉茶碟、茶杯以外的餐具，上水果、香巾，水果吃完撤香巾、水果盘，将茶杯移正，续茶。</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（4）桌餐结束工作：结束时应送上意见卡，做好结帐工作。注意有无司机餐与工作餐，客人宣布散宴，服务员站在厅口欢送，并向客人道再见，欢迎下次光临，检查是否有遗留物品。</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（5）餐后收台正常时间为30分钟，先撤布巾，然后撤餐具，注意玻璃器皿与瓷器要分开放，整体要求：餐具干净、无污渍、无茶渍；地面、桌面干净、整洁；备餐桌上餐具、托盘等摆放整齐，无污渍。</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（四）会议服务要求</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1.上课前（会前）的准备工作</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（1）首先要掌握会议主办单位、人数、时间、来客及具体要求；</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（2）按要求布置会议室，摆放好用品用具。根据人数和要求摆放桌椅，将多余的桌椅撤去；</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（3）搞好会场内外的清洁卫生 ；</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（4）摆放的用具（茶杯、杯垫），盘距桌边6CM，茶杯柄向右，图案要统一；</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（5）按要求摆放告示牌，挂横幅、贴背板等；</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（6）按要求酌情摆放签到台：提供用具，桌椅，签到牌，铺设台裙；</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（7）如果提供自助茶水或饮料，需提前准备好服务台，提供相应的用品用具，派专人服务；</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（8）按要求铺好会议桌布，注意垂边整齐等；</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（9）调节好室内空气、温度；</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（10）协助相关部门检查电源，调试音响，灯光效果，电器设备（话筒、音响、灯、录像机、电视机、投影仪、幻灯机等）。</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2.入场时的迎宾工作</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（1）服务员着装整齐，提前30分钟到岗，在会议室门口迎接与会者入场；</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（2）客人入座后，由服务员为客倒茶，上毛巾，不得有遗漏。</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（3）与会人员全部进入会议室后，酌情在门外把手上挂“会议进行中、保持安静”的牌子。</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3.上课（开会）过程的服务工作</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（1）服务员要坚守岗位，注意观察和控制会议室的门，维持秩序，保证会场周围安静，保证会议安全；</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（2）注意观察会议情况，按时添加茶水；</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（3）接听电话可通过会议工作人员，不得大声传呼；</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（4）注意观察场内温度、空气，提请相关人员适时调整；</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（5）确保会议中的音响效果，并及时为客人调整话筒位置（高、低）。</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4.上课（会议）结束时的服务工作</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（1）及时打开大门，在门口欢送客人；</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（2）检查会场有无遗留文件及物品；</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（3）检查室内用品有无短缺和损坏；</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（4）进行安全检查，关闭所有电器、电源、收拾场内用品、用具；</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（5）清扫会议室卫生，必要时进行消毒，关灯锁门。</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5.主席台、接待室的服务工作</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（1）主席台、接待室是会议服务的重点，要由专人服务；</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（2）按要求及时做好主席台、接待室布置工作；</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（3）按人数摆放椅子，以及其它用具，按要求摆放茶叶；</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（4）根据要求摆放席卡；</w:t>
      </w:r>
      <w:r/>
    </w:p>
    <w:p>
      <w:pPr>
        <w:ind w:firstLine="560"/>
        <w:spacing w:line="560" w:lineRule="exact"/>
        <w:rPr>
          <w:rFonts w:hint="eastAsia" w:ascii="仿宋" w:hAnsi="仿宋" w:eastAsia="仿宋" w:cs="仿宋"/>
          <w:sz w:val="24"/>
          <w:highlight w:val="none"/>
        </w:rPr>
      </w:pPr>
      <w:r>
        <w:rPr>
          <w:rFonts w:hint="eastAsia" w:ascii="仿宋" w:hAnsi="仿宋" w:eastAsia="仿宋" w:cs="仿宋"/>
          <w:sz w:val="28"/>
          <w:szCs w:val="28"/>
          <w:highlight w:val="none"/>
        </w:rPr>
        <w:t xml:space="preserve">（5）注意观察主席台上人员要求，按时添加茶水。</w:t>
      </w:r>
      <w:r/>
    </w:p>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六、管理服务目标</w:t>
      </w:r>
      <w:r/>
    </w:p>
    <w:p>
      <w:pPr>
        <w:ind w:firstLine="560"/>
        <w:spacing w:line="560" w:lineRule="exact"/>
        <w:rPr>
          <w:rFonts w:hint="eastAsia" w:ascii="仿宋" w:hAnsi="仿宋" w:eastAsia="仿宋" w:cs="仿宋"/>
          <w:color w:val="ff0000"/>
          <w:sz w:val="28"/>
          <w:szCs w:val="28"/>
          <w:highlight w:val="none"/>
        </w:rPr>
      </w:pPr>
      <w:r>
        <w:rPr>
          <w:rFonts w:hint="eastAsia" w:ascii="仿宋" w:hAnsi="仿宋" w:eastAsia="仿宋" w:cs="仿宋"/>
          <w:sz w:val="28"/>
          <w:szCs w:val="28"/>
          <w:highlight w:val="none"/>
        </w:rPr>
        <w:t xml:space="preserve">（一）确保区委党校各类培训、教学、会议和学员生活、服务有序、顺畅、周到、安全；</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（二）按照国家、地方的相关法规、管理条例与技术标准、行业规范要求及食品卫生法相关要求，提供优质、规范、高效的酒店式服务与管理和能耗、物耗控制；</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（三）管理服务范围内不发生重大安全责任事故；</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（四）管理服务范围内不发生重大火灾责任事故；</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（五）管理服务范围内不发生重大设备管理责任事故；</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（六）环境卫生、消杀达标率为100%；</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（七）有效投诉率低于5%,有效投诉处理率100%；</w:t>
      </w:r>
      <w:r/>
    </w:p>
    <w:p>
      <w:pPr>
        <w:ind w:firstLine="560"/>
        <w:spacing w:line="560" w:lineRule="exact"/>
        <w:rPr>
          <w:rFonts w:hint="eastAsia" w:ascii="仿宋" w:hAnsi="仿宋" w:eastAsia="仿宋" w:cs="仿宋"/>
          <w:b/>
          <w:sz w:val="28"/>
          <w:szCs w:val="28"/>
          <w:highlight w:val="none"/>
        </w:rPr>
      </w:pPr>
      <w:r>
        <w:rPr>
          <w:rFonts w:hint="eastAsia" w:ascii="仿宋" w:hAnsi="仿宋" w:eastAsia="仿宋" w:cs="仿宋"/>
          <w:sz w:val="28"/>
          <w:szCs w:val="28"/>
          <w:highlight w:val="none"/>
        </w:rPr>
        <w:t xml:space="preserve">（八）各类服务人员上岗培训率达到100%。</w:t>
      </w:r>
      <w:r/>
    </w:p>
    <w:p>
      <w:pPr>
        <w:spacing w:line="560" w:lineRule="exact"/>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七、其他要求</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管理人员工资：视派出的人数、职位按照同行业标准确定。本着既要提供优质服务又要合理节省开支、降低运行成本理念确定人员编制。人员控制在上述岗位要求以内，防止人浮于事，杜绝吃空饷（具体用工人数由党校与乙方共同商定）。运行一年后，乙方应根据采购人实际需求进行岗位调整。</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（二）确保党校各类培训学员和教职工餐饮服务有序、周到、安全。根据党校工作需要和下达的培训计划，针对党校培训任务特点，安排好节假日、淡旺季各岗位人员，确保党校工作正常运行。</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（三）餐饮中心、客房前厅、客房、会议、保洁、安保等服务要符合四星级的管理服务要求，同时要针对党校学员入住的特点。</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（四）乙方必须根据招标文件提供人员配置情况，以及各项管理标准、岗位职责及工作程序、内部考核和服务承诺；必须遵守雨花台区委党校各项制度和管理规定，并服从党校职能部门的监管。</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乙方负责招聘录用员工，党校职能部门有权进行审核，并对不合格人员提出调整建议。所有录用人员的管理及档案关系由乙方负责，发生的一切劳务纠纷由乙方负责。乙方在招聘人员时，择优录用目前在党校工作的人员。</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（六）乙方对员工的培训每月不得少于1次，管理层及骨干员工针对性培训每年不少于1次，新录用员工必须进行岗前培训方可安排上岗。</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（七）服务所需工具、设备、物耗等均由甲方提供，食材采购由乙方负责，乙方负责提供申购和领用报表，协助甲方做好采购工作。</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八）服务所需服装款式由甲方选定，乙方负责制作采购，费用由乙方自行承担，参照四星级酒店人员工作服标准，每人四套：夏季2套，秋、冬季各1套。工作鞋：员工布鞋每人每年4双、管理层皮鞋每人每年1双。</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（九）积极配合做好标准化建设、节能管理、资产管理等相关工作。</w:t>
      </w:r>
      <w:r/>
    </w:p>
    <w:p>
      <w:pPr>
        <w:ind w:firstLine="480"/>
        <w:rPr>
          <w:rFonts w:hint="eastAsia" w:ascii="仿宋" w:hAnsi="仿宋" w:eastAsia="仿宋" w:cs="仿宋"/>
          <w:sz w:val="24"/>
          <w:highlight w:val="none"/>
        </w:rPr>
      </w:pPr>
      <w:r>
        <w:rPr>
          <w:rFonts w:hint="eastAsia" w:ascii="仿宋" w:hAnsi="仿宋" w:eastAsia="仿宋" w:cs="仿宋"/>
          <w:sz w:val="24"/>
          <w:highlight w:val="none"/>
        </w:rPr>
      </w:r>
      <w:r/>
    </w:p>
    <w:p>
      <w:pPr>
        <w:spacing w:line="360" w:lineRule="auto"/>
        <w:rPr>
          <w:rFonts w:hint="eastAsia" w:ascii="仿宋" w:hAnsi="仿宋" w:eastAsia="仿宋" w:cs="仿宋"/>
          <w:bCs/>
          <w:sz w:val="28"/>
          <w:szCs w:val="28"/>
          <w:highlight w:val="none"/>
        </w:rPr>
        <w:sectPr>
          <w:footerReference w:type="default" r:id="rId13"/>
          <w:footnotePr/>
          <w:endnotePr/>
          <w:type w:val="nextPage"/>
          <w:pgSz w:w="11906" w:h="16838" w:orient="portrait"/>
          <w:pgMar w:top="1417" w:right="1757" w:bottom="1417" w:left="1757" w:header="851" w:footer="1020" w:gutter="0"/>
          <w:cols w:num="1" w:sep="0" w:space="720" w:equalWidth="1"/>
          <w:docGrid w:linePitch="360"/>
        </w:sectPr>
      </w:pPr>
      <w:r>
        <w:rPr>
          <w:rFonts w:hint="eastAsia" w:ascii="仿宋" w:hAnsi="仿宋" w:eastAsia="仿宋" w:cs="仿宋"/>
          <w:bCs/>
          <w:sz w:val="28"/>
          <w:szCs w:val="28"/>
          <w:highlight w:val="none"/>
        </w:rPr>
      </w:r>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附件二：服务质量考核表</w:t>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______年_______月客房部服务质量考核表</w:t>
      </w:r>
      <w:r/>
    </w:p>
    <w:p>
      <w:pPr>
        <w:ind w:left="51" w:hanging="4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被考核部门</w:t>
      </w:r>
      <w:r>
        <w:rPr>
          <w:rFonts w:hint="eastAsia" w:ascii="仿宋" w:hAnsi="仿宋" w:eastAsia="仿宋" w:cs="仿宋"/>
          <w:sz w:val="24"/>
          <w:highlight w:val="none"/>
          <w:u w:val="single"/>
        </w:rPr>
        <w:t xml:space="preserve">      房务部     </w:t>
      </w:r>
      <w:r>
        <w:rPr>
          <w:rFonts w:hint="eastAsia" w:ascii="仿宋" w:hAnsi="仿宋" w:eastAsia="仿宋" w:cs="仿宋"/>
          <w:sz w:val="24"/>
          <w:highlight w:val="none"/>
        </w:rPr>
        <w:t xml:space="preserve">                   考核时间________________</w:t>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4"/>
        <w:gridCol w:w="5580"/>
        <w:gridCol w:w="1440"/>
        <w:gridCol w:w="1719"/>
      </w:tblGrid>
      <w:tr>
        <w:trPr>
          <w:jc w:val="center"/>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考核项目</w:t>
            </w:r>
            <w:r/>
          </w:p>
        </w:tc>
        <w:tc>
          <w:tcPr>
            <w:tcW w:w="5580"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考核内容及标准</w:t>
            </w:r>
            <w:r/>
          </w:p>
        </w:tc>
        <w:tc>
          <w:tcPr>
            <w:tcW w:w="1440"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部门负责人在岗位情况</w:t>
            </w:r>
            <w:r/>
          </w:p>
        </w:tc>
        <w:tc>
          <w:tcPr>
            <w:tcW w:w="1719"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满意程度</w:t>
            </w:r>
            <w:r/>
          </w:p>
        </w:tc>
      </w:tr>
      <w:tr>
        <w:trPr>
          <w:jc w:val="center"/>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总台</w:t>
            </w:r>
            <w:r/>
          </w:p>
        </w:tc>
        <w:tc>
          <w:tcPr>
            <w:tcW w:w="558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1、台面干净无杂物，台内物品摆放有序、无私人物品。</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2、留言本、客人物品存放本等记录完整。</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3、《客房管理软件》房务信息完整。</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171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Pr>
        <w:tc>
          <w:tcPr>
            <w:tcBorders>
              <w:bottom w:val="single" w:color="auto" w:sz="4" w:space="0"/>
            </w:tcBorders>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健身房和书吧</w:t>
            </w:r>
            <w:r/>
          </w:p>
        </w:tc>
        <w:tc>
          <w:tcPr>
            <w:tcBorders>
              <w:bottom w:val="single" w:color="auto" w:sz="4" w:space="0"/>
            </w:tcBorders>
            <w:tcW w:w="558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1、室内地面干净无杂物。</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2、桌椅、沙发干净无浮灰，茶杯摆放整齐。门窗无污渍。</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3、计算机、打印机、电话机表面无浮灰。</w:t>
            </w:r>
            <w:r/>
          </w:p>
        </w:tc>
        <w:tc>
          <w:tcPr>
            <w:tcBorders>
              <w:bottom w:val="single" w:color="auto" w:sz="4" w:space="0"/>
            </w:tcBorders>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Borders>
              <w:bottom w:val="single" w:color="auto" w:sz="4" w:space="0"/>
            </w:tcBorders>
            <w:tcW w:w="171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宿舍公寓</w:t>
            </w:r>
            <w:r/>
          </w:p>
        </w:tc>
        <w:tc>
          <w:tcPr>
            <w:tcW w:w="558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1、非房间内标配的物品，用后，是否归还原物品所管部门。</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2、房间内设备是否完好、齐全，设备、设施坏损是否及时开具报修单。</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3、客房用毕后，是否在规定时间内重做卫生、布草是否更换、整洁，无破损。客人遗留的物品是否及时交纳总台。</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4、窗帘挂钩有无松脱，拉动是否正常。</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5、房顶无灰尘、蜘蛛网，床头柜清洁，写字台桌面光洁，墙纸无灰尘霉斑，烟缸是否干净。</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6、电话机、电灯开关表面无指印或污渍。</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7、墙画悬挂端正、无浮灰，服务指南配备齐全，摆放位置正确。</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8、按《客情通知单》要求物品是否配备到位</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171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卫生间检查</w:t>
            </w:r>
            <w:r/>
          </w:p>
        </w:tc>
        <w:tc>
          <w:tcPr>
            <w:tcW w:w="558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1、玻璃杯、浴缸、浴帘、皂碟、洗面台、镜面清洁无污渍</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2、布草、日用品配备齐全、摆放整洁。</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3、恭桶无异味，盖板消毒条是否贴好。</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4、水龙头、喷头表面光洁明亮。</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5、地面无水迹、污迹、排水处无毛发。</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6、地毯干净无污渍、毛发。</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171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固定资产、物资保管使用情况</w:t>
            </w:r>
            <w:r/>
          </w:p>
        </w:tc>
        <w:tc>
          <w:tcPr>
            <w:tcW w:w="558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1、使用保管的固定资产完好率应为100%。</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2、使用保管的固定资产是否按规定位置摆放，标签是否齐全整洁。</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3、使用物资的存放是否整齐、帐实是否相符，物资的消耗、损耗是否及时报给仓库核减。</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171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顾客反馈</w:t>
            </w:r>
            <w:r/>
          </w:p>
        </w:tc>
        <w:tc>
          <w:tcPr>
            <w:tcW w:w="5580"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1、对顾客所提出的要求是否得到合理的满足。</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2、顾客对服务及人员的投诉、表扬情况有无记录。</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171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考核结果</w:t>
            </w:r>
            <w:r/>
          </w:p>
        </w:tc>
        <w:tc>
          <w:tcPr>
            <w:gridSpan w:val="3"/>
            <w:tcW w:w="873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说明：</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党校负责人签字：                    乙方负责人签字：</w:t>
            </w:r>
            <w:r/>
          </w:p>
        </w:tc>
      </w:tr>
    </w:tbl>
    <w:p>
      <w:pPr>
        <w:ind w:left="480" w:hanging="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注：1、满意程度分：满意、基本满意、不满意。</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2、质量考核结束后，党校考核人及乙方负责人双方签字，不满意的事项说明原因。</w:t>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left="420" w:firstLine="16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______年___月会务部服务质量考核表</w:t>
      </w:r>
      <w:r/>
    </w:p>
    <w:p>
      <w:pPr>
        <w:ind w:left="51" w:hanging="4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被考核部门</w:t>
      </w:r>
      <w:r>
        <w:rPr>
          <w:rFonts w:hint="eastAsia" w:ascii="仿宋" w:hAnsi="仿宋" w:eastAsia="仿宋" w:cs="仿宋"/>
          <w:sz w:val="24"/>
          <w:highlight w:val="none"/>
          <w:u w:val="single"/>
        </w:rPr>
        <w:t xml:space="preserve">      会务部     </w:t>
      </w:r>
      <w:r>
        <w:rPr>
          <w:rFonts w:hint="eastAsia" w:ascii="仿宋" w:hAnsi="仿宋" w:eastAsia="仿宋" w:cs="仿宋"/>
          <w:sz w:val="24"/>
          <w:highlight w:val="none"/>
        </w:rPr>
        <w:t xml:space="preserve">                   考核时间________________</w:t>
      </w:r>
      <w:r/>
    </w:p>
    <w:tbl>
      <w:tblPr>
        <w:tblStyle w:val="836"/>
        <w:tblW w:w="99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4"/>
        <w:gridCol w:w="5580"/>
        <w:gridCol w:w="1440"/>
        <w:gridCol w:w="1719"/>
      </w:tblGrid>
      <w:tr>
        <w:trPr>
          <w:jc w:val="center"/>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考核项目</w:t>
            </w:r>
            <w:r/>
          </w:p>
        </w:tc>
        <w:tc>
          <w:tcPr>
            <w:tcW w:w="5580"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考核内容及标准</w:t>
            </w:r>
            <w:r/>
          </w:p>
        </w:tc>
        <w:tc>
          <w:tcPr>
            <w:tcW w:w="1440"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部门负责人在岗位情况</w:t>
            </w:r>
            <w:r/>
          </w:p>
        </w:tc>
        <w:tc>
          <w:tcPr>
            <w:tcW w:w="1719"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满意程度</w:t>
            </w:r>
            <w:r/>
          </w:p>
        </w:tc>
      </w:tr>
      <w:tr>
        <w:trPr>
          <w:jc w:val="center"/>
          <w:trHeight w:val="2853"/>
        </w:trPr>
        <w:tc>
          <w:tcPr>
            <w:tcW w:w="1184" w:type="dxa"/>
            <w:vAlign w:val="center"/>
            <w:vMerge w:val="restart"/>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基础管理</w:t>
            </w:r>
            <w:r/>
          </w:p>
        </w:tc>
        <w:tc>
          <w:tcPr>
            <w:tcW w:w="5580"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1、礼仪会务服务人员必须经过培训，具有良好的仪态仪表。熟知所有会议场所的分布状况及设施配置和功能，熟练使用各种设备和掌握各类服务的基本技能。着装统一、整洁，文明礼貌、现场操作规范。</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2、会议室、接待室、操作间等管理区域整洁整齐，无垃圾、杂物，无污渍、破损，设施设备完好率≥98%。</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3、配合做好提供优质的讲解服务。</w:t>
            </w:r>
            <w:r/>
          </w:p>
        </w:tc>
        <w:tc>
          <w:tcPr>
            <w:tcW w:w="1440" w:type="dxa"/>
            <w:vMerge w:val="restart"/>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1719" w:type="dxa"/>
            <w:vMerge w:val="restart"/>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2828"/>
        </w:trPr>
        <w:tc>
          <w:tcPr>
            <w:tcW w:w="1184" w:type="dxa"/>
            <w:vAlign w:val="center"/>
            <w:vMerge w:val="restart"/>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会场布置</w:t>
            </w:r>
            <w:r/>
          </w:p>
        </w:tc>
        <w:tc>
          <w:tcPr>
            <w:tcBorders>
              <w:bottom w:val="single" w:color="auto" w:sz="4" w:space="0"/>
            </w:tcBorders>
            <w:tcW w:w="5580" w:type="dxa"/>
            <w:vAlign w:val="center"/>
            <w:textDirection w:val="lrTb"/>
            <w:noWrap w:val="false"/>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1、临时（紧急）会议及时布置，一般会议提前半天布置，重要会议提前一天布置，大型会议按领导和主办单位要求布置。会场（会议室）布置整体效果符合主办单位要求。</w:t>
            </w:r>
            <w:r/>
          </w:p>
          <w:p>
            <w:pPr>
              <w:spacing w:line="360" w:lineRule="auto"/>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2、主席台、投影、电视设置合理，话筒、席位卡、茶杯（含矿泉水）、方巾等摆放正确到位。音响、照明（灯光）、空调等调试、落实到位，满足会议使用要求。</w:t>
            </w:r>
            <w:r/>
          </w:p>
          <w:p>
            <w:pPr>
              <w:spacing w:line="360" w:lineRule="auto"/>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3、会场干净，无脏杂物，无灰尘，无水迹，符合卫生要求。</w:t>
            </w:r>
            <w:r/>
          </w:p>
        </w:tc>
        <w:tc>
          <w:tcPr>
            <w:tcW w:w="1440" w:type="dxa"/>
            <w:vMerge w:val="restart"/>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1719" w:type="dxa"/>
            <w:vMerge w:val="restart"/>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1614"/>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会议服务</w:t>
            </w:r>
            <w:r/>
          </w:p>
        </w:tc>
        <w:tc>
          <w:tcPr>
            <w:tcW w:w="5580" w:type="dxa"/>
            <w:vAlign w:val="center"/>
            <w:textDirection w:val="lrTb"/>
            <w:noWrap w:val="false"/>
          </w:tcPr>
          <w:p>
            <w:pPr>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1、会议服务人员必须提前到达会场（会议室），全面做好会议服务的各项准备。</w:t>
            </w:r>
            <w:r/>
          </w:p>
          <w:p>
            <w:pPr>
              <w:spacing w:line="360" w:lineRule="auto"/>
              <w:rPr>
                <w:rFonts w:hint="eastAsia" w:ascii="仿宋" w:hAnsi="仿宋" w:eastAsia="仿宋" w:cs="仿宋"/>
                <w:szCs w:val="21"/>
                <w:highlight w:val="none"/>
              </w:rPr>
            </w:pPr>
            <w:r>
              <w:rPr>
                <w:rFonts w:hint="eastAsia" w:ascii="仿宋" w:hAnsi="仿宋" w:eastAsia="仿宋" w:cs="仿宋"/>
                <w:color w:val="000000"/>
                <w:szCs w:val="21"/>
                <w:highlight w:val="none"/>
              </w:rPr>
              <w:t xml:space="preserve">2、全程保证音响、投影、电视、灯光等效果，准确无差错。不间断提供茶水等服务，保障服务到位。适时提供空调保障。</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171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909"/>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考核结果</w:t>
            </w:r>
            <w:r/>
          </w:p>
        </w:tc>
        <w:tc>
          <w:tcPr>
            <w:gridSpan w:val="3"/>
            <w:tcW w:w="873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说明：</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党校负责人签字：                    乙方负责人签字：</w:t>
            </w:r>
            <w:r/>
          </w:p>
        </w:tc>
      </w:tr>
    </w:tbl>
    <w:p>
      <w:pPr>
        <w:ind w:left="480" w:hanging="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注：1、满意程度分：满意、基本满意、不满意。</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2、质量考核结束后，党校考核人及乙方负责人双方签字，不满意的事项说明原因。</w:t>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sz w:val="24"/>
          <w:highlight w:val="none"/>
        </w:rPr>
        <w:br w:type="page" w:clear="all"/>
      </w:r>
      <w:r>
        <w:rPr>
          <w:rFonts w:hint="eastAsia" w:ascii="仿宋" w:hAnsi="仿宋" w:eastAsia="仿宋" w:cs="仿宋"/>
          <w:b/>
          <w:sz w:val="28"/>
          <w:szCs w:val="28"/>
          <w:highlight w:val="none"/>
        </w:rPr>
        <w:t xml:space="preserve">     ______年___月餐厅及会务服务质量考核表</w:t>
      </w:r>
      <w:r/>
    </w:p>
    <w:p>
      <w:pPr>
        <w:ind w:left="51" w:hanging="4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被考核部门： </w:t>
      </w:r>
      <w:r>
        <w:rPr>
          <w:rFonts w:hint="eastAsia" w:ascii="仿宋" w:hAnsi="仿宋" w:eastAsia="仿宋" w:cs="仿宋"/>
          <w:sz w:val="24"/>
          <w:highlight w:val="none"/>
          <w:u w:val="single"/>
        </w:rPr>
        <w:t xml:space="preserve">     餐饮前台  </w:t>
      </w:r>
      <w:r>
        <w:rPr>
          <w:rFonts w:hint="eastAsia" w:ascii="仿宋" w:hAnsi="仿宋" w:eastAsia="仿宋" w:cs="仿宋"/>
          <w:sz w:val="24"/>
          <w:highlight w:val="none"/>
        </w:rPr>
        <w:t xml:space="preserve">                  考核时间________________</w:t>
      </w:r>
      <w:r/>
    </w:p>
    <w:tbl>
      <w:tblPr>
        <w:tblStyle w:val="836"/>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4"/>
        <w:gridCol w:w="5220"/>
        <w:gridCol w:w="1440"/>
        <w:gridCol w:w="2079"/>
      </w:tblGrid>
      <w:tr>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考核项目</w:t>
            </w:r>
            <w:r/>
          </w:p>
        </w:tc>
        <w:tc>
          <w:tcPr>
            <w:tcW w:w="5220"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考核内容及标准</w:t>
            </w:r>
            <w:r/>
          </w:p>
        </w:tc>
        <w:tc>
          <w:tcPr>
            <w:tcW w:w="1440"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部门负责人在岗位情况</w:t>
            </w:r>
            <w:r/>
          </w:p>
        </w:tc>
        <w:tc>
          <w:tcPr>
            <w:tcW w:w="2079"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满意程度</w:t>
            </w:r>
            <w:r/>
          </w:p>
        </w:tc>
      </w:tr>
      <w:tr>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公共区域卫生</w:t>
            </w:r>
            <w:r/>
          </w:p>
        </w:tc>
        <w:tc>
          <w:tcPr>
            <w:tcW w:w="522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1、大厅地面干净无油渍，吧台、工作台无杂物、无灰尘，无苍蝇。</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2、桌椅干净无杂物，三线对齐。</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3、工作台内的餐具用具分类摆放整齐，齐全。</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4、包间地面、门、墙壁及房内的装饰物干净整洁。</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5、所有照明设备正常，设备完好，音响正常，坏损是否开具报修单。</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摆台情况</w:t>
            </w:r>
            <w:r/>
          </w:p>
        </w:tc>
        <w:tc>
          <w:tcPr>
            <w:tcW w:w="522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1、是否按标准摆台，台型是否符合要求。</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2、台面上的餐具、用具是否干净、整齐、无污渍；地毯卫生整洁、无杂物。</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3、检查台号是否正确，窗帘垂挂要统一，无脱落。</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4、设施、设备坏损是否开具报修单。</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5、桌布、椅套按时清洗，保持整洁。</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1680"/>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服务要求</w:t>
            </w:r>
            <w:r/>
          </w:p>
        </w:tc>
        <w:tc>
          <w:tcPr>
            <w:tcW w:w="522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1、六知：知桌数、知人数、知主人身份、知宴席标准、知开餐时间、知菜式品种。</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2、三了解：了解顾客风俗习惯、了解顾客生活忌讳、了解顾客特殊要求。</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3、三轻：走路轻、说话轻、动作轻。</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4、四勤：眼勤、口勤、脚勤、手勤。</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5、客人消费签单的完整性和准确性。</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663"/>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服务员要求</w:t>
            </w:r>
            <w:r/>
          </w:p>
        </w:tc>
        <w:tc>
          <w:tcPr>
            <w:tcW w:w="522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1、服装统一、整洁，言行举止端庄，个人卫生清洁。</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2、服务周到，礼节、礼貌良好。</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1230"/>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卫生间检查</w:t>
            </w:r>
            <w:r/>
          </w:p>
        </w:tc>
        <w:tc>
          <w:tcPr>
            <w:tcW w:w="522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1、卫生间镜面、台面、地面无水迹、污迹。</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2、恭桷无异味，小便池无污垢。</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3、水龙头表面光洁明亮。</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4、设备、设施坏损是否开具报修单。</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1551"/>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固定资产、物资保管使用情况</w:t>
            </w:r>
            <w:r/>
          </w:p>
        </w:tc>
        <w:tc>
          <w:tcPr>
            <w:tcW w:w="522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5、使用保管的固定资产完好率应为100%。</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6、使用保管的固定资产是否按规定位置摆放，标签是否齐全整洁。</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7、使用物资的存放是否整齐、帐目是否清楚，物资的消耗、损耗是否及时报给仓库核减。</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751"/>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顾客反馈</w:t>
            </w:r>
            <w:r/>
          </w:p>
        </w:tc>
        <w:tc>
          <w:tcPr>
            <w:tcW w:w="5220"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1、顾客所提出的要求是否得到合理的满足。</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2、顾客对服务及人员的投诉、表扬情况。</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cantSplit/>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考核结果</w:t>
            </w:r>
            <w:r/>
          </w:p>
        </w:tc>
        <w:tc>
          <w:tcPr>
            <w:gridSpan w:val="3"/>
            <w:tcW w:w="873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说明：</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党校负责人签字：                 乙方负责人签字：</w:t>
            </w:r>
            <w:r/>
          </w:p>
        </w:tc>
      </w:tr>
    </w:tbl>
    <w:p>
      <w:pPr>
        <w:ind w:left="480" w:hanging="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注：1、满意程度分：满意、基本满意、不满意。</w:t>
      </w:r>
      <w:r/>
    </w:p>
    <w:p>
      <w:pPr>
        <w:ind w:firstLine="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2、质量考核结束后，党校考核人及乙方负责人双方签字，不满意的事项说明原因。</w:t>
      </w:r>
      <w:r/>
    </w:p>
    <w:p>
      <w:pPr>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sz w:val="24"/>
          <w:highlight w:val="none"/>
        </w:rPr>
        <w:br w:type="page" w:clear="all"/>
      </w:r>
      <w:r>
        <w:rPr>
          <w:rFonts w:hint="eastAsia" w:ascii="仿宋" w:hAnsi="仿宋" w:eastAsia="仿宋" w:cs="仿宋"/>
          <w:b/>
          <w:sz w:val="28"/>
          <w:szCs w:val="28"/>
          <w:highlight w:val="none"/>
        </w:rPr>
        <w:t xml:space="preserve">______年_______月厨房服务质量考核表</w:t>
      </w:r>
      <w:r/>
    </w:p>
    <w:p>
      <w:pPr>
        <w:ind w:left="51" w:hanging="4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被考核部门：</w:t>
      </w:r>
      <w:r>
        <w:rPr>
          <w:rFonts w:hint="eastAsia" w:ascii="仿宋" w:hAnsi="仿宋" w:eastAsia="仿宋" w:cs="仿宋"/>
          <w:sz w:val="24"/>
          <w:highlight w:val="none"/>
          <w:u w:val="single"/>
        </w:rPr>
        <w:t xml:space="preserve">     厨房        </w:t>
      </w:r>
      <w:r>
        <w:rPr>
          <w:rFonts w:hint="eastAsia" w:ascii="仿宋" w:hAnsi="仿宋" w:eastAsia="仿宋" w:cs="仿宋"/>
          <w:sz w:val="24"/>
          <w:highlight w:val="none"/>
        </w:rPr>
        <w:t xml:space="preserve">                   考核时间________________</w:t>
      </w:r>
      <w:r/>
    </w:p>
    <w:tbl>
      <w:tblPr>
        <w:tblStyle w:val="836"/>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4"/>
        <w:gridCol w:w="5220"/>
        <w:gridCol w:w="1440"/>
        <w:gridCol w:w="2079"/>
      </w:tblGrid>
      <w:tr>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考核项目</w:t>
            </w:r>
            <w:r/>
          </w:p>
        </w:tc>
        <w:tc>
          <w:tcPr>
            <w:tcW w:w="5220"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考核内容及标准</w:t>
            </w:r>
            <w:r/>
          </w:p>
        </w:tc>
        <w:tc>
          <w:tcPr>
            <w:tcW w:w="1440"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部门负责人在岗位情况</w:t>
            </w:r>
            <w:r/>
          </w:p>
        </w:tc>
        <w:tc>
          <w:tcPr>
            <w:tcW w:w="2079"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满意程度</w:t>
            </w:r>
            <w:r/>
          </w:p>
        </w:tc>
      </w:tr>
      <w:tr>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厨房卫生</w:t>
            </w:r>
            <w:r/>
          </w:p>
        </w:tc>
        <w:tc>
          <w:tcPr>
            <w:tcW w:w="522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1、着装上岗、保持个人卫生。做到区域卫生、走道地面无积水，无油腻，无杂物，保持干燥。</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2、厨房层顶天花板、墙壁无吊灰。</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3、炉灶、冰箱、橱柜、货架、工作台，以及其他器械保持清洁明亮。</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4、库房物品摆放整齐，货架清洁，分类摆放，餐具备用品完好，数目准确。</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5、灶台、案台、调料罐、各种规格碗盘、器皿干净卫生，摆放整齐。</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6、自制、外购食品留样24小时，做好登记、备查。</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冷菜间标准</w:t>
            </w:r>
            <w:r/>
          </w:p>
        </w:tc>
        <w:tc>
          <w:tcPr>
            <w:tcW w:w="522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1、案桌干净整洁，厨柜摆放整齐。</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2、食品生熟分开，切割、装配生熟食品必须双刀、双砧板、双抹布，分别操作，果盘分开使用。</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3、切配、烹调用具，随时保持干燥，砧板、木面工作台显现本色。</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4、定期检查，整理冰箱。保证存放食品质量和整齐。</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5、每天检查所用冷藏设备的运转是否正常，发现问题及时报告，开具报修单。</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366"/>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面点房标准</w:t>
            </w:r>
            <w:r/>
          </w:p>
        </w:tc>
        <w:tc>
          <w:tcPr>
            <w:tcW w:w="522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1、面点房室内卫生干净整洁，灶台清洁无残留物。</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2、面杖、馅挑、刀具、模具、容器等用后洗净，定位存放，保持清洁。</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3、面机、烤箱等厨具设备用后清洁保养。</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4、用具整理、原料保管好</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748"/>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成本核算</w:t>
            </w:r>
            <w:r/>
          </w:p>
        </w:tc>
        <w:tc>
          <w:tcPr>
            <w:tcW w:w="522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1、根据学校《接待通知单》及领导通知的标准制作菜谱及副食采购单，经学校审核。</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2、成本核算准确，误差不能超过10%。</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770"/>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菜肴制做</w:t>
            </w:r>
            <w:r/>
          </w:p>
        </w:tc>
        <w:tc>
          <w:tcPr>
            <w:tcW w:w="5220" w:type="dxa"/>
            <w:textDirection w:val="lrTb"/>
            <w:noWrap w:val="false"/>
          </w:tcPr>
          <w:p>
            <w:pPr>
              <w:numPr>
                <w:ilvl w:val="0"/>
                <w:numId w:val="19"/>
              </w:num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口味满足大多数顾客的要求。</w:t>
            </w:r>
            <w:r/>
          </w:p>
          <w:p>
            <w:pPr>
              <w:numPr>
                <w:ilvl w:val="0"/>
                <w:numId w:val="19"/>
              </w:num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菜谱完整、各类规格齐全，菜肴不断创新。</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3、菜肴制作卫生、原料新鲜。</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1277"/>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固定资产、物资保管使用情况</w:t>
            </w:r>
            <w:r/>
          </w:p>
        </w:tc>
        <w:tc>
          <w:tcPr>
            <w:tcW w:w="522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1、使用保管的固定资产完好率应为100%。</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2、使用保管的固定资产是否按规定位置摆放，标签是否齐全整洁。</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3、物资的存放是否整齐、帐目是否清楚，物资的消耗、损耗是否及时报给仓库核减。</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trHeight w:val="708"/>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顾客反馈</w:t>
            </w:r>
            <w:r/>
          </w:p>
        </w:tc>
        <w:tc>
          <w:tcPr>
            <w:tcW w:w="5220" w:type="dxa"/>
            <w:vAlign w:val="center"/>
            <w:textDirection w:val="lrTb"/>
            <w:noWrap w:val="false"/>
          </w:tcPr>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1、顾客所提出的要求是否得到合理的满足。</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2、顾客对服务及人员的投诉、表扬情况有无记录。</w:t>
            </w:r>
            <w:r/>
          </w:p>
        </w:tc>
        <w:tc>
          <w:tcPr>
            <w:tcW w:w="1440"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c>
          <w:tcPr>
            <w:tcW w:w="207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tc>
      </w:tr>
      <w:tr>
        <w:trPr>
          <w:cantSplit/>
          <w:trHeight w:val="784"/>
        </w:trPr>
        <w:tc>
          <w:tcPr>
            <w:tcW w:w="1184" w:type="dxa"/>
            <w:vAlign w:val="center"/>
            <w:textDirection w:val="lrTb"/>
            <w:noWrap w:val="false"/>
          </w:tcPr>
          <w:p>
            <w:pPr>
              <w:jc w:val="center"/>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考核结果</w:t>
            </w:r>
            <w:r/>
          </w:p>
        </w:tc>
        <w:tc>
          <w:tcPr>
            <w:gridSpan w:val="3"/>
            <w:tcW w:w="8739" w:type="dxa"/>
            <w:textDirection w:val="lrTb"/>
            <w:noWrap w:val="false"/>
          </w:tcPr>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说明：                                    </w:t>
            </w:r>
            <w:r/>
          </w:p>
          <w:p>
            <w:pPr>
              <w:jc w:val="left"/>
              <w:spacing w:line="360" w:lineRule="auto"/>
              <w:rPr>
                <w:rFonts w:hint="eastAsia" w:ascii="仿宋" w:hAnsi="仿宋" w:eastAsia="仿宋" w:cs="仿宋"/>
                <w:szCs w:val="21"/>
                <w:highlight w:val="none"/>
              </w:rPr>
            </w:pPr>
            <w:r>
              <w:rPr>
                <w:rFonts w:hint="eastAsia" w:ascii="仿宋" w:hAnsi="仿宋" w:eastAsia="仿宋" w:cs="仿宋"/>
                <w:szCs w:val="21"/>
                <w:highlight w:val="none"/>
              </w:rPr>
              <w:t xml:space="preserve">  党校负责人签字：                 乙方负责人签字：</w:t>
            </w:r>
            <w:r/>
          </w:p>
        </w:tc>
      </w:tr>
    </w:tbl>
    <w:p>
      <w:pPr>
        <w:ind w:left="480" w:hanging="480"/>
        <w:jc w:val="lef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注：1、满意程度分：满意、基本满意、不满意。</w:t>
      </w:r>
      <w:r/>
    </w:p>
    <w:p>
      <w:pPr>
        <w:ind w:firstLine="480"/>
        <w:rPr>
          <w:rFonts w:hint="eastAsia" w:ascii="仿宋" w:hAnsi="仿宋" w:eastAsia="仿宋" w:cs="仿宋"/>
          <w:sz w:val="24"/>
          <w:highlight w:val="none"/>
        </w:rPr>
      </w:pPr>
      <w:r>
        <w:rPr>
          <w:rFonts w:hint="eastAsia" w:ascii="仿宋" w:hAnsi="仿宋" w:eastAsia="仿宋" w:cs="仿宋"/>
          <w:sz w:val="24"/>
          <w:highlight w:val="none"/>
        </w:rPr>
        <w:t xml:space="preserve">2、质量考核结束后，党校考核人及乙方负责人双方签字，不满意的事项说明原因。</w:t>
      </w:r>
      <w:r/>
    </w:p>
    <w:p>
      <w:pPr>
        <w:ind w:firstLine="420"/>
        <w:rPr>
          <w:rFonts w:hint="eastAsia" w:ascii="仿宋" w:hAnsi="仿宋" w:eastAsia="仿宋" w:cs="仿宋"/>
          <w:highlight w:val="none"/>
        </w:rPr>
      </w:pPr>
      <w:r>
        <w:rPr>
          <w:rFonts w:hint="eastAsia" w:ascii="仿宋" w:hAnsi="仿宋" w:eastAsia="仿宋" w:cs="仿宋"/>
          <w:highlight w:val="none"/>
        </w:rPr>
      </w:r>
      <w:r/>
    </w:p>
    <w:p>
      <w:pPr>
        <w:ind w:firstLine="420"/>
        <w:rPr>
          <w:rFonts w:hint="eastAsia" w:ascii="仿宋" w:hAnsi="仿宋" w:eastAsia="仿宋" w:cs="仿宋"/>
          <w:highlight w:val="none"/>
        </w:rPr>
      </w:pPr>
      <w:r>
        <w:rPr>
          <w:rFonts w:hint="eastAsia" w:ascii="仿宋" w:hAnsi="仿宋" w:eastAsia="仿宋" w:cs="仿宋"/>
          <w:highlight w:val="none"/>
        </w:rPr>
      </w:r>
      <w:r/>
    </w:p>
    <w:p>
      <w:pPr>
        <w:ind w:firstLine="420"/>
        <w:rPr>
          <w:rFonts w:hint="eastAsia" w:ascii="仿宋" w:hAnsi="仿宋" w:eastAsia="仿宋" w:cs="仿宋"/>
          <w:highlight w:val="none"/>
        </w:rPr>
        <w:sectPr>
          <w:footnotePr/>
          <w:endnotePr/>
          <w:type w:val="nextPage"/>
          <w:pgSz w:w="11906" w:h="16838" w:orient="portrait"/>
          <w:pgMar w:top="1417" w:right="1757" w:bottom="1417" w:left="1757" w:header="851" w:footer="1020" w:gutter="0"/>
          <w:cols w:num="1" w:sep="0" w:space="720" w:equalWidth="1"/>
          <w:docGrid w:linePitch="360"/>
        </w:sectPr>
      </w:pPr>
      <w:r>
        <w:rPr>
          <w:rFonts w:hint="eastAsia" w:ascii="仿宋" w:hAnsi="仿宋" w:eastAsia="仿宋" w:cs="仿宋"/>
          <w:highlight w:val="none"/>
        </w:rPr>
      </w:r>
      <w:r/>
    </w:p>
    <w:p>
      <w:pPr>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考核办法和细则</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（一）为了使中共雨花台区委党校的后勤服务管理系统规范、科学、高效地运行，根据党校购买服务的有关内容，制定本监管考核办法。</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（二）乙方应严格按照党校购买服务的要求，履行双方约定的权力和义务，严格遵守和执行党校制订的规章制度和工作流程，如发生违约和违规事项，应承担相应的管理责任。</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（三）党校对乙方进行监控与考核的方式为:日常监督考核、学员评议、其他团队意见。</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（四）党校对乙方日常监督考核的项目：以双方签订的合同和乙方投标文件中各项管理制度、操作规程为依据，逐项进行考核。主要对管理工作的评议项目：共三项即客房服务、餐饮服务、综合服务等。</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五）党校对乙方的监督考核方式：由党校相关职能部门、管理人员和乙方项目负责人组成考核组，以定期（每月一次）和不定期的方式进行，做好检查记录，对发现的问题，应如实记录事项发生的时间、地点、当事人、初步调查原因等，作为考核依据，并存档备查。</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（六）对考核和评议的结果分为以下情况进行处罚：</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日常工作的检查：对照下述服务质量考核表，在一次考核中出现一项一次“不满意”的，扣除（从合同款管理费中扣除，下同）500元；在一次考核中一个部门累计出现3项（含）以上“不满意”的，为部门服务考核的“不满意”，扣除2000元；在一次考核中整个部门考核为“不满意”的，扣5000元。</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2.接到客户投诉或由于管理不当，造成采购人资产损坏且影响服务保障工作的，除对造成损失进行赔偿承担责任外，一经查实每次（件）扣除500-1000元；</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3.对重要客人及团队的接待服务保障工作中发生失误或受到投诉和批评的；造成采购人资产损坏且影响服务保障工作的，除对造成损失进行赔偿承担责任外，经查实每件（次）扣除1000-3000元；</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4.重大活动的服务保障工作发生失误或受到与会领导批评的，经查实，每次扣除5000元；</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5.在上级机关和专业职能单位专项检查中，如发现问题（采购人的责任除外）应及时整改，涉及到的处罚事项由乙方负责。</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6.发生火灾、失窃、食物中毒等重大人为事故，除对造成损失进行赔偿承担责任外，另扣除1-5万元。</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7.以上扣除的费用均从管理费中扣除。</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（七）党校在对管理监管考核过程中</w:t>
      </w:r>
      <w:r>
        <w:rPr>
          <w:rFonts w:hint="eastAsia" w:ascii="仿宋" w:hAnsi="仿宋" w:eastAsia="仿宋" w:cs="仿宋"/>
          <w:b/>
          <w:sz w:val="28"/>
          <w:szCs w:val="28"/>
          <w:highlight w:val="none"/>
        </w:rPr>
        <w:t xml:space="preserve">，</w:t>
      </w:r>
      <w:r>
        <w:rPr>
          <w:rFonts w:hint="eastAsia" w:ascii="仿宋" w:hAnsi="仿宋" w:eastAsia="仿宋" w:cs="仿宋"/>
          <w:sz w:val="28"/>
          <w:szCs w:val="28"/>
          <w:highlight w:val="none"/>
        </w:rPr>
        <w:t xml:space="preserve">发现以下两种情况，党校将于当月终止合同。</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党校将监督检查评议的结果，以及处罚情况，进行整理并形成书面意见，反馈给乙方。乙方应对其中发现的问题，提出整改措施，提交党校。在合同到期前或处罚扣除的达到合同款项的70%时，党校将根据乙方的实际工作情况，对乙方管理工作做出总体评价，并终止合同。</w:t>
      </w:r>
      <w:r/>
    </w:p>
    <w:p>
      <w:pPr>
        <w:ind w:firstLine="560"/>
        <w:spacing w:line="56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乙方应按照《劳动合同法》与本项目服务人员签订劳动合同，并在约定的时间足额缴纳服务人员的社会保险金、公积金、发放服务人员工资。如出现不能及时发放工资和缴纳社会保险金、公积金的情形，党校要求乙方限期改正，并第一次扣除非人员工资管理费款项5000元，第二次扣除非人员工资款项管理费款项10000元，第三次解除合同，同时追究其法律责任。</w:t>
      </w:r>
      <w:r/>
    </w:p>
    <w:p>
      <w:pPr>
        <w:rPr>
          <w:rFonts w:hint="eastAsia" w:ascii="仿宋" w:hAnsi="仿宋" w:eastAsia="仿宋" w:cs="仿宋"/>
          <w:sz w:val="24"/>
          <w:highlight w:val="none"/>
        </w:rPr>
      </w:pPr>
      <w:r>
        <w:rPr>
          <w:rFonts w:hint="eastAsia" w:ascii="仿宋" w:hAnsi="仿宋" w:eastAsia="仿宋" w:cs="仿宋"/>
          <w:sz w:val="24"/>
          <w:highlight w:val="none"/>
        </w:rPr>
        <w:br w:type="page" w:clear="all"/>
      </w:r>
      <w:r/>
    </w:p>
    <w:p>
      <w:pPr>
        <w:pStyle w:val="826"/>
        <w:numPr>
          <w:ilvl w:val="0"/>
          <w:numId w:val="0"/>
        </w:numPr>
        <w:spacing w:line="360" w:lineRule="auto"/>
        <w:rPr>
          <w:rFonts w:hint="eastAsia" w:ascii="仿宋" w:hAnsi="仿宋" w:eastAsia="仿宋" w:cs="仿宋"/>
          <w:szCs w:val="32"/>
          <w:highlight w:val="none"/>
        </w:rPr>
      </w:pPr>
      <w:r>
        <w:rPr>
          <w:rFonts w:hint="eastAsia" w:ascii="仿宋" w:hAnsi="仿宋" w:eastAsia="仿宋" w:cs="仿宋"/>
          <w:szCs w:val="32"/>
          <w:highlight w:val="none"/>
        </w:rPr>
        <w:t xml:space="preserve">第六章 </w:t>
      </w:r>
      <w:bookmarkStart w:id="159" w:name="_Toc28285"/>
      <w:r>
        <w:rPr>
          <w:rFonts w:hint="eastAsia" w:ascii="仿宋" w:hAnsi="仿宋" w:eastAsia="仿宋" w:cs="仿宋"/>
          <w:szCs w:val="32"/>
          <w:highlight w:val="none"/>
        </w:rPr>
        <w:t xml:space="preserve">投标文件格式及附件</w:t>
      </w:r>
      <w:bookmarkEnd w:id="157"/>
      <w:r/>
      <w:bookmarkEnd w:id="158"/>
      <w:r/>
      <w:bookmarkEnd w:id="159"/>
      <w:r/>
      <w:r/>
    </w:p>
    <w:p>
      <w:pPr>
        <w:pStyle w:val="837"/>
        <w:ind w:firstLine="0"/>
        <w:rPr>
          <w:rFonts w:hint="eastAsia" w:ascii="仿宋" w:hAnsi="仿宋" w:eastAsia="仿宋" w:cs="仿宋"/>
          <w:highlight w:val="none"/>
        </w:rPr>
      </w:pPr>
      <w:r>
        <w:rPr>
          <w:rFonts w:hint="eastAsia" w:ascii="仿宋" w:hAnsi="仿宋" w:eastAsia="仿宋" w:cs="仿宋"/>
          <w:highlight w:val="none"/>
        </w:rPr>
      </w:r>
      <w:r/>
    </w:p>
    <w:p>
      <w:pPr>
        <w:jc w:val="left"/>
        <w:spacing w:line="240" w:lineRule="atLeast"/>
        <w:widowControl/>
        <w:rPr>
          <w:rFonts w:hint="eastAsia" w:ascii="仿宋" w:hAnsi="仿宋" w:eastAsia="仿宋" w:cs="仿宋"/>
          <w:b/>
          <w:bCs/>
          <w:szCs w:val="21"/>
          <w:highlight w:val="none"/>
        </w:rPr>
      </w:pPr>
      <w:r>
        <w:rPr>
          <w:rFonts w:hint="eastAsia" w:ascii="仿宋" w:hAnsi="仿宋" w:eastAsia="仿宋" w:cs="仿宋"/>
          <w:b/>
          <w:bCs/>
          <w:szCs w:val="21"/>
          <w:highlight w:val="none"/>
        </w:rPr>
      </w:r>
      <w:r/>
    </w:p>
    <w:p>
      <w:pPr>
        <w:spacing w:line="4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spacing w:line="4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spacing w:line="4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jc w:val="center"/>
        <w:rPr>
          <w:rFonts w:hint="eastAsia" w:ascii="仿宋" w:hAnsi="仿宋" w:eastAsia="仿宋" w:cs="仿宋"/>
          <w:sz w:val="52"/>
          <w:szCs w:val="52"/>
          <w:highlight w:val="none"/>
        </w:rPr>
      </w:pPr>
      <w:r>
        <w:rPr>
          <w:rFonts w:hint="eastAsia" w:ascii="仿宋" w:hAnsi="仿宋" w:eastAsia="仿宋" w:cs="仿宋"/>
          <w:sz w:val="52"/>
          <w:szCs w:val="52"/>
          <w:highlight w:val="none"/>
        </w:rPr>
        <w:t xml:space="preserve">投标文件</w:t>
      </w:r>
      <w:r/>
    </w:p>
    <w:p>
      <w:pPr>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rPr>
          <w:rFonts w:hint="eastAsia" w:ascii="仿宋" w:hAnsi="仿宋" w:eastAsia="仿宋" w:cs="仿宋"/>
          <w:sz w:val="36"/>
          <w:szCs w:val="36"/>
          <w:highlight w:val="none"/>
        </w:rPr>
      </w:pPr>
      <w:r>
        <w:rPr>
          <w:rFonts w:hint="eastAsia" w:ascii="仿宋" w:hAnsi="仿宋" w:eastAsia="仿宋" w:cs="仿宋"/>
          <w:sz w:val="36"/>
          <w:szCs w:val="36"/>
          <w:highlight w:val="none"/>
        </w:rPr>
      </w:r>
      <w:r/>
    </w:p>
    <w:p>
      <w:pPr>
        <w:ind w:firstLine="720"/>
        <w:spacing w:line="360" w:lineRule="auto"/>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项目名称：中共南京市雨花台区委党校2025年客房、餐饮服务</w:t>
      </w:r>
      <w:r/>
    </w:p>
    <w:p>
      <w:pPr>
        <w:ind w:firstLine="720"/>
        <w:spacing w:line="360" w:lineRule="auto"/>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项目编号：JSZC-320114-YCGC-G2024-0070</w:t>
      </w:r>
      <w:r/>
    </w:p>
    <w:p>
      <w:pPr>
        <w:ind w:firstLine="720"/>
        <w:spacing w:line="360" w:lineRule="auto"/>
        <w:rPr>
          <w:rFonts w:hint="eastAsia" w:ascii="仿宋" w:hAnsi="仿宋" w:eastAsia="仿宋" w:cs="仿宋"/>
          <w:sz w:val="36"/>
          <w:szCs w:val="36"/>
          <w:highlight w:val="none"/>
          <w:u w:val="single"/>
        </w:rPr>
      </w:pPr>
      <w:r>
        <w:rPr>
          <w:rFonts w:hint="eastAsia" w:ascii="仿宋" w:hAnsi="仿宋" w:eastAsia="仿宋" w:cs="仿宋"/>
          <w:sz w:val="36"/>
          <w:szCs w:val="36"/>
          <w:highlight w:val="none"/>
        </w:rPr>
        <w:t xml:space="preserve">投标人名称：（加盖电子公章）</w:t>
      </w:r>
      <w:r/>
    </w:p>
    <w:p>
      <w:pPr>
        <w:ind w:firstLine="720"/>
        <w:jc w:val="left"/>
        <w:spacing w:line="360" w:lineRule="auto"/>
        <w:widowControl/>
        <w:rPr>
          <w:rFonts w:hint="eastAsia" w:ascii="仿宋" w:hAnsi="仿宋" w:eastAsia="仿宋" w:cs="仿宋"/>
          <w:sz w:val="28"/>
          <w:szCs w:val="28"/>
          <w:highlight w:val="none"/>
        </w:rPr>
      </w:pPr>
      <w:r>
        <w:rPr>
          <w:rFonts w:hint="eastAsia" w:ascii="仿宋" w:hAnsi="仿宋" w:eastAsia="仿宋" w:cs="仿宋"/>
          <w:sz w:val="36"/>
          <w:szCs w:val="36"/>
          <w:highlight w:val="none"/>
        </w:rPr>
        <w:t xml:space="preserve">日期：  年  月  日</w:t>
      </w:r>
      <w:r>
        <w:rPr>
          <w:rFonts w:hint="eastAsia" w:ascii="仿宋" w:hAnsi="仿宋" w:eastAsia="仿宋" w:cs="仿宋"/>
          <w:sz w:val="28"/>
          <w:szCs w:val="28"/>
          <w:highlight w:val="none"/>
        </w:rPr>
        <w:br w:type="page" w:clear="all"/>
      </w:r>
      <w:r/>
    </w:p>
    <w:p>
      <w:pPr>
        <w:numPr>
          <w:ilvl w:val="0"/>
          <w:numId w:val="21"/>
        </w:numPr>
        <w:spacing w:line="360" w:lineRule="auto"/>
        <w:rPr>
          <w:rFonts w:hint="eastAsia" w:ascii="仿宋" w:hAnsi="仿宋" w:eastAsia="仿宋" w:cs="仿宋"/>
          <w:b/>
          <w:bCs/>
          <w:sz w:val="24"/>
          <w:highlight w:val="none"/>
        </w:rPr>
        <w:outlineLvl w:val="1"/>
      </w:pPr>
      <w:r/>
      <w:bookmarkStart w:id="160" w:name="_Toc32586"/>
      <w:r>
        <w:rPr>
          <w:rFonts w:hint="eastAsia" w:ascii="仿宋" w:hAnsi="仿宋" w:eastAsia="仿宋" w:cs="仿宋"/>
          <w:b/>
          <w:bCs/>
          <w:sz w:val="24"/>
          <w:highlight w:val="none"/>
        </w:rPr>
        <w:t xml:space="preserve">基本目录</w:t>
      </w:r>
      <w:bookmarkEnd w:id="160"/>
      <w:r/>
      <w:r/>
    </w:p>
    <w:p>
      <w:pPr>
        <w:numPr>
          <w:ilvl w:val="0"/>
          <w:numId w:val="22"/>
        </w:numPr>
        <w:spacing w:after="240" w:line="360" w:lineRule="auto"/>
        <w:rPr>
          <w:rFonts w:hint="eastAsia" w:ascii="仿宋" w:hAnsi="仿宋" w:eastAsia="仿宋" w:cs="仿宋"/>
          <w:b/>
          <w:bCs/>
          <w:sz w:val="24"/>
          <w:highlight w:val="none"/>
        </w:rPr>
        <w:outlineLvl w:val="2"/>
      </w:pPr>
      <w:r/>
      <w:bookmarkStart w:id="161" w:name="_Toc29889"/>
      <w:r>
        <w:rPr>
          <w:rFonts w:hint="eastAsia" w:ascii="仿宋" w:hAnsi="仿宋" w:eastAsia="仿宋" w:cs="仿宋"/>
          <w:b/>
          <w:bCs/>
          <w:sz w:val="24"/>
          <w:highlight w:val="none"/>
        </w:rPr>
        <w:t xml:space="preserve">开标一览表</w:t>
      </w:r>
      <w:bookmarkEnd w:id="161"/>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开标一览表</w:t>
      </w:r>
      <w:r/>
    </w:p>
    <w:p>
      <w:pPr>
        <w:pStyle w:val="870"/>
        <w:spacing w:line="360" w:lineRule="auto"/>
        <w:rPr>
          <w:rFonts w:hint="eastAsia" w:ascii="仿宋" w:hAnsi="仿宋" w:eastAsia="仿宋" w:cs="仿宋"/>
          <w:highlight w:val="none"/>
        </w:rPr>
      </w:pPr>
      <w:r>
        <w:rPr>
          <w:rFonts w:hint="eastAsia" w:ascii="仿宋" w:hAnsi="仿宋" w:eastAsia="仿宋" w:cs="仿宋"/>
          <w:highlight w:val="none"/>
        </w:rPr>
        <w:t xml:space="preserve">投标人全称（CA公章）：投标人名称</w:t>
      </w:r>
      <w:r/>
    </w:p>
    <w:p>
      <w:pPr>
        <w:pStyle w:val="870"/>
        <w:rPr>
          <w:rFonts w:hint="eastAsia" w:ascii="仿宋" w:hAnsi="仿宋" w:eastAsia="仿宋" w:cs="仿宋"/>
          <w:highlight w:val="none"/>
          <w:lang w:bidi="zh-CN"/>
        </w:rPr>
      </w:pPr>
      <w:r>
        <w:rPr>
          <w:rFonts w:hint="eastAsia" w:ascii="仿宋" w:hAnsi="仿宋" w:eastAsia="仿宋" w:cs="仿宋"/>
          <w:highlight w:val="none"/>
        </w:rPr>
        <w:t xml:space="preserve">项目名称：</w:t>
      </w:r>
      <w:r>
        <w:rPr>
          <w:rFonts w:hint="eastAsia" w:ascii="仿宋" w:hAnsi="仿宋" w:eastAsia="仿宋" w:cs="仿宋"/>
          <w:highlight w:val="none"/>
          <w:lang w:bidi="zh-CN"/>
        </w:rPr>
        <w:t xml:space="preserve">中共南京市雨花台区委党校2025年客房、餐饮服务</w:t>
      </w:r>
      <w:r/>
    </w:p>
    <w:p>
      <w:pPr>
        <w:pStyle w:val="870"/>
        <w:rPr>
          <w:rFonts w:hint="eastAsia" w:ascii="仿宋" w:hAnsi="仿宋" w:eastAsia="仿宋" w:cs="仿宋"/>
          <w:highlight w:val="none"/>
        </w:rPr>
      </w:pPr>
      <w:r>
        <w:rPr>
          <w:rFonts w:hint="eastAsia" w:ascii="仿宋" w:hAnsi="仿宋" w:eastAsia="仿宋" w:cs="仿宋"/>
          <w:highlight w:val="none"/>
        </w:rPr>
        <w:t xml:space="preserve">项目编号：JSZC-320114-YCGC-G2024-0070</w:t>
      </w:r>
      <w:r/>
    </w:p>
    <w:tbl>
      <w:tblPr>
        <w:tblStyle w:val="836"/>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452"/>
        <w:gridCol w:w="6060"/>
      </w:tblGrid>
      <w:tr>
        <w:trPr>
          <w:tblCellSpacing w:w="15" w:type="dxa"/>
        </w:trPr>
        <w:tc>
          <w:tcPr>
            <w:shd w:val="clear" w:color="auto" w:fill="auto"/>
            <w:tcW w:w="2407" w:type="dxa"/>
            <w:vAlign w:val="center"/>
            <w:textDirection w:val="lrTb"/>
            <w:noWrap w:val="false"/>
          </w:tcPr>
          <w:p>
            <w:pPr>
              <w:pStyle w:val="870"/>
              <w:rPr>
                <w:rFonts w:hint="eastAsia" w:ascii="仿宋" w:hAnsi="仿宋" w:eastAsia="仿宋" w:cs="仿宋"/>
                <w:highlight w:val="none"/>
              </w:rPr>
            </w:pPr>
            <w:r>
              <w:rPr>
                <w:rFonts w:hint="eastAsia" w:ascii="仿宋" w:hAnsi="仿宋" w:eastAsia="仿宋" w:cs="仿宋"/>
                <w:highlight w:val="none"/>
              </w:rPr>
              <w:t xml:space="preserve">投标项目名称</w:t>
            </w:r>
            <w:r/>
          </w:p>
        </w:tc>
        <w:tc>
          <w:tcPr>
            <w:shd w:val="clear" w:color="auto" w:fill="auto"/>
            <w:tcW w:w="6015" w:type="dxa"/>
            <w:vAlign w:val="center"/>
            <w:textDirection w:val="lrTb"/>
            <w:noWrap w:val="false"/>
          </w:tcPr>
          <w:p>
            <w:pPr>
              <w:pStyle w:val="870"/>
              <w:jc w:val="center"/>
              <w:rPr>
                <w:rFonts w:hint="eastAsia" w:ascii="仿宋" w:hAnsi="仿宋" w:eastAsia="仿宋" w:cs="仿宋"/>
                <w:highlight w:val="none"/>
              </w:rPr>
            </w:pPr>
            <w:r>
              <w:rPr>
                <w:rFonts w:hint="eastAsia" w:ascii="仿宋" w:hAnsi="仿宋" w:eastAsia="仿宋" w:cs="仿宋"/>
                <w:highlight w:val="none"/>
              </w:rPr>
              <w:t xml:space="preserve">总价（小写）</w:t>
            </w:r>
            <w:r/>
          </w:p>
        </w:tc>
      </w:tr>
      <w:tr>
        <w:trPr>
          <w:tblCellSpacing w:w="15" w:type="dxa"/>
        </w:trPr>
        <w:tc>
          <w:tcPr>
            <w:shd w:val="clear" w:color="auto" w:fill="auto"/>
            <w:tcW w:w="2407" w:type="dxa"/>
            <w:vAlign w:val="center"/>
            <w:textDirection w:val="lrTb"/>
            <w:noWrap w:val="false"/>
          </w:tcPr>
          <w:p>
            <w:pPr>
              <w:pStyle w:val="870"/>
              <w:rPr>
                <w:rFonts w:hint="eastAsia" w:ascii="仿宋" w:hAnsi="仿宋" w:eastAsia="仿宋" w:cs="仿宋"/>
                <w:highlight w:val="none"/>
              </w:rPr>
            </w:pPr>
            <w:r>
              <w:rPr>
                <w:rFonts w:hint="eastAsia" w:ascii="仿宋" w:hAnsi="仿宋" w:eastAsia="仿宋" w:cs="仿宋"/>
                <w:highlight w:val="none"/>
                <w:lang w:bidi="zh-CN"/>
              </w:rPr>
              <w:t xml:space="preserve">投标项目名称</w:t>
            </w:r>
            <w:r/>
          </w:p>
        </w:tc>
        <w:tc>
          <w:tcPr>
            <w:shd w:val="clear" w:color="auto" w:fill="auto"/>
            <w:tcW w:w="6015" w:type="dxa"/>
            <w:vAlign w:val="center"/>
            <w:textDirection w:val="lrTb"/>
            <w:noWrap w:val="false"/>
          </w:tcPr>
          <w:p>
            <w:pPr>
              <w:pStyle w:val="870"/>
              <w:ind w:firstLine="3120"/>
              <w:rPr>
                <w:rFonts w:hint="eastAsia" w:ascii="仿宋" w:hAnsi="仿宋" w:eastAsia="仿宋" w:cs="仿宋"/>
                <w:highlight w:val="none"/>
              </w:rPr>
            </w:pPr>
            <w:r>
              <w:rPr>
                <w:rFonts w:hint="eastAsia" w:ascii="仿宋" w:hAnsi="仿宋" w:eastAsia="仿宋" w:cs="仿宋"/>
                <w:highlight w:val="none"/>
              </w:rPr>
              <mc:AlternateContent>
                <mc:Choice Requires="wpg">
                  <w:drawing>
                    <wp:inline xmlns:wp="http://schemas.openxmlformats.org/drawingml/2006/wordprocessingDrawing" distT="0" distB="0" distL="0" distR="0">
                      <wp:extent cx="635" cy="0"/>
                      <wp:effectExtent l="0" t="4445" r="0" b="5080"/>
                      <wp:docPr id="6"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仿宋" w:hAnsi="仿宋" w:eastAsia="仿宋" w:cs="仿宋"/>
                <w:highlight w:val="none"/>
              </w:rPr>
              <w:t xml:space="preserve"> 元</w:t>
            </w:r>
            <w:r/>
          </w:p>
        </w:tc>
      </w:tr>
      <w:tr>
        <w:trPr>
          <w:tblCellSpacing w:w="15" w:type="dxa"/>
        </w:trPr>
        <w:tc>
          <w:tcPr>
            <w:shd w:val="clear" w:color="auto" w:fill="auto"/>
            <w:tcW w:w="2407" w:type="dxa"/>
            <w:vAlign w:val="center"/>
            <w:textDirection w:val="lrTb"/>
            <w:noWrap w:val="false"/>
          </w:tcPr>
          <w:p>
            <w:pPr>
              <w:pStyle w:val="870"/>
              <w:rPr>
                <w:rFonts w:hint="eastAsia" w:ascii="仿宋" w:hAnsi="仿宋" w:eastAsia="仿宋" w:cs="仿宋"/>
                <w:highlight w:val="none"/>
                <w:lang w:bidi="zh-CN"/>
              </w:rPr>
            </w:pPr>
            <w:r>
              <w:rPr>
                <w:rFonts w:hint="eastAsia" w:ascii="仿宋" w:hAnsi="仿宋" w:eastAsia="仿宋" w:cs="仿宋"/>
                <w:highlight w:val="none"/>
                <w:lang w:bidi="zh-CN"/>
              </w:rPr>
              <w:t xml:space="preserve">总价（大写）</w:t>
            </w:r>
            <w:r/>
          </w:p>
        </w:tc>
        <w:tc>
          <w:tcPr>
            <w:shd w:val="clear" w:color="auto" w:fill="auto"/>
            <w:tcW w:w="6015" w:type="dxa"/>
            <w:vAlign w:val="center"/>
            <w:textDirection w:val="lrTb"/>
            <w:noWrap w:val="false"/>
          </w:tcPr>
          <w:p>
            <w:pPr>
              <w:pStyle w:val="870"/>
              <w:jc w:val="both"/>
              <w:rPr>
                <w:rFonts w:hint="eastAsia" w:ascii="仿宋" w:hAnsi="仿宋" w:eastAsia="仿宋" w:cs="仿宋"/>
                <w:highlight w:val="none"/>
              </w:rPr>
            </w:pPr>
            <w:r>
              <w:rPr>
                <w:rFonts w:hint="eastAsia" w:ascii="仿宋" w:hAnsi="仿宋" w:eastAsia="仿宋" w:cs="仿宋"/>
                <w:highlight w:val="none"/>
              </w:rPr>
              <w:t xml:space="preserve">金额大写 </w:t>
            </w:r>
            <w:r/>
          </w:p>
        </w:tc>
      </w:tr>
    </w:tbl>
    <w:p>
      <w:pPr>
        <w:pStyle w:val="870"/>
        <w:ind w:firstLine="5760"/>
        <w:rPr>
          <w:rFonts w:hint="eastAsia" w:ascii="仿宋" w:hAnsi="仿宋" w:eastAsia="仿宋" w:cs="仿宋"/>
          <w:highlight w:val="none"/>
        </w:rPr>
      </w:pPr>
      <w:r>
        <w:rPr>
          <w:rFonts w:hint="eastAsia" w:ascii="仿宋" w:hAnsi="仿宋" w:eastAsia="仿宋" w:cs="仿宋"/>
          <w:highlight w:val="none"/>
        </w:rPr>
        <w:t xml:space="preserve">年   月     日</w:t>
      </w:r>
      <w:r/>
    </w:p>
    <w:p>
      <w:pPr>
        <w:pStyle w:val="870"/>
        <w:rPr>
          <w:rFonts w:hint="eastAsia" w:ascii="仿宋" w:hAnsi="仿宋" w:eastAsia="仿宋" w:cs="仿宋"/>
          <w:highlight w:val="none"/>
        </w:rPr>
      </w:pPr>
      <w:r>
        <w:rPr>
          <w:rFonts w:hint="eastAsia" w:ascii="仿宋" w:hAnsi="仿宋" w:eastAsia="仿宋" w:cs="仿宋"/>
          <w:highlight w:val="none"/>
        </w:rPr>
        <w:t xml:space="preserve">报价说明：</w:t>
      </w:r>
      <w:r/>
    </w:p>
    <w:p>
      <w:pPr>
        <w:pStyle w:val="87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highlight w:val="none"/>
        </w:rPr>
        <w:t xml:space="preserve">1、报价包括完成项目的所有费用。采购人不再支付报价以外的任何费用。</w:t>
      </w:r>
      <w:r/>
    </w:p>
    <w:p>
      <w:pPr>
        <w:pStyle w:val="870"/>
        <w:spacing w:before="0" w:beforeAutospacing="0" w:after="0" w:afterAutospacing="0" w:line="360" w:lineRule="auto"/>
        <w:rPr>
          <w:rFonts w:hint="eastAsia" w:ascii="仿宋" w:hAnsi="仿宋" w:eastAsia="仿宋" w:cs="仿宋"/>
          <w:highlight w:val="none"/>
        </w:rPr>
      </w:pPr>
      <w:r>
        <w:rPr>
          <w:rFonts w:hint="eastAsia" w:ascii="仿宋" w:hAnsi="仿宋" w:eastAsia="仿宋" w:cs="仿宋"/>
          <w:highlight w:val="none"/>
        </w:rPr>
        <w:t xml:space="preserve">2、报价以总价为准，大小写不一致以大写为准。</w:t>
      </w:r>
      <w:r/>
    </w:p>
    <w:p>
      <w:pPr>
        <w:pStyle w:val="837"/>
        <w:ind w:firstLine="0"/>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b/>
          <w:bCs/>
          <w:sz w:val="24"/>
          <w:highlight w:val="none"/>
        </w:rPr>
      </w:pPr>
      <w:r>
        <w:rPr>
          <w:rFonts w:hint="eastAsia" w:ascii="仿宋" w:hAnsi="仿宋" w:eastAsia="仿宋" w:cs="仿宋"/>
          <w:b/>
          <w:bCs/>
          <w:sz w:val="24"/>
          <w:highlight w:val="none"/>
        </w:rPr>
        <w:br w:type="page" w:clear="all"/>
      </w:r>
      <w:r/>
    </w:p>
    <w:p>
      <w:pPr>
        <w:spacing w:after="240" w:line="360" w:lineRule="auto"/>
        <w:rPr>
          <w:rFonts w:hint="eastAsia" w:ascii="仿宋" w:hAnsi="仿宋" w:eastAsia="仿宋" w:cs="仿宋"/>
          <w:sz w:val="24"/>
          <w:highlight w:val="none"/>
        </w:rPr>
        <w:outlineLvl w:val="2"/>
      </w:pPr>
      <w:r/>
      <w:bookmarkStart w:id="162" w:name="_Toc14723"/>
      <w:r>
        <w:rPr>
          <w:rFonts w:hint="eastAsia" w:ascii="仿宋" w:hAnsi="仿宋" w:eastAsia="仿宋" w:cs="仿宋"/>
          <w:b/>
          <w:bCs/>
          <w:sz w:val="24"/>
          <w:highlight w:val="none"/>
        </w:rPr>
        <w:t xml:space="preserve">2、投标申请及声明格式</w:t>
      </w:r>
      <w:bookmarkEnd w:id="162"/>
      <w:r/>
      <w:r/>
    </w:p>
    <w:p>
      <w:pPr>
        <w:jc w:val="center"/>
        <w:spacing w:line="360" w:lineRule="auto"/>
        <w:shd w:val="clear" w:color="auto" w:fill="ffffff"/>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投标申请及声明</w:t>
      </w:r>
      <w:r/>
    </w:p>
    <w:p>
      <w:pPr>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 致：源成工程咨询（江苏南京）有限责任公司</w:t>
      </w:r>
      <w:r/>
    </w:p>
    <w:p>
      <w:pPr>
        <w:ind w:firstLine="42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根据贵方</w:t>
      </w:r>
      <w:r>
        <w:rPr>
          <w:rFonts w:hint="eastAsia" w:ascii="仿宋" w:hAnsi="仿宋" w:eastAsia="仿宋" w:cs="仿宋"/>
          <w:sz w:val="24"/>
          <w:highlight w:val="none"/>
          <w:u w:val="single"/>
        </w:rPr>
        <w:t xml:space="preserve">中共南京市雨花台区委党校2025年客房、餐饮服务</w:t>
      </w:r>
      <w:r>
        <w:rPr>
          <w:rFonts w:hint="eastAsia" w:ascii="仿宋" w:hAnsi="仿宋" w:eastAsia="仿宋" w:cs="仿宋"/>
          <w:b/>
          <w:bCs/>
          <w:sz w:val="24"/>
          <w:highlight w:val="none"/>
          <w:u w:val="single"/>
        </w:rPr>
        <w:t xml:space="preserve">（</w:t>
      </w:r>
      <w:r>
        <w:rPr>
          <w:rFonts w:hint="eastAsia" w:ascii="仿宋" w:hAnsi="仿宋" w:eastAsia="仿宋" w:cs="仿宋"/>
          <w:sz w:val="24"/>
          <w:highlight w:val="none"/>
        </w:rPr>
        <w:t xml:space="preserve">项目名称）</w:t>
      </w:r>
      <w:r>
        <w:rPr>
          <w:rFonts w:hint="eastAsia" w:ascii="仿宋" w:hAnsi="仿宋" w:eastAsia="仿宋" w:cs="仿宋"/>
          <w:sz w:val="24"/>
          <w:highlight w:val="none"/>
          <w:u w:val="single"/>
        </w:rPr>
        <w:t xml:space="preserve">JSZC-320114-YCGC-G2024-0070</w:t>
      </w:r>
      <w:r>
        <w:rPr>
          <w:rFonts w:hint="eastAsia" w:ascii="仿宋" w:hAnsi="仿宋" w:eastAsia="仿宋" w:cs="仿宋"/>
          <w:sz w:val="24"/>
          <w:highlight w:val="none"/>
        </w:rPr>
        <w:t xml:space="preserve">（项目编号）投标邀请，正式授权下述人员</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(姓名和职务)代表投标人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（投标人名称），提交投标文件。</w:t>
      </w:r>
      <w:r/>
    </w:p>
    <w:p>
      <w:pPr>
        <w:ind w:firstLine="42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据此函，签字人兹宣布声明和承诺如下：</w:t>
      </w:r>
      <w:r/>
    </w:p>
    <w:p>
      <w:pPr>
        <w:ind w:firstLine="42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w:t>
      </w:r>
      <w:r>
        <w:rPr>
          <w:rFonts w:hint="eastAsia" w:ascii="仿宋" w:hAnsi="仿宋" w:eastAsia="仿宋" w:cs="仿宋"/>
          <w:b/>
          <w:bCs/>
          <w:sz w:val="24"/>
          <w:highlight w:val="none"/>
        </w:rPr>
        <w:t xml:space="preserve">我们的资格条件完全符合政府采购法和本次招标要求</w:t>
      </w:r>
      <w:r>
        <w:rPr>
          <w:rFonts w:hint="eastAsia" w:ascii="仿宋" w:hAnsi="仿宋" w:eastAsia="仿宋" w:cs="仿宋"/>
          <w:sz w:val="24"/>
          <w:highlight w:val="none"/>
        </w:rPr>
        <w:t xml:space="preserve">，我们同意并向贵方提供了与投标有关的所有证据和资料。</w:t>
      </w:r>
      <w:r/>
    </w:p>
    <w:p>
      <w:pPr>
        <w:ind w:left="1470" w:hanging="105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2、按招标要求，我们的投标报价</w:t>
      </w:r>
      <w:r>
        <w:rPr>
          <w:rFonts w:hint="eastAsia" w:ascii="仿宋" w:hAnsi="仿宋" w:eastAsia="仿宋" w:cs="仿宋"/>
          <w:sz w:val="24"/>
          <w:highlight w:val="none"/>
          <w:u w:val="single"/>
        </w:rPr>
        <w:t xml:space="preserve">详见开标一览表</w:t>
      </w:r>
      <w:r>
        <w:rPr>
          <w:rFonts w:hint="eastAsia" w:ascii="仿宋" w:hAnsi="仿宋" w:eastAsia="仿宋" w:cs="仿宋"/>
          <w:sz w:val="24"/>
          <w:highlight w:val="none"/>
        </w:rPr>
        <w:t xml:space="preserve">。</w:t>
      </w:r>
      <w:r/>
    </w:p>
    <w:p>
      <w:pPr>
        <w:ind w:firstLine="42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3、本项目服务时间为：</w:t>
      </w:r>
      <w:r>
        <w:rPr>
          <w:rFonts w:hint="eastAsia" w:ascii="仿宋" w:hAnsi="仿宋" w:eastAsia="仿宋" w:cs="仿宋"/>
          <w:sz w:val="24"/>
          <w:highlight w:val="none"/>
          <w:u w:val="single"/>
        </w:rPr>
        <w:t xml:space="preserve">  满足招标文件要求  </w:t>
      </w:r>
      <w:r>
        <w:rPr>
          <w:rFonts w:hint="eastAsia" w:ascii="仿宋" w:hAnsi="仿宋" w:eastAsia="仿宋" w:cs="仿宋"/>
          <w:sz w:val="24"/>
          <w:highlight w:val="none"/>
        </w:rPr>
        <w:t xml:space="preserve">。</w:t>
      </w:r>
      <w:r/>
    </w:p>
    <w:p>
      <w:pPr>
        <w:ind w:firstLine="42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4、我们已详细阅读全部招标文件及其有效补充文件，我们放弃对招标文件任何误解的权利，提交投标文件后，</w:t>
      </w:r>
      <w:r>
        <w:rPr>
          <w:rFonts w:hint="eastAsia" w:ascii="仿宋" w:hAnsi="仿宋" w:eastAsia="仿宋" w:cs="仿宋"/>
          <w:b/>
          <w:bCs/>
          <w:sz w:val="24"/>
          <w:highlight w:val="none"/>
        </w:rPr>
        <w:t xml:space="preserve">不对招标文件本身提出质疑</w:t>
      </w:r>
      <w:r>
        <w:rPr>
          <w:rFonts w:hint="eastAsia" w:ascii="仿宋" w:hAnsi="仿宋" w:eastAsia="仿宋" w:cs="仿宋"/>
          <w:sz w:val="24"/>
          <w:highlight w:val="none"/>
        </w:rPr>
        <w:t xml:space="preserve">。</w:t>
      </w:r>
      <w:r/>
    </w:p>
    <w:p>
      <w:pPr>
        <w:ind w:firstLine="42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5、我们同意从规定的开标日期起遵循本投标文件，并在规定的投标有效期期满之前均具有约束力。</w:t>
      </w:r>
      <w:r/>
    </w:p>
    <w:p>
      <w:pPr>
        <w:ind w:firstLine="42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6、投标截止时间结束后参加投标的投标人不足三家的，或在评标期间出现符合专业条件的投标人或者对招标文件作出实质响应的投标人不足三家情形的，我们酌情决定是否参加贵方组织的其他采购人式采购。</w:t>
      </w:r>
      <w:r/>
    </w:p>
    <w:p>
      <w:pPr>
        <w:ind w:firstLine="42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7、一旦我方中标，我方将根据招标文件的规定严格履行合同，并保证于承诺的时间完成货物的启动/集成、调试等服务，交付采购人验收、使用。</w:t>
      </w:r>
      <w:r/>
    </w:p>
    <w:p>
      <w:pPr>
        <w:ind w:firstLine="42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pStyle w:val="873"/>
        <w:ind w:firstLine="480"/>
        <w:jc w:val="both"/>
        <w:spacing w:line="360" w:lineRule="auto"/>
        <w:rPr>
          <w:rFonts w:hint="eastAsia" w:ascii="仿宋" w:hAnsi="仿宋" w:eastAsia="仿宋" w:cs="仿宋"/>
          <w:b w:val="0"/>
          <w:bCs w:val="0"/>
          <w:sz w:val="24"/>
          <w:highlight w:val="none"/>
          <w:u w:val="single"/>
        </w:rPr>
      </w:pPr>
      <w:r>
        <w:rPr>
          <w:rFonts w:hint="eastAsia" w:ascii="仿宋" w:hAnsi="仿宋" w:eastAsia="仿宋" w:cs="仿宋"/>
          <w:b w:val="0"/>
          <w:bCs w:val="0"/>
          <w:sz w:val="24"/>
          <w:highlight w:val="none"/>
        </w:rPr>
        <w:t xml:space="preserve">9、项目负责人：</w:t>
      </w:r>
      <w:r>
        <w:rPr>
          <w:rFonts w:hint="eastAsia" w:ascii="仿宋" w:hAnsi="仿宋" w:eastAsia="仿宋" w:cs="仿宋"/>
          <w:b w:val="0"/>
          <w:bCs w:val="0"/>
          <w:sz w:val="24"/>
          <w:highlight w:val="none"/>
          <w:u w:val="single"/>
        </w:rPr>
        <w:t xml:space="preserve">            </w:t>
      </w:r>
      <w:r>
        <w:rPr>
          <w:rFonts w:hint="eastAsia" w:ascii="仿宋" w:hAnsi="仿宋" w:eastAsia="仿宋" w:cs="仿宋"/>
          <w:b w:val="0"/>
          <w:bCs w:val="0"/>
          <w:sz w:val="24"/>
          <w:highlight w:val="none"/>
        </w:rPr>
        <w:t xml:space="preserve">   移动电话：</w:t>
      </w:r>
      <w:r>
        <w:rPr>
          <w:rFonts w:hint="eastAsia" w:ascii="仿宋" w:hAnsi="仿宋" w:eastAsia="仿宋" w:cs="仿宋"/>
          <w:b w:val="0"/>
          <w:bCs w:val="0"/>
          <w:sz w:val="24"/>
          <w:highlight w:val="none"/>
          <w:u w:val="single"/>
        </w:rPr>
        <w:t xml:space="preserve">            </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10、与本投标有关的正式联系方式为：</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地   址：</w:t>
      </w:r>
      <w:r>
        <w:rPr>
          <w:rFonts w:hint="eastAsia" w:ascii="仿宋" w:hAnsi="仿宋" w:eastAsia="仿宋" w:cs="仿宋"/>
          <w:sz w:val="24"/>
          <w:highlight w:val="none"/>
          <w:u w:val="single"/>
        </w:rPr>
        <w:t xml:space="preserve">                      </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电   话：</w:t>
      </w:r>
      <w:r>
        <w:rPr>
          <w:rFonts w:hint="eastAsia" w:ascii="仿宋" w:hAnsi="仿宋" w:eastAsia="仿宋" w:cs="仿宋"/>
          <w:sz w:val="24"/>
          <w:highlight w:val="none"/>
          <w:u w:val="single"/>
        </w:rPr>
        <w:t xml:space="preserve">                      </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传   真：</w:t>
      </w:r>
      <w:r>
        <w:rPr>
          <w:rFonts w:hint="eastAsia" w:ascii="仿宋" w:hAnsi="仿宋" w:eastAsia="仿宋" w:cs="仿宋"/>
          <w:sz w:val="24"/>
          <w:highlight w:val="none"/>
          <w:u w:val="single"/>
        </w:rPr>
        <w:t xml:space="preserve">                      </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开户银行：</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银行账号：</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投标人名称：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（加盖电子公章）</w:t>
      </w:r>
      <w:r/>
    </w:p>
    <w:p>
      <w:pPr>
        <w:ind w:firstLine="480"/>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日    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日</w:t>
      </w:r>
      <w:r/>
    </w:p>
    <w:p>
      <w:pPr>
        <w:pStyle w:val="828"/>
        <w:numPr>
          <w:ilvl w:val="2"/>
          <w:numId w:val="0"/>
        </w:numPr>
        <w:keepLines w:val="0"/>
        <w:spacing w:before="0" w:after="240" w:line="360" w:lineRule="auto"/>
        <w:tabs>
          <w:tab w:val="left" w:pos="1440" w:leader="none"/>
          <w:tab w:val="left" w:pos="5670" w:leader="none"/>
        </w:tabs>
        <w:rPr>
          <w:rFonts w:hint="eastAsia" w:ascii="仿宋" w:hAnsi="仿宋" w:eastAsia="仿宋" w:cs="仿宋"/>
          <w:sz w:val="24"/>
          <w:szCs w:val="24"/>
          <w:highlight w:val="none"/>
          <w:lang w:val="zh-CN"/>
        </w:rPr>
      </w:pPr>
      <w:r>
        <w:rPr>
          <w:rFonts w:hint="eastAsia" w:ascii="仿宋" w:hAnsi="仿宋" w:eastAsia="仿宋" w:cs="仿宋"/>
          <w:szCs w:val="21"/>
          <w:highlight w:val="none"/>
        </w:rPr>
        <w:br w:type="page" w:clear="all"/>
      </w:r>
      <w:bookmarkStart w:id="163" w:name="_Toc9084"/>
      <w:r/>
      <w:bookmarkStart w:id="164" w:name="_Toc6320"/>
      <w:r/>
      <w:bookmarkStart w:id="165" w:name="_Toc28144"/>
      <w:r/>
      <w:bookmarkStart w:id="166" w:name="_Toc18755"/>
      <w:r/>
      <w:bookmarkStart w:id="167" w:name="_Toc30902"/>
      <w:r/>
      <w:bookmarkStart w:id="168" w:name="_Toc5046"/>
      <w:r/>
      <w:bookmarkStart w:id="169" w:name="_Toc8362"/>
      <w:r>
        <w:rPr>
          <w:rFonts w:hint="eastAsia" w:ascii="仿宋" w:hAnsi="仿宋" w:eastAsia="仿宋" w:cs="仿宋"/>
          <w:sz w:val="24"/>
          <w:szCs w:val="24"/>
          <w:highlight w:val="none"/>
        </w:rPr>
        <w:t xml:space="preserve">3、法定代表人授权书或法定代表人身份证明书</w:t>
      </w:r>
      <w:bookmarkEnd w:id="163"/>
      <w:r/>
      <w:bookmarkEnd w:id="164"/>
      <w:r/>
      <w:bookmarkEnd w:id="165"/>
      <w:r/>
      <w:bookmarkEnd w:id="166"/>
      <w:r/>
      <w:bookmarkEnd w:id="167"/>
      <w:r/>
      <w:bookmarkEnd w:id="168"/>
      <w:r/>
      <w:bookmarkEnd w:id="169"/>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法定代表人授权委托书</w:t>
      </w:r>
      <w:r/>
    </w:p>
    <w:p>
      <w:pPr>
        <w:pStyle w:val="845"/>
        <w:ind w:firstLine="482"/>
        <w:jc w:val="both"/>
        <w:spacing w:line="360" w:lineRule="auto"/>
        <w:tabs>
          <w:tab w:val="left" w:pos="5401" w:leader="none"/>
          <w:tab w:val="left" w:pos="7458" w:leader="none"/>
          <w:tab w:val="left" w:pos="8727" w:leader="none"/>
        </w:tabs>
        <w:rPr>
          <w:rFonts w:hint="eastAsia" w:ascii="仿宋" w:hAnsi="仿宋" w:eastAsia="仿宋" w:cs="仿宋"/>
          <w:sz w:val="24"/>
          <w:highlight w:val="none"/>
          <w:lang w:bidi="zh-CN"/>
        </w:rPr>
      </w:pPr>
      <w:r>
        <w:rPr>
          <w:rFonts w:hint="eastAsia" w:ascii="仿宋" w:hAnsi="仿宋" w:eastAsia="仿宋" w:cs="仿宋"/>
          <w:sz w:val="24"/>
          <w:highlight w:val="none"/>
          <w:lang w:bidi="zh-CN"/>
        </w:rPr>
        <w:t xml:space="preserve">致：中国共产党南京市雨花台区委员会党校(采购人)</w:t>
      </w:r>
      <w:r/>
    </w:p>
    <w:p>
      <w:pPr>
        <w:pStyle w:val="845"/>
        <w:ind w:firstLine="964"/>
        <w:jc w:val="both"/>
        <w:spacing w:line="360" w:lineRule="auto"/>
        <w:tabs>
          <w:tab w:val="left" w:pos="5401" w:leader="none"/>
          <w:tab w:val="left" w:pos="7458" w:leader="none"/>
          <w:tab w:val="left" w:pos="8727" w:leader="none"/>
        </w:tabs>
        <w:rPr>
          <w:rFonts w:hint="eastAsia" w:ascii="仿宋" w:hAnsi="仿宋" w:eastAsia="仿宋" w:cs="仿宋"/>
          <w:sz w:val="24"/>
          <w:highlight w:val="none"/>
          <w:lang w:val="zh-CN" w:bidi="zh-CN"/>
        </w:rPr>
      </w:pPr>
      <w:r>
        <w:rPr>
          <w:rFonts w:hint="eastAsia" w:ascii="仿宋" w:hAnsi="仿宋" w:eastAsia="仿宋" w:cs="仿宋"/>
          <w:sz w:val="24"/>
          <w:highlight w:val="none"/>
          <w:lang w:bidi="zh-CN"/>
        </w:rPr>
        <w:t xml:space="preserve">源成工程咨询（江苏南京）有限责任公司  </w:t>
      </w:r>
      <w:r/>
    </w:p>
    <w:p>
      <w:pPr>
        <w:rPr>
          <w:rFonts w:hint="eastAsia" w:ascii="仿宋" w:hAnsi="仿宋" w:eastAsia="仿宋" w:cs="仿宋"/>
          <w:sz w:val="24"/>
          <w:highlight w:val="none"/>
        </w:rPr>
      </w:pPr>
      <w:r>
        <w:rPr>
          <w:rFonts w:hint="eastAsia" w:ascii="仿宋" w:hAnsi="仿宋" w:eastAsia="仿宋" w:cs="仿宋"/>
          <w:sz w:val="24"/>
          <w:highlight w:val="none"/>
        </w:rPr>
      </w:r>
      <w:r/>
    </w:p>
    <w:p>
      <w:pPr>
        <w:ind w:firstLine="484"/>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本授权书声明：注册于＿＿＿＿（</w:t>
      </w:r>
      <w:r>
        <w:rPr>
          <w:rFonts w:hint="eastAsia" w:ascii="仿宋" w:hAnsi="仿宋" w:eastAsia="仿宋" w:cs="仿宋"/>
          <w:sz w:val="24"/>
          <w:highlight w:val="none"/>
        </w:rPr>
        <w:t xml:space="preserve">投标人</w:t>
      </w:r>
      <w:r>
        <w:rPr>
          <w:rFonts w:hint="eastAsia" w:ascii="仿宋" w:hAnsi="仿宋" w:eastAsia="仿宋" w:cs="仿宋"/>
          <w:sz w:val="24"/>
          <w:highlight w:val="none"/>
          <w:lang w:val="zh-CN"/>
        </w:rPr>
        <w:t xml:space="preserve">住址）的＿＿＿＿（</w:t>
      </w:r>
      <w:r>
        <w:rPr>
          <w:rFonts w:hint="eastAsia" w:ascii="仿宋" w:hAnsi="仿宋" w:eastAsia="仿宋" w:cs="仿宋"/>
          <w:sz w:val="24"/>
          <w:highlight w:val="none"/>
        </w:rPr>
        <w:t xml:space="preserve">投标人</w:t>
      </w:r>
      <w:r>
        <w:rPr>
          <w:rFonts w:hint="eastAsia" w:ascii="仿宋" w:hAnsi="仿宋" w:eastAsia="仿宋" w:cs="仿宋"/>
          <w:sz w:val="24"/>
          <w:highlight w:val="none"/>
          <w:lang w:val="zh-CN"/>
        </w:rPr>
        <w:t xml:space="preserve">名称）法定代表人＿＿＿（法定代表人姓名、职务）代表本公司授权</w:t>
      </w:r>
      <w:r>
        <w:rPr>
          <w:rFonts w:hint="eastAsia" w:ascii="仿宋" w:hAnsi="仿宋" w:eastAsia="仿宋" w:cs="仿宋"/>
          <w:sz w:val="24"/>
          <w:highlight w:val="none"/>
        </w:rPr>
        <w:t xml:space="preserve">如下人员</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投标人</w:t>
      </w:r>
      <w:r>
        <w:rPr>
          <w:rFonts w:hint="eastAsia" w:ascii="仿宋" w:hAnsi="仿宋" w:eastAsia="仿宋" w:cs="仿宋"/>
          <w:sz w:val="24"/>
          <w:highlight w:val="none"/>
          <w:lang w:val="zh-CN"/>
        </w:rPr>
        <w:t xml:space="preserve">代表姓名、职务）为本公司的合法代理人，就贵方组织的</w:t>
      </w:r>
      <w:r>
        <w:rPr>
          <w:rFonts w:hint="eastAsia" w:ascii="仿宋" w:hAnsi="仿宋" w:eastAsia="仿宋" w:cs="仿宋"/>
          <w:sz w:val="24"/>
          <w:highlight w:val="none"/>
          <w:u w:val="single"/>
        </w:rPr>
        <w:t xml:space="preserve">中共南京市雨花台区委党校2025年客房、餐饮服务</w:t>
      </w:r>
      <w:r>
        <w:rPr>
          <w:rFonts w:hint="eastAsia" w:ascii="仿宋" w:hAnsi="仿宋" w:eastAsia="仿宋" w:cs="仿宋"/>
          <w:sz w:val="24"/>
          <w:highlight w:val="none"/>
          <w:lang w:val="zh-CN"/>
        </w:rPr>
        <w:t xml:space="preserve">（项目名称），</w:t>
      </w:r>
      <w:r>
        <w:rPr>
          <w:rFonts w:hint="eastAsia" w:ascii="仿宋" w:hAnsi="仿宋" w:eastAsia="仿宋" w:cs="仿宋"/>
          <w:sz w:val="24"/>
          <w:highlight w:val="none"/>
          <w:u w:val="single"/>
          <w:lang w:val="zh-CN"/>
        </w:rPr>
        <w:t xml:space="preserve">JSZC-320114-YCGC-G2024-0070</w:t>
      </w:r>
      <w:r>
        <w:rPr>
          <w:rFonts w:hint="eastAsia" w:ascii="仿宋" w:hAnsi="仿宋" w:eastAsia="仿宋" w:cs="仿宋"/>
          <w:sz w:val="24"/>
          <w:highlight w:val="none"/>
          <w:lang w:val="zh-CN"/>
        </w:rPr>
        <w:t xml:space="preserve">（项目编号）投标，以本公司名义处理一切与之有关的事务。</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本授权书于</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年</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月</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日盖章生效，特此声明。</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被授权代表人姓名：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年龄：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职务：</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身份证：                      </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联系电话：</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投标人名称：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加盖电子公章</w:t>
      </w:r>
      <w:r>
        <w:rPr>
          <w:rFonts w:hint="eastAsia" w:ascii="仿宋" w:hAnsi="仿宋" w:eastAsia="仿宋" w:cs="仿宋"/>
          <w:sz w:val="24"/>
          <w:highlight w:val="none"/>
          <w:lang w:val="zh-CN"/>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日期：年月日</w:t>
      </w:r>
      <w:r/>
    </w:p>
    <w:p>
      <w:pPr>
        <w:ind w:firstLine="480"/>
        <w:spacing w:line="360" w:lineRule="auto"/>
        <w:rPr>
          <w:rFonts w:hint="eastAsia" w:ascii="仿宋" w:hAnsi="仿宋" w:eastAsia="仿宋" w:cs="仿宋"/>
          <w:sz w:val="24"/>
          <w:highlight w:val="none"/>
        </w:rPr>
        <w:sectPr>
          <w:footnotePr/>
          <w:endnotePr/>
          <w:type w:val="nextPage"/>
          <w:pgSz w:w="11906" w:h="16838" w:orient="portrait"/>
          <w:pgMar w:top="1417" w:right="1757" w:bottom="1417" w:left="1757" w:header="851" w:footer="1020" w:gutter="0"/>
          <w:cols w:num="1" w:sep="0" w:space="720" w:equalWidth="1"/>
          <w:docGrid w:linePitch="360"/>
        </w:sectPr>
      </w:pPr>
      <w:r>
        <w:rPr>
          <w:rFonts w:hint="eastAsia" w:ascii="仿宋" w:hAnsi="仿宋" w:eastAsia="仿宋" w:cs="仿宋"/>
          <w:sz w:val="24"/>
          <w:highlight w:val="none"/>
        </w:rPr>
        <w:t xml:space="preserve">（注：后附被授权委托人身份证正反面扫描件）</w:t>
      </w:r>
      <w:r/>
    </w:p>
    <w:p>
      <w:pPr>
        <w:jc w:val="center"/>
        <w:keepLines/>
        <w:keepNext/>
        <w:spacing w:line="360" w:lineRule="auto"/>
        <w:rPr>
          <w:rFonts w:hint="eastAsia" w:ascii="仿宋" w:hAnsi="仿宋" w:eastAsia="仿宋" w:cs="仿宋"/>
          <w:sz w:val="44"/>
          <w:szCs w:val="44"/>
          <w:highlight w:val="none"/>
        </w:rPr>
        <w:pBdr>
          <w:top w:val="none" w:color="000000" w:sz="0" w:space="0"/>
          <w:left w:val="none" w:color="000000" w:sz="0" w:space="0"/>
          <w:bottom w:val="none" w:color="000000" w:sz="0" w:space="0"/>
          <w:right w:val="none" w:color="000000" w:sz="0" w:space="0"/>
        </w:pBdr>
      </w:pPr>
      <w:r/>
      <w:bookmarkStart w:id="170" w:name="_Toc4730"/>
      <w:r/>
      <w:bookmarkStart w:id="171" w:name="_Toc5249"/>
      <w:r/>
      <w:bookmarkStart w:id="172" w:name="_Toc17108"/>
      <w:r/>
      <w:bookmarkStart w:id="173" w:name="_Toc14545"/>
      <w:r>
        <w:rPr>
          <w:rFonts w:hint="eastAsia" w:ascii="仿宋" w:hAnsi="仿宋" w:eastAsia="仿宋" w:cs="仿宋"/>
          <w:b/>
          <w:sz w:val="32"/>
          <w:szCs w:val="36"/>
          <w:highlight w:val="none"/>
        </w:rPr>
        <w:t xml:space="preserve">法定代表人身份证明书</w:t>
      </w:r>
      <w:bookmarkEnd w:id="170"/>
      <w:r/>
      <w:bookmarkEnd w:id="171"/>
      <w:r/>
      <w:bookmarkEnd w:id="172"/>
      <w:r/>
      <w:bookmarkEnd w:id="173"/>
      <w:r/>
      <w:r/>
    </w:p>
    <w:p>
      <w:pPr>
        <w:ind w:firstLine="560"/>
        <w:spacing w:line="85" w:lineRule="atLeast"/>
        <w:rPr>
          <w:rFonts w:hint="eastAsia" w:ascii="仿宋" w:hAnsi="仿宋" w:eastAsia="仿宋" w:cs="仿宋"/>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highlight w:val="none"/>
        </w:rPr>
        <w:t xml:space="preserve"> </w:t>
      </w:r>
      <w:r/>
    </w:p>
    <w:p>
      <w:pPr>
        <w:ind w:firstLine="560"/>
        <w:spacing w:line="360"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兹证明</w:t>
      </w:r>
      <w:r>
        <w:rPr>
          <w:rFonts w:hint="eastAsia" w:ascii="仿宋" w:hAnsi="仿宋" w:eastAsia="仿宋" w:cs="仿宋"/>
          <w:b/>
          <w:sz w:val="24"/>
          <w:highlight w:val="none"/>
          <w:u w:val="single"/>
        </w:rPr>
        <w:t xml:space="preserve">×××（）姓名</w:t>
      </w:r>
      <w:r>
        <w:rPr>
          <w:rFonts w:hint="eastAsia" w:ascii="仿宋" w:hAnsi="仿宋" w:eastAsia="仿宋" w:cs="仿宋"/>
          <w:sz w:val="24"/>
          <w:highlight w:val="none"/>
        </w:rPr>
        <w:t xml:space="preserve">同志，性别</w:t>
      </w:r>
      <w:r>
        <w:rPr>
          <w:rFonts w:hint="eastAsia" w:ascii="仿宋" w:hAnsi="仿宋" w:eastAsia="仿宋" w:cs="仿宋"/>
          <w:b/>
          <w:sz w:val="24"/>
          <w:highlight w:val="none"/>
          <w:u w:val="single"/>
        </w:rPr>
        <w:t xml:space="preserve">×××</w:t>
      </w:r>
      <w:r>
        <w:rPr>
          <w:rFonts w:hint="eastAsia" w:ascii="仿宋" w:hAnsi="仿宋" w:eastAsia="仿宋" w:cs="仿宋"/>
          <w:sz w:val="24"/>
          <w:highlight w:val="none"/>
        </w:rPr>
        <w:t xml:space="preserve">，居民身份证号</w:t>
      </w:r>
      <w:r>
        <w:rPr>
          <w:rFonts w:hint="eastAsia" w:ascii="仿宋" w:hAnsi="仿宋" w:eastAsia="仿宋" w:cs="仿宋"/>
          <w:b/>
          <w:sz w:val="24"/>
          <w:highlight w:val="none"/>
          <w:u w:val="single"/>
        </w:rPr>
        <w:t xml:space="preserve">×××</w:t>
      </w:r>
      <w:r>
        <w:rPr>
          <w:rFonts w:hint="eastAsia" w:ascii="仿宋" w:hAnsi="仿宋" w:eastAsia="仿宋" w:cs="仿宋"/>
          <w:sz w:val="24"/>
          <w:highlight w:val="none"/>
        </w:rPr>
        <w:t xml:space="preserve">，在我单位任</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职务，系我单位主要负责人即法定代表人。</w:t>
      </w:r>
      <w:r/>
    </w:p>
    <w:p>
      <w:pPr>
        <w:ind w:firstLine="560"/>
        <w:spacing w:line="360"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p>
      <w:pPr>
        <w:ind w:firstLine="560"/>
        <w:spacing w:line="360"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单位地址：</w:t>
      </w:r>
      <w:r/>
    </w:p>
    <w:p>
      <w:pPr>
        <w:ind w:firstLine="560"/>
        <w:spacing w:line="360"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p>
      <w:pPr>
        <w:ind w:firstLine="560"/>
        <w:spacing w:line="360"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电话：</w:t>
      </w:r>
      <w:r/>
    </w:p>
    <w:p>
      <w:pPr>
        <w:ind w:firstLine="560"/>
        <w:spacing w:line="360"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 </w:t>
      </w:r>
      <w:r/>
    </w:p>
    <w:p>
      <w:pPr>
        <w:ind w:firstLine="560"/>
        <w:spacing w:line="360"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单位全称： （加盖电子公章） </w:t>
      </w:r>
      <w:r/>
    </w:p>
    <w:p>
      <w:pPr>
        <w:ind w:firstLine="560"/>
        <w:spacing w:line="360" w:lineRule="auto"/>
        <w:rPr>
          <w:rFonts w:hint="eastAsia" w:ascii="仿宋" w:hAnsi="仿宋" w:eastAsia="仿宋" w:cs="仿宋"/>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0"/>
          <w:szCs w:val="21"/>
          <w:highlight w:val="none"/>
        </w:rPr>
      </w:r>
      <w:r/>
    </w:p>
    <w:p>
      <w:pPr>
        <w:ind w:firstLine="560"/>
        <w:spacing w:line="360" w:lineRule="auto"/>
        <w:rPr>
          <w:rFonts w:hint="eastAsia" w:ascii="仿宋" w:hAnsi="仿宋" w:eastAsia="仿宋" w:cs="仿宋"/>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highlight w:val="none"/>
        </w:rPr>
        <w:t xml:space="preserve">  </w:t>
      </w:r>
      <w:r/>
    </w:p>
    <w:p>
      <w:pPr>
        <w:ind w:firstLine="560"/>
        <w:jc w:val="right"/>
        <w:spacing w:line="85" w:lineRule="atLeast"/>
        <w:rPr>
          <w:rFonts w:hint="eastAsia" w:ascii="仿宋" w:hAnsi="仿宋" w:eastAsia="仿宋" w:cs="仿宋"/>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1"/>
          <w:highlight w:val="none"/>
        </w:rPr>
        <w:t xml:space="preserve">  年  月  日</w:t>
      </w:r>
      <w:r/>
    </w:p>
    <w:p>
      <w:pPr>
        <w:ind w:firstLine="643"/>
        <w:spacing w:line="85" w:lineRule="atLeast"/>
        <w:rPr>
          <w:rFonts w:hint="eastAsia" w:ascii="仿宋" w:hAnsi="仿宋" w:eastAsia="仿宋" w:cs="仿宋"/>
          <w:b/>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szCs w:val="21"/>
          <w:highlight w:val="none"/>
        </w:rPr>
        <w:t xml:space="preserve"> </w:t>
      </w:r>
      <w:r/>
    </w:p>
    <w:p>
      <w:pPr>
        <w:spacing w:line="360"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highlight w:val="none"/>
        </w:rPr>
        <w:t xml:space="preserve">附：法定代表人居民身份证正反面复印件</w:t>
      </w:r>
      <w:r/>
    </w:p>
    <w:p>
      <w:pPr>
        <w:ind w:firstLine="560"/>
        <w:spacing w:line="360" w:lineRule="auto"/>
        <w:rPr>
          <w:rFonts w:hint="eastAsia" w:ascii="仿宋" w:hAnsi="仿宋" w:eastAsia="仿宋" w:cs="仿宋"/>
          <w:sz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u w:val="single"/>
        </w:rPr>
      </w:r>
      <w:r/>
    </w:p>
    <w:p>
      <w:pPr>
        <w:ind w:firstLine="560"/>
        <w:spacing w:line="360" w:lineRule="auto"/>
        <w:rPr>
          <w:rFonts w:hint="eastAsia" w:ascii="仿宋" w:hAnsi="仿宋" w:eastAsia="仿宋" w:cs="仿宋"/>
          <w:sz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u w:val="single"/>
        </w:rPr>
      </w:r>
      <w:r/>
    </w:p>
    <w:p>
      <w:pPr>
        <w:ind w:firstLine="560"/>
        <w:spacing w:line="360" w:lineRule="auto"/>
        <w:rPr>
          <w:rFonts w:hint="eastAsia" w:ascii="仿宋" w:hAnsi="仿宋" w:eastAsia="仿宋" w:cs="仿宋"/>
          <w:sz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u w:val="single"/>
        </w:rPr>
      </w:r>
      <w:r/>
    </w:p>
    <w:p>
      <w:pPr>
        <w:ind w:firstLine="560"/>
        <w:spacing w:line="360" w:lineRule="auto"/>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u w:val="single"/>
        </w:rPr>
        <w:t xml:space="preserve">注：1.“法定代表人”直接参加投标响应活动的仅需填写本身份证明</w:t>
      </w:r>
      <w:r>
        <w:rPr>
          <w:rFonts w:hint="eastAsia" w:ascii="仿宋" w:hAnsi="仿宋" w:eastAsia="仿宋" w:cs="仿宋"/>
          <w:sz w:val="24"/>
          <w:highlight w:val="none"/>
        </w:rPr>
        <w:t xml:space="preserve">。</w:t>
      </w:r>
      <w:r/>
    </w:p>
    <w:p>
      <w:pPr>
        <w:ind w:firstLine="1116"/>
        <w:spacing w:line="360" w:lineRule="auto"/>
        <w:rPr>
          <w:rFonts w:hint="eastAsia" w:ascii="仿宋" w:hAnsi="仿宋" w:eastAsia="仿宋" w:cs="仿宋"/>
          <w:sz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u w:val="single"/>
        </w:rPr>
        <w:t xml:space="preserve">2.投标人属于非法人组织的，按照法律、行政法规规定能够对外代表其从事民事活动的主要负责人，视同法定代表人。</w:t>
      </w:r>
      <w:r/>
    </w:p>
    <w:p>
      <w:pPr>
        <w:ind w:firstLine="480"/>
        <w:spacing w:line="480" w:lineRule="exact"/>
        <w:rPr>
          <w:rFonts w:hint="eastAsia" w:ascii="仿宋" w:hAnsi="仿宋" w:eastAsia="仿宋" w:cs="仿宋"/>
          <w:szCs w:val="21"/>
          <w:highlight w:val="none"/>
        </w:rPr>
      </w:pPr>
      <w:r>
        <w:rPr>
          <w:rFonts w:hint="eastAsia" w:ascii="仿宋" w:hAnsi="仿宋" w:eastAsia="仿宋" w:cs="仿宋"/>
          <w:szCs w:val="21"/>
          <w:highlight w:val="none"/>
        </w:rPr>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 </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 </w:t>
      </w:r>
      <w:r/>
    </w:p>
    <w:p>
      <w:pPr>
        <w:ind w:firstLine="420"/>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 </w:t>
      </w:r>
      <w:r/>
    </w:p>
    <w:p>
      <w:pPr>
        <w:jc w:val="left"/>
        <w:spacing w:line="360" w:lineRule="auto"/>
        <w:shd w:val="clear" w:color="auto" w:fill="ffffff"/>
        <w:widowControl/>
        <w:rPr>
          <w:rFonts w:hint="eastAsia" w:ascii="仿宋" w:hAnsi="仿宋" w:eastAsia="仿宋" w:cs="仿宋"/>
          <w:b/>
          <w:bCs/>
          <w:szCs w:val="21"/>
          <w:highlight w:val="none"/>
          <w:lang w:val="zh-CN"/>
        </w:rPr>
      </w:pPr>
      <w:r>
        <w:rPr>
          <w:rFonts w:hint="eastAsia" w:ascii="仿宋" w:hAnsi="仿宋" w:eastAsia="仿宋" w:cs="仿宋"/>
          <w:b/>
          <w:bCs/>
          <w:szCs w:val="21"/>
          <w:highlight w:val="none"/>
        </w:rPr>
        <w:br w:type="page" w:clear="all"/>
      </w:r>
      <w:bookmarkStart w:id="174" w:name="_Toc12264"/>
      <w:r/>
      <w:r/>
    </w:p>
    <w:p>
      <w:pPr>
        <w:pStyle w:val="828"/>
        <w:keepLines w:val="0"/>
        <w:spacing w:before="0" w:after="240" w:line="360" w:lineRule="auto"/>
        <w:tabs>
          <w:tab w:val="left" w:pos="1440" w:leader="none"/>
          <w:tab w:val="left" w:pos="5670" w:leader="none"/>
        </w:tabs>
        <w:rPr>
          <w:rFonts w:hint="eastAsia" w:ascii="仿宋" w:hAnsi="仿宋" w:eastAsia="仿宋" w:cs="仿宋"/>
          <w:sz w:val="24"/>
          <w:szCs w:val="24"/>
          <w:highlight w:val="none"/>
        </w:rPr>
        <w:sectPr>
          <w:headerReference w:type="default" r:id="rId9"/>
          <w:footerReference w:type="default" r:id="rId14"/>
          <w:footerReference w:type="first" r:id="rId15"/>
          <w:footnotePr/>
          <w:endnotePr/>
          <w:type w:val="nextPage"/>
          <w:pgSz w:w="11906" w:h="16838" w:orient="portrait"/>
          <w:pgMar w:top="1440" w:right="1797" w:bottom="1440" w:left="1599" w:header="851" w:footer="992" w:gutter="0"/>
          <w:cols w:num="1" w:sep="0" w:space="720" w:equalWidth="1"/>
          <w:docGrid w:linePitch="360"/>
          <w:titlePg/>
        </w:sectPr>
      </w:pPr>
      <w:r/>
      <w:bookmarkStart w:id="175" w:name="_Toc1387"/>
      <w:r/>
      <w:bookmarkStart w:id="176" w:name="_Toc7806"/>
      <w:r/>
      <w:bookmarkStart w:id="177" w:name="_Toc33266155"/>
      <w:r/>
      <w:bookmarkStart w:id="178" w:name="_Toc28236"/>
      <w:r/>
      <w:bookmarkStart w:id="179" w:name="_Toc32431"/>
      <w:r/>
      <w:r/>
    </w:p>
    <w:p>
      <w:pPr>
        <w:pStyle w:val="828"/>
        <w:numPr>
          <w:ilvl w:val="2"/>
          <w:numId w:val="0"/>
        </w:numPr>
        <w:keepLines w:val="0"/>
        <w:spacing w:before="0" w:after="240" w:line="360" w:lineRule="auto"/>
        <w:tabs>
          <w:tab w:val="left" w:pos="1440" w:leader="none"/>
          <w:tab w:val="left" w:pos="5670" w:leader="none"/>
        </w:tabs>
        <w:rPr>
          <w:rFonts w:hint="eastAsia" w:ascii="仿宋" w:hAnsi="仿宋" w:eastAsia="仿宋" w:cs="仿宋"/>
          <w:sz w:val="24"/>
          <w:szCs w:val="24"/>
          <w:highlight w:val="none"/>
        </w:rPr>
      </w:pPr>
      <w:r/>
      <w:bookmarkStart w:id="180" w:name="_Toc29051"/>
      <w:r/>
      <w:bookmarkStart w:id="181" w:name="_Toc25450"/>
      <w:r>
        <w:rPr>
          <w:rFonts w:hint="eastAsia" w:ascii="仿宋" w:hAnsi="仿宋" w:eastAsia="仿宋" w:cs="仿宋"/>
          <w:sz w:val="24"/>
          <w:szCs w:val="24"/>
          <w:highlight w:val="none"/>
        </w:rPr>
        <w:t xml:space="preserve">4、报价一览表</w:t>
      </w:r>
      <w:bookmarkEnd w:id="180"/>
      <w:r/>
      <w:bookmarkEnd w:id="181"/>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报价一览表</w:t>
      </w:r>
      <w:r/>
    </w:p>
    <w:tbl>
      <w:tblPr>
        <w:tblStyle w:val="836"/>
        <w:tblW w:w="86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268"/>
        <w:gridCol w:w="4351"/>
      </w:tblGrid>
      <w:tr>
        <w:trPr>
          <w:jc w:val="center"/>
          <w:trHeight w:val="454"/>
        </w:trPr>
        <w:tc>
          <w:tcPr>
            <w:gridSpan w:val="2"/>
            <w:tcBorders>
              <w:top w:val="none" w:color="000000" w:sz="4" w:space="0"/>
              <w:left w:val="none" w:color="000000" w:sz="4" w:space="0"/>
              <w:bottom w:val="single" w:color="auto" w:sz="4" w:space="0"/>
              <w:right w:val="none" w:color="000000" w:sz="4" w:space="0"/>
            </w:tcBorders>
            <w:tcW w:w="8619" w:type="dxa"/>
            <w:vAlign w:val="center"/>
            <w:textDirection w:val="lrTb"/>
            <w:noWrap w:val="false"/>
          </w:tcPr>
          <w:p>
            <w:pPr>
              <w:spacing w:line="360" w:lineRule="auto"/>
              <w:rPr>
                <w:rStyle w:val="1214"/>
                <w:rFonts w:hint="eastAsia" w:ascii="仿宋" w:hAnsi="仿宋" w:eastAsia="仿宋" w:cs="仿宋"/>
                <w:sz w:val="24"/>
                <w:highlight w:val="none"/>
                <w:lang w:val="zh-CN"/>
              </w:rPr>
            </w:pPr>
            <w:r>
              <w:rPr>
                <w:rStyle w:val="1214"/>
                <w:rFonts w:hint="eastAsia" w:ascii="仿宋" w:hAnsi="仿宋" w:eastAsia="仿宋" w:cs="仿宋"/>
                <w:sz w:val="24"/>
                <w:highlight w:val="none"/>
                <w:lang w:val="zh-CN"/>
              </w:rPr>
              <w:t xml:space="preserve">项目名称：中共南京市雨花台区委党校2025年客房、餐饮服务</w:t>
            </w:r>
            <w:r/>
          </w:p>
          <w:p>
            <w:pPr>
              <w:spacing w:line="360" w:lineRule="auto"/>
              <w:rPr>
                <w:rStyle w:val="1214"/>
                <w:rFonts w:hint="eastAsia" w:ascii="仿宋" w:hAnsi="仿宋" w:eastAsia="仿宋" w:cs="仿宋"/>
                <w:sz w:val="24"/>
                <w:highlight w:val="none"/>
                <w:lang w:val="zh-CN"/>
              </w:rPr>
            </w:pPr>
            <w:r>
              <w:rPr>
                <w:rStyle w:val="1214"/>
                <w:rFonts w:hint="eastAsia" w:ascii="仿宋" w:hAnsi="仿宋" w:eastAsia="仿宋" w:cs="仿宋"/>
                <w:sz w:val="24"/>
                <w:highlight w:val="none"/>
                <w:lang w:val="zh-CN"/>
              </w:rPr>
              <w:t xml:space="preserve">项目编号：JSZC-320114-YCGC-G2024-0070</w:t>
            </w:r>
            <w:r/>
          </w:p>
        </w:tc>
      </w:tr>
      <w:tr>
        <w:trPr>
          <w:jc w:val="center"/>
          <w:trHeight w:val="454"/>
        </w:trPr>
        <w:tc>
          <w:tcPr>
            <w:tcBorders>
              <w:top w:val="single" w:color="auto" w:sz="4" w:space="0"/>
              <w:left w:val="single" w:color="auto" w:sz="4" w:space="0"/>
              <w:bottom w:val="single" w:color="auto" w:sz="4" w:space="0"/>
              <w:right w:val="single" w:color="auto" w:sz="4" w:space="0"/>
            </w:tcBorders>
            <w:tcW w:w="4268" w:type="dxa"/>
            <w:vAlign w:val="center"/>
            <w:textDirection w:val="lrTb"/>
            <w:noWrap w:val="false"/>
          </w:tcPr>
          <w:p>
            <w:pPr>
              <w:jc w:val="center"/>
              <w:rPr>
                <w:rStyle w:val="1214"/>
                <w:rFonts w:hint="eastAsia" w:ascii="仿宋" w:hAnsi="仿宋" w:eastAsia="仿宋" w:cs="仿宋"/>
                <w:sz w:val="24"/>
                <w:highlight w:val="none"/>
                <w:lang w:val="zh-CN"/>
              </w:rPr>
            </w:pPr>
            <w:r>
              <w:rPr>
                <w:rStyle w:val="1214"/>
                <w:rFonts w:hint="eastAsia" w:ascii="仿宋" w:hAnsi="仿宋" w:eastAsia="仿宋" w:cs="仿宋"/>
                <w:sz w:val="24"/>
                <w:highlight w:val="none"/>
              </w:rPr>
              <w:t xml:space="preserve">投标</w:t>
            </w:r>
            <w:r>
              <w:rPr>
                <w:rStyle w:val="1214"/>
                <w:rFonts w:hint="eastAsia" w:ascii="仿宋" w:hAnsi="仿宋" w:eastAsia="仿宋" w:cs="仿宋"/>
                <w:sz w:val="24"/>
                <w:highlight w:val="none"/>
                <w:lang w:val="zh-CN"/>
              </w:rPr>
              <w:t xml:space="preserve">报价（</w:t>
            </w:r>
            <w:r>
              <w:rPr>
                <w:rStyle w:val="1214"/>
                <w:rFonts w:hint="eastAsia" w:ascii="仿宋" w:hAnsi="仿宋" w:eastAsia="仿宋" w:cs="仿宋"/>
                <w:sz w:val="24"/>
                <w:highlight w:val="none"/>
              </w:rPr>
              <w:t xml:space="preserve">总价</w:t>
            </w:r>
            <w:r>
              <w:rPr>
                <w:rStyle w:val="1214"/>
                <w:rFonts w:hint="eastAsia" w:ascii="仿宋" w:hAnsi="仿宋" w:eastAsia="仿宋" w:cs="仿宋"/>
                <w:sz w:val="24"/>
                <w:highlight w:val="none"/>
                <w:lang w:val="zh-CN"/>
              </w:rPr>
              <w:t xml:space="preserve">）</w:t>
            </w:r>
            <w:r/>
          </w:p>
        </w:tc>
        <w:tc>
          <w:tcPr>
            <w:tcBorders>
              <w:top w:val="single" w:color="auto" w:sz="4" w:space="0"/>
              <w:left w:val="single" w:color="auto" w:sz="4" w:space="0"/>
              <w:bottom w:val="single" w:color="auto" w:sz="4" w:space="0"/>
              <w:right w:val="single" w:color="auto" w:sz="4" w:space="0"/>
            </w:tcBorders>
            <w:tcW w:w="4351" w:type="dxa"/>
            <w:vAlign w:val="center"/>
            <w:textDirection w:val="lrTb"/>
            <w:noWrap w:val="false"/>
          </w:tcPr>
          <w:p>
            <w:pPr>
              <w:jc w:val="center"/>
              <w:rPr>
                <w:rStyle w:val="1214"/>
                <w:rFonts w:hint="eastAsia" w:ascii="仿宋" w:hAnsi="仿宋" w:eastAsia="仿宋" w:cs="仿宋"/>
                <w:sz w:val="24"/>
                <w:highlight w:val="none"/>
              </w:rPr>
            </w:pPr>
            <w:r>
              <w:rPr>
                <w:rStyle w:val="1214"/>
                <w:rFonts w:hint="eastAsia" w:ascii="仿宋" w:hAnsi="仿宋" w:eastAsia="仿宋" w:cs="仿宋"/>
                <w:sz w:val="24"/>
                <w:highlight w:val="none"/>
              </w:rPr>
              <w:t xml:space="preserve">备注</w:t>
            </w:r>
            <w:r/>
          </w:p>
        </w:tc>
      </w:tr>
      <w:tr>
        <w:trPr>
          <w:jc w:val="center"/>
          <w:trHeight w:val="1779"/>
        </w:trPr>
        <w:tc>
          <w:tcPr>
            <w:tcBorders>
              <w:top w:val="single" w:color="auto" w:sz="4" w:space="0"/>
              <w:left w:val="single" w:color="auto" w:sz="4" w:space="0"/>
              <w:right w:val="single" w:color="auto" w:sz="4" w:space="0"/>
            </w:tcBorders>
            <w:tcW w:w="4268" w:type="dxa"/>
            <w:vAlign w:val="center"/>
            <w:textDirection w:val="lrTb"/>
            <w:noWrap w:val="false"/>
          </w:tcPr>
          <w:p>
            <w:pPr>
              <w:jc w:val="center"/>
              <w:spacing w:line="360" w:lineRule="auto"/>
              <w:rPr>
                <w:rStyle w:val="1214"/>
                <w:rFonts w:hint="eastAsia" w:ascii="仿宋" w:hAnsi="仿宋" w:eastAsia="仿宋" w:cs="仿宋"/>
                <w:sz w:val="24"/>
                <w:highlight w:val="none"/>
              </w:rPr>
            </w:pPr>
            <w:r>
              <w:rPr>
                <w:rFonts w:hint="eastAsia" w:ascii="仿宋" w:hAnsi="仿宋" w:eastAsia="仿宋" w:cs="仿宋"/>
                <w:sz w:val="24"/>
                <w:highlight w:val="none"/>
              </w:rPr>
            </w:r>
            <w:r/>
          </w:p>
          <w:p>
            <w:pPr>
              <w:jc w:val="center"/>
              <w:spacing w:line="360" w:lineRule="auto"/>
              <w:rPr>
                <w:rStyle w:val="1214"/>
                <w:rFonts w:hint="eastAsia" w:ascii="仿宋" w:hAnsi="仿宋" w:eastAsia="仿宋" w:cs="仿宋"/>
                <w:sz w:val="24"/>
                <w:highlight w:val="none"/>
              </w:rPr>
            </w:pPr>
            <w:r>
              <w:rPr>
                <w:rFonts w:hint="eastAsia" w:ascii="仿宋" w:hAnsi="仿宋" w:eastAsia="仿宋" w:cs="仿宋"/>
                <w:sz w:val="24"/>
                <w:highlight w:val="none"/>
              </w:rPr>
            </w:r>
            <w:r/>
          </w:p>
          <w:p>
            <w:pPr>
              <w:jc w:val="center"/>
              <w:spacing w:line="360" w:lineRule="auto"/>
              <w:rPr>
                <w:rStyle w:val="1214"/>
                <w:rFonts w:hint="eastAsia" w:ascii="仿宋" w:hAnsi="仿宋" w:eastAsia="仿宋" w:cs="仿宋"/>
                <w:sz w:val="24"/>
                <w:highlight w:val="none"/>
              </w:rPr>
            </w:pPr>
            <w:r>
              <w:rPr>
                <w:rStyle w:val="1214"/>
                <w:rFonts w:hint="eastAsia" w:ascii="仿宋" w:hAnsi="仿宋" w:eastAsia="仿宋" w:cs="仿宋"/>
                <w:sz w:val="24"/>
                <w:highlight w:val="none"/>
              </w:rPr>
              <w:t xml:space="preserve">（大写）</w:t>
            </w:r>
            <w:r>
              <w:rPr>
                <w:rStyle w:val="1214"/>
                <w:rFonts w:hint="eastAsia" w:ascii="仿宋" w:hAnsi="仿宋" w:eastAsia="仿宋" w:cs="仿宋"/>
                <w:sz w:val="24"/>
                <w:highlight w:val="none"/>
                <w:u w:val="single"/>
              </w:rPr>
              <w:t xml:space="preserve">      </w:t>
            </w:r>
            <w:r>
              <w:rPr>
                <w:rStyle w:val="1214"/>
                <w:rFonts w:hint="eastAsia" w:ascii="仿宋" w:hAnsi="仿宋" w:eastAsia="仿宋" w:cs="仿宋"/>
                <w:sz w:val="24"/>
                <w:highlight w:val="none"/>
              </w:rPr>
              <w:t xml:space="preserve">元/年</w:t>
            </w:r>
            <w:r/>
          </w:p>
          <w:p>
            <w:pPr>
              <w:jc w:val="center"/>
              <w:spacing w:line="360" w:lineRule="auto"/>
              <w:rPr>
                <w:rStyle w:val="1214"/>
                <w:rFonts w:hint="eastAsia" w:ascii="仿宋" w:hAnsi="仿宋" w:eastAsia="仿宋" w:cs="仿宋"/>
                <w:sz w:val="24"/>
                <w:highlight w:val="none"/>
              </w:rPr>
            </w:pPr>
            <w:r>
              <w:rPr>
                <w:rStyle w:val="1214"/>
                <w:rFonts w:hint="eastAsia" w:ascii="仿宋" w:hAnsi="仿宋" w:eastAsia="仿宋" w:cs="仿宋"/>
                <w:sz w:val="24"/>
                <w:highlight w:val="none"/>
              </w:rPr>
              <w:t xml:space="preserve">（小写）</w:t>
            </w:r>
            <w:r>
              <w:rPr>
                <w:rStyle w:val="1214"/>
                <w:rFonts w:hint="eastAsia" w:ascii="仿宋" w:hAnsi="仿宋" w:eastAsia="仿宋" w:cs="仿宋"/>
                <w:sz w:val="24"/>
                <w:highlight w:val="none"/>
                <w:u w:val="single"/>
              </w:rPr>
              <w:t xml:space="preserve">      </w:t>
            </w:r>
            <w:r>
              <w:rPr>
                <w:rStyle w:val="1214"/>
                <w:rFonts w:hint="eastAsia" w:ascii="仿宋" w:hAnsi="仿宋" w:eastAsia="仿宋" w:cs="仿宋"/>
                <w:sz w:val="24"/>
                <w:highlight w:val="none"/>
              </w:rPr>
              <w:t xml:space="preserve">元/年</w:t>
            </w:r>
            <w:r/>
          </w:p>
          <w:p>
            <w:pPr>
              <w:pStyle w:val="845"/>
              <w:rPr>
                <w:highlight w:val="none"/>
              </w:rPr>
            </w:pPr>
            <w:r>
              <w:rPr>
                <w:highlight w:val="none"/>
              </w:rPr>
            </w:r>
            <w:r/>
          </w:p>
          <w:p>
            <w:pPr>
              <w:jc w:val="center"/>
              <w:spacing w:line="360" w:lineRule="auto"/>
              <w:rPr>
                <w:rStyle w:val="1214"/>
                <w:rFonts w:hint="eastAsia" w:ascii="仿宋" w:hAnsi="仿宋" w:eastAsia="仿宋" w:cs="仿宋"/>
                <w:sz w:val="24"/>
                <w:highlight w:val="none"/>
              </w:rPr>
            </w:pPr>
            <w:r>
              <w:rPr>
                <w:rStyle w:val="1214"/>
                <w:rFonts w:hint="eastAsia" w:ascii="仿宋" w:hAnsi="仿宋" w:eastAsia="仿宋" w:cs="仿宋"/>
                <w:sz w:val="24"/>
                <w:highlight w:val="none"/>
              </w:rPr>
              <w:t xml:space="preserve">（大写）</w:t>
            </w:r>
            <w:r>
              <w:rPr>
                <w:rStyle w:val="1214"/>
                <w:rFonts w:hint="eastAsia" w:ascii="仿宋" w:hAnsi="仿宋" w:eastAsia="仿宋" w:cs="仿宋"/>
                <w:sz w:val="24"/>
                <w:highlight w:val="none"/>
                <w:u w:val="single"/>
              </w:rPr>
              <w:t xml:space="preserve">      </w:t>
            </w:r>
            <w:r>
              <w:rPr>
                <w:rStyle w:val="1214"/>
                <w:rFonts w:hint="eastAsia" w:ascii="仿宋" w:hAnsi="仿宋" w:eastAsia="仿宋" w:cs="仿宋"/>
                <w:sz w:val="24"/>
                <w:highlight w:val="none"/>
              </w:rPr>
              <w:t xml:space="preserve">元/3年</w:t>
            </w:r>
            <w:r/>
          </w:p>
          <w:p>
            <w:pPr>
              <w:jc w:val="center"/>
              <w:spacing w:line="360" w:lineRule="auto"/>
              <w:rPr>
                <w:highlight w:val="none"/>
              </w:rPr>
            </w:pPr>
            <w:r>
              <w:rPr>
                <w:rStyle w:val="1214"/>
                <w:rFonts w:hint="eastAsia" w:ascii="仿宋" w:hAnsi="仿宋" w:eastAsia="仿宋" w:cs="仿宋"/>
                <w:sz w:val="24"/>
                <w:highlight w:val="none"/>
              </w:rPr>
              <w:t xml:space="preserve">（小写）</w:t>
            </w:r>
            <w:r>
              <w:rPr>
                <w:rStyle w:val="1214"/>
                <w:rFonts w:hint="eastAsia" w:ascii="仿宋" w:hAnsi="仿宋" w:eastAsia="仿宋" w:cs="仿宋"/>
                <w:sz w:val="24"/>
                <w:highlight w:val="none"/>
                <w:u w:val="single"/>
              </w:rPr>
              <w:t xml:space="preserve">      </w:t>
            </w:r>
            <w:r>
              <w:rPr>
                <w:rStyle w:val="1214"/>
                <w:rFonts w:hint="eastAsia" w:ascii="仿宋" w:hAnsi="仿宋" w:eastAsia="仿宋" w:cs="仿宋"/>
                <w:sz w:val="24"/>
                <w:highlight w:val="none"/>
              </w:rPr>
              <w:t xml:space="preserve">元/3年</w:t>
            </w:r>
            <w:r/>
          </w:p>
          <w:p>
            <w:pPr>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4" w:space="0"/>
              <w:left w:val="single" w:color="auto" w:sz="4" w:space="0"/>
              <w:right w:val="single" w:color="auto" w:sz="4" w:space="0"/>
            </w:tcBorders>
            <w:tcW w:w="4351" w:type="dxa"/>
            <w:vAlign w:val="center"/>
            <w:textDirection w:val="lrTb"/>
            <w:noWrap w:val="false"/>
          </w:tcPr>
          <w:p>
            <w:pPr>
              <w:spacing w:line="360" w:lineRule="auto"/>
              <w:rPr>
                <w:rStyle w:val="1214"/>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jc w:val="center"/>
          <w:trHeight w:val="454"/>
        </w:trPr>
        <w:tc>
          <w:tcPr>
            <w:tcBorders>
              <w:right w:val="single" w:color="auto" w:sz="4" w:space="0"/>
            </w:tcBorders>
            <w:tcW w:w="4268" w:type="dxa"/>
            <w:vAlign w:val="center"/>
            <w:textDirection w:val="lrTb"/>
            <w:noWrap w:val="false"/>
          </w:tcPr>
          <w:p>
            <w:pPr>
              <w:jc w:val="center"/>
              <w:rPr>
                <w:rStyle w:val="1214"/>
                <w:rFonts w:hint="eastAsia" w:ascii="仿宋" w:hAnsi="仿宋" w:eastAsia="仿宋" w:cs="仿宋"/>
                <w:sz w:val="24"/>
                <w:highlight w:val="none"/>
              </w:rPr>
            </w:pPr>
            <w:r>
              <w:rPr>
                <w:rStyle w:val="1214"/>
                <w:rFonts w:hint="eastAsia" w:ascii="仿宋" w:hAnsi="仿宋" w:eastAsia="仿宋" w:cs="仿宋"/>
                <w:sz w:val="24"/>
                <w:highlight w:val="none"/>
              </w:rPr>
              <w:t xml:space="preserve">合同履行期限</w:t>
            </w:r>
            <w:r/>
          </w:p>
        </w:tc>
        <w:tc>
          <w:tcPr>
            <w:tcBorders>
              <w:left w:val="single" w:color="auto" w:sz="4" w:space="0"/>
            </w:tcBorders>
            <w:tcW w:w="4351" w:type="dxa"/>
            <w:vAlign w:val="center"/>
            <w:textDirection w:val="lrTb"/>
            <w:noWrap w:val="false"/>
          </w:tcPr>
          <w:p>
            <w:pPr>
              <w:jc w:val="center"/>
              <w:rPr>
                <w:rStyle w:val="1214"/>
                <w:rFonts w:hint="eastAsia" w:ascii="仿宋" w:hAnsi="仿宋" w:eastAsia="仿宋" w:cs="仿宋"/>
                <w:sz w:val="24"/>
                <w:highlight w:val="none"/>
              </w:rPr>
            </w:pPr>
            <w:r>
              <w:rPr>
                <w:rStyle w:val="1214"/>
                <w:rFonts w:hint="eastAsia" w:ascii="仿宋" w:hAnsi="仿宋" w:eastAsia="仿宋" w:cs="仿宋"/>
                <w:sz w:val="24"/>
                <w:highlight w:val="none"/>
              </w:rPr>
              <w:t xml:space="preserve">三年</w:t>
            </w:r>
            <w:r/>
          </w:p>
        </w:tc>
      </w:tr>
      <w:tr>
        <w:trPr>
          <w:jc w:val="center"/>
          <w:trHeight w:val="454"/>
        </w:trPr>
        <w:tc>
          <w:tcPr>
            <w:tcBorders>
              <w:right w:val="single" w:color="auto" w:sz="4" w:space="0"/>
            </w:tcBorders>
            <w:tcW w:w="4268" w:type="dxa"/>
            <w:vAlign w:val="center"/>
            <w:textDirection w:val="lrTb"/>
            <w:noWrap w:val="false"/>
          </w:tcPr>
          <w:p>
            <w:pPr>
              <w:jc w:val="center"/>
              <w:rPr>
                <w:rStyle w:val="1214"/>
                <w:rFonts w:hint="eastAsia" w:ascii="仿宋" w:hAnsi="仿宋" w:eastAsia="仿宋" w:cs="仿宋"/>
                <w:sz w:val="24"/>
                <w:highlight w:val="none"/>
                <w:lang w:val="zh-CN"/>
              </w:rPr>
            </w:pPr>
            <w:r>
              <w:rPr>
                <w:rStyle w:val="1214"/>
                <w:rFonts w:hint="eastAsia" w:ascii="仿宋" w:hAnsi="仿宋" w:eastAsia="仿宋" w:cs="仿宋"/>
                <w:sz w:val="24"/>
                <w:highlight w:val="none"/>
              </w:rPr>
              <w:t xml:space="preserve">投标人</w:t>
            </w:r>
            <w:r>
              <w:rPr>
                <w:rStyle w:val="1214"/>
                <w:rFonts w:hint="eastAsia" w:ascii="仿宋" w:hAnsi="仿宋" w:eastAsia="仿宋" w:cs="仿宋"/>
                <w:sz w:val="24"/>
                <w:highlight w:val="none"/>
                <w:lang w:val="zh-CN"/>
              </w:rPr>
              <w:t xml:space="preserve">是否属于小微型企业</w:t>
            </w:r>
            <w:r/>
          </w:p>
        </w:tc>
        <w:tc>
          <w:tcPr>
            <w:tcBorders>
              <w:left w:val="single" w:color="auto" w:sz="4" w:space="0"/>
            </w:tcBorders>
            <w:tcW w:w="4351" w:type="dxa"/>
            <w:vAlign w:val="center"/>
            <w:textDirection w:val="lrTb"/>
            <w:noWrap w:val="false"/>
          </w:tcPr>
          <w:p>
            <w:pPr>
              <w:rPr>
                <w:rStyle w:val="1214"/>
                <w:rFonts w:hint="eastAsia" w:ascii="仿宋" w:hAnsi="仿宋" w:eastAsia="仿宋" w:cs="仿宋"/>
                <w:sz w:val="24"/>
                <w:highlight w:val="none"/>
                <w:lang w:val="zh-CN"/>
              </w:rPr>
            </w:pPr>
            <w:r>
              <w:rPr>
                <w:rStyle w:val="1214"/>
                <w:rFonts w:hint="eastAsia" w:ascii="仿宋" w:hAnsi="仿宋" w:eastAsia="仿宋" w:cs="仿宋"/>
                <w:sz w:val="24"/>
                <w:highlight w:val="none"/>
                <w:lang w:val="zh-CN"/>
              </w:rPr>
              <w:t xml:space="preserve">是    否</w:t>
            </w:r>
            <w:r/>
          </w:p>
        </w:tc>
      </w:tr>
      <w:tr>
        <w:trPr>
          <w:jc w:val="center"/>
          <w:trHeight w:val="454"/>
        </w:trPr>
        <w:tc>
          <w:tcPr>
            <w:tcBorders>
              <w:right w:val="single" w:color="auto" w:sz="4" w:space="0"/>
            </w:tcBorders>
            <w:tcW w:w="4268" w:type="dxa"/>
            <w:vAlign w:val="center"/>
            <w:textDirection w:val="lrTb"/>
            <w:noWrap w:val="false"/>
          </w:tcPr>
          <w:p>
            <w:pPr>
              <w:jc w:val="center"/>
              <w:rPr>
                <w:rStyle w:val="1214"/>
                <w:rFonts w:hint="eastAsia" w:ascii="仿宋" w:hAnsi="仿宋" w:eastAsia="仿宋" w:cs="仿宋"/>
                <w:sz w:val="24"/>
                <w:highlight w:val="none"/>
                <w:lang w:val="zh-CN"/>
              </w:rPr>
            </w:pPr>
            <w:r>
              <w:rPr>
                <w:rStyle w:val="1214"/>
                <w:rFonts w:hint="eastAsia" w:ascii="仿宋" w:hAnsi="仿宋" w:eastAsia="仿宋" w:cs="仿宋"/>
                <w:sz w:val="24"/>
                <w:highlight w:val="none"/>
              </w:rPr>
              <w:t xml:space="preserve">投标人</w:t>
            </w:r>
            <w:r>
              <w:rPr>
                <w:rStyle w:val="1214"/>
                <w:rFonts w:hint="eastAsia" w:ascii="仿宋" w:hAnsi="仿宋" w:eastAsia="仿宋" w:cs="仿宋"/>
                <w:sz w:val="24"/>
                <w:highlight w:val="none"/>
                <w:lang w:val="zh-CN"/>
              </w:rPr>
              <w:t xml:space="preserve">是否属于</w:t>
            </w:r>
            <w:r>
              <w:rPr>
                <w:rFonts w:hint="eastAsia" w:ascii="仿宋" w:hAnsi="仿宋" w:eastAsia="仿宋" w:cs="仿宋"/>
                <w:sz w:val="24"/>
                <w:highlight w:val="none"/>
                <w:lang w:val="zh-CN"/>
              </w:rPr>
              <w:t xml:space="preserve">残疾人福利性单位</w:t>
            </w:r>
            <w:r/>
          </w:p>
        </w:tc>
        <w:tc>
          <w:tcPr>
            <w:tcBorders>
              <w:left w:val="single" w:color="auto" w:sz="4" w:space="0"/>
            </w:tcBorders>
            <w:tcW w:w="4351" w:type="dxa"/>
            <w:vAlign w:val="center"/>
            <w:textDirection w:val="lrTb"/>
            <w:noWrap w:val="false"/>
          </w:tcPr>
          <w:p>
            <w:pPr>
              <w:rPr>
                <w:rStyle w:val="1214"/>
                <w:rFonts w:hint="eastAsia" w:ascii="仿宋" w:hAnsi="仿宋" w:eastAsia="仿宋" w:cs="仿宋"/>
                <w:sz w:val="24"/>
                <w:highlight w:val="none"/>
                <w:lang w:val="zh-CN"/>
              </w:rPr>
            </w:pPr>
            <w:r>
              <w:rPr>
                <w:rStyle w:val="1214"/>
                <w:rFonts w:hint="eastAsia" w:ascii="仿宋" w:hAnsi="仿宋" w:eastAsia="仿宋" w:cs="仿宋"/>
                <w:sz w:val="24"/>
                <w:highlight w:val="none"/>
                <w:lang w:val="zh-CN"/>
              </w:rPr>
              <w:t xml:space="preserve">是    否</w:t>
            </w:r>
            <w:r/>
          </w:p>
        </w:tc>
      </w:tr>
      <w:tr>
        <w:trPr>
          <w:jc w:val="center"/>
          <w:trHeight w:val="454"/>
        </w:trPr>
        <w:tc>
          <w:tcPr>
            <w:tcBorders>
              <w:right w:val="single" w:color="auto" w:sz="4" w:space="0"/>
            </w:tcBorders>
            <w:tcW w:w="4268" w:type="dxa"/>
            <w:vAlign w:val="center"/>
            <w:textDirection w:val="lrTb"/>
            <w:noWrap w:val="false"/>
          </w:tcPr>
          <w:p>
            <w:pPr>
              <w:jc w:val="center"/>
              <w:rPr>
                <w:rStyle w:val="1214"/>
                <w:rFonts w:hint="eastAsia" w:ascii="仿宋" w:hAnsi="仿宋" w:eastAsia="仿宋" w:cs="仿宋"/>
                <w:sz w:val="24"/>
                <w:highlight w:val="none"/>
                <w:lang w:val="zh-CN"/>
              </w:rPr>
            </w:pPr>
            <w:r>
              <w:rPr>
                <w:rStyle w:val="1214"/>
                <w:rFonts w:hint="eastAsia" w:ascii="仿宋" w:hAnsi="仿宋" w:eastAsia="仿宋" w:cs="仿宋"/>
                <w:sz w:val="24"/>
                <w:highlight w:val="none"/>
              </w:rPr>
              <w:t xml:space="preserve">投标人</w:t>
            </w:r>
            <w:r>
              <w:rPr>
                <w:rStyle w:val="1214"/>
                <w:rFonts w:hint="eastAsia" w:ascii="仿宋" w:hAnsi="仿宋" w:eastAsia="仿宋" w:cs="仿宋"/>
                <w:sz w:val="24"/>
                <w:highlight w:val="none"/>
                <w:lang w:val="zh-CN"/>
              </w:rPr>
              <w:t xml:space="preserve">是否属于</w:t>
            </w:r>
            <w:r>
              <w:rPr>
                <w:rFonts w:hint="eastAsia" w:ascii="仿宋" w:hAnsi="仿宋" w:eastAsia="仿宋" w:cs="仿宋"/>
                <w:sz w:val="24"/>
                <w:highlight w:val="none"/>
                <w:lang w:val="zh-CN"/>
              </w:rPr>
              <w:t xml:space="preserve">监狱企业</w:t>
            </w:r>
            <w:r/>
          </w:p>
        </w:tc>
        <w:tc>
          <w:tcPr>
            <w:tcBorders>
              <w:left w:val="single" w:color="auto" w:sz="4" w:space="0"/>
            </w:tcBorders>
            <w:tcW w:w="4351" w:type="dxa"/>
            <w:vAlign w:val="center"/>
            <w:textDirection w:val="lrTb"/>
            <w:noWrap w:val="false"/>
          </w:tcPr>
          <w:p>
            <w:pPr>
              <w:rPr>
                <w:rStyle w:val="1214"/>
                <w:rFonts w:hint="eastAsia" w:ascii="仿宋" w:hAnsi="仿宋" w:eastAsia="仿宋" w:cs="仿宋"/>
                <w:sz w:val="24"/>
                <w:highlight w:val="none"/>
                <w:lang w:val="zh-CN"/>
              </w:rPr>
            </w:pPr>
            <w:r>
              <w:rPr>
                <w:rStyle w:val="1214"/>
                <w:rFonts w:hint="eastAsia" w:ascii="仿宋" w:hAnsi="仿宋" w:eastAsia="仿宋" w:cs="仿宋"/>
                <w:sz w:val="24"/>
                <w:highlight w:val="none"/>
                <w:lang w:val="zh-CN"/>
              </w:rPr>
              <w:t xml:space="preserve">是    否</w:t>
            </w:r>
            <w:r/>
          </w:p>
        </w:tc>
      </w:tr>
    </w:tbl>
    <w:p>
      <w:pPr>
        <w:pStyle w:val="837"/>
        <w:rPr>
          <w:rFonts w:hint="eastAsia" w:ascii="仿宋" w:hAnsi="仿宋" w:eastAsia="仿宋" w:cs="仿宋"/>
          <w:highlight w:val="none"/>
        </w:rPr>
      </w:pPr>
      <w:r>
        <w:rPr>
          <w:rFonts w:hint="eastAsia" w:ascii="仿宋" w:hAnsi="仿宋" w:eastAsia="仿宋" w:cs="仿宋"/>
          <w:highlight w:val="none"/>
        </w:rPr>
      </w:r>
      <w:r/>
    </w:p>
    <w:p>
      <w:pPr>
        <w:ind w:firstLine="480"/>
        <w:jc w:val="right"/>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rPr>
        <w:t xml:space="preserve">投标单位</w:t>
      </w:r>
      <w:r>
        <w:rPr>
          <w:rFonts w:hint="eastAsia" w:ascii="仿宋" w:hAnsi="仿宋" w:eastAsia="仿宋" w:cs="仿宋"/>
          <w:sz w:val="24"/>
          <w:highlight w:val="none"/>
          <w:lang w:val="zh-CN"/>
        </w:rPr>
        <w:t xml:space="preserve">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加盖电子公章</w:t>
      </w:r>
      <w:r>
        <w:rPr>
          <w:rFonts w:hint="eastAsia" w:ascii="仿宋" w:hAnsi="仿宋" w:eastAsia="仿宋" w:cs="仿宋"/>
          <w:sz w:val="24"/>
          <w:highlight w:val="none"/>
          <w:lang w:val="zh-CN"/>
        </w:rPr>
        <w:t xml:space="preserve">）</w:t>
      </w:r>
      <w:r/>
    </w:p>
    <w:p>
      <w:pPr>
        <w:ind w:firstLine="480"/>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日期：  年  月  日</w:t>
      </w:r>
      <w:r/>
    </w:p>
    <w:p>
      <w:pPr>
        <w:pStyle w:val="828"/>
        <w:keepLines w:val="0"/>
        <w:spacing w:before="0" w:after="240" w:line="360" w:lineRule="auto"/>
        <w:tabs>
          <w:tab w:val="left" w:pos="1440" w:leader="none"/>
          <w:tab w:val="left" w:pos="5670" w:leader="none"/>
        </w:tabs>
        <w:rPr>
          <w:rFonts w:hint="eastAsia" w:ascii="仿宋" w:hAnsi="仿宋" w:eastAsia="仿宋" w:cs="仿宋"/>
          <w:sz w:val="24"/>
          <w:szCs w:val="24"/>
          <w:highlight w:val="none"/>
        </w:rPr>
        <w:sectPr>
          <w:footnotePr/>
          <w:endnotePr/>
          <w:type w:val="nextPage"/>
          <w:pgSz w:w="11906" w:h="16838" w:orient="portrait"/>
          <w:pgMar w:top="1440" w:right="1797" w:bottom="1440" w:left="1599" w:header="851" w:footer="992" w:gutter="0"/>
          <w:cols w:num="1" w:sep="0" w:space="720" w:equalWidth="1"/>
          <w:docGrid w:linePitch="360"/>
          <w:titlePg/>
        </w:sectPr>
      </w:pPr>
      <w:r>
        <w:rPr>
          <w:rFonts w:hint="eastAsia" w:ascii="仿宋" w:hAnsi="仿宋" w:eastAsia="仿宋" w:cs="仿宋"/>
          <w:sz w:val="24"/>
          <w:szCs w:val="24"/>
          <w:highlight w:val="none"/>
        </w:rPr>
      </w:r>
      <w:r/>
    </w:p>
    <w:p>
      <w:pPr>
        <w:pStyle w:val="828"/>
        <w:numPr>
          <w:ilvl w:val="2"/>
          <w:numId w:val="0"/>
        </w:numPr>
        <w:keepLines w:val="0"/>
        <w:spacing w:before="0" w:after="240" w:line="360" w:lineRule="auto"/>
        <w:tabs>
          <w:tab w:val="left" w:pos="1440" w:leader="none"/>
          <w:tab w:val="left" w:pos="5670" w:leader="none"/>
        </w:tabs>
        <w:rPr>
          <w:rFonts w:hint="eastAsia" w:ascii="仿宋" w:hAnsi="仿宋" w:eastAsia="仿宋" w:cs="仿宋"/>
          <w:sz w:val="24"/>
          <w:szCs w:val="24"/>
          <w:highlight w:val="none"/>
        </w:rPr>
      </w:pPr>
      <w:r/>
      <w:bookmarkStart w:id="182" w:name="_Toc5564"/>
      <w:r>
        <w:rPr>
          <w:rFonts w:hint="eastAsia" w:ascii="仿宋" w:hAnsi="仿宋" w:eastAsia="仿宋" w:cs="仿宋"/>
          <w:sz w:val="24"/>
          <w:szCs w:val="24"/>
          <w:highlight w:val="none"/>
        </w:rPr>
        <w:t xml:space="preserve">5、分项报价表</w:t>
      </w:r>
      <w:bookmarkEnd w:id="175"/>
      <w:r/>
      <w:bookmarkEnd w:id="176"/>
      <w:r/>
      <w:bookmarkEnd w:id="177"/>
      <w:r/>
      <w:bookmarkEnd w:id="182"/>
      <w:r/>
      <w:bookmarkEnd w:id="174"/>
      <w:bookmarkEnd w:id="178"/>
      <w:bookmarkEnd w:id="179"/>
      <w:r/>
    </w:p>
    <w:p>
      <w:pPr>
        <w:jc w:val="center"/>
        <w:spacing w:line="360" w:lineRule="auto"/>
        <w:shd w:val="clear" w:color="auto" w:fill="ffffff"/>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分项报价表（参考，可自拟）</w:t>
      </w:r>
      <w:r/>
    </w:p>
    <w:p>
      <w:pPr>
        <w:jc w:val="left"/>
        <w:rPr>
          <w:rFonts w:hint="eastAsia" w:ascii="仿宋" w:hAnsi="仿宋" w:eastAsia="仿宋" w:cs="仿宋"/>
          <w:bCs/>
          <w:sz w:val="24"/>
          <w:highlight w:val="none"/>
        </w:rPr>
      </w:pPr>
      <w:r>
        <w:rPr>
          <w:rFonts w:hint="eastAsia" w:ascii="仿宋" w:hAnsi="仿宋" w:eastAsia="仿宋" w:cs="仿宋"/>
          <w:bCs/>
          <w:sz w:val="24"/>
          <w:highlight w:val="none"/>
        </w:rPr>
        <w:t xml:space="preserve">项目名称：中共南京市雨花台区委党校2025年客房、餐饮服务                     项目编号：JSZC-320114-YCGC-G2024-0070</w:t>
      </w:r>
      <w:r/>
    </w:p>
    <w:tbl>
      <w:tblPr>
        <w:tblStyle w:val="836"/>
        <w:tblW w:w="83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5"/>
        <w:gridCol w:w="2038"/>
        <w:gridCol w:w="1320"/>
        <w:gridCol w:w="1417"/>
        <w:gridCol w:w="1726"/>
        <w:gridCol w:w="1134"/>
      </w:tblGrid>
      <w:tr>
        <w:trPr>
          <w:jc w:val="center"/>
          <w:trHeight w:val="483"/>
        </w:trPr>
        <w:tc>
          <w:tcPr>
            <w:tcW w:w="665" w:type="dxa"/>
            <w:vAlign w:val="center"/>
            <w:textDirection w:val="lrTb"/>
            <w:noWrap w:val="false"/>
          </w:tcPr>
          <w:p>
            <w:pPr>
              <w:pStyle w:val="1230"/>
              <w:ind w:left="144"/>
              <w:spacing w:before="138"/>
              <w:rPr>
                <w:rFonts w:hint="eastAsia" w:ascii="仿宋" w:hAnsi="仿宋" w:eastAsia="仿宋" w:cs="仿宋"/>
                <w:szCs w:val="21"/>
                <w:highlight w:val="none"/>
              </w:rPr>
            </w:pPr>
            <w:r>
              <w:rPr>
                <w:rFonts w:hint="eastAsia" w:ascii="仿宋" w:hAnsi="仿宋" w:eastAsia="仿宋" w:cs="仿宋"/>
                <w:szCs w:val="21"/>
                <w:highlight w:val="none"/>
              </w:rPr>
              <w:t xml:space="preserve">序号</w:t>
            </w:r>
            <w:r/>
          </w:p>
        </w:tc>
        <w:tc>
          <w:tcPr>
            <w:tcW w:w="2038" w:type="dxa"/>
            <w:vAlign w:val="center"/>
            <w:textDirection w:val="lrTb"/>
            <w:noWrap w:val="false"/>
          </w:tcPr>
          <w:p>
            <w:pPr>
              <w:pStyle w:val="1230"/>
              <w:ind w:right="1177"/>
              <w:spacing w:before="138"/>
              <w:rPr>
                <w:rFonts w:hint="eastAsia" w:ascii="仿宋" w:hAnsi="仿宋" w:eastAsia="仿宋" w:cs="仿宋"/>
                <w:szCs w:val="21"/>
                <w:highlight w:val="none"/>
              </w:rPr>
            </w:pPr>
            <w:r>
              <w:rPr>
                <w:rFonts w:hint="eastAsia" w:ascii="仿宋" w:hAnsi="仿宋" w:eastAsia="仿宋" w:cs="仿宋"/>
                <w:szCs w:val="21"/>
                <w:highlight w:val="none"/>
              </w:rPr>
              <w:t xml:space="preserve">名称</w:t>
            </w:r>
            <w:r/>
          </w:p>
        </w:tc>
        <w:tc>
          <w:tcPr>
            <w:tcW w:w="1320" w:type="dxa"/>
            <w:vAlign w:val="center"/>
            <w:textDirection w:val="lrTb"/>
            <w:noWrap w:val="false"/>
          </w:tcPr>
          <w:p>
            <w:pPr>
              <w:pStyle w:val="1230"/>
              <w:spacing w:before="138"/>
              <w:rPr>
                <w:rFonts w:hint="eastAsia" w:ascii="仿宋" w:hAnsi="仿宋" w:eastAsia="仿宋" w:cs="仿宋"/>
                <w:szCs w:val="21"/>
                <w:highlight w:val="none"/>
              </w:rPr>
            </w:pPr>
            <w:r>
              <w:rPr>
                <w:rFonts w:hint="eastAsia" w:ascii="仿宋" w:hAnsi="仿宋" w:eastAsia="仿宋" w:cs="仿宋"/>
                <w:szCs w:val="21"/>
                <w:highlight w:val="none"/>
              </w:rPr>
              <w:t xml:space="preserve">月费用（元）</w:t>
            </w:r>
            <w:r/>
          </w:p>
        </w:tc>
        <w:tc>
          <w:tcPr>
            <w:tcW w:w="1417" w:type="dxa"/>
            <w:vAlign w:val="center"/>
            <w:textDirection w:val="lrTb"/>
            <w:noWrap w:val="false"/>
          </w:tcPr>
          <w:p>
            <w:pPr>
              <w:pStyle w:val="1230"/>
              <w:ind w:left="41"/>
              <w:spacing w:before="138"/>
              <w:rPr>
                <w:rFonts w:hint="eastAsia" w:ascii="仿宋" w:hAnsi="仿宋" w:eastAsia="仿宋" w:cs="仿宋"/>
                <w:szCs w:val="21"/>
                <w:highlight w:val="none"/>
              </w:rPr>
            </w:pPr>
            <w:r>
              <w:rPr>
                <w:rFonts w:hint="eastAsia" w:ascii="仿宋" w:hAnsi="仿宋" w:eastAsia="仿宋" w:cs="仿宋"/>
                <w:szCs w:val="21"/>
                <w:highlight w:val="none"/>
              </w:rPr>
              <w:t xml:space="preserve">3年费用（元）</w:t>
            </w:r>
            <w:r/>
          </w:p>
        </w:tc>
        <w:tc>
          <w:tcPr>
            <w:tcW w:w="1726" w:type="dxa"/>
            <w:vAlign w:val="center"/>
            <w:textDirection w:val="lrTb"/>
            <w:noWrap w:val="false"/>
          </w:tcPr>
          <w:p>
            <w:pPr>
              <w:pStyle w:val="1230"/>
              <w:ind w:left="41"/>
              <w:spacing w:before="138"/>
              <w:rPr>
                <w:rFonts w:hint="eastAsia" w:ascii="仿宋" w:hAnsi="仿宋" w:eastAsia="仿宋" w:cs="仿宋"/>
                <w:szCs w:val="21"/>
                <w:highlight w:val="none"/>
              </w:rPr>
            </w:pPr>
            <w:r>
              <w:rPr>
                <w:rFonts w:hint="eastAsia" w:ascii="仿宋" w:hAnsi="仿宋" w:eastAsia="仿宋" w:cs="仿宋"/>
                <w:szCs w:val="21"/>
                <w:highlight w:val="none"/>
              </w:rPr>
              <w:t xml:space="preserve">合价（元）</w:t>
            </w:r>
            <w:r/>
          </w:p>
        </w:tc>
        <w:tc>
          <w:tcPr>
            <w:tcW w:w="1134" w:type="dxa"/>
            <w:vAlign w:val="center"/>
            <w:textDirection w:val="lrTb"/>
            <w:noWrap w:val="false"/>
          </w:tcPr>
          <w:p>
            <w:pPr>
              <w:pStyle w:val="1230"/>
              <w:ind w:left="307" w:right="286"/>
              <w:spacing w:before="4" w:line="250" w:lineRule="exact"/>
              <w:rPr>
                <w:rFonts w:hint="eastAsia" w:ascii="仿宋" w:hAnsi="仿宋" w:eastAsia="仿宋" w:cs="仿宋"/>
                <w:szCs w:val="21"/>
                <w:highlight w:val="none"/>
              </w:rPr>
            </w:pPr>
            <w:r>
              <w:rPr>
                <w:rFonts w:hint="eastAsia" w:ascii="仿宋" w:hAnsi="仿宋" w:eastAsia="仿宋" w:cs="仿宋"/>
                <w:szCs w:val="21"/>
                <w:highlight w:val="none"/>
              </w:rPr>
              <w:t xml:space="preserve">备注</w:t>
            </w:r>
            <w:r/>
          </w:p>
        </w:tc>
      </w:tr>
      <w:tr>
        <w:trPr>
          <w:jc w:val="center"/>
          <w:trHeight w:val="548"/>
        </w:trPr>
        <w:tc>
          <w:tcPr>
            <w:tcW w:w="665"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t xml:space="preserve">1</w:t>
            </w:r>
            <w:r/>
          </w:p>
        </w:tc>
        <w:tc>
          <w:tcPr>
            <w:tcW w:w="2038"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320"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417"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726"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134"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557"/>
        </w:trPr>
        <w:tc>
          <w:tcPr>
            <w:tcW w:w="665"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t xml:space="preserve">2</w:t>
            </w:r>
            <w:r/>
          </w:p>
        </w:tc>
        <w:tc>
          <w:tcPr>
            <w:tcW w:w="2038"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320"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417"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726"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134"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564"/>
        </w:trPr>
        <w:tc>
          <w:tcPr>
            <w:tcW w:w="665"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t xml:space="preserve">3</w:t>
            </w:r>
            <w:r/>
          </w:p>
        </w:tc>
        <w:tc>
          <w:tcPr>
            <w:tcW w:w="2038"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320"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417"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726"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134"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558"/>
        </w:trPr>
        <w:tc>
          <w:tcPr>
            <w:tcW w:w="665"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t xml:space="preserve">4</w:t>
            </w:r>
            <w:r/>
          </w:p>
        </w:tc>
        <w:tc>
          <w:tcPr>
            <w:tcW w:w="2038"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320"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417"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726"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134"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553"/>
        </w:trPr>
        <w:tc>
          <w:tcPr>
            <w:tcW w:w="665"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t xml:space="preserve">5</w:t>
            </w:r>
            <w:r/>
          </w:p>
        </w:tc>
        <w:tc>
          <w:tcPr>
            <w:tcW w:w="2038"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320"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417"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726"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134"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561"/>
        </w:trPr>
        <w:tc>
          <w:tcPr>
            <w:tcW w:w="665"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t xml:space="preserve">6</w:t>
            </w:r>
            <w:r/>
          </w:p>
        </w:tc>
        <w:tc>
          <w:tcPr>
            <w:tcW w:w="2038"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320"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417"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726"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134"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555"/>
        </w:trPr>
        <w:tc>
          <w:tcPr>
            <w:tcW w:w="665"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t xml:space="preserve">7</w:t>
            </w:r>
            <w:r/>
          </w:p>
        </w:tc>
        <w:tc>
          <w:tcPr>
            <w:tcW w:w="2038"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320"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417"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726"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134"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530"/>
        </w:trPr>
        <w:tc>
          <w:tcPr>
            <w:tcW w:w="665"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t xml:space="preserve">8</w:t>
            </w:r>
            <w:r/>
          </w:p>
        </w:tc>
        <w:tc>
          <w:tcPr>
            <w:tcW w:w="2038"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320"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417"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726"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134"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530"/>
        </w:trPr>
        <w:tc>
          <w:tcPr>
            <w:tcW w:w="665"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t xml:space="preserve">***</w:t>
            </w:r>
            <w:r/>
          </w:p>
        </w:tc>
        <w:tc>
          <w:tcPr>
            <w:tcW w:w="2038"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320"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417"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726"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c>
          <w:tcPr>
            <w:tcW w:w="1134"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593"/>
        </w:trPr>
        <w:tc>
          <w:tcPr>
            <w:gridSpan w:val="2"/>
            <w:tcW w:w="2703"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t xml:space="preserve">总计</w:t>
            </w:r>
            <w:r/>
          </w:p>
        </w:tc>
        <w:tc>
          <w:tcPr>
            <w:gridSpan w:val="4"/>
            <w:tcW w:w="5597" w:type="dxa"/>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838"/>
        </w:trPr>
        <w:tc>
          <w:tcPr>
            <w:gridSpan w:val="2"/>
            <w:tcW w:w="2703"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t xml:space="preserve">投标报价（3年）</w:t>
            </w:r>
            <w:r/>
          </w:p>
        </w:tc>
        <w:tc>
          <w:tcPr>
            <w:gridSpan w:val="4"/>
            <w:tcW w:w="5597"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t xml:space="preserve">小写：</w:t>
            </w:r>
            <w:r/>
          </w:p>
          <w:p>
            <w:pPr>
              <w:pStyle w:val="1230"/>
              <w:rPr>
                <w:rFonts w:hint="eastAsia" w:ascii="仿宋" w:hAnsi="仿宋" w:eastAsia="仿宋" w:cs="仿宋"/>
                <w:szCs w:val="21"/>
                <w:highlight w:val="none"/>
              </w:rPr>
            </w:pPr>
            <w:r>
              <w:rPr>
                <w:rFonts w:hint="eastAsia" w:ascii="仿宋" w:hAnsi="仿宋" w:eastAsia="仿宋" w:cs="仿宋"/>
                <w:szCs w:val="21"/>
                <w:highlight w:val="none"/>
              </w:rPr>
              <w:t xml:space="preserve">大写：</w:t>
            </w:r>
            <w:r/>
          </w:p>
        </w:tc>
      </w:tr>
      <w:tr>
        <w:trPr>
          <w:jc w:val="center"/>
          <w:trHeight w:val="838"/>
        </w:trPr>
        <w:tc>
          <w:tcPr>
            <w:gridSpan w:val="2"/>
            <w:tcW w:w="2703"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t xml:space="preserve">备注</w:t>
            </w:r>
            <w:r/>
          </w:p>
        </w:tc>
        <w:tc>
          <w:tcPr>
            <w:gridSpan w:val="4"/>
            <w:tcW w:w="5597" w:type="dxa"/>
            <w:vAlign w:val="center"/>
            <w:textDirection w:val="lrTb"/>
            <w:noWrap w:val="false"/>
          </w:tcPr>
          <w:p>
            <w:pPr>
              <w:pStyle w:val="1230"/>
              <w:rPr>
                <w:rFonts w:hint="eastAsia" w:ascii="仿宋" w:hAnsi="仿宋" w:eastAsia="仿宋" w:cs="仿宋"/>
                <w:szCs w:val="21"/>
                <w:highlight w:val="none"/>
              </w:rPr>
            </w:pPr>
            <w:r>
              <w:rPr>
                <w:rFonts w:hint="eastAsia" w:ascii="仿宋" w:hAnsi="仿宋" w:eastAsia="仿宋" w:cs="仿宋"/>
                <w:szCs w:val="21"/>
                <w:highlight w:val="none"/>
              </w:rPr>
            </w:r>
            <w:r/>
          </w:p>
        </w:tc>
      </w:tr>
    </w:tbl>
    <w:p>
      <w:pPr>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r>
      <w:r/>
    </w:p>
    <w:p>
      <w:pPr>
        <w:jc w:val="righ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投标单位（加盖电子公章）：</w:t>
      </w:r>
      <w:r>
        <w:rPr>
          <w:rFonts w:hint="eastAsia" w:ascii="仿宋" w:hAnsi="仿宋" w:eastAsia="仿宋" w:cs="仿宋"/>
          <w:sz w:val="24"/>
          <w:highlight w:val="none"/>
          <w:u w:val="single"/>
        </w:rPr>
        <w:t xml:space="preserve">                             </w:t>
      </w:r>
      <w:r/>
    </w:p>
    <w:p>
      <w:pPr>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日期：  年  月  日</w:t>
      </w:r>
      <w:r/>
    </w:p>
    <w:p>
      <w:pPr>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r>
      <w:r/>
    </w:p>
    <w:p>
      <w:pPr>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r>
      <w:r/>
    </w:p>
    <w:p>
      <w:pPr>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r>
      <w:r/>
    </w:p>
    <w:p>
      <w:pPr>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r>
      <w:r/>
    </w:p>
    <w:p>
      <w:pPr>
        <w:jc w:val="left"/>
        <w:widowControl/>
        <w:rPr>
          <w:rFonts w:hint="eastAsia" w:ascii="仿宋" w:hAnsi="仿宋" w:eastAsia="仿宋" w:cs="仿宋"/>
          <w:szCs w:val="21"/>
          <w:highlight w:val="none"/>
        </w:rPr>
      </w:pPr>
      <w:r>
        <w:rPr>
          <w:rFonts w:hint="eastAsia" w:ascii="仿宋" w:hAnsi="仿宋" w:eastAsia="仿宋" w:cs="仿宋"/>
          <w:szCs w:val="21"/>
          <w:highlight w:val="none"/>
        </w:rPr>
        <w:br w:type="page" w:clear="all"/>
      </w:r>
      <w:r/>
    </w:p>
    <w:p>
      <w:pPr>
        <w:jc w:val="left"/>
        <w:spacing w:after="240" w:line="360" w:lineRule="auto"/>
        <w:shd w:val="clear" w:color="auto" w:fill="ffffff"/>
        <w:widowControl/>
        <w:rPr>
          <w:rFonts w:hint="eastAsia" w:ascii="仿宋" w:hAnsi="仿宋" w:eastAsia="仿宋" w:cs="仿宋"/>
          <w:sz w:val="24"/>
          <w:highlight w:val="none"/>
        </w:rPr>
        <w:outlineLvl w:val="2"/>
      </w:pPr>
      <w:r/>
      <w:bookmarkStart w:id="183" w:name="_Toc15853"/>
      <w:r>
        <w:rPr>
          <w:rFonts w:hint="eastAsia" w:ascii="仿宋" w:hAnsi="仿宋" w:eastAsia="仿宋" w:cs="仿宋"/>
          <w:b/>
          <w:bCs/>
          <w:sz w:val="24"/>
          <w:highlight w:val="none"/>
        </w:rPr>
        <w:t xml:space="preserve">6、技术条款偏离表格式</w:t>
      </w:r>
      <w:bookmarkEnd w:id="183"/>
      <w:r/>
      <w:r/>
    </w:p>
    <w:p>
      <w:pPr>
        <w:ind w:left="420"/>
        <w:jc w:val="center"/>
        <w:spacing w:line="360" w:lineRule="auto"/>
        <w:shd w:val="clear" w:color="auto" w:fill="ffffff"/>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技术条款偏离表</w:t>
      </w:r>
      <w:r/>
    </w:p>
    <w:tbl>
      <w:tblPr>
        <w:tblStyle w:val="836"/>
        <w:tblW w:w="9014" w:type="dxa"/>
        <w:jc w:val="center"/>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项目名称：中共南京市雨花台区委党校2025年客房、餐饮服务</w:t>
            </w:r>
            <w:r/>
          </w:p>
          <w:p>
            <w:pPr>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项目编号：JSZC-320114-YCGC-G2024-0070</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rPr>
              <w:t xml:space="preserve">招标</w:t>
            </w:r>
            <w:r>
              <w:rPr>
                <w:rFonts w:hint="eastAsia" w:ascii="仿宋" w:hAnsi="仿宋" w:eastAsia="仿宋" w:cs="仿宋"/>
                <w:sz w:val="24"/>
                <w:highlight w:val="none"/>
                <w:lang w:val="zh-CN"/>
              </w:rPr>
              <w:t xml:space="preserve">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招标文件的</w:t>
            </w:r>
            <w:r/>
          </w:p>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参与投标的</w:t>
            </w:r>
            <w:r/>
          </w:p>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bl>
    <w:p>
      <w:pPr>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 </w:t>
      </w:r>
      <w:r/>
    </w:p>
    <w:p>
      <w:pPr>
        <w:jc w:val="righ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投标单位（加盖电子公章）：</w:t>
      </w:r>
      <w:r>
        <w:rPr>
          <w:rFonts w:hint="eastAsia" w:ascii="仿宋" w:hAnsi="仿宋" w:eastAsia="仿宋" w:cs="仿宋"/>
          <w:sz w:val="24"/>
          <w:highlight w:val="none"/>
          <w:u w:val="single"/>
        </w:rPr>
        <w:t xml:space="preserve">                             </w:t>
      </w:r>
      <w:r/>
    </w:p>
    <w:p>
      <w:pPr>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 </w:t>
      </w:r>
      <w:r/>
    </w:p>
    <w:p>
      <w:pPr>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说明：如果行数不够，请自行增加。</w:t>
      </w:r>
      <w:r/>
    </w:p>
    <w:p>
      <w:pPr>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r>
      <w:r/>
    </w:p>
    <w:p>
      <w:pPr>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 </w:t>
      </w:r>
      <w:r/>
    </w:p>
    <w:p>
      <w:pPr>
        <w:jc w:val="left"/>
        <w:spacing w:after="240" w:line="360" w:lineRule="auto"/>
        <w:shd w:val="clear" w:color="auto" w:fill="ffffff"/>
        <w:widowControl/>
        <w:rPr>
          <w:rFonts w:hint="eastAsia" w:ascii="仿宋" w:hAnsi="仿宋" w:eastAsia="仿宋" w:cs="仿宋"/>
          <w:sz w:val="24"/>
          <w:highlight w:val="none"/>
        </w:rPr>
        <w:outlineLvl w:val="2"/>
      </w:pPr>
      <w:r>
        <w:rPr>
          <w:rFonts w:hint="eastAsia" w:ascii="仿宋" w:hAnsi="仿宋" w:eastAsia="仿宋" w:cs="仿宋"/>
          <w:b/>
          <w:bCs/>
          <w:szCs w:val="21"/>
          <w:highlight w:val="none"/>
        </w:rPr>
        <w:br w:type="page" w:clear="all"/>
      </w:r>
      <w:bookmarkStart w:id="184" w:name="_Toc17808"/>
      <w:r>
        <w:rPr>
          <w:rFonts w:hint="eastAsia" w:ascii="仿宋" w:hAnsi="仿宋" w:eastAsia="仿宋" w:cs="仿宋"/>
          <w:b/>
          <w:bCs/>
          <w:sz w:val="24"/>
          <w:highlight w:val="none"/>
        </w:rPr>
        <w:t xml:space="preserve">7、商务条款偏离表格式</w:t>
      </w:r>
      <w:bookmarkEnd w:id="184"/>
      <w:r/>
      <w:r/>
    </w:p>
    <w:p>
      <w:pPr>
        <w:jc w:val="center"/>
        <w:spacing w:line="360" w:lineRule="auto"/>
        <w:shd w:val="clear" w:color="auto" w:fill="ffffff"/>
        <w:widowControl/>
        <w:rPr>
          <w:rFonts w:hint="eastAsia" w:ascii="仿宋" w:hAnsi="仿宋" w:eastAsia="仿宋" w:cs="仿宋"/>
          <w:b/>
          <w:sz w:val="32"/>
          <w:szCs w:val="32"/>
          <w:highlight w:val="none"/>
        </w:rPr>
      </w:pPr>
      <w:r>
        <w:rPr>
          <w:rFonts w:hint="eastAsia" w:ascii="仿宋" w:hAnsi="仿宋" w:eastAsia="仿宋" w:cs="仿宋"/>
          <w:b/>
          <w:sz w:val="32"/>
          <w:szCs w:val="32"/>
          <w:highlight w:val="none"/>
        </w:rPr>
        <w:t xml:space="preserve">商务条款偏离表</w:t>
      </w:r>
      <w:r/>
    </w:p>
    <w:tbl>
      <w:tblPr>
        <w:tblStyle w:val="836"/>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jc w:val="center"/>
          <w:trHeight w:val="680"/>
          <w:tblHeader/>
        </w:trPr>
        <w:tc>
          <w:tcPr>
            <w:gridSpan w:val="6"/>
            <w:tcBorders>
              <w:top w:val="none" w:color="000000" w:sz="4" w:space="0"/>
              <w:left w:val="none" w:color="000000" w:sz="4" w:space="0"/>
              <w:right w:val="none" w:color="000000" w:sz="4" w:space="0"/>
            </w:tcBorders>
            <w:tcW w:w="9010" w:type="dxa"/>
            <w:vAlign w:val="center"/>
            <w:textDirection w:val="lrTb"/>
            <w:noWrap w:val="false"/>
          </w:tcPr>
          <w:p>
            <w:pPr>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项目名称：中共南京市雨花台区委党校2025年客房、餐饮服务</w:t>
            </w:r>
            <w:r/>
          </w:p>
          <w:p>
            <w:pPr>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项目编号：JSZC-320114-YCGC-G2024-0070</w:t>
            </w:r>
            <w:r/>
          </w:p>
        </w:tc>
      </w:tr>
      <w:tr>
        <w:trPr>
          <w:jc w:val="center"/>
          <w:trHeight w:val="680"/>
        </w:trPr>
        <w:tc>
          <w:tcPr>
            <w:tcW w:w="85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序号</w:t>
            </w:r>
            <w:r/>
          </w:p>
        </w:tc>
        <w:tc>
          <w:tcPr>
            <w:tcW w:w="1843"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rPr>
              <w:t xml:space="preserve">招标</w:t>
            </w:r>
            <w:r>
              <w:rPr>
                <w:rFonts w:hint="eastAsia" w:ascii="仿宋" w:hAnsi="仿宋" w:eastAsia="仿宋" w:cs="仿宋"/>
                <w:sz w:val="24"/>
                <w:highlight w:val="none"/>
                <w:lang w:val="zh-CN"/>
              </w:rPr>
              <w:t xml:space="preserve">文件</w:t>
            </w:r>
            <w:r/>
          </w:p>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条目号</w:t>
            </w:r>
            <w:r/>
          </w:p>
        </w:tc>
        <w:tc>
          <w:tcPr>
            <w:tcW w:w="2268"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rPr>
              <w:t xml:space="preserve">招标</w:t>
            </w:r>
            <w:r>
              <w:rPr>
                <w:rFonts w:hint="eastAsia" w:ascii="仿宋" w:hAnsi="仿宋" w:eastAsia="仿宋" w:cs="仿宋"/>
                <w:sz w:val="24"/>
                <w:highlight w:val="none"/>
                <w:lang w:val="zh-CN"/>
              </w:rPr>
              <w:t xml:space="preserve">文件</w:t>
            </w:r>
            <w:r/>
          </w:p>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要求的商务条款</w:t>
            </w:r>
            <w:r/>
          </w:p>
        </w:tc>
        <w:tc>
          <w:tcPr>
            <w:tcW w:w="1417"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参与投标的</w:t>
            </w:r>
            <w:r/>
          </w:p>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商务响应</w:t>
            </w:r>
            <w:r/>
          </w:p>
        </w:tc>
        <w:tc>
          <w:tcPr>
            <w:tcW w:w="1259"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是否偏离</w:t>
            </w:r>
            <w:r/>
          </w:p>
        </w:tc>
        <w:tc>
          <w:tcPr>
            <w:tcW w:w="1372"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rPr>
              <w:t xml:space="preserve">投标人</w:t>
            </w:r>
            <w:r>
              <w:rPr>
                <w:rFonts w:hint="eastAsia" w:ascii="仿宋" w:hAnsi="仿宋" w:eastAsia="仿宋" w:cs="仿宋"/>
                <w:sz w:val="24"/>
                <w:highlight w:val="none"/>
                <w:lang w:val="zh-CN"/>
              </w:rPr>
              <w:t xml:space="preserve">的承诺或说明</w:t>
            </w:r>
            <w:r/>
          </w:p>
        </w:tc>
      </w:tr>
      <w:tr>
        <w:trPr>
          <w:jc w:val="center"/>
          <w:trHeight w:val="680"/>
        </w:trPr>
        <w:tc>
          <w:tcPr>
            <w:tcW w:w="85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843"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2268"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417"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259" w:type="dxa"/>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372"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843"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2268"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417"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259" w:type="dxa"/>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372"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843"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2268"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417"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259" w:type="dxa"/>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372"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843"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2268"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417"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259" w:type="dxa"/>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372"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843"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2268"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417"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259" w:type="dxa"/>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372"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843"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2268"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417"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259" w:type="dxa"/>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c>
          <w:tcPr>
            <w:tcW w:w="1372" w:type="dxa"/>
            <w:vAlign w:val="center"/>
            <w:textDirection w:val="lrTb"/>
            <w:noWrap w:val="false"/>
          </w:tcPr>
          <w:p>
            <w:pPr>
              <w:jc w:val="center"/>
              <w:rPr>
                <w:rFonts w:hint="eastAsia" w:ascii="仿宋" w:hAnsi="仿宋" w:eastAsia="仿宋" w:cs="仿宋"/>
                <w:sz w:val="24"/>
                <w:highlight w:val="none"/>
                <w:lang w:val="zh-CN"/>
              </w:rPr>
            </w:pPr>
            <w:r>
              <w:rPr>
                <w:rFonts w:hint="eastAsia" w:ascii="仿宋" w:hAnsi="仿宋" w:eastAsia="仿宋" w:cs="仿宋"/>
                <w:sz w:val="24"/>
                <w:highlight w:val="none"/>
                <w:lang w:val="zh-CN"/>
              </w:rPr>
            </w:r>
            <w:r/>
          </w:p>
        </w:tc>
      </w:tr>
      <w:tr>
        <w:trPr>
          <w:jc w:val="center"/>
          <w:trHeight w:val="680"/>
        </w:trPr>
        <w:tc>
          <w:tcPr>
            <w:tcW w:w="851"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843"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2268"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417"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259" w:type="dxa"/>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372" w:type="dxa"/>
            <w:vAlign w:val="center"/>
            <w:textDirection w:val="lrTb"/>
            <w:noWrap w:val="false"/>
          </w:tcPr>
          <w:p>
            <w:pPr>
              <w:jc w:val="center"/>
              <w:rPr>
                <w:rFonts w:hint="eastAsia" w:ascii="仿宋" w:hAnsi="仿宋" w:eastAsia="仿宋" w:cs="仿宋"/>
                <w:sz w:val="24"/>
                <w:highlight w:val="none"/>
              </w:rPr>
            </w:pPr>
            <w:r>
              <w:rPr>
                <w:rFonts w:hint="eastAsia" w:ascii="仿宋" w:hAnsi="仿宋" w:eastAsia="仿宋" w:cs="仿宋"/>
                <w:sz w:val="24"/>
                <w:highlight w:val="none"/>
              </w:rPr>
            </w:r>
            <w:r/>
          </w:p>
        </w:tc>
      </w:tr>
    </w:tbl>
    <w:p>
      <w:pPr>
        <w:jc w:val="righ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r>
      <w:r/>
    </w:p>
    <w:p>
      <w:pPr>
        <w:jc w:val="righ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投标单位（加盖电子公章）：</w:t>
      </w:r>
      <w:r>
        <w:rPr>
          <w:rFonts w:hint="eastAsia" w:ascii="仿宋" w:hAnsi="仿宋" w:eastAsia="仿宋" w:cs="仿宋"/>
          <w:sz w:val="24"/>
          <w:highlight w:val="none"/>
          <w:u w:val="single"/>
        </w:rPr>
        <w:t xml:space="preserve">                             </w:t>
      </w:r>
      <w:r/>
    </w:p>
    <w:p>
      <w:pPr>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r>
      <w:r/>
    </w:p>
    <w:p>
      <w:pPr>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 </w:t>
      </w:r>
      <w:r/>
    </w:p>
    <w:p>
      <w:pPr>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t xml:space="preserve"> </w:t>
      </w:r>
      <w:r/>
    </w:p>
    <w:p>
      <w:pPr>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说明：如果行数不够，请自行增加。</w:t>
      </w:r>
      <w:r/>
    </w:p>
    <w:p>
      <w:pPr>
        <w:jc w:val="left"/>
        <w:spacing w:line="360" w:lineRule="auto"/>
        <w:shd w:val="clear" w:color="auto" w:fill="ffffff"/>
        <w:widowControl/>
        <w:rPr>
          <w:rFonts w:hint="eastAsia" w:ascii="仿宋" w:hAnsi="仿宋" w:eastAsia="仿宋" w:cs="仿宋"/>
          <w:szCs w:val="21"/>
          <w:highlight w:val="none"/>
        </w:rPr>
      </w:pPr>
      <w:r>
        <w:rPr>
          <w:rFonts w:hint="eastAsia" w:ascii="仿宋" w:hAnsi="仿宋" w:eastAsia="仿宋" w:cs="仿宋"/>
          <w:szCs w:val="21"/>
          <w:highlight w:val="none"/>
        </w:rPr>
      </w:r>
      <w:r/>
    </w:p>
    <w:p>
      <w:pPr>
        <w:jc w:val="left"/>
        <w:spacing w:after="240" w:line="360" w:lineRule="auto"/>
        <w:shd w:val="clear" w:color="auto" w:fill="ffffff"/>
        <w:widowControl/>
        <w:rPr>
          <w:rFonts w:hint="eastAsia" w:ascii="仿宋" w:hAnsi="仿宋" w:eastAsia="仿宋" w:cs="仿宋"/>
          <w:b/>
          <w:bCs/>
          <w:sz w:val="24"/>
          <w:highlight w:val="none"/>
          <w:lang w:val="zh-CN"/>
        </w:rPr>
        <w:outlineLvl w:val="2"/>
      </w:pPr>
      <w:r>
        <w:rPr>
          <w:rFonts w:hint="eastAsia" w:ascii="仿宋" w:hAnsi="仿宋" w:eastAsia="仿宋" w:cs="仿宋"/>
          <w:b/>
          <w:bCs/>
          <w:szCs w:val="21"/>
          <w:highlight w:val="none"/>
        </w:rPr>
        <w:br w:type="page" w:clear="all"/>
      </w:r>
      <w:bookmarkStart w:id="185" w:name="_Toc24948"/>
      <w:r>
        <w:rPr>
          <w:rFonts w:hint="eastAsia" w:ascii="仿宋" w:hAnsi="仿宋" w:eastAsia="仿宋" w:cs="仿宋"/>
          <w:b/>
          <w:bCs/>
          <w:sz w:val="24"/>
          <w:highlight w:val="none"/>
        </w:rPr>
        <w:t xml:space="preserve">8、招标文件要求及投标人认为需要提供的其他证明文件及材料</w:t>
      </w:r>
      <w:bookmarkEnd w:id="185"/>
      <w:r/>
      <w:r/>
    </w:p>
    <w:p>
      <w:pPr>
        <w:rPr>
          <w:rFonts w:hint="eastAsia" w:ascii="仿宋" w:hAnsi="仿宋" w:eastAsia="仿宋" w:cs="仿宋"/>
          <w:b/>
          <w:sz w:val="24"/>
          <w:highlight w:val="none"/>
        </w:rPr>
      </w:pPr>
      <w:r>
        <w:rPr>
          <w:rFonts w:hint="eastAsia" w:ascii="仿宋" w:hAnsi="仿宋" w:eastAsia="仿宋" w:cs="仿宋"/>
          <w:b/>
          <w:sz w:val="24"/>
          <w:highlight w:val="none"/>
        </w:rPr>
        <w:br w:type="page" w:clear="all"/>
      </w:r>
      <w:r/>
    </w:p>
    <w:p>
      <w:pPr>
        <w:jc w:val="left"/>
        <w:spacing w:line="360" w:lineRule="auto"/>
        <w:shd w:val="clear" w:color="auto" w:fill="ffffff"/>
        <w:widowControl/>
        <w:rPr>
          <w:rFonts w:hint="eastAsia" w:ascii="仿宋" w:hAnsi="仿宋" w:eastAsia="仿宋" w:cs="仿宋"/>
          <w:b/>
          <w:sz w:val="24"/>
          <w:highlight w:val="none"/>
        </w:rPr>
        <w:outlineLvl w:val="1"/>
      </w:pPr>
      <w:r/>
      <w:bookmarkStart w:id="186" w:name="_Toc6926"/>
      <w:r>
        <w:rPr>
          <w:rFonts w:hint="eastAsia" w:ascii="仿宋" w:hAnsi="仿宋" w:eastAsia="仿宋" w:cs="仿宋"/>
          <w:b/>
          <w:sz w:val="24"/>
          <w:highlight w:val="none"/>
        </w:rPr>
        <w:t xml:space="preserve">二、资格文件</w:t>
      </w:r>
      <w:bookmarkEnd w:id="186"/>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 资格证明文件</w:t>
      </w:r>
      <w:r/>
    </w:p>
    <w:p>
      <w:pPr>
        <w:ind w:firstLine="484"/>
        <w:spacing w:line="360" w:lineRule="auto"/>
        <w:rPr>
          <w:rFonts w:hint="eastAsia" w:ascii="仿宋" w:hAnsi="仿宋" w:eastAsia="仿宋" w:cs="仿宋"/>
          <w:sz w:val="24"/>
          <w:highlight w:val="none"/>
          <w:lang w:val="zh-CN"/>
        </w:rPr>
      </w:pPr>
      <w:r/>
      <w:bookmarkStart w:id="187" w:name="_Toc19376"/>
      <w:r/>
      <w:bookmarkStart w:id="188" w:name="_Toc7902"/>
      <w:r/>
      <w:bookmarkStart w:id="189" w:name="_Toc1390"/>
      <w:r>
        <w:rPr>
          <w:rFonts w:hint="eastAsia" w:ascii="仿宋" w:hAnsi="仿宋" w:eastAsia="仿宋" w:cs="仿宋"/>
          <w:sz w:val="24"/>
          <w:highlight w:val="none"/>
          <w:lang w:val="zh-CN"/>
        </w:rPr>
        <w:t xml:space="preserve">1.</w:t>
      </w:r>
      <w:r>
        <w:rPr>
          <w:rFonts w:hint="eastAsia" w:ascii="仿宋" w:hAnsi="仿宋" w:eastAsia="仿宋" w:cs="仿宋"/>
          <w:sz w:val="24"/>
          <w:highlight w:val="none"/>
        </w:rPr>
        <w:t xml:space="preserve">具有独立承担民事责任的能力（提供法人或者其他组织提供营业执照或法人证书或组织机构代码证复印件加盖电子公章，自然人提供身份证复印件</w:t>
      </w:r>
      <w:r>
        <w:rPr>
          <w:rFonts w:hint="eastAsia" w:ascii="仿宋" w:hAnsi="仿宋" w:eastAsia="仿宋" w:cs="仿宋"/>
          <w:sz w:val="24"/>
          <w:highlight w:val="none"/>
          <w:lang w:val="zh-CN"/>
        </w:rPr>
        <w:t xml:space="preserve">加盖</w:t>
      </w:r>
      <w:r>
        <w:rPr>
          <w:rFonts w:hint="eastAsia" w:ascii="仿宋" w:hAnsi="仿宋" w:eastAsia="仿宋" w:cs="仿宋"/>
          <w:sz w:val="24"/>
          <w:highlight w:val="none"/>
        </w:rPr>
        <w:t xml:space="preserve">电子</w:t>
      </w:r>
      <w:r>
        <w:rPr>
          <w:rFonts w:hint="eastAsia" w:ascii="仿宋" w:hAnsi="仿宋" w:eastAsia="仿宋" w:cs="仿宋"/>
          <w:sz w:val="24"/>
          <w:highlight w:val="none"/>
          <w:lang w:val="zh-CN"/>
        </w:rPr>
        <w:t xml:space="preserve">公章）；</w:t>
      </w:r>
      <w:r/>
    </w:p>
    <w:p>
      <w:pPr>
        <w:ind w:firstLine="484"/>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2.《南京市政府采购供应商信用记录表暨信用承诺书》（在线打印，法定代表人签字并加盖电子公章）；</w:t>
      </w:r>
      <w:r/>
    </w:p>
    <w:p>
      <w:pPr>
        <w:ind w:firstLine="484"/>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w:t>
      </w:r>
      <w:r>
        <w:rPr>
          <w:rFonts w:hint="eastAsia" w:ascii="仿宋" w:hAnsi="仿宋" w:eastAsia="仿宋" w:cs="仿宋"/>
          <w:sz w:val="24"/>
          <w:highlight w:val="none"/>
          <w:lang w:val="zh-CN"/>
        </w:rPr>
        <w:t xml:space="preserve">.本次采购项目实施所必</w:t>
      </w:r>
      <w:r>
        <w:rPr>
          <w:rFonts w:hint="eastAsia" w:ascii="仿宋" w:hAnsi="仿宋" w:eastAsia="仿宋" w:cs="仿宋"/>
          <w:sz w:val="24"/>
          <w:highlight w:val="none"/>
        </w:rPr>
        <w:t xml:space="preserve">需</w:t>
      </w:r>
      <w:r>
        <w:rPr>
          <w:rFonts w:hint="eastAsia" w:ascii="仿宋" w:hAnsi="仿宋" w:eastAsia="仿宋" w:cs="仿宋"/>
          <w:sz w:val="24"/>
          <w:highlight w:val="none"/>
          <w:lang w:val="zh-CN"/>
        </w:rPr>
        <w:t xml:space="preserve">的许可资质证明材料（若有）</w:t>
      </w:r>
      <w:r>
        <w:rPr>
          <w:rFonts w:hint="eastAsia" w:ascii="仿宋" w:hAnsi="仿宋" w:eastAsia="仿宋" w:cs="仿宋"/>
          <w:sz w:val="24"/>
          <w:highlight w:val="none"/>
        </w:rPr>
        <w:t xml:space="preserve">。</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注：</w:t>
      </w:r>
      <w:r>
        <w:rPr>
          <w:rFonts w:hint="eastAsia" w:ascii="仿宋" w:hAnsi="仿宋" w:eastAsia="仿宋" w:cs="仿宋"/>
          <w:b/>
          <w:bCs/>
          <w:sz w:val="24"/>
          <w:highlight w:val="none"/>
          <w:lang w:val="zh-CN"/>
        </w:rPr>
        <w:t xml:space="preserve">不</w:t>
      </w:r>
      <w:r>
        <w:rPr>
          <w:rFonts w:hint="eastAsia" w:ascii="仿宋" w:hAnsi="仿宋" w:eastAsia="仿宋" w:cs="仿宋"/>
          <w:b/>
          <w:bCs/>
          <w:sz w:val="24"/>
          <w:highlight w:val="none"/>
        </w:rPr>
        <w:t xml:space="preserve">适用</w:t>
      </w:r>
      <w:r>
        <w:rPr>
          <w:rFonts w:hint="eastAsia" w:ascii="仿宋" w:hAnsi="仿宋" w:eastAsia="仿宋" w:cs="仿宋"/>
          <w:b/>
          <w:bCs/>
          <w:sz w:val="24"/>
          <w:highlight w:val="none"/>
          <w:lang w:val="zh-CN"/>
        </w:rPr>
        <w:t xml:space="preserve">以信用承诺书替代</w:t>
      </w:r>
      <w:r>
        <w:rPr>
          <w:rFonts w:hint="eastAsia" w:ascii="仿宋" w:hAnsi="仿宋" w:eastAsia="仿宋" w:cs="仿宋"/>
          <w:b/>
          <w:bCs/>
          <w:sz w:val="24"/>
          <w:highlight w:val="none"/>
        </w:rPr>
        <w:t xml:space="preserve">的供应商资格证明文件须提供《中华人民共和国政府采购法》第二十二条规定的证明材料：</w:t>
      </w:r>
      <w:r/>
    </w:p>
    <w:p>
      <w:pPr>
        <w:numPr>
          <w:ilvl w:val="0"/>
          <w:numId w:val="23"/>
        </w:num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具有良好的商业信誉和健全的财务会计制度（提供参加本次政府采购活动前6个月内至少一个月份的会计报表（至少包括资产负债表和利润表）或银行出具的投标截止时间前六个月内银行出具的资信证明或其上一年度经审计的财务报告复印件加盖电子公章）</w:t>
      </w:r>
      <w:r/>
    </w:p>
    <w:p>
      <w:pPr>
        <w:numPr>
          <w:ilvl w:val="0"/>
          <w:numId w:val="23"/>
        </w:num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有依法缴纳税收和社会保障资金的良好记录（提供参加本次政府采购活动前半年内（至少一个月）依法缴纳税收和社会保障资金的相关材料（依法享受免缴、缓缴的，提供证明材料）加盖电子公章）</w:t>
      </w:r>
      <w:r/>
    </w:p>
    <w:p>
      <w:pPr>
        <w:numPr>
          <w:ilvl w:val="0"/>
          <w:numId w:val="23"/>
        </w:num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具有履行合同所必需的设备和专业技术能力（根据项目需求提供履行合同所必需的设备和专业技术能力的声明或证明材料，提供承诺书加盖电子公章，格式见附件）；</w:t>
      </w:r>
      <w:r/>
    </w:p>
    <w:p>
      <w:pPr>
        <w:pStyle w:val="837"/>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（4）参加本项目政府采购活动前三年内，在经营活动中没有重大违法记录（提供参加本次政府采购活动前3年内在经营活动中没有重大违法记录的书面声明加盖电子公章，格式见附件）；</w:t>
      </w:r>
      <w:r/>
    </w:p>
    <w:p>
      <w:pPr>
        <w:ind w:firstLine="480"/>
        <w:spacing w:line="360" w:lineRule="auto"/>
        <w:rPr>
          <w:rFonts w:hint="eastAsia" w:ascii="仿宋" w:hAnsi="仿宋" w:eastAsia="仿宋" w:cs="仿宋"/>
          <w:highlight w:val="none"/>
        </w:rPr>
      </w:pPr>
      <w:r>
        <w:rPr>
          <w:rFonts w:hint="eastAsia" w:ascii="仿宋" w:hAnsi="仿宋" w:eastAsia="仿宋" w:cs="仿宋"/>
          <w:sz w:val="24"/>
          <w:highlight w:val="none"/>
        </w:rPr>
        <w:t xml:space="preserve">（5）未被列入失信被执行人、重大税收违法案件当事人名单、政府采购严重违法失信行为记录名单的证明材料。（分别提供信用中国网站截图加盖电子公章）</w:t>
      </w:r>
      <w:r/>
    </w:p>
    <w:p>
      <w:pPr>
        <w:pStyle w:val="837"/>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注：第（4）条重大违法记录，是指供应商因违法经营受到刑事处罚或者责令停产停业、吊销许可证或者执照、较大数额罚款等行政处罚。</w:t>
      </w:r>
      <w:bookmarkEnd w:id="187"/>
      <w:r/>
      <w:bookmarkEnd w:id="188"/>
      <w:r/>
      <w:bookmarkEnd w:id="189"/>
      <w:r/>
      <w:r/>
    </w:p>
    <w:p>
      <w:pPr>
        <w:jc w:val="left"/>
        <w:spacing w:line="360" w:lineRule="auto"/>
        <w:shd w:val="clear" w:color="auto" w:fill="ffffff"/>
        <w:widowControl/>
        <w:rPr>
          <w:rFonts w:hint="eastAsia" w:ascii="仿宋" w:hAnsi="仿宋" w:eastAsia="仿宋" w:cs="仿宋"/>
          <w:b/>
          <w:bCs/>
          <w:szCs w:val="21"/>
          <w:highlight w:val="none"/>
        </w:rPr>
      </w:pPr>
      <w:r>
        <w:rPr>
          <w:rFonts w:hint="eastAsia" w:ascii="仿宋" w:hAnsi="仿宋" w:eastAsia="仿宋" w:cs="仿宋"/>
          <w:b/>
          <w:bCs/>
          <w:szCs w:val="21"/>
          <w:highlight w:val="none"/>
        </w:rPr>
      </w:r>
      <w:r/>
    </w:p>
    <w:p>
      <w:pPr>
        <w:jc w:val="left"/>
        <w:spacing w:line="360" w:lineRule="auto"/>
        <w:shd w:val="clear" w:color="auto" w:fill="ffffff"/>
        <w:widowControl/>
        <w:rPr>
          <w:rStyle w:val="1221"/>
          <w:rFonts w:hint="eastAsia" w:ascii="仿宋" w:hAnsi="仿宋" w:cs="仿宋"/>
          <w:highlight w:val="none"/>
        </w:rPr>
        <w:outlineLvl w:val="1"/>
      </w:pPr>
      <w:r>
        <w:rPr>
          <w:rFonts w:hint="eastAsia" w:ascii="仿宋" w:hAnsi="仿宋" w:eastAsia="仿宋" w:cs="仿宋"/>
          <w:highlight w:val="none"/>
        </w:rPr>
        <w:br w:type="page" w:clear="all"/>
      </w:r>
      <w:bookmarkStart w:id="190" w:name="_Toc5467"/>
      <w:r>
        <w:rPr>
          <w:rFonts w:hint="eastAsia" w:ascii="仿宋" w:hAnsi="仿宋" w:eastAsia="仿宋" w:cs="仿宋"/>
          <w:b/>
          <w:bCs/>
          <w:sz w:val="24"/>
          <w:highlight w:val="none"/>
        </w:rPr>
        <w:t xml:space="preserve">三、综合评审评分项</w:t>
      </w:r>
      <w:bookmarkEnd w:id="190"/>
      <w:r/>
      <w:r/>
    </w:p>
    <w:p>
      <w:pPr>
        <w:spacing w:line="360" w:lineRule="auto"/>
        <w:rPr>
          <w:rStyle w:val="1221"/>
          <w:rFonts w:hint="eastAsia" w:ascii="仿宋" w:hAnsi="仿宋" w:cs="仿宋"/>
          <w:highlight w:val="none"/>
        </w:rPr>
      </w:pPr>
      <w:r/>
      <w:bookmarkStart w:id="191" w:name="_Toc24265"/>
      <w:r/>
      <w:bookmarkStart w:id="192" w:name="_Toc32704"/>
      <w:r/>
      <w:bookmarkStart w:id="193" w:name="_Toc5779"/>
      <w:r/>
      <w:bookmarkStart w:id="194" w:name="_Toc11187"/>
      <w:r/>
      <w:bookmarkStart w:id="195" w:name="_Toc30321"/>
      <w:r/>
      <w:bookmarkStart w:id="196" w:name="_Toc12124"/>
      <w:r/>
      <w:bookmarkStart w:id="197" w:name="_Toc23988"/>
      <w:r/>
      <w:bookmarkStart w:id="198" w:name="_Toc1108"/>
      <w:r/>
      <w:bookmarkStart w:id="199" w:name="_Toc27955"/>
      <w:r/>
      <w:bookmarkStart w:id="200" w:name="_Toc9155"/>
      <w:r/>
      <w:bookmarkStart w:id="201" w:name="_Toc27566"/>
      <w:r/>
      <w:bookmarkStart w:id="202" w:name="_Toc4064"/>
      <w:r>
        <w:rPr>
          <w:rStyle w:val="1221"/>
          <w:rFonts w:hint="eastAsia" w:ascii="仿宋" w:hAnsi="仿宋" w:cs="仿宋"/>
          <w:highlight w:val="none"/>
        </w:rPr>
        <w:t xml:space="preserve">（注：详见第三章 评标标准。）</w:t>
      </w:r>
      <w:bookmarkEnd w:id="191"/>
      <w:r/>
      <w:bookmarkEnd w:id="192"/>
      <w:r/>
      <w:bookmarkEnd w:id="193"/>
      <w:r/>
      <w:bookmarkEnd w:id="194"/>
      <w:r/>
      <w:bookmarkEnd w:id="195"/>
      <w:bookmarkEnd w:id="196"/>
      <w:bookmarkEnd w:id="197"/>
      <w:bookmarkEnd w:id="198"/>
      <w:r/>
    </w:p>
    <w:p>
      <w:pPr>
        <w:rPr>
          <w:rFonts w:hint="eastAsia" w:ascii="仿宋" w:hAnsi="仿宋" w:eastAsia="仿宋" w:cs="仿宋"/>
          <w:b/>
          <w:bCs/>
          <w:sz w:val="24"/>
          <w:szCs w:val="22"/>
          <w:highlight w:val="none"/>
        </w:rPr>
      </w:pPr>
      <w:r/>
      <w:bookmarkStart w:id="203" w:name="_Toc24497"/>
      <w:r>
        <w:rPr>
          <w:rFonts w:hint="eastAsia" w:ascii="仿宋" w:hAnsi="仿宋" w:eastAsia="仿宋" w:cs="仿宋"/>
          <w:b/>
          <w:bCs/>
          <w:sz w:val="24"/>
          <w:szCs w:val="22"/>
          <w:highlight w:val="none"/>
        </w:rPr>
        <w:br w:type="page" w:clear="all"/>
      </w:r>
      <w:r/>
    </w:p>
    <w:p>
      <w:pPr>
        <w:jc w:val="left"/>
        <w:spacing w:line="360" w:lineRule="auto"/>
        <w:shd w:val="clear" w:color="auto" w:fill="ffffff"/>
        <w:widowControl/>
        <w:rPr>
          <w:rFonts w:hint="eastAsia" w:ascii="仿宋" w:hAnsi="仿宋" w:eastAsia="仿宋" w:cs="仿宋"/>
          <w:b/>
          <w:bCs/>
          <w:sz w:val="24"/>
          <w:highlight w:val="none"/>
        </w:rPr>
        <w:outlineLvl w:val="1"/>
      </w:pPr>
      <w:r/>
      <w:bookmarkStart w:id="204" w:name="_Toc25662"/>
      <w:r>
        <w:rPr>
          <w:rFonts w:hint="eastAsia" w:ascii="仿宋" w:hAnsi="仿宋" w:eastAsia="仿宋" w:cs="仿宋"/>
          <w:b/>
          <w:bCs/>
          <w:sz w:val="24"/>
          <w:highlight w:val="none"/>
        </w:rPr>
        <w:t xml:space="preserve">四、价格折扣文件格式</w:t>
      </w:r>
      <w:bookmarkEnd w:id="203"/>
      <w:r/>
      <w:bookmarkEnd w:id="204"/>
      <w:r/>
      <w:r/>
    </w:p>
    <w:p>
      <w:pPr>
        <w:spacing w:after="240" w:line="360" w:lineRule="auto"/>
        <w:rPr>
          <w:rFonts w:hint="eastAsia" w:ascii="仿宋" w:hAnsi="仿宋" w:eastAsia="仿宋" w:cs="仿宋"/>
          <w:b/>
          <w:bCs/>
          <w:sz w:val="24"/>
          <w:szCs w:val="22"/>
          <w:highlight w:val="none"/>
        </w:rPr>
        <w:outlineLvl w:val="2"/>
      </w:pPr>
      <w:r/>
      <w:bookmarkStart w:id="205" w:name="_Toc31784"/>
      <w:r/>
      <w:bookmarkStart w:id="206" w:name="_Toc22073"/>
      <w:r/>
      <w:bookmarkStart w:id="207" w:name="_Toc10933"/>
      <w:r>
        <w:rPr>
          <w:rFonts w:hint="eastAsia" w:ascii="仿宋" w:hAnsi="仿宋" w:eastAsia="仿宋" w:cs="仿宋"/>
          <w:b/>
          <w:bCs/>
          <w:sz w:val="24"/>
          <w:szCs w:val="22"/>
          <w:highlight w:val="none"/>
        </w:rPr>
        <w:t xml:space="preserve">1、中小企业声明函</w:t>
      </w:r>
      <w:bookmarkEnd w:id="205"/>
      <w:r/>
      <w:bookmarkEnd w:id="206"/>
      <w:r/>
      <w:bookmarkEnd w:id="207"/>
      <w:r/>
      <w:r/>
    </w:p>
    <w:p>
      <w:pPr>
        <w:ind w:firstLine="602"/>
        <w:jc w:val="center"/>
        <w:spacing w:line="360" w:lineRule="auto"/>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中小企业声明函（服务）</w:t>
      </w:r>
      <w:r/>
    </w:p>
    <w:p>
      <w:pPr>
        <w:ind w:firstLine="480"/>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本公司郑重声明，根据《政府采购促进中小企业发展管理办法》（财库〔2020〕 46号）的规定，本公司参加</w:t>
      </w:r>
      <w:r>
        <w:rPr>
          <w:rFonts w:hint="eastAsia" w:ascii="仿宋" w:hAnsi="仿宋" w:eastAsia="仿宋" w:cs="仿宋"/>
          <w:sz w:val="24"/>
          <w:szCs w:val="22"/>
          <w:highlight w:val="none"/>
          <w:u w:val="single"/>
        </w:rPr>
        <w:t xml:space="preserve">中国共产党南京市雨花台区委员会党校</w:t>
      </w:r>
      <w:r>
        <w:rPr>
          <w:rFonts w:hint="eastAsia" w:ascii="仿宋" w:hAnsi="仿宋" w:eastAsia="仿宋" w:cs="仿宋"/>
          <w:sz w:val="24"/>
          <w:szCs w:val="22"/>
          <w:highlight w:val="none"/>
        </w:rPr>
        <w:t xml:space="preserve">的</w:t>
      </w:r>
      <w:r>
        <w:rPr>
          <w:rFonts w:hint="eastAsia" w:ascii="仿宋" w:hAnsi="仿宋" w:eastAsia="仿宋" w:cs="仿宋"/>
          <w:sz w:val="24"/>
          <w:szCs w:val="22"/>
          <w:highlight w:val="none"/>
          <w:u w:val="single"/>
        </w:rPr>
        <w:t xml:space="preserve">中共南京市雨花台区委党校2025年客房、餐饮服务</w:t>
      </w:r>
      <w:r>
        <w:rPr>
          <w:rFonts w:hint="eastAsia" w:ascii="仿宋" w:hAnsi="仿宋" w:eastAsia="仿宋" w:cs="仿宋"/>
          <w:sz w:val="24"/>
          <w:szCs w:val="22"/>
          <w:highlight w:val="none"/>
        </w:rPr>
        <w:t xml:space="preserve">采购活动，服务全部由符合政策要求的中小企业承接。相关企业的具体情况如下：</w:t>
      </w:r>
      <w:r/>
    </w:p>
    <w:p>
      <w:pPr>
        <w:ind w:firstLine="480"/>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u w:val="single"/>
        </w:rPr>
        <w:t xml:space="preserve">中共南京市雨花台区委党校2025年客房、餐饮服务</w:t>
      </w:r>
      <w:r>
        <w:rPr>
          <w:rFonts w:hint="eastAsia" w:ascii="仿宋" w:hAnsi="仿宋" w:eastAsia="仿宋" w:cs="仿宋"/>
          <w:sz w:val="24"/>
          <w:szCs w:val="22"/>
          <w:highlight w:val="none"/>
        </w:rPr>
        <w:t xml:space="preserve">属于</w:t>
      </w:r>
      <w:r>
        <w:rPr>
          <w:rFonts w:hint="eastAsia" w:ascii="仿宋" w:hAnsi="仿宋" w:eastAsia="仿宋" w:cs="仿宋"/>
          <w:sz w:val="24"/>
          <w:szCs w:val="22"/>
          <w:highlight w:val="none"/>
          <w:u w:val="single"/>
        </w:rPr>
        <w:t xml:space="preserve">餐饮业</w:t>
      </w:r>
      <w:r>
        <w:rPr>
          <w:rFonts w:hint="eastAsia" w:ascii="仿宋" w:hAnsi="仿宋" w:eastAsia="仿宋" w:cs="仿宋"/>
          <w:sz w:val="24"/>
          <w:szCs w:val="22"/>
          <w:highlight w:val="none"/>
        </w:rPr>
        <w:t xml:space="preserve">。承接企业为 </w:t>
      </w:r>
      <w:r>
        <w:rPr>
          <w:rFonts w:hint="eastAsia" w:ascii="仿宋" w:hAnsi="仿宋" w:eastAsia="仿宋" w:cs="仿宋"/>
          <w:sz w:val="24"/>
          <w:szCs w:val="22"/>
          <w:highlight w:val="none"/>
          <w:u w:val="single"/>
        </w:rPr>
        <w:t xml:space="preserve">        </w:t>
      </w:r>
      <w:r>
        <w:rPr>
          <w:rFonts w:hint="eastAsia" w:ascii="仿宋" w:hAnsi="仿宋" w:eastAsia="仿宋" w:cs="仿宋"/>
          <w:sz w:val="24"/>
          <w:szCs w:val="22"/>
          <w:highlight w:val="none"/>
        </w:rPr>
        <w:t xml:space="preserve">（企业名称）,从业人员 </w:t>
      </w:r>
      <w:r>
        <w:rPr>
          <w:rFonts w:hint="eastAsia" w:ascii="仿宋" w:hAnsi="仿宋" w:eastAsia="仿宋" w:cs="仿宋"/>
          <w:sz w:val="24"/>
          <w:szCs w:val="22"/>
          <w:highlight w:val="none"/>
          <w:u w:val="single"/>
        </w:rPr>
        <w:t xml:space="preserve">      </w:t>
      </w:r>
      <w:r>
        <w:rPr>
          <w:rFonts w:hint="eastAsia" w:ascii="仿宋" w:hAnsi="仿宋" w:eastAsia="仿宋" w:cs="仿宋"/>
          <w:sz w:val="24"/>
          <w:szCs w:val="22"/>
          <w:highlight w:val="none"/>
          <w:u w:val="single"/>
        </w:rPr>
        <w:tab/>
      </w:r>
      <w:r>
        <w:rPr>
          <w:rFonts w:hint="eastAsia" w:ascii="仿宋" w:hAnsi="仿宋" w:eastAsia="仿宋" w:cs="仿宋"/>
          <w:sz w:val="24"/>
          <w:szCs w:val="22"/>
          <w:highlight w:val="none"/>
        </w:rPr>
        <w:t xml:space="preserve">人，营业收入为</w:t>
      </w:r>
      <w:r>
        <w:rPr>
          <w:rFonts w:hint="eastAsia" w:ascii="仿宋" w:hAnsi="仿宋" w:eastAsia="仿宋" w:cs="仿宋"/>
          <w:sz w:val="24"/>
          <w:szCs w:val="22"/>
          <w:highlight w:val="none"/>
          <w:u w:val="single"/>
        </w:rPr>
        <w:t xml:space="preserve">     </w:t>
      </w:r>
      <w:r>
        <w:rPr>
          <w:rFonts w:hint="eastAsia" w:ascii="仿宋" w:hAnsi="仿宋" w:eastAsia="仿宋" w:cs="仿宋"/>
          <w:sz w:val="24"/>
          <w:szCs w:val="22"/>
          <w:highlight w:val="none"/>
        </w:rPr>
        <w:t xml:space="preserve">万元，资产总额为</w:t>
      </w:r>
      <w:r>
        <w:rPr>
          <w:rFonts w:hint="eastAsia" w:ascii="仿宋" w:hAnsi="仿宋" w:eastAsia="仿宋" w:cs="仿宋"/>
          <w:sz w:val="24"/>
          <w:szCs w:val="22"/>
          <w:highlight w:val="none"/>
          <w:u w:val="single"/>
        </w:rPr>
        <w:t xml:space="preserve">    </w:t>
      </w:r>
      <w:r>
        <w:rPr>
          <w:rFonts w:hint="eastAsia" w:ascii="仿宋" w:hAnsi="仿宋" w:eastAsia="仿宋" w:cs="仿宋"/>
          <w:sz w:val="24"/>
          <w:szCs w:val="22"/>
          <w:highlight w:val="none"/>
        </w:rPr>
        <w:t xml:space="preserve">万元，属于</w:t>
      </w:r>
      <w:r>
        <w:rPr>
          <w:rFonts w:hint="eastAsia" w:ascii="仿宋" w:hAnsi="仿宋" w:eastAsia="仿宋" w:cs="仿宋"/>
          <w:sz w:val="24"/>
          <w:szCs w:val="22"/>
          <w:highlight w:val="none"/>
          <w:u w:val="single"/>
        </w:rPr>
        <w:t xml:space="preserve">（中型企业、小型企业、微型企业）</w:t>
      </w:r>
      <w:r>
        <w:rPr>
          <w:rFonts w:hint="eastAsia" w:ascii="仿宋" w:hAnsi="仿宋" w:eastAsia="仿宋" w:cs="仿宋"/>
          <w:sz w:val="24"/>
          <w:szCs w:val="22"/>
          <w:highlight w:val="none"/>
        </w:rPr>
        <w:t xml:space="preserve">；</w:t>
      </w:r>
      <w:r/>
    </w:p>
    <w:p>
      <w:pPr>
        <w:ind w:firstLine="480"/>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本企业对上述声明内容的真实性负责。如有虚假，将依法承担相应责任。</w:t>
      </w:r>
      <w:r/>
    </w:p>
    <w:p>
      <w:pPr>
        <w:ind w:firstLine="480"/>
        <w:jc w:val="right"/>
        <w:spacing w:line="360" w:lineRule="auto"/>
        <w:rPr>
          <w:rFonts w:hint="eastAsia" w:ascii="仿宋" w:hAnsi="仿宋" w:eastAsia="仿宋" w:cs="仿宋"/>
          <w:sz w:val="24"/>
          <w:szCs w:val="22"/>
          <w:highlight w:val="none"/>
          <w:u w:val="single"/>
        </w:rPr>
      </w:pPr>
      <w:r>
        <w:rPr>
          <w:rFonts w:hint="eastAsia" w:ascii="仿宋" w:hAnsi="仿宋" w:eastAsia="仿宋" w:cs="仿宋"/>
          <w:sz w:val="24"/>
          <w:szCs w:val="22"/>
          <w:highlight w:val="none"/>
        </w:rPr>
        <w:t xml:space="preserve">企业名称:</w:t>
      </w:r>
      <w:r>
        <w:rPr>
          <w:rFonts w:hint="eastAsia" w:ascii="仿宋" w:hAnsi="仿宋" w:eastAsia="仿宋" w:cs="仿宋"/>
          <w:sz w:val="24"/>
          <w:szCs w:val="22"/>
          <w:highlight w:val="none"/>
          <w:u w:val="single"/>
        </w:rPr>
        <w:t xml:space="preserve">           </w:t>
      </w:r>
      <w:r>
        <w:rPr>
          <w:rFonts w:hint="eastAsia" w:ascii="仿宋" w:hAnsi="仿宋" w:eastAsia="仿宋" w:cs="仿宋"/>
          <w:sz w:val="24"/>
          <w:szCs w:val="22"/>
          <w:highlight w:val="none"/>
        </w:rPr>
        <w:t xml:space="preserve">（</w:t>
      </w:r>
      <w:r>
        <w:rPr>
          <w:rFonts w:hint="eastAsia" w:ascii="仿宋" w:hAnsi="仿宋" w:eastAsia="仿宋" w:cs="仿宋"/>
          <w:sz w:val="24"/>
          <w:highlight w:val="none"/>
          <w:lang w:bidi="ar"/>
        </w:rPr>
        <w:t xml:space="preserve">加盖电子公章</w:t>
      </w:r>
      <w:r>
        <w:rPr>
          <w:rFonts w:hint="eastAsia" w:ascii="仿宋" w:hAnsi="仿宋" w:eastAsia="仿宋" w:cs="仿宋"/>
          <w:sz w:val="24"/>
          <w:szCs w:val="22"/>
          <w:highlight w:val="none"/>
        </w:rPr>
        <w:t xml:space="preserve">）</w:t>
      </w:r>
      <w:r/>
    </w:p>
    <w:p>
      <w:pPr>
        <w:ind w:firstLine="480"/>
        <w:jc w:val="right"/>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日期：  年  月  日</w:t>
      </w:r>
      <w:r/>
    </w:p>
    <w:p>
      <w:pPr>
        <w:ind w:firstLine="480"/>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 </w:t>
      </w:r>
      <w:r>
        <w:rPr>
          <w:rFonts w:hint="eastAsia" w:ascii="仿宋" w:hAnsi="仿宋" w:eastAsia="仿宋" w:cs="仿宋"/>
          <w:sz w:val="24"/>
          <w:szCs w:val="22"/>
          <w:highlight w:val="none"/>
        </w:rPr>
        <w:tab/>
      </w:r>
      <w:r/>
    </w:p>
    <w:p>
      <w:pPr>
        <w:ind w:firstLine="480"/>
        <w:spacing w:line="360" w:lineRule="auto"/>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注：从业人员、营业收入、资产总额填报上一年度数据，无上一年度数据的新成立企业可不填报。</w:t>
      </w:r>
      <w:r/>
    </w:p>
    <w:p>
      <w:pPr>
        <w:ind w:firstLine="560"/>
        <w:spacing w:line="47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p>
      <w:pPr>
        <w:ind w:firstLine="560"/>
        <w:spacing w:line="47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r>
      <w:r/>
    </w:p>
    <w:p>
      <w:pPr>
        <w:ind w:firstLine="560"/>
        <w:spacing w:line="479" w:lineRule="atLeast"/>
        <w:rPr>
          <w:rFonts w:hint="eastAsia" w:ascii="仿宋" w:hAnsi="仿宋" w:eastAsia="仿宋" w:cs="仿宋"/>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备注：</w:t>
      </w:r>
      <w:r/>
    </w:p>
    <w:p>
      <w:pPr>
        <w:ind w:firstLine="560"/>
        <w:spacing w:line="479"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highlight w:val="none"/>
        </w:rPr>
        <w:t xml:space="preserve">“中小企业划型标准”详见《关于印发中小企业划型标准规定的通知》工信部联企业〔2011〕300号，供应商也可登录中华人民共和国工信部官网，使用“中小企业规模类型自测小程序”进行企业规模自测。（自测小程序链接：http://202.106.120.146/baosong/appweb/orgScale.html）</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b/>
          <w:bCs/>
          <w:sz w:val="22"/>
          <w:highlight w:val="none"/>
        </w:rPr>
      </w:pPr>
      <w:r>
        <w:rPr>
          <w:rFonts w:hint="eastAsia" w:ascii="仿宋" w:hAnsi="仿宋" w:eastAsia="仿宋" w:cs="仿宋"/>
          <w:b/>
          <w:bCs/>
          <w:sz w:val="22"/>
          <w:highlight w:val="none"/>
        </w:rPr>
        <w:br w:type="page" w:clear="all"/>
      </w:r>
      <w:r/>
    </w:p>
    <w:p>
      <w:pPr>
        <w:spacing w:after="240" w:line="360" w:lineRule="auto"/>
        <w:rPr>
          <w:rFonts w:hint="eastAsia" w:ascii="仿宋" w:hAnsi="仿宋" w:eastAsia="仿宋" w:cs="仿宋"/>
          <w:b/>
          <w:bCs/>
          <w:sz w:val="24"/>
          <w:szCs w:val="22"/>
          <w:highlight w:val="none"/>
        </w:rPr>
        <w:outlineLvl w:val="2"/>
      </w:pPr>
      <w:r/>
      <w:bookmarkStart w:id="208" w:name="_Toc29842"/>
      <w:r/>
      <w:bookmarkStart w:id="209" w:name="_Toc16970"/>
      <w:r/>
      <w:bookmarkStart w:id="210" w:name="_Toc7838"/>
      <w:r>
        <w:rPr>
          <w:rFonts w:hint="eastAsia" w:ascii="仿宋" w:hAnsi="仿宋" w:eastAsia="仿宋" w:cs="仿宋"/>
          <w:b/>
          <w:bCs/>
          <w:sz w:val="24"/>
          <w:szCs w:val="22"/>
          <w:highlight w:val="none"/>
        </w:rPr>
        <w:t xml:space="preserve">2、残疾人福利性单位声明函</w:t>
      </w:r>
      <w:bookmarkEnd w:id="208"/>
      <w:r/>
      <w:bookmarkEnd w:id="209"/>
      <w:r/>
      <w:bookmarkEnd w:id="210"/>
      <w:r/>
      <w:r/>
    </w:p>
    <w:p>
      <w:pPr>
        <w:ind w:firstLine="602"/>
        <w:jc w:val="center"/>
        <w:spacing w:line="360" w:lineRule="auto"/>
        <w:rPr>
          <w:rFonts w:hint="eastAsia" w:ascii="仿宋" w:hAnsi="仿宋" w:eastAsia="仿宋" w:cs="仿宋"/>
          <w:b/>
          <w:bCs/>
          <w:sz w:val="30"/>
          <w:szCs w:val="30"/>
          <w:highlight w:val="none"/>
        </w:rPr>
      </w:pPr>
      <w:r>
        <w:rPr>
          <w:rFonts w:hint="eastAsia" w:ascii="仿宋" w:hAnsi="仿宋" w:eastAsia="仿宋" w:cs="仿宋"/>
          <w:b/>
          <w:bCs/>
          <w:sz w:val="30"/>
          <w:szCs w:val="30"/>
          <w:highlight w:val="none"/>
        </w:rPr>
        <w:t xml:space="preserve">残疾人福利性单位声明函</w:t>
      </w:r>
      <w:r/>
    </w:p>
    <w:p>
      <w:pPr>
        <w:ind w:firstLine="48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本单位对上述声明的真实性负责。如有虚假，将依法承担相应责任。</w:t>
      </w:r>
      <w:r/>
    </w:p>
    <w:p>
      <w:pPr>
        <w:ind w:firstLine="5136"/>
        <w:jc w:val="left"/>
        <w:spacing w:line="44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ind w:firstLine="5136"/>
        <w:jc w:val="left"/>
        <w:spacing w:line="44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ind w:firstLine="4066"/>
        <w:jc w:val="left"/>
        <w:spacing w:line="360" w:lineRule="auto"/>
        <w:shd w:val="clear" w:color="auto" w:fill="ffffff"/>
        <w:widowControl/>
        <w:rPr>
          <w:rFonts w:hint="eastAsia" w:ascii="仿宋" w:hAnsi="仿宋" w:eastAsia="仿宋" w:cs="仿宋"/>
          <w:sz w:val="24"/>
          <w:highlight w:val="none"/>
        </w:rPr>
      </w:pPr>
      <w:r>
        <w:rPr>
          <w:rStyle w:val="1214"/>
          <w:rFonts w:hint="eastAsia" w:ascii="仿宋" w:hAnsi="仿宋" w:eastAsia="仿宋" w:cs="仿宋"/>
          <w:sz w:val="24"/>
          <w:highlight w:val="none"/>
        </w:rPr>
        <w:t xml:space="preserve">投标人</w:t>
      </w:r>
      <w:r>
        <w:rPr>
          <w:rFonts w:hint="eastAsia" w:ascii="仿宋" w:hAnsi="仿宋" w:eastAsia="仿宋" w:cs="仿宋"/>
          <w:sz w:val="24"/>
          <w:highlight w:val="none"/>
        </w:rPr>
        <w:t xml:space="preserve">名称（加盖电子公章）：</w:t>
      </w:r>
      <w:r>
        <w:rPr>
          <w:rFonts w:hint="eastAsia" w:ascii="仿宋" w:hAnsi="仿宋" w:eastAsia="仿宋" w:cs="仿宋"/>
          <w:sz w:val="24"/>
          <w:highlight w:val="none"/>
          <w:u w:val="single"/>
        </w:rPr>
        <w:t xml:space="preserve">            </w:t>
      </w:r>
      <w:r/>
    </w:p>
    <w:p>
      <w:pPr>
        <w:ind w:firstLine="4066"/>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日    期：   年    月    日</w:t>
      </w:r>
      <w:r/>
    </w:p>
    <w:p>
      <w:pPr>
        <w:spacing w:line="360" w:lineRule="auto"/>
        <w:rPr>
          <w:rFonts w:hint="eastAsia" w:ascii="仿宋" w:hAnsi="仿宋" w:eastAsia="仿宋" w:cs="仿宋"/>
          <w:b/>
          <w:bCs/>
          <w:sz w:val="24"/>
          <w:szCs w:val="22"/>
          <w:highlight w:val="none"/>
        </w:rPr>
      </w:pPr>
      <w:r>
        <w:rPr>
          <w:rFonts w:hint="eastAsia" w:ascii="仿宋" w:hAnsi="仿宋" w:eastAsia="仿宋" w:cs="仿宋"/>
          <w:b/>
          <w:bCs/>
          <w:sz w:val="24"/>
          <w:szCs w:val="22"/>
          <w:highlight w:val="none"/>
        </w:rPr>
      </w:r>
      <w:r/>
    </w:p>
    <w:p>
      <w:pPr>
        <w:spacing w:line="360" w:lineRule="auto"/>
        <w:rPr>
          <w:rFonts w:hint="eastAsia" w:ascii="仿宋" w:hAnsi="仿宋" w:eastAsia="仿宋" w:cs="仿宋"/>
          <w:b/>
          <w:bCs/>
          <w:sz w:val="24"/>
          <w:szCs w:val="22"/>
          <w:highlight w:val="none"/>
        </w:rPr>
      </w:pPr>
      <w:r>
        <w:rPr>
          <w:rFonts w:hint="eastAsia" w:ascii="仿宋" w:hAnsi="仿宋" w:eastAsia="仿宋" w:cs="仿宋"/>
          <w:b/>
          <w:bCs/>
          <w:sz w:val="24"/>
          <w:szCs w:val="22"/>
          <w:highlight w:val="none"/>
        </w:rPr>
      </w:r>
      <w:r/>
    </w:p>
    <w:p>
      <w:pPr>
        <w:spacing w:after="240" w:line="360" w:lineRule="auto"/>
        <w:rPr>
          <w:rFonts w:hint="eastAsia" w:ascii="仿宋" w:hAnsi="仿宋" w:eastAsia="仿宋" w:cs="仿宋"/>
          <w:b/>
          <w:bCs/>
          <w:sz w:val="24"/>
          <w:szCs w:val="22"/>
          <w:highlight w:val="none"/>
        </w:rPr>
        <w:outlineLvl w:val="2"/>
      </w:pPr>
      <w:r/>
      <w:bookmarkStart w:id="211" w:name="_Toc24409"/>
      <w:r/>
      <w:bookmarkStart w:id="212" w:name="_Toc16165"/>
      <w:r/>
      <w:bookmarkStart w:id="213" w:name="_Toc8717"/>
      <w:r>
        <w:rPr>
          <w:rFonts w:hint="eastAsia" w:ascii="仿宋" w:hAnsi="仿宋" w:eastAsia="仿宋" w:cs="仿宋"/>
          <w:b/>
          <w:bCs/>
          <w:sz w:val="24"/>
          <w:szCs w:val="22"/>
          <w:highlight w:val="none"/>
        </w:rPr>
        <w:t xml:space="preserve">3、属于监狱企业的证明文件</w:t>
      </w:r>
      <w:bookmarkEnd w:id="211"/>
      <w:r/>
      <w:bookmarkEnd w:id="212"/>
      <w:r/>
      <w:bookmarkEnd w:id="213"/>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（提供由省级以上监狱管理局、戒毒管理局(含新疆生产建设兵团)出具的属于监狱企业的证明文件）</w:t>
      </w:r>
      <w:r/>
    </w:p>
    <w:p>
      <w:pPr>
        <w:spacing w:line="360" w:lineRule="auto"/>
        <w:rPr>
          <w:rFonts w:hint="eastAsia" w:ascii="仿宋" w:hAnsi="仿宋" w:eastAsia="仿宋" w:cs="仿宋"/>
          <w:b/>
          <w:bCs/>
          <w:sz w:val="24"/>
          <w:szCs w:val="22"/>
          <w:highlight w:val="none"/>
        </w:rPr>
      </w:pPr>
      <w:r>
        <w:rPr>
          <w:rFonts w:hint="eastAsia" w:ascii="仿宋" w:hAnsi="仿宋" w:eastAsia="仿宋" w:cs="仿宋"/>
          <w:b/>
          <w:bCs/>
          <w:sz w:val="24"/>
          <w:szCs w:val="22"/>
          <w:highlight w:val="none"/>
        </w:rPr>
      </w:r>
      <w:r/>
    </w:p>
    <w:p>
      <w:pPr>
        <w:spacing w:after="240" w:line="360" w:lineRule="auto"/>
        <w:rPr>
          <w:rFonts w:hint="eastAsia" w:ascii="仿宋" w:hAnsi="仿宋" w:eastAsia="仿宋" w:cs="仿宋"/>
          <w:b/>
          <w:bCs/>
          <w:sz w:val="24"/>
          <w:szCs w:val="22"/>
          <w:highlight w:val="none"/>
        </w:rPr>
        <w:outlineLvl w:val="2"/>
      </w:pPr>
      <w:r/>
      <w:bookmarkStart w:id="214" w:name="_Toc10402"/>
      <w:r/>
      <w:bookmarkStart w:id="215" w:name="_Toc12854"/>
      <w:r/>
      <w:bookmarkStart w:id="216" w:name="_Toc7692"/>
      <w:r>
        <w:rPr>
          <w:rFonts w:hint="eastAsia" w:ascii="仿宋" w:hAnsi="仿宋" w:eastAsia="仿宋" w:cs="仿宋"/>
          <w:b/>
          <w:bCs/>
          <w:sz w:val="24"/>
          <w:szCs w:val="22"/>
          <w:highlight w:val="none"/>
        </w:rPr>
        <w:t xml:space="preserve">4、节能产品认证证书</w:t>
      </w:r>
      <w:bookmarkEnd w:id="214"/>
      <w:r/>
      <w:bookmarkEnd w:id="215"/>
      <w:r/>
      <w:bookmarkEnd w:id="216"/>
      <w:r/>
      <w:r/>
    </w:p>
    <w:p>
      <w:pPr>
        <w:spacing w:before="240" w:line="360" w:lineRule="auto"/>
        <w:shd w:val="clear" w:color="auto" w:fill="ffffff"/>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（提供国家确定的认证机构出具的、处于有效期之内的产品认证证书）</w:t>
      </w:r>
      <w:r/>
    </w:p>
    <w:p>
      <w:pPr>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spacing w:after="240" w:line="360" w:lineRule="auto"/>
        <w:rPr>
          <w:rFonts w:hint="eastAsia" w:ascii="仿宋" w:hAnsi="仿宋" w:eastAsia="仿宋" w:cs="仿宋"/>
          <w:b/>
          <w:bCs/>
          <w:sz w:val="24"/>
          <w:szCs w:val="22"/>
          <w:highlight w:val="none"/>
        </w:rPr>
        <w:outlineLvl w:val="2"/>
      </w:pPr>
      <w:r/>
      <w:bookmarkStart w:id="217" w:name="_Toc16067"/>
      <w:r/>
      <w:bookmarkStart w:id="218" w:name="_Toc681"/>
      <w:r/>
      <w:bookmarkStart w:id="219" w:name="_Toc24283"/>
      <w:r>
        <w:rPr>
          <w:rFonts w:hint="eastAsia" w:ascii="仿宋" w:hAnsi="仿宋" w:eastAsia="仿宋" w:cs="仿宋"/>
          <w:b/>
          <w:bCs/>
          <w:sz w:val="24"/>
          <w:szCs w:val="22"/>
          <w:highlight w:val="none"/>
        </w:rPr>
        <w:t xml:space="preserve">5、环境标志产品认证证书</w:t>
      </w:r>
      <w:bookmarkEnd w:id="217"/>
      <w:r/>
      <w:bookmarkEnd w:id="218"/>
      <w:r/>
      <w:bookmarkEnd w:id="219"/>
      <w:r/>
      <w:r/>
    </w:p>
    <w:p>
      <w:pPr>
        <w:spacing w:before="240" w:line="360" w:lineRule="auto"/>
        <w:shd w:val="clear" w:color="auto" w:fill="ffffff"/>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（提供国家确定的认证机构出具的、处于有效期之内的产品认证证书）</w:t>
      </w:r>
      <w:r/>
    </w:p>
    <w:p>
      <w:pPr>
        <w:spacing w:line="360" w:lineRule="auto"/>
        <w:rPr>
          <w:rFonts w:hint="eastAsia" w:ascii="仿宋" w:hAnsi="仿宋" w:eastAsia="仿宋" w:cs="仿宋"/>
          <w:b/>
          <w:bCs/>
          <w:szCs w:val="21"/>
          <w:highlight w:val="none"/>
        </w:rPr>
      </w:pPr>
      <w:r>
        <w:rPr>
          <w:rFonts w:hint="eastAsia" w:ascii="仿宋" w:hAnsi="仿宋" w:eastAsia="仿宋" w:cs="仿宋"/>
          <w:b/>
          <w:bCs/>
          <w:szCs w:val="21"/>
          <w:highlight w:val="none"/>
        </w:rPr>
      </w:r>
      <w:r/>
    </w:p>
    <w:p>
      <w:pPr>
        <w:spacing w:after="240" w:line="360" w:lineRule="auto"/>
        <w:rPr>
          <w:rFonts w:hint="eastAsia" w:ascii="仿宋" w:hAnsi="仿宋" w:eastAsia="仿宋" w:cs="仿宋"/>
          <w:b/>
          <w:bCs/>
          <w:sz w:val="24"/>
          <w:szCs w:val="22"/>
          <w:highlight w:val="none"/>
        </w:rPr>
        <w:outlineLvl w:val="2"/>
      </w:pPr>
      <w:r/>
      <w:bookmarkStart w:id="220" w:name="_Toc31947"/>
      <w:r/>
      <w:bookmarkStart w:id="221" w:name="_Toc3001"/>
      <w:r/>
      <w:bookmarkStart w:id="222" w:name="_Toc14629"/>
      <w:r>
        <w:rPr>
          <w:rFonts w:hint="eastAsia" w:ascii="仿宋" w:hAnsi="仿宋" w:eastAsia="仿宋" w:cs="仿宋"/>
          <w:b/>
          <w:bCs/>
          <w:sz w:val="24"/>
          <w:szCs w:val="22"/>
          <w:highlight w:val="none"/>
        </w:rPr>
        <w:t xml:space="preserve">6、进口产品转让技术、消化吸收再创新方案</w:t>
      </w:r>
      <w:bookmarkEnd w:id="220"/>
      <w:r/>
      <w:bookmarkEnd w:id="221"/>
      <w:r/>
      <w:bookmarkEnd w:id="222"/>
      <w:r/>
      <w:r/>
    </w:p>
    <w:p>
      <w:pPr>
        <w:spacing w:before="240" w:line="360" w:lineRule="auto"/>
        <w:shd w:val="clear" w:color="auto" w:fill="ffffff"/>
        <w:widowControl/>
        <w:rPr>
          <w:rFonts w:hint="eastAsia" w:ascii="仿宋" w:hAnsi="仿宋" w:eastAsia="仿宋" w:cs="仿宋"/>
          <w:bCs/>
          <w:sz w:val="24"/>
          <w:highlight w:val="none"/>
        </w:rPr>
      </w:pPr>
      <w:r>
        <w:rPr>
          <w:rFonts w:hint="eastAsia" w:ascii="仿宋" w:hAnsi="仿宋" w:eastAsia="仿宋" w:cs="仿宋"/>
          <w:bCs/>
          <w:sz w:val="24"/>
          <w:highlight w:val="none"/>
        </w:rPr>
        <w:t xml:space="preserve">（对于允许进口产品参加的项目）</w:t>
      </w:r>
      <w:r/>
    </w:p>
    <w:p>
      <w:pPr>
        <w:spacing w:line="360" w:lineRule="auto"/>
        <w:rPr>
          <w:rStyle w:val="1221"/>
          <w:rFonts w:hint="eastAsia" w:ascii="仿宋" w:hAnsi="仿宋" w:cs="仿宋"/>
          <w:highlight w:val="none"/>
        </w:rPr>
      </w:pPr>
      <w:r>
        <w:rPr>
          <w:rFonts w:hint="eastAsia" w:ascii="仿宋" w:hAnsi="仿宋" w:cs="仿宋"/>
          <w:highlight w:val="none"/>
        </w:rPr>
      </w:r>
      <w:bookmarkEnd w:id="199"/>
      <w:bookmarkEnd w:id="200"/>
      <w:bookmarkEnd w:id="201"/>
      <w:bookmarkEnd w:id="202"/>
      <w:r/>
    </w:p>
    <w:p>
      <w:pPr>
        <w:jc w:val="left"/>
        <w:spacing w:line="360" w:lineRule="auto"/>
        <w:shd w:val="clear" w:color="auto" w:fill="ffffff"/>
        <w:widowControl/>
        <w:rPr>
          <w:rStyle w:val="1221"/>
          <w:rFonts w:hint="eastAsia" w:ascii="仿宋" w:hAnsi="仿宋" w:cs="仿宋"/>
          <w:highlight w:val="none"/>
        </w:rPr>
      </w:pPr>
      <w:r>
        <w:rPr>
          <w:rFonts w:hint="eastAsia" w:ascii="仿宋" w:hAnsi="仿宋" w:cs="仿宋"/>
          <w:highlight w:val="none"/>
        </w:rPr>
      </w:r>
      <w:r/>
    </w:p>
    <w:p>
      <w:pPr>
        <w:spacing w:line="360" w:lineRule="auto"/>
        <w:rPr>
          <w:rFonts w:hint="eastAsia" w:ascii="仿宋" w:hAnsi="仿宋" w:eastAsia="仿宋" w:cs="仿宋"/>
          <w:b/>
          <w:bCs/>
          <w:sz w:val="24"/>
          <w:szCs w:val="22"/>
          <w:highlight w:val="none"/>
        </w:rPr>
        <w:outlineLvl w:val="1"/>
      </w:pPr>
      <w:r/>
      <w:bookmarkStart w:id="223" w:name="_Toc18883"/>
      <w:r/>
      <w:bookmarkStart w:id="224" w:name="_Toc6361"/>
      <w:r>
        <w:rPr>
          <w:rFonts w:hint="eastAsia" w:ascii="仿宋" w:hAnsi="仿宋" w:eastAsia="仿宋" w:cs="仿宋"/>
          <w:b/>
          <w:bCs/>
          <w:sz w:val="24"/>
          <w:szCs w:val="22"/>
          <w:highlight w:val="none"/>
        </w:rPr>
        <w:t xml:space="preserve">五、附件</w:t>
      </w:r>
      <w:bookmarkEnd w:id="223"/>
      <w:r/>
      <w:bookmarkEnd w:id="224"/>
      <w:r/>
      <w:r/>
    </w:p>
    <w:p>
      <w:pPr>
        <w:spacing w:after="240" w:line="360" w:lineRule="auto"/>
        <w:widowControl/>
        <w:rPr>
          <w:rFonts w:hint="eastAsia" w:ascii="仿宋" w:hAnsi="仿宋" w:eastAsia="仿宋" w:cs="仿宋"/>
          <w:b/>
          <w:bCs/>
          <w:sz w:val="24"/>
          <w:highlight w:val="none"/>
        </w:rPr>
        <w:outlineLvl w:val="2"/>
      </w:pPr>
      <w:r/>
      <w:bookmarkStart w:id="225" w:name="_Toc32432"/>
      <w:r/>
      <w:bookmarkStart w:id="226" w:name="_Toc2794"/>
      <w:r>
        <w:rPr>
          <w:rFonts w:hint="eastAsia" w:ascii="仿宋" w:hAnsi="仿宋" w:eastAsia="仿宋" w:cs="仿宋"/>
          <w:b/>
          <w:bCs/>
          <w:sz w:val="24"/>
          <w:highlight w:val="none"/>
        </w:rPr>
        <w:t xml:space="preserve">附件一、拟参与本项目服务人员一览表</w:t>
      </w:r>
      <w:bookmarkEnd w:id="225"/>
      <w:r/>
      <w:bookmarkEnd w:id="226"/>
      <w:r/>
      <w:r/>
    </w:p>
    <w:p>
      <w:pPr>
        <w:jc w:val="center"/>
        <w:widowControl/>
        <w:rPr>
          <w:rFonts w:hint="eastAsia" w:ascii="仿宋" w:hAnsi="仿宋" w:eastAsia="仿宋" w:cs="仿宋"/>
          <w:b/>
          <w:bCs/>
          <w:sz w:val="32"/>
          <w:szCs w:val="32"/>
          <w:highlight w:val="none"/>
        </w:rPr>
      </w:pPr>
      <w:r/>
      <w:bookmarkStart w:id="227" w:name="_Toc31460"/>
      <w:r>
        <w:rPr>
          <w:rFonts w:hint="eastAsia" w:ascii="仿宋" w:hAnsi="仿宋" w:eastAsia="仿宋" w:cs="仿宋"/>
          <w:b/>
          <w:bCs/>
          <w:sz w:val="32"/>
          <w:szCs w:val="32"/>
          <w:highlight w:val="none"/>
        </w:rPr>
        <w:t xml:space="preserve">拟参与本项目服务人员一览表</w:t>
      </w:r>
      <w:bookmarkEnd w:id="227"/>
      <w:r/>
      <w:r/>
    </w:p>
    <w:p>
      <w:pPr>
        <w:jc w:val="center"/>
        <w:widowControl/>
        <w:rPr>
          <w:rFonts w:hint="eastAsia" w:ascii="仿宋" w:hAnsi="仿宋" w:eastAsia="仿宋" w:cs="仿宋"/>
          <w:b/>
          <w:bCs/>
          <w:sz w:val="24"/>
          <w:highlight w:val="none"/>
        </w:rPr>
      </w:pPr>
      <w:r>
        <w:rPr>
          <w:rFonts w:hint="eastAsia" w:ascii="仿宋" w:hAnsi="仿宋" w:eastAsia="仿宋" w:cs="仿宋"/>
          <w:b/>
          <w:bCs/>
          <w:sz w:val="24"/>
          <w:highlight w:val="none"/>
        </w:rPr>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项目名称：中共南京市雨花台区委党校2025年客房、餐饮服务                </w:t>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项目编号：JSZC-320114-YCGC-G2024-0070</w:t>
      </w:r>
      <w:r/>
    </w:p>
    <w:tbl>
      <w:tblPr>
        <w:tblStyle w:val="836"/>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Height w:val="340"/>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执业</w:t>
            </w:r>
            <w:r/>
          </w:p>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仿宋" w:hAnsi="仿宋" w:eastAsia="仿宋" w:cs="仿宋"/>
                <w:b/>
                <w:bCs/>
                <w:szCs w:val="21"/>
                <w:highlight w:val="none"/>
              </w:rPr>
            </w:pPr>
            <w:r>
              <w:rPr>
                <w:rFonts w:hint="eastAsia" w:ascii="仿宋" w:hAnsi="仿宋" w:eastAsia="仿宋" w:cs="仿宋"/>
                <w:b/>
                <w:bCs/>
                <w:szCs w:val="21"/>
                <w:highlight w:val="none"/>
              </w:rPr>
              <w:t xml:space="preserve">备注</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仿宋" w:hAnsi="仿宋" w:eastAsia="仿宋" w:cs="仿宋"/>
                <w:szCs w:val="21"/>
                <w:highlight w:val="none"/>
              </w:rPr>
            </w:pPr>
            <w:r>
              <w:rPr>
                <w:rFonts w:hint="eastAsia" w:ascii="仿宋" w:hAnsi="仿宋" w:eastAsia="仿宋" w:cs="仿宋"/>
                <w:szCs w:val="21"/>
                <w:highlight w:val="none"/>
              </w:rPr>
            </w:r>
            <w:r/>
          </w:p>
        </w:tc>
      </w:tr>
    </w:tbl>
    <w:p>
      <w:pPr>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投标单位（加盖电子公章）：</w:t>
      </w:r>
      <w:r>
        <w:rPr>
          <w:rFonts w:hint="eastAsia" w:ascii="仿宋" w:hAnsi="仿宋" w:eastAsia="仿宋" w:cs="仿宋"/>
          <w:sz w:val="24"/>
          <w:highlight w:val="none"/>
          <w:u w:val="single"/>
        </w:rPr>
        <w:t xml:space="preserve">                             </w:t>
      </w:r>
      <w:r/>
    </w:p>
    <w:p>
      <w:pPr>
        <w:widowControl/>
        <w:rPr>
          <w:rFonts w:hint="eastAsia" w:ascii="仿宋" w:hAnsi="仿宋" w:eastAsia="仿宋" w:cs="仿宋"/>
          <w:szCs w:val="21"/>
          <w:highlight w:val="none"/>
        </w:rPr>
      </w:pPr>
      <w:r>
        <w:rPr>
          <w:rFonts w:hint="eastAsia" w:ascii="仿宋" w:hAnsi="仿宋" w:eastAsia="仿宋" w:cs="仿宋"/>
          <w:szCs w:val="21"/>
          <w:highlight w:val="none"/>
        </w:rPr>
      </w:r>
      <w:r/>
    </w:p>
    <w:p>
      <w:pPr>
        <w:widowControl/>
        <w:rPr>
          <w:rFonts w:hint="eastAsia" w:ascii="仿宋" w:hAnsi="仿宋" w:eastAsia="仿宋" w:cs="仿宋"/>
          <w:b/>
          <w:bCs/>
          <w:szCs w:val="21"/>
          <w:highlight w:val="none"/>
        </w:rPr>
      </w:pPr>
      <w:r>
        <w:rPr>
          <w:rFonts w:hint="eastAsia" w:ascii="仿宋" w:hAnsi="仿宋" w:eastAsia="仿宋" w:cs="仿宋"/>
          <w:b/>
          <w:bCs/>
          <w:szCs w:val="21"/>
          <w:highlight w:val="none"/>
        </w:rPr>
      </w:r>
      <w:r/>
    </w:p>
    <w:p>
      <w:pPr>
        <w:spacing w:after="240" w:line="360" w:lineRule="auto"/>
        <w:widowControl/>
        <w:rPr>
          <w:rFonts w:hint="eastAsia" w:ascii="仿宋" w:hAnsi="仿宋" w:eastAsia="仿宋" w:cs="仿宋"/>
          <w:b/>
          <w:bCs/>
          <w:sz w:val="24"/>
          <w:highlight w:val="none"/>
        </w:rPr>
        <w:outlineLvl w:val="2"/>
      </w:pPr>
      <w:r>
        <w:rPr>
          <w:rFonts w:hint="eastAsia" w:ascii="仿宋" w:hAnsi="仿宋" w:eastAsia="仿宋" w:cs="仿宋"/>
          <w:b/>
          <w:bCs/>
          <w:sz w:val="24"/>
          <w:highlight w:val="none"/>
        </w:rPr>
        <w:br w:type="page" w:clear="all"/>
      </w:r>
      <w:bookmarkStart w:id="228" w:name="_Toc10708"/>
      <w:r/>
      <w:bookmarkStart w:id="229" w:name="_Toc19348"/>
      <w:r>
        <w:rPr>
          <w:rFonts w:hint="eastAsia" w:ascii="仿宋" w:hAnsi="仿宋" w:eastAsia="仿宋" w:cs="仿宋"/>
          <w:b/>
          <w:bCs/>
          <w:sz w:val="24"/>
          <w:highlight w:val="none"/>
        </w:rPr>
        <w:t xml:space="preserve">附件二、投标人类似业绩情况表</w:t>
      </w:r>
      <w:bookmarkEnd w:id="228"/>
      <w:r/>
      <w:bookmarkEnd w:id="229"/>
      <w:r/>
      <w:r/>
    </w:p>
    <w:p>
      <w:pPr>
        <w:jc w:val="center"/>
        <w:spacing w:line="360" w:lineRule="auto"/>
        <w:widowControl/>
        <w:rPr>
          <w:rFonts w:hint="eastAsia" w:ascii="仿宋" w:hAnsi="仿宋" w:eastAsia="仿宋" w:cs="仿宋"/>
          <w:b/>
          <w:bCs/>
          <w:sz w:val="32"/>
          <w:szCs w:val="32"/>
          <w:highlight w:val="none"/>
        </w:rPr>
      </w:pPr>
      <w:r/>
      <w:bookmarkStart w:id="230" w:name="_Toc8537"/>
      <w:r>
        <w:rPr>
          <w:rFonts w:hint="eastAsia" w:ascii="仿宋" w:hAnsi="仿宋" w:eastAsia="仿宋" w:cs="仿宋"/>
          <w:b/>
          <w:bCs/>
          <w:sz w:val="32"/>
          <w:szCs w:val="32"/>
          <w:highlight w:val="none"/>
        </w:rPr>
        <w:t xml:space="preserve">投标人类似业绩情况表</w:t>
      </w:r>
      <w:bookmarkEnd w:id="230"/>
      <w:r/>
      <w:r/>
    </w:p>
    <w:p>
      <w:pPr>
        <w:spacing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项目名称：中共南京市雨花台区委党校2025年客房、餐饮服务              </w:t>
      </w:r>
      <w:r/>
    </w:p>
    <w:p>
      <w:pPr>
        <w:spacing w:line="360" w:lineRule="auto"/>
        <w:widowControl/>
        <w:rPr>
          <w:rFonts w:hint="eastAsia" w:ascii="仿宋" w:hAnsi="仿宋" w:eastAsia="仿宋" w:cs="仿宋"/>
          <w:highlight w:val="none"/>
        </w:rPr>
      </w:pPr>
      <w:r>
        <w:rPr>
          <w:rFonts w:hint="eastAsia" w:ascii="仿宋" w:hAnsi="仿宋" w:eastAsia="仿宋" w:cs="仿宋"/>
          <w:sz w:val="24"/>
          <w:highlight w:val="none"/>
        </w:rPr>
        <w:t xml:space="preserve">项目编号：JSZC-320114-YCGC-G2024-0070</w:t>
      </w:r>
      <w:r/>
    </w:p>
    <w:tbl>
      <w:tblPr>
        <w:tblStyle w:val="8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394"/>
        <w:gridCol w:w="1076"/>
        <w:gridCol w:w="1076"/>
        <w:gridCol w:w="1786"/>
        <w:gridCol w:w="1500"/>
        <w:gridCol w:w="1016"/>
      </w:tblGrid>
      <w:tr>
        <w:trPr/>
        <w:tc>
          <w:tcPr>
            <w:tcW w:w="758" w:type="dxa"/>
            <w:vAlign w:val="center"/>
            <w:textDirection w:val="lrTb"/>
            <w:noWrap w:val="false"/>
          </w:tcPr>
          <w:p>
            <w:pPr>
              <w:pStyle w:val="874"/>
              <w:ind w:left="0" w:firstLine="0"/>
              <w:rPr>
                <w:rFonts w:hint="eastAsia" w:ascii="仿宋" w:hAnsi="仿宋" w:eastAsia="仿宋" w:cs="仿宋"/>
                <w:b/>
                <w:bCs/>
                <w:szCs w:val="21"/>
                <w:highlight w:val="none"/>
              </w:rPr>
            </w:pPr>
            <w:r>
              <w:rPr>
                <w:rFonts w:hint="eastAsia" w:ascii="仿宋" w:hAnsi="仿宋" w:eastAsia="仿宋" w:cs="仿宋"/>
                <w:b/>
                <w:bCs/>
                <w:szCs w:val="21"/>
                <w:highlight w:val="none"/>
              </w:rPr>
              <w:t xml:space="preserve">序号</w:t>
            </w:r>
            <w:r/>
          </w:p>
        </w:tc>
        <w:tc>
          <w:tcPr>
            <w:tcW w:w="1394" w:type="dxa"/>
            <w:vAlign w:val="center"/>
            <w:textDirection w:val="lrTb"/>
            <w:noWrap w:val="false"/>
          </w:tcPr>
          <w:p>
            <w:pPr>
              <w:pStyle w:val="874"/>
              <w:ind w:left="0" w:firstLine="0"/>
              <w:rPr>
                <w:rFonts w:hint="eastAsia" w:ascii="仿宋" w:hAnsi="仿宋" w:eastAsia="仿宋" w:cs="仿宋"/>
                <w:b/>
                <w:bCs/>
                <w:szCs w:val="21"/>
                <w:highlight w:val="none"/>
              </w:rPr>
            </w:pPr>
            <w:r>
              <w:rPr>
                <w:rFonts w:hint="eastAsia" w:ascii="仿宋" w:hAnsi="仿宋" w:eastAsia="仿宋" w:cs="仿宋"/>
                <w:b/>
                <w:bCs/>
                <w:szCs w:val="21"/>
                <w:highlight w:val="none"/>
              </w:rPr>
              <w:t xml:space="preserve">项目名称</w:t>
            </w:r>
            <w:r/>
          </w:p>
        </w:tc>
        <w:tc>
          <w:tcPr>
            <w:tcW w:w="1076" w:type="dxa"/>
            <w:vAlign w:val="center"/>
            <w:textDirection w:val="lrTb"/>
            <w:noWrap w:val="false"/>
          </w:tcPr>
          <w:p>
            <w:pPr>
              <w:pStyle w:val="874"/>
              <w:ind w:left="0" w:firstLine="0"/>
              <w:rPr>
                <w:rFonts w:hint="eastAsia" w:ascii="仿宋" w:hAnsi="仿宋" w:eastAsia="仿宋" w:cs="仿宋"/>
                <w:b/>
                <w:bCs/>
                <w:szCs w:val="21"/>
                <w:highlight w:val="none"/>
              </w:rPr>
            </w:pPr>
            <w:r>
              <w:rPr>
                <w:rFonts w:hint="eastAsia" w:ascii="仿宋" w:hAnsi="仿宋" w:eastAsia="仿宋" w:cs="仿宋"/>
                <w:b/>
                <w:bCs/>
                <w:szCs w:val="21"/>
                <w:highlight w:val="none"/>
              </w:rPr>
              <w:t xml:space="preserve">业主单位</w:t>
            </w:r>
            <w:r/>
          </w:p>
        </w:tc>
        <w:tc>
          <w:tcPr>
            <w:tcW w:w="1076" w:type="dxa"/>
            <w:vAlign w:val="center"/>
            <w:textDirection w:val="lrTb"/>
            <w:noWrap w:val="false"/>
          </w:tcPr>
          <w:p>
            <w:pPr>
              <w:pStyle w:val="874"/>
              <w:ind w:left="0" w:firstLine="0"/>
              <w:rPr>
                <w:rFonts w:hint="eastAsia" w:ascii="仿宋" w:hAnsi="仿宋" w:eastAsia="仿宋" w:cs="仿宋"/>
                <w:b/>
                <w:bCs/>
                <w:szCs w:val="21"/>
                <w:highlight w:val="none"/>
              </w:rPr>
            </w:pPr>
            <w:r>
              <w:rPr>
                <w:rFonts w:hint="eastAsia" w:ascii="仿宋" w:hAnsi="仿宋" w:eastAsia="仿宋" w:cs="仿宋"/>
                <w:b/>
                <w:bCs/>
                <w:szCs w:val="21"/>
                <w:highlight w:val="none"/>
              </w:rPr>
              <w:t xml:space="preserve">项目概况</w:t>
            </w:r>
            <w:r/>
          </w:p>
        </w:tc>
        <w:tc>
          <w:tcPr>
            <w:tcW w:w="1786" w:type="dxa"/>
            <w:vAlign w:val="center"/>
            <w:textDirection w:val="lrTb"/>
            <w:noWrap w:val="false"/>
          </w:tcPr>
          <w:p>
            <w:pPr>
              <w:pStyle w:val="874"/>
              <w:ind w:left="0" w:firstLine="0"/>
              <w:rPr>
                <w:rFonts w:hint="eastAsia" w:ascii="仿宋" w:hAnsi="仿宋" w:eastAsia="仿宋" w:cs="仿宋"/>
                <w:b/>
                <w:bCs/>
                <w:szCs w:val="21"/>
                <w:highlight w:val="none"/>
              </w:rPr>
            </w:pPr>
            <w:r>
              <w:rPr>
                <w:rFonts w:hint="eastAsia" w:ascii="仿宋" w:hAnsi="仿宋" w:eastAsia="仿宋" w:cs="仿宋"/>
                <w:b/>
                <w:bCs/>
                <w:szCs w:val="21"/>
                <w:highlight w:val="none"/>
              </w:rPr>
              <w:t xml:space="preserve">签约及服务时间</w:t>
            </w:r>
            <w:r/>
          </w:p>
        </w:tc>
        <w:tc>
          <w:tcPr>
            <w:tcW w:w="1500" w:type="dxa"/>
            <w:vAlign w:val="center"/>
            <w:textDirection w:val="lrTb"/>
            <w:noWrap w:val="false"/>
          </w:tcPr>
          <w:p>
            <w:pPr>
              <w:pStyle w:val="874"/>
              <w:ind w:left="0" w:firstLine="0"/>
              <w:rPr>
                <w:rFonts w:hint="eastAsia" w:ascii="仿宋" w:hAnsi="仿宋" w:eastAsia="仿宋" w:cs="仿宋"/>
                <w:b/>
                <w:bCs/>
                <w:szCs w:val="21"/>
                <w:highlight w:val="none"/>
              </w:rPr>
            </w:pPr>
            <w:r>
              <w:rPr>
                <w:rFonts w:hint="eastAsia" w:ascii="仿宋" w:hAnsi="仿宋" w:eastAsia="仿宋" w:cs="仿宋"/>
                <w:b/>
                <w:bCs/>
                <w:szCs w:val="21"/>
                <w:highlight w:val="none"/>
              </w:rPr>
              <w:t xml:space="preserve">联系人及电话</w:t>
            </w:r>
            <w:r/>
          </w:p>
        </w:tc>
        <w:tc>
          <w:tcPr>
            <w:tcW w:w="1016" w:type="dxa"/>
            <w:vAlign w:val="center"/>
            <w:textDirection w:val="lrTb"/>
            <w:noWrap w:val="false"/>
          </w:tcPr>
          <w:p>
            <w:pPr>
              <w:pStyle w:val="874"/>
              <w:ind w:left="0" w:firstLine="0"/>
              <w:rPr>
                <w:rFonts w:hint="eastAsia" w:ascii="仿宋" w:hAnsi="仿宋" w:eastAsia="仿宋" w:cs="仿宋"/>
                <w:b/>
                <w:bCs/>
                <w:szCs w:val="21"/>
                <w:highlight w:val="none"/>
              </w:rPr>
            </w:pPr>
            <w:r>
              <w:rPr>
                <w:rFonts w:hint="eastAsia" w:ascii="仿宋" w:hAnsi="仿宋" w:eastAsia="仿宋" w:cs="仿宋"/>
                <w:b/>
                <w:bCs/>
                <w:szCs w:val="21"/>
                <w:highlight w:val="none"/>
              </w:rPr>
              <w:t xml:space="preserve">备注</w:t>
            </w:r>
            <w:r/>
          </w:p>
        </w:tc>
      </w:tr>
      <w:tr>
        <w:trPr/>
        <w:tc>
          <w:tcPr>
            <w:tcW w:w="758"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394"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07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07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78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500"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01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r>
      <w:tr>
        <w:trPr/>
        <w:tc>
          <w:tcPr>
            <w:tcW w:w="758"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394"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07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07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78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500"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01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r>
      <w:tr>
        <w:trPr/>
        <w:tc>
          <w:tcPr>
            <w:tcW w:w="758"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394"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07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07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78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500"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01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r>
      <w:tr>
        <w:trPr/>
        <w:tc>
          <w:tcPr>
            <w:tcW w:w="758"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394"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07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07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78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500"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01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r>
      <w:tr>
        <w:trPr/>
        <w:tc>
          <w:tcPr>
            <w:tcW w:w="758"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394"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07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07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78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500"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01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r>
      <w:tr>
        <w:trPr/>
        <w:tc>
          <w:tcPr>
            <w:tcW w:w="758"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394"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07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07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78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500"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c>
          <w:tcPr>
            <w:tcW w:w="1016" w:type="dxa"/>
            <w:textDirection w:val="lrTb"/>
            <w:noWrap w:val="false"/>
          </w:tcPr>
          <w:p>
            <w:pPr>
              <w:rPr>
                <w:rFonts w:hint="eastAsia" w:ascii="仿宋" w:hAnsi="仿宋" w:eastAsia="仿宋" w:cs="仿宋"/>
                <w:sz w:val="24"/>
                <w:highlight w:val="none"/>
              </w:rPr>
            </w:pPr>
            <w:r>
              <w:rPr>
                <w:rFonts w:hint="eastAsia" w:ascii="仿宋" w:hAnsi="仿宋" w:eastAsia="仿宋" w:cs="仿宋"/>
                <w:sz w:val="24"/>
                <w:highlight w:val="none"/>
              </w:rPr>
            </w:r>
            <w:r/>
          </w:p>
        </w:tc>
      </w:tr>
    </w:tbl>
    <w:p>
      <w:pPr>
        <w:jc w:val="left"/>
        <w:spacing w:line="360" w:lineRule="auto"/>
        <w:shd w:val="clear" w:color="auto" w:fill="ffffff"/>
        <w:widowControl/>
        <w:rPr>
          <w:rFonts w:hint="eastAsia" w:ascii="仿宋" w:hAnsi="仿宋" w:eastAsia="仿宋" w:cs="仿宋"/>
          <w:sz w:val="24"/>
          <w:highlight w:val="none"/>
        </w:rPr>
      </w:pPr>
      <w:r>
        <w:rPr>
          <w:rFonts w:hint="eastAsia" w:ascii="仿宋" w:hAnsi="仿宋" w:eastAsia="仿宋" w:cs="仿宋"/>
          <w:sz w:val="24"/>
          <w:highlight w:val="none"/>
        </w:rPr>
        <w:t xml:space="preserve">投标单位（加盖电子公章）：</w:t>
      </w:r>
      <w:r>
        <w:rPr>
          <w:rFonts w:hint="eastAsia" w:ascii="仿宋" w:hAnsi="仿宋" w:eastAsia="仿宋" w:cs="仿宋"/>
          <w:sz w:val="24"/>
          <w:highlight w:val="none"/>
          <w:u w:val="single"/>
        </w:rPr>
        <w:t xml:space="preserve">                             </w:t>
      </w:r>
      <w:r/>
    </w:p>
    <w:p>
      <w:pPr>
        <w:spacing w:line="360" w:lineRule="auto"/>
        <w:widowControl/>
        <w:rPr>
          <w:rFonts w:hint="eastAsia" w:ascii="仿宋" w:hAnsi="仿宋" w:eastAsia="仿宋" w:cs="仿宋"/>
          <w:b/>
          <w:bCs/>
          <w:szCs w:val="21"/>
          <w:highlight w:val="none"/>
        </w:rPr>
      </w:pPr>
      <w:r>
        <w:rPr>
          <w:rFonts w:hint="eastAsia" w:ascii="仿宋" w:hAnsi="仿宋" w:eastAsia="仿宋" w:cs="仿宋"/>
          <w:b/>
          <w:bCs/>
          <w:szCs w:val="21"/>
          <w:highlight w:val="none"/>
        </w:rPr>
      </w:r>
      <w:r/>
    </w:p>
    <w:p>
      <w:pPr>
        <w:rPr>
          <w:rFonts w:hint="eastAsia" w:ascii="仿宋" w:hAnsi="仿宋" w:eastAsia="仿宋" w:cs="仿宋"/>
          <w:b/>
          <w:highlight w:val="none"/>
        </w:rPr>
      </w:pPr>
      <w:r>
        <w:rPr>
          <w:rFonts w:hint="eastAsia" w:ascii="仿宋" w:hAnsi="仿宋" w:eastAsia="仿宋" w:cs="仿宋"/>
          <w:b/>
          <w:highlight w:val="none"/>
        </w:rPr>
      </w:r>
      <w:r/>
    </w:p>
    <w:p>
      <w:pPr>
        <w:rPr>
          <w:rFonts w:hint="eastAsia" w:ascii="仿宋" w:hAnsi="仿宋" w:eastAsia="仿宋" w:cs="仿宋"/>
          <w:sz w:val="24"/>
          <w:highlight w:val="none"/>
        </w:rPr>
      </w:pPr>
      <w:r>
        <w:rPr>
          <w:rFonts w:hint="eastAsia" w:ascii="仿宋" w:hAnsi="仿宋" w:eastAsia="仿宋" w:cs="仿宋"/>
          <w:sz w:val="24"/>
          <w:highlight w:val="none"/>
        </w:rPr>
        <w:t xml:space="preserve">说明：</w:t>
      </w:r>
      <w:r/>
    </w:p>
    <w:p>
      <w:pPr>
        <w:rPr>
          <w:rFonts w:hint="eastAsia" w:ascii="仿宋" w:hAnsi="仿宋" w:eastAsia="仿宋" w:cs="仿宋"/>
          <w:sz w:val="24"/>
          <w:highlight w:val="none"/>
        </w:rPr>
      </w:pPr>
      <w:r>
        <w:rPr>
          <w:rFonts w:hint="eastAsia" w:ascii="仿宋" w:hAnsi="仿宋" w:eastAsia="仿宋" w:cs="仿宋"/>
          <w:sz w:val="24"/>
          <w:highlight w:val="none"/>
        </w:rPr>
        <w:t xml:space="preserve">1、如果行数不够，请自行增加。</w:t>
      </w:r>
      <w:r/>
    </w:p>
    <w:p>
      <w:pPr>
        <w:rPr>
          <w:rFonts w:hint="eastAsia" w:ascii="仿宋" w:hAnsi="仿宋" w:eastAsia="仿宋" w:cs="仿宋"/>
          <w:b/>
          <w:highlight w:val="none"/>
        </w:rPr>
      </w:pPr>
      <w:r>
        <w:rPr>
          <w:rFonts w:hint="eastAsia" w:ascii="仿宋" w:hAnsi="仿宋" w:eastAsia="仿宋" w:cs="仿宋"/>
          <w:sz w:val="24"/>
          <w:highlight w:val="none"/>
        </w:rPr>
        <w:t xml:space="preserve">2、所有业绩均需要提供有效的复印件（扫描件）。</w:t>
      </w:r>
      <w:r/>
    </w:p>
    <w:p>
      <w:pPr>
        <w:rPr>
          <w:rFonts w:hint="eastAsia" w:ascii="仿宋" w:hAnsi="仿宋" w:eastAsia="仿宋" w:cs="仿宋"/>
          <w:b/>
          <w:highlight w:val="none"/>
        </w:rPr>
      </w:pPr>
      <w:r>
        <w:rPr>
          <w:rFonts w:hint="eastAsia" w:ascii="仿宋" w:hAnsi="仿宋" w:eastAsia="仿宋" w:cs="仿宋"/>
          <w:b/>
          <w:highlight w:val="none"/>
        </w:rPr>
      </w:r>
      <w:r/>
    </w:p>
    <w:p>
      <w:pPr>
        <w:rPr>
          <w:rFonts w:hint="eastAsia" w:ascii="仿宋" w:hAnsi="仿宋" w:eastAsia="仿宋" w:cs="仿宋"/>
          <w:b/>
          <w:highlight w:val="none"/>
        </w:rPr>
      </w:pPr>
      <w:r>
        <w:rPr>
          <w:rFonts w:hint="eastAsia" w:ascii="仿宋" w:hAnsi="仿宋" w:eastAsia="仿宋" w:cs="仿宋"/>
          <w:b/>
          <w:highlight w:val="none"/>
        </w:rPr>
      </w:r>
      <w:r/>
    </w:p>
    <w:p>
      <w:pPr>
        <w:jc w:val="left"/>
        <w:widowControl/>
        <w:rPr>
          <w:rFonts w:hint="eastAsia" w:ascii="仿宋" w:hAnsi="仿宋" w:eastAsia="仿宋" w:cs="仿宋"/>
          <w:b/>
          <w:highlight w:val="none"/>
        </w:rPr>
      </w:pPr>
      <w:r>
        <w:rPr>
          <w:rFonts w:hint="eastAsia" w:ascii="仿宋" w:hAnsi="仿宋" w:eastAsia="仿宋" w:cs="仿宋"/>
          <w:b/>
          <w:highlight w:val="none"/>
        </w:rPr>
        <w:br w:type="page" w:clear="all"/>
      </w:r>
      <w:r/>
    </w:p>
    <w:p>
      <w:pPr>
        <w:spacing w:after="240" w:line="360" w:lineRule="auto"/>
        <w:rPr>
          <w:rFonts w:hint="eastAsia" w:ascii="仿宋" w:hAnsi="仿宋" w:eastAsia="仿宋" w:cs="仿宋"/>
          <w:b/>
          <w:sz w:val="24"/>
          <w:highlight w:val="none"/>
        </w:rPr>
        <w:outlineLvl w:val="2"/>
      </w:pPr>
      <w:r/>
      <w:bookmarkStart w:id="231" w:name="_Toc12896"/>
      <w:r/>
      <w:bookmarkStart w:id="232" w:name="_Toc2941"/>
      <w:r>
        <w:rPr>
          <w:rFonts w:hint="eastAsia" w:ascii="仿宋" w:hAnsi="仿宋" w:eastAsia="仿宋" w:cs="仿宋"/>
          <w:b/>
          <w:sz w:val="24"/>
          <w:highlight w:val="none"/>
        </w:rPr>
        <w:t xml:space="preserve">附件三、无重大违法记录声明格式</w:t>
      </w:r>
      <w:bookmarkEnd w:id="231"/>
      <w:r/>
      <w:bookmarkEnd w:id="232"/>
      <w:r/>
      <w:r/>
    </w:p>
    <w:p>
      <w:pPr>
        <w:jc w:val="center"/>
        <w:spacing w:line="240" w:lineRule="atLeast"/>
        <w:rPr>
          <w:rFonts w:hint="eastAsia" w:ascii="仿宋" w:hAnsi="仿宋" w:eastAsia="仿宋" w:cs="仿宋"/>
          <w:sz w:val="28"/>
          <w:szCs w:val="36"/>
          <w:highlight w:val="none"/>
        </w:rPr>
      </w:pPr>
      <w:r>
        <w:rPr>
          <w:rFonts w:hint="eastAsia" w:ascii="仿宋" w:hAnsi="仿宋" w:eastAsia="仿宋" w:cs="仿宋"/>
          <w:b/>
          <w:bCs/>
          <w:sz w:val="32"/>
          <w:szCs w:val="32"/>
          <w:highlight w:val="none"/>
        </w:rPr>
        <w:t xml:space="preserve">无重大违法记录声明</w:t>
      </w:r>
      <w:r/>
    </w:p>
    <w:p>
      <w:pPr>
        <w:spacing w:line="360" w:lineRule="auto"/>
        <w:rPr>
          <w:rFonts w:hint="eastAsia" w:ascii="仿宋" w:hAnsi="仿宋" w:eastAsia="仿宋" w:cs="仿宋"/>
          <w:szCs w:val="21"/>
          <w:highlight w:val="none"/>
        </w:rPr>
      </w:pPr>
      <w:r>
        <w:rPr>
          <w:rFonts w:hint="eastAsia" w:ascii="仿宋" w:hAnsi="仿宋" w:eastAsia="仿宋" w:cs="仿宋"/>
          <w:szCs w:val="21"/>
          <w:highlight w:val="none"/>
        </w:rPr>
      </w:r>
      <w:r/>
    </w:p>
    <w:p>
      <w:pPr>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中国共产党南京市雨花台区委员会党校</w:t>
      </w:r>
      <w:r>
        <w:rPr>
          <w:rFonts w:hint="eastAsia" w:ascii="仿宋" w:hAnsi="仿宋" w:eastAsia="仿宋" w:cs="仿宋"/>
          <w:sz w:val="24"/>
          <w:highlight w:val="none"/>
        </w:rPr>
        <w:t xml:space="preserve">：</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我单位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rPr>
          <w:rStyle w:val="1214"/>
          <w:rFonts w:hint="eastAsia" w:ascii="仿宋" w:hAnsi="仿宋" w:eastAsia="仿宋" w:cs="仿宋"/>
          <w:sz w:val="24"/>
          <w:highlight w:val="none"/>
        </w:rPr>
        <w:t xml:space="preserve">投标人</w:t>
      </w:r>
      <w:r>
        <w:rPr>
          <w:rFonts w:hint="eastAsia" w:ascii="仿宋" w:hAnsi="仿宋" w:eastAsia="仿宋" w:cs="仿宋"/>
          <w:sz w:val="24"/>
          <w:highlight w:val="none"/>
        </w:rPr>
        <w:t xml:space="preserve">名称）郑重声明：</w:t>
      </w:r>
      <w:r/>
    </w:p>
    <w:p>
      <w:pPr>
        <w:ind w:firstLine="480"/>
        <w:spacing w:line="360" w:lineRule="auto"/>
        <w:shd w:val="clear" w:color="auto" w:fill="ffffff"/>
        <w:widowControl/>
        <w:rPr>
          <w:rFonts w:hint="eastAsia" w:ascii="仿宋" w:hAnsi="仿宋" w:eastAsia="仿宋" w:cs="仿宋"/>
          <w:b/>
          <w:sz w:val="24"/>
          <w:highlight w:val="none"/>
        </w:rPr>
      </w:pPr>
      <w:r>
        <w:rPr>
          <w:rFonts w:hint="eastAsia" w:ascii="仿宋" w:hAnsi="仿宋" w:eastAsia="仿宋" w:cs="仿宋"/>
          <w:sz w:val="24"/>
          <w:highlight w:val="none"/>
        </w:rPr>
        <w:t xml:space="preserve">我单位参加政府采购活动前3年内在经营活动中（</w:t>
      </w:r>
      <w:r>
        <w:rPr>
          <w:rFonts w:hint="eastAsia" w:ascii="仿宋" w:hAnsi="仿宋" w:eastAsia="仿宋" w:cs="仿宋"/>
          <w:b/>
          <w:i/>
          <w:sz w:val="24"/>
          <w:highlight w:val="none"/>
          <w:u w:val="single"/>
        </w:rPr>
        <w:t xml:space="preserve">在下划线上如实填写：有或没有</w:t>
      </w:r>
      <w:r>
        <w:rPr>
          <w:rFonts w:hint="eastAsia" w:ascii="仿宋" w:hAnsi="仿宋" w:eastAsia="仿宋" w:cs="仿宋"/>
          <w:sz w:val="24"/>
          <w:highlight w:val="none"/>
        </w:rPr>
        <w:t xml:space="preserve">）</w:t>
      </w:r>
      <w:r>
        <w:rPr>
          <w:rFonts w:hint="eastAsia" w:ascii="仿宋" w:hAnsi="仿宋" w:eastAsia="仿宋" w:cs="仿宋"/>
          <w:b/>
          <w:sz w:val="24"/>
          <w:highlight w:val="none"/>
        </w:rPr>
        <w:t xml:space="preserve">重大违法记录，且不是失信被执行人、重大税收违法案件当事人名单、政府采购严重违法失信行为记录名单的供应商。</w:t>
      </w:r>
      <w:r/>
    </w:p>
    <w:p>
      <w:pPr>
        <w:ind w:firstLine="42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31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5103"/>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声明人：（加盖电子公章）</w:t>
      </w:r>
      <w:r/>
    </w:p>
    <w:p>
      <w:pPr>
        <w:keepNext/>
        <w:spacing w:after="240" w:line="360" w:lineRule="auto"/>
        <w:tabs>
          <w:tab w:val="left" w:pos="1440" w:leader="none"/>
          <w:tab w:val="left" w:pos="5670" w:leader="none"/>
        </w:tabs>
        <w:rPr>
          <w:rFonts w:hint="eastAsia" w:ascii="仿宋" w:hAnsi="仿宋" w:eastAsia="仿宋" w:cs="仿宋"/>
          <w:sz w:val="24"/>
          <w:highlight w:val="none"/>
        </w:rPr>
      </w:pPr>
      <w:r>
        <w:rPr>
          <w:rFonts w:hint="eastAsia" w:ascii="仿宋" w:hAnsi="仿宋" w:eastAsia="仿宋" w:cs="仿宋"/>
          <w:sz w:val="24"/>
          <w:highlight w:val="none"/>
          <w:lang w:val="zh-CN"/>
        </w:rPr>
        <w:t xml:space="preserve">日期：</w:t>
      </w:r>
      <w:r>
        <w:rPr>
          <w:rFonts w:hint="eastAsia" w:ascii="仿宋" w:hAnsi="仿宋" w:eastAsia="仿宋" w:cs="仿宋"/>
          <w:sz w:val="24"/>
          <w:highlight w:val="none"/>
        </w:rPr>
        <w:t xml:space="preserve">     </w:t>
      </w:r>
      <w:r>
        <w:rPr>
          <w:rFonts w:hint="eastAsia" w:ascii="仿宋" w:hAnsi="仿宋" w:eastAsia="仿宋" w:cs="仿宋"/>
          <w:sz w:val="24"/>
          <w:highlight w:val="none"/>
          <w:lang w:val="zh-CN"/>
        </w:rPr>
        <w:t xml:space="preserve">年</w:t>
      </w:r>
      <w:r>
        <w:rPr>
          <w:rFonts w:hint="eastAsia" w:ascii="仿宋" w:hAnsi="仿宋" w:eastAsia="仿宋" w:cs="仿宋"/>
          <w:sz w:val="24"/>
          <w:highlight w:val="none"/>
        </w:rPr>
        <w:t xml:space="preserve">  </w:t>
      </w:r>
      <w:r>
        <w:rPr>
          <w:rFonts w:hint="eastAsia" w:ascii="仿宋" w:hAnsi="仿宋" w:eastAsia="仿宋" w:cs="仿宋"/>
          <w:sz w:val="24"/>
          <w:highlight w:val="none"/>
          <w:lang w:val="zh-CN"/>
        </w:rPr>
        <w:t xml:space="preserve">月</w:t>
      </w:r>
      <w:r>
        <w:rPr>
          <w:rFonts w:hint="eastAsia" w:ascii="仿宋" w:hAnsi="仿宋" w:eastAsia="仿宋" w:cs="仿宋"/>
          <w:sz w:val="24"/>
          <w:highlight w:val="none"/>
        </w:rPr>
        <w:t xml:space="preserve">  日</w:t>
      </w:r>
      <w:r/>
    </w:p>
    <w:p>
      <w:pPr>
        <w:keepNext/>
        <w:spacing w:after="240" w:line="360" w:lineRule="auto"/>
        <w:tabs>
          <w:tab w:val="left" w:pos="1440" w:leader="none"/>
          <w:tab w:val="left" w:pos="5670" w:leader="none"/>
        </w:tabs>
        <w:rPr>
          <w:rFonts w:hint="eastAsia" w:ascii="仿宋" w:hAnsi="仿宋" w:eastAsia="仿宋" w:cs="仿宋"/>
          <w:b/>
          <w:bCs/>
          <w:sz w:val="24"/>
          <w:highlight w:val="none"/>
        </w:rPr>
        <w:outlineLvl w:val="2"/>
      </w:pPr>
      <w:r>
        <w:rPr>
          <w:rFonts w:hint="eastAsia" w:ascii="仿宋" w:hAnsi="仿宋" w:eastAsia="仿宋" w:cs="仿宋"/>
          <w:b/>
          <w:sz w:val="24"/>
          <w:highlight w:val="none"/>
          <w:lang w:val="zh-CN"/>
        </w:rPr>
        <w:br w:type="page" w:clear="all"/>
      </w:r>
      <w:bookmarkStart w:id="233" w:name="_Toc6231"/>
      <w:r/>
      <w:bookmarkStart w:id="234" w:name="_Toc20260"/>
      <w:r/>
      <w:bookmarkStart w:id="235" w:name="_Toc16688"/>
      <w:r/>
      <w:bookmarkStart w:id="236" w:name="_Toc3976"/>
      <w:r/>
      <w:bookmarkStart w:id="237" w:name="_Toc23293"/>
      <w:r>
        <w:rPr>
          <w:rFonts w:hint="eastAsia" w:ascii="仿宋" w:hAnsi="仿宋" w:eastAsia="仿宋" w:cs="仿宋"/>
          <w:b/>
          <w:bCs/>
          <w:sz w:val="24"/>
          <w:highlight w:val="none"/>
        </w:rPr>
        <w:t xml:space="preserve">附件四、具备履行合同所必需的设备和专业技术能力的声明格式</w:t>
      </w:r>
      <w:bookmarkEnd w:id="233"/>
      <w:r/>
      <w:bookmarkEnd w:id="234"/>
      <w:r/>
      <w:bookmarkEnd w:id="235"/>
      <w:r/>
      <w:bookmarkEnd w:id="236"/>
      <w:r/>
      <w:bookmarkEnd w:id="237"/>
      <w:r/>
      <w:r/>
    </w:p>
    <w:p>
      <w:pPr>
        <w:jc w:val="center"/>
        <w:spacing w:line="360" w:lineRule="auto"/>
        <w:rPr>
          <w:rFonts w:hint="eastAsia" w:ascii="仿宋" w:hAnsi="仿宋" w:eastAsia="仿宋" w:cs="仿宋"/>
          <w:b/>
          <w:bCs/>
          <w:sz w:val="32"/>
          <w:szCs w:val="32"/>
          <w:highlight w:val="none"/>
        </w:rPr>
      </w:pPr>
      <w:r/>
      <w:bookmarkStart w:id="238" w:name="_Toc485"/>
      <w:r>
        <w:rPr>
          <w:rFonts w:hint="eastAsia" w:ascii="仿宋" w:hAnsi="仿宋" w:eastAsia="仿宋" w:cs="仿宋"/>
          <w:b/>
          <w:bCs/>
          <w:sz w:val="32"/>
          <w:szCs w:val="32"/>
          <w:highlight w:val="none"/>
        </w:rPr>
        <w:t xml:space="preserve">具备履行合同所必需的设备和专业技术能力的声明</w:t>
      </w:r>
      <w:bookmarkEnd w:id="238"/>
      <w:r/>
      <w:r/>
    </w:p>
    <w:p>
      <w:pPr>
        <w:spacing w:line="360" w:lineRule="auto"/>
        <w:rPr>
          <w:rFonts w:hint="eastAsia" w:ascii="仿宋" w:hAnsi="仿宋" w:eastAsia="仿宋" w:cs="仿宋"/>
          <w:b/>
          <w:sz w:val="24"/>
          <w:szCs w:val="21"/>
          <w:highlight w:val="none"/>
          <w:lang w:val="zh-CN"/>
        </w:rPr>
      </w:pPr>
      <w:r>
        <w:rPr>
          <w:rFonts w:hint="eastAsia" w:ascii="仿宋" w:hAnsi="仿宋" w:eastAsia="仿宋" w:cs="仿宋"/>
          <w:b/>
          <w:bCs/>
          <w:sz w:val="24"/>
          <w:highlight w:val="none"/>
        </w:rPr>
        <w:t xml:space="preserve">中国共产党南京市雨花台区委员会党校</w:t>
      </w:r>
      <w:r>
        <w:rPr>
          <w:rFonts w:hint="eastAsia" w:ascii="仿宋" w:hAnsi="仿宋" w:eastAsia="仿宋" w:cs="仿宋"/>
          <w:b/>
          <w:sz w:val="24"/>
          <w:szCs w:val="21"/>
          <w:highlight w:val="none"/>
          <w:lang w:val="zh-CN"/>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我单位</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rPr>
          <w:rStyle w:val="1214"/>
          <w:rFonts w:hint="eastAsia" w:ascii="仿宋" w:hAnsi="仿宋" w:eastAsia="仿宋" w:cs="仿宋"/>
          <w:sz w:val="24"/>
          <w:highlight w:val="none"/>
        </w:rPr>
        <w:t xml:space="preserve">投标人</w:t>
      </w:r>
      <w:r>
        <w:rPr>
          <w:rFonts w:hint="eastAsia" w:ascii="仿宋" w:hAnsi="仿宋" w:eastAsia="仿宋" w:cs="仿宋"/>
          <w:sz w:val="24"/>
          <w:highlight w:val="none"/>
        </w:rPr>
        <w:t xml:space="preserve">名称）郑重声明：我公司具备履行本项采购合同所必需的设备和专业技术能力，为履行本项采购合同我单位具备如下主要设备和主要专业技术能力：</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主要设备有：</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 若有 )</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主要专业技术能力有：</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若有 )</w:t>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highlight w:val="none"/>
        </w:rPr>
      </w:pPr>
      <w:r>
        <w:rPr>
          <w:rFonts w:hint="eastAsia" w:ascii="仿宋" w:hAnsi="仿宋" w:eastAsia="仿宋" w:cs="仿宋"/>
          <w:highlight w:val="none"/>
        </w:rPr>
      </w:r>
      <w:r/>
    </w:p>
    <w:p>
      <w:pPr>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声明人：（</w:t>
      </w:r>
      <w:r>
        <w:rPr>
          <w:rFonts w:hint="eastAsia" w:ascii="仿宋" w:hAnsi="仿宋" w:eastAsia="仿宋" w:cs="仿宋"/>
          <w:sz w:val="24"/>
          <w:highlight w:val="none"/>
          <w:lang w:bidi="ar"/>
        </w:rPr>
        <w:t xml:space="preserve">加盖电子公章</w:t>
      </w:r>
      <w:r>
        <w:rPr>
          <w:rFonts w:hint="eastAsia" w:ascii="仿宋" w:hAnsi="仿宋" w:eastAsia="仿宋" w:cs="仿宋"/>
          <w:sz w:val="24"/>
          <w:highlight w:val="none"/>
        </w:rPr>
        <w:t xml:space="preserve">）</w:t>
      </w:r>
      <w:r/>
    </w:p>
    <w:p>
      <w:pPr>
        <w:jc w:val="right"/>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日期： 年   月   日</w:t>
      </w:r>
      <w:r/>
    </w:p>
    <w:p>
      <w:pPr>
        <w:rPr>
          <w:rFonts w:hint="eastAsia" w:ascii="仿宋" w:hAnsi="仿宋" w:eastAsia="仿宋" w:cs="仿宋"/>
          <w:sz w:val="24"/>
          <w:highlight w:val="none"/>
          <w:lang w:val="zh-CN"/>
        </w:rPr>
      </w:pPr>
      <w:r/>
      <w:bookmarkStart w:id="239" w:name="_Toc20475"/>
      <w:r/>
      <w:bookmarkStart w:id="240" w:name="_Toc8905"/>
      <w:r/>
      <w:bookmarkStart w:id="241" w:name="_Toc17077"/>
      <w:r/>
      <w:bookmarkStart w:id="242" w:name="_Toc24407"/>
      <w:r>
        <w:rPr>
          <w:rFonts w:hint="eastAsia" w:ascii="仿宋" w:hAnsi="仿宋" w:eastAsia="仿宋" w:cs="仿宋"/>
          <w:sz w:val="24"/>
          <w:highlight w:val="none"/>
        </w:rPr>
        <w:br w:type="page" w:clear="all"/>
      </w:r>
      <w:r/>
    </w:p>
    <w:p>
      <w:pPr>
        <w:pStyle w:val="828"/>
        <w:numPr>
          <w:ilvl w:val="2"/>
          <w:numId w:val="0"/>
        </w:numPr>
        <w:keepLines w:val="0"/>
        <w:spacing w:before="0" w:after="240" w:line="360" w:lineRule="auto"/>
        <w:tabs>
          <w:tab w:val="left" w:pos="1440" w:leader="none"/>
          <w:tab w:val="left" w:pos="5670" w:leader="none"/>
        </w:tabs>
        <w:rPr>
          <w:rFonts w:hint="eastAsia" w:ascii="仿宋" w:hAnsi="仿宋" w:eastAsia="仿宋" w:cs="仿宋"/>
          <w:sz w:val="24"/>
          <w:szCs w:val="24"/>
          <w:highlight w:val="none"/>
          <w:lang w:val="zh-CN"/>
        </w:rPr>
      </w:pPr>
      <w:r/>
      <w:bookmarkStart w:id="243" w:name="_Toc23202"/>
      <w:r/>
      <w:bookmarkStart w:id="244" w:name="_Toc14803"/>
      <w:r>
        <w:rPr>
          <w:rFonts w:hint="eastAsia" w:ascii="仿宋" w:hAnsi="仿宋" w:eastAsia="仿宋" w:cs="仿宋"/>
          <w:sz w:val="24"/>
          <w:szCs w:val="24"/>
          <w:highlight w:val="none"/>
        </w:rPr>
        <w:t xml:space="preserve">附件五</w:t>
      </w:r>
      <w:r>
        <w:rPr>
          <w:rFonts w:hint="eastAsia" w:ascii="仿宋" w:hAnsi="仿宋" w:eastAsia="仿宋" w:cs="仿宋"/>
          <w:sz w:val="24"/>
          <w:szCs w:val="24"/>
          <w:highlight w:val="none"/>
          <w:lang w:val="zh-CN"/>
        </w:rPr>
        <w:t xml:space="preserve">、南京市政府采购供应商信用记录表暨信用承诺书</w:t>
      </w:r>
      <w:bookmarkEnd w:id="239"/>
      <w:r/>
      <w:bookmarkEnd w:id="240"/>
      <w:r/>
      <w:bookmarkEnd w:id="241"/>
      <w:r/>
      <w:bookmarkEnd w:id="242"/>
      <w:r/>
      <w:bookmarkEnd w:id="243"/>
      <w:r/>
      <w:bookmarkEnd w:id="244"/>
      <w:r/>
      <w:r/>
    </w:p>
    <w:p>
      <w:pPr>
        <w:pStyle w:val="837"/>
        <w:ind w:firstLine="0"/>
        <w:jc w:val="center"/>
        <w:spacing w:line="360" w:lineRule="auto"/>
        <w:rPr>
          <w:rFonts w:hint="eastAsia" w:ascii="仿宋" w:hAnsi="仿宋" w:eastAsia="仿宋" w:cs="仿宋"/>
          <w:b/>
          <w:bCs/>
          <w:sz w:val="32"/>
          <w:szCs w:val="32"/>
          <w:highlight w:val="none"/>
        </w:rPr>
      </w:pPr>
      <w:r/>
      <w:bookmarkStart w:id="245" w:name="_Toc19773"/>
      <w:r>
        <w:rPr>
          <w:rFonts w:hint="eastAsia" w:ascii="仿宋" w:hAnsi="仿宋" w:eastAsia="仿宋" w:cs="仿宋"/>
          <w:b/>
          <w:bCs/>
          <w:sz w:val="32"/>
          <w:szCs w:val="32"/>
          <w:highlight w:val="none"/>
        </w:rPr>
        <w:t xml:space="preserve">南京市政府采购供应商信用记录表暨信用承诺书</w:t>
      </w:r>
      <w:bookmarkEnd w:id="245"/>
      <w:r/>
      <w:r/>
    </w:p>
    <w:p>
      <w:pPr>
        <w:jc w:val="center"/>
        <w:spacing w:line="360" w:lineRule="auto"/>
        <w:rPr>
          <w:rFonts w:hint="eastAsia" w:ascii="仿宋" w:hAnsi="仿宋" w:eastAsia="仿宋" w:cs="仿宋"/>
          <w:sz w:val="20"/>
          <w:highlight w:val="none"/>
        </w:rPr>
      </w:pPr>
      <w:r>
        <w:rPr>
          <w:rFonts w:hint="eastAsia" w:ascii="仿宋" w:hAnsi="仿宋" w:eastAsia="仿宋" w:cs="仿宋"/>
          <w:szCs w:val="21"/>
          <w:highlight w:val="none"/>
        </w:rPr>
        <w:t xml:space="preserve">（仅为示范格式，直接填写无效，需至“南京政府采购供应商诚信档案管理系统”在线打印）</w:t>
      </w:r>
      <w:r/>
    </w:p>
    <w:p>
      <w:pPr>
        <w:jc w:val="center"/>
        <w:rPr>
          <w:rFonts w:hint="eastAsia" w:ascii="仿宋" w:hAnsi="仿宋" w:eastAsia="仿宋" w:cs="仿宋"/>
          <w:sz w:val="24"/>
          <w:highlight w:val="none"/>
        </w:rPr>
      </w:pPr>
      <w:r>
        <w:rPr>
          <w:rFonts w:hint="eastAsia" w:ascii="仿宋" w:hAnsi="仿宋" w:eastAsia="仿宋" w:cs="仿宋"/>
          <w:sz w:val="24"/>
          <w:highlight w:val="none"/>
        </w:rPr>
        <w:t xml:space="preserve">                                                       20  年  月  日</w:t>
      </w:r>
      <w:r/>
    </w:p>
    <w:tbl>
      <w:tblPr>
        <w:tblStyle w:val="836"/>
        <w:tblpPr w:horzAnchor="page" w:tblpX="1755" w:vertAnchor="text" w:tblpY="42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ind w:left="20"/>
              <w:jc w:val="center"/>
              <w:spacing w:line="251"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单位名称</w:t>
            </w:r>
            <w:r/>
          </w:p>
        </w:tc>
        <w:tc>
          <w:tcPr>
            <w:tcW w:w="2052" w:type="dxa"/>
            <w:vAlign w:val="center"/>
            <w:textDirection w:val="lrTb"/>
            <w:noWrap w:val="false"/>
          </w:tcPr>
          <w:p>
            <w:pPr>
              <w:ind w:left="20"/>
              <w:jc w:val="center"/>
              <w:spacing w:line="251" w:lineRule="exact"/>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W w:w="2298" w:type="dxa"/>
            <w:vAlign w:val="center"/>
            <w:textDirection w:val="lrTb"/>
            <w:noWrap w:val="false"/>
          </w:tcPr>
          <w:p>
            <w:pPr>
              <w:ind w:left="20"/>
              <w:jc w:val="center"/>
              <w:spacing w:line="251"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统一社会信用代码</w:t>
            </w:r>
            <w:r/>
          </w:p>
        </w:tc>
        <w:tc>
          <w:tcPr>
            <w:tcW w:w="2125" w:type="dxa"/>
            <w:vAlign w:val="center"/>
            <w:textDirection w:val="lrTb"/>
            <w:noWrap w:val="false"/>
          </w:tcPr>
          <w:p>
            <w:pPr>
              <w:ind w:left="20"/>
              <w:jc w:val="center"/>
              <w:spacing w:line="251" w:lineRule="exact"/>
              <w:rPr>
                <w:rFonts w:hint="eastAsia" w:ascii="仿宋" w:hAnsi="仿宋" w:eastAsia="仿宋" w:cs="仿宋"/>
                <w:b/>
                <w:bCs/>
                <w:sz w:val="24"/>
                <w:highlight w:val="none"/>
              </w:rPr>
            </w:pPr>
            <w:r>
              <w:rPr>
                <w:rFonts w:hint="eastAsia" w:ascii="仿宋" w:hAnsi="仿宋" w:eastAsia="仿宋" w:cs="仿宋"/>
                <w:b/>
                <w:bCs/>
                <w:sz w:val="24"/>
                <w:highlight w:val="none"/>
              </w:rPr>
            </w:r>
            <w:r/>
          </w:p>
        </w:tc>
      </w:tr>
      <w:tr>
        <w:trPr>
          <w:trHeight w:val="493"/>
        </w:trPr>
        <w:tc>
          <w:tcPr>
            <w:tcW w:w="2133" w:type="dxa"/>
            <w:vAlign w:val="center"/>
            <w:textDirection w:val="lrTb"/>
            <w:noWrap w:val="false"/>
          </w:tcPr>
          <w:p>
            <w:pPr>
              <w:ind w:left="20"/>
              <w:jc w:val="center"/>
              <w:spacing w:line="251"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法定代表人</w:t>
            </w:r>
            <w:r/>
          </w:p>
        </w:tc>
        <w:tc>
          <w:tcPr>
            <w:tcW w:w="2052" w:type="dxa"/>
            <w:vAlign w:val="center"/>
            <w:textDirection w:val="lrTb"/>
            <w:noWrap w:val="false"/>
          </w:tcPr>
          <w:p>
            <w:pPr>
              <w:ind w:left="20"/>
              <w:jc w:val="center"/>
              <w:spacing w:line="251" w:lineRule="exact"/>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W w:w="2298" w:type="dxa"/>
            <w:vAlign w:val="center"/>
            <w:textDirection w:val="lrTb"/>
            <w:noWrap w:val="false"/>
          </w:tcPr>
          <w:p>
            <w:pPr>
              <w:ind w:left="20"/>
              <w:jc w:val="center"/>
              <w:spacing w:line="251"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联系人</w:t>
            </w:r>
            <w:r/>
          </w:p>
        </w:tc>
        <w:tc>
          <w:tcPr>
            <w:tcW w:w="2125" w:type="dxa"/>
            <w:vAlign w:val="center"/>
            <w:textDirection w:val="lrTb"/>
            <w:noWrap w:val="false"/>
          </w:tcPr>
          <w:p>
            <w:pPr>
              <w:ind w:left="20"/>
              <w:jc w:val="center"/>
              <w:spacing w:line="251" w:lineRule="exact"/>
              <w:rPr>
                <w:rFonts w:hint="eastAsia" w:ascii="仿宋" w:hAnsi="仿宋" w:eastAsia="仿宋" w:cs="仿宋"/>
                <w:b/>
                <w:bCs/>
                <w:sz w:val="24"/>
                <w:highlight w:val="none"/>
              </w:rPr>
            </w:pPr>
            <w:r>
              <w:rPr>
                <w:rFonts w:hint="eastAsia" w:ascii="仿宋" w:hAnsi="仿宋" w:eastAsia="仿宋" w:cs="仿宋"/>
                <w:b/>
                <w:bCs/>
                <w:sz w:val="24"/>
                <w:highlight w:val="none"/>
              </w:rPr>
            </w:r>
            <w:r/>
          </w:p>
        </w:tc>
      </w:tr>
      <w:tr>
        <w:trPr>
          <w:trHeight w:val="493"/>
        </w:trPr>
        <w:tc>
          <w:tcPr>
            <w:tcW w:w="2133" w:type="dxa"/>
            <w:vAlign w:val="center"/>
            <w:textDirection w:val="lrTb"/>
            <w:noWrap w:val="false"/>
          </w:tcPr>
          <w:p>
            <w:pPr>
              <w:ind w:left="20"/>
              <w:jc w:val="center"/>
              <w:spacing w:line="251"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联系地址</w:t>
            </w:r>
            <w:r/>
          </w:p>
        </w:tc>
        <w:tc>
          <w:tcPr>
            <w:tcW w:w="2052" w:type="dxa"/>
            <w:vAlign w:val="center"/>
            <w:textDirection w:val="lrTb"/>
            <w:noWrap w:val="false"/>
          </w:tcPr>
          <w:p>
            <w:pPr>
              <w:ind w:left="20"/>
              <w:jc w:val="center"/>
              <w:spacing w:line="251" w:lineRule="exact"/>
              <w:rPr>
                <w:rFonts w:hint="eastAsia" w:ascii="仿宋" w:hAnsi="仿宋" w:eastAsia="仿宋" w:cs="仿宋"/>
                <w:b/>
                <w:bCs/>
                <w:sz w:val="24"/>
                <w:highlight w:val="none"/>
              </w:rPr>
            </w:pPr>
            <w:r>
              <w:rPr>
                <w:rFonts w:hint="eastAsia" w:ascii="仿宋" w:hAnsi="仿宋" w:eastAsia="仿宋" w:cs="仿宋"/>
                <w:b/>
                <w:bCs/>
                <w:sz w:val="24"/>
                <w:highlight w:val="none"/>
              </w:rPr>
            </w:r>
            <w:r/>
          </w:p>
        </w:tc>
        <w:tc>
          <w:tcPr>
            <w:tcW w:w="2298" w:type="dxa"/>
            <w:vAlign w:val="center"/>
            <w:textDirection w:val="lrTb"/>
            <w:noWrap w:val="false"/>
          </w:tcPr>
          <w:p>
            <w:pPr>
              <w:ind w:left="20"/>
              <w:jc w:val="center"/>
              <w:spacing w:line="251"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联系电话</w:t>
            </w:r>
            <w:r/>
          </w:p>
        </w:tc>
        <w:tc>
          <w:tcPr>
            <w:tcW w:w="2125" w:type="dxa"/>
            <w:vAlign w:val="center"/>
            <w:textDirection w:val="lrTb"/>
            <w:noWrap w:val="false"/>
          </w:tcPr>
          <w:p>
            <w:pPr>
              <w:ind w:left="20"/>
              <w:jc w:val="center"/>
              <w:spacing w:line="251" w:lineRule="exact"/>
              <w:rPr>
                <w:rFonts w:hint="eastAsia" w:ascii="仿宋" w:hAnsi="仿宋" w:eastAsia="仿宋" w:cs="仿宋"/>
                <w:b/>
                <w:bCs/>
                <w:sz w:val="24"/>
                <w:highlight w:val="none"/>
              </w:rPr>
            </w:pPr>
            <w:r>
              <w:rPr>
                <w:rFonts w:hint="eastAsia" w:ascii="仿宋" w:hAnsi="仿宋" w:eastAsia="仿宋" w:cs="仿宋"/>
                <w:b/>
                <w:bCs/>
                <w:sz w:val="24"/>
                <w:highlight w:val="none"/>
              </w:rPr>
            </w:r>
            <w:r/>
          </w:p>
        </w:tc>
      </w:tr>
      <w:tr>
        <w:trPr>
          <w:trHeight w:val="1566"/>
        </w:trPr>
        <w:tc>
          <w:tcPr>
            <w:tcW w:w="2133" w:type="dxa"/>
            <w:vAlign w:val="center"/>
            <w:textDirection w:val="lrTb"/>
            <w:noWrap w:val="false"/>
          </w:tcPr>
          <w:p>
            <w:pPr>
              <w:ind w:left="20"/>
              <w:jc w:val="center"/>
              <w:spacing w:line="251" w:lineRule="exact"/>
              <w:rPr>
                <w:rFonts w:hint="eastAsia" w:ascii="仿宋" w:hAnsi="仿宋" w:eastAsia="仿宋" w:cs="仿宋"/>
                <w:sz w:val="24"/>
                <w:highlight w:val="none"/>
              </w:rPr>
            </w:pPr>
            <w:r>
              <w:rPr>
                <w:rFonts w:hint="eastAsia" w:ascii="仿宋" w:hAnsi="仿宋" w:eastAsia="仿宋" w:cs="仿宋"/>
                <w:b/>
                <w:bCs/>
                <w:sz w:val="24"/>
                <w:highlight w:val="none"/>
              </w:rPr>
              <w:t xml:space="preserve">诚信档案记录情况</w:t>
            </w:r>
            <w:r/>
          </w:p>
        </w:tc>
        <w:tc>
          <w:tcPr>
            <w:gridSpan w:val="3"/>
            <w:tcW w:w="6475" w:type="dxa"/>
            <w:vAlign w:val="center"/>
            <w:textDirection w:val="lrTb"/>
            <w:noWrap w:val="false"/>
          </w:tcPr>
          <w:p>
            <w:pPr>
              <w:ind w:left="20"/>
              <w:jc w:val="center"/>
              <w:spacing w:line="251" w:lineRule="exact"/>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6692"/>
        </w:trPr>
        <w:tc>
          <w:tcPr>
            <w:tcW w:w="2133" w:type="dxa"/>
            <w:vAlign w:val="center"/>
            <w:textDirection w:val="lrTb"/>
            <w:noWrap w:val="false"/>
          </w:tcPr>
          <w:p>
            <w:pPr>
              <w:ind w:left="20"/>
              <w:jc w:val="center"/>
              <w:spacing w:line="251" w:lineRule="exact"/>
              <w:rPr>
                <w:rFonts w:hint="eastAsia" w:ascii="仿宋" w:hAnsi="仿宋" w:eastAsia="仿宋" w:cs="仿宋"/>
                <w:sz w:val="24"/>
                <w:highlight w:val="none"/>
              </w:rPr>
            </w:pPr>
            <w:r>
              <w:rPr>
                <w:rFonts w:hint="eastAsia" w:ascii="仿宋" w:hAnsi="仿宋" w:eastAsia="仿宋" w:cs="仿宋"/>
                <w:b/>
                <w:bCs/>
                <w:sz w:val="24"/>
                <w:highlight w:val="none"/>
              </w:rPr>
              <w:t xml:space="preserve">信用承诺</w:t>
            </w:r>
            <w:r/>
          </w:p>
        </w:tc>
        <w:tc>
          <w:tcPr>
            <w:gridSpan w:val="3"/>
            <w:tcW w:w="6475" w:type="dxa"/>
            <w:vAlign w:val="center"/>
            <w:textDirection w:val="lrTb"/>
            <w:noWrap w:val="false"/>
          </w:tcPr>
          <w:p>
            <w:pPr>
              <w:ind w:right="60" w:firstLine="474"/>
              <w:jc w:val="left"/>
              <w:spacing w:line="274" w:lineRule="exact"/>
              <w:rPr>
                <w:rFonts w:hint="eastAsia" w:ascii="仿宋" w:hAnsi="仿宋" w:eastAsia="仿宋" w:cs="仿宋"/>
                <w:sz w:val="24"/>
                <w:highlight w:val="none"/>
              </w:rPr>
            </w:pPr>
            <w:r>
              <w:rPr>
                <w:rFonts w:hint="eastAsia" w:ascii="仿宋" w:hAnsi="仿宋" w:eastAsia="仿宋" w:cs="仿宋"/>
                <w:sz w:val="24"/>
                <w:highlight w:val="none"/>
              </w:rPr>
              <w:t xml:space="preserve">我公司自愿参加贵中心（公司）组织的本次采购活动，严格遵守《中华人民政府采购法》及相关</w:t>
            </w:r>
            <w:r>
              <w:rPr>
                <w:rFonts w:hint="eastAsia" w:ascii="仿宋" w:hAnsi="仿宋" w:eastAsia="仿宋" w:cs="仿宋"/>
                <w:sz w:val="24"/>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20"/>
              <w:jc w:val="center"/>
              <w:spacing w:line="251" w:lineRule="exact"/>
              <w:rPr>
                <w:rFonts w:hint="eastAsia" w:ascii="仿宋" w:hAnsi="仿宋" w:eastAsia="仿宋" w:cs="仿宋"/>
                <w:sz w:val="24"/>
                <w:highlight w:val="none"/>
              </w:rPr>
            </w:pPr>
            <w:r>
              <w:rPr>
                <w:rFonts w:hint="eastAsia" w:ascii="仿宋" w:hAnsi="仿宋" w:eastAsia="仿宋" w:cs="仿宋"/>
                <w:sz w:val="24"/>
                <w:highlight w:val="none"/>
              </w:rPr>
            </w:r>
            <w:r/>
          </w:p>
          <w:p>
            <w:pPr>
              <w:ind w:left="20"/>
              <w:jc w:val="center"/>
              <w:spacing w:line="251" w:lineRule="exact"/>
              <w:rPr>
                <w:rFonts w:hint="eastAsia" w:ascii="仿宋" w:hAnsi="仿宋" w:eastAsia="仿宋" w:cs="仿宋"/>
                <w:sz w:val="24"/>
                <w:highlight w:val="none"/>
              </w:rPr>
            </w:pPr>
            <w:r>
              <w:rPr>
                <w:rFonts w:hint="eastAsia" w:ascii="仿宋" w:hAnsi="仿宋" w:eastAsia="仿宋" w:cs="仿宋"/>
                <w:sz w:val="24"/>
                <w:highlight w:val="none"/>
              </w:rPr>
            </w:r>
            <w:r/>
          </w:p>
          <w:p>
            <w:pPr>
              <w:ind w:left="20"/>
              <w:jc w:val="center"/>
              <w:spacing w:line="251" w:lineRule="exact"/>
              <w:rPr>
                <w:rFonts w:hint="eastAsia" w:ascii="仿宋" w:hAnsi="仿宋" w:eastAsia="仿宋" w:cs="仿宋"/>
                <w:sz w:val="24"/>
                <w:highlight w:val="none"/>
              </w:rPr>
            </w:pPr>
            <w:r>
              <w:rPr>
                <w:rFonts w:hint="eastAsia" w:ascii="仿宋" w:hAnsi="仿宋" w:eastAsia="仿宋" w:cs="仿宋"/>
                <w:sz w:val="24"/>
                <w:highlight w:val="none"/>
              </w:rPr>
            </w:r>
            <w:r/>
          </w:p>
          <w:p>
            <w:pPr>
              <w:ind w:left="20"/>
              <w:jc w:val="center"/>
              <w:spacing w:line="251" w:lineRule="exact"/>
              <w:rPr>
                <w:rFonts w:hint="eastAsia" w:ascii="仿宋" w:hAnsi="仿宋" w:eastAsia="仿宋" w:cs="仿宋"/>
                <w:sz w:val="24"/>
                <w:highlight w:val="none"/>
              </w:rPr>
            </w:pPr>
            <w:r>
              <w:rPr>
                <w:rFonts w:hint="eastAsia" w:ascii="仿宋" w:hAnsi="仿宋" w:eastAsia="仿宋" w:cs="仿宋"/>
                <w:sz w:val="24"/>
                <w:highlight w:val="none"/>
              </w:rPr>
            </w:r>
            <w:r/>
          </w:p>
          <w:p>
            <w:pPr>
              <w:ind w:left="23"/>
              <w:jc w:val="center"/>
              <w:spacing w:line="274" w:lineRule="exact"/>
              <w:rPr>
                <w:rFonts w:hint="eastAsia" w:ascii="仿宋" w:hAnsi="仿宋" w:eastAsia="仿宋" w:cs="仿宋"/>
                <w:sz w:val="24"/>
                <w:highlight w:val="none"/>
              </w:rPr>
            </w:pPr>
            <w:r>
              <w:rPr>
                <w:rFonts w:hint="eastAsia" w:ascii="仿宋" w:hAnsi="仿宋" w:eastAsia="仿宋" w:cs="仿宋"/>
                <w:sz w:val="24"/>
                <w:highlight w:val="none"/>
              </w:rPr>
              <w:t xml:space="preserve">         供应商名称（公章）：</w:t>
            </w:r>
            <w:r/>
          </w:p>
          <w:p>
            <w:pPr>
              <w:ind w:left="23"/>
              <w:jc w:val="center"/>
              <w:spacing w:line="274" w:lineRule="exact"/>
              <w:rPr>
                <w:rFonts w:hint="eastAsia" w:ascii="仿宋" w:hAnsi="仿宋" w:eastAsia="仿宋" w:cs="仿宋"/>
                <w:sz w:val="24"/>
                <w:highlight w:val="none"/>
              </w:rPr>
            </w:pPr>
            <w:r>
              <w:rPr>
                <w:rFonts w:hint="eastAsia" w:ascii="仿宋" w:hAnsi="仿宋" w:eastAsia="仿宋" w:cs="仿宋"/>
                <w:sz w:val="24"/>
                <w:highlight w:val="none"/>
              </w:rPr>
              <w:t xml:space="preserve">         法定代表人（签字）：</w:t>
            </w:r>
            <w:r/>
          </w:p>
          <w:p>
            <w:pPr>
              <w:ind w:left="23"/>
              <w:jc w:val="center"/>
              <w:spacing w:line="274" w:lineRule="exact"/>
              <w:rPr>
                <w:rFonts w:hint="eastAsia" w:ascii="仿宋" w:hAnsi="仿宋" w:eastAsia="仿宋" w:cs="仿宋"/>
                <w:sz w:val="24"/>
                <w:highlight w:val="none"/>
              </w:rPr>
            </w:pPr>
            <w:r>
              <w:rPr>
                <w:rFonts w:hint="eastAsia" w:ascii="仿宋" w:hAnsi="仿宋" w:eastAsia="仿宋" w:cs="仿宋"/>
                <w:sz w:val="24"/>
                <w:highlight w:val="none"/>
              </w:rPr>
              <w:t xml:space="preserve">        二〇   年  月    日</w:t>
            </w:r>
            <w:r/>
          </w:p>
        </w:tc>
      </w:tr>
    </w:tbl>
    <w:p>
      <w:pPr>
        <w:rPr>
          <w:rFonts w:hint="eastAsia" w:ascii="仿宋" w:hAnsi="仿宋" w:eastAsia="仿宋" w:cs="仿宋"/>
          <w:highlight w:val="none"/>
        </w:rPr>
      </w:pPr>
      <w:r>
        <w:rPr>
          <w:rFonts w:hint="eastAsia" w:ascii="仿宋" w:hAnsi="仿宋" w:eastAsia="仿宋" w:cs="仿宋"/>
          <w:highlight w:val="none"/>
        </w:rPr>
      </w:r>
      <w:r/>
    </w:p>
    <w:p>
      <w:pPr>
        <w:pStyle w:val="837"/>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pStyle w:val="837"/>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sz w:val="24"/>
          <w:highlight w:val="none"/>
        </w:rPr>
      </w:pPr>
      <w:r>
        <w:rPr>
          <w:rFonts w:hint="eastAsia" w:ascii="仿宋" w:hAnsi="仿宋" w:eastAsia="仿宋" w:cs="仿宋"/>
          <w:b/>
          <w:bCs/>
          <w:sz w:val="24"/>
          <w:highlight w:val="none"/>
        </w:rPr>
        <w:t xml:space="preserve">特别说明：</w:t>
      </w:r>
      <w:r/>
    </w:p>
    <w:p>
      <w:pPr>
        <w:pStyle w:val="837"/>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根据《关于在政府采购活动中推行信用承诺制的通知》（宁财购通[2021]5号）的规定，本项目招标公告中“二、申请人的资格要求 2.1条”及“二、申请人的资格要求 2.9条”中涉及的证明材料，投标人可以在电子投标文件中一次性提交，也可以在电子投标文件中提供满足相应条件的书面承诺书（南京市政府采购供应商信用记录表暨信用承诺书），不再需要提供上述涉及的证明材料。</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在政府采购资格审查环节，</w:t>
      </w:r>
      <w:r>
        <w:rPr>
          <w:rStyle w:val="1214"/>
          <w:rFonts w:hint="eastAsia" w:ascii="仿宋" w:hAnsi="仿宋" w:eastAsia="仿宋" w:cs="仿宋"/>
          <w:sz w:val="24"/>
          <w:highlight w:val="none"/>
        </w:rPr>
        <w:t xml:space="preserve">投标人</w:t>
      </w:r>
      <w:r>
        <w:rPr>
          <w:rFonts w:hint="eastAsia" w:ascii="仿宋" w:hAnsi="仿宋" w:eastAsia="仿宋" w:cs="仿宋"/>
          <w:bCs/>
          <w:sz w:val="24"/>
          <w:highlight w:val="none"/>
        </w:rPr>
        <w:t xml:space="preserve">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bCs/>
          <w:sz w:val="24"/>
          <w:highlight w:val="none"/>
          <w:lang w:val="zh-CN"/>
        </w:rPr>
      </w:pPr>
      <w:r>
        <w:rPr>
          <w:rStyle w:val="1214"/>
          <w:rFonts w:hint="eastAsia" w:ascii="仿宋" w:hAnsi="仿宋" w:eastAsia="仿宋" w:cs="仿宋"/>
          <w:sz w:val="24"/>
          <w:highlight w:val="none"/>
        </w:rPr>
        <w:t xml:space="preserve">投标人</w:t>
      </w:r>
      <w:r>
        <w:rPr>
          <w:rFonts w:hint="eastAsia" w:ascii="仿宋" w:hAnsi="仿宋" w:eastAsia="仿宋" w:cs="仿宋"/>
          <w:bCs/>
          <w:sz w:val="24"/>
          <w:highlight w:val="none"/>
          <w:lang w:val="zh-CN"/>
        </w:rPr>
        <w:t xml:space="preserve">在中标（成交）后，应按采购文件要求，将上述由信用承诺书替代的证明材料提交采购人或采购代理机构核验。经核验无误后，由采购人或采购代理机构发出中标（成交）通知书。</w:t>
      </w:r>
      <w:r/>
    </w:p>
    <w:p>
      <w:pPr>
        <w:ind w:firstLine="482"/>
        <w:keepLines/>
        <w:keepNext/>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投标人涉及以下情形的，不适用信用承诺：（1）供应商被列入严重失信主体名单；（2）被相关监管部门作出行政处罚且尚在处罚有效期内；（3）其他法律、行政法规规定的不适用信用承诺的情形。</w:t>
      </w:r>
      <w:r/>
    </w:p>
    <w:p>
      <w:pPr>
        <w:ind w:firstLine="480"/>
        <w:spacing w:line="360" w:lineRule="auto"/>
        <w:rPr>
          <w:rFonts w:hint="eastAsia" w:ascii="仿宋" w:hAnsi="仿宋" w:eastAsia="仿宋" w:cs="仿宋"/>
          <w:bCs/>
          <w:sz w:val="24"/>
          <w:highlight w:val="none"/>
          <w:lang w:val="zh-CN"/>
        </w:rPr>
      </w:pPr>
      <w:r>
        <w:rPr>
          <w:rStyle w:val="1214"/>
          <w:rFonts w:hint="eastAsia" w:ascii="仿宋" w:hAnsi="仿宋" w:eastAsia="仿宋" w:cs="仿宋"/>
          <w:sz w:val="24"/>
          <w:highlight w:val="none"/>
        </w:rPr>
        <w:t xml:space="preserve">投标人</w:t>
      </w:r>
      <w:r>
        <w:rPr>
          <w:rFonts w:hint="eastAsia" w:ascii="仿宋" w:hAnsi="仿宋" w:eastAsia="仿宋" w:cs="仿宋"/>
          <w:bCs/>
          <w:sz w:val="24"/>
          <w:highlight w:val="none"/>
          <w:lang w:val="zh-CN"/>
        </w:rPr>
        <w:t xml:space="preserve">对信用承诺内容的真实性、合法性、有效性负责。如作出虚假信用承诺，视同为“提供虚假材料谋取中标、成交”的违法行为。</w:t>
      </w:r>
      <w:r/>
    </w:p>
    <w:p>
      <w:pPr>
        <w:pStyle w:val="837"/>
        <w:rPr>
          <w:rFonts w:hint="eastAsia" w:ascii="仿宋" w:hAnsi="仿宋" w:eastAsia="仿宋" w:cs="仿宋"/>
          <w:highlight w:val="none"/>
        </w:rPr>
      </w:pPr>
      <w:r>
        <w:rPr>
          <w:rFonts w:hint="eastAsia" w:ascii="仿宋" w:hAnsi="仿宋" w:eastAsia="仿宋" w:cs="仿宋"/>
          <w:highlight w:val="none"/>
        </w:rPr>
      </w:r>
      <w:r/>
    </w:p>
    <w:p>
      <w:pPr>
        <w:ind w:firstLine="5040"/>
        <w:spacing w:line="360" w:lineRule="auto"/>
        <w:rPr>
          <w:rFonts w:hint="eastAsia" w:ascii="仿宋" w:hAnsi="仿宋" w:eastAsia="仿宋" w:cs="仿宋"/>
          <w:b/>
          <w:sz w:val="24"/>
          <w:highlight w:val="none"/>
        </w:rPr>
      </w:pPr>
      <w:r>
        <w:rPr>
          <w:rFonts w:hint="eastAsia" w:ascii="仿宋" w:hAnsi="仿宋" w:eastAsia="仿宋" w:cs="仿宋"/>
          <w:b/>
          <w:sz w:val="24"/>
          <w:highlight w:val="none"/>
        </w:rPr>
      </w:r>
      <w:r/>
    </w:p>
    <w:sectPr>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仿宋">
    <w:panose1 w:val="02010609060101010101"/>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Sim Sun">
    <w:panose1 w:val="0201060003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Pr>
        <w:rFonts w:hint="eastAsia" w:ascii="仿宋" w:hAnsi="仿宋" w:eastAsia="仿宋" w:cs="仿宋"/>
      </w:rPr>
      <w:t xml:space="preserve">源成工程咨询（江苏南京）有限责任公司第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ascii="仿宋" w:hAnsi="仿宋" w:eastAsia="仿宋" w:cs="仿宋"/>
      </w:rPr>
      <w:t xml:space="preserve">37</w:t>
    </w:r>
    <w:r>
      <w:rPr>
        <w:rFonts w:hint="eastAsia" w:ascii="仿宋" w:hAnsi="仿宋" w:eastAsia="仿宋" w:cs="仿宋"/>
      </w:rPr>
      <w:fldChar w:fldCharType="end"/>
    </w:r>
    <w:r>
      <w:rPr>
        <w:rFonts w:hint="eastAsia" w:ascii="仿宋" w:hAnsi="仿宋" w:eastAsia="仿宋" w:cs="仿宋"/>
      </w:rPr>
      <w:t xml:space="preserve"> 页 共 69 页                             电话：025-86803150</w:t>
    </w:r>
    <w:r/>
  </w:p>
  <w:p>
    <w:pPr>
      <w:pStyle w:val="845"/>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p>
    <w:pPr>
      <w:pStyle w:val="845"/>
      <w:spacing w:line="14" w:lineRule="auto"/>
      <w:rPr>
        <w:sz w:val="20"/>
      </w:rPr>
    </w:pPr>
    <w:r>
      <w:rPr>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6"/>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6"/>
                          </w:pPr>
                          <w:r>
                            <w:fldChar w:fldCharType="begin"/>
                          </w:r>
                          <w:r>
                            <w:instrText xml:space="preserve"> PAGE  \* MERGEFORMAT </w:instrText>
                          </w:r>
                          <w:r>
                            <w:fldChar w:fldCharType="separate"/>
                          </w:r>
                          <w:r>
                            <w:t xml:space="preserve">76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76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56"/>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6"/>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13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50"/>
      <w:isLgl/>
      <w:suff w:val="tab"/>
      <w:lvlText w:val="%1.%2"/>
      <w:lvlJc w:val="left"/>
      <w:pPr>
        <w:ind w:left="425" w:hanging="425"/>
      </w:pPr>
      <w:rPr>
        <w:rFonts w:hint="eastAsia" w:ascii="Arial Unicode MS" w:hAnsi="Arial Unicode MS" w:eastAsia="微软雅黑"/>
        <w:b/>
        <w:i w:val="0"/>
      </w:rPr>
    </w:lvl>
    <w:lvl w:ilvl="2">
      <w:start w:val="1"/>
      <w:numFmt w:val="decimal"/>
      <w:pStyle w:val="116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826"/>
      <w:isLgl w:val="false"/>
      <w:suff w:val="nothing"/>
      <w:lvlText w:val="第%1章"/>
      <w:lvlJc w:val="left"/>
      <w:pPr>
        <w:ind w:left="0" w:firstLine="0"/>
      </w:pPr>
    </w:lvl>
    <w:lvl w:ilvl="1">
      <w:start w:val="1"/>
      <w:numFmt w:val="none"/>
      <w:pStyle w:val="827"/>
      <w:isLgl w:val="false"/>
      <w:suff w:val="nothing"/>
      <w:lvlText w:val=""/>
      <w:lvlJc w:val="left"/>
      <w:pPr>
        <w:ind w:left="0" w:firstLine="0"/>
      </w:pPr>
    </w:lvl>
    <w:lvl w:ilvl="2">
      <w:start w:val="1"/>
      <w:numFmt w:val="none"/>
      <w:pStyle w:val="828"/>
      <w:isLgl w:val="false"/>
      <w:suff w:val="nothing"/>
      <w:lvlText w:val=""/>
      <w:lvlJc w:val="left"/>
      <w:pPr>
        <w:ind w:left="0" w:firstLine="0"/>
      </w:pPr>
    </w:lvl>
    <w:lvl w:ilvl="3">
      <w:start w:val="1"/>
      <w:numFmt w:val="none"/>
      <w:pStyle w:val="829"/>
      <w:isLgl w:val="false"/>
      <w:suff w:val="nothing"/>
      <w:lvlText w:val=""/>
      <w:lvlJc w:val="left"/>
      <w:pPr>
        <w:ind w:left="0" w:firstLine="0"/>
      </w:pPr>
    </w:lvl>
    <w:lvl w:ilvl="4">
      <w:start w:val="1"/>
      <w:numFmt w:val="none"/>
      <w:pStyle w:val="830"/>
      <w:isLgl w:val="false"/>
      <w:suff w:val="nothing"/>
      <w:lvlText w:val=""/>
      <w:lvlJc w:val="left"/>
      <w:pPr>
        <w:ind w:left="0" w:firstLine="0"/>
      </w:pPr>
    </w:lvl>
    <w:lvl w:ilvl="5">
      <w:start w:val="1"/>
      <w:numFmt w:val="none"/>
      <w:pStyle w:val="831"/>
      <w:isLgl w:val="false"/>
      <w:suff w:val="nothing"/>
      <w:lvlText w:val=""/>
      <w:lvlJc w:val="left"/>
      <w:pPr>
        <w:ind w:left="0" w:firstLine="0"/>
      </w:pPr>
    </w:lvl>
    <w:lvl w:ilvl="6">
      <w:start w:val="1"/>
      <w:numFmt w:val="none"/>
      <w:pStyle w:val="832"/>
      <w:isLgl w:val="false"/>
      <w:suff w:val="nothing"/>
      <w:lvlText w:val=""/>
      <w:lvlJc w:val="left"/>
      <w:pPr>
        <w:ind w:left="0" w:firstLine="0"/>
      </w:pPr>
    </w:lvl>
    <w:lvl w:ilvl="7">
      <w:start w:val="1"/>
      <w:numFmt w:val="none"/>
      <w:pStyle w:val="833"/>
      <w:isLgl w:val="false"/>
      <w:suff w:val="nothing"/>
      <w:lvlText w:val=""/>
      <w:lvlJc w:val="left"/>
      <w:pPr>
        <w:ind w:left="0" w:firstLine="0"/>
      </w:pPr>
    </w:lvl>
    <w:lvl w:ilvl="8">
      <w:start w:val="1"/>
      <w:numFmt w:val="none"/>
      <w:pStyle w:val="834"/>
      <w:isLgl w:val="false"/>
      <w:suff w:val="nothing"/>
      <w:lvlText w:val=""/>
      <w:lvlJc w:val="left"/>
      <w:pPr>
        <w:ind w:left="0" w:firstLine="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9">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0">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1">
    <w:multiLevelType w:val="hybridMultilevel"/>
    <w:lvl w:ilvl="0">
      <w:start w:val="1"/>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2">
    <w:multiLevelType w:val="hybridMultilevel"/>
    <w:lvl w:ilvl="0">
      <w:start w:val="6"/>
      <w:numFmt w:val="decimal"/>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8"/>
  </w:num>
  <w:num w:numId="2">
    <w:abstractNumId w:val="3"/>
  </w:num>
  <w:num w:numId="3">
    <w:abstractNumId w:val="15"/>
  </w:num>
  <w:num w:numId="4">
    <w:abstractNumId w:val="1"/>
  </w:num>
  <w:num w:numId="5">
    <w:abstractNumId w:val="2"/>
  </w:num>
  <w:num w:numId="6">
    <w:abstractNumId w:val="12"/>
  </w:num>
  <w:num w:numId="7">
    <w:abstractNumId w:val="14"/>
  </w:num>
  <w:num w:numId="8">
    <w:abstractNumId w:val="22"/>
  </w:num>
  <w:num w:numId="9">
    <w:abstractNumId w:val="17"/>
  </w:num>
  <w:num w:numId="10">
    <w:abstractNumId w:val="20"/>
  </w:num>
  <w:num w:numId="11">
    <w:abstractNumId w:val="16"/>
  </w:num>
  <w:num w:numId="12">
    <w:abstractNumId w:val="9"/>
  </w:num>
  <w:num w:numId="13">
    <w:abstractNumId w:val="0"/>
  </w:num>
  <w:num w:numId="14">
    <w:abstractNumId w:val="4"/>
  </w:num>
  <w:num w:numId="15">
    <w:abstractNumId w:val="19"/>
  </w:num>
  <w:num w:numId="16">
    <w:abstractNumId w:val="11"/>
  </w:num>
  <w:num w:numId="17">
    <w:abstractNumId w:val="18"/>
  </w:num>
  <w:num w:numId="18">
    <w:abstractNumId w:val="10"/>
  </w:num>
  <w:num w:numId="19">
    <w:abstractNumId w:val="13"/>
  </w:num>
  <w:num w:numId="20">
    <w:abstractNumId w:val="21"/>
  </w:num>
  <w:num w:numId="21">
    <w:abstractNumId w:val="7"/>
  </w:num>
  <w:num w:numId="22">
    <w:abstractNumId w:val="5"/>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97"/>
    <w:uiPriority w:val="29"/>
    <w:rPr>
      <w:i/>
    </w:rPr>
  </w:style>
  <w:style w:type="character" w:styleId="40">
    <w:name w:val="Intense Quote Char"/>
    <w:link w:val="899"/>
    <w:uiPriority w:val="30"/>
    <w:rPr>
      <w:i/>
    </w:rPr>
  </w:style>
  <w:style w:type="table" w:styleId="49">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63"/>
    <w:uiPriority w:val="99"/>
    <w:rPr>
      <w:sz w:val="18"/>
    </w:rPr>
  </w:style>
  <w:style w:type="character" w:styleId="178">
    <w:name w:val="Endnote Text Char"/>
    <w:link w:val="854"/>
    <w:uiPriority w:val="99"/>
    <w:rPr>
      <w:sz w:val="20"/>
    </w:rPr>
  </w:style>
  <w:style w:type="paragraph" w:styleId="189">
    <w:name w:val="TOC Heading"/>
    <w:uiPriority w:val="39"/>
    <w:unhideWhenUsed/>
  </w:style>
  <w:style w:type="paragraph" w:styleId="825" w:default="1">
    <w:name w:val="Normal"/>
    <w:next w:val="837"/>
    <w:uiPriority w:val="0"/>
    <w:qFormat/>
    <w:pPr>
      <w:jc w:val="both"/>
      <w:widowControl w:val="off"/>
    </w:pPr>
    <w:rPr>
      <w:rFonts w:ascii="Times New Roman" w:hAnsi="Times New Roman" w:eastAsia="宋体" w:cs="Times New Roman"/>
      <w:sz w:val="21"/>
      <w:szCs w:val="24"/>
      <w:lang w:val="en-US" w:eastAsia="zh-CN" w:bidi="ar-SA"/>
    </w:rPr>
  </w:style>
  <w:style w:type="paragraph" w:styleId="826">
    <w:name w:val="Heading 1"/>
    <w:basedOn w:val="825"/>
    <w:next w:val="825"/>
    <w:link w:val="1221"/>
    <w:uiPriority w:val="0"/>
    <w:qFormat/>
    <w:pPr>
      <w:numPr>
        <w:ilvl w:val="0"/>
        <w:numId w:val="1"/>
      </w:numPr>
      <w:jc w:val="center"/>
      <w:keepLines/>
      <w:keepNext/>
      <w:spacing w:before="340" w:after="330" w:line="578" w:lineRule="auto"/>
      <w:outlineLvl w:val="0"/>
    </w:pPr>
    <w:rPr>
      <w:b/>
      <w:bCs/>
      <w:sz w:val="32"/>
      <w:szCs w:val="44"/>
    </w:rPr>
  </w:style>
  <w:style w:type="paragraph" w:styleId="827">
    <w:name w:val="Heading 2"/>
    <w:basedOn w:val="825"/>
    <w:next w:val="825"/>
    <w:link w:val="104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28">
    <w:name w:val="Heading 3"/>
    <w:basedOn w:val="825"/>
    <w:next w:val="825"/>
    <w:link w:val="1086"/>
    <w:uiPriority w:val="0"/>
    <w:qFormat/>
    <w:pPr>
      <w:numPr>
        <w:ilvl w:val="2"/>
        <w:numId w:val="1"/>
      </w:numPr>
      <w:keepLines/>
      <w:keepNext/>
      <w:spacing w:before="260" w:after="260" w:line="416" w:lineRule="auto"/>
      <w:outlineLvl w:val="2"/>
    </w:pPr>
    <w:rPr>
      <w:b/>
      <w:bCs/>
      <w:sz w:val="32"/>
      <w:szCs w:val="32"/>
    </w:rPr>
  </w:style>
  <w:style w:type="paragraph" w:styleId="829">
    <w:name w:val="Heading 4"/>
    <w:basedOn w:val="825"/>
    <w:next w:val="825"/>
    <w:link w:val="112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30">
    <w:name w:val="Heading 5"/>
    <w:basedOn w:val="825"/>
    <w:next w:val="825"/>
    <w:link w:val="1076"/>
    <w:uiPriority w:val="0"/>
    <w:qFormat/>
    <w:pPr>
      <w:numPr>
        <w:ilvl w:val="4"/>
        <w:numId w:val="1"/>
      </w:numPr>
      <w:keepLines/>
      <w:keepNext/>
      <w:spacing w:before="280" w:after="290" w:line="376" w:lineRule="auto"/>
      <w:outlineLvl w:val="4"/>
    </w:pPr>
    <w:rPr>
      <w:b/>
      <w:bCs/>
      <w:sz w:val="28"/>
      <w:szCs w:val="28"/>
    </w:rPr>
  </w:style>
  <w:style w:type="paragraph" w:styleId="831">
    <w:name w:val="Heading 6"/>
    <w:basedOn w:val="825"/>
    <w:next w:val="825"/>
    <w:link w:val="1062"/>
    <w:uiPriority w:val="0"/>
    <w:qFormat/>
    <w:pPr>
      <w:numPr>
        <w:ilvl w:val="5"/>
        <w:numId w:val="1"/>
      </w:numPr>
      <w:keepLines/>
      <w:keepNext/>
      <w:spacing w:before="240" w:after="64" w:line="320" w:lineRule="auto"/>
      <w:outlineLvl w:val="5"/>
    </w:pPr>
    <w:rPr>
      <w:rFonts w:ascii="Cambria" w:hAnsi="Cambria"/>
      <w:b/>
      <w:bCs/>
      <w:sz w:val="24"/>
    </w:rPr>
  </w:style>
  <w:style w:type="paragraph" w:styleId="832">
    <w:name w:val="Heading 7"/>
    <w:basedOn w:val="825"/>
    <w:next w:val="825"/>
    <w:link w:val="1117"/>
    <w:uiPriority w:val="0"/>
    <w:qFormat/>
    <w:pPr>
      <w:numPr>
        <w:ilvl w:val="6"/>
        <w:numId w:val="1"/>
      </w:numPr>
      <w:keepLines/>
      <w:keepNext/>
      <w:spacing w:before="240" w:after="64" w:line="320" w:lineRule="auto"/>
      <w:outlineLvl w:val="6"/>
    </w:pPr>
    <w:rPr>
      <w:b/>
      <w:bCs/>
      <w:sz w:val="24"/>
    </w:rPr>
  </w:style>
  <w:style w:type="paragraph" w:styleId="833">
    <w:name w:val="Heading 8"/>
    <w:basedOn w:val="825"/>
    <w:next w:val="825"/>
    <w:link w:val="1102"/>
    <w:uiPriority w:val="0"/>
    <w:qFormat/>
    <w:pPr>
      <w:numPr>
        <w:ilvl w:val="7"/>
        <w:numId w:val="1"/>
      </w:numPr>
      <w:keepLines/>
      <w:keepNext/>
      <w:spacing w:before="240" w:after="64" w:line="320" w:lineRule="auto"/>
      <w:outlineLvl w:val="7"/>
    </w:pPr>
    <w:rPr>
      <w:rFonts w:ascii="Cambria" w:hAnsi="Cambria"/>
      <w:sz w:val="24"/>
    </w:rPr>
  </w:style>
  <w:style w:type="paragraph" w:styleId="834">
    <w:name w:val="Heading 9"/>
    <w:basedOn w:val="825"/>
    <w:next w:val="825"/>
    <w:link w:val="1080"/>
    <w:uiPriority w:val="0"/>
    <w:qFormat/>
    <w:pPr>
      <w:numPr>
        <w:ilvl w:val="8"/>
        <w:numId w:val="1"/>
      </w:numPr>
      <w:keepLines/>
      <w:keepNext/>
      <w:spacing w:before="240" w:after="64" w:line="320" w:lineRule="auto"/>
      <w:outlineLvl w:val="8"/>
    </w:pPr>
    <w:rPr>
      <w:rFonts w:ascii="Cambria" w:hAnsi="Cambria"/>
      <w:szCs w:val="21"/>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List Paragraph"/>
    <w:basedOn w:val="825"/>
    <w:uiPriority w:val="34"/>
    <w:qFormat/>
    <w:pPr>
      <w:ind w:firstLine="420"/>
    </w:pPr>
  </w:style>
  <w:style w:type="paragraph" w:styleId="838">
    <w:name w:val="List 3"/>
    <w:basedOn w:val="825"/>
    <w:uiPriority w:val="99"/>
    <w:unhideWhenUsed/>
    <w:qFormat/>
    <w:pPr>
      <w:ind w:left="1260" w:hanging="420"/>
      <w:spacing w:before="100" w:beforeAutospacing="1" w:after="100" w:afterAutospacing="1"/>
    </w:pPr>
    <w:rPr>
      <w:szCs w:val="21"/>
    </w:rPr>
  </w:style>
  <w:style w:type="paragraph" w:styleId="839">
    <w:name w:val="toc 7"/>
    <w:basedOn w:val="825"/>
    <w:next w:val="825"/>
    <w:uiPriority w:val="39"/>
    <w:unhideWhenUsed/>
    <w:qFormat/>
    <w:pPr>
      <w:ind w:left="2520"/>
    </w:pPr>
    <w:rPr>
      <w:rFonts w:ascii="Calibri" w:hAnsi="Calibri"/>
      <w:szCs w:val="22"/>
    </w:rPr>
  </w:style>
  <w:style w:type="paragraph" w:styleId="840">
    <w:name w:val="Normal Indent"/>
    <w:basedOn w:val="825"/>
    <w:uiPriority w:val="0"/>
    <w:qFormat/>
    <w:pPr>
      <w:ind w:firstLine="420"/>
    </w:pPr>
    <w:rPr>
      <w:b/>
      <w:sz w:val="24"/>
      <w:szCs w:val="20"/>
    </w:rPr>
  </w:style>
  <w:style w:type="paragraph" w:styleId="841">
    <w:name w:val="Caption"/>
    <w:basedOn w:val="825"/>
    <w:next w:val="825"/>
    <w:uiPriority w:val="0"/>
    <w:qFormat/>
    <w:rPr>
      <w:rFonts w:ascii="Cambria" w:hAnsi="Cambria" w:eastAsia="黑体"/>
      <w:sz w:val="20"/>
      <w:szCs w:val="22"/>
    </w:rPr>
  </w:style>
  <w:style w:type="paragraph" w:styleId="842">
    <w:name w:val="Document Map"/>
    <w:basedOn w:val="825"/>
    <w:link w:val="1070"/>
    <w:uiPriority w:val="0"/>
    <w:qFormat/>
    <w:rPr>
      <w:rFonts w:ascii="宋体"/>
      <w:sz w:val="18"/>
      <w:szCs w:val="18"/>
    </w:rPr>
  </w:style>
  <w:style w:type="paragraph" w:styleId="843">
    <w:name w:val="annotation text"/>
    <w:basedOn w:val="825"/>
    <w:link w:val="1094"/>
    <w:uiPriority w:val="99"/>
    <w:qFormat/>
    <w:pPr>
      <w:jc w:val="left"/>
    </w:pPr>
  </w:style>
  <w:style w:type="paragraph" w:styleId="844">
    <w:name w:val="Body Text 3"/>
    <w:basedOn w:val="825"/>
    <w:link w:val="1113"/>
    <w:uiPriority w:val="0"/>
    <w:qFormat/>
    <w:rPr>
      <w:rFonts w:ascii="宋体"/>
      <w:sz w:val="24"/>
      <w:szCs w:val="20"/>
    </w:rPr>
  </w:style>
  <w:style w:type="paragraph" w:styleId="845">
    <w:name w:val="Body Text"/>
    <w:basedOn w:val="825"/>
    <w:link w:val="1101"/>
    <w:uiPriority w:val="0"/>
    <w:qFormat/>
    <w:pPr>
      <w:jc w:val="center"/>
    </w:pPr>
    <w:rPr>
      <w:rFonts w:eastAsia="幼圆"/>
      <w:b/>
      <w:bCs/>
      <w:sz w:val="44"/>
    </w:rPr>
  </w:style>
  <w:style w:type="paragraph" w:styleId="846">
    <w:name w:val="Body Text Indent"/>
    <w:basedOn w:val="825"/>
    <w:next w:val="825"/>
    <w:link w:val="1057"/>
    <w:uiPriority w:val="0"/>
    <w:qFormat/>
    <w:pPr>
      <w:ind w:left="420"/>
      <w:spacing w:after="120"/>
    </w:pPr>
  </w:style>
  <w:style w:type="paragraph" w:styleId="847">
    <w:name w:val="index 4"/>
    <w:basedOn w:val="825"/>
    <w:next w:val="825"/>
    <w:uiPriority w:val="0"/>
    <w:qFormat/>
    <w:pPr>
      <w:ind w:left="600"/>
    </w:pPr>
    <w:rPr>
      <w:rFonts w:ascii="Calibri" w:hAnsi="Calibri"/>
    </w:rPr>
  </w:style>
  <w:style w:type="paragraph" w:styleId="848">
    <w:name w:val="toc 5"/>
    <w:basedOn w:val="825"/>
    <w:next w:val="825"/>
    <w:uiPriority w:val="39"/>
    <w:unhideWhenUsed/>
    <w:qFormat/>
    <w:pPr>
      <w:ind w:left="1680"/>
    </w:pPr>
    <w:rPr>
      <w:rFonts w:ascii="Calibri" w:hAnsi="Calibri"/>
      <w:szCs w:val="22"/>
    </w:rPr>
  </w:style>
  <w:style w:type="paragraph" w:styleId="849">
    <w:name w:val="toc 3"/>
    <w:basedOn w:val="825"/>
    <w:next w:val="825"/>
    <w:uiPriority w:val="39"/>
    <w:qFormat/>
    <w:pPr>
      <w:ind w:left="840"/>
    </w:pPr>
    <w:rPr>
      <w:rFonts w:ascii="Calibri" w:hAnsi="Calibri"/>
      <w:szCs w:val="22"/>
    </w:rPr>
  </w:style>
  <w:style w:type="paragraph" w:styleId="850">
    <w:name w:val="Plain Text"/>
    <w:basedOn w:val="825"/>
    <w:link w:val="1063"/>
    <w:uiPriority w:val="0"/>
    <w:qFormat/>
    <w:rPr>
      <w:rFonts w:ascii="Ari"/>
    </w:rPr>
  </w:style>
  <w:style w:type="paragraph" w:styleId="851">
    <w:name w:val="toc 8"/>
    <w:basedOn w:val="825"/>
    <w:next w:val="825"/>
    <w:uiPriority w:val="39"/>
    <w:unhideWhenUsed/>
    <w:qFormat/>
    <w:pPr>
      <w:ind w:left="2940"/>
    </w:pPr>
    <w:rPr>
      <w:rFonts w:ascii="Calibri" w:hAnsi="Calibri"/>
      <w:szCs w:val="22"/>
    </w:rPr>
  </w:style>
  <w:style w:type="paragraph" w:styleId="852">
    <w:name w:val="Date"/>
    <w:basedOn w:val="825"/>
    <w:next w:val="825"/>
    <w:link w:val="1071"/>
    <w:uiPriority w:val="0"/>
    <w:unhideWhenUsed/>
    <w:qFormat/>
  </w:style>
  <w:style w:type="paragraph" w:styleId="853">
    <w:name w:val="Body Text Indent 2"/>
    <w:basedOn w:val="825"/>
    <w:link w:val="1093"/>
    <w:uiPriority w:val="99"/>
    <w:unhideWhenUsed/>
    <w:qFormat/>
    <w:pPr>
      <w:ind w:firstLine="525"/>
      <w:spacing w:line="420" w:lineRule="exact"/>
    </w:pPr>
    <w:rPr>
      <w:rFonts w:ascii="宋体"/>
      <w:sz w:val="20"/>
      <w:szCs w:val="20"/>
    </w:rPr>
  </w:style>
  <w:style w:type="paragraph" w:styleId="854">
    <w:name w:val="endnote text"/>
    <w:basedOn w:val="825"/>
    <w:link w:val="1030"/>
    <w:uiPriority w:val="99"/>
    <w:semiHidden/>
    <w:unhideWhenUsed/>
    <w:qFormat/>
    <w:rPr>
      <w:sz w:val="20"/>
    </w:rPr>
  </w:style>
  <w:style w:type="paragraph" w:styleId="855">
    <w:name w:val="Balloon Text"/>
    <w:basedOn w:val="825"/>
    <w:link w:val="1116"/>
    <w:uiPriority w:val="0"/>
    <w:qFormat/>
    <w:rPr>
      <w:sz w:val="18"/>
      <w:szCs w:val="18"/>
    </w:rPr>
  </w:style>
  <w:style w:type="paragraph" w:styleId="856">
    <w:name w:val="Footer"/>
    <w:basedOn w:val="825"/>
    <w:link w:val="1106"/>
    <w:uiPriority w:val="99"/>
    <w:qFormat/>
    <w:pPr>
      <w:jc w:val="left"/>
      <w:tabs>
        <w:tab w:val="center" w:pos="4153" w:leader="none"/>
        <w:tab w:val="right" w:pos="8306" w:leader="none"/>
      </w:tabs>
    </w:pPr>
    <w:rPr>
      <w:sz w:val="18"/>
      <w:szCs w:val="18"/>
    </w:rPr>
  </w:style>
  <w:style w:type="paragraph" w:styleId="857">
    <w:name w:val="Header"/>
    <w:basedOn w:val="825"/>
    <w:link w:val="1061"/>
    <w:uiPriority w:val="0"/>
    <w:qFormat/>
    <w:pPr>
      <w:jc w:val="center"/>
      <w:tabs>
        <w:tab w:val="center" w:pos="4153" w:leader="none"/>
        <w:tab w:val="right" w:pos="8306" w:leader="none"/>
      </w:tabs>
      <w:pBdr>
        <w:bottom w:val="single" w:color="auto" w:sz="6" w:space="1"/>
      </w:pBdr>
    </w:pPr>
    <w:rPr>
      <w:sz w:val="18"/>
      <w:szCs w:val="18"/>
    </w:rPr>
  </w:style>
  <w:style w:type="paragraph" w:styleId="858">
    <w:name w:val="toc 1"/>
    <w:basedOn w:val="825"/>
    <w:next w:val="825"/>
    <w:uiPriority w:val="39"/>
    <w:qFormat/>
  </w:style>
  <w:style w:type="paragraph" w:styleId="859">
    <w:name w:val="toc 4"/>
    <w:basedOn w:val="825"/>
    <w:next w:val="825"/>
    <w:uiPriority w:val="39"/>
    <w:unhideWhenUsed/>
    <w:qFormat/>
    <w:pPr>
      <w:ind w:left="1260"/>
    </w:pPr>
    <w:rPr>
      <w:rFonts w:ascii="Calibri" w:hAnsi="Calibri"/>
      <w:szCs w:val="22"/>
    </w:rPr>
  </w:style>
  <w:style w:type="paragraph" w:styleId="860">
    <w:name w:val="index heading"/>
    <w:basedOn w:val="825"/>
    <w:next w:val="861"/>
    <w:uiPriority w:val="99"/>
    <w:unhideWhenUsed/>
    <w:qFormat/>
    <w:pPr>
      <w:tabs>
        <w:tab w:val="left" w:pos="240" w:leader="none"/>
      </w:tabs>
    </w:pPr>
  </w:style>
  <w:style w:type="paragraph" w:styleId="861">
    <w:name w:val="index 1"/>
    <w:basedOn w:val="825"/>
    <w:next w:val="825"/>
    <w:uiPriority w:val="0"/>
    <w:qFormat/>
    <w:pPr>
      <w:jc w:val="center"/>
      <w:spacing w:line="220" w:lineRule="exact"/>
    </w:pPr>
    <w:rPr>
      <w:rFonts w:ascii="仿宋_GB2312" w:hAnsi="Calibri" w:eastAsia="仿宋_GB2312"/>
      <w:szCs w:val="22"/>
    </w:rPr>
  </w:style>
  <w:style w:type="paragraph" w:styleId="862">
    <w:name w:val="Subtitle"/>
    <w:basedOn w:val="825"/>
    <w:next w:val="825"/>
    <w:link w:val="1089"/>
    <w:uiPriority w:val="0"/>
    <w:qFormat/>
    <w:pPr>
      <w:jc w:val="center"/>
      <w:spacing w:before="240" w:after="60" w:line="312" w:lineRule="auto"/>
      <w:outlineLvl w:val="1"/>
    </w:pPr>
    <w:rPr>
      <w:rFonts w:ascii="Cambria" w:hAnsi="Cambria"/>
      <w:b/>
      <w:bCs/>
      <w:sz w:val="32"/>
      <w:szCs w:val="32"/>
    </w:rPr>
  </w:style>
  <w:style w:type="paragraph" w:styleId="863">
    <w:name w:val="footnote text"/>
    <w:basedOn w:val="825"/>
    <w:link w:val="1029"/>
    <w:uiPriority w:val="99"/>
    <w:semiHidden/>
    <w:unhideWhenUsed/>
    <w:qFormat/>
    <w:pPr>
      <w:spacing w:after="40"/>
    </w:pPr>
    <w:rPr>
      <w:sz w:val="18"/>
    </w:rPr>
  </w:style>
  <w:style w:type="paragraph" w:styleId="864">
    <w:name w:val="toc 6"/>
    <w:basedOn w:val="825"/>
    <w:next w:val="825"/>
    <w:uiPriority w:val="39"/>
    <w:unhideWhenUsed/>
    <w:qFormat/>
    <w:pPr>
      <w:ind w:left="2100"/>
    </w:pPr>
    <w:rPr>
      <w:rFonts w:ascii="Calibri" w:hAnsi="Calibri"/>
      <w:szCs w:val="22"/>
    </w:rPr>
  </w:style>
  <w:style w:type="paragraph" w:styleId="865">
    <w:name w:val="Body Text Indent 3"/>
    <w:basedOn w:val="825"/>
    <w:link w:val="1114"/>
    <w:uiPriority w:val="0"/>
    <w:qFormat/>
    <w:pPr>
      <w:ind w:left="420"/>
      <w:spacing w:after="120"/>
    </w:pPr>
    <w:rPr>
      <w:sz w:val="16"/>
      <w:szCs w:val="20"/>
    </w:rPr>
  </w:style>
  <w:style w:type="paragraph" w:styleId="866">
    <w:name w:val="table of figures"/>
    <w:basedOn w:val="825"/>
    <w:next w:val="825"/>
    <w:uiPriority w:val="99"/>
    <w:unhideWhenUsed/>
    <w:qFormat/>
  </w:style>
  <w:style w:type="paragraph" w:styleId="867">
    <w:name w:val="toc 2"/>
    <w:basedOn w:val="825"/>
    <w:next w:val="825"/>
    <w:uiPriority w:val="39"/>
    <w:qFormat/>
    <w:pPr>
      <w:ind w:left="420"/>
    </w:pPr>
    <w:rPr>
      <w:rFonts w:ascii="Calibri" w:hAnsi="Calibri"/>
      <w:szCs w:val="22"/>
    </w:rPr>
  </w:style>
  <w:style w:type="paragraph" w:styleId="868">
    <w:name w:val="toc 9"/>
    <w:basedOn w:val="825"/>
    <w:next w:val="825"/>
    <w:uiPriority w:val="39"/>
    <w:unhideWhenUsed/>
    <w:qFormat/>
    <w:pPr>
      <w:ind w:left="3360"/>
    </w:pPr>
    <w:rPr>
      <w:rFonts w:ascii="Calibri" w:hAnsi="Calibri"/>
      <w:szCs w:val="22"/>
    </w:rPr>
  </w:style>
  <w:style w:type="paragraph" w:styleId="869">
    <w:name w:val="HTML Preformatted"/>
    <w:basedOn w:val="82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70">
    <w:name w:val="Normal (Web)"/>
    <w:basedOn w:val="825"/>
    <w:uiPriority w:val="99"/>
    <w:qFormat/>
    <w:pPr>
      <w:jc w:val="left"/>
      <w:spacing w:before="100" w:beforeAutospacing="1" w:after="100" w:afterAutospacing="1"/>
      <w:widowControl/>
    </w:pPr>
    <w:rPr>
      <w:rFonts w:ascii="宋体" w:hAnsi="宋体" w:cs="宋体"/>
      <w:sz w:val="24"/>
    </w:rPr>
  </w:style>
  <w:style w:type="paragraph" w:styleId="871">
    <w:name w:val="Title"/>
    <w:basedOn w:val="825"/>
    <w:next w:val="825"/>
    <w:link w:val="1066"/>
    <w:uiPriority w:val="0"/>
    <w:qFormat/>
    <w:pPr>
      <w:jc w:val="center"/>
      <w:spacing w:before="240" w:after="60" w:line="420" w:lineRule="atLeast"/>
      <w:outlineLvl w:val="0"/>
    </w:pPr>
    <w:rPr>
      <w:rFonts w:ascii="Arial" w:hAnsi="Arial"/>
      <w:b/>
      <w:sz w:val="32"/>
      <w:szCs w:val="20"/>
    </w:rPr>
  </w:style>
  <w:style w:type="paragraph" w:styleId="872">
    <w:name w:val="annotation subject"/>
    <w:basedOn w:val="843"/>
    <w:next w:val="843"/>
    <w:link w:val="1104"/>
    <w:uiPriority w:val="0"/>
    <w:qFormat/>
    <w:rPr>
      <w:b/>
      <w:bCs/>
    </w:rPr>
  </w:style>
  <w:style w:type="paragraph" w:styleId="873">
    <w:name w:val="Body Text First Indent"/>
    <w:basedOn w:val="845"/>
    <w:uiPriority w:val="0"/>
    <w:qFormat/>
    <w:pPr>
      <w:ind w:firstLine="420"/>
    </w:pPr>
  </w:style>
  <w:style w:type="paragraph" w:styleId="874">
    <w:name w:val="Body Text First Indent 2"/>
    <w:basedOn w:val="846"/>
    <w:uiPriority w:val="99"/>
    <w:qFormat/>
    <w:pPr>
      <w:ind w:firstLine="420"/>
    </w:pPr>
  </w:style>
  <w:style w:type="table" w:styleId="875">
    <w:name w:val="Table Grid"/>
    <w:basedOn w:val="83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6">
    <w:name w:val="Strong"/>
    <w:uiPriority w:val="0"/>
    <w:qFormat/>
    <w:rPr>
      <w:rFonts w:cs="Times New Roman"/>
      <w:b/>
    </w:rPr>
  </w:style>
  <w:style w:type="character" w:styleId="877">
    <w:name w:val="endnote reference"/>
    <w:basedOn w:val="835"/>
    <w:uiPriority w:val="99"/>
    <w:semiHidden/>
    <w:unhideWhenUsed/>
    <w:qFormat/>
    <w:rPr>
      <w:vertAlign w:val="superscript"/>
    </w:rPr>
  </w:style>
  <w:style w:type="character" w:styleId="878">
    <w:name w:val="page number"/>
    <w:basedOn w:val="835"/>
    <w:uiPriority w:val="0"/>
    <w:qFormat/>
    <w:rPr>
      <w:rFonts w:eastAsia="宋体"/>
      <w:b/>
      <w:spacing w:val="0"/>
      <w:sz w:val="24"/>
      <w:szCs w:val="24"/>
      <w:vertAlign w:val="baseline"/>
      <w:lang w:val="en-US" w:eastAsia="zh-CN" w:bidi="ar-SA"/>
    </w:rPr>
  </w:style>
  <w:style w:type="character" w:styleId="879">
    <w:name w:val="FollowedHyperlink"/>
    <w:uiPriority w:val="0"/>
    <w:qFormat/>
    <w:rPr>
      <w:color w:val="800080"/>
      <w:u w:val="single"/>
    </w:rPr>
  </w:style>
  <w:style w:type="character" w:styleId="880">
    <w:name w:val="Emphasis"/>
    <w:uiPriority w:val="0"/>
    <w:qFormat/>
    <w:rPr>
      <w:color w:val="cc0000"/>
    </w:rPr>
  </w:style>
  <w:style w:type="character" w:styleId="881">
    <w:name w:val="Hyperlink"/>
    <w:basedOn w:val="835"/>
    <w:uiPriority w:val="99"/>
    <w:qFormat/>
    <w:rPr>
      <w:color w:val="0000ff"/>
      <w:u w:val="single"/>
    </w:rPr>
  </w:style>
  <w:style w:type="character" w:styleId="882">
    <w:name w:val="annotation reference"/>
    <w:uiPriority w:val="99"/>
    <w:qFormat/>
    <w:rPr>
      <w:sz w:val="21"/>
      <w:szCs w:val="21"/>
    </w:rPr>
  </w:style>
  <w:style w:type="character" w:styleId="883">
    <w:name w:val="HTML Cite"/>
    <w:uiPriority w:val="0"/>
    <w:qFormat/>
    <w:rPr>
      <w:color w:val="008000"/>
    </w:rPr>
  </w:style>
  <w:style w:type="character" w:styleId="884">
    <w:name w:val="footnote reference"/>
    <w:basedOn w:val="835"/>
    <w:uiPriority w:val="99"/>
    <w:unhideWhenUsed/>
    <w:qFormat/>
    <w:rPr>
      <w:vertAlign w:val="superscript"/>
    </w:rPr>
  </w:style>
  <w:style w:type="paragraph" w:styleId="885" w:customStyle="1">
    <w:name w:val="首行缩进"/>
    <w:basedOn w:val="825"/>
    <w:uiPriority w:val="0"/>
    <w:qFormat/>
    <w:pPr>
      <w:ind w:firstLine="480"/>
      <w:spacing w:line="360" w:lineRule="auto"/>
    </w:pPr>
    <w:rPr>
      <w:rFonts w:ascii="宋体" w:hAnsi="宋体" w:cs="宋体"/>
      <w:sz w:val="24"/>
    </w:rPr>
  </w:style>
  <w:style w:type="character" w:styleId="886" w:customStyle="1">
    <w:name w:val="Heading 1 Char"/>
    <w:basedOn w:val="835"/>
    <w:uiPriority w:val="9"/>
    <w:qFormat/>
    <w:rPr>
      <w:rFonts w:ascii="Arial" w:hAnsi="Arial" w:eastAsia="Arial" w:cs="Arial"/>
      <w:sz w:val="40"/>
      <w:szCs w:val="40"/>
    </w:rPr>
  </w:style>
  <w:style w:type="character" w:styleId="887" w:customStyle="1">
    <w:name w:val="Heading 2 Char"/>
    <w:basedOn w:val="835"/>
    <w:uiPriority w:val="9"/>
    <w:qFormat/>
    <w:rPr>
      <w:rFonts w:ascii="Arial" w:hAnsi="Arial" w:eastAsia="Arial" w:cs="Arial"/>
      <w:sz w:val="34"/>
    </w:rPr>
  </w:style>
  <w:style w:type="character" w:styleId="888" w:customStyle="1">
    <w:name w:val="Heading 3 Char"/>
    <w:basedOn w:val="835"/>
    <w:uiPriority w:val="9"/>
    <w:qFormat/>
    <w:rPr>
      <w:rFonts w:ascii="Arial" w:hAnsi="Arial" w:eastAsia="Arial" w:cs="Arial"/>
      <w:sz w:val="30"/>
      <w:szCs w:val="30"/>
    </w:rPr>
  </w:style>
  <w:style w:type="character" w:styleId="889" w:customStyle="1">
    <w:name w:val="Heading 4 Char"/>
    <w:basedOn w:val="835"/>
    <w:uiPriority w:val="9"/>
    <w:qFormat/>
    <w:rPr>
      <w:rFonts w:ascii="Arial" w:hAnsi="Arial" w:eastAsia="Arial" w:cs="Arial"/>
      <w:b/>
      <w:bCs/>
      <w:sz w:val="26"/>
      <w:szCs w:val="26"/>
    </w:rPr>
  </w:style>
  <w:style w:type="character" w:styleId="890" w:customStyle="1">
    <w:name w:val="Heading 5 Char"/>
    <w:basedOn w:val="835"/>
    <w:uiPriority w:val="9"/>
    <w:qFormat/>
    <w:rPr>
      <w:rFonts w:ascii="Arial" w:hAnsi="Arial" w:eastAsia="Arial" w:cs="Arial"/>
      <w:b/>
      <w:bCs/>
      <w:sz w:val="24"/>
      <w:szCs w:val="24"/>
    </w:rPr>
  </w:style>
  <w:style w:type="character" w:styleId="891" w:customStyle="1">
    <w:name w:val="Heading 6 Char"/>
    <w:basedOn w:val="835"/>
    <w:uiPriority w:val="9"/>
    <w:qFormat/>
    <w:rPr>
      <w:rFonts w:ascii="Arial" w:hAnsi="Arial" w:eastAsia="Arial" w:cs="Arial"/>
      <w:b/>
      <w:bCs/>
      <w:sz w:val="22"/>
      <w:szCs w:val="22"/>
    </w:rPr>
  </w:style>
  <w:style w:type="character" w:styleId="892" w:customStyle="1">
    <w:name w:val="Heading 7 Char"/>
    <w:basedOn w:val="835"/>
    <w:uiPriority w:val="9"/>
    <w:qFormat/>
    <w:rPr>
      <w:rFonts w:ascii="Arial" w:hAnsi="Arial" w:eastAsia="Arial" w:cs="Arial"/>
      <w:b/>
      <w:bCs/>
      <w:i/>
      <w:iCs/>
      <w:sz w:val="22"/>
      <w:szCs w:val="22"/>
    </w:rPr>
  </w:style>
  <w:style w:type="character" w:styleId="893" w:customStyle="1">
    <w:name w:val="Heading 8 Char"/>
    <w:basedOn w:val="835"/>
    <w:uiPriority w:val="9"/>
    <w:qFormat/>
    <w:rPr>
      <w:rFonts w:ascii="Arial" w:hAnsi="Arial" w:eastAsia="Arial" w:cs="Arial"/>
      <w:i/>
      <w:iCs/>
      <w:sz w:val="22"/>
      <w:szCs w:val="22"/>
    </w:rPr>
  </w:style>
  <w:style w:type="character" w:styleId="894" w:customStyle="1">
    <w:name w:val="Heading 9 Char"/>
    <w:basedOn w:val="835"/>
    <w:uiPriority w:val="9"/>
    <w:qFormat/>
    <w:rPr>
      <w:rFonts w:ascii="Arial" w:hAnsi="Arial" w:eastAsia="Arial" w:cs="Arial"/>
      <w:i/>
      <w:iCs/>
      <w:sz w:val="21"/>
      <w:szCs w:val="21"/>
    </w:rPr>
  </w:style>
  <w:style w:type="character" w:styleId="895" w:customStyle="1">
    <w:name w:val="Title Char"/>
    <w:basedOn w:val="835"/>
    <w:uiPriority w:val="10"/>
    <w:qFormat/>
    <w:rPr>
      <w:sz w:val="48"/>
      <w:szCs w:val="48"/>
    </w:rPr>
  </w:style>
  <w:style w:type="character" w:styleId="896" w:customStyle="1">
    <w:name w:val="Subtitle Char"/>
    <w:basedOn w:val="835"/>
    <w:uiPriority w:val="11"/>
    <w:qFormat/>
    <w:rPr>
      <w:sz w:val="24"/>
      <w:szCs w:val="24"/>
    </w:rPr>
  </w:style>
  <w:style w:type="paragraph" w:styleId="897">
    <w:name w:val="Quote"/>
    <w:basedOn w:val="825"/>
    <w:next w:val="825"/>
    <w:link w:val="898"/>
    <w:uiPriority w:val="29"/>
    <w:qFormat/>
    <w:pPr>
      <w:ind w:left="720" w:right="720"/>
    </w:pPr>
    <w:rPr>
      <w:i/>
    </w:rPr>
  </w:style>
  <w:style w:type="character" w:styleId="898" w:customStyle="1">
    <w:name w:val="引用 字符"/>
    <w:link w:val="897"/>
    <w:uiPriority w:val="29"/>
    <w:qFormat/>
    <w:rPr>
      <w:i/>
    </w:rPr>
  </w:style>
  <w:style w:type="paragraph" w:styleId="899">
    <w:name w:val="Intense Quote"/>
    <w:basedOn w:val="825"/>
    <w:next w:val="825"/>
    <w:link w:val="9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明显引用 字符"/>
    <w:link w:val="899"/>
    <w:uiPriority w:val="30"/>
    <w:qFormat/>
    <w:rPr>
      <w:i/>
    </w:rPr>
  </w:style>
  <w:style w:type="character" w:styleId="901" w:customStyle="1">
    <w:name w:val="Header Char"/>
    <w:basedOn w:val="835"/>
    <w:uiPriority w:val="99"/>
    <w:qFormat/>
  </w:style>
  <w:style w:type="character" w:styleId="902" w:customStyle="1">
    <w:name w:val="Footer Char"/>
    <w:basedOn w:val="835"/>
    <w:uiPriority w:val="99"/>
    <w:qFormat/>
  </w:style>
  <w:style w:type="character" w:styleId="903" w:customStyle="1">
    <w:name w:val="Caption Char"/>
    <w:uiPriority w:val="99"/>
    <w:qFormat/>
  </w:style>
  <w:style w:type="table" w:styleId="904" w:customStyle="1">
    <w:name w:val="Table Grid Light"/>
    <w:basedOn w:val="8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5" w:customStyle="1">
    <w:name w:val="无格式表格 11"/>
    <w:basedOn w:val="83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21"/>
    <w:basedOn w:val="83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无格式表格 31"/>
    <w:basedOn w:val="8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无格式表格 41"/>
    <w:basedOn w:val="8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无格式表格 51"/>
    <w:basedOn w:val="83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网格表 1 浅色1"/>
    <w:basedOn w:val="83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basedOn w:val="83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basedOn w:val="83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basedOn w:val="8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basedOn w:val="8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basedOn w:val="83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basedOn w:val="8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7" w:customStyle="1">
    <w:name w:val="网格表 21"/>
    <w:basedOn w:val="8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basedOn w:val="83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basedOn w:val="83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basedOn w:val="83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basedOn w:val="8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basedOn w:val="83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Grid Table 2 - Accent 6"/>
    <w:basedOn w:val="83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网格表 31"/>
    <w:basedOn w:val="83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basedOn w:val="83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basedOn w:val="83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basedOn w:val="83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basedOn w:val="83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basedOn w:val="83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basedOn w:val="83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网格表 41"/>
    <w:basedOn w:val="83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basedOn w:val="83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3" w:customStyle="1">
    <w:name w:val="Grid Table 4 - Accent 2"/>
    <w:basedOn w:val="83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4" w:customStyle="1">
    <w:name w:val="Grid Table 4 - Accent 3"/>
    <w:basedOn w:val="83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5" w:customStyle="1">
    <w:name w:val="Grid Table 4 - Accent 4"/>
    <w:basedOn w:val="83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6" w:customStyle="1">
    <w:name w:val="Grid Table 4 - Accent 5"/>
    <w:basedOn w:val="83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7" w:customStyle="1">
    <w:name w:val="Grid Table 4 - Accent 6"/>
    <w:basedOn w:val="83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8" w:customStyle="1">
    <w:name w:val="网格表 5 深色1"/>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0" w:customStyle="1">
    <w:name w:val="Grid Table 5 Dark - Accent 2"/>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1" w:customStyle="1">
    <w:name w:val="Grid Table 5 Dark - Accent 3"/>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2" w:customStyle="1">
    <w:name w:val="Grid Table 5 Dark- Accent 4"/>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3" w:customStyle="1">
    <w:name w:val="Grid Table 5 Dark - Accent 5"/>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4" w:customStyle="1">
    <w:name w:val="Grid Table 5 Dark - Accent 6"/>
    <w:basedOn w:val="83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5" w:customStyle="1">
    <w:name w:val="网格表 6 彩色1"/>
    <w:basedOn w:val="83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Grid Table 6 Colorful - Accent 1"/>
    <w:basedOn w:val="83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7" w:customStyle="1">
    <w:name w:val="Grid Table 6 Colorful - Accent 2"/>
    <w:basedOn w:val="83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8" w:customStyle="1">
    <w:name w:val="Grid Table 6 Colorful - Accent 3"/>
    <w:basedOn w:val="83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9" w:customStyle="1">
    <w:name w:val="Grid Table 6 Colorful - Accent 4"/>
    <w:basedOn w:val="8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0" w:customStyle="1">
    <w:name w:val="Grid Table 6 Colorful - Accent 5"/>
    <w:basedOn w:val="83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1" w:customStyle="1">
    <w:name w:val="Grid Table 6 Colorful - Accent 6"/>
    <w:basedOn w:val="83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2" w:customStyle="1">
    <w:name w:val="网格表 7 彩色1"/>
    <w:basedOn w:val="83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basedOn w:val="83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basedOn w:val="83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basedOn w:val="83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basedOn w:val="83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basedOn w:val="83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basedOn w:val="83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9" w:customStyle="1">
    <w:name w:val="清单表 1 浅色1"/>
    <w:basedOn w:val="83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basedOn w:val="83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3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3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3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3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3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6" w:customStyle="1">
    <w:name w:val="清单表 21"/>
    <w:basedOn w:val="83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7" w:customStyle="1">
    <w:name w:val="List Table 2 - Accent 1"/>
    <w:basedOn w:val="83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8" w:customStyle="1">
    <w:name w:val="List Table 2 - Accent 2"/>
    <w:basedOn w:val="83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9" w:customStyle="1">
    <w:name w:val="List Table 2 - Accent 3"/>
    <w:basedOn w:val="83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0" w:customStyle="1">
    <w:name w:val="List Table 2 - Accent 4"/>
    <w:basedOn w:val="83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1" w:customStyle="1">
    <w:name w:val="List Table 2 - Accent 5"/>
    <w:basedOn w:val="83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2" w:customStyle="1">
    <w:name w:val="List Table 2 - Accent 6"/>
    <w:basedOn w:val="83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3" w:customStyle="1">
    <w:name w:val="清单表 31"/>
    <w:basedOn w:val="8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basedOn w:val="83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3 - Accent 2"/>
    <w:basedOn w:val="83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6" w:customStyle="1">
    <w:name w:val="List Table 3 - Accent 3"/>
    <w:basedOn w:val="83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7" w:customStyle="1">
    <w:name w:val="List Table 3 - Accent 4"/>
    <w:basedOn w:val="83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8" w:customStyle="1">
    <w:name w:val="List Table 3 - Accent 5"/>
    <w:basedOn w:val="83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9" w:customStyle="1">
    <w:name w:val="List Table 3 - Accent 6"/>
    <w:basedOn w:val="83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0" w:customStyle="1">
    <w:name w:val="清单表 41"/>
    <w:basedOn w:val="83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basedOn w:val="83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4 - Accent 2"/>
    <w:basedOn w:val="83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3" w:customStyle="1">
    <w:name w:val="List Table 4 - Accent 3"/>
    <w:basedOn w:val="83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4" w:customStyle="1">
    <w:name w:val="List Table 4 - Accent 4"/>
    <w:basedOn w:val="83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5" w:customStyle="1">
    <w:name w:val="List Table 4 - Accent 5"/>
    <w:basedOn w:val="83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6" w:customStyle="1">
    <w:name w:val="List Table 4 - Accent 6"/>
    <w:basedOn w:val="83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7" w:customStyle="1">
    <w:name w:val="清单表 5 深色1"/>
    <w:basedOn w:val="83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1"/>
    <w:basedOn w:val="83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2"/>
    <w:basedOn w:val="83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3"/>
    <w:basedOn w:val="83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4"/>
    <w:basedOn w:val="83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5"/>
    <w:basedOn w:val="83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6"/>
    <w:basedOn w:val="83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清单表 6 彩色1"/>
    <w:basedOn w:val="83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5" w:customStyle="1">
    <w:name w:val="List Table 6 Colorful - Accent 1"/>
    <w:basedOn w:val="83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6" w:customStyle="1">
    <w:name w:val="List Table 6 Colorful - Accent 2"/>
    <w:basedOn w:val="83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7" w:customStyle="1">
    <w:name w:val="List Table 6 Colorful - Accent 3"/>
    <w:basedOn w:val="83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8" w:customStyle="1">
    <w:name w:val="List Table 6 Colorful - Accent 4"/>
    <w:basedOn w:val="83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9" w:customStyle="1">
    <w:name w:val="List Table 6 Colorful - Accent 5"/>
    <w:basedOn w:val="83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0" w:customStyle="1">
    <w:name w:val="List Table 6 Colorful - Accent 6"/>
    <w:basedOn w:val="83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1" w:customStyle="1">
    <w:name w:val="清单表 7 彩色1"/>
    <w:basedOn w:val="83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basedOn w:val="83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basedOn w:val="83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basedOn w:val="83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basedOn w:val="83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basedOn w:val="83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basedOn w:val="83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8" w:customStyle="1">
    <w:name w:val="Lined - Accent"/>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Lined - Accent 2"/>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Lined - Accent 3"/>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Lined - Accent 4"/>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Lined - Accent 5"/>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Lined - Accent 6"/>
    <w:basedOn w:val="83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amp; Lined - Accent"/>
    <w:basedOn w:val="83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basedOn w:val="83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7" w:customStyle="1">
    <w:name w:val="Bordered &amp; Lined - Accent 2"/>
    <w:basedOn w:val="83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8" w:customStyle="1">
    <w:name w:val="Bordered &amp; Lined - Accent 3"/>
    <w:basedOn w:val="83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9" w:customStyle="1">
    <w:name w:val="Bordered &amp; Lined - Accent 4"/>
    <w:basedOn w:val="83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Bordered &amp; Lined - Accent 5"/>
    <w:basedOn w:val="83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Bordered &amp; Lined - Accent 6"/>
    <w:basedOn w:val="83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w:basedOn w:val="83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basedOn w:val="83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4" w:customStyle="1">
    <w:name w:val="Bordered - Accent 2"/>
    <w:basedOn w:val="83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5" w:customStyle="1">
    <w:name w:val="Bordered - Accent 3"/>
    <w:basedOn w:val="83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6" w:customStyle="1">
    <w:name w:val="Bordered - Accent 4"/>
    <w:basedOn w:val="83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7" w:customStyle="1">
    <w:name w:val="Bordered - Accent 5"/>
    <w:basedOn w:val="83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8" w:customStyle="1">
    <w:name w:val="Bordered - Accent 6"/>
    <w:basedOn w:val="83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9" w:customStyle="1">
    <w:name w:val="脚注文本 字符"/>
    <w:link w:val="863"/>
    <w:uiPriority w:val="99"/>
    <w:qFormat/>
    <w:rPr>
      <w:sz w:val="18"/>
    </w:rPr>
  </w:style>
  <w:style w:type="character" w:styleId="1030" w:customStyle="1">
    <w:name w:val="尾注文本 字符"/>
    <w:link w:val="854"/>
    <w:uiPriority w:val="99"/>
    <w:qFormat/>
    <w:rPr>
      <w:sz w:val="20"/>
    </w:rPr>
  </w:style>
  <w:style w:type="paragraph" w:styleId="1031" w:customStyle="1">
    <w:name w:val="TOC 标题1"/>
    <w:uiPriority w:val="39"/>
    <w:unhideWhenUsed/>
    <w:qFormat/>
    <w:rPr>
      <w:rFonts w:ascii="Times New Roman" w:hAnsi="Times New Roman" w:eastAsia="宋体" w:cs="Times New Roman"/>
      <w:lang w:val="en-US" w:eastAsia="zh-CN" w:bidi="ar-SA"/>
    </w:rPr>
  </w:style>
  <w:style w:type="paragraph" w:styleId="1032" w:customStyle="1">
    <w:name w:val="索引 41"/>
    <w:basedOn w:val="1033"/>
    <w:next w:val="825"/>
    <w:uiPriority w:val="99"/>
    <w:qFormat/>
    <w:pPr>
      <w:ind w:left="600"/>
    </w:pPr>
    <w:rPr>
      <w:rFonts w:ascii="Verdana" w:hAnsi="Verdana"/>
    </w:rPr>
  </w:style>
  <w:style w:type="paragraph" w:styleId="1033" w:customStyle="1">
    <w:name w:val="正文1"/>
    <w:next w:val="1032"/>
    <w:uiPriority w:val="0"/>
    <w:qFormat/>
    <w:pPr>
      <w:jc w:val="both"/>
      <w:widowControl w:val="off"/>
    </w:pPr>
    <w:rPr>
      <w:rFonts w:ascii="Calibri" w:hAnsi="Calibri" w:eastAsia="宋体" w:cs="Times New Roman"/>
      <w:lang w:val="en-US" w:eastAsia="zh-CN" w:bidi="ar-SA"/>
    </w:rPr>
  </w:style>
  <w:style w:type="paragraph" w:styleId="1034" w:customStyle="1">
    <w:name w:val="一级条标题"/>
    <w:basedOn w:val="1035"/>
    <w:next w:val="10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5" w:customStyle="1">
    <w:name w:val="章标题"/>
    <w:basedOn w:val="825"/>
    <w:next w:val="825"/>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36" w:customStyle="1">
    <w:name w:val="段"/>
    <w:basedOn w:val="825"/>
    <w:next w:val="825"/>
    <w:uiPriority w:val="0"/>
    <w:qFormat/>
    <w:pPr>
      <w:ind w:firstLine="200"/>
      <w:widowControl/>
    </w:pPr>
    <w:rPr>
      <w:rFonts w:hint="eastAsia" w:ascii="宋体"/>
      <w:szCs w:val="20"/>
    </w:rPr>
  </w:style>
  <w:style w:type="paragraph" w:styleId="1037" w:customStyle="1">
    <w:name w:val="列表段落1"/>
    <w:basedOn w:val="825"/>
    <w:next w:val="843"/>
    <w:uiPriority w:val="99"/>
    <w:qFormat/>
    <w:pPr>
      <w:ind w:firstLine="420"/>
    </w:pPr>
  </w:style>
  <w:style w:type="paragraph" w:styleId="103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39" w:customStyle="1">
    <w:name w:val="正文首行缩进 21"/>
    <w:basedOn w:val="1040"/>
    <w:next w:val="825"/>
    <w:uiPriority w:val="0"/>
    <w:qFormat/>
    <w:pPr>
      <w:ind w:firstLine="420"/>
      <w:spacing w:before="100" w:beforeAutospacing="1"/>
    </w:pPr>
    <w:rPr>
      <w:rFonts w:ascii="宋体" w:hAnsi="宋体"/>
      <w:szCs w:val="21"/>
    </w:rPr>
  </w:style>
  <w:style w:type="paragraph" w:styleId="1040" w:customStyle="1">
    <w:name w:val="正文文本缩进1"/>
    <w:basedOn w:val="825"/>
    <w:uiPriority w:val="0"/>
    <w:qFormat/>
    <w:pPr>
      <w:ind w:firstLine="880"/>
      <w:spacing w:line="500" w:lineRule="exact"/>
    </w:pPr>
  </w:style>
  <w:style w:type="character" w:styleId="1041" w:customStyle="1">
    <w:name w:val="标题 1 Char1"/>
    <w:uiPriority w:val="0"/>
    <w:qFormat/>
    <w:rPr>
      <w:rFonts w:ascii="Times New Roman" w:hAnsi="Times New Roman" w:eastAsia="宋体" w:cs="Times New Roman"/>
      <w:b/>
      <w:bCs/>
      <w:sz w:val="32"/>
      <w:szCs w:val="44"/>
    </w:rPr>
  </w:style>
  <w:style w:type="character" w:styleId="1042" w:customStyle="1">
    <w:name w:val="明显强调1"/>
    <w:uiPriority w:val="0"/>
    <w:qFormat/>
    <w:rPr>
      <w:b/>
      <w:bCs/>
      <w:i/>
      <w:iCs/>
      <w:color w:val="4f81bd"/>
    </w:rPr>
  </w:style>
  <w:style w:type="character" w:styleId="1043" w:customStyle="1">
    <w:name w:val="批注文字 Char2"/>
    <w:uiPriority w:val="0"/>
    <w:qFormat/>
    <w:rPr>
      <w:sz w:val="21"/>
    </w:rPr>
  </w:style>
  <w:style w:type="character" w:styleId="1044" w:customStyle="1">
    <w:name w:val="标题 3 Char_0"/>
    <w:link w:val="1045"/>
    <w:uiPriority w:val="0"/>
    <w:qFormat/>
    <w:rPr>
      <w:b/>
      <w:bCs/>
      <w:sz w:val="32"/>
      <w:szCs w:val="32"/>
    </w:rPr>
  </w:style>
  <w:style w:type="paragraph" w:styleId="1045" w:customStyle="1">
    <w:name w:val="标题 3_0"/>
    <w:basedOn w:val="1046"/>
    <w:next w:val="1046"/>
    <w:link w:val="1044"/>
    <w:uiPriority w:val="0"/>
    <w:qFormat/>
    <w:pPr>
      <w:keepLines/>
      <w:keepNext/>
      <w:spacing w:before="260" w:after="260" w:line="416" w:lineRule="auto"/>
      <w:outlineLvl w:val="2"/>
    </w:pPr>
    <w:rPr>
      <w:b/>
      <w:bCs/>
      <w:sz w:val="32"/>
      <w:szCs w:val="32"/>
    </w:rPr>
  </w:style>
  <w:style w:type="paragraph" w:styleId="104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47" w:customStyle="1">
    <w:name w:val="标题 2 字符"/>
    <w:link w:val="827"/>
    <w:uiPriority w:val="0"/>
    <w:qFormat/>
    <w:rPr>
      <w:rFonts w:ascii="Cambria" w:hAnsi="Cambria"/>
      <w:b/>
      <w:bCs/>
      <w:sz w:val="32"/>
      <w:szCs w:val="32"/>
    </w:rPr>
  </w:style>
  <w:style w:type="character" w:styleId="1048" w:customStyle="1">
    <w:name w:val="正文文本 Char2"/>
    <w:uiPriority w:val="99"/>
    <w:semiHidden/>
    <w:qFormat/>
    <w:rPr>
      <w:rFonts w:ascii="Calibri" w:hAnsi="Calibri" w:eastAsia="宋体" w:cs="Times New Roman"/>
    </w:rPr>
  </w:style>
  <w:style w:type="character" w:styleId="1049" w:customStyle="1">
    <w:name w:val="页脚 Char1"/>
    <w:uiPriority w:val="99"/>
    <w:semiHidden/>
    <w:qFormat/>
    <w:rPr>
      <w:rFonts w:ascii="Calibri" w:hAnsi="Calibri" w:eastAsia="宋体" w:cs="Times New Roman"/>
      <w:sz w:val="18"/>
      <w:szCs w:val="18"/>
    </w:rPr>
  </w:style>
  <w:style w:type="character" w:styleId="1050" w:customStyle="1">
    <w:name w:val="明显引用 Char2"/>
    <w:uiPriority w:val="99"/>
    <w:qFormat/>
    <w:rPr>
      <w:b/>
      <w:bCs/>
      <w:i/>
      <w:iCs/>
      <w:color w:val="4f81bd"/>
      <w:sz w:val="21"/>
      <w:szCs w:val="24"/>
    </w:rPr>
  </w:style>
  <w:style w:type="character" w:styleId="1051" w:customStyle="1">
    <w:name w:val="引用 Char"/>
    <w:link w:val="1052"/>
    <w:uiPriority w:val="0"/>
    <w:qFormat/>
    <w:rPr>
      <w:i/>
      <w:iCs/>
      <w:color w:val="000000"/>
    </w:rPr>
  </w:style>
  <w:style w:type="paragraph" w:styleId="1052" w:customStyle="1">
    <w:name w:val="引用1"/>
    <w:basedOn w:val="825"/>
    <w:next w:val="825"/>
    <w:link w:val="1051"/>
    <w:uiPriority w:val="0"/>
    <w:qFormat/>
    <w:rPr>
      <w:i/>
      <w:iCs/>
      <w:color w:val="000000"/>
      <w:sz w:val="20"/>
      <w:szCs w:val="20"/>
    </w:rPr>
  </w:style>
  <w:style w:type="character" w:styleId="1053" w:customStyle="1">
    <w:name w:val="标题 1 Char_0"/>
    <w:link w:val="1054"/>
    <w:uiPriority w:val="0"/>
    <w:qFormat/>
    <w:rPr>
      <w:b/>
      <w:bCs/>
      <w:sz w:val="44"/>
      <w:szCs w:val="44"/>
    </w:rPr>
  </w:style>
  <w:style w:type="paragraph" w:styleId="1054" w:customStyle="1">
    <w:name w:val="标题 1_0"/>
    <w:basedOn w:val="1046"/>
    <w:next w:val="1046"/>
    <w:link w:val="1053"/>
    <w:uiPriority w:val="0"/>
    <w:qFormat/>
    <w:pPr>
      <w:keepLines/>
      <w:keepNext/>
      <w:spacing w:before="340" w:after="330" w:line="578" w:lineRule="auto"/>
      <w:outlineLvl w:val="0"/>
    </w:pPr>
    <w:rPr>
      <w:b/>
      <w:bCs/>
      <w:sz w:val="44"/>
      <w:szCs w:val="44"/>
    </w:rPr>
  </w:style>
  <w:style w:type="character" w:styleId="1055" w:customStyle="1">
    <w:name w:val="正文文本缩进 3 Char1"/>
    <w:uiPriority w:val="99"/>
    <w:semiHidden/>
    <w:qFormat/>
    <w:rPr>
      <w:sz w:val="16"/>
      <w:szCs w:val="16"/>
    </w:rPr>
  </w:style>
  <w:style w:type="character" w:styleId="1056" w:customStyle="1">
    <w:name w:val="引用 Char1"/>
    <w:uiPriority w:val="29"/>
    <w:qFormat/>
    <w:rPr>
      <w:i/>
      <w:iCs/>
      <w:color w:val="000000"/>
      <w:sz w:val="21"/>
    </w:rPr>
  </w:style>
  <w:style w:type="character" w:styleId="1057" w:customStyle="1">
    <w:name w:val="正文文本缩进 字符"/>
    <w:link w:val="846"/>
    <w:uiPriority w:val="0"/>
    <w:qFormat/>
    <w:rPr>
      <w:sz w:val="21"/>
      <w:szCs w:val="24"/>
    </w:rPr>
  </w:style>
  <w:style w:type="character" w:styleId="1058" w:customStyle="1">
    <w:name w:val="font161"/>
    <w:uiPriority w:val="0"/>
    <w:qFormat/>
    <w:rPr>
      <w:b/>
      <w:sz w:val="32"/>
    </w:rPr>
  </w:style>
  <w:style w:type="character" w:styleId="1059" w:customStyle="1">
    <w:name w:val="标题 4 Char_0"/>
    <w:link w:val="1060"/>
    <w:uiPriority w:val="0"/>
    <w:qFormat/>
    <w:rPr>
      <w:rFonts w:ascii="Arial" w:hAnsi="Arial" w:eastAsia="黑体"/>
      <w:b/>
      <w:bCs/>
      <w:sz w:val="28"/>
      <w:szCs w:val="28"/>
    </w:rPr>
  </w:style>
  <w:style w:type="paragraph" w:styleId="1060" w:customStyle="1">
    <w:name w:val="标题 4_0"/>
    <w:basedOn w:val="1046"/>
    <w:next w:val="1046"/>
    <w:link w:val="1059"/>
    <w:uiPriority w:val="0"/>
    <w:qFormat/>
    <w:pPr>
      <w:keepLines/>
      <w:keepNext/>
      <w:spacing w:before="280" w:after="290" w:line="376" w:lineRule="auto"/>
      <w:outlineLvl w:val="3"/>
    </w:pPr>
    <w:rPr>
      <w:rFonts w:ascii="Arial" w:hAnsi="Arial" w:eastAsia="黑体"/>
      <w:b/>
      <w:bCs/>
      <w:sz w:val="28"/>
      <w:szCs w:val="28"/>
    </w:rPr>
  </w:style>
  <w:style w:type="character" w:styleId="1061" w:customStyle="1">
    <w:name w:val="页眉 字符"/>
    <w:link w:val="857"/>
    <w:uiPriority w:val="0"/>
    <w:qFormat/>
    <w:rPr>
      <w:sz w:val="18"/>
      <w:szCs w:val="18"/>
    </w:rPr>
  </w:style>
  <w:style w:type="character" w:styleId="1062" w:customStyle="1">
    <w:name w:val="标题 6 字符"/>
    <w:link w:val="831"/>
    <w:uiPriority w:val="0"/>
    <w:qFormat/>
    <w:rPr>
      <w:rFonts w:ascii="Cambria" w:hAnsi="Cambria" w:eastAsia="宋体" w:cs="Times New Roman"/>
      <w:b/>
      <w:bCs/>
      <w:sz w:val="24"/>
      <w:szCs w:val="24"/>
    </w:rPr>
  </w:style>
  <w:style w:type="character" w:styleId="1063" w:customStyle="1">
    <w:name w:val="纯文本 字符"/>
    <w:link w:val="850"/>
    <w:uiPriority w:val="0"/>
    <w:qFormat/>
    <w:rPr>
      <w:rFonts w:ascii="Ari"/>
      <w:lang w:val="en-US" w:eastAsia="zh-CN" w:bidi="ar-SA"/>
    </w:rPr>
  </w:style>
  <w:style w:type="character" w:styleId="1064" w:customStyle="1">
    <w:name w:val="引用 Char2"/>
    <w:uiPriority w:val="99"/>
    <w:qFormat/>
    <w:rPr>
      <w:i/>
      <w:iCs/>
      <w:color w:val="000000"/>
      <w:sz w:val="21"/>
      <w:szCs w:val="24"/>
    </w:rPr>
  </w:style>
  <w:style w:type="character" w:styleId="1065" w:customStyle="1">
    <w:name w:val="rvts11"/>
    <w:uiPriority w:val="0"/>
    <w:qFormat/>
    <w:rPr>
      <w:rFonts w:hint="default" w:ascii="KNLe" w:hAnsi="KNLe"/>
      <w:sz w:val="24"/>
      <w:szCs w:val="24"/>
      <w:u w:val="single"/>
    </w:rPr>
  </w:style>
  <w:style w:type="character" w:styleId="1066" w:customStyle="1">
    <w:name w:val="标题 字符"/>
    <w:link w:val="871"/>
    <w:uiPriority w:val="0"/>
    <w:qFormat/>
    <w:rPr>
      <w:rFonts w:ascii="Arial" w:hAnsi="Arial"/>
      <w:b/>
      <w:sz w:val="32"/>
    </w:rPr>
  </w:style>
  <w:style w:type="character" w:styleId="1067" w:customStyle="1">
    <w:name w:val="标题5 Char Char"/>
    <w:link w:val="1068"/>
    <w:uiPriority w:val="0"/>
    <w:qFormat/>
    <w:rPr>
      <w:rFonts w:ascii="Arial" w:hAnsi="Arial"/>
      <w:b/>
      <w:bCs/>
      <w:sz w:val="24"/>
      <w:szCs w:val="32"/>
    </w:rPr>
  </w:style>
  <w:style w:type="paragraph" w:styleId="1068" w:customStyle="1">
    <w:name w:val="标题5"/>
    <w:basedOn w:val="828"/>
    <w:link w:val="1067"/>
    <w:uiPriority w:val="0"/>
    <w:qFormat/>
    <w:pPr>
      <w:numPr>
        <w:ilvl w:val="0"/>
        <w:numId w:val="0"/>
      </w:numPr>
      <w:spacing w:line="413" w:lineRule="auto"/>
    </w:pPr>
    <w:rPr>
      <w:rFonts w:ascii="Arial" w:hAnsi="Arial"/>
      <w:sz w:val="24"/>
    </w:rPr>
  </w:style>
  <w:style w:type="character" w:styleId="1069" w:customStyle="1">
    <w:name w:val="副标题 Char2"/>
    <w:uiPriority w:val="11"/>
    <w:qFormat/>
    <w:rPr>
      <w:rFonts w:ascii="Cambria" w:hAnsi="Cambria" w:cs="Times New Roman"/>
      <w:b/>
      <w:bCs/>
      <w:sz w:val="32"/>
      <w:szCs w:val="32"/>
    </w:rPr>
  </w:style>
  <w:style w:type="character" w:styleId="1070" w:customStyle="1">
    <w:name w:val="文档结构图 字符"/>
    <w:link w:val="842"/>
    <w:uiPriority w:val="0"/>
    <w:qFormat/>
    <w:rPr>
      <w:rFonts w:ascii="宋体"/>
      <w:sz w:val="18"/>
      <w:szCs w:val="18"/>
    </w:rPr>
  </w:style>
  <w:style w:type="character" w:styleId="1071" w:customStyle="1">
    <w:name w:val="日期 字符"/>
    <w:link w:val="852"/>
    <w:uiPriority w:val="0"/>
    <w:qFormat/>
    <w:rPr>
      <w:sz w:val="21"/>
      <w:szCs w:val="24"/>
    </w:rPr>
  </w:style>
  <w:style w:type="character" w:styleId="1072" w:customStyle="1">
    <w:name w:val="批注主题 Char1"/>
    <w:uiPriority w:val="0"/>
    <w:qFormat/>
    <w:rPr>
      <w:b/>
      <w:bCs/>
      <w:sz w:val="21"/>
      <w:szCs w:val="22"/>
    </w:rPr>
  </w:style>
  <w:style w:type="character" w:styleId="1073" w:customStyle="1">
    <w:name w:val="font31"/>
    <w:uiPriority w:val="0"/>
    <w:qFormat/>
    <w:rPr>
      <w:rFonts w:hint="eastAsia" w:ascii="宋体" w:hAnsi="宋体" w:eastAsia="宋体" w:cs="宋体"/>
      <w:color w:val="000000"/>
      <w:sz w:val="20"/>
      <w:szCs w:val="20"/>
      <w:u w:val="none"/>
    </w:rPr>
  </w:style>
  <w:style w:type="character" w:styleId="1074" w:customStyle="1">
    <w:name w:val="明显引用 Char"/>
    <w:link w:val="1075"/>
    <w:uiPriority w:val="0"/>
    <w:qFormat/>
    <w:rPr>
      <w:b/>
      <w:bCs/>
      <w:i/>
      <w:iCs/>
      <w:color w:val="4f81bd"/>
    </w:rPr>
  </w:style>
  <w:style w:type="paragraph" w:styleId="1075" w:customStyle="1">
    <w:name w:val="明显引用1"/>
    <w:basedOn w:val="825"/>
    <w:next w:val="825"/>
    <w:link w:val="1074"/>
    <w:uiPriority w:val="0"/>
    <w:qFormat/>
    <w:pPr>
      <w:ind w:left="936" w:right="936"/>
      <w:spacing w:before="200" w:after="280"/>
      <w:pBdr>
        <w:bottom w:val="single" w:color="4F81BD" w:sz="4" w:space="4"/>
      </w:pBdr>
    </w:pPr>
    <w:rPr>
      <w:b/>
      <w:bCs/>
      <w:i/>
      <w:iCs/>
      <w:color w:val="4f81bd"/>
      <w:sz w:val="20"/>
      <w:szCs w:val="20"/>
    </w:rPr>
  </w:style>
  <w:style w:type="character" w:styleId="1076" w:customStyle="1">
    <w:name w:val="标题 5 字符"/>
    <w:link w:val="830"/>
    <w:uiPriority w:val="0"/>
    <w:qFormat/>
    <w:rPr>
      <w:b/>
      <w:bCs/>
      <w:sz w:val="28"/>
      <w:szCs w:val="28"/>
    </w:rPr>
  </w:style>
  <w:style w:type="character" w:styleId="1077" w:customStyle="1">
    <w:name w:val="日期 Char1"/>
    <w:uiPriority w:val="0"/>
    <w:qFormat/>
    <w:rPr>
      <w:rFonts w:ascii="Calibri" w:hAnsi="Calibri" w:eastAsia="宋体" w:cs="Times New Roman"/>
    </w:rPr>
  </w:style>
  <w:style w:type="character" w:styleId="1078" w:customStyle="1">
    <w:name w:val="批注框文本 Char1"/>
    <w:uiPriority w:val="0"/>
    <w:qFormat/>
    <w:rPr>
      <w:sz w:val="18"/>
      <w:szCs w:val="18"/>
    </w:rPr>
  </w:style>
  <w:style w:type="character" w:styleId="1079" w:customStyle="1">
    <w:name w:val="标题 Char1"/>
    <w:uiPriority w:val="10"/>
    <w:qFormat/>
    <w:rPr>
      <w:rFonts w:ascii="Cambria" w:hAnsi="Cambria" w:eastAsia="宋体" w:cs="Times New Roman"/>
      <w:b/>
      <w:bCs/>
      <w:sz w:val="32"/>
      <w:szCs w:val="32"/>
    </w:rPr>
  </w:style>
  <w:style w:type="character" w:styleId="1080" w:customStyle="1">
    <w:name w:val="标题 9 字符"/>
    <w:link w:val="834"/>
    <w:uiPriority w:val="0"/>
    <w:qFormat/>
    <w:rPr>
      <w:rFonts w:ascii="Cambria" w:hAnsi="Cambria" w:eastAsia="宋体" w:cs="Times New Roman"/>
      <w:sz w:val="21"/>
      <w:szCs w:val="21"/>
    </w:rPr>
  </w:style>
  <w:style w:type="character" w:styleId="1081" w:customStyle="1">
    <w:name w:val="不明显参考1"/>
    <w:uiPriority w:val="0"/>
    <w:qFormat/>
    <w:rPr>
      <w:smallCaps/>
      <w:color w:val="c0504d"/>
      <w:u w:val="single"/>
    </w:rPr>
  </w:style>
  <w:style w:type="character" w:styleId="1082" w:customStyle="1">
    <w:name w:val="批注文字 Char1"/>
    <w:uiPriority w:val="0"/>
    <w:qFormat/>
    <w:rPr>
      <w:rFonts w:ascii="Calibri" w:hAnsi="Calibri" w:eastAsia="宋体" w:cs="Times New Roman"/>
    </w:rPr>
  </w:style>
  <w:style w:type="character" w:styleId="1083" w:customStyle="1">
    <w:name w:val="标题 Char2"/>
    <w:uiPriority w:val="10"/>
    <w:qFormat/>
    <w:rPr>
      <w:rFonts w:ascii="Cambria" w:hAnsi="Cambria" w:cs="Times New Roman"/>
      <w:b/>
      <w:bCs/>
      <w:sz w:val="32"/>
      <w:szCs w:val="32"/>
    </w:rPr>
  </w:style>
  <w:style w:type="character" w:styleId="1084" w:customStyle="1">
    <w:name w:val="正文文本 3 Char1"/>
    <w:uiPriority w:val="99"/>
    <w:semiHidden/>
    <w:qFormat/>
    <w:rPr>
      <w:sz w:val="16"/>
      <w:szCs w:val="16"/>
    </w:rPr>
  </w:style>
  <w:style w:type="character" w:styleId="1085" w:customStyle="1">
    <w:name w:val="批注主题 Char2"/>
    <w:uiPriority w:val="0"/>
    <w:qFormat/>
    <w:rPr>
      <w:b/>
      <w:bCs/>
      <w:sz w:val="21"/>
    </w:rPr>
  </w:style>
  <w:style w:type="character" w:styleId="1086" w:customStyle="1">
    <w:name w:val="标题 3 字符"/>
    <w:link w:val="828"/>
    <w:uiPriority w:val="0"/>
    <w:qFormat/>
    <w:rPr>
      <w:b/>
      <w:bCs/>
      <w:sz w:val="32"/>
      <w:szCs w:val="32"/>
    </w:rPr>
  </w:style>
  <w:style w:type="character" w:styleId="1087" w:customStyle="1">
    <w:name w:val="正文文本 Char_0"/>
    <w:link w:val="1088"/>
    <w:uiPriority w:val="0"/>
    <w:qFormat/>
    <w:rPr>
      <w:szCs w:val="24"/>
    </w:rPr>
  </w:style>
  <w:style w:type="paragraph" w:styleId="1088" w:customStyle="1">
    <w:name w:val="正文文本_0"/>
    <w:basedOn w:val="1046"/>
    <w:link w:val="1087"/>
    <w:uiPriority w:val="0"/>
    <w:qFormat/>
    <w:pPr>
      <w:spacing w:after="120"/>
    </w:pPr>
    <w:rPr>
      <w:sz w:val="20"/>
    </w:rPr>
  </w:style>
  <w:style w:type="character" w:styleId="1089" w:customStyle="1">
    <w:name w:val="副标题 字符"/>
    <w:link w:val="862"/>
    <w:uiPriority w:val="0"/>
    <w:qFormat/>
    <w:rPr>
      <w:rFonts w:ascii="Cambria" w:hAnsi="Cambria"/>
      <w:b/>
      <w:bCs/>
      <w:sz w:val="32"/>
      <w:szCs w:val="32"/>
    </w:rPr>
  </w:style>
  <w:style w:type="character" w:styleId="1090" w:customStyle="1">
    <w:name w:val="bookmark"/>
    <w:basedOn w:val="835"/>
    <w:uiPriority w:val="0"/>
    <w:qFormat/>
  </w:style>
  <w:style w:type="character" w:styleId="1091" w:customStyle="1">
    <w:name w:val="标题 5 Char_0"/>
    <w:link w:val="1092"/>
    <w:uiPriority w:val="0"/>
    <w:qFormat/>
    <w:rPr>
      <w:rFonts w:ascii="Calibri" w:hAnsi="Calibri"/>
      <w:b/>
      <w:bCs/>
      <w:sz w:val="28"/>
      <w:szCs w:val="28"/>
    </w:rPr>
  </w:style>
  <w:style w:type="paragraph" w:styleId="1092" w:customStyle="1">
    <w:name w:val="标题 5_0"/>
    <w:basedOn w:val="1046"/>
    <w:next w:val="1046"/>
    <w:link w:val="1091"/>
    <w:uiPriority w:val="0"/>
    <w:qFormat/>
    <w:pPr>
      <w:keepLines/>
      <w:keepNext/>
      <w:spacing w:before="280" w:after="290" w:line="372" w:lineRule="auto"/>
      <w:outlineLvl w:val="4"/>
    </w:pPr>
    <w:rPr>
      <w:rFonts w:ascii="Calibri" w:hAnsi="Calibri"/>
      <w:b/>
      <w:bCs/>
      <w:sz w:val="28"/>
      <w:szCs w:val="28"/>
    </w:rPr>
  </w:style>
  <w:style w:type="character" w:styleId="1093" w:customStyle="1">
    <w:name w:val="正文文本缩进 2 字符"/>
    <w:link w:val="853"/>
    <w:uiPriority w:val="99"/>
    <w:qFormat/>
    <w:rPr>
      <w:rFonts w:ascii="宋体"/>
    </w:rPr>
  </w:style>
  <w:style w:type="character" w:styleId="1094" w:customStyle="1">
    <w:name w:val="批注文字 字符"/>
    <w:link w:val="843"/>
    <w:uiPriority w:val="99"/>
    <w:qFormat/>
    <w:rPr>
      <w:sz w:val="21"/>
      <w:szCs w:val="24"/>
    </w:rPr>
  </w:style>
  <w:style w:type="character" w:styleId="1095" w:customStyle="1">
    <w:name w:val="font11"/>
    <w:uiPriority w:val="0"/>
    <w:qFormat/>
    <w:rPr>
      <w:rFonts w:hint="eastAsia" w:ascii="宋体" w:hAnsi="宋体" w:eastAsia="宋体" w:cs="宋体"/>
      <w:color w:val="000000"/>
      <w:sz w:val="20"/>
      <w:szCs w:val="20"/>
      <w:u w:val="none"/>
    </w:rPr>
  </w:style>
  <w:style w:type="character" w:styleId="1096" w:customStyle="1">
    <w:name w:val="明显参考1"/>
    <w:uiPriority w:val="0"/>
    <w:qFormat/>
    <w:rPr>
      <w:b/>
      <w:bCs/>
      <w:smallCaps/>
      <w:color w:val="c0504d"/>
      <w:spacing w:val="5"/>
      <w:u w:val="single"/>
    </w:rPr>
  </w:style>
  <w:style w:type="character" w:styleId="1097" w:customStyle="1">
    <w:name w:val="超链接_0"/>
    <w:uiPriority w:val="99"/>
    <w:qFormat/>
    <w:rPr>
      <w:rFonts w:ascii="Calibri" w:hAnsi="Calibri"/>
      <w:color w:val="0000ff"/>
      <w:u w:val="single"/>
    </w:rPr>
  </w:style>
  <w:style w:type="character" w:styleId="1098" w:customStyle="1">
    <w:name w:val="文档结构图 Char2"/>
    <w:uiPriority w:val="99"/>
    <w:semiHidden/>
    <w:qFormat/>
    <w:rPr>
      <w:rFonts w:ascii="宋体" w:hAnsi="Calibri" w:eastAsia="宋体" w:cs="Times New Roman"/>
      <w:sz w:val="18"/>
      <w:szCs w:val="18"/>
    </w:rPr>
  </w:style>
  <w:style w:type="character" w:styleId="1099" w:customStyle="1">
    <w:name w:val="textcontents"/>
    <w:uiPriority w:val="0"/>
    <w:qFormat/>
    <w:rPr>
      <w:rFonts w:cs="Times New Roman"/>
    </w:rPr>
  </w:style>
  <w:style w:type="character" w:styleId="1100" w:customStyle="1">
    <w:name w:val="标题 1 Char"/>
    <w:uiPriority w:val="0"/>
    <w:qFormat/>
    <w:rPr>
      <w:b/>
      <w:bCs/>
      <w:sz w:val="32"/>
      <w:szCs w:val="44"/>
    </w:rPr>
  </w:style>
  <w:style w:type="character" w:styleId="1101" w:customStyle="1">
    <w:name w:val="正文文本 字符"/>
    <w:link w:val="845"/>
    <w:uiPriority w:val="0"/>
    <w:qFormat/>
    <w:rPr>
      <w:rFonts w:eastAsia="幼圆"/>
      <w:b/>
      <w:bCs/>
      <w:sz w:val="44"/>
      <w:szCs w:val="24"/>
    </w:rPr>
  </w:style>
  <w:style w:type="character" w:styleId="1102" w:customStyle="1">
    <w:name w:val="标题 8 字符"/>
    <w:link w:val="833"/>
    <w:uiPriority w:val="0"/>
    <w:qFormat/>
    <w:rPr>
      <w:rFonts w:ascii="Cambria" w:hAnsi="Cambria" w:eastAsia="宋体" w:cs="Times New Roman"/>
      <w:sz w:val="24"/>
      <w:szCs w:val="24"/>
    </w:rPr>
  </w:style>
  <w:style w:type="character" w:styleId="1103" w:customStyle="1">
    <w:name w:val="副标题 Char1"/>
    <w:uiPriority w:val="11"/>
    <w:qFormat/>
    <w:rPr>
      <w:rFonts w:ascii="Cambria" w:hAnsi="Cambria" w:cs="Times New Roman"/>
      <w:b/>
      <w:bCs/>
      <w:sz w:val="32"/>
      <w:szCs w:val="32"/>
    </w:rPr>
  </w:style>
  <w:style w:type="character" w:styleId="1104" w:customStyle="1">
    <w:name w:val="批注主题 字符"/>
    <w:link w:val="872"/>
    <w:uiPriority w:val="0"/>
    <w:qFormat/>
    <w:rPr>
      <w:b/>
      <w:bCs/>
      <w:sz w:val="21"/>
      <w:szCs w:val="24"/>
    </w:rPr>
  </w:style>
  <w:style w:type="character" w:styleId="1105" w:customStyle="1">
    <w:name w:val="书籍标题1"/>
    <w:uiPriority w:val="0"/>
    <w:qFormat/>
    <w:rPr>
      <w:b/>
      <w:bCs/>
      <w:smallCaps/>
      <w:spacing w:val="5"/>
    </w:rPr>
  </w:style>
  <w:style w:type="character" w:styleId="1106" w:customStyle="1">
    <w:name w:val="页脚 字符"/>
    <w:link w:val="856"/>
    <w:uiPriority w:val="99"/>
    <w:qFormat/>
    <w:rPr>
      <w:sz w:val="18"/>
      <w:szCs w:val="18"/>
    </w:rPr>
  </w:style>
  <w:style w:type="character" w:styleId="1107" w:customStyle="1">
    <w:name w:val="标题4 Char Char"/>
    <w:link w:val="1108"/>
    <w:uiPriority w:val="0"/>
    <w:qFormat/>
    <w:rPr>
      <w:rFonts w:ascii="Arial" w:hAnsi="Arial"/>
      <w:b/>
      <w:bCs/>
      <w:sz w:val="24"/>
      <w:szCs w:val="32"/>
    </w:rPr>
  </w:style>
  <w:style w:type="paragraph" w:styleId="1108" w:customStyle="1">
    <w:name w:val="标题4"/>
    <w:basedOn w:val="827"/>
    <w:next w:val="847"/>
    <w:link w:val="1107"/>
    <w:uiPriority w:val="0"/>
    <w:qFormat/>
    <w:pPr>
      <w:numPr>
        <w:ilvl w:val="0"/>
        <w:numId w:val="0"/>
      </w:numPr>
      <w:spacing w:line="413" w:lineRule="auto"/>
    </w:pPr>
    <w:rPr>
      <w:rFonts w:ascii="Arial" w:hAnsi="Arial"/>
      <w:sz w:val="24"/>
    </w:rPr>
  </w:style>
  <w:style w:type="character" w:styleId="1109" w:customStyle="1">
    <w:name w:val="正文文本 Char1"/>
    <w:uiPriority w:val="0"/>
    <w:qFormat/>
    <w:rPr>
      <w:rFonts w:ascii="Calibri" w:hAnsi="Calibri" w:eastAsia="宋体" w:cs="Times New Roman"/>
    </w:rPr>
  </w:style>
  <w:style w:type="character" w:styleId="1110" w:customStyle="1">
    <w:name w:val="明显引用 Char1"/>
    <w:uiPriority w:val="30"/>
    <w:qFormat/>
    <w:rPr>
      <w:b/>
      <w:bCs/>
      <w:i/>
      <w:iCs/>
      <w:color w:val="4f81bd"/>
      <w:sz w:val="21"/>
    </w:rPr>
  </w:style>
  <w:style w:type="character" w:styleId="1111" w:customStyle="1">
    <w:name w:val="页眉 Char1"/>
    <w:uiPriority w:val="99"/>
    <w:semiHidden/>
    <w:qFormat/>
    <w:rPr>
      <w:rFonts w:ascii="Calibri" w:hAnsi="Calibri" w:eastAsia="宋体" w:cs="Times New Roman"/>
      <w:sz w:val="18"/>
      <w:szCs w:val="18"/>
    </w:rPr>
  </w:style>
  <w:style w:type="character" w:styleId="1112" w:customStyle="1">
    <w:name w:val="不明显强调1"/>
    <w:uiPriority w:val="0"/>
    <w:qFormat/>
    <w:rPr>
      <w:i/>
      <w:iCs/>
      <w:color w:val="808080"/>
    </w:rPr>
  </w:style>
  <w:style w:type="character" w:styleId="1113" w:customStyle="1">
    <w:name w:val="正文文本 3 字符"/>
    <w:link w:val="844"/>
    <w:uiPriority w:val="0"/>
    <w:qFormat/>
    <w:rPr>
      <w:rFonts w:ascii="宋体"/>
      <w:sz w:val="24"/>
    </w:rPr>
  </w:style>
  <w:style w:type="character" w:styleId="1114" w:customStyle="1">
    <w:name w:val="正文文本缩进 3 字符"/>
    <w:link w:val="865"/>
    <w:uiPriority w:val="0"/>
    <w:qFormat/>
    <w:rPr>
      <w:sz w:val="16"/>
    </w:rPr>
  </w:style>
  <w:style w:type="character" w:styleId="1115" w:customStyle="1">
    <w:name w:val="font21"/>
    <w:uiPriority w:val="0"/>
    <w:qFormat/>
    <w:rPr>
      <w:rFonts w:hint="eastAsia" w:ascii="宋体" w:hAnsi="宋体" w:eastAsia="宋体" w:cs="宋体"/>
      <w:color w:val="000000"/>
      <w:sz w:val="20"/>
      <w:szCs w:val="20"/>
      <w:u w:val="none"/>
    </w:rPr>
  </w:style>
  <w:style w:type="character" w:styleId="1116" w:customStyle="1">
    <w:name w:val="批注框文本 字符"/>
    <w:link w:val="855"/>
    <w:uiPriority w:val="0"/>
    <w:qFormat/>
    <w:rPr>
      <w:sz w:val="18"/>
      <w:szCs w:val="18"/>
    </w:rPr>
  </w:style>
  <w:style w:type="character" w:styleId="1117" w:customStyle="1">
    <w:name w:val="标题 7 字符"/>
    <w:link w:val="832"/>
    <w:uiPriority w:val="0"/>
    <w:qFormat/>
    <w:rPr>
      <w:b/>
      <w:bCs/>
      <w:sz w:val="24"/>
      <w:szCs w:val="24"/>
    </w:rPr>
  </w:style>
  <w:style w:type="character" w:styleId="1118" w:customStyle="1">
    <w:name w:val="文档结构图 Char1"/>
    <w:uiPriority w:val="0"/>
    <w:qFormat/>
    <w:rPr>
      <w:rFonts w:ascii="宋体" w:hAnsi="Calibri" w:eastAsia="宋体" w:cs="Times New Roman"/>
      <w:sz w:val="18"/>
      <w:szCs w:val="18"/>
    </w:rPr>
  </w:style>
  <w:style w:type="character" w:styleId="1119" w:customStyle="1">
    <w:name w:val="标题 2 Char_0"/>
    <w:link w:val="1120"/>
    <w:uiPriority w:val="0"/>
    <w:qFormat/>
    <w:rPr>
      <w:rFonts w:ascii="Cambria" w:hAnsi="Cambria"/>
      <w:b/>
      <w:bCs/>
      <w:sz w:val="32"/>
      <w:szCs w:val="32"/>
    </w:rPr>
  </w:style>
  <w:style w:type="paragraph" w:styleId="1120" w:customStyle="1">
    <w:name w:val="标题 2_0"/>
    <w:basedOn w:val="1046"/>
    <w:next w:val="1046"/>
    <w:link w:val="1119"/>
    <w:uiPriority w:val="0"/>
    <w:unhideWhenUsed/>
    <w:qFormat/>
    <w:pPr>
      <w:keepLines/>
      <w:keepNext/>
      <w:spacing w:before="260" w:after="260" w:line="416" w:lineRule="auto"/>
      <w:outlineLvl w:val="1"/>
    </w:pPr>
    <w:rPr>
      <w:rFonts w:ascii="Cambria" w:hAnsi="Cambria"/>
      <w:b/>
      <w:bCs/>
      <w:sz w:val="32"/>
      <w:szCs w:val="32"/>
    </w:rPr>
  </w:style>
  <w:style w:type="character" w:styleId="1121" w:customStyle="1">
    <w:name w:val="日期 Char2"/>
    <w:uiPriority w:val="99"/>
    <w:semiHidden/>
    <w:qFormat/>
    <w:rPr>
      <w:rFonts w:ascii="Calibri" w:hAnsi="Calibri" w:eastAsia="宋体" w:cs="Times New Roman"/>
    </w:rPr>
  </w:style>
  <w:style w:type="character" w:styleId="1122" w:customStyle="1">
    <w:name w:val="批注框文本 Char2"/>
    <w:uiPriority w:val="99"/>
    <w:semiHidden/>
    <w:qFormat/>
    <w:rPr>
      <w:rFonts w:ascii="Calibri" w:hAnsi="Calibri" w:eastAsia="宋体" w:cs="Times New Roman"/>
      <w:sz w:val="18"/>
      <w:szCs w:val="18"/>
    </w:rPr>
  </w:style>
  <w:style w:type="character" w:styleId="1123" w:customStyle="1">
    <w:name w:val="标题 4 字符"/>
    <w:link w:val="829"/>
    <w:uiPriority w:val="0"/>
    <w:qFormat/>
    <w:rPr>
      <w:rFonts w:ascii="Cambria" w:hAnsi="Cambria" w:eastAsia="宋体" w:cs="Times New Roman"/>
      <w:b/>
      <w:bCs/>
      <w:sz w:val="28"/>
      <w:szCs w:val="28"/>
    </w:rPr>
  </w:style>
  <w:style w:type="character" w:styleId="1124" w:customStyle="1">
    <w:name w:val="列出段落 Char"/>
    <w:link w:val="1125"/>
    <w:uiPriority w:val="99"/>
    <w:qFormat/>
    <w:rPr>
      <w:sz w:val="21"/>
      <w:szCs w:val="24"/>
    </w:rPr>
  </w:style>
  <w:style w:type="paragraph" w:styleId="1125" w:customStyle="1">
    <w:name w:val="List Paragraph1"/>
    <w:basedOn w:val="825"/>
    <w:link w:val="1124"/>
    <w:uiPriority w:val="99"/>
    <w:qFormat/>
    <w:pPr>
      <w:ind w:firstLine="420"/>
    </w:pPr>
  </w:style>
  <w:style w:type="paragraph" w:styleId="1126" w:customStyle="1">
    <w:name w:val="样式 标题 3 + (中文) 黑体 小四 非加粗 段前: 7.8 磅 段后: 0 磅 行距: 固定值 20 磅"/>
    <w:basedOn w:val="828"/>
    <w:next w:val="825"/>
    <w:uiPriority w:val="0"/>
    <w:qFormat/>
    <w:pPr>
      <w:spacing w:before="0" w:after="0" w:line="400" w:lineRule="exact"/>
    </w:pPr>
    <w:rPr>
      <w:rFonts w:eastAsia="黑体" w:cs="宋体"/>
      <w:b w:val="0"/>
      <w:bCs w:val="0"/>
      <w:sz w:val="24"/>
      <w:szCs w:val="20"/>
    </w:rPr>
  </w:style>
  <w:style w:type="paragraph" w:styleId="1127" w:customStyle="1">
    <w:name w:val="_Style 34"/>
    <w:next w:val="825"/>
    <w:uiPriority w:val="0"/>
    <w:qFormat/>
    <w:pPr>
      <w:jc w:val="both"/>
      <w:widowControl w:val="off"/>
    </w:pPr>
    <w:rPr>
      <w:rFonts w:ascii="Times New Roman" w:hAnsi="Times New Roman" w:eastAsia="宋体" w:cs="Times New Roman"/>
      <w:sz w:val="21"/>
      <w:lang w:val="en-US" w:eastAsia="zh-CN" w:bidi="ar-SA"/>
    </w:rPr>
  </w:style>
  <w:style w:type="paragraph" w:styleId="112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29" w:customStyle="1">
    <w:name w:val="_Style 36"/>
    <w:next w:val="825"/>
    <w:uiPriority w:val="0"/>
    <w:qFormat/>
    <w:pPr>
      <w:jc w:val="both"/>
      <w:widowControl w:val="off"/>
    </w:pPr>
    <w:rPr>
      <w:rFonts w:ascii="Times New Roman" w:hAnsi="Times New Roman" w:eastAsia="宋体" w:cs="Times New Roman"/>
      <w:sz w:val="21"/>
      <w:lang w:val="en-US" w:eastAsia="zh-CN" w:bidi="ar-SA"/>
    </w:rPr>
  </w:style>
  <w:style w:type="paragraph" w:styleId="1130" w:customStyle="1">
    <w:name w:val="空半行"/>
    <w:basedOn w:val="825"/>
    <w:uiPriority w:val="0"/>
    <w:qFormat/>
    <w:pPr>
      <w:spacing w:line="120" w:lineRule="exact"/>
    </w:pPr>
    <w:rPr>
      <w:rFonts w:ascii="Calibri" w:hAnsi="Calibri" w:eastAsia="仿宋_GB2312"/>
      <w:color w:val="ffffff"/>
      <w:sz w:val="30"/>
      <w:szCs w:val="22"/>
    </w:rPr>
  </w:style>
  <w:style w:type="paragraph" w:styleId="1131" w:customStyle="1">
    <w:name w:val="1方案格式1"/>
    <w:basedOn w:val="826"/>
    <w:uiPriority w:val="0"/>
    <w:qFormat/>
    <w:pPr>
      <w:numPr>
        <w:numId w:val="2"/>
      </w:numPr>
      <w:ind w:left="0" w:firstLine="0"/>
      <w:spacing w:line="360" w:lineRule="auto"/>
      <w:tabs>
        <w:tab w:val="left" w:pos="360" w:leader="none"/>
      </w:tabs>
    </w:pPr>
    <w:rPr>
      <w:rFonts w:eastAsia="微软雅黑"/>
      <w:bCs w:val="0"/>
      <w:sz w:val="48"/>
    </w:rPr>
  </w:style>
  <w:style w:type="paragraph" w:styleId="1132" w:customStyle="1">
    <w:name w:val="格式３"/>
    <w:basedOn w:val="825"/>
    <w:uiPriority w:val="0"/>
    <w:qFormat/>
    <w:pPr>
      <w:ind w:left="600" w:hanging="600"/>
      <w:spacing w:line="420" w:lineRule="exact"/>
    </w:pPr>
    <w:rPr>
      <w:rFonts w:ascii="宋体" w:hAnsi="宋体"/>
      <w:color w:val="000000"/>
      <w:sz w:val="24"/>
      <w:szCs w:val="20"/>
    </w:rPr>
  </w:style>
  <w:style w:type="paragraph" w:styleId="1133" w:customStyle="1">
    <w:name w:val="列出段落1"/>
    <w:basedOn w:val="825"/>
    <w:uiPriority w:val="34"/>
    <w:qFormat/>
    <w:pPr>
      <w:contextualSpacing/>
      <w:ind w:left="720"/>
      <w:jc w:val="left"/>
      <w:widowControl/>
    </w:pPr>
    <w:rPr>
      <w:rFonts w:ascii="Arial" w:hAnsi="Arial" w:eastAsia="黑体"/>
      <w:sz w:val="24"/>
      <w:lang w:eastAsia="en-US"/>
    </w:rPr>
  </w:style>
  <w:style w:type="paragraph" w:styleId="1134" w:customStyle="1">
    <w:name w:val="正文空2字"/>
    <w:basedOn w:val="825"/>
    <w:uiPriority w:val="0"/>
    <w:qFormat/>
    <w:pPr>
      <w:ind w:firstLine="200"/>
      <w:spacing w:line="360" w:lineRule="auto"/>
    </w:pPr>
    <w:rPr>
      <w:sz w:val="24"/>
      <w:lang w:bidi="en-US"/>
    </w:rPr>
  </w:style>
  <w:style w:type="paragraph" w:styleId="113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36" w:customStyle="1">
    <w:name w:val="目录 5_0"/>
    <w:basedOn w:val="1046"/>
    <w:next w:val="1046"/>
    <w:uiPriority w:val="39"/>
    <w:qFormat/>
    <w:pPr>
      <w:ind w:left="1680"/>
    </w:pPr>
    <w:rPr>
      <w:rFonts w:ascii="Calibri" w:hAnsi="Calibri"/>
    </w:rPr>
  </w:style>
  <w:style w:type="paragraph" w:styleId="1137" w:customStyle="1">
    <w:name w:val="修订1"/>
    <w:uiPriority w:val="0"/>
    <w:qFormat/>
    <w:rPr>
      <w:rFonts w:ascii="Times New Roman" w:hAnsi="Times New Roman" w:eastAsia="宋体" w:cs="Times New Roman"/>
      <w:sz w:val="21"/>
      <w:szCs w:val="24"/>
      <w:lang w:val="en-US" w:eastAsia="zh-CN" w:bidi="ar-SA"/>
    </w:rPr>
  </w:style>
  <w:style w:type="paragraph" w:styleId="1138" w:customStyle="1">
    <w:name w:val="标题 11"/>
    <w:basedOn w:val="1033"/>
    <w:next w:val="1033"/>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39" w:customStyle="1">
    <w:name w:val="正文 + 行距: 固定值 20 磅"/>
    <w:basedOn w:val="825"/>
    <w:uiPriority w:val="0"/>
    <w:qFormat/>
    <w:pPr>
      <w:ind w:firstLine="716"/>
      <w:spacing w:line="400" w:lineRule="exact"/>
    </w:pPr>
    <w:rPr>
      <w:rFonts w:ascii="Calibri" w:hAnsi="Calibri"/>
      <w:szCs w:val="22"/>
    </w:rPr>
  </w:style>
  <w:style w:type="paragraph" w:styleId="1140" w:customStyle="1">
    <w:name w:val="TOC 标题11"/>
    <w:basedOn w:val="826"/>
    <w:next w:val="82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41" w:customStyle="1">
    <w:name w:val="表格文字"/>
    <w:basedOn w:val="825"/>
    <w:link w:val="1172"/>
    <w:uiPriority w:val="0"/>
    <w:qFormat/>
    <w:pPr>
      <w:jc w:val="left"/>
      <w:spacing w:line="420" w:lineRule="atLeast"/>
    </w:pPr>
    <w:rPr>
      <w:rFonts w:ascii="Calibri" w:hAnsi="Calibri"/>
      <w:szCs w:val="22"/>
    </w:rPr>
  </w:style>
  <w:style w:type="paragraph" w:styleId="1142" w:customStyle="1">
    <w:name w:val="flNote"/>
    <w:basedOn w:val="825"/>
    <w:uiPriority w:val="0"/>
    <w:qFormat/>
    <w:pPr>
      <w:jc w:val="center"/>
      <w:spacing w:before="320" w:after="160" w:line="360" w:lineRule="atLeast"/>
    </w:pPr>
    <w:rPr>
      <w:rFonts w:ascii="Arial" w:hAnsi="Calibri" w:eastAsia="黑体"/>
      <w:sz w:val="30"/>
      <w:szCs w:val="22"/>
    </w:rPr>
  </w:style>
  <w:style w:type="paragraph" w:styleId="1143" w:customStyle="1">
    <w:name w:val="文章正文"/>
    <w:basedOn w:val="825"/>
    <w:uiPriority w:val="99"/>
    <w:qFormat/>
    <w:pPr>
      <w:ind w:firstLine="480"/>
      <w:spacing w:line="360" w:lineRule="auto"/>
    </w:pPr>
    <w:rPr>
      <w:rFonts w:ascii="仿宋_GB2312" w:hAnsi="宋体" w:eastAsia="仿宋_GB2312"/>
      <w:color w:val="ff0000"/>
      <w:sz w:val="24"/>
    </w:rPr>
  </w:style>
  <w:style w:type="paragraph" w:styleId="1144" w:customStyle="1">
    <w:name w:val="表格"/>
    <w:basedOn w:val="825"/>
    <w:uiPriority w:val="0"/>
    <w:qFormat/>
    <w:pPr>
      <w:jc w:val="center"/>
    </w:pPr>
    <w:rPr>
      <w:rFonts w:ascii="华文细黑" w:hAnsi="华文细黑"/>
      <w:szCs w:val="22"/>
    </w:rPr>
  </w:style>
  <w:style w:type="paragraph" w:styleId="1145" w:customStyle="1">
    <w:name w:val="Char"/>
    <w:basedOn w:val="825"/>
    <w:uiPriority w:val="0"/>
    <w:qFormat/>
    <w:pPr>
      <w:jc w:val="left"/>
      <w:spacing w:after="160" w:line="240" w:lineRule="exact"/>
      <w:widowControl/>
    </w:pPr>
    <w:rPr>
      <w:rFonts w:ascii="Verdana" w:hAnsi="Verdana"/>
      <w:sz w:val="20"/>
      <w:szCs w:val="20"/>
      <w:lang w:eastAsia="en-US"/>
    </w:rPr>
  </w:style>
  <w:style w:type="paragraph" w:styleId="114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47" w:customStyle="1">
    <w:name w:val="列出段落2"/>
    <w:basedOn w:val="825"/>
    <w:uiPriority w:val="99"/>
    <w:qFormat/>
    <w:pPr>
      <w:ind w:firstLine="420"/>
    </w:pPr>
  </w:style>
  <w:style w:type="paragraph" w:styleId="1148" w:customStyle="1">
    <w:name w:val="6'"/>
    <w:basedOn w:val="825"/>
    <w:uiPriority w:val="0"/>
    <w:qFormat/>
    <w:pPr>
      <w:jc w:val="center"/>
      <w:spacing w:line="320" w:lineRule="exact"/>
    </w:pPr>
    <w:rPr>
      <w:rFonts w:ascii="Calibri" w:hAnsi="Calibri"/>
      <w:spacing w:val="20"/>
      <w:szCs w:val="22"/>
    </w:rPr>
  </w:style>
  <w:style w:type="paragraph" w:styleId="1149" w:customStyle="1">
    <w:name w:val="Char Char Char Char Char Char Char"/>
    <w:basedOn w:val="825"/>
    <w:uiPriority w:val="0"/>
    <w:qFormat/>
    <w:pPr>
      <w:spacing w:line="360" w:lineRule="auto"/>
    </w:pPr>
    <w:rPr>
      <w:sz w:val="24"/>
      <w:szCs w:val="20"/>
    </w:rPr>
  </w:style>
  <w:style w:type="paragraph" w:styleId="1150" w:customStyle="1">
    <w:name w:val="2方案格式2"/>
    <w:basedOn w:val="1131"/>
    <w:uiPriority w:val="0"/>
    <w:qFormat/>
    <w:pPr>
      <w:numPr>
        <w:ilvl w:val="1"/>
      </w:numPr>
      <w:spacing w:before="50" w:after="50" w:line="240" w:lineRule="auto"/>
      <w:outlineLvl w:val="1"/>
    </w:pPr>
    <w:rPr>
      <w:sz w:val="44"/>
    </w:rPr>
  </w:style>
  <w:style w:type="paragraph" w:styleId="115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52" w:customStyle="1">
    <w:name w:val="文档正文"/>
    <w:basedOn w:val="825"/>
    <w:uiPriority w:val="0"/>
    <w:qFormat/>
    <w:pPr>
      <w:ind w:firstLine="567"/>
      <w:spacing w:line="480" w:lineRule="atLeast"/>
    </w:pPr>
    <w:rPr>
      <w:rFonts w:ascii="Ari" w:eastAsia="Ari"/>
      <w:sz w:val="28"/>
      <w:szCs w:val="20"/>
    </w:rPr>
  </w:style>
  <w:style w:type="paragraph" w:styleId="1153" w:customStyle="1">
    <w:name w:val="txt"/>
    <w:basedOn w:val="825"/>
    <w:uiPriority w:val="0"/>
    <w:qFormat/>
    <w:pPr>
      <w:jc w:val="left"/>
      <w:spacing w:before="100" w:beforeAutospacing="1" w:after="100" w:afterAutospacing="1"/>
      <w:widowControl/>
    </w:pPr>
    <w:rPr>
      <w:rFonts w:ascii="宋体" w:hAnsi="宋体" w:cs="宋体"/>
      <w:sz w:val="24"/>
    </w:rPr>
  </w:style>
  <w:style w:type="paragraph" w:styleId="1154" w:customStyle="1">
    <w:name w:val="目录 4_0"/>
    <w:basedOn w:val="1046"/>
    <w:next w:val="1046"/>
    <w:uiPriority w:val="39"/>
    <w:qFormat/>
    <w:pPr>
      <w:ind w:left="1260"/>
    </w:pPr>
    <w:rPr>
      <w:rFonts w:ascii="Calibri" w:hAnsi="Calibri"/>
    </w:rPr>
  </w:style>
  <w:style w:type="paragraph" w:styleId="1155" w:customStyle="1">
    <w:name w:val="目录 3_0"/>
    <w:basedOn w:val="1046"/>
    <w:next w:val="1046"/>
    <w:uiPriority w:val="39"/>
    <w:qFormat/>
    <w:pPr>
      <w:ind w:left="840"/>
    </w:pPr>
    <w:rPr>
      <w:rFonts w:ascii="Calibri" w:hAnsi="Calibri"/>
    </w:rPr>
  </w:style>
  <w:style w:type="paragraph" w:styleId="1156" w:customStyle="1">
    <w:name w:val="样式 标题 1 + 黑体 三号 非加粗 居中 段前: 6 磅 段后: 6 磅 行距: 固定值 20 磅"/>
    <w:basedOn w:val="826"/>
    <w:uiPriority w:val="0"/>
    <w:qFormat/>
    <w:pPr>
      <w:numPr>
        <w:numId w:val="0"/>
      </w:numPr>
      <w:spacing w:before="120" w:after="120" w:line="400" w:lineRule="exact"/>
    </w:pPr>
    <w:rPr>
      <w:rFonts w:ascii="黑体" w:hAnsi="黑体" w:eastAsia="黑体"/>
      <w:b w:val="0"/>
      <w:bCs w:val="0"/>
      <w:szCs w:val="20"/>
    </w:rPr>
  </w:style>
  <w:style w:type="paragraph" w:styleId="1157" w:customStyle="1">
    <w:name w:val="1"/>
    <w:basedOn w:val="825"/>
    <w:next w:val="825"/>
    <w:uiPriority w:val="0"/>
    <w:qFormat/>
    <w:rPr>
      <w:rFonts w:ascii="Calibri" w:hAnsi="Calibri"/>
      <w:szCs w:val="22"/>
    </w:rPr>
  </w:style>
  <w:style w:type="paragraph" w:styleId="1158" w:customStyle="1">
    <w:name w:val="Blockquote_0"/>
    <w:basedOn w:val="1046"/>
    <w:uiPriority w:val="0"/>
    <w:qFormat/>
    <w:pPr>
      <w:ind w:left="360" w:right="360"/>
      <w:jc w:val="left"/>
      <w:spacing w:before="100" w:after="100"/>
    </w:pPr>
    <w:rPr>
      <w:rFonts w:ascii="Calibri" w:hAnsi="Calibri" w:eastAsia="Times New Roman"/>
      <w:sz w:val="24"/>
      <w:szCs w:val="20"/>
    </w:rPr>
  </w:style>
  <w:style w:type="paragraph" w:styleId="1159" w:customStyle="1">
    <w:name w:val="列出段落11"/>
    <w:basedOn w:val="825"/>
    <w:uiPriority w:val="0"/>
    <w:qFormat/>
    <w:pPr>
      <w:contextualSpacing/>
      <w:ind w:left="720"/>
      <w:jc w:val="left"/>
      <w:widowControl/>
    </w:pPr>
    <w:rPr>
      <w:rFonts w:ascii="Arial" w:hAnsi="Arial" w:eastAsia="黑体"/>
      <w:sz w:val="24"/>
      <w:lang w:eastAsia="en-US"/>
    </w:rPr>
  </w:style>
  <w:style w:type="paragraph" w:styleId="1160" w:customStyle="1">
    <w:name w:val="样式 标题 2 + Times New Roman 四号 非加粗 段前: 5 磅 段后: 0 磅 行距: 固定值 20..._0"/>
    <w:basedOn w:val="825"/>
    <w:uiPriority w:val="0"/>
    <w:qFormat/>
    <w:pPr>
      <w:keepLines/>
      <w:keepNext/>
      <w:spacing w:before="100" w:line="360" w:lineRule="auto"/>
      <w:outlineLvl w:val="1"/>
    </w:pPr>
    <w:rPr>
      <w:rFonts w:eastAsia="Times New Roman" w:cs="宋体"/>
      <w:sz w:val="28"/>
      <w:szCs w:val="20"/>
    </w:rPr>
  </w:style>
  <w:style w:type="paragraph" w:styleId="1161" w:customStyle="1">
    <w:name w:val="op_mapdots_left"/>
    <w:basedOn w:val="825"/>
    <w:uiPriority w:val="0"/>
    <w:qFormat/>
    <w:pPr>
      <w:jc w:val="left"/>
      <w:spacing w:before="100" w:beforeAutospacing="1" w:after="100" w:afterAutospacing="1"/>
      <w:widowControl/>
    </w:pPr>
    <w:rPr>
      <w:rFonts w:ascii="宋体" w:hAnsi="宋体" w:cs="宋体"/>
      <w:sz w:val="24"/>
    </w:rPr>
  </w:style>
  <w:style w:type="paragraph" w:styleId="1162" w:customStyle="1">
    <w:name w:val="p0"/>
    <w:basedOn w:val="825"/>
    <w:uiPriority w:val="0"/>
    <w:qFormat/>
    <w:pPr>
      <w:widowControl/>
    </w:pPr>
    <w:rPr>
      <w:b/>
      <w:bCs/>
      <w:sz w:val="24"/>
    </w:rPr>
  </w:style>
  <w:style w:type="paragraph" w:styleId="1163" w:customStyle="1">
    <w:name w:val="Blockquote"/>
    <w:basedOn w:val="825"/>
    <w:uiPriority w:val="0"/>
    <w:qFormat/>
    <w:pPr>
      <w:ind w:left="360" w:right="360"/>
      <w:jc w:val="left"/>
      <w:spacing w:before="100" w:after="100"/>
    </w:pPr>
    <w:rPr>
      <w:rFonts w:ascii="Calibri" w:hAnsi="Calibri"/>
      <w:sz w:val="24"/>
      <w:szCs w:val="22"/>
    </w:rPr>
  </w:style>
  <w:style w:type="paragraph" w:styleId="1164" w:customStyle="1">
    <w:name w:val="3方案格式3"/>
    <w:basedOn w:val="1150"/>
    <w:uiPriority w:val="0"/>
    <w:qFormat/>
    <w:pPr>
      <w:numPr>
        <w:ilvl w:val="2"/>
      </w:numPr>
      <w:outlineLvl w:val="2"/>
    </w:pPr>
    <w:rPr>
      <w:sz w:val="32"/>
    </w:rPr>
  </w:style>
  <w:style w:type="paragraph" w:styleId="1165" w:customStyle="1">
    <w:name w:val="样式 标题 2 + Times New Roman 四号 非加粗 段前: 5 磅 段后: 0 磅 行距: 固定值 20..."/>
    <w:basedOn w:val="827"/>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66" w:customStyle="1">
    <w:name w:val="标题2"/>
    <w:basedOn w:val="827"/>
    <w:next w:val="845"/>
    <w:uiPriority w:val="0"/>
    <w:qFormat/>
    <w:pPr>
      <w:spacing w:before="156" w:after="156" w:line="360" w:lineRule="auto"/>
    </w:pPr>
    <w:rPr>
      <w:bCs w:val="0"/>
      <w:sz w:val="24"/>
    </w:rPr>
  </w:style>
  <w:style w:type="paragraph" w:styleId="1167" w:customStyle="1">
    <w:name w:val="普通正文"/>
    <w:basedOn w:val="825"/>
    <w:uiPriority w:val="0"/>
    <w:qFormat/>
    <w:pPr>
      <w:ind w:firstLine="480"/>
      <w:jc w:val="left"/>
      <w:spacing w:before="120" w:after="120" w:line="360" w:lineRule="auto"/>
    </w:pPr>
    <w:rPr>
      <w:rFonts w:ascii="Arial" w:hAnsi="Arial"/>
      <w:sz w:val="24"/>
    </w:rPr>
  </w:style>
  <w:style w:type="paragraph" w:styleId="1168" w:customStyle="1">
    <w:name w:val="正文11"/>
    <w:uiPriority w:val="0"/>
    <w:qFormat/>
    <w:rPr>
      <w:rFonts w:ascii="Calibri" w:hAnsi="Calibri" w:eastAsia="宋体" w:cs="Calibri"/>
      <w:sz w:val="24"/>
      <w:szCs w:val="24"/>
      <w:lang w:val="en-US" w:eastAsia="zh-CN" w:bidi="ar-SA"/>
    </w:rPr>
  </w:style>
  <w:style w:type="paragraph" w:styleId="1169" w:customStyle="1">
    <w:name w:val="正文2"/>
    <w:uiPriority w:val="0"/>
    <w:qFormat/>
    <w:rPr>
      <w:rFonts w:ascii="Times New Roman" w:hAnsi="Times New Roman" w:eastAsia="微软雅黑" w:cs="Times New Roman"/>
      <w:sz w:val="24"/>
      <w:szCs w:val="24"/>
      <w:lang w:val="en-US" w:eastAsia="zh-CN" w:bidi="ar-SA"/>
    </w:rPr>
  </w:style>
  <w:style w:type="paragraph" w:styleId="1170" w:customStyle="1">
    <w:name w:val="列出段落3"/>
    <w:basedOn w:val="825"/>
    <w:uiPriority w:val="34"/>
    <w:qFormat/>
    <w:pPr>
      <w:ind w:firstLine="420"/>
      <w:jc w:val="left"/>
      <w:spacing w:after="200"/>
      <w:widowControl/>
    </w:pPr>
    <w:rPr>
      <w:rFonts w:ascii="Tahoma" w:hAnsi="Tahoma" w:eastAsia="微软雅黑"/>
      <w:sz w:val="22"/>
      <w:szCs w:val="22"/>
    </w:rPr>
  </w:style>
  <w:style w:type="paragraph" w:styleId="1171" w:customStyle="1">
    <w:name w:val="纯文本2"/>
    <w:basedOn w:val="825"/>
    <w:uiPriority w:val="0"/>
    <w:qFormat/>
    <w:pPr>
      <w:jc w:val="left"/>
    </w:pPr>
    <w:rPr>
      <w:rFonts w:hint="eastAsia" w:ascii="宋体" w:hAnsi="宋体" w:cs="Courier New"/>
      <w:sz w:val="24"/>
      <w:szCs w:val="20"/>
      <w:lang w:bidi="hi-IN"/>
    </w:rPr>
  </w:style>
  <w:style w:type="character" w:styleId="1172" w:customStyle="1">
    <w:name w:val="表格文字 字符"/>
    <w:link w:val="1141"/>
    <w:uiPriority w:val="0"/>
    <w:qFormat/>
    <w:rPr>
      <w:rFonts w:ascii="Calibri" w:hAnsi="Calibri" w:eastAsia="宋体" w:cs="Times New Roman"/>
      <w:sz w:val="21"/>
      <w:szCs w:val="22"/>
    </w:rPr>
  </w:style>
  <w:style w:type="paragraph" w:styleId="1173" w:customStyle="1">
    <w:name w:val="trs_editor"/>
    <w:basedOn w:val="825"/>
    <w:uiPriority w:val="0"/>
    <w:qFormat/>
    <w:pPr>
      <w:jc w:val="left"/>
      <w:spacing w:before="100" w:beforeAutospacing="1" w:after="100" w:afterAutospacing="1"/>
      <w:widowControl/>
    </w:pPr>
    <w:rPr>
      <w:rFonts w:ascii="宋体" w:hAnsi="宋体" w:cs="宋体"/>
      <w:sz w:val="24"/>
    </w:rPr>
  </w:style>
  <w:style w:type="paragraph" w:styleId="1174" w:customStyle="1">
    <w:name w:val="标题二级"/>
    <w:basedOn w:val="825"/>
    <w:uiPriority w:val="0"/>
    <w:qFormat/>
    <w:pPr>
      <w:ind w:firstLine="412"/>
    </w:pPr>
    <w:rPr>
      <w:rFonts w:ascii="宋体" w:hAnsi="宋体"/>
      <w:szCs w:val="21"/>
    </w:rPr>
  </w:style>
  <w:style w:type="paragraph" w:styleId="1175"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76"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77" w:customStyle="1">
    <w:name w:val="无"/>
    <w:uiPriority w:val="0"/>
    <w:qFormat/>
  </w:style>
  <w:style w:type="paragraph" w:styleId="1178" w:customStyle="1">
    <w:name w:val="Heading #2|1"/>
    <w:basedOn w:val="825"/>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79" w:customStyle="1">
    <w:name w:val="Body text|1"/>
    <w:basedOn w:val="825"/>
    <w:uiPriority w:val="0"/>
    <w:qFormat/>
    <w:pPr>
      <w:ind w:firstLine="400"/>
      <w:spacing w:line="401" w:lineRule="auto"/>
    </w:pPr>
    <w:rPr>
      <w:rFonts w:ascii="宋体" w:hAnsi="宋体" w:cs="宋体"/>
      <w:sz w:val="30"/>
      <w:szCs w:val="30"/>
      <w:lang w:val="zh-TW" w:eastAsia="zh-TW" w:bidi="zh-TW"/>
    </w:rPr>
  </w:style>
  <w:style w:type="paragraph" w:styleId="1180" w:customStyle="1">
    <w:name w:val="_Style 1931"/>
    <w:basedOn w:val="825"/>
    <w:next w:val="837"/>
    <w:uiPriority w:val="34"/>
    <w:qFormat/>
    <w:pPr>
      <w:ind w:firstLine="420"/>
    </w:pPr>
  </w:style>
  <w:style w:type="paragraph" w:styleId="1181" w:customStyle="1">
    <w:name w:val="段落"/>
    <w:basedOn w:val="825"/>
    <w:uiPriority w:val="0"/>
    <w:qFormat/>
    <w:pPr>
      <w:ind w:firstLine="480"/>
      <w:spacing w:line="460" w:lineRule="exact"/>
    </w:pPr>
    <w:rPr>
      <w:rFonts w:ascii="Calibri" w:hAnsi="Calibri"/>
      <w:sz w:val="24"/>
      <w:szCs w:val="20"/>
    </w:rPr>
  </w:style>
  <w:style w:type="paragraph" w:styleId="1182" w:customStyle="1">
    <w:name w:val="列出段落4"/>
    <w:basedOn w:val="825"/>
    <w:uiPriority w:val="99"/>
    <w:unhideWhenUsed/>
    <w:qFormat/>
    <w:pPr>
      <w:ind w:firstLine="420"/>
      <w:spacing w:line="360" w:lineRule="auto"/>
    </w:pPr>
    <w:rPr>
      <w:rFonts w:ascii="Calibri" w:hAnsi="Calibri" w:eastAsia="仿宋_GB2312"/>
      <w:sz w:val="32"/>
      <w:szCs w:val="22"/>
    </w:rPr>
  </w:style>
  <w:style w:type="paragraph" w:styleId="1183"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84" w:customStyle="1">
    <w:name w:val="正文 A"/>
    <w:next w:val="845"/>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85"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86" w:customStyle="1">
    <w:name w:val="*正文"/>
    <w:basedOn w:val="825"/>
    <w:uiPriority w:val="0"/>
    <w:qFormat/>
    <w:pPr>
      <w:spacing w:line="360" w:lineRule="auto"/>
      <w:widowControl/>
    </w:pPr>
    <w:rPr>
      <w:rFonts w:ascii="仿宋_GB2312" w:eastAsia="仿宋_GB2312"/>
      <w:sz w:val="24"/>
      <w:szCs w:val="28"/>
    </w:rPr>
  </w:style>
  <w:style w:type="table" w:styleId="1187" w:customStyle="1">
    <w:name w:val="Table Normal"/>
    <w:uiPriority w:val="0"/>
    <w:semiHidden/>
    <w:unhideWhenUsed/>
    <w:qFormat/>
    <w:tblPr>
      <w:tblCellMar>
        <w:left w:w="0" w:type="dxa"/>
        <w:top w:w="0" w:type="dxa"/>
        <w:right w:w="0" w:type="dxa"/>
        <w:bottom w:w="0" w:type="dxa"/>
      </w:tblCellMar>
    </w:tblPr>
  </w:style>
  <w:style w:type="character" w:styleId="1188" w:customStyle="1">
    <w:name w:val="form-textarea-print1"/>
    <w:uiPriority w:val="0"/>
    <w:qFormat/>
    <w:rPr>
      <w:rFonts w:hint="default" w:ascii="微软雅黑" w:hAnsi="微软雅黑" w:eastAsia="宋体" w:cs="Times New Roman"/>
      <w:sz w:val="18"/>
      <w:szCs w:val="18"/>
    </w:rPr>
  </w:style>
  <w:style w:type="character" w:styleId="1189" w:customStyle="1">
    <w:name w:val="cke_colorbox"/>
    <w:basedOn w:val="835"/>
    <w:uiPriority w:val="0"/>
    <w:qFormat/>
  </w:style>
  <w:style w:type="character" w:styleId="1190" w:customStyle="1">
    <w:name w:val="cke_colorbox1"/>
    <w:basedOn w:val="835"/>
    <w:uiPriority w:val="0"/>
    <w:qFormat/>
  </w:style>
  <w:style w:type="character" w:styleId="1191" w:customStyle="1">
    <w:name w:val="pwdtips_alert"/>
    <w:basedOn w:val="835"/>
    <w:uiPriority w:val="0"/>
    <w:qFormat/>
    <w:rPr>
      <w:shd w:val="clear" w:color="auto" w:fill="ffeaa6"/>
    </w:rPr>
  </w:style>
  <w:style w:type="character" w:styleId="1192" w:customStyle="1">
    <w:name w:val="l-btn-left"/>
    <w:basedOn w:val="835"/>
    <w:uiPriority w:val="0"/>
    <w:qFormat/>
  </w:style>
  <w:style w:type="character" w:styleId="1193" w:customStyle="1">
    <w:name w:val="l-btn-left1"/>
    <w:basedOn w:val="835"/>
    <w:uiPriority w:val="0"/>
    <w:qFormat/>
  </w:style>
  <w:style w:type="character" w:styleId="1194" w:customStyle="1">
    <w:name w:val="l-btn-left2"/>
    <w:basedOn w:val="835"/>
    <w:uiPriority w:val="0"/>
    <w:qFormat/>
  </w:style>
  <w:style w:type="character" w:styleId="1195" w:customStyle="1">
    <w:name w:val="l-btn-left3"/>
    <w:basedOn w:val="835"/>
    <w:uiPriority w:val="0"/>
    <w:qFormat/>
  </w:style>
  <w:style w:type="character" w:styleId="1196" w:customStyle="1">
    <w:name w:val="combo2"/>
    <w:basedOn w:val="835"/>
    <w:uiPriority w:val="0"/>
    <w:qFormat/>
  </w:style>
  <w:style w:type="character" w:styleId="1197" w:customStyle="1">
    <w:name w:val="l-btn-empty"/>
    <w:basedOn w:val="835"/>
    <w:uiPriority w:val="0"/>
    <w:qFormat/>
  </w:style>
  <w:style w:type="character" w:styleId="1198" w:customStyle="1">
    <w:name w:val="red"/>
    <w:basedOn w:val="835"/>
    <w:uiPriority w:val="0"/>
    <w:qFormat/>
    <w:rPr>
      <w:color w:val="ff0000"/>
    </w:rPr>
  </w:style>
  <w:style w:type="character" w:styleId="1199" w:customStyle="1">
    <w:name w:val="l-btn-text"/>
    <w:basedOn w:val="835"/>
    <w:uiPriority w:val="0"/>
    <w:qFormat/>
    <w:rPr>
      <w:color w:val="1864ac"/>
      <w:sz w:val="14"/>
      <w:szCs w:val="14"/>
    </w:rPr>
  </w:style>
  <w:style w:type="character" w:styleId="1200" w:customStyle="1">
    <w:name w:val="l-btn-text1"/>
    <w:basedOn w:val="835"/>
    <w:uiPriority w:val="0"/>
    <w:qFormat/>
  </w:style>
  <w:style w:type="character" w:styleId="1201" w:customStyle="1">
    <w:name w:val="green"/>
    <w:basedOn w:val="835"/>
    <w:uiPriority w:val="0"/>
    <w:qFormat/>
    <w:rPr>
      <w:color w:val="00a521"/>
    </w:rPr>
  </w:style>
  <w:style w:type="character" w:styleId="1202" w:customStyle="1">
    <w:name w:val="valueinfo"/>
    <w:basedOn w:val="835"/>
    <w:uiPriority w:val="0"/>
    <w:qFormat/>
    <w:rPr>
      <w:color w:val="666666"/>
    </w:rPr>
  </w:style>
  <w:style w:type="character" w:styleId="1203" w:customStyle="1">
    <w:name w:val="tree-file2"/>
    <w:basedOn w:val="835"/>
    <w:uiPriority w:val="0"/>
    <w:qFormat/>
  </w:style>
  <w:style w:type="character" w:styleId="1204" w:customStyle="1">
    <w:name w:val="vainfo"/>
    <w:basedOn w:val="835"/>
    <w:uiPriority w:val="0"/>
    <w:qFormat/>
    <w:rPr>
      <w:color w:val="ff0000"/>
      <w:shd w:val="clear" w:color="auto" w:fill="ffe4e4"/>
    </w:rPr>
  </w:style>
  <w:style w:type="character" w:styleId="1205" w:customStyle="1">
    <w:name w:val="pwdtips_ok"/>
    <w:basedOn w:val="835"/>
    <w:uiPriority w:val="0"/>
    <w:qFormat/>
    <w:rPr>
      <w:shd w:val="clear" w:color="auto" w:fill="b4ffa6"/>
    </w:rPr>
  </w:style>
  <w:style w:type="character" w:styleId="1206" w:customStyle="1">
    <w:name w:val="pwdtips_error"/>
    <w:basedOn w:val="835"/>
    <w:uiPriority w:val="0"/>
    <w:qFormat/>
    <w:rPr>
      <w:shd w:val="clear" w:color="auto" w:fill="ffa6a6"/>
    </w:rPr>
  </w:style>
  <w:style w:type="character" w:styleId="1207" w:customStyle="1">
    <w:name w:val="tree-title4"/>
    <w:basedOn w:val="835"/>
    <w:uiPriority w:val="0"/>
    <w:qFormat/>
    <w:rPr>
      <w:color w:val="1864ac"/>
    </w:rPr>
  </w:style>
  <w:style w:type="character" w:styleId="1208" w:customStyle="1">
    <w:name w:val="tree-title5"/>
    <w:basedOn w:val="835"/>
    <w:uiPriority w:val="0"/>
    <w:qFormat/>
    <w:rPr>
      <w:color w:val="ffffff"/>
      <w:shd w:val="clear" w:color="auto" w:fill="3366cc"/>
    </w:rPr>
  </w:style>
  <w:style w:type="character" w:styleId="1209" w:customStyle="1">
    <w:name w:val="info"/>
    <w:basedOn w:val="835"/>
    <w:uiPriority w:val="0"/>
    <w:qFormat/>
  </w:style>
  <w:style w:type="character" w:styleId="1210" w:customStyle="1">
    <w:name w:val="topic"/>
    <w:basedOn w:val="835"/>
    <w:uiPriority w:val="0"/>
    <w:qFormat/>
    <w:rPr>
      <w:color w:val="ff0000"/>
    </w:rPr>
  </w:style>
  <w:style w:type="paragraph" w:styleId="1211" w:customStyle="1">
    <w:name w:val="_Style 213"/>
    <w:basedOn w:val="825"/>
    <w:next w:val="837"/>
    <w:uiPriority w:val="34"/>
    <w:qFormat/>
    <w:pPr>
      <w:ind w:firstLine="420"/>
      <w:jc w:val="left"/>
      <w:spacing w:line="360" w:lineRule="atLeast"/>
    </w:pPr>
    <w:rPr>
      <w:rFonts w:ascii="Arial" w:hAnsi="Arial"/>
      <w:sz w:val="24"/>
    </w:rPr>
  </w:style>
  <w:style w:type="paragraph" w:styleId="1212" w:customStyle="1">
    <w:name w:val="修订5"/>
    <w:hidden/>
    <w:uiPriority w:val="99"/>
    <w:semiHidden/>
    <w:qFormat/>
    <w:rPr>
      <w:rFonts w:ascii="Times New Roman" w:hAnsi="Times New Roman" w:eastAsia="宋体" w:cs="Times New Roman"/>
      <w:sz w:val="21"/>
      <w:szCs w:val="24"/>
      <w:lang w:val="en-US" w:eastAsia="zh-CN" w:bidi="ar-SA"/>
    </w:rPr>
  </w:style>
  <w:style w:type="paragraph" w:styleId="1213" w:customStyle="1">
    <w:name w:val="修订6"/>
    <w:hidden/>
    <w:uiPriority w:val="99"/>
    <w:semiHidden/>
    <w:qFormat/>
    <w:rPr>
      <w:rFonts w:ascii="Times New Roman" w:hAnsi="Times New Roman" w:eastAsia="宋体" w:cs="Times New Roman"/>
      <w:sz w:val="21"/>
      <w:szCs w:val="24"/>
      <w:lang w:val="en-US" w:eastAsia="zh-CN" w:bidi="ar-SA"/>
    </w:rPr>
  </w:style>
  <w:style w:type="character" w:styleId="1214" w:customStyle="1">
    <w:name w:val="NormalCharacter"/>
    <w:uiPriority w:val="0"/>
    <w:semiHidden/>
    <w:qFormat/>
    <w:rPr>
      <w:rFonts w:ascii="Calibri" w:hAnsi="Calibri" w:eastAsia="宋体"/>
      <w:sz w:val="21"/>
      <w:szCs w:val="24"/>
      <w:lang w:val="en-US" w:eastAsia="zh-CN" w:bidi="ar-SA"/>
    </w:rPr>
  </w:style>
  <w:style w:type="paragraph" w:styleId="1215">
    <w:name w:val="No Spacing"/>
    <w:uiPriority w:val="1"/>
    <w:qFormat/>
    <w:pPr>
      <w:jc w:val="both"/>
      <w:widowControl w:val="off"/>
    </w:pPr>
    <w:rPr>
      <w:rFonts w:ascii="Times New Roman" w:hAnsi="Times New Roman" w:eastAsia="宋体" w:cs="Times New Roman"/>
      <w:sz w:val="21"/>
      <w:lang w:val="en-US" w:eastAsia="zh-CN" w:bidi="ar-SA"/>
    </w:rPr>
  </w:style>
  <w:style w:type="paragraph" w:styleId="1216" w:customStyle="1">
    <w:name w:val="列表段落2"/>
    <w:basedOn w:val="825"/>
    <w:uiPriority w:val="0"/>
    <w:qFormat/>
    <w:pPr>
      <w:ind w:firstLine="420"/>
    </w:pPr>
    <w:rPr>
      <w:szCs w:val="21"/>
    </w:rPr>
  </w:style>
  <w:style w:type="paragraph" w:styleId="1217" w:customStyle="1">
    <w:name w:val="正文_9_0"/>
    <w:basedOn w:val="825"/>
    <w:uiPriority w:val="0"/>
    <w:qFormat/>
    <w:rPr>
      <w:szCs w:val="21"/>
    </w:rPr>
  </w:style>
  <w:style w:type="paragraph" w:styleId="1218" w:customStyle="1">
    <w:name w:val="p15"/>
    <w:basedOn w:val="825"/>
    <w:uiPriority w:val="0"/>
    <w:qFormat/>
    <w:pPr>
      <w:jc w:val="left"/>
      <w:widowControl/>
    </w:pPr>
    <w:rPr>
      <w:rFonts w:ascii="黑体" w:hAnsi="黑体" w:eastAsia="黑体" w:cs="宋体"/>
      <w:color w:val="000000"/>
      <w:sz w:val="24"/>
    </w:rPr>
  </w:style>
  <w:style w:type="paragraph" w:styleId="1219" w:customStyle="1">
    <w:name w:val="Table Text"/>
    <w:basedOn w:val="825"/>
    <w:uiPriority w:val="0"/>
    <w:semiHidden/>
    <w:qFormat/>
    <w:rPr>
      <w:rFonts w:ascii="宋体" w:hAnsi="宋体" w:cs="宋体"/>
      <w:szCs w:val="21"/>
      <w:lang w:eastAsia="en-US"/>
    </w:rPr>
  </w:style>
  <w:style w:type="paragraph" w:styleId="1220" w:customStyle="1">
    <w:name w:val="TOC 71"/>
    <w:next w:val="825"/>
    <w:uiPriority w:val="0"/>
    <w:qFormat/>
    <w:pPr>
      <w:ind w:left="2550"/>
      <w:jc w:val="both"/>
    </w:pPr>
    <w:rPr>
      <w:rFonts w:ascii="Times New Roman" w:hAnsi="Times New Roman" w:eastAsia="宋体" w:cs="Times New Roman"/>
      <w:sz w:val="21"/>
      <w:szCs w:val="22"/>
      <w:lang w:val="en-US" w:eastAsia="zh-CN" w:bidi="ar-SA"/>
    </w:rPr>
  </w:style>
  <w:style w:type="character" w:styleId="1221" w:customStyle="1">
    <w:name w:val="标题 1 字符"/>
    <w:basedOn w:val="835"/>
    <w:link w:val="826"/>
    <w:uiPriority w:val="0"/>
    <w:qFormat/>
    <w:rPr>
      <w:rFonts w:ascii="黑体" w:eastAsia="仿宋"/>
      <w:b/>
      <w:sz w:val="24"/>
      <w:szCs w:val="28"/>
    </w:rPr>
  </w:style>
  <w:style w:type="paragraph" w:styleId="1222" w:customStyle="1">
    <w:name w:val="WPSOffice手动目录 1"/>
    <w:uiPriority w:val="0"/>
    <w:qFormat/>
    <w:rPr>
      <w:rFonts w:ascii="Times New Roman" w:hAnsi="Times New Roman" w:eastAsia="宋体" w:cs="Times New Roman"/>
      <w:lang w:val="en-US" w:eastAsia="zh-CN" w:bidi="ar-SA"/>
    </w:rPr>
  </w:style>
  <w:style w:type="paragraph" w:styleId="1223" w:customStyle="1">
    <w:name w:val="WPSOffice手动目录 2"/>
    <w:uiPriority w:val="0"/>
    <w:qFormat/>
    <w:pPr>
      <w:ind w:left="200"/>
    </w:pPr>
    <w:rPr>
      <w:rFonts w:ascii="Times New Roman" w:hAnsi="Times New Roman" w:eastAsia="宋体" w:cs="Times New Roman"/>
      <w:lang w:val="en-US" w:eastAsia="zh-CN" w:bidi="ar-SA"/>
    </w:rPr>
  </w:style>
  <w:style w:type="paragraph" w:styleId="1224" w:customStyle="1">
    <w:name w:val="WPSOffice手动目录 3"/>
    <w:uiPriority w:val="0"/>
    <w:qFormat/>
    <w:pPr>
      <w:ind w:left="400"/>
    </w:pPr>
    <w:rPr>
      <w:rFonts w:ascii="Times New Roman" w:hAnsi="Times New Roman" w:eastAsia="宋体" w:cs="Times New Roman"/>
      <w:lang w:val="en-US" w:eastAsia="zh-CN" w:bidi="ar-SA"/>
    </w:rPr>
  </w:style>
  <w:style w:type="paragraph" w:styleId="1225" w:customStyle="1">
    <w:name w:val="CM24"/>
    <w:basedOn w:val="1146"/>
    <w:next w:val="1146"/>
    <w:uiPriority w:val="99"/>
    <w:unhideWhenUsed/>
    <w:qFormat/>
    <w:rPr>
      <w:rFonts w:ascii="Sim Sun" w:hAnsi="Sim Sun" w:eastAsia="Sim Sun"/>
      <w:szCs w:val="20"/>
    </w:rPr>
  </w:style>
  <w:style w:type="paragraph" w:styleId="1226" w:customStyle="1">
    <w:name w:val="CM1"/>
    <w:basedOn w:val="1146"/>
    <w:next w:val="1146"/>
    <w:uiPriority w:val="99"/>
    <w:unhideWhenUsed/>
    <w:qFormat/>
    <w:pPr>
      <w:spacing w:line="360" w:lineRule="atLeast"/>
    </w:pPr>
    <w:rPr>
      <w:rFonts w:ascii="Sim Sun" w:hAnsi="Sim Sun" w:eastAsia="Sim Sun"/>
      <w:szCs w:val="20"/>
    </w:rPr>
  </w:style>
  <w:style w:type="paragraph" w:styleId="1227" w:customStyle="1">
    <w:name w:val="UserStyle_0"/>
    <w:basedOn w:val="825"/>
    <w:uiPriority w:val="0"/>
    <w:qFormat/>
    <w:pPr>
      <w:ind w:firstLine="200"/>
      <w:spacing w:before="50" w:after="50"/>
    </w:pPr>
    <w:rPr>
      <w:rFonts w:ascii="宋体" w:hAnsi="宋体"/>
    </w:rPr>
  </w:style>
  <w:style w:type="character" w:styleId="1228" w:customStyle="1">
    <w:name w:val="zhengwen1"/>
    <w:uiPriority w:val="99"/>
    <w:qFormat/>
    <w:rPr>
      <w:sz w:val="21"/>
    </w:rPr>
  </w:style>
  <w:style w:type="paragraph" w:styleId="1229" w:customStyle="1">
    <w:name w:val="标准文本"/>
    <w:basedOn w:val="825"/>
    <w:uiPriority w:val="0"/>
    <w:qFormat/>
    <w:pPr>
      <w:ind w:firstLine="480"/>
      <w:spacing w:line="360" w:lineRule="auto"/>
    </w:pPr>
    <w:rPr>
      <w:rFonts w:cs="宋体"/>
      <w:sz w:val="24"/>
    </w:rPr>
  </w:style>
  <w:style w:type="paragraph" w:styleId="1230" w:customStyle="1">
    <w:name w:val="Table Paragraph"/>
    <w:basedOn w:val="825"/>
    <w:uiPriority w:val="1"/>
    <w:qFormat/>
  </w:style>
  <w:style w:type="numbering" w:styleId="165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王丽</cp:lastModifiedBy>
  <cp:revision>18</cp:revision>
  <dcterms:created xsi:type="dcterms:W3CDTF">2024-09-05T01:13:00Z</dcterms:created>
  <dcterms:modified xsi:type="dcterms:W3CDTF">2025-01-02T04:58:13Z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0EBA0A4438284FA7BC87880FEC662DFF_13</vt:lpwstr>
  </property>
  <property fmtid="{D5CDD505-2E9C-101B-9397-08002B2CF9AE}" pid="4" name="KSOTemplateDocerSaveRecord">
    <vt:lpwstr>eyJoZGlkIjoiNjYxNTk2MmU4ZTU3Yzg0N2I1OTlhYjcyZmE1Y2UyNWMiLCJ1c2VySWQiOiIxNTE0NzY5NTk5In0=</vt:lpwstr>
  </property>
</Properties>
</file>