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right"/>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7"/>
        <w:jc w:val="right"/>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JSZC-321000-SWGC-G2024-0202</w:t>
      </w:r>
      <w:r>
        <w:rPr>
          <w:rFonts w:hint="eastAsia" w:ascii="宋体" w:hAnsi="宋体" w:eastAsia="宋体" w:cs="宋体"/>
          <w:b/>
          <w:bCs/>
          <w:color w:val="000000"/>
          <w:sz w:val="36"/>
          <w:highlight w:val="none"/>
          <w:lang w:eastAsia="zh-CN"/>
        </w:rPr>
        <w:t xml:space="preserve">号</w:t>
      </w:r>
      <w:r>
        <w:rPr>
          <w:rFonts w:hint="eastAsia" w:ascii="宋体" w:hAnsi="宋体" w:eastAsia="宋体" w:cs="宋体"/>
          <w:b/>
          <w:bCs/>
          <w:color w:val="000000"/>
          <w:sz w:val="36"/>
          <w:highlight w:val="none"/>
          <w:lang w:eastAsia="zh-CN"/>
        </w:rPr>
      </w:r>
      <w:r/>
    </w:p>
    <w:p>
      <w:pPr>
        <w:pStyle w:val="737"/>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7"/>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t xml:space="preserve">江苏省苏北人民医院软件正版化采购项目</w:t>
      </w:r>
      <w:r>
        <w:rPr>
          <w:rFonts w:hint="eastAsia" w:ascii="宋体" w:hAnsi="宋体" w:eastAsia="宋体" w:cs="宋体"/>
          <w:b/>
          <w:bCs/>
          <w:color w:val="000000"/>
          <w:sz w:val="36"/>
          <w:highlight w:val="none"/>
          <w:lang w:eastAsia="zh-CN"/>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公开招标文件</w:t>
      </w:r>
      <w:r>
        <w:rPr>
          <w:rFonts w:hint="eastAsia" w:ascii="宋体" w:hAnsi="宋体" w:eastAsia="宋体" w:cs="宋体"/>
          <w:b/>
          <w:bCs/>
          <w:color w:val="000000"/>
          <w:sz w:val="36"/>
          <w:highlight w:val="none"/>
        </w:rPr>
      </w:r>
      <w:r/>
    </w:p>
    <w:p>
      <w:pPr>
        <w:pStyle w:val="9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7"/>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36"/>
          <w:highlight w:val="none"/>
        </w:rPr>
      </w:r>
      <w:r/>
    </w:p>
    <w:p>
      <w:pPr>
        <w:pStyle w:val="737"/>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江苏苏维工程管理有限公司</w:t>
      </w:r>
      <w:r>
        <w:rPr>
          <w:rFonts w:hint="eastAsia" w:ascii="宋体" w:hAnsi="宋体" w:eastAsia="宋体" w:cs="宋体"/>
          <w:b/>
          <w:bCs/>
          <w:color w:val="000000"/>
          <w:sz w:val="36"/>
          <w:highlight w:val="none"/>
        </w:rPr>
      </w:r>
      <w:r/>
    </w:p>
    <w:p>
      <w:pPr>
        <w:pStyle w:val="737"/>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2024年</w:t>
      </w:r>
      <w:r>
        <w:rPr>
          <w:rFonts w:hint="eastAsia" w:ascii="宋体" w:hAnsi="宋体" w:eastAsia="宋体" w:cs="宋体"/>
          <w:b/>
          <w:bCs/>
          <w:color w:val="000000"/>
          <w:sz w:val="36"/>
          <w:highlight w:val="none"/>
          <w:lang w:val="en-US" w:eastAsia="zh-CN"/>
        </w:rPr>
        <w:t xml:space="preserve">9</w:t>
      </w:r>
      <w:r>
        <w:rPr>
          <w:rFonts w:hint="eastAsia" w:ascii="宋体" w:hAnsi="宋体" w:eastAsia="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9</w:t>
      </w:r>
      <w:r>
        <w:rPr>
          <w:rFonts w:hint="eastAsia" w:ascii="宋体" w:hAnsi="宋体" w:eastAsia="宋体" w:cs="宋体"/>
          <w:b/>
          <w:bCs/>
          <w:color w:val="000000"/>
          <w:sz w:val="36"/>
          <w:highlight w:val="none"/>
        </w:rPr>
        <w:t xml:space="preserve">日</w:t>
      </w:r>
      <w:r>
        <w:rPr>
          <w:rFonts w:hint="eastAsia" w:ascii="宋体" w:hAnsi="宋体" w:eastAsia="宋体" w:cs="宋体"/>
          <w:b/>
          <w:bCs/>
          <w:color w:val="000000"/>
          <w:sz w:val="36"/>
          <w:highlight w:val="none"/>
        </w:rPr>
      </w:r>
      <w:r/>
    </w:p>
    <w:p>
      <w:pPr>
        <w:pStyle w:val="737"/>
        <w:jc w:val="center"/>
        <w:rPr>
          <w:rFonts w:hint="eastAsia" w:ascii="宋体" w:hAnsi="宋体" w:eastAsia="宋体" w:cs="宋体"/>
          <w:color w:val="000000"/>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2"/>
          <w:highlight w:val="none"/>
        </w:rPr>
      </w:r>
      <w:r/>
    </w:p>
    <w:p>
      <w:pPr>
        <w:pStyle w:val="939"/>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jc w:val="center"/>
        <w:spacing w:line="48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rPr>
          <w:rFonts w:hint="eastAsia" w:ascii="宋体" w:hAnsi="宋体" w:eastAsia="宋体" w:cs="宋体"/>
          <w:color w:val="000000"/>
          <w:sz w:val="32"/>
          <w:highlight w:val="none"/>
        </w:rPr>
      </w:r>
      <w:r/>
    </w:p>
    <w:p>
      <w:pPr>
        <w:pStyle w:val="772"/>
        <w:tabs>
          <w:tab w:val="right" w:pos="8306" w:leader="dot"/>
        </w:tabs>
        <w:rPr>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TOC \o "1-3" \f </w:instrText>
      </w:r>
      <w:r>
        <w:rPr>
          <w:rFonts w:hint="eastAsia" w:ascii="宋体" w:hAnsi="宋体" w:eastAsia="宋体" w:cs="宋体"/>
          <w:color w:val="000000"/>
          <w:szCs w:val="21"/>
          <w:highlight w:val="none"/>
        </w:rPr>
        <w:fldChar w:fldCharType="separate"/>
      </w:r>
      <w:r>
        <w:rPr>
          <w:rFonts w:hint="eastAsia"/>
          <w:color w:val="000000"/>
          <w:highlight w:val="none"/>
          <w:lang w:val="en-US" w:eastAsia="zh-CN"/>
        </w:rPr>
        <w:t xml:space="preserve">第一章 </w:t>
      </w:r>
      <w:r>
        <w:rPr>
          <w:rFonts w:hint="eastAsia"/>
          <w:color w:val="000000"/>
          <w:highlight w:val="none"/>
          <w:lang w:eastAsia="zh-CN"/>
        </w:rPr>
        <w:t xml:space="preserve">江苏省苏北人民医院软件正版化采购项目</w:t>
      </w:r>
      <w:r>
        <w:rPr>
          <w:color w:val="000000"/>
          <w:highlight w:val="none"/>
        </w:rPr>
        <w:tab/>
      </w:r>
      <w:r>
        <w:rPr>
          <w:color w:val="000000"/>
          <w:highlight w:val="none"/>
        </w:rPr>
        <w:fldChar w:fldCharType="begin"/>
      </w:r>
      <w:r>
        <w:rPr>
          <w:color w:val="000000"/>
          <w:highlight w:val="none"/>
        </w:rPr>
        <w:instrText xml:space="preserve"> PAGEREF _Toc30208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r>
      <w:r/>
    </w:p>
    <w:p>
      <w:pPr>
        <w:pStyle w:val="772"/>
        <w:tabs>
          <w:tab w:val="right" w:pos="8306" w:leader="dot"/>
        </w:tabs>
        <w:rPr>
          <w:color w:val="000000"/>
          <w:highlight w:val="none"/>
        </w:rPr>
      </w:pP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_Toc10032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r>
      <w:r/>
    </w:p>
    <w:p>
      <w:pPr>
        <w:pStyle w:val="772"/>
        <w:tabs>
          <w:tab w:val="right" w:pos="8306" w:leader="dot"/>
        </w:tabs>
        <w:rPr>
          <w:color w:val="000000"/>
          <w:highlight w:val="none"/>
        </w:rPr>
      </w:pPr>
      <w:r>
        <w:rPr>
          <w:rFonts w:hint="eastAsia"/>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_Toc18427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r>
      <w:r/>
    </w:p>
    <w:p>
      <w:pPr>
        <w:pStyle w:val="772"/>
        <w:tabs>
          <w:tab w:val="right" w:pos="8306" w:leader="dot"/>
        </w:tabs>
        <w:rPr>
          <w:color w:val="000000"/>
          <w:highlight w:val="none"/>
        </w:rPr>
      </w:pPr>
      <w:r>
        <w:rPr>
          <w:rFonts w:hint="eastAsia"/>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_Toc12506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r>
      <w:r/>
    </w:p>
    <w:p>
      <w:pPr>
        <w:pStyle w:val="772"/>
        <w:tabs>
          <w:tab w:val="right" w:pos="8306" w:leader="dot"/>
        </w:tabs>
        <w:rPr>
          <w:color w:val="000000"/>
          <w:highlight w:val="none"/>
        </w:rPr>
      </w:pPr>
      <w:r>
        <w:rPr>
          <w:rFonts w:hint="eastAsia"/>
          <w:color w:val="000000"/>
          <w:highlight w:val="none"/>
        </w:rPr>
        <w:t xml:space="preserve">第五章 评标方法及评标标准</w:t>
      </w:r>
      <w:r>
        <w:rPr>
          <w:color w:val="000000"/>
          <w:highlight w:val="none"/>
        </w:rPr>
        <w:tab/>
      </w:r>
      <w:r>
        <w:rPr>
          <w:color w:val="000000"/>
          <w:highlight w:val="none"/>
        </w:rPr>
        <w:fldChar w:fldCharType="begin"/>
      </w:r>
      <w:r>
        <w:rPr>
          <w:color w:val="000000"/>
          <w:highlight w:val="none"/>
        </w:rPr>
        <w:instrText xml:space="preserve"> PAGEREF _Toc29995 \h </w:instrText>
      </w:r>
      <w:r>
        <w:rPr>
          <w:color w:val="000000"/>
          <w:highlight w:val="none"/>
        </w:rPr>
        <w:fldChar w:fldCharType="separate"/>
      </w:r>
      <w:r>
        <w:rPr>
          <w:color w:val="000000"/>
          <w:highlight w:val="none"/>
        </w:rPr>
        <w:t xml:space="preserve">31</w:t>
      </w:r>
      <w:r>
        <w:rPr>
          <w:color w:val="000000"/>
          <w:highlight w:val="none"/>
        </w:rPr>
        <w:fldChar w:fldCharType="end"/>
      </w:r>
      <w:r>
        <w:rPr>
          <w:color w:val="000000"/>
          <w:highlight w:val="none"/>
        </w:rPr>
      </w:r>
      <w:r/>
    </w:p>
    <w:p>
      <w:pPr>
        <w:pStyle w:val="772"/>
        <w:tabs>
          <w:tab w:val="right" w:pos="8306" w:leader="dot"/>
        </w:tabs>
        <w:rPr>
          <w:color w:val="000000"/>
          <w:highlight w:val="none"/>
        </w:rPr>
      </w:pPr>
      <w:r>
        <w:rPr>
          <w:rFonts w:hint="eastAsia"/>
          <w:color w:val="00000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_Toc18779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r>
      <w:r/>
    </w:p>
    <w:p>
      <w:pPr>
        <w:pStyle w:val="780"/>
        <w:tabs>
          <w:tab w:val="right" w:pos="8306" w:leader="dot"/>
        </w:tabs>
        <w:rPr>
          <w:color w:val="000000"/>
          <w:highlight w:val="none"/>
        </w:rPr>
      </w:pPr>
      <w:r>
        <w:rPr>
          <w:color w:val="000000"/>
          <w:highlight w:val="none"/>
        </w:rPr>
      </w:r>
      <w:r/>
    </w:p>
    <w:p>
      <w:pPr>
        <w:pStyle w:val="7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sz w:val="28"/>
          <w:highlight w:val="none"/>
        </w:rPr>
        <w:br w:type="page" w:clear="all"/>
      </w:r>
      <w:r>
        <w:rPr>
          <w:rFonts w:hint="eastAsia" w:ascii="宋体" w:hAnsi="宋体" w:eastAsia="宋体" w:cs="宋体"/>
          <w:color w:val="000000"/>
          <w:highlight w:val="none"/>
        </w:rPr>
      </w:r>
      <w:r/>
    </w:p>
    <w:p>
      <w:pPr>
        <w:pStyle w:val="738"/>
        <w:rPr>
          <w:rFonts w:hint="eastAsia"/>
          <w:color w:val="000000"/>
          <w:highlight w:val="none"/>
          <w:lang w:eastAsia="zh-CN"/>
        </w:rPr>
      </w:pPr>
      <w:r/>
      <w:bookmarkStart w:id="0" w:name="_Toc30208"/>
      <w:r/>
      <w:bookmarkStart w:id="1" w:name="_Toc55204177"/>
      <w:r>
        <w:rPr>
          <w:rFonts w:hint="eastAsia"/>
          <w:color w:val="000000"/>
          <w:highlight w:val="none"/>
          <w:lang w:val="en-US" w:eastAsia="zh-CN"/>
        </w:rPr>
        <w:t xml:space="preserve">第一章 </w:t>
      </w:r>
      <w:r>
        <w:rPr>
          <w:rFonts w:hint="eastAsia"/>
          <w:color w:val="000000"/>
          <w:highlight w:val="none"/>
          <w:lang w:eastAsia="zh-CN"/>
        </w:rPr>
        <w:t xml:space="preserve">江苏省苏北人民医院软件正版化采购项目</w:t>
      </w:r>
      <w:bookmarkEnd w:id="0"/>
      <w:r>
        <w:rPr>
          <w:rFonts w:hint="eastAsia"/>
          <w:color w:val="000000"/>
          <w:highlight w:val="none"/>
          <w:lang w:eastAsia="zh-CN"/>
        </w:rPr>
      </w:r>
      <w:r/>
    </w:p>
    <w:p>
      <w:pPr>
        <w:pStyle w:val="738"/>
        <w:rPr>
          <w:rFonts w:hint="eastAsia"/>
          <w:color w:val="000000"/>
          <w:highlight w:val="none"/>
          <w:lang w:eastAsia="zh-CN"/>
        </w:rPr>
      </w:pPr>
      <w:r/>
      <w:bookmarkStart w:id="2" w:name="_Toc27417"/>
      <w:r>
        <w:rPr>
          <w:rFonts w:hint="eastAsia"/>
          <w:color w:val="000000"/>
          <w:highlight w:val="none"/>
          <w:lang w:eastAsia="zh-CN"/>
        </w:rPr>
        <w:t xml:space="preserve">采购公告</w:t>
      </w:r>
      <w:bookmarkEnd w:id="1"/>
      <w:r/>
      <w:bookmarkEnd w:id="2"/>
      <w:r>
        <w:rPr>
          <w:rFonts w:hint="eastAsia"/>
          <w:color w:val="000000"/>
          <w:highlight w:val="none"/>
          <w:lang w:eastAsia="zh-CN"/>
        </w:rPr>
      </w:r>
      <w:r/>
    </w:p>
    <w:p>
      <w:pPr>
        <w:pStyle w:val="737"/>
        <w:ind w:firstLine="420"/>
        <w:jc w:val="left"/>
        <w:keepLines w:val="0"/>
        <w:keepNext w:val="0"/>
        <w:pageBreakBefore w:val="0"/>
        <w:spacing w:line="360" w:lineRule="auto"/>
        <w:tabs>
          <w:tab w:val="left" w:pos="266"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lang w:eastAsia="zh-CN"/>
        </w:rPr>
        <w:t xml:space="preserve">江苏省苏北人民医院</w:t>
      </w:r>
      <w:r>
        <w:rPr>
          <w:rFonts w:hint="eastAsia" w:ascii="宋体" w:hAnsi="宋体" w:eastAsia="宋体" w:cs="宋体"/>
          <w:color w:val="000000"/>
          <w:highlight w:val="none"/>
        </w:rPr>
        <w:t xml:space="preserve">的委托，江苏苏维工程管理有限公司就</w:t>
      </w:r>
      <w:r>
        <w:rPr>
          <w:rFonts w:hint="eastAsia" w:ascii="宋体" w:hAnsi="宋体" w:eastAsia="宋体" w:cs="宋体"/>
          <w:color w:val="000000"/>
          <w:highlight w:val="none"/>
          <w:lang w:eastAsia="zh-CN"/>
        </w:rPr>
        <w:t xml:space="preserve">江苏省苏北人民医院软件正版化采购项目</w:t>
      </w:r>
      <w:r>
        <w:rPr>
          <w:rFonts w:hint="eastAsia" w:ascii="宋体" w:hAnsi="宋体" w:eastAsia="宋体" w:cs="宋体"/>
          <w:color w:val="000000"/>
          <w:highlight w:val="none"/>
        </w:rPr>
        <w:t xml:space="preserve">(</w:t>
      </w:r>
      <w:r>
        <w:rPr>
          <w:rFonts w:hint="eastAsia" w:ascii="宋体" w:hAnsi="宋体" w:cs="宋体"/>
          <w:color w:val="000000"/>
          <w:szCs w:val="21"/>
          <w:highlight w:val="none"/>
          <w:lang w:eastAsia="zh-CN"/>
        </w:rPr>
        <w:t xml:space="preserve">JSZC-321000-SWGC-G2024-0202</w:t>
      </w:r>
      <w:r>
        <w:rPr>
          <w:rFonts w:hint="eastAsia" w:ascii="宋体" w:hAnsi="宋体" w:eastAsia="宋体" w:cs="宋体"/>
          <w:color w:val="000000"/>
          <w:szCs w:val="21"/>
          <w:highlight w:val="none"/>
          <w:lang w:eastAsia="zh-CN"/>
        </w:rPr>
        <w:t xml:space="preserve">号</w:t>
      </w:r>
      <w:r>
        <w:rPr>
          <w:rFonts w:hint="eastAsia" w:ascii="宋体" w:hAnsi="宋体" w:eastAsia="宋体" w:cs="宋体"/>
          <w:color w:val="000000"/>
          <w:highlight w:val="none"/>
        </w:rPr>
        <w:t xml:space="preserve">)进行公开招标采购，欢迎符合条件的供应商投标。</w:t>
      </w:r>
      <w:r>
        <w:rPr>
          <w:rFonts w:hint="eastAsia" w:ascii="宋体" w:hAnsi="宋体" w:eastAsia="宋体" w:cs="宋体"/>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highlight w:val="none"/>
        </w:rPr>
        <w:t xml:space="preserve">项目概况</w:t>
      </w:r>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highlight w:val="none"/>
          <w:lang w:eastAsia="zh-CN"/>
        </w:rPr>
        <w:t xml:space="preserve">江苏省苏北人民医院</w:t>
      </w:r>
      <w:r>
        <w:rPr>
          <w:rFonts w:hint="eastAsia" w:ascii="宋体" w:hAnsi="宋体" w:eastAsia="宋体" w:cs="宋体"/>
          <w:bCs/>
          <w:color w:val="000000"/>
          <w:highlight w:val="none"/>
        </w:rPr>
        <w:t xml:space="preserve">结合目前实际，按照省卫健委文件有关要求，积极开展计算机办公软件正版化工作。为巩固</w:t>
      </w:r>
      <w:r>
        <w:rPr>
          <w:rFonts w:hint="eastAsia" w:ascii="宋体" w:hAnsi="宋体" w:eastAsia="宋体" w:cs="宋体"/>
          <w:bCs/>
          <w:color w:val="000000"/>
          <w:highlight w:val="none"/>
          <w:lang w:val="en-US" w:eastAsia="zh-CN"/>
        </w:rPr>
        <w:t xml:space="preserve">医院</w:t>
      </w:r>
      <w:r>
        <w:rPr>
          <w:rFonts w:hint="eastAsia" w:ascii="宋体" w:hAnsi="宋体" w:eastAsia="宋体" w:cs="宋体"/>
          <w:bCs/>
          <w:color w:val="000000"/>
          <w:highlight w:val="none"/>
        </w:rPr>
        <w:t xml:space="preserve">现有的软件正版化工作成果，并做好国家及省推进使用正版软件领导小组督促检查的准备，特准备采购一批正版化办公软件，以满足全院范围内办公电脑、业务电脑使用。</w:t>
      </w:r>
      <w:r>
        <w:rPr>
          <w:rFonts w:hint="eastAsia" w:ascii="宋体" w:hAnsi="宋体" w:eastAsia="宋体" w:cs="宋体"/>
          <w:color w:val="000000"/>
          <w:szCs w:val="21"/>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u w:val="single"/>
          <w:lang w:eastAsia="zh-CN"/>
        </w:rPr>
        <w:t xml:space="preserve">江苏省苏北人民医院软件正版化采购项目</w:t>
      </w:r>
      <w:r>
        <w:rPr>
          <w:rFonts w:hint="eastAsia" w:ascii="宋体" w:hAnsi="宋体" w:eastAsia="宋体" w:cs="宋体"/>
          <w:color w:val="000000"/>
          <w:highlight w:val="none"/>
        </w:rPr>
        <w:t xml:space="preserve">的潜在投标人可在</w:t>
      </w:r>
      <w:r>
        <w:rPr>
          <w:rFonts w:hint="eastAsia" w:ascii="宋体" w:hAnsi="宋体" w:eastAsia="宋体" w:cs="宋体"/>
          <w:color w:val="000000"/>
          <w:highlight w:val="none"/>
          <w:u w:val="single"/>
        </w:rPr>
        <w:t xml:space="preserve">“扬州市政府采购网”、“江苏省政府采购网”和“中国政府采购网”自行免费下载</w:t>
      </w:r>
      <w:r>
        <w:rPr>
          <w:rFonts w:hint="eastAsia" w:ascii="宋体" w:hAnsi="宋体" w:eastAsia="宋体" w:cs="宋体"/>
          <w:color w:val="000000"/>
          <w:highlight w:val="none"/>
        </w:rPr>
        <w:t xml:space="preserve">招标文件，并于</w:t>
      </w:r>
      <w:r>
        <w:rPr>
          <w:rFonts w:hint="eastAsia" w:ascii="宋体" w:hAnsi="宋体" w:eastAsia="宋体" w:cs="宋体"/>
          <w:bCs/>
          <w:color w:val="000000"/>
          <w:highlight w:val="none"/>
          <w:u w:val="single"/>
        </w:rPr>
        <w:t xml:space="preserve">2024年</w:t>
      </w:r>
      <w:r>
        <w:rPr>
          <w:rFonts w:hint="eastAsia" w:ascii="宋体" w:hAnsi="宋体" w:eastAsia="宋体" w:cs="宋体"/>
          <w:bCs/>
          <w:color w:val="000000"/>
          <w:highlight w:val="none"/>
          <w:u w:val="single"/>
          <w:lang w:val="en-US" w:eastAsia="zh-CN"/>
        </w:rPr>
        <w:t xml:space="preserve">9</w:t>
      </w:r>
      <w:r>
        <w:rPr>
          <w:rFonts w:hint="eastAsia" w:ascii="宋体" w:hAnsi="宋体" w:eastAsia="宋体" w:cs="宋体"/>
          <w:bCs/>
          <w:color w:val="000000"/>
          <w:highlight w:val="none"/>
          <w:u w:val="single"/>
        </w:rPr>
        <w:t xml:space="preserve">月</w:t>
      </w:r>
      <w:r>
        <w:rPr>
          <w:rFonts w:hint="eastAsia" w:ascii="宋体" w:hAnsi="宋体" w:eastAsia="宋体" w:cs="宋体"/>
          <w:bCs/>
          <w:color w:val="000000"/>
          <w:highlight w:val="none"/>
          <w:u w:val="single"/>
          <w:lang w:val="en-US" w:eastAsia="zh-CN"/>
        </w:rPr>
        <w:t xml:space="preserve">  </w:t>
      </w:r>
      <w:r>
        <w:rPr>
          <w:rFonts w:hint="eastAsia" w:ascii="宋体" w:hAnsi="宋体" w:cs="宋体"/>
          <w:bCs/>
          <w:color w:val="000000"/>
          <w:highlight w:val="none"/>
          <w:u w:val="single"/>
          <w:lang w:val="en-US" w:eastAsia="zh-CN"/>
        </w:rPr>
        <w:t xml:space="preserve">30</w:t>
      </w:r>
      <w:r>
        <w:rPr>
          <w:rFonts w:hint="eastAsia" w:ascii="宋体" w:hAnsi="宋体" w:eastAsia="宋体" w:cs="宋体"/>
          <w:bCs/>
          <w:color w:val="000000"/>
          <w:highlight w:val="none"/>
          <w:u w:val="single"/>
        </w:rPr>
        <w:t xml:space="preserve">日</w:t>
      </w:r>
      <w:r>
        <w:rPr>
          <w:rFonts w:hint="eastAsia" w:ascii="宋体" w:hAnsi="宋体" w:cs="宋体"/>
          <w:bCs/>
          <w:color w:val="000000"/>
          <w:highlight w:val="none"/>
          <w:u w:val="single"/>
          <w:lang w:val="en-US" w:eastAsia="zh-CN"/>
        </w:rPr>
        <w:t xml:space="preserve">上午9:30</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（北京时间）前递交投标文件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bookmarkStart w:id="3" w:name="_Toc28359079"/>
      <w:r/>
      <w:bookmarkStart w:id="4" w:name="_Toc35393621"/>
      <w:r/>
      <w:bookmarkStart w:id="5" w:name="_Toc38985263"/>
      <w:r/>
      <w:bookmarkStart w:id="6" w:name="_Toc35393790"/>
      <w:r/>
      <w:bookmarkStart w:id="7" w:name="_Toc28359002"/>
      <w:r/>
      <w:bookmarkStart w:id="8" w:name="_Hlk24379207"/>
      <w:r>
        <w:rPr>
          <w:rFonts w:hint="eastAsia" w:ascii="宋体" w:hAnsi="宋体" w:eastAsia="宋体" w:cs="宋体"/>
          <w:b/>
          <w:bCs/>
          <w:color w:val="000000"/>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t xml:space="preserve">1.项目编号：</w:t>
      </w:r>
      <w:r>
        <w:rPr>
          <w:rFonts w:hint="eastAsia" w:ascii="宋体" w:hAnsi="宋体" w:cs="宋体"/>
          <w:color w:val="000000"/>
          <w:szCs w:val="21"/>
          <w:highlight w:val="none"/>
          <w:lang w:eastAsia="zh-CN"/>
        </w:rPr>
        <w:t xml:space="preserve">JSZC-321000-SWGC-G2024-0202</w:t>
      </w:r>
      <w:r>
        <w:rPr>
          <w:rFonts w:hint="eastAsia" w:ascii="宋体" w:hAnsi="宋体" w:eastAsia="宋体" w:cs="宋体"/>
          <w:color w:val="000000"/>
          <w:szCs w:val="21"/>
          <w:highlight w:val="none"/>
          <w:lang w:eastAsia="zh-CN"/>
        </w:rPr>
        <w:t xml:space="preserve">号</w:t>
      </w:r>
      <w:r>
        <w:rPr>
          <w:rFonts w:hint="eastAsia" w:ascii="宋体" w:hAnsi="宋体" w:eastAsia="宋体" w:cs="宋体"/>
          <w:color w:val="000000"/>
          <w:szCs w:val="21"/>
          <w:highlight w:val="none"/>
          <w:lang w:eastAsia="zh-CN"/>
        </w:rPr>
      </w:r>
      <w:r/>
    </w:p>
    <w:p>
      <w:pPr>
        <w:pStyle w:val="737"/>
        <w:ind w:firstLine="420"/>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eastAsia="zh-CN"/>
        </w:rPr>
        <w:t xml:space="preserve">江苏省苏北人民医院软件正版化采购项目</w:t>
      </w:r>
      <w:r>
        <w:rPr>
          <w:rFonts w:hint="eastAsia" w:ascii="宋体" w:hAnsi="宋体" w:eastAsia="宋体" w:cs="宋体"/>
          <w:color w:val="000000"/>
          <w:highlight w:val="none"/>
          <w:lang w:eastAsia="zh-CN"/>
        </w:rPr>
      </w:r>
      <w:r/>
    </w:p>
    <w:p>
      <w:pPr>
        <w:pStyle w:val="737"/>
        <w:ind w:firstLine="420"/>
        <w:keepLines w:val="0"/>
        <w:keepNext w:val="0"/>
        <w:pageBreakBefore w:val="0"/>
        <w:spacing w:line="360" w:lineRule="auto"/>
        <w:rPr>
          <w:rFonts w:hint="eastAsia" w:ascii="宋体" w:hAnsi="宋体" w:eastAsia="宋体" w:cs="宋体"/>
          <w:color w:val="000000"/>
          <w:highlight w:val="none"/>
        </w:rPr>
      </w:pPr>
      <w:r/>
      <w:bookmarkEnd w:id="8"/>
      <w:r>
        <w:rPr>
          <w:rFonts w:hint="eastAsia" w:ascii="宋体" w:hAnsi="宋体" w:eastAsia="宋体" w:cs="宋体"/>
          <w:color w:val="000000"/>
          <w:highlight w:val="none"/>
        </w:rPr>
        <w:t xml:space="preserve">3.预算金额：人民币</w:t>
      </w:r>
      <w:r>
        <w:rPr>
          <w:rFonts w:hint="eastAsia" w:ascii="宋体" w:hAnsi="宋体" w:eastAsia="宋体" w:cs="宋体"/>
          <w:color w:val="000000"/>
          <w:highlight w:val="none"/>
          <w:lang w:val="en-US" w:eastAsia="zh-CN"/>
        </w:rPr>
        <w:t xml:space="preserve">140</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4.本项目</w:t>
      </w:r>
      <w:r>
        <w:rPr>
          <w:rFonts w:hint="eastAsia" w:ascii="宋体" w:hAnsi="宋体" w:eastAsia="宋体" w:cs="宋体"/>
          <w:color w:val="000000"/>
          <w:highlight w:val="none"/>
          <w:u w:val="single"/>
        </w:rPr>
        <w:t xml:space="preserve">设置</w:t>
      </w:r>
      <w:r>
        <w:rPr>
          <w:rFonts w:hint="eastAsia" w:ascii="宋体" w:hAnsi="宋体" w:eastAsia="宋体" w:cs="宋体"/>
          <w:color w:val="000000"/>
          <w:highlight w:val="none"/>
        </w:rPr>
        <w:t xml:space="preserve">最高限价：人民币</w:t>
      </w:r>
      <w:r>
        <w:rPr>
          <w:rFonts w:hint="eastAsia" w:ascii="宋体" w:hAnsi="宋体" w:eastAsia="宋体" w:cs="宋体"/>
          <w:color w:val="000000"/>
          <w:highlight w:val="none"/>
          <w:lang w:val="en-US" w:eastAsia="zh-CN"/>
        </w:rPr>
        <w:t xml:space="preserve">100</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5.采购需求：见招标文件第四章。</w:t>
      </w:r>
      <w:r>
        <w:rPr>
          <w:rFonts w:hint="eastAsia" w:ascii="宋体" w:hAnsi="宋体" w:eastAsia="宋体" w:cs="宋体"/>
          <w:color w:val="000000"/>
          <w:highlight w:val="none"/>
          <w:u w:val="singl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6.合同履行期限：见招标文件第四章。</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7.本项目</w:t>
      </w:r>
      <w:r>
        <w:rPr>
          <w:rFonts w:hint="eastAsia" w:ascii="宋体" w:hAnsi="宋体" w:eastAsia="宋体" w:cs="宋体"/>
          <w:i/>
          <w:iCs/>
          <w:color w:val="000000"/>
          <w:highlight w:val="none"/>
          <w:u w:val="single"/>
        </w:rPr>
        <w:t xml:space="preserve">不接受</w:t>
      </w:r>
      <w:r>
        <w:rPr>
          <w:rFonts w:hint="eastAsia" w:ascii="宋体" w:hAnsi="宋体" w:eastAsia="宋体" w:cs="宋体"/>
          <w:color w:val="000000"/>
          <w:highlight w:val="none"/>
        </w:rPr>
        <w:t xml:space="preserve">联合体投标。  </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8.本项目</w:t>
      </w:r>
      <w:r>
        <w:rPr>
          <w:rFonts w:hint="eastAsia" w:ascii="宋体" w:hAnsi="宋体" w:eastAsia="宋体" w:cs="宋体"/>
          <w:i/>
          <w:iCs/>
          <w:color w:val="000000"/>
          <w:highlight w:val="none"/>
          <w:u w:val="single"/>
        </w:rPr>
        <w:t xml:space="preserve">不接受</w:t>
      </w:r>
      <w:r>
        <w:rPr>
          <w:rFonts w:hint="eastAsia" w:ascii="宋体" w:hAnsi="宋体" w:eastAsia="宋体" w:cs="宋体"/>
          <w:color w:val="000000"/>
          <w:highlight w:val="none"/>
        </w:rPr>
        <w:t xml:space="preserve">进口产品投标。</w:t>
      </w:r>
      <w:r>
        <w:rPr>
          <w:rFonts w:hint="eastAsia" w:ascii="宋体" w:hAnsi="宋体" w:eastAsia="宋体" w:cs="宋体"/>
          <w:color w:val="000000"/>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bookmarkStart w:id="9" w:name="_Toc28359003"/>
      <w:r/>
      <w:bookmarkStart w:id="10" w:name="_Toc35393622"/>
      <w:r/>
      <w:bookmarkStart w:id="11" w:name="_Toc35393791"/>
      <w:r/>
      <w:bookmarkStart w:id="12" w:name="_Toc38985264"/>
      <w:r/>
      <w:bookmarkStart w:id="13" w:name="_Toc28359080"/>
      <w:r>
        <w:rPr>
          <w:rFonts w:hint="eastAsia" w:ascii="宋体" w:hAnsi="宋体" w:eastAsia="宋体" w:cs="宋体"/>
          <w:b/>
          <w:bCs/>
          <w:color w:val="000000"/>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szCs w:val="21"/>
          <w:highlight w:val="none"/>
        </w:rPr>
      </w:pPr>
      <w:r/>
      <w:bookmarkStart w:id="14" w:name="_Toc28359081"/>
      <w:r/>
      <w:bookmarkStart w:id="15" w:name="_Toc28359004"/>
      <w:r/>
      <w:bookmarkStart w:id="16" w:name="_Toc35393623"/>
      <w:r/>
      <w:bookmarkStart w:id="17" w:name="_Toc38985265"/>
      <w:r/>
      <w:bookmarkStart w:id="18" w:name="_Toc35393792"/>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737"/>
        <w:ind w:firstLine="420"/>
        <w:keepLines w:val="0"/>
        <w:keepNext w:val="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1.1法人或者其他组织的营业执照等证明文件，自然人的身份证明</w:t>
      </w:r>
      <w:r>
        <w:rPr>
          <w:rFonts w:hint="eastAsia" w:ascii="宋体" w:hAnsi="宋体" w:eastAsia="宋体" w:cs="宋体"/>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1.2 上一年度的财务报告情况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b/>
          <w:bCs/>
          <w:i/>
          <w:iCs/>
          <w:color w:val="000000"/>
          <w:highlight w:val="none"/>
          <w:u w:val="single"/>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b/>
          <w:bCs/>
          <w:i/>
          <w:iCs/>
          <w:color w:val="000000"/>
          <w:highlight w:val="none"/>
          <w:u w:val="single"/>
        </w:rPr>
      </w:r>
      <w:r/>
    </w:p>
    <w:p>
      <w:pPr>
        <w:pStyle w:val="737"/>
        <w:ind w:firstLine="420"/>
        <w:keepLines w:val="0"/>
        <w:keepNext w:val="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rPr>
          <w:rFonts w:hint="eastAsia" w:ascii="宋体" w:hAnsi="宋体" w:eastAsia="宋体" w:cs="宋体"/>
          <w:b/>
          <w:bCs/>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rPr>
          <w:rFonts w:hint="eastAsia" w:ascii="宋体" w:hAnsi="宋体" w:eastAsia="宋体" w:cs="宋体"/>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供应商信用承诺函；</w:t>
      </w:r>
      <w:r>
        <w:rPr>
          <w:rFonts w:hint="eastAsia" w:ascii="宋体" w:hAnsi="宋体" w:eastAsia="宋体" w:cs="宋体"/>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w:t>
      </w:r>
      <w:r>
        <w:rPr>
          <w:rFonts w:hint="eastAsia" w:ascii="宋体" w:hAnsi="宋体" w:eastAsia="宋体" w:cs="宋体"/>
          <w:b w:val="0"/>
          <w:bCs w:val="0"/>
          <w:i/>
          <w:iCs/>
          <w:color w:val="000000"/>
          <w:szCs w:val="21"/>
          <w:highlight w:val="none"/>
          <w:u w:val="single"/>
        </w:rPr>
        <w:t xml:space="preserve">失信行为记录名单及其他不符合《中华人民共和国政府采购法》第二十二条规定条件的信用记录。（投标文件中无需提供证明材料）</w:t>
      </w:r>
      <w:r>
        <w:rPr>
          <w:rFonts w:hint="eastAsia" w:ascii="宋体" w:hAnsi="宋体" w:eastAsia="宋体" w:cs="宋体"/>
          <w:b/>
          <w:bCs/>
          <w:i/>
          <w:i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i/>
          <w:color w:val="000000"/>
          <w:szCs w:val="21"/>
          <w:highlight w:val="none"/>
          <w:u w:val="single"/>
          <w:lang w:val="en-US" w:eastAsia="zh-CN"/>
        </w:rPr>
      </w:pPr>
      <w:r>
        <w:rPr>
          <w:rFonts w:hint="eastAsia" w:ascii="宋体" w:hAnsi="宋体" w:eastAsia="宋体" w:cs="宋体"/>
          <w:color w:val="000000"/>
          <w:szCs w:val="21"/>
          <w:highlight w:val="none"/>
        </w:rPr>
        <w:t xml:space="preserve">2.落实政府采购政策需满足的资格要求：</w:t>
      </w:r>
      <w:r>
        <w:rPr>
          <w:rFonts w:hint="eastAsia" w:ascii="宋体" w:hAnsi="宋体" w:eastAsia="宋体" w:cs="宋体"/>
          <w:i/>
          <w:color w:val="000000"/>
          <w:szCs w:val="21"/>
          <w:highlight w:val="none"/>
          <w:u w:val="single"/>
          <w:lang w:val="en-US" w:eastAsia="zh-CN"/>
        </w:rPr>
        <w:t xml:space="preserve">无</w:t>
      </w:r>
      <w:r>
        <w:rPr>
          <w:rFonts w:hint="eastAsia" w:ascii="宋体" w:hAnsi="宋体" w:eastAsia="宋体" w:cs="宋体"/>
          <w:i/>
          <w:color w:val="000000"/>
          <w:szCs w:val="21"/>
          <w:highlight w:val="none"/>
          <w:u w:val="single"/>
          <w:lang w:val="en-US" w:eastAsia="zh-CN"/>
        </w:rPr>
      </w:r>
      <w:r/>
    </w:p>
    <w:p>
      <w:pPr>
        <w:pStyle w:val="737"/>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3.本项目的特定资格要求：</w:t>
      </w:r>
      <w:r>
        <w:rPr>
          <w:rFonts w:hint="eastAsia" w:ascii="宋体" w:hAnsi="宋体" w:eastAsia="宋体" w:cs="宋体"/>
          <w:i/>
          <w:color w:val="000000"/>
          <w:szCs w:val="21"/>
          <w:highlight w:val="none"/>
          <w:u w:val="single"/>
        </w:rPr>
        <w:t xml:space="preserve">无</w:t>
      </w:r>
      <w:r>
        <w:rPr>
          <w:rFonts w:hint="eastAsia" w:ascii="宋体" w:hAnsi="宋体" w:eastAsia="宋体" w:cs="宋体"/>
          <w:color w:val="000000"/>
          <w:szCs w:val="21"/>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三、获取招标文件</w:t>
      </w:r>
      <w:bookmarkEnd w:id="14"/>
      <w:r/>
      <w:bookmarkEnd w:id="15"/>
      <w:r/>
      <w:bookmarkEnd w:id="16"/>
      <w:r/>
      <w:bookmarkEnd w:id="17"/>
      <w:r/>
      <w:bookmarkEnd w:id="18"/>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bookmarkStart w:id="19" w:name="_Toc28359005"/>
      <w:r/>
      <w:bookmarkStart w:id="20" w:name="_Toc28359082"/>
      <w:r/>
      <w:bookmarkStart w:id="21" w:name="_Toc35393793"/>
      <w:r/>
      <w:bookmarkStart w:id="22" w:name="_Toc35393624"/>
      <w:r/>
      <w:bookmarkStart w:id="23" w:name="_Toc38985266"/>
      <w:r>
        <w:rPr>
          <w:rFonts w:hint="eastAsia" w:ascii="宋体" w:hAnsi="宋体" w:eastAsia="宋体" w:cs="宋体"/>
          <w:color w:val="000000"/>
          <w:highlight w:val="none"/>
        </w:rPr>
        <w:t xml:space="preserve">1.时间：自招标文件公告发布之日起5个工作日。5个工作日后仍可下载招标文件，但不作为供应商权益受到损害的证明材料和依据。</w:t>
      </w:r>
      <w:r>
        <w:rPr>
          <w:rFonts w:hint="eastAsia" w:ascii="宋体" w:hAnsi="宋体" w:eastAsia="宋体" w:cs="宋体"/>
          <w:color w:val="000000"/>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2.获取方式：本项目采用网上注册登记方式。</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737"/>
        <w:ind w:firstLine="422"/>
        <w:jc w:val="left"/>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http//zfcg.yangzhou.gov.cn/zfcg/xzzx/202309/4d7de1f7865f4a2894fc22bc452f94d8.shtml。</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四、提交投标文件</w:t>
      </w:r>
      <w:bookmarkEnd w:id="19"/>
      <w:r/>
      <w:bookmarkEnd w:id="20"/>
      <w:r>
        <w:rPr>
          <w:rFonts w:hint="eastAsia" w:ascii="宋体" w:hAnsi="宋体" w:eastAsia="宋体" w:cs="宋体"/>
          <w:b/>
          <w:bCs/>
          <w:color w:val="000000"/>
          <w:highlight w:val="none"/>
        </w:rPr>
        <w:t xml:space="preserve">截止时间、开标时间和地点</w:t>
      </w:r>
      <w:bookmarkEnd w:id="21"/>
      <w:r/>
      <w:bookmarkEnd w:id="22"/>
      <w:r/>
      <w:bookmarkEnd w:id="23"/>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highlight w:val="none"/>
        </w:rPr>
        <w:t xml:space="preserve">1.时间：2024年9月30日上午9:30 （北京时间）</w:t>
      </w:r>
      <w:r>
        <w:rPr>
          <w:rFonts w:hint="eastAsia" w:ascii="宋体" w:hAnsi="宋体" w:eastAsia="宋体" w:cs="宋体"/>
          <w:bCs/>
          <w:color w:val="000000"/>
          <w:szCs w:val="21"/>
          <w:highlight w:val="none"/>
          <w:u w:val="single"/>
        </w:rPr>
      </w:r>
      <w:r/>
    </w:p>
    <w:p>
      <w:pPr>
        <w:pStyle w:val="737"/>
        <w:ind w:firstLine="420"/>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color w:val="000000"/>
          <w:highlight w:val="none"/>
        </w:rPr>
        <w:t xml:space="preserve">2.开标地点：</w:t>
      </w:r>
      <w:r>
        <w:rPr>
          <w:rFonts w:hint="eastAsia" w:ascii="宋体" w:hAnsi="宋体" w:eastAsia="宋体" w:cs="宋体"/>
          <w:color w:val="000000"/>
          <w:szCs w:val="21"/>
          <w:highlight w:val="none"/>
        </w:rPr>
        <w:t xml:space="preserve">“苏采云”系统（网址：http：//jszfcg.jsczt.cn/）</w:t>
      </w:r>
      <w:r>
        <w:rPr>
          <w:rFonts w:hint="eastAsia" w:ascii="宋体" w:hAnsi="宋体" w:eastAsia="宋体" w:cs="宋体"/>
          <w:b/>
          <w:color w:val="000000"/>
          <w:szCs w:val="21"/>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bookmarkStart w:id="24" w:name="_Toc38985267"/>
      <w:r/>
      <w:bookmarkStart w:id="25" w:name="_Toc35393625"/>
      <w:r/>
      <w:bookmarkStart w:id="26" w:name="_Toc28359084"/>
      <w:r/>
      <w:bookmarkStart w:id="27" w:name="_Toc35393794"/>
      <w:r/>
      <w:bookmarkStart w:id="28" w:name="_Toc28359007"/>
      <w:r>
        <w:rPr>
          <w:rFonts w:hint="eastAsia" w:ascii="宋体" w:hAnsi="宋体" w:eastAsia="宋体" w:cs="宋体"/>
          <w:b/>
          <w:bCs/>
          <w:color w:val="000000"/>
          <w:highlight w:val="none"/>
        </w:rPr>
        <w:t xml:space="preserve">五、公告期限</w:t>
      </w:r>
      <w:bookmarkEnd w:id="24"/>
      <w:r/>
      <w:bookmarkEnd w:id="25"/>
      <w:r/>
      <w:bookmarkEnd w:id="26"/>
      <w:r/>
      <w:bookmarkEnd w:id="27"/>
      <w:r/>
      <w:bookmarkEnd w:id="28"/>
      <w:r>
        <w:rPr>
          <w:rFonts w:hint="eastAsia" w:ascii="宋体" w:hAnsi="宋体" w:eastAsia="宋体" w:cs="宋体"/>
          <w:b/>
          <w:bCs/>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bookmarkStart w:id="29" w:name="_Toc35393795"/>
      <w:r/>
      <w:bookmarkStart w:id="30" w:name="_Toc38985268"/>
      <w:r/>
      <w:bookmarkStart w:id="31" w:name="_Toc35393626"/>
      <w:r>
        <w:rPr>
          <w:rFonts w:hint="eastAsia" w:ascii="宋体" w:hAnsi="宋体" w:eastAsia="宋体" w:cs="宋体"/>
          <w:color w:val="000000"/>
          <w:highlight w:val="none"/>
        </w:rPr>
        <w:t xml:space="preserve">招标公告及招标文件公告期限为自本公告发布之日起5个工作日。</w:t>
      </w:r>
      <w:r>
        <w:rPr>
          <w:rFonts w:hint="eastAsia" w:ascii="宋体" w:hAnsi="宋体" w:eastAsia="宋体" w:cs="宋体"/>
          <w:color w:val="000000"/>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六、其他补充事宜</w:t>
      </w:r>
      <w:bookmarkEnd w:id="29"/>
      <w:r/>
      <w:bookmarkEnd w:id="30"/>
      <w:r/>
      <w:bookmarkEnd w:id="31"/>
      <w:r>
        <w:rPr>
          <w:rFonts w:hint="eastAsia" w:ascii="宋体" w:hAnsi="宋体" w:eastAsia="宋体" w:cs="宋体"/>
          <w:b/>
          <w:bCs/>
          <w:color w:val="000000"/>
          <w:highlight w:val="none"/>
        </w:rPr>
      </w:r>
      <w:r/>
    </w:p>
    <w:p>
      <w:pPr>
        <w:pStyle w:val="737"/>
        <w:ind w:firstLine="422"/>
        <w:keepLines w:val="0"/>
        <w:keepNext w:val="0"/>
        <w:pageBreakBefore w:val="0"/>
        <w:spacing w:line="360" w:lineRule="auto"/>
        <w:rPr>
          <w:rFonts w:hint="eastAsia" w:ascii="宋体" w:hAnsi="宋体" w:eastAsia="宋体" w:cs="宋体"/>
          <w:b/>
          <w:bCs/>
          <w:color w:val="000000"/>
          <w:highlight w:val="none"/>
        </w:rPr>
      </w:pPr>
      <w:r/>
      <w:bookmarkStart w:id="32" w:name="_Toc35393796"/>
      <w:r/>
      <w:bookmarkStart w:id="33" w:name="_Toc28359008"/>
      <w:r/>
      <w:bookmarkStart w:id="34" w:name="_Toc38985269"/>
      <w:r/>
      <w:bookmarkStart w:id="35" w:name="_Toc28359085"/>
      <w:r/>
      <w:bookmarkStart w:id="36" w:name="_Toc35393627"/>
      <w:r>
        <w:rPr>
          <w:rFonts w:hint="eastAsia" w:ascii="宋体" w:hAnsi="宋体" w:eastAsia="宋体" w:cs="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highlight w:val="none"/>
        </w:rPr>
      </w:r>
      <w:r/>
    </w:p>
    <w:p>
      <w:pPr>
        <w:pStyle w:val="737"/>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Cs w:val="21"/>
          <w:highlight w:val="none"/>
        </w:rPr>
      </w:r>
      <w:r/>
    </w:p>
    <w:p>
      <w:pPr>
        <w:pStyle w:val="737"/>
        <w:ind w:firstLine="420"/>
        <w:keepLines w:val="0"/>
        <w:keepNext w:val="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color w:val="000000"/>
          <w:highlight w:val="none"/>
        </w:rPr>
        <w:t xml:space="preserve">本次招标</w:t>
      </w:r>
      <w:r>
        <w:rPr>
          <w:rFonts w:hint="eastAsia" w:ascii="宋体" w:hAnsi="宋体" w:eastAsia="宋体" w:cs="宋体"/>
          <w:color w:val="000000"/>
          <w:highlight w:val="none"/>
          <w:u w:val="single"/>
        </w:rPr>
        <w:t xml:space="preserve">不收取</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投标保证金。</w:t>
      </w:r>
      <w:r>
        <w:rPr>
          <w:rFonts w:hint="eastAsia" w:ascii="宋体" w:hAnsi="宋体" w:eastAsia="宋体" w:cs="宋体"/>
          <w:bCs/>
          <w:color w:val="000000"/>
          <w:highlight w:val="none"/>
        </w:rPr>
      </w:r>
      <w:r/>
    </w:p>
    <w:p>
      <w:pPr>
        <w:pStyle w:val="737"/>
        <w:ind w:firstLine="420"/>
        <w:keepLines w:val="0"/>
        <w:keepNext w:val="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4.</w:t>
      </w:r>
      <w:r>
        <w:rPr>
          <w:rFonts w:hint="eastAsia" w:ascii="宋体" w:hAnsi="宋体" w:eastAsia="宋体" w:cs="宋体"/>
          <w:bCs/>
          <w:color w:val="000000"/>
          <w:highlight w:val="none"/>
        </w:rPr>
        <w:t xml:space="preserve">有关本次招标的事项若存在变动或修改，敬请及时关注</w:t>
      </w:r>
      <w:r>
        <w:rPr>
          <w:rFonts w:hint="eastAsia" w:ascii="宋体" w:hAnsi="宋体" w:eastAsia="宋体" w:cs="宋体"/>
          <w:bCs/>
          <w:color w:val="000000"/>
          <w:szCs w:val="21"/>
          <w:highlight w:val="none"/>
        </w:rPr>
        <w:t xml:space="preserve">“扬州市政府采购网”、“江苏省政府采购网”和“中国政府采购网”</w:t>
      </w:r>
      <w:r>
        <w:rPr>
          <w:rFonts w:hint="eastAsia" w:ascii="宋体" w:hAnsi="宋体" w:eastAsia="宋体" w:cs="宋体"/>
          <w:bCs/>
          <w:color w:val="000000"/>
          <w:highlight w:val="none"/>
        </w:rPr>
        <w:t xml:space="preserve">发布的信息。</w:t>
      </w:r>
      <w:r>
        <w:rPr>
          <w:rFonts w:hint="eastAsia" w:ascii="宋体" w:hAnsi="宋体" w:eastAsia="宋体" w:cs="宋体"/>
          <w:bCs/>
          <w:color w:val="000000"/>
          <w:highlight w:val="none"/>
        </w:rPr>
      </w:r>
      <w:r/>
    </w:p>
    <w:p>
      <w:pPr>
        <w:pStyle w:val="737"/>
        <w:ind w:firstLine="422"/>
        <w:keepLines w:val="0"/>
        <w:keepNext w:val="0"/>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rPr>
        <w:t xml:space="preserve">5.本项目招标文件中所有斜体下划线部分为实质性条款，如不满足，则为无效投标。</w:t>
      </w:r>
      <w:r>
        <w:rPr>
          <w:rFonts w:hint="eastAsia" w:ascii="宋体" w:hAnsi="宋体" w:eastAsia="宋体" w:cs="宋体"/>
          <w:b/>
          <w:i/>
          <w:iCs/>
          <w:color w:val="000000"/>
          <w:highlight w:val="none"/>
          <w:u w:val="single"/>
        </w:rPr>
      </w:r>
      <w:r/>
    </w:p>
    <w:p>
      <w:pPr>
        <w:pStyle w:val="737"/>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eastAsia="宋体" w:cs="宋体"/>
          <w:bCs/>
          <w:color w:val="000000"/>
          <w:highlight w:val="none"/>
        </w:rPr>
      </w:r>
      <w:r/>
    </w:p>
    <w:p>
      <w:pPr>
        <w:pStyle w:val="737"/>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737"/>
        <w:ind w:firstLine="420"/>
        <w:keepLines w:val="0"/>
        <w:keepNext w:val="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8.本项目严格执行政府采购关于支持节能产品</w:t>
      </w:r>
      <w:r>
        <w:rPr>
          <w:rFonts w:hint="eastAsia" w:ascii="宋体" w:hAnsi="宋体" w:eastAsia="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737"/>
        <w:ind w:firstLine="420"/>
        <w:keepLines w:val="0"/>
        <w:keepNext w:val="0"/>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
          <w:i/>
          <w:iCs/>
          <w:color w:val="000000"/>
          <w:highlight w:val="none"/>
          <w:u w:val="single"/>
        </w:rPr>
      </w:r>
      <w:r/>
    </w:p>
    <w:p>
      <w:pPr>
        <w:pStyle w:val="737"/>
        <w:ind w:firstLine="422"/>
        <w:keepLines w:val="0"/>
        <w:keepNext w:val="0"/>
        <w:pageBreakBefore w:val="0"/>
        <w:spacing w:line="360" w:lineRule="auto"/>
        <w:tabs>
          <w:tab w:val="left" w:pos="266"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七、本次招标联系方式</w:t>
      </w:r>
      <w:bookmarkEnd w:id="32"/>
      <w:r/>
      <w:bookmarkEnd w:id="33"/>
      <w:r/>
      <w:bookmarkEnd w:id="34"/>
      <w:r/>
      <w:bookmarkEnd w:id="35"/>
      <w:r/>
      <w:bookmarkEnd w:id="36"/>
      <w:r>
        <w:rPr>
          <w:rFonts w:hint="eastAsia" w:ascii="宋体" w:hAnsi="宋体" w:eastAsia="宋体" w:cs="宋体"/>
          <w:b/>
          <w:bCs/>
          <w:color w:val="000000"/>
          <w:highlight w:val="none"/>
        </w:rPr>
      </w:r>
      <w:r/>
    </w:p>
    <w:p>
      <w:pPr>
        <w:pStyle w:val="737"/>
        <w:ind w:firstLine="420"/>
        <w:jc w:val="left"/>
        <w:keepLines w:val="0"/>
        <w:keepNext w:val="0"/>
        <w:pageBreakBefore w:val="0"/>
        <w:spacing w:line="360" w:lineRule="auto"/>
        <w:widowControl/>
        <w:rPr>
          <w:rFonts w:hint="eastAsia" w:ascii="宋体" w:hAnsi="宋体" w:eastAsia="宋体" w:cs="宋体"/>
          <w:color w:val="000000"/>
          <w:szCs w:val="21"/>
          <w:highlight w:val="none"/>
        </w:rPr>
      </w:pPr>
      <w:r/>
      <w:bookmarkStart w:id="37" w:name="_Toc28359010"/>
      <w:r/>
      <w:bookmarkStart w:id="38" w:name="_Toc28359087"/>
      <w:r>
        <w:rPr>
          <w:rFonts w:hint="eastAsia" w:ascii="宋体" w:hAnsi="宋体" w:eastAsia="宋体" w:cs="宋体"/>
          <w:color w:val="000000"/>
          <w:highlight w:val="none"/>
        </w:rPr>
        <w:t xml:space="preserve">1.采购人信息</w:t>
      </w:r>
      <w:r>
        <w:rPr>
          <w:rFonts w:hint="eastAsia" w:ascii="宋体" w:hAnsi="宋体" w:eastAsia="宋体" w:cs="宋体"/>
          <w:color w:val="000000"/>
          <w:szCs w:val="21"/>
          <w:highlight w:val="none"/>
        </w:rPr>
      </w:r>
      <w:r/>
    </w:p>
    <w:p>
      <w:pPr>
        <w:pStyle w:val="737"/>
        <w:ind w:firstLine="420"/>
        <w:jc w:val="left"/>
        <w:keepLines w:val="0"/>
        <w:keepNext w:val="0"/>
        <w:pageBreakBefore w:val="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szCs w:val="21"/>
          <w:highlight w:val="none"/>
          <w:lang w:eastAsia="zh-CN"/>
        </w:rPr>
        <w:t xml:space="preserve">江苏省苏北人民医院</w:t>
      </w:r>
      <w:r>
        <w:rPr>
          <w:rFonts w:hint="eastAsia" w:ascii="宋体" w:hAnsi="宋体" w:eastAsia="宋体" w:cs="宋体"/>
          <w:color w:val="000000"/>
          <w:highlight w:val="none"/>
          <w:lang w:eastAsia="zh-CN"/>
        </w:rPr>
      </w:r>
      <w:r/>
    </w:p>
    <w:p>
      <w:pPr>
        <w:pStyle w:val="737"/>
        <w:ind w:firstLine="420"/>
        <w:jc w:val="left"/>
        <w:keepLines w:val="0"/>
        <w:keepNext w:val="0"/>
        <w:pageBreakBefore w:val="0"/>
        <w:spacing w:line="360" w:lineRule="auto"/>
        <w:rPr>
          <w:rFonts w:hint="eastAsia" w:ascii="宋体" w:hAnsi="宋体" w:eastAsia="宋体" w:cs="宋体"/>
          <w:color w:val="000000"/>
          <w:highlight w:val="none"/>
        </w:rPr>
      </w:pPr>
      <w:r/>
      <w:bookmarkStart w:id="39" w:name="_Toc28359086"/>
      <w:r/>
      <w:bookmarkStart w:id="40" w:name="_Toc28359009"/>
      <w:r>
        <w:rPr>
          <w:rFonts w:hint="eastAsia" w:ascii="宋体" w:hAnsi="宋体" w:eastAsia="宋体" w:cs="宋体"/>
          <w:color w:val="000000"/>
          <w:highlight w:val="none"/>
        </w:rPr>
        <w:t xml:space="preserve">地 址：扬州市广陵区南通西路98号 </w:t>
      </w:r>
      <w:r>
        <w:rPr>
          <w:rFonts w:hint="eastAsia" w:ascii="宋体" w:hAnsi="宋体" w:eastAsia="宋体" w:cs="宋体"/>
          <w:color w:val="000000"/>
          <w:highlight w:val="none"/>
        </w:rPr>
      </w:r>
      <w:r/>
    </w:p>
    <w:p>
      <w:pPr>
        <w:pStyle w:val="737"/>
        <w:ind w:firstLine="420"/>
        <w:jc w:val="left"/>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联系人：丁老师</w:t>
      </w:r>
      <w:r>
        <w:rPr>
          <w:rFonts w:hint="eastAsia" w:ascii="宋体" w:hAnsi="宋体" w:eastAsia="宋体" w:cs="宋体"/>
          <w:color w:val="000000"/>
          <w:highlight w:val="none"/>
        </w:rPr>
      </w:r>
      <w:r/>
    </w:p>
    <w:p>
      <w:pPr>
        <w:pStyle w:val="737"/>
        <w:ind w:firstLine="420"/>
        <w:jc w:val="left"/>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t xml:space="preserve">联系方式：0514-87373868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737"/>
        <w:ind w:firstLine="420"/>
        <w:jc w:val="left"/>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2.采购代理机构信息</w:t>
      </w:r>
      <w:bookmarkEnd w:id="39"/>
      <w:r/>
      <w:bookmarkEnd w:id="40"/>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szCs w:val="21"/>
          <w:highlight w:val="none"/>
        </w:rPr>
        <w:t xml:space="preserve">江苏苏维工程管理有限公司</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szCs w:val="21"/>
          <w:highlight w:val="none"/>
        </w:rPr>
        <w:t xml:space="preserve">扬州市</w:t>
      </w:r>
      <w:r>
        <w:rPr>
          <w:rFonts w:hint="eastAsia" w:ascii="宋体" w:hAnsi="宋体" w:eastAsia="宋体" w:cs="宋体"/>
          <w:color w:val="000000"/>
          <w:szCs w:val="21"/>
          <w:highlight w:val="none"/>
          <w:lang w:val="en-US" w:eastAsia="zh-CN"/>
        </w:rPr>
        <w:t xml:space="preserve">邗江区</w:t>
      </w:r>
      <w:r>
        <w:rPr>
          <w:rFonts w:hint="eastAsia" w:ascii="宋体" w:hAnsi="宋体" w:eastAsia="宋体" w:cs="宋体"/>
          <w:color w:val="000000"/>
          <w:szCs w:val="21"/>
          <w:highlight w:val="none"/>
        </w:rPr>
        <w:t xml:space="preserve">翠岗路48号</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szCs w:val="21"/>
          <w:highlight w:val="none"/>
        </w:rPr>
        <w:t xml:space="preserve">陈秋萍</w:t>
      </w:r>
      <w:r>
        <w:rPr>
          <w:rFonts w:hint="eastAsia" w:ascii="宋体" w:hAnsi="宋体" w:eastAsia="宋体" w:cs="宋体"/>
          <w:color w:val="000000"/>
          <w:highlight w:val="none"/>
        </w:rPr>
      </w:r>
      <w:r/>
    </w:p>
    <w:p>
      <w:pPr>
        <w:pStyle w:val="737"/>
        <w:ind w:firstLine="420"/>
        <w:keepLines w:val="0"/>
        <w:keepNext w:val="0"/>
        <w:pageBreakBefore w:val="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联系方式：</w:t>
      </w:r>
      <w:r>
        <w:rPr>
          <w:rFonts w:hint="eastAsia" w:ascii="宋体" w:hAnsi="宋体" w:eastAsia="宋体" w:cs="宋体"/>
          <w:color w:val="000000"/>
          <w:szCs w:val="21"/>
          <w:highlight w:val="none"/>
        </w:rPr>
        <w:t xml:space="preserve">0514-82129116</w:t>
      </w:r>
      <w:r>
        <w:rPr>
          <w:rFonts w:hint="eastAsia" w:ascii="宋体" w:hAnsi="宋体" w:eastAsia="宋体" w:cs="宋体"/>
          <w:color w:val="000000"/>
          <w:highlight w:val="none"/>
          <w:u w:val="single"/>
        </w:rPr>
      </w:r>
      <w:r/>
    </w:p>
    <w:p>
      <w:pPr>
        <w:pStyle w:val="923"/>
        <w:jc w:val="center"/>
        <w:rPr>
          <w:rFonts w:hint="eastAsia" w:ascii="宋体" w:hAnsi="宋体" w:eastAsia="宋体" w:cs="宋体"/>
          <w:color w:val="000000"/>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End w:id="37"/>
      <w:r/>
      <w:bookmarkEnd w:id="38"/>
      <w:r/>
      <w:bookmarkStart w:id="41" w:name="_Toc55204178"/>
      <w:r>
        <w:rPr>
          <w:rFonts w:hint="eastAsia" w:ascii="宋体" w:hAnsi="宋体" w:eastAsia="宋体" w:cs="宋体"/>
          <w:color w:val="000000"/>
          <w:sz w:val="36"/>
          <w:szCs w:val="36"/>
          <w:highlight w:val="none"/>
        </w:rPr>
      </w:r>
      <w:r/>
    </w:p>
    <w:p>
      <w:pPr>
        <w:pStyle w:val="738"/>
        <w:rPr>
          <w:rFonts w:hint="eastAsia"/>
          <w:color w:val="000000"/>
          <w:highlight w:val="none"/>
        </w:rPr>
      </w:pPr>
      <w:r/>
      <w:bookmarkStart w:id="42" w:name="_Toc10032"/>
      <w:r>
        <w:rPr>
          <w:rFonts w:hint="eastAsia"/>
          <w:color w:val="000000"/>
          <w:highlight w:val="none"/>
        </w:rPr>
        <w:t xml:space="preserve">第二章 投标人须知</w:t>
      </w:r>
      <w:bookmarkEnd w:id="41"/>
      <w:r/>
      <w:bookmarkEnd w:id="42"/>
      <w:r>
        <w:rPr>
          <w:rFonts w:hint="eastAsia"/>
          <w:color w:val="000000"/>
          <w:highlight w:val="none"/>
        </w:rPr>
      </w:r>
      <w:r/>
    </w:p>
    <w:p>
      <w:pPr>
        <w:pStyle w:val="737"/>
        <w:ind w:firstLine="422"/>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1、招标方式</w:t>
      </w:r>
      <w:r>
        <w:rPr>
          <w:rFonts w:hint="eastAsia" w:ascii="宋体" w:hAnsi="宋体" w:eastAsia="宋体" w:cs="宋体"/>
          <w:b/>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本次招标采取公开招标方式，本招标文件仅适用于</w:t>
      </w:r>
      <w:r>
        <w:rPr>
          <w:rFonts w:hint="eastAsia" w:ascii="宋体" w:hAnsi="宋体" w:cs="宋体"/>
          <w:bCs/>
          <w:color w:val="000000"/>
          <w:szCs w:val="21"/>
          <w:highlight w:val="none"/>
          <w:lang w:eastAsia="zh-CN"/>
        </w:rPr>
        <w:t xml:space="preserve">JSZC-321000-SWGC-G2024-0202</w:t>
      </w:r>
      <w:r>
        <w:rPr>
          <w:rFonts w:hint="eastAsia" w:ascii="宋体" w:hAnsi="宋体" w:eastAsia="宋体" w:cs="宋体"/>
          <w:bCs/>
          <w:color w:val="000000"/>
          <w:szCs w:val="21"/>
          <w:highlight w:val="none"/>
          <w:lang w:eastAsia="zh-CN"/>
        </w:rPr>
        <w:t xml:space="preserve">号</w:t>
      </w:r>
      <w:r>
        <w:rPr>
          <w:rFonts w:hint="eastAsia" w:ascii="宋体" w:hAnsi="宋体" w:eastAsia="宋体" w:cs="宋体"/>
          <w:bCs/>
          <w:color w:val="000000"/>
          <w:szCs w:val="21"/>
          <w:highlight w:val="none"/>
        </w:rPr>
        <w:t xml:space="preserve">项目。</w:t>
      </w:r>
      <w:r>
        <w:rPr>
          <w:rFonts w:hint="eastAsia" w:ascii="宋体" w:hAnsi="宋体" w:eastAsia="宋体" w:cs="宋体"/>
          <w:bCs/>
          <w:color w:val="000000"/>
          <w:szCs w:val="21"/>
          <w:highlight w:val="none"/>
        </w:rPr>
      </w:r>
      <w:r/>
    </w:p>
    <w:p>
      <w:pPr>
        <w:pStyle w:val="737"/>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2、投标人</w:t>
      </w:r>
      <w:r>
        <w:rPr>
          <w:rFonts w:hint="eastAsia" w:ascii="宋体" w:hAnsi="宋体" w:eastAsia="宋体" w:cs="宋体"/>
          <w:b/>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本招标文件中“供应商”，即“投标人”，是指参加投标竞争，并符合招标文件规定资格条件的法人、其他组织或者自然人。</w:t>
      </w:r>
      <w:r>
        <w:rPr>
          <w:rFonts w:hint="eastAsia" w:ascii="宋体" w:hAnsi="宋体" w:eastAsia="宋体" w:cs="宋体"/>
          <w:bCs/>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2.2合格的投标人</w:t>
      </w:r>
      <w:r>
        <w:rPr>
          <w:rFonts w:hint="eastAsia" w:ascii="宋体" w:hAnsi="宋体" w:eastAsia="宋体" w:cs="宋体"/>
          <w:bCs/>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 满足招标公告中供应商的资格条件要求的规定。</w:t>
      </w:r>
      <w:r>
        <w:rPr>
          <w:rFonts w:hint="eastAsia" w:ascii="宋体" w:hAnsi="宋体" w:eastAsia="宋体" w:cs="宋体"/>
          <w:bCs/>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 满足本文件实质性条款的规定。</w:t>
      </w:r>
      <w:r>
        <w:rPr>
          <w:rFonts w:hint="eastAsia" w:ascii="宋体" w:hAnsi="宋体" w:eastAsia="宋体" w:cs="宋体"/>
          <w:bCs/>
          <w:color w:val="000000"/>
          <w:szCs w:val="21"/>
          <w:highlight w:val="none"/>
        </w:rPr>
      </w:r>
      <w:r/>
    </w:p>
    <w:p>
      <w:pPr>
        <w:pStyle w:val="737"/>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3、适用法律</w:t>
      </w:r>
      <w:r>
        <w:rPr>
          <w:rFonts w:hint="eastAsia" w:ascii="宋体" w:hAnsi="宋体" w:eastAsia="宋体" w:cs="宋体"/>
          <w:b/>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 本次招标及由此产生的合同受中华人民共和国有关的法律法规制约和保护。</w:t>
      </w:r>
      <w:r>
        <w:rPr>
          <w:rFonts w:hint="eastAsia" w:ascii="宋体" w:hAnsi="宋体" w:eastAsia="宋体" w:cs="宋体"/>
          <w:bCs/>
          <w:color w:val="000000"/>
          <w:szCs w:val="21"/>
          <w:highlight w:val="none"/>
        </w:rPr>
      </w:r>
      <w:r/>
    </w:p>
    <w:p>
      <w:pPr>
        <w:pStyle w:val="737"/>
        <w:ind w:firstLine="422"/>
        <w:spacing w:line="44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4、投标费用</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投标人应自行承担所有与参加投标有关的费用，无论投标过程中的做法和结果如 何，代理机构在任何情况下均无义务和责任承担这些费用。 </w:t>
      </w:r>
      <w:r>
        <w:rPr>
          <w:rFonts w:hint="eastAsia" w:ascii="宋体" w:hAnsi="宋体" w:eastAsia="宋体" w:cs="宋体"/>
          <w:bCs/>
          <w:color w:val="000000"/>
          <w:szCs w:val="21"/>
          <w:highlight w:val="none"/>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4.2本次采购由</w:t>
      </w:r>
      <w:r>
        <w:rPr>
          <w:rFonts w:hint="eastAsia" w:ascii="宋体" w:hAnsi="宋体" w:eastAsia="宋体" w:cs="宋体"/>
          <w:b/>
          <w:bCs/>
          <w:color w:val="000000"/>
          <w:szCs w:val="21"/>
          <w:highlight w:val="none"/>
          <w:lang w:val="en-US" w:eastAsia="zh-CN"/>
        </w:rPr>
        <w:t xml:space="preserve">中标</w:t>
      </w:r>
      <w:r>
        <w:rPr>
          <w:rFonts w:hint="eastAsia" w:ascii="宋体" w:hAnsi="宋体" w:eastAsia="宋体" w:cs="宋体"/>
          <w:b/>
          <w:bCs/>
          <w:color w:val="000000"/>
          <w:szCs w:val="21"/>
          <w:highlight w:val="none"/>
        </w:rPr>
        <w:t xml:space="preserve">人在领取</w:t>
      </w:r>
      <w:r>
        <w:rPr>
          <w:rFonts w:hint="eastAsia" w:ascii="宋体" w:hAnsi="宋体" w:eastAsia="宋体" w:cs="宋体"/>
          <w:b/>
          <w:bCs/>
          <w:color w:val="000000"/>
          <w:szCs w:val="21"/>
          <w:highlight w:val="none"/>
          <w:lang w:val="en-US" w:eastAsia="zh-CN"/>
        </w:rPr>
        <w:t xml:space="preserve">中标</w:t>
      </w:r>
      <w:r>
        <w:rPr>
          <w:rFonts w:hint="eastAsia" w:ascii="宋体" w:hAnsi="宋体" w:eastAsia="宋体" w:cs="宋体"/>
          <w:b/>
          <w:bCs/>
          <w:color w:val="000000"/>
          <w:szCs w:val="21"/>
          <w:highlight w:val="none"/>
        </w:rPr>
        <w:t xml:space="preserve">通知书前参照《招标代理服务收费管理暂行办法》(计价格【2002】1980号文)</w:t>
      </w:r>
      <w:r>
        <w:rPr>
          <w:rFonts w:hint="eastAsia" w:ascii="宋体" w:hAnsi="宋体" w:eastAsia="宋体" w:cs="宋体"/>
          <w:b/>
          <w:bCs/>
          <w:color w:val="000000"/>
          <w:szCs w:val="21"/>
          <w:highlight w:val="none"/>
          <w:lang w:val="en-US" w:eastAsia="zh-CN"/>
        </w:rPr>
        <w:t xml:space="preserve">货物</w:t>
      </w:r>
      <w:r>
        <w:rPr>
          <w:rFonts w:hint="eastAsia" w:ascii="宋体" w:hAnsi="宋体" w:eastAsia="宋体" w:cs="宋体"/>
          <w:b/>
          <w:bCs/>
          <w:color w:val="000000"/>
          <w:szCs w:val="21"/>
          <w:highlight w:val="none"/>
        </w:rPr>
        <w:t xml:space="preserve">类标准的四折一次性支付给招标代理机构代理服务费。</w:t>
      </w:r>
      <w:r>
        <w:rPr>
          <w:rFonts w:hint="eastAsia" w:ascii="宋体" w:hAnsi="宋体" w:eastAsia="宋体" w:cs="宋体"/>
          <w:b/>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（1）代理服务费以人民币支付；</w:t>
      </w:r>
      <w:r>
        <w:rPr>
          <w:rFonts w:hint="eastAsia" w:ascii="宋体" w:hAnsi="宋体" w:eastAsia="宋体" w:cs="宋体"/>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（2）代理服务费一次性以电汇或转账等非现金形式支付。</w:t>
      </w:r>
      <w:r>
        <w:rPr>
          <w:rFonts w:hint="eastAsia" w:ascii="宋体" w:hAnsi="宋体" w:eastAsia="宋体" w:cs="宋体"/>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（3）代理服务费不在报价中单列，由中标人支付给代理机构。</w:t>
      </w:r>
      <w:r>
        <w:rPr>
          <w:rFonts w:hint="eastAsia" w:ascii="宋体" w:hAnsi="宋体" w:eastAsia="宋体" w:cs="宋体"/>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代理服务费开户银行：中国工商银行扬州雍华府支行</w:t>
      </w:r>
      <w:r>
        <w:rPr>
          <w:rFonts w:hint="eastAsia" w:ascii="宋体" w:hAnsi="宋体" w:eastAsia="宋体" w:cs="宋体"/>
          <w:b/>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开户名称：江苏苏维工程管理有限公司</w:t>
      </w:r>
      <w:r>
        <w:rPr>
          <w:rFonts w:hint="eastAsia" w:ascii="宋体" w:hAnsi="宋体" w:eastAsia="宋体" w:cs="宋体"/>
          <w:b/>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开户帐号：1108020819100000612</w:t>
      </w:r>
      <w:r>
        <w:rPr>
          <w:rFonts w:hint="eastAsia" w:ascii="宋体" w:hAnsi="宋体" w:eastAsia="宋体" w:cs="宋体"/>
          <w:b/>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4.3专家评审费按</w:t>
      </w:r>
      <w:r>
        <w:rPr>
          <w:rFonts w:hint="eastAsia" w:ascii="宋体" w:hAnsi="宋体" w:eastAsia="宋体" w:cs="宋体"/>
          <w:b/>
          <w:bCs/>
          <w:color w:val="000000"/>
          <w:szCs w:val="21"/>
          <w:highlight w:val="none"/>
          <w:lang w:val="en-US" w:eastAsia="zh-CN"/>
        </w:rPr>
        <w:t xml:space="preserve">照</w:t>
      </w:r>
      <w:r>
        <w:rPr>
          <w:rFonts w:hint="eastAsia" w:ascii="宋体" w:hAnsi="宋体" w:eastAsia="宋体" w:cs="宋体"/>
          <w:b/>
          <w:bCs/>
          <w:color w:val="000000"/>
          <w:szCs w:val="21"/>
          <w:highlight w:val="none"/>
        </w:rPr>
        <w:t xml:space="preserve">《扬州市财政局关于进一步规范扬州市政府采购专家评审费标准的通知》（扬财购〔2020〕40号）执行。</w:t>
      </w:r>
      <w:r>
        <w:rPr>
          <w:rFonts w:hint="eastAsia" w:ascii="宋体" w:hAnsi="宋体" w:eastAsia="宋体" w:cs="宋体"/>
          <w:b/>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5、招标文件的约束力</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 投标人一旦参加本项目采购活动，即被认为接受了本招标文件的规定和约束。</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6、招标文件构成</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 招标文件有以下部分组成：</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（1）招标公告</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（2）投标人须知</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（3）合同条款及格式</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（4）项目需求</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（5）评标方法与评标标准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（6）投标文件格式</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请仔细检查招标文件是否齐全，如有缺漏请立即与代理机构联系解决。</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招标文件如果要求供应商提交备选投标方案的，供应商可以提交备选方案；否则，备选方案将被拒绝。</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7、招标文件的澄清</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 任何要求对招标文件进行澄清的投标人，应在投标截止日期的十日前按招标公告中的通讯地址，以书面形式通知代理机构。</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8、招标文件的修改</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 在投标截止时间前，代理机构可以对招标文件进行修改。</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8.2代理机构在招标文件要求提交投标文件截止时间前，有权按照法定要求推迟投标截止时间和开标时间。</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8.3招标文件的修改将在“扬州市政府采购网”、“江苏省政府采购网”和“中国政府采购网”公布，补充文件将作为招标文件的组成部分，并对投标人具有约束力。</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9、投标文件的语言、度量衡单位、货币</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9.1投标人提交的投标文件以及投标人与代理机构就有关投标的所有来往通知、函件和文件均应使用简体中文。</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9.2 除技术性能另有规定外，投标文件所使用的度量衡单位，均须采用国家法定计量单位。</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9.3投标人应使用人民币报价。</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10、投标文件构成</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10.1投标文件由以下部分组成</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（1）资格审查响应对照表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（2）符合性审查响应对照表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（3）非实质性响应对照表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（4）开标一览表 </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（5）分项报价表 </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（6）技术参数响应及偏离表 </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（7）商务条款响应及偏离表 </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（8）其他 （投标人认为有必要提供的声明和文件，如有自拟并自行添加）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11、证明投标人资格及符合招标文件规定的文件</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11.1投标人应按要求提交资格证明文件及符合招标文件规定的文件。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11.2投标人应提交证明其有资格参加投标和中标后有能力独立履行合同的文件。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11.3投标人除必须具有履行合同所需提供的产品或服务的能力外，还必须具备相应的财务、技术方面的能力。</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11.4投标人应提交根据合同要求提供的证明服务质量合格以及符合招标文件规定的证明文件。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11.5证明投标人所提供服务与招标文件的要求相一致的文件可以是手册、图纸、文字资料和数据。</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12、投标配置与分项报价表</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12.2 标的物</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采购人需求的服务供应、安装，调试及有关技术服务等。</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12.3有关费用处理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12.4其它费用处理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招标文件未列明，而投标人认为必需的费用也需列入报价。</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12.5投标货币</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投标文件中的服务单价和总价无特殊规定的采用人民币报价，以元为单位标注。招标文件中另有规定的按规定执行。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12.6 投标配置与分项报价表上的价格应按下列方式分开填写：</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2、项目单价按投标配置及分项报价表中要求填报。</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13、技术参数响应及偏离表、商务条款响应及偏离表及投标货物说明</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13.1 对招标文件中的技术与商务条款要求逐项作出响应或偏离，并说明原因；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13.2 提供参加本项目类似案例简介；</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13.3 培训计划；</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13.4 详细阐述所投货物的主要组成部分、功能设计、实现思路及关键技术；</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13.5 投标人认为需要的其他技术文件或说明。</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14、服务承诺及售后服务机构、人员的情况介绍</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14.1投标人的服务承诺应按不低于招标文件中商务要求的标准。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14.2提供投标人有关售后服务的管理制度、售后服务机构的分布情况、售后服务人员的数量、素质、技术水平及售后服务的反应能力。</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15、投标函和开标一览表</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15.1 投标人应按照招标文件中提供的格式完整、正确填写投标函、开标一览表。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16、投标有效期</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16.1 投标有效期为开标之日起六十（60）天。投标有效期比规定短的将被视为非响应性投标而予以拒绝。</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43" w:name="_Toc20823297"/>
      <w:r/>
      <w:bookmarkStart w:id="44" w:name="_Toc16938541"/>
      <w:r/>
      <w:bookmarkStart w:id="45" w:name="_Toc462564084"/>
      <w:r/>
      <w:bookmarkStart w:id="46" w:name="_Toc513029225"/>
      <w:r>
        <w:rPr>
          <w:rFonts w:hint="eastAsia" w:ascii="宋体" w:hAnsi="宋体" w:eastAsia="宋体" w:cs="宋体"/>
          <w:b/>
          <w:color w:val="000000"/>
          <w:szCs w:val="21"/>
          <w:highlight w:val="none"/>
        </w:rPr>
        <w:t xml:space="preserve">17、投标文件</w:t>
      </w:r>
      <w:bookmarkEnd w:id="43"/>
      <w:r/>
      <w:bookmarkEnd w:id="44"/>
      <w:r/>
      <w:bookmarkEnd w:id="45"/>
      <w:r/>
      <w:bookmarkEnd w:id="46"/>
      <w:r>
        <w:rPr>
          <w:rFonts w:hint="eastAsia" w:ascii="宋体" w:hAnsi="宋体" w:eastAsia="宋体" w:cs="宋体"/>
          <w:b/>
          <w:color w:val="000000"/>
          <w:szCs w:val="21"/>
          <w:highlight w:val="none"/>
        </w:rPr>
        <w:t xml:space="preserve">的递交</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17.1 电子投标文件的递交投标人应当按照《操作手册》规定，在投标截止时间前制作并上传电子投标文件。</w:t>
      </w:r>
      <w:bookmarkStart w:id="47" w:name="_Toc513029226"/>
      <w:r/>
      <w:bookmarkStart w:id="48" w:name="_Toc20823298"/>
      <w:r/>
      <w:bookmarkStart w:id="49" w:name="_Toc16938542"/>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17.2政府采购管理交易系统（苏采云）相关要求是本招标文件的组成部分。</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17.3投标人应对 CA 证书妥善保管，如被他人盗用投标，因此带来的结果均由投标人自行承担。</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17.4投标人应当对招标文件提出的要求和条件作出实质性响应，并在电子投标系统逐条应答。</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17.5投标人应对要求提供的资格证明文件（如资质证书、资格证书）、技术资料（如白皮书、彩页、手册、检测报告等）扫描上传至投标系统。</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szCs w:val="21"/>
          <w:highlight w:val="none"/>
        </w:rPr>
        <w:t xml:space="preserve">17.7各投标人应在规定时间内凭CA证书进行网上解密。</w:t>
      </w:r>
      <w:r>
        <w:rPr>
          <w:rFonts w:hint="eastAsia" w:ascii="宋体" w:hAnsi="宋体" w:eastAsia="宋体" w:cs="宋体"/>
          <w:b w:val="0"/>
          <w:bCs/>
          <w:color w:val="000000"/>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18、投标截止日期</w:t>
      </w:r>
      <w:bookmarkEnd w:id="47"/>
      <w:r/>
      <w:bookmarkEnd w:id="48"/>
      <w:r/>
      <w:bookmarkEnd w:id="49"/>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i/>
          <w:iCs/>
          <w:color w:val="000000"/>
          <w:szCs w:val="21"/>
          <w:highlight w:val="none"/>
          <w:u w:val="single"/>
        </w:rPr>
      </w:pPr>
      <w:r>
        <w:rPr>
          <w:rFonts w:hint="eastAsia" w:ascii="宋体" w:hAnsi="宋体" w:eastAsia="宋体" w:cs="宋体"/>
          <w:bCs/>
          <w:i/>
          <w:iCs/>
          <w:color w:val="000000"/>
          <w:szCs w:val="21"/>
          <w:highlight w:val="none"/>
          <w:u w:val="single"/>
        </w:rPr>
        <w:t xml:space="preserve">18.1 投标人上传电子投标文件的时间不得迟于招标公告中规定的投标截止时间。</w:t>
      </w:r>
      <w:r>
        <w:rPr>
          <w:rFonts w:hint="eastAsia" w:ascii="宋体" w:hAnsi="宋体" w:eastAsia="宋体" w:cs="宋体"/>
          <w:bCs/>
          <w:i/>
          <w:iCs/>
          <w:color w:val="000000"/>
          <w:szCs w:val="21"/>
          <w:highlight w:val="none"/>
          <w:u w:val="singl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50" w:name="_Toc16938543"/>
      <w:r/>
      <w:bookmarkStart w:id="51" w:name="_Toc513029227"/>
      <w:r/>
      <w:bookmarkStart w:id="52" w:name="_Toc20823299"/>
      <w:r>
        <w:rPr>
          <w:rFonts w:hint="eastAsia" w:ascii="宋体" w:hAnsi="宋体" w:eastAsia="宋体" w:cs="宋体"/>
          <w:b/>
          <w:color w:val="000000"/>
          <w:szCs w:val="21"/>
          <w:highlight w:val="none"/>
        </w:rPr>
        <w:t xml:space="preserve">19、投标文件</w:t>
      </w:r>
      <w:bookmarkEnd w:id="50"/>
      <w:r/>
      <w:bookmarkEnd w:id="51"/>
      <w:r/>
      <w:bookmarkEnd w:id="52"/>
      <w:r>
        <w:rPr>
          <w:rFonts w:hint="eastAsia" w:ascii="宋体" w:hAnsi="宋体" w:eastAsia="宋体" w:cs="宋体"/>
          <w:b/>
          <w:color w:val="000000"/>
          <w:szCs w:val="21"/>
          <w:highlight w:val="none"/>
        </w:rPr>
        <w:t xml:space="preserve">的拒收</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19.1代理机构拒绝接收在其规定的投标截止时间后上传的任何投标文件。</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53" w:name="_Toc16938544"/>
      <w:r/>
      <w:bookmarkStart w:id="54" w:name="_Toc513029228"/>
      <w:r/>
      <w:bookmarkStart w:id="55" w:name="_Toc20823300"/>
      <w:r>
        <w:rPr>
          <w:rFonts w:hint="eastAsia" w:ascii="宋体" w:hAnsi="宋体" w:eastAsia="宋体" w:cs="宋体"/>
          <w:b/>
          <w:color w:val="000000"/>
          <w:szCs w:val="21"/>
          <w:highlight w:val="none"/>
        </w:rPr>
        <w:t xml:space="preserve">20、投标文件的撤回和修改</w:t>
      </w:r>
      <w:bookmarkEnd w:id="53"/>
      <w:r/>
      <w:bookmarkEnd w:id="54"/>
      <w:r/>
      <w:bookmarkEnd w:id="55"/>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20.1 投标文件的撤回</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20.1.1 电子投标文件的撤回</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投标人可在投标截止时间前，撤回其电子投标文件，具体操作方法见《操作手册》。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20.1.2 投标人撤回电子投标文件，则认为其不再参与本项目投标活动。</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20.2 投标文件的修改</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投标人可在投标截止时间前，对其电子投标文件进行修改，具体操作方法见《操作手册》。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20.3 在投标截止时间之后，投标人不得对其电子投标文件作任何修改。</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20.4 在投标截止时间至招标文件中规定的投标有效期满之间的这段时间内，投标人不得撤回其投标。</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21、开标</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21.2开标仪式由代理机构组织。“政府采购管理交易系统（苏采云）”将自动对项目进行开标，并宣读各投标人的《开标一览表》。</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22、评标委员会</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 开标后，代理机构将立即组织评标委员会（以下简称评委会）进行评标。</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 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22.3评委会独立工作，负责评审所有投标文件并确定中标候选人。</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23、评标过程的保密与公正</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23.3 在评标期间，代理机构将设专门工作人员与投标人联系。</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23.4 代理机构和评委会不向未中标的投标人解释未中标原因，也不公布评标过程中的相关细节。</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24、投标的澄清</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24.3 接到评委会澄清要求的投标人如未按规定做出澄清，其风险由投标人自行承担。</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25、对投标文件的初审</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25.1投标文件初审分为资格审查和符合性审查。</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hint="eastAsia" w:ascii="宋体" w:hAnsi="宋体" w:eastAsia="宋体" w:cs="宋体"/>
          <w:bCs/>
          <w:color w:val="000000"/>
          <w:szCs w:val="21"/>
          <w:highlight w:val="none"/>
        </w:rPr>
      </w:r>
      <w:r/>
    </w:p>
    <w:p>
      <w:pPr>
        <w:pStyle w:val="737"/>
        <w:ind w:firstLine="420"/>
        <w:jc w:val="left"/>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（1）投标文件中开标一览表内容与投标文件中相应内容不一致的，以开标一览表为准。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（2）大写金额与小写金额不一致的，以大写金额为准。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（3）单价金额小数点或者百分比有明显错位的，以开标一览表的总价为准，并修改单价。</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（4）总价金额与按单价汇总金额不一致的，以单价金额计算结果为准。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同时出现两种以上错误的，按照前款规定的顺序修正。</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非单一产品采购项目，招标文件中将载明其中的核心产品</w:t>
      </w:r>
      <w:r>
        <w:rPr>
          <w:rFonts w:hint="eastAsia" w:ascii="宋体" w:hAnsi="宋体" w:eastAsia="宋体" w:cs="宋体"/>
          <w:b/>
          <w:bCs/>
          <w:color w:val="000000"/>
          <w:szCs w:val="21"/>
          <w:highlight w:val="none"/>
          <w:u w:val="single"/>
        </w:rPr>
        <w:t xml:space="preserve">（本项目的核心产品为“</w:t>
      </w:r>
      <w:r>
        <w:rPr>
          <w:rFonts w:hint="eastAsia" w:ascii="宋体" w:hAnsi="宋体" w:eastAsia="宋体" w:cs="宋体"/>
          <w:b/>
          <w:bCs/>
          <w:color w:val="000000"/>
          <w:szCs w:val="21"/>
          <w:highlight w:val="none"/>
          <w:u w:val="single"/>
          <w:lang w:val="en-US" w:eastAsia="zh-CN"/>
        </w:rPr>
        <w:t xml:space="preserve">正版化办公软件授权</w:t>
      </w:r>
      <w:r>
        <w:rPr>
          <w:rFonts w:hint="eastAsia" w:ascii="宋体" w:hAnsi="宋体" w:eastAsia="宋体" w:cs="宋体"/>
          <w:b/>
          <w:bCs/>
          <w:color w:val="000000"/>
          <w:szCs w:val="21"/>
          <w:highlight w:val="none"/>
          <w:u w:val="single"/>
        </w:rPr>
        <w:t xml:space="preserve">”）</w:t>
      </w:r>
      <w:r>
        <w:rPr>
          <w:rFonts w:hint="eastAsia" w:ascii="宋体" w:hAnsi="宋体" w:eastAsia="宋体" w:cs="宋体"/>
          <w:bCs/>
          <w:color w:val="000000"/>
          <w:szCs w:val="21"/>
          <w:highlight w:val="none"/>
        </w:rPr>
        <w:t xml:space="preserve">。多家投标人提供的核心产品品牌相同的，按前两款规定处理。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25.8 投标人在开、评标全过程中应保持通讯畅通，并安排专人与代理机构及评委会联系。</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26、无效投标、废标及投标人不足三家的处理</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26.1无效投标条款</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26.1.1 投标人未成功解密电子投标文件的。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26.1.2 投标人未按照招标文件要求上传电子投标文件的。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26.1.3投标人在报价时采用选择性报价的。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26.1.4投标人不具备招标文件中规定资格要求的。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26.1.5投标人的报价超过了采购预算或最高限价的。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26.1.6未通过符合性审查的。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26.1.7不符合招标文件中规定的其他实质性要求和条件的（</w:t>
      </w:r>
      <w:r>
        <w:rPr>
          <w:rFonts w:hint="eastAsia" w:ascii="宋体" w:hAnsi="宋体" w:eastAsia="宋体" w:cs="宋体"/>
          <w:bCs/>
          <w:i/>
          <w:iCs/>
          <w:color w:val="000000"/>
          <w:szCs w:val="21"/>
          <w:highlight w:val="none"/>
          <w:u w:val="single"/>
        </w:rPr>
        <w:t xml:space="preserve">本招标文件中斜体且有下划线部分为实质性要求和条件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26.1.9  投标文件含有采购人不能接受的附加条件的。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26.1.12 投标文件未按照招标文件要求加盖电子签章。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26.1.13其他法律、法规及本招标文件规定的属无效投标的情形。</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26.2废标条款：</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26.2.1符合专业条件的供应商或者对招标文件作实质响应的供应商不足三家的。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26.2.2出现影响采购公正的违法、违规行为的。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26.2.3因重大变故，采购任务取消的。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26.2.4评委会认定招标文件存在歧义、重大缺陷导致评审工作无法进行。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26.3 投标截止时间结束后参加投标的供应商不足三家的处理：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27、确定中标单位</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27.1评委会根据本招标文件规定评标方法与评标标准向采购人推荐出中标候选人。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 采购人应根据评委会推荐的中标候选人确定中标人。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27.3代理机构将在“扬州市政府采购网”、“江苏省政府采购网”和“中国政府采购网”发布中标公告，公告期限为1个工作日。</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27.4若有充分证据证明，中标人出现下列情况之一的，一经查实，将被取消中标资格：</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27.4.1提供虚假材料谋取中标的；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27.4.2向采购人、代理机构行贿或者提供其他不正当利益的；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27.4.3恶意竞争，投标总报价明显低于其自身合理成本且又无法提供证明的；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27.4.4属于本文件规定的无效条件，但在评标过程中又未被评委会发现的；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27.4.5与采购人或者其他投标人恶意串通的；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27.4.6采取不正当手段诋毁、排挤其他供应商的；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27.4.7不符合法律、法规的规定的。</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 有下列情形之一的，视为投标人串通投标，投标无效：</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27.5.1不同投标人的投标文件由同一单位或者个人编制。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27.5.2不同投标人委托同一单位或者个人办理投标事宜。</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27.5.3 不同投标人的投标文件载明的项目管理成员或者联系人员为同一人。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27.5.4不同投标人的投标文件异常一致或者投标报价呈规律性差异。</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27.5.5不同投标人的投标文件相互混装。</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28、质疑处理</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对项目需求部分的质疑，潜在供应商应向采购人提出，由采购人负责答复。</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28.2.2对采购过程提出质疑的，为各采购程序环节结束之日起7个工作日内提出。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28.2.3对中标结果提出质疑的，为中标结果公告期限届满之日起7个工作日内提出。</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采购人质疑接收人及联系方式见招标文件第一章。</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28.6代理机构收到质疑申请后，将对质疑的形式和内容进行审查，如质疑内容、格式不符合规定，代理机构将告知质疑人进行补正。</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28.7质疑人应当在法定质疑期限内进行补正并重新提交质疑函。</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 以下情形的质疑不予受理</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28.8.1 内容不符合《政府采购质疑和投诉办法》第十二条规定的质疑。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28.8.2 超出政府采购法定期限的质疑。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28.8.3 以传真、电子邮件等方式递交的非原件形式的质疑。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28.8.4 未参加投标活动的供应商或在投标活动中自身权益未受到损害的供应商所提出的质疑。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28.8.5供应商组成联合体参加投标，联合体中任何一方或多方未按要求签字、盖章、加盖公章的质疑。</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29、中标通知书</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29.l 中标结果确定后，代理机构将向中标人发出中标通知书。</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29.2 中标人可在“政府采购管理交易系统（苏采云）”中标通知书下载模块中自行下载中标通知书。</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30、 签订合同</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30.l中标人应在中标通知书发出之日起三十日内，按照招标文件确定的事项与采购人签订政府采购合同。</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30.2 招标文件、中标人的投标文件及招标过程中有关澄清、承诺文件均应作为合同附件。</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30.3 合同在“政府采购管理交易系统（苏采云）”中签订，签订合同后，</w:t>
      </w:r>
      <w:r>
        <w:rPr>
          <w:rFonts w:hint="eastAsia" w:ascii="宋体" w:hAnsi="宋体" w:eastAsia="宋体" w:cs="宋体"/>
          <w:bCs/>
          <w:i/>
          <w:iCs/>
          <w:color w:val="000000"/>
          <w:szCs w:val="21"/>
          <w:highlight w:val="none"/>
          <w:u w:val="single"/>
        </w:rPr>
        <w:t xml:space="preserve">中标人不得将货物或服务及其他服务进行转包</w:t>
      </w:r>
      <w:r>
        <w:rPr>
          <w:rFonts w:hint="eastAsia" w:ascii="宋体" w:hAnsi="宋体" w:eastAsia="宋体" w:cs="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hint="eastAsia" w:ascii="宋体" w:hAnsi="宋体" w:eastAsia="宋体" w:cs="宋体"/>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eastAsia="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31、电子投标文件要求</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31.1政府采购管理交易系统（苏采云）相关要求是本招标文件的组成部分。</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31.2投标人应对 CA 证书妥善保管，如被他人盗用投标，因此带来的结果均由投标人自行承担。</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31.3投标人应当对招标文件提出的要求和条件作出实质性响应，并在电子投标系统逐条应答。</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31.4投标人应对要求提供的资格证明文件（如资质证书、资格证书）、技术资料（如白皮书、彩页、手册、检测报告等）扫描上传至投标系统。</w:t>
      </w:r>
      <w:r>
        <w:rPr>
          <w:rFonts w:hint="eastAsia" w:ascii="宋体" w:hAnsi="宋体" w:eastAsia="宋体" w:cs="宋体"/>
          <w:b w:val="0"/>
          <w:bCs/>
          <w:color w:val="000000"/>
          <w:szCs w:val="21"/>
          <w:highlight w:val="none"/>
        </w:rPr>
      </w:r>
      <w:r/>
    </w:p>
    <w:p>
      <w:pPr>
        <w:pStyle w:val="737"/>
        <w:numPr>
          <w:ilvl w:val="0"/>
          <w:numId w:val="2"/>
        </w:numPr>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提交投标文件的截止时间（投标截止时间）</w:t>
      </w:r>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32.1投标人应当在招标文件要求提交投标文件的截止时间前，将投标文件提交至“苏采云”系统，逾期提交的投标文件，“苏采云”系统将自动拒收。</w:t>
      </w:r>
      <w:r>
        <w:rPr>
          <w:rFonts w:hint="eastAsia" w:ascii="宋体" w:hAnsi="宋体" w:eastAsia="宋体" w:cs="宋体"/>
          <w:b w:val="0"/>
          <w:bCs/>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szCs w:val="21"/>
          <w:highlight w:val="none"/>
        </w:rPr>
        <w:t xml:space="preserve">32.2各投标人应在规定时间内凭CA证书进行网上解密。</w:t>
      </w:r>
      <w:r>
        <w:rPr>
          <w:rFonts w:hint="eastAsia" w:ascii="宋体" w:hAnsi="宋体" w:eastAsia="宋体" w:cs="宋体"/>
          <w:b w:val="0"/>
          <w:bCs/>
          <w:color w:val="000000"/>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33、其他</w:t>
      </w:r>
      <w:r>
        <w:rPr>
          <w:rFonts w:hint="eastAsia" w:ascii="宋体" w:hAnsi="宋体" w:eastAsia="宋体" w:cs="宋体"/>
          <w:b/>
          <w:bCs/>
          <w:color w:val="000000"/>
          <w:highlight w:val="none"/>
        </w:rPr>
      </w:r>
      <w:r/>
    </w:p>
    <w:p>
      <w:pPr>
        <w:pStyle w:val="737"/>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color w:val="000000"/>
          <w:highlight w:val="none"/>
        </w:rPr>
        <w:t xml:space="preserve">33.1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bCs/>
          <w:color w:val="000000"/>
          <w:szCs w:val="21"/>
          <w:highlight w:val="none"/>
        </w:rPr>
      </w:r>
      <w:r/>
    </w:p>
    <w:p>
      <w:pPr>
        <w:pStyle w:val="737"/>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br w:type="page" w:clear="all"/>
      </w:r>
      <w:r>
        <w:rPr>
          <w:rFonts w:hint="eastAsia" w:ascii="宋体" w:hAnsi="宋体" w:eastAsia="宋体" w:cs="宋体"/>
          <w:bCs/>
          <w:color w:val="000000"/>
          <w:szCs w:val="21"/>
          <w:highlight w:val="none"/>
        </w:rPr>
      </w:r>
      <w:r/>
    </w:p>
    <w:p>
      <w:pPr>
        <w:pStyle w:val="738"/>
        <w:rPr>
          <w:rFonts w:hint="eastAsia"/>
          <w:color w:val="000000"/>
          <w:highlight w:val="none"/>
        </w:rPr>
      </w:pPr>
      <w:r/>
      <w:bookmarkStart w:id="56" w:name="_Toc55204179"/>
      <w:r/>
      <w:bookmarkStart w:id="57" w:name="_Toc18427"/>
      <w:r/>
      <w:bookmarkStart w:id="58" w:name="_Hlk69392822"/>
      <w:r>
        <w:rPr>
          <w:rFonts w:hint="eastAsia"/>
          <w:color w:val="000000"/>
          <w:highlight w:val="none"/>
        </w:rPr>
        <w:t xml:space="preserve">第三章 合同条款及格式</w:t>
      </w:r>
      <w:bookmarkEnd w:id="56"/>
      <w:r/>
      <w:bookmarkEnd w:id="57"/>
      <w:r>
        <w:rPr>
          <w:rFonts w:hint="eastAsia"/>
          <w:color w:val="000000"/>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35"/>
        <w:ind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5"/>
        <w:ind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扬州市政府采购合同（货物)（合同编号）</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江苏省苏北人民医院软件正版化采购项目</w:t>
      </w:r>
      <w:r>
        <w:rPr>
          <w:rFonts w:hint="eastAsia" w:ascii="宋体" w:hAnsi="宋体" w:eastAsia="宋体" w:cs="宋体"/>
          <w:color w:val="000000"/>
          <w:sz w:val="21"/>
          <w:szCs w:val="21"/>
          <w:highlight w:val="none"/>
          <w:lang w:eastAsia="zh-CN"/>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JSZC-321000-SWGC-G2024-0202号</w:t>
      </w:r>
      <w:r>
        <w:rPr>
          <w:rFonts w:hint="eastAsia" w:ascii="宋体" w:hAnsi="宋体" w:eastAsia="宋体" w:cs="宋体"/>
          <w:color w:val="000000"/>
          <w:sz w:val="21"/>
          <w:szCs w:val="21"/>
          <w:highlight w:val="none"/>
          <w:lang w:eastAsia="zh-CN"/>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lang w:eastAsia="zh-CN"/>
        </w:rPr>
        <w:t xml:space="preserve">江苏省苏北人民医院</w:t>
      </w:r>
      <w:r>
        <w:rPr>
          <w:rFonts w:hint="eastAsia" w:ascii="宋体" w:hAnsi="宋体" w:eastAsia="宋体" w:cs="宋体"/>
          <w:color w:val="000000"/>
          <w:sz w:val="21"/>
          <w:szCs w:val="21"/>
          <w:highlight w:val="none"/>
          <w:lang w:eastAsia="zh-CN"/>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见证方：江苏苏维工程管理有限公司</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甲、乙双方根据江苏苏维工程管理有限公司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项目公开招标的结果，签署本合同。</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一、货物及伴随服务</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货物及服务名称：</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型号规格：</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数量（单位）</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本合同金额为（大写）：_____________圆（_______________元）人民币。</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3.1乙方应按招标文件规定的时间向甲方提供使用货物及服务的有关技术资料。</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乙方保证所交付的货物及服务的所有权完全属于乙方且无任何抵押、查封等产权瑕疵。</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 履约保证金收取：</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7.1本合同范围的货物及服务，应由乙方直接供应，不得转让他人供应；</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九、交付期、交付方式及交付地点</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9.1 交付期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交付方式：</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指定方式</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9.3 交付地点：</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指定地点</w:t>
      </w:r>
      <w:r>
        <w:rPr>
          <w:rFonts w:hint="eastAsia" w:ascii="宋体" w:hAnsi="宋体" w:eastAsia="宋体" w:cs="宋体"/>
          <w:color w:val="000000"/>
          <w:sz w:val="21"/>
          <w:szCs w:val="21"/>
          <w:highlight w:val="none"/>
          <w:u w:val="singl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十、货款支付</w:t>
      </w:r>
      <w:r>
        <w:rPr>
          <w:rFonts w:hint="eastAsia" w:ascii="宋体" w:hAnsi="宋体" w:eastAsia="宋体" w:cs="宋体"/>
          <w:b/>
          <w:bCs/>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本合同项下所有款项均以人民币支付。 </w:t>
      </w:r>
      <w:r>
        <w:rPr>
          <w:rFonts w:hint="eastAsia" w:ascii="宋体" w:hAnsi="宋体" w:eastAsia="宋体" w:cs="宋体"/>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本合同项下的采购资金由甲方支付，付款前乙方向甲方开具发票。</w:t>
      </w:r>
      <w:r>
        <w:rPr>
          <w:rFonts w:hint="eastAsia" w:ascii="宋体" w:hAnsi="宋体" w:eastAsia="宋体" w:cs="宋体"/>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甲方付款方式：</w:t>
      </w:r>
      <w:r>
        <w:rPr>
          <w:rFonts w:hint="eastAsia" w:ascii="宋体" w:hAnsi="宋体" w:eastAsia="宋体" w:cs="宋体"/>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授权有效期：自合同签订之日起三年。</w:t>
      </w:r>
      <w:r>
        <w:rPr>
          <w:rFonts w:hint="eastAsia" w:ascii="宋体" w:hAnsi="宋体" w:eastAsia="宋体" w:cs="宋体"/>
          <w:color w:val="000000"/>
          <w:sz w:val="21"/>
          <w:szCs w:val="21"/>
          <w:highlight w:val="none"/>
          <w:u w:val="singl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合同签订后，乙方向甲方开具发票，甲方自收到发票之日起10个工作日内支付合同总价30%的预付款；</w:t>
      </w:r>
      <w:r>
        <w:rPr>
          <w:rFonts w:hint="eastAsia" w:ascii="宋体" w:hAnsi="宋体" w:eastAsia="宋体" w:cs="宋体"/>
          <w:color w:val="000000"/>
          <w:sz w:val="21"/>
          <w:szCs w:val="21"/>
          <w:highlight w:val="none"/>
          <w:u w:val="singl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软件</w:t>
      </w:r>
      <w:r>
        <w:rPr>
          <w:rFonts w:hint="eastAsia" w:ascii="宋体" w:hAnsi="宋体" w:eastAsia="宋体" w:cs="宋体"/>
          <w:color w:val="000000"/>
          <w:sz w:val="21"/>
          <w:szCs w:val="21"/>
          <w:highlight w:val="none"/>
          <w:u w:val="single"/>
        </w:rPr>
        <w:t xml:space="preserve">完成安装</w:t>
      </w:r>
      <w:r>
        <w:rPr>
          <w:rFonts w:hint="eastAsia" w:ascii="宋体" w:hAnsi="宋体" w:eastAsia="宋体" w:cs="宋体"/>
          <w:color w:val="000000"/>
          <w:sz w:val="21"/>
          <w:szCs w:val="21"/>
          <w:highlight w:val="none"/>
          <w:u w:val="single"/>
          <w:lang w:val="en-US" w:eastAsia="zh-CN"/>
        </w:rPr>
        <w:t xml:space="preserve">并通过相关部门组织的软件正版化正式检查后</w:t>
      </w:r>
      <w:r>
        <w:rPr>
          <w:rFonts w:hint="eastAsia" w:ascii="宋体" w:hAnsi="宋体" w:eastAsia="宋体" w:cs="宋体"/>
          <w:color w:val="000000"/>
          <w:sz w:val="21"/>
          <w:szCs w:val="21"/>
          <w:highlight w:val="none"/>
          <w:u w:val="single"/>
        </w:rPr>
        <w:t xml:space="preserve">，乙方向甲方开具发票，甲方自收到发票之日起10个工作日内支付合同总价的</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737"/>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授权期</w:t>
      </w:r>
      <w:r>
        <w:rPr>
          <w:rFonts w:hint="eastAsia" w:ascii="宋体" w:hAnsi="宋体" w:cs="宋体"/>
          <w:color w:val="000000"/>
          <w:sz w:val="21"/>
          <w:szCs w:val="21"/>
          <w:highlight w:val="none"/>
          <w:u w:val="single"/>
          <w:lang w:val="en-US" w:eastAsia="zh-CN"/>
        </w:rPr>
        <w:t xml:space="preserve">第2年，</w:t>
      </w:r>
      <w:r>
        <w:rPr>
          <w:rFonts w:hint="eastAsia" w:ascii="宋体" w:hAnsi="宋体" w:eastAsia="宋体" w:cs="宋体"/>
          <w:color w:val="000000"/>
          <w:sz w:val="21"/>
          <w:szCs w:val="21"/>
          <w:highlight w:val="none"/>
          <w:u w:val="single"/>
        </w:rPr>
        <w:t xml:space="preserve">乙方向甲方开具发票，甲方自收到发票之日起10个工作日内支付合同总价的</w:t>
      </w:r>
      <w:r>
        <w:rPr>
          <w:rFonts w:hint="eastAsia" w:ascii="宋体" w:hAnsi="宋体" w:cs="宋体"/>
          <w:color w:val="000000"/>
          <w:sz w:val="21"/>
          <w:szCs w:val="21"/>
          <w:highlight w:val="none"/>
          <w:u w:val="single"/>
          <w:lang w:val="en-US" w:eastAsia="zh-CN"/>
        </w:rPr>
        <w:t xml:space="preserve">5%。</w:t>
      </w:r>
      <w:r>
        <w:rPr>
          <w:rFonts w:ascii="宋体" w:hAnsi="宋体" w:eastAsia="宋体" w:cs="宋体"/>
          <w:color w:val="000000"/>
          <w:sz w:val="21"/>
          <w:szCs w:val="21"/>
          <w:highlight w:val="none"/>
          <w:u w:val="single"/>
          <w:lang w:val="en-US" w:eastAsia="zh-CN"/>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授权期结束后</w:t>
      </w:r>
      <w:r>
        <w:rPr>
          <w:rFonts w:hint="eastAsia" w:ascii="宋体" w:hAnsi="宋体" w:eastAsia="宋体" w:cs="宋体"/>
          <w:color w:val="000000"/>
          <w:sz w:val="21"/>
          <w:szCs w:val="21"/>
          <w:highlight w:val="none"/>
          <w:u w:val="single"/>
        </w:rPr>
        <w:t xml:space="preserve">，乙方向甲方开具发票，甲方自收到发票之日起10个工作日内支付合同总价的</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乙方应按招标文件规定的货物及服务性能、技术要求、质量标准向甲方提供。</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⑶退还处理：乙方应退还甲方支付的合同款，同时应承担该货物及服务的直接费用（运输、保险、检验、款项利息及银行手续费等）。</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在质保期内，乙方应对货物及服务出现的质量及安全问题负责处理解决并承担一切费用。</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12.5上述的货物及服务免费保修期为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年，因人为因素出现的故障不在免费保修范围内。超过保修期的机器设备，终生维修，维修时只收部件成本费。</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对技术复杂的货物及服务，甲方可请国家认可的专业检测机构参与初步验收及最终验收，并由其出具质量检测报告。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十四、货物及服务包装、发运及运输</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乙方应在货物及服务发运前对其进行满足运输距离、防潮、防震、防锈和防破损装卸等要求包装，以保证货物及服务安全运达甲方指定地点。</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乙方在货物及服务发运手续办理完毕后24小时内或交付到甲方48小时前通知甲方，以准备接受交付。</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货物在交付甲方前发生的风险均由乙方负责。</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货物及服务在规定的交付期限内由乙方送达甲方指定的地点视为交付，乙方同时需通知甲方货物及服务已送达。</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甲方无正当理由拒收货物及服务的，甲方向乙方偿付拒收款项总值的百分之五违约金。</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甲方无故逾期验收和办理款项支付手续的,甲方应按逾期付款总额每日万分之五向乙方支付违约金。</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Cs/>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合同经双方法定代表人签章并加盖单位公章，并经江苏苏维工程管理有限公司见证盖章后生效。</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19.2本合同未尽事宜，遵照《民法典》有关条文执行。</w:t>
      </w:r>
      <w:r>
        <w:rPr>
          <w:rFonts w:hint="eastAsia" w:ascii="宋体" w:hAnsi="宋体" w:eastAsia="宋体" w:cs="宋体"/>
          <w:color w:val="000000"/>
          <w:sz w:val="21"/>
          <w:szCs w:val="21"/>
          <w:highlight w:val="none"/>
        </w:rPr>
      </w:r>
      <w:r/>
    </w:p>
    <w:p>
      <w:pPr>
        <w:pStyle w:val="935"/>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rPr>
        <w:t xml:space="preserve">19.3 本合同正本一式四份，具有同等法律效力，甲方、乙方、见证方及财政监管部门各执一份。</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tbl>
      <w:tblPr>
        <w:tblW w:w="8379" w:type="dxa"/>
        <w:tblInd w:w="-81"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35"/>
              <w:spacing w:before="120" w:after="12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甲方：</w:t>
            </w:r>
            <w:r>
              <w:rPr>
                <w:rFonts w:hint="eastAsia" w:ascii="宋体" w:hAnsi="宋体" w:eastAsia="宋体" w:cs="宋体"/>
                <w:color w:val="000000"/>
                <w:sz w:val="21"/>
                <w:highlight w:val="none"/>
                <w:lang w:eastAsia="zh-CN"/>
              </w:rPr>
              <w:t xml:space="preserve">江苏省苏北人民医院</w:t>
            </w:r>
            <w:r>
              <w:rPr>
                <w:rFonts w:hint="eastAsia" w:ascii="宋体" w:hAnsi="宋体" w:eastAsia="宋体" w:cs="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 </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日期：2024年    月    日  </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日期：2024年    月    日</w:t>
            </w: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见证方：江苏苏维工程管理有限公司</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项目经办人：</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日期：2024年    月    日 </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35"/>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r>
    </w:tbl>
    <w:p>
      <w:pPr>
        <w:pStyle w:val="73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58"/>
      <w:r>
        <w:rPr>
          <w:rFonts w:hint="eastAsia" w:ascii="宋体" w:hAnsi="宋体" w:eastAsia="宋体" w:cs="宋体"/>
          <w:color w:val="000000"/>
          <w:highlight w:val="none"/>
        </w:rPr>
      </w:r>
      <w:r/>
    </w:p>
    <w:p>
      <w:pPr>
        <w:pStyle w:val="738"/>
        <w:numPr>
          <w:ilvl w:val="0"/>
          <w:numId w:val="3"/>
        </w:numPr>
        <w:rPr>
          <w:rFonts w:hint="eastAsia"/>
          <w:color w:val="000000"/>
          <w:highlight w:val="none"/>
        </w:rPr>
      </w:pPr>
      <w:r/>
      <w:bookmarkStart w:id="59" w:name="_Toc12506"/>
      <w:r>
        <w:rPr>
          <w:rFonts w:hint="eastAsia"/>
          <w:color w:val="000000"/>
          <w:highlight w:val="none"/>
        </w:rPr>
        <w:t xml:space="preserve">项目需求</w:t>
      </w:r>
      <w:bookmarkEnd w:id="59"/>
      <w:r>
        <w:rPr>
          <w:rFonts w:hint="eastAsia"/>
          <w:color w:val="000000"/>
          <w:highlight w:val="none"/>
        </w:rPr>
      </w:r>
      <w:r/>
    </w:p>
    <w:p>
      <w:pPr>
        <w:pStyle w:val="737"/>
        <w:pageBreakBefore w:val="0"/>
        <w:spacing w:line="360" w:lineRule="auto"/>
        <w:widowControl w:val="off"/>
        <w:rPr>
          <w:rFonts w:hint="eastAsia" w:ascii="宋体" w:hAnsi="宋体" w:eastAsia="宋体" w:cs="宋体"/>
          <w:b/>
          <w:bCs/>
          <w:color w:val="000000"/>
          <w:highlight w:val="none"/>
        </w:rPr>
      </w:pPr>
      <w:r/>
      <w:bookmarkStart w:id="60" w:name="_Toc319408306"/>
      <w:r>
        <w:rPr>
          <w:rFonts w:hint="eastAsia" w:ascii="宋体" w:hAnsi="宋体" w:eastAsia="宋体" w:cs="宋体"/>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eastAsia="宋体" w:cs="宋体"/>
          <w:b/>
          <w:bCs/>
          <w:color w:val="000000"/>
          <w:highlight w:val="none"/>
        </w:rPr>
      </w:r>
      <w:r/>
    </w:p>
    <w:p>
      <w:pPr>
        <w:pStyle w:val="737"/>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Cs w:val="21"/>
          <w:highlight w:val="none"/>
        </w:rPr>
        <w:t xml:space="preserve">一、采</w:t>
      </w:r>
      <w:r>
        <w:rPr>
          <w:rFonts w:hint="eastAsia" w:ascii="宋体" w:hAnsi="宋体" w:eastAsia="宋体" w:cs="宋体"/>
          <w:b/>
          <w:bCs/>
          <w:color w:val="000000"/>
          <w:sz w:val="21"/>
          <w:szCs w:val="21"/>
          <w:highlight w:val="none"/>
        </w:rPr>
        <w:t xml:space="preserve">购清单</w:t>
      </w:r>
      <w:r>
        <w:rPr>
          <w:rFonts w:hint="eastAsia" w:ascii="宋体" w:hAnsi="宋体" w:eastAsia="宋体" w:cs="宋体"/>
          <w:b/>
          <w:bCs/>
          <w:color w:val="000000"/>
          <w:sz w:val="21"/>
          <w:szCs w:val="2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59"/>
        <w:gridCol w:w="4561"/>
      </w:tblGrid>
      <w:tr>
        <w:trPr>
          <w:cantSplit/>
        </w:trPr>
        <w:tc>
          <w:tcPr>
            <w:tcW w:w="2323"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End w:id="60"/>
            <w:r>
              <w:rPr>
                <w:rFonts w:hint="eastAsia" w:ascii="宋体" w:hAnsi="宋体" w:eastAsia="宋体" w:cs="宋体"/>
                <w:b/>
                <w:bCs/>
                <w:color w:val="000000"/>
                <w:sz w:val="21"/>
                <w:szCs w:val="21"/>
                <w:highlight w:val="none"/>
              </w:rPr>
              <w:t xml:space="preserve">采购标的</w:t>
            </w:r>
            <w:r>
              <w:rPr>
                <w:rFonts w:hint="eastAsia" w:ascii="宋体" w:hAnsi="宋体" w:eastAsia="宋体" w:cs="宋体"/>
                <w:b/>
                <w:bCs/>
                <w:color w:val="000000"/>
                <w:sz w:val="21"/>
                <w:szCs w:val="21"/>
                <w:highlight w:val="none"/>
              </w:rPr>
            </w:r>
            <w:r/>
          </w:p>
        </w:tc>
        <w:tc>
          <w:tcPr>
            <w:tcW w:w="2676"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对应中小企业划分标准所属行业</w:t>
            </w:r>
            <w:r>
              <w:rPr>
                <w:rFonts w:hint="eastAsia" w:ascii="宋体" w:hAnsi="宋体" w:eastAsia="宋体" w:cs="宋体"/>
                <w:b/>
                <w:bCs/>
                <w:color w:val="000000"/>
                <w:sz w:val="21"/>
                <w:szCs w:val="21"/>
                <w:highlight w:val="none"/>
              </w:rPr>
            </w:r>
            <w:r/>
          </w:p>
        </w:tc>
      </w:tr>
      <w:tr>
        <w:trPr>
          <w:cantSplit/>
          <w:trHeight w:val="639"/>
        </w:trPr>
        <w:tc>
          <w:tcPr>
            <w:tcW w:w="2323"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正版化办公软件授权及配套服务</w:t>
            </w:r>
            <w:r>
              <w:rPr>
                <w:rFonts w:hint="eastAsia" w:ascii="宋体" w:hAnsi="宋体" w:eastAsia="宋体" w:cs="宋体"/>
                <w:color w:val="000000"/>
                <w:sz w:val="21"/>
                <w:szCs w:val="21"/>
                <w:highlight w:val="none"/>
              </w:rPr>
            </w:r>
            <w:r/>
          </w:p>
        </w:tc>
        <w:tc>
          <w:tcPr>
            <w:tcW w:w="2676"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r>
    </w:tbl>
    <w:p>
      <w:pPr>
        <w:pStyle w:val="737"/>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37"/>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、办公软件技术参数要求</w:t>
      </w:r>
      <w:r>
        <w:rPr>
          <w:rFonts w:hint="eastAsia" w:ascii="宋体" w:hAnsi="宋体" w:eastAsia="宋体" w:cs="宋体"/>
          <w:b/>
          <w:bCs/>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452"/>
        <w:gridCol w:w="6328"/>
        <w:gridCol w:w="7"/>
      </w:tblGrid>
      <w:tr>
        <w:trPr>
          <w:gridAfter w:val="1"/>
        </w:trPr>
        <w:tc>
          <w:tcPr>
            <w:tcW w:w="431" w:type="dxa"/>
            <w:vAlign w:val="center"/>
            <w:textDirection w:val="lrTb"/>
            <w:noWrap w:val="false"/>
          </w:tcPr>
          <w:p>
            <w:pPr>
              <w:pStyle w:val="948"/>
              <w:ind w:left="0" w:firstLine="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功能及技术指标名称</w:t>
            </w:r>
            <w:r>
              <w:rPr>
                <w:rFonts w:hint="eastAsia" w:ascii="宋体" w:hAnsi="宋体" w:eastAsia="宋体" w:cs="宋体"/>
                <w:color w:val="000000"/>
                <w:sz w:val="21"/>
                <w:szCs w:val="21"/>
                <w:highlight w:val="none"/>
                <w:lang w:eastAsia="zh-CN"/>
              </w:rPr>
            </w:r>
            <w:r/>
          </w:p>
        </w:tc>
        <w:tc>
          <w:tcPr>
            <w:tcW w:w="3712" w:type="dxa"/>
            <w:vAlign w:val="center"/>
            <w:textDirection w:val="lrTb"/>
            <w:noWrap w:val="false"/>
          </w:tcPr>
          <w:p>
            <w:pPr>
              <w:pStyle w:val="948"/>
              <w:ind w:left="0" w:firstLine="0"/>
              <w:jc w:val="center"/>
              <w:keepLines w:val="0"/>
              <w:keepNext w:val="0"/>
              <w:pageBreakBefore w:val="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详细要求</w:t>
            </w:r>
            <w:r>
              <w:rPr>
                <w:rFonts w:hint="eastAsia" w:ascii="宋体" w:hAnsi="宋体" w:eastAsia="宋体" w:cs="宋体"/>
                <w:color w:val="000000"/>
                <w:sz w:val="21"/>
                <w:szCs w:val="21"/>
                <w:highlight w:val="none"/>
                <w:lang w:eastAsia="zh-CN"/>
              </w:rPr>
            </w:r>
            <w:r/>
          </w:p>
        </w:tc>
      </w:tr>
      <w:tr>
        <w:trPr>
          <w:gridAfter w:val="1"/>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总体指标</w:t>
            </w:r>
            <w:r>
              <w:rPr>
                <w:rFonts w:hint="eastAsia" w:ascii="宋体" w:hAnsi="宋体" w:eastAsia="宋体" w:cs="宋体"/>
                <w:color w:val="000000"/>
                <w:sz w:val="21"/>
                <w:szCs w:val="21"/>
                <w:highlight w:val="none"/>
                <w:lang w:eastAsia="zh-CN"/>
              </w:rPr>
            </w:r>
            <w:r/>
          </w:p>
        </w:tc>
        <w:tc>
          <w:tcPr>
            <w:tcW w:w="3712"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（1）产品组件包含文字处理、电子表格、演示文稿办公常用组件。</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窗口多组件/整合模式，支持进行单窗口多标签的拆分与组合，同时支持按文件类型进行多窗口多标签的拆分模式，且在多窗口模式下支持在系统任务栏显示多主窗口，可以通过ALT+TAB快捷键来回切换查看多个文档。</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（3）文字、表格、演示三个组件均支持多种语言绘制、排版。</w:t>
            </w:r>
            <w:r>
              <w:rPr>
                <w:rFonts w:hint="eastAsia" w:ascii="宋体" w:hAnsi="宋体" w:eastAsia="宋体" w:cs="宋体"/>
                <w:color w:val="000000"/>
                <w:sz w:val="21"/>
                <w:szCs w:val="21"/>
                <w:highlight w:val="none"/>
                <w:lang w:eastAsia="zh-CN"/>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包含日语、德语、法语、俄语、韩语、蒙语、藏语、越南语、西班牙语、葡萄牙语、阿拉伯语、维吾尔语、哈萨克语、柯尔克孜语；保证多种语言排版正常显示，无乱码、无错位。</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（4）符合国际、国家相关标准要求，支持OOXML、支持UOF2.0(最新版标文通，《中文办公软件文档格式规范》)，符合国家《中文办公软件应用编程接口规范》。</w:t>
            </w:r>
            <w:r>
              <w:rPr>
                <w:rFonts w:hint="eastAsia" w:ascii="宋体" w:hAnsi="宋体" w:eastAsia="宋体" w:cs="宋体"/>
                <w:color w:val="000000"/>
                <w:sz w:val="21"/>
                <w:szCs w:val="21"/>
                <w:highlight w:val="none"/>
              </w:rPr>
            </w:r>
            <w:r/>
          </w:p>
        </w:tc>
      </w:tr>
      <w:tr>
        <w:trPr>
          <w:gridAfter w:val="1"/>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兼容性</w:t>
            </w:r>
            <w:r>
              <w:rPr>
                <w:rFonts w:hint="eastAsia" w:ascii="宋体" w:hAnsi="宋体" w:eastAsia="宋体" w:cs="宋体"/>
                <w:color w:val="000000"/>
                <w:sz w:val="21"/>
                <w:szCs w:val="21"/>
                <w:highlight w:val="none"/>
                <w:lang w:eastAsia="zh-CN"/>
              </w:rPr>
            </w:r>
            <w:r/>
          </w:p>
        </w:tc>
        <w:tc>
          <w:tcPr>
            <w:tcW w:w="3712"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（1）操作习惯兼容：支持多组件/整合双重模式，且两种模式可以任意切换。</w:t>
            </w:r>
            <w:r>
              <w:rPr>
                <w:rFonts w:hint="eastAsia" w:ascii="宋体" w:hAnsi="宋体" w:eastAsia="宋体" w:cs="宋体"/>
                <w:color w:val="000000"/>
                <w:sz w:val="21"/>
                <w:szCs w:val="21"/>
                <w:highlight w:val="none"/>
                <w:lang w:eastAsia="zh-CN"/>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（2）文件格式兼容：各模块无缝打开微软各对应模块的文档格式，全面兼容微软办公软件历史格式和最新格式。</w:t>
            </w:r>
            <w:r>
              <w:rPr>
                <w:rFonts w:hint="eastAsia" w:ascii="宋体" w:hAnsi="宋体" w:eastAsia="宋体" w:cs="宋体"/>
                <w:color w:val="000000"/>
                <w:sz w:val="21"/>
                <w:szCs w:val="21"/>
                <w:highlight w:val="none"/>
                <w:lang w:eastAsia="zh-CN"/>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二次开发兼容：支持JS宏编辑器、通过录制宏生成JSAPI；支持基于Web开发技术开发具备轻量化和跨平台特性的WPS加载项，实现在Web网页调用Office标准接口完成与WPS客户端的数据同步；支持使用JavaScript语言，通过符合国家标准的网页应用编程接口，实现将WPS客户端嵌入网页运行完成系统集成；支持使用Java/C++语言调用Office标准接口进行二次开发；支持C/S、B/S架构。满足业务系统建设的多样场景需求。</w:t>
            </w:r>
            <w:r>
              <w:rPr>
                <w:rFonts w:hint="eastAsia" w:ascii="宋体" w:hAnsi="宋体" w:eastAsia="宋体" w:cs="宋体"/>
                <w:b/>
                <w:bCs/>
                <w:color w:val="000000"/>
                <w:sz w:val="21"/>
                <w:szCs w:val="21"/>
                <w:highlight w:val="none"/>
                <w:lang w:eastAsia="zh-CN"/>
              </w:rPr>
              <w:t xml:space="preserve">（需提供功能截图，</w:t>
            </w:r>
            <w:r>
              <w:rPr>
                <w:rFonts w:hint="eastAsia" w:ascii="宋体" w:hAnsi="宋体" w:eastAsia="宋体" w:cs="宋体"/>
                <w:b/>
                <w:bCs/>
                <w:color w:val="000000"/>
                <w:sz w:val="21"/>
                <w:szCs w:val="21"/>
                <w:highlight w:val="none"/>
                <w:lang w:val="en-US" w:eastAsia="zh-CN"/>
              </w:rPr>
              <w:t xml:space="preserve">上传系统</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（4）需兼容我院目前现存各类操作系统计算机终端，如提供版本与终端不适配的，需单独提供适配安装版本。</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（5）符合国际、国家相关标准要求，支持OOXML、支持UOF2.0(最新版标文通，《中文办公软件文档格式规范》)，符合国家《中文办公软件应用编程接口规范》；符合GB 18030-2005 《信息技术 中文编码字符集》全集 国家编码标准；符合GB/T 33476-33483-2016《党政机关电子公文标准》、GB/T 9704-2012 《党政机关公文格式》公文标准；符合 GB/T 33190-2016 《电子文件存储与交换格式 版式文档》OFD国家标准及UOF、OOXML国际标准等一系列国际标准。</w:t>
            </w:r>
            <w:r>
              <w:rPr>
                <w:rFonts w:hint="eastAsia" w:ascii="宋体" w:hAnsi="宋体" w:eastAsia="宋体" w:cs="宋体"/>
                <w:color w:val="000000"/>
                <w:sz w:val="21"/>
                <w:szCs w:val="21"/>
                <w:highlight w:val="none"/>
              </w:rPr>
            </w:r>
            <w:r/>
          </w:p>
        </w:tc>
      </w:tr>
      <w:tr>
        <w:trPr>
          <w:gridAfter w:val="1"/>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多平台支持</w:t>
            </w:r>
            <w:r>
              <w:rPr>
                <w:rFonts w:hint="eastAsia" w:ascii="宋体" w:hAnsi="宋体" w:eastAsia="宋体" w:cs="宋体"/>
                <w:color w:val="000000"/>
                <w:sz w:val="21"/>
                <w:szCs w:val="21"/>
                <w:highlight w:val="none"/>
                <w:lang w:eastAsia="zh-CN"/>
              </w:rPr>
            </w:r>
            <w:r/>
          </w:p>
        </w:tc>
        <w:tc>
          <w:tcPr>
            <w:tcW w:w="3712"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操作系统包括但不限于：UOS、银河麒麟V10、中标麒麟、银河麒麟、中科方德、深度等；CPU包括但不限于：龙芯、飞腾、鲲鹏、兆芯、申威等。</w:t>
            </w:r>
            <w:r>
              <w:rPr>
                <w:rFonts w:hint="eastAsia" w:ascii="宋体" w:hAnsi="宋体" w:eastAsia="宋体" w:cs="宋体"/>
                <w:color w:val="000000"/>
                <w:sz w:val="21"/>
                <w:szCs w:val="21"/>
                <w:highlight w:val="none"/>
                <w:lang w:eastAsia="zh-CN"/>
              </w:rPr>
            </w:r>
            <w:r/>
          </w:p>
        </w:tc>
      </w:tr>
      <w:tr>
        <w:trPr/>
        <w:tc>
          <w:tcPr>
            <w:tcW w:w="431"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通用功能</w:t>
            </w:r>
            <w:r>
              <w:rPr>
                <w:rFonts w:hint="eastAsia" w:ascii="宋体" w:hAnsi="宋体" w:eastAsia="宋体" w:cs="宋体"/>
                <w:color w:val="000000"/>
                <w:sz w:val="21"/>
                <w:szCs w:val="21"/>
                <w:highlight w:val="none"/>
                <w:lang w:eastAsia="zh-CN"/>
              </w:rPr>
            </w:r>
            <w:r/>
          </w:p>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gridSpan w:val="2"/>
            <w:tcW w:w="6335"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（1）文字，表格，演示三个组件均支持查找命令功能，输入功能名称后可以模糊匹配查询，帮助用户快速定位到功能入口；</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文字、表格、演示三个组件均支持丰富的公式元素、支持更多设置，可以满足各种场景公式编写需求。提供9种常用预设函数：三角恒等式、二次公式、二次项定理、勾股定理等；提供8大类公式符号：基础数学、希腊字母、字符类符号、运算符、箭头、求反关系运算符、手写体、几何学；</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提供11类函数结构：分数、上下标、根式、积分、大型运算符、括号、函数、导数符号、极限和对数、运算符、矩阵等。</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（3）文字、表格、演示三个组件均支持图片预览功能。可以按照“原始比例”或“窗口大小”显示图片预览效果。满足需要放大图片观察细节的需要。</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字、表格、演示三个组件均支持“文档拆分合并”功能。实现对wps、doc、docx、ppt、pptx、xls、xlsx、pdf格式的文档进行合并和拆分，且可自定义不同合并和拆分方式，包括合并范围、输出名称、输出目录、拆分范围等，帮助用户快速整合文档资料。</w:t>
            </w:r>
            <w:r>
              <w:rPr>
                <w:rFonts w:hint="eastAsia" w:ascii="宋体" w:hAnsi="宋体" w:eastAsia="宋体" w:cs="宋体"/>
                <w:b/>
                <w:bCs/>
                <w:color w:val="000000"/>
                <w:sz w:val="21"/>
                <w:szCs w:val="21"/>
                <w:highlight w:val="none"/>
              </w:rPr>
              <w:t xml:space="preserve">（提供功能截图，上传系统）</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（5）支持图片预览，点击图片预览可按“原始比例”或“窗口大小”显示图片预览的效果。</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（6）支持图表重置样式、快速按钮、快速布局、更改颜色。</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（7）支持同时选中多个图形时，支持设置左对齐、水平对齐、右对齐、顶端对齐、垂直对齐、底端对齐、等高、等宽、等尺寸等。</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（8）支持更改预设的主题颜色、字体以及形状效果等。</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支持PDF文件的编辑、PDF文件拆分/合并、PDF插入页面；PDF转Word、PDF转EXCEL、PDF转PPT；PDF全文翻译等功能。</w:t>
            </w:r>
            <w:r>
              <w:rPr>
                <w:rFonts w:hint="eastAsia" w:ascii="宋体" w:hAnsi="宋体" w:eastAsia="宋体" w:cs="宋体"/>
                <w:b/>
                <w:bCs/>
                <w:color w:val="000000"/>
                <w:sz w:val="21"/>
                <w:szCs w:val="21"/>
                <w:highlight w:val="none"/>
              </w:rPr>
              <w:t xml:space="preserve">（提供功能截图，上传系统）</w:t>
            </w:r>
            <w:r>
              <w:rPr>
                <w:rFonts w:hint="eastAsia" w:ascii="宋体" w:hAnsi="宋体" w:eastAsia="宋体" w:cs="宋体"/>
                <w:color w:val="000000"/>
                <w:sz w:val="21"/>
                <w:szCs w:val="21"/>
                <w:highlight w:val="none"/>
              </w:rPr>
            </w:r>
            <w:r/>
          </w:p>
        </w:tc>
      </w:tr>
      <w:tr>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文字模块</w:t>
            </w:r>
            <w:r>
              <w:rPr>
                <w:rFonts w:hint="eastAsia" w:ascii="宋体" w:hAnsi="宋体" w:eastAsia="宋体" w:cs="宋体"/>
                <w:color w:val="000000"/>
                <w:sz w:val="21"/>
                <w:szCs w:val="21"/>
                <w:highlight w:val="none"/>
                <w:lang w:eastAsia="zh-CN"/>
              </w:rPr>
            </w:r>
            <w:r/>
          </w:p>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gridSpan w:val="2"/>
            <w:tcW w:w="6335" w:type="dxa"/>
            <w:vAlign w:val="center"/>
            <w:textDirection w:val="lrTb"/>
            <w:noWrap w:val="false"/>
          </w:tcPr>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（1）文档中字体字号预览，设置文字字号时，文档区域支持预览效果。</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（2）编辑文档时可以进行文字编辑、段落、目录、书签等设置或插入文本框、图形、表格等对象；支持图文混排、文件修订、样式应用和文件处理等功能。</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（3）自动插入表格，支持表格样式任意切换，可以对表格任意行任意列进行编辑、删除和插入。</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（4）文字模块下支持插入、删除和保护修订等功能。</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（5）支持智能识别目录。自动识别正文的段落结构，生成对应目录，节省手动设置标题格式时间。</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（6）支持章节导航、书签导航。章节导航支持显示章节内容、更改章节标题、增加节、删除节、合并节。书签导航支持显示书签，按照书签的名称和位置排序。</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提供六种视图模式，包含页面视图、阅读版式、Web版式、大纲视图、全屏模式、护眼模式；阅读版式可自动布局内容，轻松翻阅文档，阅读版式下支持目录导航、显示批注、突出显示、查找等功能，便于阅读和标记。</w:t>
            </w:r>
            <w:r>
              <w:rPr>
                <w:rFonts w:hint="eastAsia" w:ascii="宋体" w:hAnsi="宋体" w:eastAsia="宋体" w:cs="宋体"/>
                <w:color w:val="000000"/>
                <w:sz w:val="21"/>
                <w:szCs w:val="21"/>
                <w:highlight w:val="none"/>
              </w:rPr>
            </w:r>
            <w:r/>
          </w:p>
        </w:tc>
      </w:tr>
      <w:tr>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表格模块</w:t>
            </w:r>
            <w:r>
              <w:rPr>
                <w:rFonts w:hint="eastAsia" w:ascii="宋体" w:hAnsi="宋体" w:eastAsia="宋体" w:cs="宋体"/>
                <w:color w:val="000000"/>
                <w:sz w:val="21"/>
                <w:szCs w:val="21"/>
                <w:highlight w:val="none"/>
                <w:lang w:eastAsia="zh-CN"/>
              </w:rPr>
            </w:r>
            <w:r/>
          </w:p>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gridSpan w:val="2"/>
            <w:tcW w:w="6335" w:type="dxa"/>
            <w:vAlign w:val="center"/>
            <w:textDirection w:val="lrTb"/>
            <w:noWrap w:val="false"/>
          </w:tcPr>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（1）支持数据录入、计算；支持各种常见公式，满足日常办公中的统计和计算需求。</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（2）表格模块支持数据计算，提供数据有效性、排序、筛选、分类汇总，组及分组显示等功能。</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（3）支持数据对比。可以对单区域、多区域进行重复值、唯一值的标记和提取，能更直观的进行数据分析。</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（4）支持数据透视图。提供可视化图形方式汇总数据的功能，比数据透视表更形象生动直观。</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（5）提供常用的日期和时间、文本、数学、财务、逻辑等函数。</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（6）支持一键批量合并表格功能。可将多个工作表、多个工作簿、以及多个工作簿中的同名工作表进行数据智能合并。帮助用户快速完成零散数据的汇总，提高工作效率。</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（7）该功能可以通过对文件中的对象、重复样式、空白单元格内容进行瘦身，减小文件体积，提升文件打开效率。</w:t>
            </w:r>
            <w:r>
              <w:rPr>
                <w:rFonts w:hint="eastAsia" w:ascii="宋体" w:hAnsi="宋体" w:eastAsia="宋体" w:cs="宋体"/>
                <w:color w:val="000000"/>
                <w:sz w:val="21"/>
                <w:szCs w:val="21"/>
                <w:highlight w:val="none"/>
              </w:rPr>
            </w:r>
            <w:r/>
          </w:p>
        </w:tc>
      </w:tr>
      <w:tr>
        <w:trPr/>
        <w:tc>
          <w:tcPr>
            <w:tcW w:w="431"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演示模块</w:t>
            </w:r>
            <w:r>
              <w:rPr>
                <w:rFonts w:hint="eastAsia" w:ascii="宋体" w:hAnsi="宋体" w:eastAsia="宋体" w:cs="宋体"/>
                <w:color w:val="000000"/>
                <w:sz w:val="21"/>
                <w:szCs w:val="21"/>
                <w:highlight w:val="none"/>
                <w:lang w:eastAsia="zh-CN"/>
              </w:rPr>
            </w:r>
            <w:r/>
          </w:p>
          <w:p>
            <w:pPr>
              <w:pStyle w:val="948"/>
              <w:ind w:left="0" w:firstLine="0"/>
              <w:jc w:val="center"/>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gridSpan w:val="2"/>
            <w:tcW w:w="6335" w:type="dxa"/>
            <w:vAlign w:val="center"/>
            <w:textDirection w:val="lrTb"/>
            <w:noWrap w:val="false"/>
          </w:tcPr>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（1）支持背景音乐功能，PPT放映的全程中进行播放。</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（2）提供幻灯片多屏放映功能。</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（3）支持在幻灯片中插入图片、表格、图形、图表、公式等，方便用户快速实现PPT制作。</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（4）支持嵌入音频/视频媒体对象，嵌入后能跟随文档一起，避免文档流转时音视频无法播放。</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（5）支持多种动画方案，支持数字动态变化的动画效果，使演示文稿更加生动。</w:t>
            </w:r>
            <w:r>
              <w:rPr>
                <w:rFonts w:hint="eastAsia" w:ascii="宋体" w:hAnsi="宋体" w:eastAsia="宋体" w:cs="宋体"/>
                <w:color w:val="000000"/>
                <w:sz w:val="21"/>
                <w:szCs w:val="21"/>
                <w:highlight w:val="none"/>
              </w:rPr>
            </w:r>
            <w:r/>
          </w:p>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（6）支持多种幻灯片切换效果，并可对效果进行预览。</w:t>
            </w:r>
            <w:r>
              <w:rPr>
                <w:rFonts w:hint="eastAsia" w:ascii="宋体" w:hAnsi="宋体" w:eastAsia="宋体" w:cs="宋体"/>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（7）支持将演示文件及相关媒体文件打包成文件夹/压缩文件，方便用户携带及使用，避免文档流转时媒体文件无法播放。</w:t>
            </w:r>
            <w:r>
              <w:rPr>
                <w:rFonts w:hint="eastAsia" w:ascii="宋体" w:hAnsi="宋体" w:eastAsia="宋体" w:cs="宋体"/>
                <w:color w:val="000000"/>
                <w:sz w:val="21"/>
                <w:szCs w:val="21"/>
                <w:highlight w:val="none"/>
              </w:rPr>
            </w:r>
            <w:r/>
          </w:p>
        </w:tc>
      </w:tr>
      <w:tr>
        <w:trPr/>
        <w:tc>
          <w:tcPr>
            <w:tcW w:w="431" w:type="dxa"/>
            <w:vAlign w:val="center"/>
            <w:textDirection w:val="lrTb"/>
            <w:noWrap w:val="false"/>
          </w:tcPr>
          <w:p>
            <w:pPr>
              <w:pStyle w:val="948"/>
              <w:ind w:left="0" w:firstLine="0"/>
              <w:jc w:val="both"/>
              <w:keepLines w:val="0"/>
              <w:keepNext w:val="0"/>
              <w:pageBreakBefore w:val="0"/>
              <w:spacing w:before="0" w:beforeAutospacing="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lang w:eastAsia="zh-CN"/>
              </w:rPr>
            </w:r>
            <w:r/>
          </w:p>
        </w:tc>
        <w:tc>
          <w:tcPr>
            <w:tcW w:w="852" w:type="dxa"/>
            <w:vAlign w:val="center"/>
            <w:textDirection w:val="lrTb"/>
            <w:noWrap w:val="false"/>
          </w:tcPr>
          <w:p>
            <w:pPr>
              <w:pStyle w:val="737"/>
              <w:ind w:left="0"/>
              <w:jc w:val="center"/>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办公软件会员账号</w:t>
            </w:r>
            <w:r>
              <w:rPr>
                <w:rFonts w:hint="eastAsia" w:ascii="宋体" w:hAnsi="宋体" w:eastAsia="宋体" w:cs="宋体"/>
                <w:color w:val="000000"/>
                <w:sz w:val="21"/>
                <w:szCs w:val="21"/>
                <w:highlight w:val="none"/>
              </w:rPr>
            </w:r>
            <w:r/>
          </w:p>
        </w:tc>
        <w:tc>
          <w:tcPr>
            <w:gridSpan w:val="2"/>
            <w:tcW w:w="6335" w:type="dxa"/>
            <w:vAlign w:val="center"/>
            <w:textDirection w:val="lrTb"/>
            <w:noWrap w:val="false"/>
          </w:tcPr>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（1）云端存储指标：提供一定数量相关会员账号。</w:t>
            </w:r>
            <w:r>
              <w:rPr>
                <w:rFonts w:hint="eastAsia" w:ascii="宋体" w:hAnsi="宋体" w:eastAsia="宋体" w:cs="宋体"/>
                <w:color w:val="000000"/>
                <w:sz w:val="21"/>
                <w:szCs w:val="21"/>
                <w:highlight w:val="none"/>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云文档空间具备不低于300GB/人的存储容量，还可以根据使用情况进行分配。</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支持提供公网云存储，可通过账号登录；</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支持外链分享、支持文档漫游，支持历史版本、全文检索等功能；</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支持文档实时跟踪与备份恢复；</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支持提供后台管理功能，文档统一把控。</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功能应用指标：支持PDF版式文件格式互转功能，可与Word、Excel、PPT格式文档相互转换。</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实时通讯能力，支持编辑在线智能文档格式时基于文档开启组织内成员的会话聊天，支持传统IM工具界面的一对一单聊会话和创建群聊会话；会话支持设置消息免打扰、聊天列表置顶等功能：提供可以共享协作的日历服务，可以将日历分享给其他人，其他人可以根据分享者配置的编辑、查看、仅查看忙闲权限，对于分享者的日历进行管理和查看。日程可以分享到聊天，选择参与人。</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支持会议功能，可基于文档发起会议功能，并邀请其他成员参与；支持单独创建会议，通过会议ID或者链接可进行在线会议，可提供云文档共享、屏幕共享多种内容共享方式。</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支持表单功能，可创建基础表单、考试、打卡、接龙等多种常用信息采集表，提供多种常用模板，并且支持链接、二维码、海报、微信、QQ等方式进行邀请填写，后台自动生成Excel表格和填报情况汇总。</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后台管理指标：提供文档安全管理能力，支持团队文档水印、团队文档加密保护、团队文档分享范围管控的能力。</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支持从AD域同步/钉钉同步/API同步的通讯录同步方式，同步账号信息源调整后可自动同步。</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b/>
                <w:bCs/>
                <w:color w:val="000000"/>
                <w:sz w:val="21"/>
                <w:szCs w:val="21"/>
                <w:highlight w:val="none"/>
                <w:lang w:eastAsia="zh-CN"/>
              </w:rPr>
            </w:r>
            <w:r/>
          </w:p>
          <w:p>
            <w:pPr>
              <w:pStyle w:val="737"/>
              <w:ind w:left="0"/>
              <w:jc w:val="both"/>
              <w:keepLines w:val="0"/>
              <w:keepNext w:val="0"/>
              <w:pageBreakBefore w:val="0"/>
              <w:spacing w:before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角色管理：根据不同的管理能力，创建不同角色，如日志管理员、组织架构管理员等情况，完成分权管理。</w:t>
            </w:r>
            <w:r>
              <w:rPr>
                <w:rFonts w:hint="eastAsia" w:ascii="宋体" w:hAnsi="宋体" w:eastAsia="宋体" w:cs="宋体"/>
                <w:b/>
                <w:bCs/>
                <w:color w:val="000000"/>
                <w:sz w:val="21"/>
                <w:szCs w:val="21"/>
                <w:highlight w:val="none"/>
                <w:lang w:eastAsia="zh-CN"/>
              </w:rPr>
              <w:t xml:space="preserve">（提供功能截图，上传系统）</w:t>
            </w:r>
            <w:r>
              <w:rPr>
                <w:rFonts w:hint="eastAsia" w:ascii="宋体" w:hAnsi="宋体" w:eastAsia="宋体" w:cs="宋体"/>
                <w:color w:val="000000"/>
                <w:sz w:val="21"/>
                <w:szCs w:val="21"/>
                <w:highlight w:val="none"/>
              </w:rPr>
            </w:r>
            <w:r/>
          </w:p>
        </w:tc>
      </w:tr>
    </w:tbl>
    <w:p>
      <w:pPr>
        <w:pStyle w:val="737"/>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软件</w:t>
      </w:r>
      <w:r>
        <w:rPr>
          <w:rFonts w:hint="eastAsia" w:ascii="宋体" w:hAnsi="宋体" w:eastAsia="宋体" w:cs="宋体"/>
          <w:b/>
          <w:bCs/>
          <w:color w:val="000000"/>
          <w:sz w:val="21"/>
          <w:szCs w:val="21"/>
          <w:highlight w:val="none"/>
          <w:lang w:val="en-US" w:eastAsia="zh-CN"/>
        </w:rPr>
        <w:t xml:space="preserve">正版授权</w:t>
      </w:r>
      <w:r>
        <w:rPr>
          <w:rFonts w:hint="eastAsia" w:ascii="宋体" w:hAnsi="宋体" w:eastAsia="宋体" w:cs="宋体"/>
          <w:b/>
          <w:bCs/>
          <w:color w:val="000000"/>
          <w:sz w:val="21"/>
          <w:szCs w:val="21"/>
          <w:highlight w:val="none"/>
          <w:lang w:val="en-US" w:eastAsia="zh-CN"/>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提供3年期限不限终端数量的场地授权，且授权版本需要包含Windows平台及国产化Linux平台；</w:t>
      </w:r>
      <w:r>
        <w:rPr>
          <w:rFonts w:hint="eastAsia" w:ascii="宋体" w:hAnsi="宋体" w:eastAsia="宋体" w:cs="宋体"/>
          <w:color w:val="000000"/>
          <w:sz w:val="21"/>
          <w:szCs w:val="21"/>
          <w:highlight w:val="none"/>
          <w:lang w:eastAsia="zh-CN"/>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eastAsia="zh-CN"/>
        </w:rPr>
        <w:t xml:space="preserve">提供原厂家纸质正版产品授权书，满足软件正版化及信创工作检查验收要求，并提供正版序列号或账号用于产品激活。</w:t>
      </w:r>
      <w:r>
        <w:rPr>
          <w:rFonts w:hint="eastAsia" w:ascii="宋体" w:hAnsi="宋体" w:eastAsia="宋体" w:cs="宋体"/>
          <w:color w:val="000000"/>
          <w:sz w:val="21"/>
          <w:szCs w:val="21"/>
          <w:highlight w:val="none"/>
          <w:lang w:eastAsia="zh-CN"/>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授权有效期</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自合同签订之日起三年。</w:t>
      </w:r>
      <w:r>
        <w:rPr>
          <w:rFonts w:hint="eastAsia" w:ascii="宋体" w:hAnsi="宋体" w:eastAsia="宋体" w:cs="宋体"/>
          <w:color w:val="000000"/>
          <w:sz w:val="21"/>
          <w:szCs w:val="21"/>
          <w:highlight w:val="none"/>
          <w:lang w:eastAsia="zh-CN"/>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软件正版化</w:t>
      </w:r>
      <w:r>
        <w:rPr>
          <w:rFonts w:hint="eastAsia" w:ascii="宋体" w:hAnsi="宋体" w:eastAsia="宋体" w:cs="宋体"/>
          <w:b/>
          <w:bCs/>
          <w:color w:val="000000"/>
          <w:sz w:val="21"/>
          <w:szCs w:val="21"/>
          <w:highlight w:val="none"/>
          <w:lang w:val="en-US" w:eastAsia="zh-CN"/>
        </w:rPr>
        <w:t xml:space="preserve">其他服务</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根据国版办发函〔2016〕13号《正版软件管理工作指南》的长效服务需求，服务内容包括并不限于：</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eastAsia="zh-CN"/>
        </w:rPr>
      </w:pPr>
      <w:r>
        <w:rPr>
          <w:rFonts w:hint="eastAsia" w:ascii="宋体" w:hAnsi="宋体" w:eastAsia="宋体" w:cs="宋体"/>
          <w:color w:val="000000"/>
          <w:sz w:val="21"/>
          <w:szCs w:val="21"/>
          <w:highlight w:val="none"/>
        </w:rPr>
        <w:t xml:space="preserve">1）提供正版软件免费协助安装服务以及正版软件厂商的原厂免费售后服务技术支持。</w:t>
      </w:r>
      <w:r>
        <w:rPr>
          <w:rFonts w:hint="eastAsia" w:ascii="宋体" w:hAnsi="宋体" w:eastAsia="宋体" w:cs="宋体"/>
          <w:i/>
          <w:iCs/>
          <w:color w:val="000000"/>
          <w:sz w:val="21"/>
          <w:szCs w:val="21"/>
          <w:highlight w:val="none"/>
          <w:u w:val="single"/>
        </w:rPr>
        <w:t xml:space="preserve">为了保证原厂售后服务支持的顺利实行，投标人中标后</w:t>
      </w:r>
      <w:r>
        <w:rPr>
          <w:rFonts w:hint="eastAsia" w:ascii="宋体" w:hAnsi="宋体" w:eastAsia="宋体" w:cs="宋体"/>
          <w:i/>
          <w:iCs/>
          <w:color w:val="000000"/>
          <w:sz w:val="21"/>
          <w:szCs w:val="21"/>
          <w:highlight w:val="none"/>
          <w:u w:val="single"/>
          <w:lang w:val="en-US" w:eastAsia="zh-CN"/>
        </w:rPr>
        <w:t xml:space="preserve">5个工作日内</w:t>
      </w:r>
      <w:r>
        <w:rPr>
          <w:rFonts w:hint="eastAsia" w:ascii="宋体" w:hAnsi="宋体" w:eastAsia="宋体" w:cs="宋体"/>
          <w:i/>
          <w:iCs/>
          <w:color w:val="000000"/>
          <w:sz w:val="21"/>
          <w:szCs w:val="21"/>
          <w:highlight w:val="none"/>
          <w:u w:val="single"/>
        </w:rPr>
        <w:t xml:space="preserve">提供所投软件产品原厂售后服务承诺函盖章原件。</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提供承诺函，格式自拟，</w:t>
      </w:r>
      <w:r>
        <w:rPr>
          <w:rFonts w:hint="eastAsia" w:ascii="宋体" w:hAnsi="宋体" w:cs="宋体"/>
          <w:i/>
          <w:iCs/>
          <w:color w:val="000000"/>
          <w:sz w:val="21"/>
          <w:szCs w:val="21"/>
          <w:highlight w:val="none"/>
          <w:u w:val="single"/>
          <w:lang w:val="en-US" w:eastAsia="zh-CN"/>
        </w:rPr>
        <w:t xml:space="preserve">扫描件</w:t>
      </w:r>
      <w:r>
        <w:rPr>
          <w:rFonts w:hint="eastAsia" w:ascii="宋体" w:hAnsi="宋体" w:eastAsia="宋体" w:cs="宋体"/>
          <w:i/>
          <w:iCs/>
          <w:color w:val="000000"/>
          <w:sz w:val="21"/>
          <w:szCs w:val="21"/>
          <w:highlight w:val="none"/>
          <w:u w:val="single"/>
          <w:lang w:val="en-US" w:eastAsia="zh-CN"/>
        </w:rPr>
        <w:t xml:space="preserve">系统上传</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国家版权局印发的《正版软件管理工作指南》、国家推进使用正版软件工作部际联席会议工作办公室最新要求，为江苏省苏北人民医院建立长期的软件正版化长效服务机制，对各部门各单位的正版软件进行归类、梳理、检查和复核。</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3）实时更新完善正版软件管理台账，协助江苏省苏北人民医院进行软件正版化预检、整理准备软件正版化工作年度检查所需材料，协助江苏省苏北人民医院顺利通过国家、省相关部门组织的软件正版化检查。</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帮助江苏省苏北人民医院开展软件正版化培训，培训内容包含且不限于为江苏省苏北人民医院提供辅助软件正版化工作相关的政策解读、正版化工作实务、正版软件管理及软件日常维护、正版软件的日常操作及功能使用、管理台账制度、正版软件管理服务系统等相关专业内容培训。</w:t>
      </w:r>
      <w:r>
        <w:rPr>
          <w:rFonts w:hint="eastAsia" w:ascii="宋体" w:hAnsi="宋体" w:eastAsia="宋体" w:cs="宋体"/>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项目团队组成服务要求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项目实施人员：</w:t>
      </w:r>
      <w:r>
        <w:rPr>
          <w:rFonts w:hint="eastAsia" w:ascii="宋体" w:hAnsi="宋体" w:eastAsia="宋体" w:cs="宋体"/>
          <w:i/>
          <w:iCs/>
          <w:color w:val="000000"/>
          <w:sz w:val="21"/>
          <w:szCs w:val="21"/>
          <w:highlight w:val="none"/>
          <w:u w:val="single"/>
          <w:lang w:val="en-US" w:eastAsia="zh-CN"/>
        </w:rPr>
        <w:t xml:space="preserve">投标人应</w:t>
      </w:r>
      <w:r>
        <w:rPr>
          <w:rFonts w:hint="eastAsia" w:ascii="宋体" w:hAnsi="宋体" w:eastAsia="宋体" w:cs="宋体"/>
          <w:i/>
          <w:iCs/>
          <w:color w:val="000000"/>
          <w:sz w:val="21"/>
          <w:szCs w:val="21"/>
          <w:highlight w:val="none"/>
          <w:u w:val="single"/>
        </w:rPr>
        <w:t xml:space="preserve">安排专业</w:t>
      </w:r>
      <w:r>
        <w:rPr>
          <w:rFonts w:hint="eastAsia" w:ascii="宋体" w:hAnsi="宋体" w:eastAsia="宋体" w:cs="宋体"/>
          <w:i/>
          <w:iCs/>
          <w:color w:val="000000"/>
          <w:sz w:val="21"/>
          <w:szCs w:val="21"/>
          <w:highlight w:val="none"/>
          <w:u w:val="single"/>
          <w:lang w:val="en-US" w:eastAsia="zh-CN"/>
        </w:rPr>
        <w:t xml:space="preserve">人员</w:t>
      </w:r>
      <w:r>
        <w:rPr>
          <w:rFonts w:hint="eastAsia" w:ascii="宋体" w:hAnsi="宋体" w:eastAsia="宋体" w:cs="宋体"/>
          <w:i/>
          <w:iCs/>
          <w:color w:val="000000"/>
          <w:sz w:val="21"/>
          <w:szCs w:val="21"/>
          <w:highlight w:val="none"/>
          <w:u w:val="single"/>
        </w:rPr>
        <w:t xml:space="preserve">在医院现场开展实施工作，建立健全保障项目顺利实施的各项管理制度和质量保证体系</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并</w:t>
      </w:r>
      <w:r>
        <w:rPr>
          <w:rFonts w:hint="eastAsia" w:ascii="宋体" w:hAnsi="宋体" w:eastAsia="宋体" w:cs="宋体"/>
          <w:i/>
          <w:iCs/>
          <w:color w:val="000000"/>
          <w:sz w:val="21"/>
          <w:szCs w:val="21"/>
          <w:highlight w:val="none"/>
          <w:u w:val="single"/>
          <w:lang w:val="en-US" w:eastAsia="zh-CN"/>
        </w:rPr>
        <w:t xml:space="preserve">委派一名具</w:t>
      </w:r>
      <w:r>
        <w:rPr>
          <w:rFonts w:hint="eastAsia" w:ascii="宋体" w:hAnsi="宋体" w:eastAsia="宋体" w:cs="宋体"/>
          <w:i/>
          <w:iCs/>
          <w:color w:val="000000"/>
          <w:sz w:val="21"/>
          <w:szCs w:val="21"/>
          <w:highlight w:val="none"/>
          <w:u w:val="single"/>
        </w:rPr>
        <w:t xml:space="preserve">有类似项目经验的</w:t>
      </w:r>
      <w:r>
        <w:rPr>
          <w:rFonts w:hint="eastAsia" w:ascii="宋体" w:hAnsi="宋体" w:eastAsia="宋体" w:cs="宋体"/>
          <w:i/>
          <w:iCs/>
          <w:color w:val="000000"/>
          <w:sz w:val="21"/>
          <w:szCs w:val="21"/>
          <w:highlight w:val="none"/>
          <w:u w:val="single"/>
          <w:lang w:val="en-US" w:eastAsia="zh-CN"/>
        </w:rPr>
        <w:t xml:space="preserve">负责人</w:t>
      </w:r>
      <w:r>
        <w:rPr>
          <w:rFonts w:hint="eastAsia" w:ascii="宋体" w:hAnsi="宋体" w:eastAsia="宋体" w:cs="宋体"/>
          <w:i/>
          <w:iCs/>
          <w:color w:val="000000"/>
          <w:sz w:val="21"/>
          <w:szCs w:val="21"/>
          <w:highlight w:val="none"/>
          <w:u w:val="single"/>
        </w:rPr>
        <w:t xml:space="preserve">在现场进行项目管理与推进；（提供拟投入人员一览表，格式见第六章，</w:t>
      </w:r>
      <w:r>
        <w:rPr>
          <w:rFonts w:hint="eastAsia" w:ascii="宋体" w:hAnsi="宋体" w:cs="宋体"/>
          <w:i/>
          <w:iCs/>
          <w:color w:val="000000"/>
          <w:sz w:val="21"/>
          <w:szCs w:val="21"/>
          <w:highlight w:val="none"/>
          <w:u w:val="single"/>
          <w:lang w:val="en-US" w:eastAsia="zh-CN"/>
        </w:rPr>
        <w:t xml:space="preserve">扫描件</w:t>
      </w:r>
      <w:r>
        <w:rPr>
          <w:rFonts w:hint="eastAsia" w:ascii="宋体" w:hAnsi="宋体" w:eastAsia="宋体" w:cs="宋体"/>
          <w:i/>
          <w:iCs/>
          <w:color w:val="000000"/>
          <w:sz w:val="21"/>
          <w:szCs w:val="21"/>
          <w:highlight w:val="none"/>
          <w:u w:val="single"/>
        </w:rPr>
        <w:t xml:space="preserve">系统上传）</w:t>
      </w:r>
      <w:r>
        <w:rPr>
          <w:rFonts w:hint="eastAsia" w:ascii="宋体" w:hAnsi="宋体" w:eastAsia="宋体" w:cs="宋体"/>
          <w:color w:val="000000"/>
          <w:sz w:val="21"/>
          <w:szCs w:val="21"/>
          <w:highlight w:val="none"/>
          <w:u w:val="singl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按照项目实施的要求，对项目的实施、服务、体系建设、培训进行全过程跟踪，所有参与项目的技术人员须提供近一年内任意一个月缴纳社保证明。</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项目管理与上线支持人员：软件部署期间，中标人应提供项目管理与上线支持人员。上线后免费运维期间，中标人</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提供现场运维人员。</w:t>
      </w:r>
      <w:r>
        <w:rPr>
          <w:rFonts w:hint="eastAsia" w:ascii="宋体" w:hAnsi="宋体" w:eastAsia="宋体" w:cs="宋体"/>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培训工作服务要求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要求提供系统的软件使用和软件正版化相关培训，制定详细的培训计划及实施方案。</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培训人员应当具备软件正版化工作的专业技能，有一定的教学经验。</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培训形式：对使用人进行集中和分散培训等多种形式。</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t xml:space="preserve">培训内容包含且不限于为江苏省苏北人民医院提供辅助软件正版化工作相关的政策解读、正版化工作实务、正版软件管理及软件日常维护、正版软件的日常操作及功能使用、管理台账制度、正版软件管理服务系统等相关专业内容培训。</w:t>
      </w:r>
      <w:r>
        <w:rPr>
          <w:rFonts w:hint="eastAsia" w:ascii="宋体" w:hAnsi="宋体" w:eastAsia="宋体" w:cs="宋体"/>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文档资料管理</w:t>
      </w:r>
      <w:r>
        <w:rPr>
          <w:rFonts w:hint="eastAsia" w:ascii="宋体" w:hAnsi="宋体" w:eastAsia="宋体" w:cs="宋体"/>
          <w:b/>
          <w:bCs/>
          <w:color w:val="000000"/>
          <w:sz w:val="21"/>
          <w:szCs w:val="21"/>
          <w:highlight w:val="none"/>
          <w:lang w:eastAsia="zh-CN"/>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文档是保证项目实施连贯性的重要保证，</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需提供完善的文档，并对项目进行过程中的文档进行有效的管理，接受采购人对项目各阶段评估分析和监督管理。</w:t>
      </w:r>
      <w:r>
        <w:rPr>
          <w:rFonts w:hint="eastAsia" w:ascii="宋体" w:hAnsi="宋体" w:eastAsia="宋体" w:cs="宋体"/>
          <w:color w:val="000000"/>
          <w:sz w:val="21"/>
          <w:szCs w:val="21"/>
          <w:highlight w:val="none"/>
          <w:lang w:eastAsia="zh-CN"/>
        </w:rPr>
      </w:r>
      <w:r/>
    </w:p>
    <w:p>
      <w:pPr>
        <w:pStyle w:val="737"/>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、商务要求</w:t>
      </w:r>
      <w:r>
        <w:rPr>
          <w:rFonts w:hint="eastAsia" w:ascii="宋体" w:hAnsi="宋体" w:eastAsia="宋体" w:cs="宋体"/>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项目管理与实施要求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投标人应具有健全的项目管理制度和流程，以及合格的项目实施人员，对系统建设进行全过程质量管理，确保项目实施的顺利。</w:t>
      </w:r>
      <w:r>
        <w:rPr>
          <w:rFonts w:hint="eastAsia" w:ascii="宋体" w:hAnsi="宋体" w:eastAsia="宋体" w:cs="宋体"/>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付款方式</w:t>
      </w:r>
      <w:r>
        <w:rPr>
          <w:rFonts w:hint="eastAsia" w:ascii="宋体" w:hAnsi="宋体" w:eastAsia="宋体" w:cs="宋体"/>
          <w:b/>
          <w:bCs/>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授权有效期：自合同签订之日起三年。</w:t>
      </w:r>
      <w:r>
        <w:rPr>
          <w:u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合同签订后，投标人向采购人开具发票，</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自收到发票之日起10个工作日内支付合同总价30%的预付款；</w:t>
      </w:r>
      <w:r>
        <w:rPr>
          <w:u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软件</w:t>
      </w:r>
      <w:r>
        <w:rPr>
          <w:rFonts w:hint="eastAsia" w:ascii="宋体" w:hAnsi="宋体" w:eastAsia="宋体" w:cs="宋体"/>
          <w:color w:val="000000"/>
          <w:sz w:val="21"/>
          <w:szCs w:val="21"/>
          <w:highlight w:val="none"/>
          <w:u w:val="none"/>
        </w:rPr>
        <w:t xml:space="preserve">完成安装</w:t>
      </w:r>
      <w:r>
        <w:rPr>
          <w:rFonts w:hint="eastAsia" w:ascii="宋体" w:hAnsi="宋体" w:eastAsia="宋体" w:cs="宋体"/>
          <w:color w:val="000000"/>
          <w:sz w:val="21"/>
          <w:szCs w:val="21"/>
          <w:highlight w:val="none"/>
          <w:u w:val="none"/>
          <w:lang w:val="en-US" w:eastAsia="zh-CN"/>
        </w:rPr>
        <w:t xml:space="preserve">并通过相关部门组织的软件正版化正式检查后</w:t>
      </w:r>
      <w:r>
        <w:rPr>
          <w:rFonts w:hint="eastAsia" w:ascii="宋体" w:hAnsi="宋体" w:eastAsia="宋体" w:cs="宋体"/>
          <w:color w:val="000000"/>
          <w:sz w:val="21"/>
          <w:szCs w:val="21"/>
          <w:highlight w:val="none"/>
          <w:u w:val="none"/>
        </w:rPr>
        <w:t xml:space="preserve">，投标人向</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开具发票，</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自收到发票之日起10个工作日内支付合同总价的</w:t>
      </w:r>
      <w:r>
        <w:rPr>
          <w:rFonts w:hint="eastAsia" w:ascii="宋体" w:hAnsi="宋体" w:eastAsia="宋体" w:cs="宋体"/>
          <w:color w:val="000000"/>
          <w:sz w:val="21"/>
          <w:szCs w:val="21"/>
          <w:highlight w:val="none"/>
          <w:u w:val="none"/>
          <w:lang w:val="en-US" w:eastAsia="zh-CN"/>
        </w:rPr>
        <w:t xml:space="preserve">60</w:t>
      </w:r>
      <w:r>
        <w:rPr>
          <w:rFonts w:hint="eastAsia" w:ascii="宋体" w:hAnsi="宋体" w:eastAsia="宋体" w:cs="宋体"/>
          <w:color w:val="000000"/>
          <w:sz w:val="21"/>
          <w:szCs w:val="21"/>
          <w:highlight w:val="none"/>
          <w:u w:val="none"/>
        </w:rPr>
        <w:t xml:space="preserve">%。</w:t>
      </w:r>
      <w:r>
        <w:rPr>
          <w:u w:val="none"/>
        </w:rPr>
      </w:r>
      <w:r/>
    </w:p>
    <w:p>
      <w:pPr>
        <w:pStyle w:val="737"/>
        <w:ind w:firstLine="420"/>
        <w:keepLines w:val="0"/>
        <w:keepNext w:val="0"/>
        <w:pageBreakBefore w:val="0"/>
        <w:spacing w:line="360" w:lineRule="auto"/>
        <w:widowControl w:val="off"/>
        <w:rPr>
          <w:rFonts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授权期</w:t>
      </w:r>
      <w:r>
        <w:rPr>
          <w:rFonts w:hint="eastAsia" w:ascii="宋体" w:hAnsi="宋体" w:cs="宋体"/>
          <w:color w:val="000000"/>
          <w:sz w:val="21"/>
          <w:szCs w:val="21"/>
          <w:highlight w:val="none"/>
          <w:u w:val="none"/>
          <w:lang w:val="en-US" w:eastAsia="zh-CN"/>
        </w:rPr>
        <w:t xml:space="preserve">第2年，投标人</w:t>
      </w:r>
      <w:r>
        <w:rPr>
          <w:rFonts w:hint="eastAsia" w:ascii="宋体" w:hAnsi="宋体" w:eastAsia="宋体" w:cs="宋体"/>
          <w:color w:val="000000"/>
          <w:sz w:val="21"/>
          <w:szCs w:val="21"/>
          <w:highlight w:val="none"/>
          <w:u w:val="none"/>
        </w:rPr>
        <w:t xml:space="preserve">向</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开具发票，</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自收到发票之日起10个工作日内支付合同总价的</w:t>
      </w:r>
      <w:r>
        <w:rPr>
          <w:rFonts w:hint="eastAsia" w:ascii="宋体" w:hAnsi="宋体" w:cs="宋体"/>
          <w:color w:val="000000"/>
          <w:sz w:val="21"/>
          <w:szCs w:val="21"/>
          <w:highlight w:val="none"/>
          <w:u w:val="none"/>
          <w:lang w:val="en-US" w:eastAsia="zh-CN"/>
        </w:rPr>
        <w:t xml:space="preserve">5%。</w:t>
      </w:r>
      <w:r>
        <w:rPr>
          <w:u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授权期结束后</w:t>
      </w:r>
      <w:r>
        <w:rPr>
          <w:rFonts w:hint="eastAsia" w:ascii="宋体" w:hAnsi="宋体" w:eastAsia="宋体" w:cs="宋体"/>
          <w:color w:val="000000"/>
          <w:sz w:val="21"/>
          <w:szCs w:val="21"/>
          <w:highlight w:val="none"/>
          <w:u w:val="none"/>
        </w:rPr>
        <w:t xml:space="preserve">，投标人向</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开具发票，</w:t>
      </w:r>
      <w:r>
        <w:rPr>
          <w:rFonts w:hint="eastAsia" w:ascii="宋体" w:hAnsi="宋体" w:eastAsia="宋体" w:cs="宋体"/>
          <w:color w:val="000000"/>
          <w:sz w:val="21"/>
          <w:szCs w:val="21"/>
          <w:highlight w:val="none"/>
          <w:u w:val="none"/>
        </w:rPr>
        <w:t xml:space="preserve">采购人</w:t>
      </w:r>
      <w:r>
        <w:rPr>
          <w:rFonts w:hint="eastAsia" w:ascii="宋体" w:hAnsi="宋体" w:eastAsia="宋体" w:cs="宋体"/>
          <w:color w:val="000000"/>
          <w:sz w:val="21"/>
          <w:szCs w:val="21"/>
          <w:highlight w:val="none"/>
          <w:u w:val="none"/>
        </w:rPr>
        <w:t xml:space="preserve">自收到发票之日起10个工作日内支付合同总价的</w:t>
      </w:r>
      <w:r>
        <w:rPr>
          <w:rFonts w:hint="eastAsia" w:ascii="宋体" w:hAnsi="宋体" w:eastAsia="宋体" w:cs="宋体"/>
          <w:color w:val="000000"/>
          <w:sz w:val="21"/>
          <w:szCs w:val="21"/>
          <w:highlight w:val="none"/>
          <w:u w:val="none"/>
          <w:lang w:val="en-US" w:eastAsia="zh-CN"/>
        </w:rPr>
        <w:t xml:space="preserve">5</w:t>
      </w:r>
      <w:r>
        <w:rPr>
          <w:rFonts w:hint="eastAsia" w:ascii="宋体" w:hAnsi="宋体" w:eastAsia="宋体" w:cs="宋体"/>
          <w:color w:val="000000"/>
          <w:sz w:val="21"/>
          <w:szCs w:val="21"/>
          <w:highlight w:val="none"/>
          <w:u w:val="none"/>
        </w:rPr>
        <w:t xml:space="preserve">%。</w:t>
      </w:r>
      <w:r>
        <w:rPr>
          <w:u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验收标准及方式</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产品交付前，</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应对产品进行全面自检，符合</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要求的交付条件后，由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发起验收申请，</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评估后组织验收。</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3.2在</w:t>
      </w:r>
      <w:r>
        <w:rPr>
          <w:rFonts w:hint="eastAsia" w:ascii="宋体" w:hAnsi="宋体" w:eastAsia="宋体" w:cs="宋体"/>
          <w:color w:val="000000"/>
          <w:sz w:val="21"/>
          <w:szCs w:val="21"/>
          <w:highlight w:val="none"/>
        </w:rPr>
        <w:t xml:space="preserve">产品交付时</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应对所提供的产品出具国家标准规定的产品合格证或国家认可的行业标准规定的产品合格证。</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3.3采购人</w:t>
      </w:r>
      <w:r>
        <w:rPr>
          <w:rFonts w:hint="eastAsia" w:ascii="宋体" w:hAnsi="宋体" w:eastAsia="宋体" w:cs="宋体"/>
          <w:color w:val="000000"/>
          <w:sz w:val="21"/>
          <w:szCs w:val="21"/>
          <w:highlight w:val="none"/>
        </w:rPr>
        <w:t xml:space="preserve">在交货前有权对</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提供的产品、技术、服务提出异议，并采取相关措施确保质量合格。</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3.4中标人</w:t>
      </w:r>
      <w:r>
        <w:rPr>
          <w:rFonts w:hint="eastAsia" w:ascii="宋体" w:hAnsi="宋体" w:eastAsia="宋体" w:cs="宋体"/>
          <w:color w:val="000000"/>
          <w:sz w:val="21"/>
          <w:szCs w:val="21"/>
          <w:highlight w:val="none"/>
        </w:rPr>
        <w:t xml:space="preserve">协助</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通过2024年省级正版化检查，具体组织程序、验收标准和方法，按甲方规定程序执行，</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配合。</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产品验收不合格，</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有权拒收和解除采购合同，由此造成的损失，由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承担。验收过程中，</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可有1次整改机会，若未通过，</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有权解除合同并追回已支付款项。</w:t>
      </w:r>
      <w:r>
        <w:rPr>
          <w:rFonts w:hint="eastAsia" w:ascii="宋体" w:hAnsi="宋体" w:eastAsia="宋体" w:cs="宋体"/>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4、软件支持与</w:t>
      </w:r>
      <w:r>
        <w:rPr>
          <w:rFonts w:hint="eastAsia" w:ascii="宋体" w:hAnsi="宋体" w:eastAsia="宋体" w:cs="宋体"/>
          <w:b/>
          <w:bCs/>
          <w:color w:val="000000"/>
          <w:sz w:val="21"/>
          <w:szCs w:val="21"/>
          <w:highlight w:val="none"/>
        </w:rPr>
        <w:t xml:space="preserve">售后</w:t>
      </w:r>
      <w:r>
        <w:rPr>
          <w:rFonts w:hint="eastAsia" w:ascii="宋体" w:hAnsi="宋体" w:eastAsia="宋体" w:cs="宋体"/>
          <w:b/>
          <w:bCs/>
          <w:color w:val="000000"/>
          <w:sz w:val="21"/>
          <w:szCs w:val="21"/>
          <w:highlight w:val="none"/>
          <w:lang w:val="en-US" w:eastAsia="zh-CN"/>
        </w:rPr>
        <w:t xml:space="preserve">维护</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lang w:val="en-US" w:eastAsia="zh-CN"/>
        </w:rPr>
        <w:t xml:space="preserve">4.1</w:t>
      </w:r>
      <w:r>
        <w:rPr>
          <w:rFonts w:hint="eastAsia" w:ascii="宋体" w:hAnsi="宋体" w:eastAsia="宋体" w:cs="宋体"/>
          <w:strike w:val="0"/>
          <w:color w:val="000000"/>
          <w:sz w:val="21"/>
          <w:szCs w:val="21"/>
          <w:highlight w:val="none"/>
        </w:rPr>
        <w:t xml:space="preserve">中标人应该提供各类技术人员的职责与联系方式，方便用户与相关人员的沟通，协助制定系统的操作规范。</w:t>
      </w:r>
      <w:r>
        <w:rPr>
          <w:rFonts w:hint="eastAsia" w:ascii="宋体" w:hAnsi="宋体" w:eastAsia="宋体" w:cs="宋体"/>
          <w:strike w:val="0"/>
          <w:color w:val="000000"/>
          <w:sz w:val="21"/>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维保：自合同签订之日起算，授权有效期三年，授权有效期内免费提供维保服务。</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color w:val="000000"/>
          <w:sz w:val="21"/>
          <w:szCs w:val="21"/>
          <w:highlight w:val="none"/>
        </w:rPr>
      </w:pPr>
      <w:r>
        <w:rPr>
          <w:rFonts w:hint="eastAsia" w:ascii="宋体" w:hAnsi="宋体" w:eastAsia="宋体" w:cs="宋体"/>
          <w:color w:val="000000"/>
          <w:sz w:val="21"/>
          <w:szCs w:val="21"/>
          <w:highlight w:val="none"/>
          <w:lang w:val="en-US" w:eastAsia="zh-CN"/>
        </w:rPr>
        <w:t xml:space="preserve">4.3投标人</w:t>
      </w:r>
      <w:r>
        <w:rPr>
          <w:rFonts w:hint="eastAsia" w:ascii="宋体" w:hAnsi="宋体" w:eastAsia="宋体" w:cs="宋体"/>
          <w:color w:val="000000"/>
          <w:sz w:val="21"/>
          <w:szCs w:val="21"/>
          <w:highlight w:val="none"/>
        </w:rPr>
        <w:t xml:space="preserve">须提供该产品的技术培训、技术支持和维修巡检服务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trike/>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t xml:space="preserve">产品授权有效期内，应免费提供系统扩充、升级方面的技术支持服务。</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中标人应该在项目的实施过程中提供软件支持的服务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包括但不限于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对影响到系统平稳作业以及应用模块操作使用的问题解答与分析，并提出解决方案；</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对所有的维护活动进行记录，并形成规范的文档，例如记录时间、地点、原因等，最后还要注明完成的时间和人员；</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投标人提供7*24小时服务，2小时内远程响应，4小时内故障解决。</w:t>
      </w:r>
      <w:r>
        <w:rPr>
          <w:rFonts w:hint="eastAsia" w:ascii="宋体" w:hAnsi="宋体" w:eastAsia="宋体" w:cs="宋体"/>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知识产权要求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i/>
          <w:iCs/>
          <w:color w:val="000000"/>
          <w:sz w:val="21"/>
          <w:szCs w:val="21"/>
          <w:highlight w:val="none"/>
          <w:u w:val="single"/>
          <w:lang w:val="en-US" w:eastAsia="zh-CN"/>
        </w:rPr>
        <w:t xml:space="preserve">投标人</w:t>
      </w:r>
      <w:r>
        <w:rPr>
          <w:rFonts w:hint="eastAsia" w:ascii="宋体" w:hAnsi="宋体" w:eastAsia="宋体" w:cs="宋体"/>
          <w:i/>
          <w:iCs/>
          <w:color w:val="000000"/>
          <w:sz w:val="21"/>
          <w:szCs w:val="21"/>
          <w:highlight w:val="none"/>
          <w:u w:val="single"/>
        </w:rPr>
        <w:t xml:space="preserve">应保证</w:t>
      </w:r>
      <w:r>
        <w:rPr>
          <w:rFonts w:hint="eastAsia" w:ascii="宋体" w:hAnsi="宋体" w:eastAsia="宋体" w:cs="宋体"/>
          <w:i/>
          <w:iCs/>
          <w:color w:val="000000"/>
          <w:sz w:val="21"/>
          <w:szCs w:val="21"/>
          <w:highlight w:val="none"/>
          <w:u w:val="single"/>
          <w:lang w:val="en-US" w:eastAsia="zh-CN"/>
        </w:rPr>
        <w:t xml:space="preserve">采购人</w:t>
      </w:r>
      <w:r>
        <w:rPr>
          <w:rFonts w:hint="eastAsia" w:ascii="宋体" w:hAnsi="宋体" w:eastAsia="宋体" w:cs="宋体"/>
          <w:i/>
          <w:iCs/>
          <w:color w:val="000000"/>
          <w:sz w:val="21"/>
          <w:szCs w:val="21"/>
          <w:highlight w:val="none"/>
          <w:u w:val="single"/>
        </w:rPr>
        <w:t xml:space="preserve">在使用该产品或其任何一部分时，不受第三方提出侵犯其专利权、商标权和工业设计权的起诉，</w:t>
      </w:r>
      <w:r>
        <w:rPr>
          <w:rFonts w:hint="eastAsia" w:ascii="宋体" w:hAnsi="宋体" w:eastAsia="宋体" w:cs="宋体"/>
          <w:i/>
          <w:iCs/>
          <w:color w:val="000000"/>
          <w:sz w:val="21"/>
          <w:szCs w:val="21"/>
          <w:highlight w:val="none"/>
          <w:u w:val="single"/>
          <w:lang w:val="en-US" w:eastAsia="zh-CN"/>
        </w:rPr>
        <w:t xml:space="preserve">采购人</w:t>
      </w:r>
      <w:r>
        <w:rPr>
          <w:rFonts w:hint="eastAsia" w:ascii="宋体" w:hAnsi="宋体" w:eastAsia="宋体" w:cs="宋体"/>
          <w:i/>
          <w:iCs/>
          <w:color w:val="000000"/>
          <w:sz w:val="21"/>
          <w:szCs w:val="21"/>
          <w:highlight w:val="none"/>
          <w:u w:val="single"/>
        </w:rPr>
        <w:t xml:space="preserve">不承担任何连带责任和赔偿责任。该项目涉及的技术、知识产权、源代码知识产权双方共享，编译发包由</w:t>
      </w:r>
      <w:r>
        <w:rPr>
          <w:rFonts w:hint="eastAsia" w:ascii="宋体" w:hAnsi="宋体" w:eastAsia="宋体" w:cs="宋体"/>
          <w:i/>
          <w:iCs/>
          <w:color w:val="000000"/>
          <w:sz w:val="21"/>
          <w:szCs w:val="21"/>
          <w:highlight w:val="none"/>
          <w:u w:val="single"/>
          <w:lang w:val="en-US" w:eastAsia="zh-CN"/>
        </w:rPr>
        <w:t xml:space="preserve">采购人</w:t>
      </w:r>
      <w:r>
        <w:rPr>
          <w:rFonts w:hint="eastAsia" w:ascii="宋体" w:hAnsi="宋体" w:eastAsia="宋体" w:cs="宋体"/>
          <w:i/>
          <w:iCs/>
          <w:color w:val="000000"/>
          <w:sz w:val="21"/>
          <w:szCs w:val="21"/>
          <w:highlight w:val="none"/>
          <w:u w:val="single"/>
        </w:rPr>
        <w:t xml:space="preserve">完成。</w:t>
      </w:r>
      <w:r>
        <w:rPr>
          <w:rFonts w:hint="eastAsia" w:ascii="宋体" w:hAnsi="宋体" w:eastAsia="宋体" w:cs="宋体"/>
          <w:b/>
          <w:bCs/>
          <w:i/>
          <w:iCs/>
          <w:color w:val="000000"/>
          <w:sz w:val="21"/>
          <w:szCs w:val="21"/>
          <w:highlight w:val="none"/>
          <w:u w:val="single"/>
        </w:rPr>
        <w:t xml:space="preserve">（提供对应承诺书</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格式自拟，</w:t>
      </w:r>
      <w:r>
        <w:rPr>
          <w:rFonts w:hint="eastAsia" w:ascii="宋体" w:hAnsi="宋体" w:cs="宋体"/>
          <w:b/>
          <w:bCs/>
          <w:i/>
          <w:iCs/>
          <w:color w:val="000000"/>
          <w:sz w:val="21"/>
          <w:szCs w:val="21"/>
          <w:highlight w:val="none"/>
          <w:u w:val="single"/>
          <w:lang w:val="en-US" w:eastAsia="zh-CN"/>
        </w:rPr>
        <w:t xml:space="preserve">扫描件</w:t>
      </w:r>
      <w:r>
        <w:rPr>
          <w:rFonts w:hint="eastAsia" w:ascii="宋体" w:hAnsi="宋体" w:eastAsia="宋体" w:cs="宋体"/>
          <w:b/>
          <w:bCs/>
          <w:i/>
          <w:iCs/>
          <w:color w:val="000000"/>
          <w:sz w:val="21"/>
          <w:szCs w:val="21"/>
          <w:highlight w:val="none"/>
          <w:u w:val="single"/>
          <w:lang w:val="en-US" w:eastAsia="zh-CN"/>
        </w:rPr>
        <w:t xml:space="preserve">系统上传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保密要求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i/>
          <w:iCs/>
          <w:color w:val="000000"/>
          <w:sz w:val="21"/>
          <w:szCs w:val="21"/>
          <w:highlight w:val="none"/>
          <w:u w:val="single"/>
          <w:lang w:val="en-US" w:eastAsia="zh-CN"/>
        </w:rPr>
        <w:t xml:space="preserve">投标人</w:t>
      </w:r>
      <w:r>
        <w:rPr>
          <w:rFonts w:hint="eastAsia" w:ascii="宋体" w:hAnsi="宋体" w:eastAsia="宋体" w:cs="宋体"/>
          <w:i/>
          <w:iCs/>
          <w:color w:val="000000"/>
          <w:sz w:val="21"/>
          <w:szCs w:val="21"/>
          <w:highlight w:val="none"/>
          <w:u w:val="single"/>
        </w:rPr>
        <w:t xml:space="preserve">不得向第三方泄露采购机构提供的技术文件等资料。</w:t>
      </w:r>
      <w:r>
        <w:rPr>
          <w:rFonts w:hint="eastAsia" w:ascii="宋体" w:hAnsi="宋体" w:eastAsia="宋体" w:cs="宋体"/>
          <w:b/>
          <w:bCs/>
          <w:i/>
          <w:iCs/>
          <w:color w:val="000000"/>
          <w:sz w:val="21"/>
          <w:szCs w:val="21"/>
          <w:highlight w:val="none"/>
          <w:u w:val="single"/>
        </w:rPr>
        <w:t xml:space="preserve">（提供对应承诺书</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格式自拟，</w:t>
      </w:r>
      <w:r>
        <w:rPr>
          <w:rFonts w:hint="eastAsia" w:ascii="宋体" w:hAnsi="宋体" w:cs="宋体"/>
          <w:b/>
          <w:bCs/>
          <w:i/>
          <w:iCs/>
          <w:color w:val="000000"/>
          <w:sz w:val="21"/>
          <w:szCs w:val="21"/>
          <w:highlight w:val="none"/>
          <w:u w:val="single"/>
          <w:lang w:val="en-US" w:eastAsia="zh-CN"/>
        </w:rPr>
        <w:t xml:space="preserve">扫描件</w:t>
      </w:r>
      <w:r>
        <w:rPr>
          <w:rFonts w:hint="eastAsia" w:ascii="宋体" w:hAnsi="宋体" w:eastAsia="宋体" w:cs="宋体"/>
          <w:b/>
          <w:bCs/>
          <w:i/>
          <w:iCs/>
          <w:color w:val="000000"/>
          <w:sz w:val="21"/>
          <w:szCs w:val="21"/>
          <w:highlight w:val="none"/>
          <w:u w:val="single"/>
          <w:lang w:val="en-US" w:eastAsia="zh-CN"/>
        </w:rPr>
        <w:t xml:space="preserve">系统上传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color w:val="000000"/>
          <w:sz w:val="21"/>
          <w:szCs w:val="21"/>
          <w:highlight w:val="none"/>
        </w:rPr>
      </w:r>
      <w:r/>
    </w:p>
    <w:p>
      <w:pPr>
        <w:pStyle w:val="737"/>
        <w:ind w:left="0" w:firstLine="422"/>
        <w:keepLines w:val="0"/>
        <w:keepNext w:val="0"/>
        <w:pageBreakBefore w:val="0"/>
        <w:spacing w:line="360" w:lineRule="auto"/>
        <w:widowControl w:val="off"/>
        <w:rPr>
          <w:rFonts w:hint="eastAsia" w:ascii="宋体" w:hAnsi="宋体" w:eastAsia="宋体" w:cs="宋体"/>
          <w:b/>
          <w:strike w:val="0"/>
          <w:color w:val="000000"/>
          <w:sz w:val="21"/>
          <w:szCs w:val="21"/>
          <w:highlight w:val="none"/>
        </w:rPr>
      </w:pPr>
      <w:r>
        <w:rPr>
          <w:rFonts w:hint="eastAsia" w:ascii="宋体" w:hAnsi="宋体" w:eastAsia="宋体" w:cs="宋体"/>
          <w:b/>
          <w:strike w:val="0"/>
          <w:color w:val="000000"/>
          <w:sz w:val="21"/>
          <w:szCs w:val="21"/>
          <w:highlight w:val="none"/>
          <w:lang w:val="en-US" w:eastAsia="zh-CN"/>
        </w:rPr>
        <w:t xml:space="preserve">五</w:t>
      </w:r>
      <w:r>
        <w:rPr>
          <w:rFonts w:hint="eastAsia" w:ascii="宋体" w:hAnsi="宋体" w:eastAsia="宋体" w:cs="宋体"/>
          <w:b/>
          <w:strike w:val="0"/>
          <w:color w:val="000000"/>
          <w:sz w:val="21"/>
          <w:szCs w:val="21"/>
          <w:highlight w:val="none"/>
        </w:rPr>
        <w:t xml:space="preserve">、其他要求</w:t>
      </w:r>
      <w:r>
        <w:rPr>
          <w:rFonts w:hint="eastAsia" w:ascii="宋体" w:hAnsi="宋体" w:eastAsia="宋体" w:cs="宋体"/>
          <w:b/>
          <w:strike w:val="0"/>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strike w:val="0"/>
          <w:color w:val="000000"/>
          <w:sz w:val="21"/>
          <w:szCs w:val="21"/>
          <w:highlight w:val="none"/>
        </w:rPr>
      </w:pPr>
      <w:r>
        <w:rPr>
          <w:rFonts w:hint="eastAsia" w:ascii="宋体" w:hAnsi="宋体" w:eastAsia="宋体" w:cs="宋体"/>
          <w:b/>
          <w:bCs/>
          <w:strike w:val="0"/>
          <w:color w:val="000000"/>
          <w:sz w:val="21"/>
          <w:szCs w:val="21"/>
          <w:highlight w:val="none"/>
          <w:lang w:val="en-US" w:eastAsia="zh-CN"/>
        </w:rPr>
        <w:t xml:space="preserve">1、方案</w:t>
      </w:r>
      <w:r>
        <w:rPr>
          <w:rFonts w:hint="eastAsia" w:ascii="宋体" w:hAnsi="宋体" w:eastAsia="宋体" w:cs="宋体"/>
          <w:b/>
          <w:bCs/>
          <w:strike w:val="0"/>
          <w:color w:val="000000"/>
          <w:sz w:val="21"/>
          <w:szCs w:val="21"/>
          <w:highlight w:val="none"/>
        </w:rPr>
        <w:t xml:space="preserve">要求</w:t>
      </w:r>
      <w:r>
        <w:rPr>
          <w:rFonts w:hint="eastAsia" w:ascii="宋体" w:hAnsi="宋体" w:eastAsia="宋体" w:cs="宋体"/>
          <w:b/>
          <w:bCs/>
          <w:strike w:val="0"/>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lang w:val="en-US" w:eastAsia="zh-CN"/>
        </w:rPr>
        <w:t xml:space="preserve">1.1</w:t>
      </w:r>
      <w:r>
        <w:rPr>
          <w:rFonts w:hint="eastAsia" w:ascii="宋体" w:hAnsi="宋体" w:eastAsia="宋体" w:cs="宋体"/>
          <w:strike w:val="0"/>
          <w:color w:val="000000"/>
          <w:sz w:val="21"/>
          <w:szCs w:val="21"/>
          <w:highlight w:val="none"/>
        </w:rPr>
        <w:t xml:space="preserve">投标人应提供项目总体实施方案，包括但不限于（1）项目组织保障、（2）项目实施计划、（3）项目实施关键要素分析。</w:t>
      </w:r>
      <w:r>
        <w:rPr>
          <w:rFonts w:hint="eastAsia" w:ascii="宋体" w:hAnsi="宋体" w:eastAsia="宋体" w:cs="宋体"/>
          <w:strike w:val="0"/>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lang w:val="en-US" w:eastAsia="zh-CN"/>
        </w:rPr>
        <w:t xml:space="preserve">1.2</w:t>
      </w:r>
      <w:r>
        <w:rPr>
          <w:rFonts w:hint="eastAsia" w:ascii="宋体" w:hAnsi="宋体" w:eastAsia="宋体" w:cs="宋体"/>
          <w:strike w:val="0"/>
          <w:color w:val="000000"/>
          <w:sz w:val="21"/>
          <w:szCs w:val="21"/>
          <w:highlight w:val="none"/>
        </w:rPr>
        <w:t xml:space="preserve">投标人应提供项目质量管理方案，包括但不限于（1）项目质量保障措施（2）系统安全保障措施、（3）项目风险和控制措施、（4）数据安全保障措施、（5）运行维护保障措施。</w:t>
      </w:r>
      <w:r>
        <w:rPr>
          <w:rFonts w:hint="eastAsia" w:ascii="宋体" w:hAnsi="宋体" w:eastAsia="宋体" w:cs="宋体"/>
          <w:strike w:val="0"/>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lang w:val="en-US" w:eastAsia="zh-CN"/>
        </w:rPr>
        <w:t xml:space="preserve">1.3</w:t>
      </w:r>
      <w:r>
        <w:rPr>
          <w:rFonts w:hint="eastAsia" w:ascii="宋体" w:hAnsi="宋体" w:eastAsia="宋体" w:cs="宋体"/>
          <w:strike w:val="0"/>
          <w:color w:val="000000"/>
          <w:sz w:val="21"/>
          <w:szCs w:val="21"/>
          <w:highlight w:val="none"/>
        </w:rPr>
        <w:t xml:space="preserve">投标人应提供项目培训方案，包括但不限于（1）培训人员配置、（2）培训内容、（3）培训策略。</w:t>
      </w:r>
      <w:r>
        <w:rPr>
          <w:rFonts w:hint="eastAsia" w:ascii="宋体" w:hAnsi="宋体" w:eastAsia="宋体" w:cs="宋体"/>
          <w:strike w:val="0"/>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lang w:val="en-US" w:eastAsia="zh-CN"/>
        </w:rPr>
        <w:t xml:space="preserve">1.4</w:t>
      </w:r>
      <w:r>
        <w:rPr>
          <w:rFonts w:hint="eastAsia" w:ascii="宋体" w:hAnsi="宋体" w:eastAsia="宋体" w:cs="宋体"/>
          <w:strike w:val="0"/>
          <w:color w:val="000000"/>
          <w:sz w:val="21"/>
          <w:szCs w:val="21"/>
          <w:highlight w:val="none"/>
        </w:rPr>
        <w:t xml:space="preserve">投标人应提供项目售后服务方案，包括但不限于（1）服务体系、（2）服务保障、（3）服务内容、（4）服务流程、（5）应急响应服务。</w:t>
      </w:r>
      <w:r>
        <w:rPr>
          <w:rFonts w:hint="eastAsia" w:ascii="宋体" w:hAnsi="宋体" w:eastAsia="宋体" w:cs="宋体"/>
          <w:strike w:val="0"/>
          <w:color w:val="000000"/>
          <w:sz w:val="21"/>
          <w:szCs w:val="21"/>
          <w:highlight w:val="none"/>
        </w:rPr>
      </w:r>
      <w:r/>
    </w:p>
    <w:p>
      <w:pPr>
        <w:pStyle w:val="737"/>
        <w:numPr>
          <w:ilvl w:val="0"/>
          <w:numId w:val="0"/>
        </w:num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安全和可信要求</w:t>
      </w:r>
      <w:r>
        <w:rPr>
          <w:rFonts w:hint="eastAsia" w:ascii="宋体" w:hAnsi="宋体" w:eastAsia="宋体" w:cs="宋体"/>
          <w:b/>
          <w:bCs/>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平台及系统需要支持国产化环境稳定运行，适应国产化服务器、操作系统、数据库等。</w:t>
      </w:r>
      <w:r>
        <w:rPr>
          <w:rFonts w:hint="eastAsia" w:ascii="宋体" w:hAnsi="宋体" w:eastAsia="宋体" w:cs="宋体"/>
          <w:b/>
          <w:bCs/>
          <w:i/>
          <w:iCs/>
          <w:color w:val="000000"/>
          <w:sz w:val="21"/>
          <w:szCs w:val="21"/>
          <w:highlight w:val="none"/>
          <w:u w:val="single"/>
        </w:rPr>
        <w:t xml:space="preserve">（提供承诺书，格式自拟，</w:t>
      </w:r>
      <w:r>
        <w:rPr>
          <w:rFonts w:hint="eastAsia" w:ascii="宋体" w:hAnsi="宋体" w:cs="宋体"/>
          <w:b/>
          <w:bCs/>
          <w:i/>
          <w:iCs/>
          <w:color w:val="000000"/>
          <w:sz w:val="21"/>
          <w:szCs w:val="21"/>
          <w:highlight w:val="none"/>
          <w:u w:val="single"/>
          <w:lang w:val="en-US" w:eastAsia="zh-CN"/>
        </w:rPr>
        <w:t xml:space="preserve">扫描件</w:t>
      </w:r>
      <w:r>
        <w:rPr>
          <w:rFonts w:hint="eastAsia" w:ascii="宋体" w:hAnsi="宋体" w:eastAsia="宋体" w:cs="宋体"/>
          <w:b/>
          <w:bCs/>
          <w:i/>
          <w:iCs/>
          <w:color w:val="000000"/>
          <w:sz w:val="21"/>
          <w:szCs w:val="21"/>
          <w:highlight w:val="none"/>
          <w:u w:val="single"/>
        </w:rPr>
        <w:t xml:space="preserve">系统上传）</w:t>
      </w:r>
      <w:r>
        <w:rPr>
          <w:rFonts w:hint="eastAsia" w:ascii="宋体" w:hAnsi="宋体" w:eastAsia="宋体" w:cs="宋体"/>
          <w:i/>
          <w:iCs/>
          <w:color w:val="000000"/>
          <w:sz w:val="21"/>
          <w:szCs w:val="21"/>
          <w:highlight w:val="none"/>
          <w:u w:val="singl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满足《网络安全法》《数据安全法》《个人信息保护法》和三级等保测评等法律法规要求。</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在项目建设的整个阶段，对于网络安全要同步规划、同步建设、同步使用。</w:t>
      </w:r>
      <w:r>
        <w:rPr>
          <w:rFonts w:hint="eastAsia" w:ascii="宋体" w:hAnsi="宋体" w:eastAsia="宋体" w:cs="宋体"/>
          <w:color w:val="000000"/>
          <w:sz w:val="21"/>
          <w:szCs w:val="21"/>
          <w:highlight w:val="none"/>
        </w:rPr>
      </w:r>
      <w:r/>
    </w:p>
    <w:p>
      <w:pPr>
        <w:pStyle w:val="73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未来要支持并配合密码安全有关建设或改造。</w:t>
      </w:r>
      <w:r>
        <w:rPr>
          <w:rFonts w:hint="eastAsia" w:ascii="宋体" w:hAnsi="宋体" w:eastAsia="宋体" w:cs="宋体"/>
          <w:color w:val="000000"/>
          <w:sz w:val="21"/>
          <w:szCs w:val="21"/>
          <w:highlight w:val="none"/>
        </w:rPr>
      </w:r>
      <w:r/>
    </w:p>
    <w:p>
      <w:pPr>
        <w:pStyle w:val="737"/>
        <w:ind w:left="0"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61" w:name="_Toc55204181"/>
      <w:r>
        <w:rPr>
          <w:rFonts w:hint="eastAsia" w:ascii="宋体" w:hAnsi="宋体" w:eastAsia="宋体" w:cs="宋体"/>
          <w:b/>
          <w:color w:val="000000"/>
          <w:szCs w:val="21"/>
          <w:highlight w:val="none"/>
          <w:lang w:val="en-US" w:eastAsia="zh-CN"/>
        </w:rPr>
        <w:t xml:space="preserve">六</w:t>
      </w:r>
      <w:r>
        <w:rPr>
          <w:rFonts w:hint="eastAsia" w:ascii="宋体" w:hAnsi="宋体" w:eastAsia="宋体" w:cs="宋体"/>
          <w:b/>
          <w:color w:val="000000"/>
          <w:szCs w:val="21"/>
          <w:highlight w:val="none"/>
        </w:rPr>
        <w:t xml:space="preserve">、节能产品要求</w:t>
      </w:r>
      <w:r>
        <w:rPr>
          <w:rFonts w:hint="eastAsia" w:ascii="宋体" w:hAnsi="宋体" w:eastAsia="宋体" w:cs="宋体"/>
          <w:b/>
          <w:color w:val="000000"/>
          <w:szCs w:val="21"/>
          <w:highlight w:val="none"/>
        </w:rPr>
      </w:r>
      <w:r/>
    </w:p>
    <w:p>
      <w:pPr>
        <w:pStyle w:val="737"/>
        <w:ind w:left="0" w:firstLine="420"/>
        <w:jc w:val="left"/>
        <w:keepLines w:val="0"/>
        <w:keepNext w:val="0"/>
        <w:pageBreakBefore w:val="0"/>
        <w:spacing w:line="360" w:lineRule="auto"/>
        <w:widowControl w:val="off"/>
        <w:rPr>
          <w:rFonts w:hint="eastAsia" w:ascii="宋体" w:hAnsi="宋体" w:eastAsia="宋体" w:cs="宋体"/>
          <w:b w:val="0"/>
          <w:bCs w:val="0"/>
          <w:i/>
          <w:iCs/>
          <w:color w:val="000000"/>
          <w:szCs w:val="21"/>
          <w:highlight w:val="none"/>
          <w:u w:val="single"/>
        </w:rPr>
      </w:pPr>
      <w:r>
        <w:rPr>
          <w:rFonts w:hint="eastAsia" w:ascii="宋体" w:hAnsi="宋体" w:eastAsia="宋体" w:cs="宋体"/>
          <w:iCs/>
          <w:color w:val="000000"/>
          <w:szCs w:val="21"/>
          <w:highlight w:val="none"/>
        </w:rPr>
        <w:t xml:space="preserve">本次拟采购的产品如属于《节能产品政府采购品目清单》中强制采购范围内产品，各投标人应当提供获得国家确定的认证机构出具的、有效期之内的节能产品认证证书的产品，上</w:t>
      </w:r>
      <w:r>
        <w:rPr>
          <w:rFonts w:hint="eastAsia" w:ascii="宋体" w:hAnsi="宋体" w:eastAsia="宋体" w:cs="宋体"/>
          <w:b w:val="0"/>
          <w:bCs w:val="0"/>
          <w:iCs/>
          <w:color w:val="000000"/>
          <w:szCs w:val="21"/>
          <w:highlight w:val="none"/>
        </w:rPr>
        <w:t xml:space="preserve">述品目清单可通过“中国政府采购网”（HTTP：//www.ccgp.gov.cn/zcfg/mof/201904/t20190403_11849836.htm）查询,</w:t>
      </w:r>
      <w:r>
        <w:rPr>
          <w:rFonts w:hint="eastAsia" w:ascii="宋体" w:hAnsi="宋体" w:eastAsia="宋体" w:cs="宋体"/>
          <w:b w:val="0"/>
          <w:bCs w:val="0"/>
          <w:i/>
          <w:iCs/>
          <w:color w:val="000000"/>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rPr>
          <w:rFonts w:hint="eastAsia" w:ascii="宋体" w:hAnsi="宋体" w:eastAsia="宋体" w:cs="宋体"/>
          <w:b w:val="0"/>
          <w:bCs w:val="0"/>
          <w:i/>
          <w:iCs/>
          <w:color w:val="000000"/>
          <w:szCs w:val="21"/>
          <w:highlight w:val="none"/>
          <w:u w:val="single"/>
        </w:rPr>
      </w:r>
      <w:r/>
    </w:p>
    <w:p>
      <w:pPr>
        <w:pStyle w:val="923"/>
        <w:jc w:val="center"/>
        <w:spacing w:line="360" w:lineRule="auto"/>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6"/>
          <w:highlight w:val="none"/>
        </w:rPr>
      </w:r>
      <w:r/>
    </w:p>
    <w:p>
      <w:pPr>
        <w:pStyle w:val="738"/>
        <w:rPr>
          <w:rFonts w:hint="eastAsia"/>
          <w:color w:val="000000"/>
          <w:highlight w:val="none"/>
        </w:rPr>
      </w:pPr>
      <w:r/>
      <w:bookmarkStart w:id="62" w:name="_Toc29995"/>
      <w:r>
        <w:rPr>
          <w:rFonts w:hint="eastAsia"/>
          <w:color w:val="000000"/>
          <w:highlight w:val="none"/>
        </w:rPr>
        <w:t xml:space="preserve">第五章 评标方法及评标标准</w:t>
      </w:r>
      <w:bookmarkEnd w:id="61"/>
      <w:r/>
      <w:bookmarkEnd w:id="62"/>
      <w:r>
        <w:rPr>
          <w:rFonts w:hint="eastAsia"/>
          <w:color w:val="000000"/>
          <w:highlight w:val="none"/>
        </w:rPr>
      </w:r>
      <w:r/>
    </w:p>
    <w:p>
      <w:pPr>
        <w:pStyle w:val="960"/>
        <w:ind w:firstLine="422"/>
        <w:keepLines w:val="0"/>
        <w:keepNext w:val="0"/>
        <w:pageBreakBefore w:val="0"/>
        <w:spacing w:before="0" w:after="0"/>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bookmarkStart w:id="63" w:name="_Toc449016388"/>
      <w:r/>
      <w:bookmarkStart w:id="64" w:name="_Toc449017024"/>
      <w:r>
        <w:rPr>
          <w:rFonts w:hint="eastAsia" w:ascii="宋体" w:hAnsi="宋体" w:eastAsia="宋体" w:cs="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二、政府采购政策功能落实</w:t>
      </w:r>
      <w:bookmarkEnd w:id="63"/>
      <w:r/>
      <w:bookmarkEnd w:id="64"/>
      <w:r>
        <w:rPr>
          <w:rFonts w:hint="eastAsia" w:ascii="宋体" w:hAnsi="宋体" w:eastAsia="宋体" w:cs="宋体"/>
          <w:b/>
          <w:color w:val="000000"/>
          <w:szCs w:val="21"/>
          <w:highlight w:val="none"/>
        </w:rPr>
      </w:r>
      <w:r/>
    </w:p>
    <w:p>
      <w:pPr>
        <w:pStyle w:val="737"/>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
          <w:color w:val="000000"/>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（1）本项目对小型和微型企业产品给予20%的扣除价格，用扣除后的价格参与评审。</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（2）供应商需按照采购文件的要求提供相应的《中小企业声明函》。</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（1）本项目对残疾人福利性单位视同小型、微型企业，给予20%的价格扣除，用扣除后的价格参与评审。</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6、联合体各方均为小型、微型企业（残疾人福利单位、监狱企业）的，联合体享受20%价格扣除，用扣除后的价格参与评审。</w:t>
      </w:r>
      <w:r>
        <w:rPr>
          <w:rFonts w:hint="eastAsia" w:ascii="宋体" w:hAnsi="宋体" w:eastAsia="宋体" w:cs="宋体"/>
          <w:color w:val="000000"/>
          <w:sz w:val="21"/>
          <w:szCs w:val="21"/>
          <w:highlight w:val="none"/>
        </w:rPr>
      </w:r>
      <w:r/>
    </w:p>
    <w:p>
      <w:pPr>
        <w:pStyle w:val="960"/>
        <w:ind w:firstLine="420"/>
        <w:keepLines w:val="0"/>
        <w:keepNext w:val="0"/>
        <w:pageBreakBefore w:val="0"/>
        <w:spacing w:before="0" w:after="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7、大中型企业向小型、微型企业分包的，分包意向协议约定小型、微型企业合同份额占到合同总金额40%以上的，给予6%的价格扣除，用扣除后的价格参与评审。</w:t>
      </w:r>
      <w:r>
        <w:rPr>
          <w:rFonts w:hint="eastAsia" w:ascii="宋体" w:hAnsi="宋体" w:eastAsia="宋体" w:cs="宋体"/>
          <w:color w:val="000000"/>
          <w:sz w:val="21"/>
          <w:szCs w:val="21"/>
          <w:highlight w:val="none"/>
        </w:rPr>
      </w:r>
      <w:r/>
    </w:p>
    <w:p>
      <w:pPr>
        <w:pStyle w:val="960"/>
        <w:ind w:firstLine="422"/>
        <w:keepLines w:val="0"/>
        <w:keepNext w:val="0"/>
        <w:pageBreakBefore w:val="0"/>
        <w:spacing w:before="0" w:after="0"/>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三、评标标准</w:t>
      </w:r>
      <w:r>
        <w:rPr>
          <w:rFonts w:hint="eastAsia" w:ascii="宋体" w:hAnsi="宋体" w:eastAsia="宋体" w:cs="宋体"/>
          <w:b/>
          <w:color w:val="000000"/>
          <w:sz w:val="21"/>
          <w:szCs w:val="21"/>
          <w:highlight w:val="none"/>
        </w:rPr>
      </w:r>
      <w:r/>
    </w:p>
    <w:tbl>
      <w:tblPr>
        <w:tblpPr w:horzAnchor="page" w:tblpX="1658" w:vertAnchor="text" w:tblpY="425" w:leftFromText="180" w:topFromText="0" w:rightFromText="180" w:bottomFromText="0"/>
        <w:tblW w:w="503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6986"/>
      </w:tblGrid>
      <w:tr>
        <w:trPr>
          <w:trHeight w:val="507"/>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framePr w:vAnchor="text" w:hAnchor="page" w:x="1658" w:y="425"/>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4070"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framePr w:vAnchor="text" w:hAnchor="page" w:x="1658" w:y="425"/>
            </w:pPr>
            <w:r>
              <w:rPr>
                <w:rFonts w:hint="eastAsia" w:ascii="宋体" w:hAnsi="宋体" w:eastAsia="宋体" w:cs="宋体"/>
                <w:b/>
                <w:bCs/>
                <w:color w:val="000000"/>
                <w:sz w:val="21"/>
                <w:szCs w:val="21"/>
                <w:highlight w:val="none"/>
              </w:rPr>
              <w:t xml:space="preserve">评标细则</w:t>
            </w:r>
            <w:r>
              <w:rPr>
                <w:rFonts w:hint="eastAsia" w:ascii="宋体" w:hAnsi="宋体" w:eastAsia="宋体" w:cs="宋体"/>
                <w:b/>
                <w:bCs/>
                <w:color w:val="000000"/>
                <w:sz w:val="21"/>
                <w:szCs w:val="21"/>
                <w:highlight w:val="none"/>
              </w:rPr>
            </w:r>
            <w:r/>
          </w:p>
        </w:tc>
      </w:tr>
      <w:tr>
        <w:trPr>
          <w:trHeight w:val="90"/>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rPr>
            </w:r>
            <w:r/>
          </w:p>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其他投标人的价格分统一按照下列公式计算：</w:t>
            </w:r>
            <w:r>
              <w:rPr>
                <w:rFonts w:hint="eastAsia" w:ascii="宋体" w:hAnsi="宋体" w:eastAsia="宋体" w:cs="宋体"/>
                <w:color w:val="000000"/>
                <w:sz w:val="21"/>
                <w:szCs w:val="21"/>
                <w:highlight w:val="none"/>
              </w:rPr>
            </w:r>
            <w:r/>
          </w:p>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投标报价得分=(评标基准价／投标报价)×30×100%，结果保留两位有效小数。</w:t>
            </w:r>
            <w:r>
              <w:rPr>
                <w:rFonts w:hint="eastAsia" w:ascii="宋体" w:hAnsi="宋体" w:eastAsia="宋体" w:cs="宋体"/>
                <w:color w:val="000000"/>
                <w:sz w:val="21"/>
                <w:szCs w:val="21"/>
                <w:highlight w:val="none"/>
              </w:rPr>
            </w:r>
            <w:r/>
          </w:p>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b/>
                <w:bCs/>
                <w:color w:val="000000"/>
                <w:sz w:val="21"/>
                <w:szCs w:val="21"/>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rPr>
                <w:rFonts w:hint="eastAsia" w:ascii="宋体" w:hAnsi="宋体" w:eastAsia="宋体" w:cs="宋体"/>
                <w:color w:val="000000"/>
                <w:sz w:val="21"/>
                <w:szCs w:val="21"/>
                <w:highlight w:val="none"/>
              </w:rPr>
            </w:r>
            <w:r/>
          </w:p>
        </w:tc>
      </w:tr>
      <w:tr>
        <w:trPr>
          <w:trHeight w:val="1805"/>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软件技术需求响应</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投标人所投产品完全满足或优于招标文件第四章项目需求【办公软件技术参数要求】得</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分。加★号项指标为关键技术要求，每有一项负偏离扣2分。其他项为一般技术要求，每有一项负偏离扣1分，扣完为止。</w:t>
            </w:r>
            <w:r>
              <w:rPr>
                <w:rFonts w:hint="eastAsia" w:ascii="宋体" w:hAnsi="宋体" w:eastAsia="宋体" w:cs="宋体"/>
                <w:color w:val="000000"/>
                <w:sz w:val="21"/>
                <w:szCs w:val="21"/>
                <w:highlight w:val="none"/>
              </w:rPr>
            </w:r>
            <w:r/>
          </w:p>
          <w:p>
            <w:pPr>
              <w:pStyle w:val="737"/>
              <w:jc w:val="both"/>
              <w:keepLines w:val="0"/>
              <w:keepNext w:val="0"/>
              <w:pageBreakBefore w:val="0"/>
              <w:spacing w:line="360" w:lineRule="auto"/>
              <w:widowControl w:val="off"/>
              <w:rPr>
                <w:rFonts w:hint="eastAsia" w:ascii="宋体" w:hAnsi="宋体" w:eastAsia="宋体" w:cs="宋体"/>
                <w:b/>
                <w:bCs/>
                <w:color w:val="000000"/>
                <w:sz w:val="21"/>
                <w:szCs w:val="21"/>
                <w:highlight w:val="none"/>
              </w:rPr>
              <w:framePr w:vAnchor="text" w:hAnchor="page" w:x="1658" w:y="425"/>
            </w:pPr>
            <w:r>
              <w:rPr>
                <w:rFonts w:hint="eastAsia" w:ascii="宋体" w:hAnsi="宋体" w:eastAsia="宋体" w:cs="宋体"/>
                <w:b/>
                <w:bCs/>
                <w:color w:val="000000"/>
                <w:sz w:val="21"/>
                <w:szCs w:val="21"/>
                <w:highlight w:val="none"/>
              </w:rPr>
              <w:t xml:space="preserve">说明：未按要求提供配套证明材料视为负偏离，其他项以投标人提供的《技术参数响应及偏离表》的响应偏离情况为准。</w:t>
            </w:r>
            <w:r>
              <w:rPr>
                <w:b/>
                <w:bCs/>
              </w:rPr>
            </w:r>
            <w:r/>
          </w:p>
        </w:tc>
      </w:tr>
      <w:tr>
        <w:trPr>
          <w:trHeight w:val="538"/>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软件正版化服务能力</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投标人承诺全程协助用户获得全国或省级版权示范单位(软件正版化)称号的，得2分。</w:t>
            </w:r>
            <w:r>
              <w:rPr>
                <w:rFonts w:hint="eastAsia" w:ascii="宋体" w:hAnsi="宋体" w:eastAsia="宋体" w:cs="宋体"/>
                <w:b/>
                <w:bCs/>
                <w:color w:val="000000"/>
                <w:sz w:val="21"/>
                <w:szCs w:val="21"/>
                <w:highlight w:val="none"/>
              </w:rPr>
              <w:t xml:space="preserve">（提供</w:t>
            </w:r>
            <w:r>
              <w:rPr>
                <w:rFonts w:hint="eastAsia" w:ascii="宋体" w:hAnsi="宋体" w:cs="宋体"/>
                <w:b/>
                <w:bCs/>
                <w:color w:val="000000"/>
                <w:sz w:val="21"/>
                <w:szCs w:val="21"/>
                <w:highlight w:val="none"/>
                <w:lang w:val="en-US" w:eastAsia="zh-CN"/>
              </w:rPr>
              <w:t xml:space="preserve">承诺书</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格式自拟，</w:t>
            </w:r>
            <w:r>
              <w:rPr>
                <w:rFonts w:hint="eastAsia" w:ascii="宋体" w:hAnsi="宋体" w:eastAsia="宋体" w:cs="宋体"/>
                <w:b/>
                <w:bCs/>
                <w:color w:val="000000"/>
                <w:sz w:val="21"/>
                <w:szCs w:val="21"/>
                <w:highlight w:val="none"/>
              </w:rPr>
              <w:t xml:space="preserve">扫描件系统上传，未提供不得分）</w:t>
            </w:r>
            <w:r>
              <w:rPr>
                <w:rFonts w:hint="eastAsia" w:ascii="宋体" w:hAnsi="宋体" w:eastAsia="宋体" w:cs="宋体"/>
                <w:color w:val="000000"/>
                <w:sz w:val="21"/>
                <w:szCs w:val="21"/>
                <w:highlight w:val="none"/>
              </w:rPr>
            </w:r>
            <w:r/>
          </w:p>
        </w:tc>
      </w:tr>
      <w:tr>
        <w:trPr>
          <w:trHeight w:val="416"/>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实施方案</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根据本项目需求制定详细的实施方案：</w:t>
            </w:r>
            <w:r>
              <w:rPr>
                <w:rFonts w:hint="eastAsia" w:ascii="宋体" w:hAnsi="宋体" w:eastAsia="宋体" w:cs="宋体"/>
                <w:color w:val="000000"/>
                <w:sz w:val="21"/>
                <w:szCs w:val="21"/>
                <w:highlight w:val="none"/>
              </w:rPr>
            </w:r>
            <w:r/>
          </w:p>
          <w:p>
            <w:pPr>
              <w:pStyle w:val="737"/>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framePr w:vAnchor="text" w:hAnchor="page" w:x="1658" w:y="425"/>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针对正版化软件安装与部署，提供详细的实施方案，</w:t>
            </w:r>
            <w:r>
              <w:rPr>
                <w:rFonts w:hint="eastAsia" w:ascii="宋体" w:hAnsi="宋体" w:eastAsia="宋体" w:cs="宋体"/>
                <w:b/>
                <w:bCs/>
                <w:color w:val="000000"/>
                <w:sz w:val="21"/>
                <w:szCs w:val="21"/>
                <w:highlight w:val="none"/>
                <w:lang w:val="en-US" w:eastAsia="zh-CN"/>
              </w:rPr>
              <w:t xml:space="preserve">评委</w:t>
            </w:r>
            <w:r>
              <w:rPr>
                <w:rFonts w:hint="eastAsia" w:ascii="宋体" w:hAnsi="宋体" w:eastAsia="宋体" w:cs="宋体"/>
                <w:b/>
                <w:bCs/>
                <w:color w:val="000000"/>
                <w:sz w:val="21"/>
                <w:szCs w:val="21"/>
                <w:highlight w:val="none"/>
              </w:rPr>
              <w:t xml:space="preserve">依据方案的专业性和完善度进行综合评分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具有不合理项、描述略欠缺、存在一定的实施难度得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lang w:val="en-US" w:eastAsia="zh-CN"/>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具有明显不合理项、描述欠缺、存在实施难度得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37"/>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framePr w:vAnchor="text" w:hAnchor="page" w:x="1658" w:y="425"/>
            </w:pPr>
            <w:r>
              <w:rPr>
                <w:rFonts w:hint="eastAsia" w:ascii="宋体" w:hAnsi="宋体" w:eastAsia="宋体" w:cs="宋体"/>
                <w:color w:val="000000"/>
                <w:sz w:val="21"/>
                <w:szCs w:val="21"/>
                <w:highlight w:val="none"/>
              </w:rPr>
              <w:t xml:space="preserve">其余得 0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7"/>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framePr w:vAnchor="text" w:hAnchor="page" w:x="1658" w:y="425"/>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针对软件正版化服务，提供可行性较高的实施方案，</w:t>
            </w:r>
            <w:r>
              <w:rPr>
                <w:rFonts w:hint="eastAsia" w:ascii="宋体" w:hAnsi="宋体" w:eastAsia="宋体" w:cs="宋体"/>
                <w:b/>
                <w:bCs/>
                <w:color w:val="000000"/>
                <w:sz w:val="21"/>
                <w:szCs w:val="21"/>
                <w:highlight w:val="none"/>
                <w:lang w:val="en-US" w:eastAsia="zh-CN"/>
              </w:rPr>
              <w:t xml:space="preserve">评委</w:t>
            </w:r>
            <w:r>
              <w:rPr>
                <w:rFonts w:hint="eastAsia" w:ascii="宋体" w:hAnsi="宋体" w:eastAsia="宋体" w:cs="宋体"/>
                <w:b/>
                <w:bCs/>
                <w:color w:val="000000"/>
                <w:sz w:val="21"/>
                <w:szCs w:val="21"/>
                <w:highlight w:val="none"/>
              </w:rPr>
              <w:t xml:space="preserve">依据方案的专业性和完善度进行综合评分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具有不合理项、描述略欠缺、存在一定的实施难度得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lang w:val="en-US" w:eastAsia="zh-CN"/>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具有明显不合理项、描述欠缺、存在实施难度得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49"/>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其余得 0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416"/>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售后培训服务方案</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framePr w:vAnchor="text" w:hAnchor="page" w:x="1658" w:y="425"/>
            </w:pPr>
            <w:r>
              <w:rPr>
                <w:rFonts w:hint="eastAsia" w:ascii="宋体" w:hAnsi="宋体" w:eastAsia="宋体" w:cs="宋体"/>
                <w:b/>
                <w:bCs/>
                <w:color w:val="000000"/>
                <w:sz w:val="21"/>
                <w:szCs w:val="21"/>
                <w:highlight w:val="none"/>
              </w:rPr>
              <w:t xml:space="preserve">根据本项目需求制定详细的售后服务方案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strike w:val="0"/>
                <w:color w:val="000000"/>
                <w:sz w:val="21"/>
                <w:szCs w:val="21"/>
                <w:highlight w:val="none"/>
                <w:lang w:val="en-US" w:eastAsia="zh-CN"/>
              </w:rPr>
              <w:t xml:space="preserve">培训方案</w:t>
            </w:r>
            <w:r>
              <w:rPr>
                <w:rFonts w:hint="eastAsia" w:ascii="宋体" w:hAnsi="宋体" w:eastAsia="宋体" w:cs="宋体"/>
                <w:b/>
                <w:bCs/>
                <w:color w:val="000000"/>
                <w:sz w:val="21"/>
                <w:szCs w:val="21"/>
                <w:highlight w:val="none"/>
                <w:lang w:val="en-US" w:eastAsia="zh-CN"/>
              </w:rPr>
              <w:t xml:space="preserve">，评委</w:t>
            </w:r>
            <w:r>
              <w:rPr>
                <w:rFonts w:hint="eastAsia" w:ascii="宋体" w:hAnsi="宋体" w:eastAsia="宋体" w:cs="宋体"/>
                <w:b/>
                <w:bCs/>
                <w:color w:val="000000"/>
                <w:sz w:val="21"/>
                <w:szCs w:val="21"/>
                <w:highlight w:val="none"/>
              </w:rPr>
              <w:t xml:space="preserve">依据方案的专业性和完善度进行综合评分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科学、严密、合理，描述详细且具有针对性的得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较合理、严密、描述较为详细，不存在实施难度的得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基本合理、描述一般、存在可操作性得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具有不合理项、描述略欠缺、存在一定的实施难度得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jc w:val="left"/>
              <w:spacing w:line="360" w:lineRule="auto"/>
              <w:rPr>
                <w:rFonts w:hint="eastAsia" w:ascii="宋体" w:hAnsi="宋体" w:eastAsia="宋体" w:cs="宋体"/>
                <w:color w:val="000000"/>
                <w:sz w:val="21"/>
                <w:szCs w:val="21"/>
                <w:highlight w:val="none"/>
                <w:lang w:val="en-US" w:eastAsia="zh-CN"/>
              </w:rPr>
              <w:framePr w:vAnchor="text" w:hAnchor="page" w:x="1658" w:y="425"/>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rPr>
              <w:t xml:space="preserve">具有明显不合理项、描述欠缺、存在实施难度得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62"/>
              <w:ind w:left="0" w:firstLine="0"/>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其余得 0 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416"/>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实施团队资质</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numPr>
                <w:ilvl w:val="0"/>
                <w:numId w:val="4"/>
              </w:numPr>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framePr w:vAnchor="text" w:hAnchor="page" w:x="1658" w:y="425"/>
            </w:pPr>
            <w:r>
              <w:rPr>
                <w:rFonts w:hint="eastAsia" w:ascii="宋体" w:hAnsi="宋体" w:eastAsia="宋体" w:cs="宋体"/>
                <w:color w:val="000000"/>
                <w:sz w:val="21"/>
                <w:szCs w:val="21"/>
                <w:highlight w:val="none"/>
                <w:lang w:eastAsia="zh-CN"/>
              </w:rPr>
              <w:t xml:space="preserve">项目团队成员具有国家版权局和世界知识产权组织（WIPO）联合颁发的培训证书的，每个得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本项最高</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b/>
                <w:bCs/>
                <w:color w:val="000000"/>
                <w:sz w:val="21"/>
                <w:szCs w:val="21"/>
                <w:highlight w:val="none"/>
                <w:lang w:eastAsia="zh-CN"/>
              </w:rPr>
              <w:t xml:space="preserve">（提供资质证书及近一年内任意一个月的社保证明</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扫描件系统上传，</w:t>
            </w:r>
            <w:r>
              <w:rPr>
                <w:rFonts w:hint="eastAsia" w:ascii="宋体" w:hAnsi="宋体" w:eastAsia="宋体" w:cs="宋体"/>
                <w:b/>
                <w:bCs/>
                <w:color w:val="000000"/>
                <w:sz w:val="21"/>
                <w:szCs w:val="21"/>
                <w:highlight w:val="none"/>
                <w:lang w:val="en-US" w:eastAsia="zh-CN"/>
              </w:rPr>
              <w:t xml:space="preserve">未提供或提供不全</w:t>
            </w:r>
            <w:r>
              <w:rPr>
                <w:rFonts w:hint="eastAsia" w:ascii="宋体" w:hAnsi="宋体" w:cs="宋体"/>
                <w:b/>
                <w:bCs/>
                <w:color w:val="000000"/>
                <w:sz w:val="21"/>
                <w:szCs w:val="21"/>
                <w:highlight w:val="none"/>
                <w:lang w:val="en-US" w:eastAsia="zh-CN"/>
              </w:rPr>
              <w:t xml:space="preserve">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37"/>
              <w:numPr>
                <w:ilvl w:val="0"/>
                <w:numId w:val="0"/>
              </w:numPr>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framePr w:vAnchor="text" w:hAnchor="page" w:x="1658" w:y="425"/>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项目团队成员具有相关知识产权认证机构颁发的版权经理人培训证书的每个得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本项最高</w:t>
            </w:r>
            <w:r>
              <w:rPr>
                <w:rFonts w:hint="eastAsia" w:ascii="宋体" w:hAnsi="宋体" w:eastAsia="宋体" w:cs="宋体"/>
                <w:color w:val="000000"/>
                <w:sz w:val="21"/>
                <w:szCs w:val="21"/>
                <w:highlight w:val="none"/>
                <w:lang w:eastAsia="zh-CN"/>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b/>
                <w:bCs/>
                <w:color w:val="000000"/>
                <w:sz w:val="21"/>
                <w:szCs w:val="21"/>
                <w:highlight w:val="none"/>
                <w:lang w:eastAsia="zh-CN"/>
              </w:rPr>
              <w:t xml:space="preserve">（提供资质证书</w:t>
            </w:r>
            <w:r>
              <w:rPr>
                <w:rFonts w:hint="eastAsia" w:ascii="宋体" w:hAnsi="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lang w:eastAsia="zh-CN"/>
              </w:rPr>
              <w:t xml:space="preserve">及近一年内任意一个月的社保证明</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扫描件系统上传，</w:t>
            </w:r>
            <w:r>
              <w:rPr>
                <w:rFonts w:hint="eastAsia" w:ascii="宋体" w:hAnsi="宋体" w:eastAsia="宋体" w:cs="宋体"/>
                <w:b/>
                <w:bCs/>
                <w:color w:val="000000"/>
                <w:sz w:val="21"/>
                <w:szCs w:val="21"/>
                <w:highlight w:val="none"/>
                <w:lang w:val="en-US" w:eastAsia="zh-CN"/>
              </w:rPr>
              <w:t xml:space="preserve">未提供或提供不全</w:t>
            </w:r>
            <w:r>
              <w:rPr>
                <w:rFonts w:hint="eastAsia" w:ascii="宋体" w:hAnsi="宋体" w:cs="宋体"/>
                <w:b/>
                <w:bCs/>
                <w:color w:val="000000"/>
                <w:sz w:val="21"/>
                <w:szCs w:val="21"/>
                <w:highlight w:val="none"/>
                <w:lang w:val="en-US" w:eastAsia="zh-CN"/>
              </w:rPr>
              <w:t xml:space="preserve">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16"/>
        </w:trPr>
        <w:tc>
          <w:tcPr>
            <w:tcW w:w="929" w:type="dxa"/>
            <w:vAlign w:val="center"/>
            <w:textDirection w:val="lrTb"/>
            <w:noWrap w:val="false"/>
          </w:tcPr>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737"/>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61"/>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framePr w:vAnchor="text" w:hAnchor="page" w:x="1658" w:y="425"/>
            </w:pPr>
            <w:r>
              <w:rPr>
                <w:rFonts w:hint="eastAsia" w:ascii="宋体" w:hAnsi="宋体" w:eastAsia="宋体" w:cs="宋体"/>
                <w:color w:val="000000"/>
                <w:sz w:val="21"/>
                <w:szCs w:val="21"/>
                <w:highlight w:val="none"/>
                <w:lang w:val="en-US" w:eastAsia="zh-CN" w:bidi="ar-SA"/>
              </w:rPr>
              <w:t xml:space="preserve">投标人 2021年1月1日以来(以合同签订时间为准)，承担过与本项目类似的业绩合同，</w:t>
            </w:r>
            <w:r>
              <w:rPr>
                <w:rFonts w:hint="eastAsia" w:ascii="宋体" w:hAnsi="宋体" w:eastAsia="宋体" w:cs="宋体"/>
                <w:color w:val="000000"/>
                <w:sz w:val="21"/>
                <w:szCs w:val="21"/>
                <w:highlight w:val="none"/>
              </w:rPr>
              <w:t xml:space="preserve">每提供一个得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61"/>
              <w:keepLines w:val="0"/>
              <w:keepNext w:val="0"/>
              <w:pageBreakBefore w:val="0"/>
              <w:spacing w:line="360" w:lineRule="auto"/>
              <w:widowControl w:val="off"/>
              <w:rPr>
                <w:rFonts w:hint="eastAsia" w:ascii="宋体" w:hAnsi="宋体" w:eastAsia="宋体" w:cs="宋体"/>
                <w:color w:val="000000"/>
                <w:sz w:val="21"/>
                <w:szCs w:val="21"/>
                <w:highlight w:val="none"/>
                <w:lang w:eastAsia="zh-CN"/>
              </w:rPr>
              <w:framePr w:vAnchor="text" w:hAnchor="page" w:x="1658" w:y="425"/>
            </w:pPr>
            <w:r>
              <w:rPr>
                <w:rFonts w:hint="eastAsia" w:ascii="宋体" w:hAnsi="宋体" w:eastAsia="宋体" w:cs="宋体"/>
                <w:b/>
                <w:bCs/>
                <w:color w:val="000000"/>
                <w:sz w:val="21"/>
                <w:szCs w:val="21"/>
                <w:highlight w:val="none"/>
                <w:lang w:val="en-US" w:eastAsia="zh-CN" w:bidi="ar-SA"/>
              </w:rPr>
              <w:t xml:space="preserve">（提供合同及验收证明材料，扫描件系统上传，合同要素至少包含签订时间、合同双方名称、产品名称、合同总价，合同要素不完整或者内容不清晰无法辨认或提供不全不得分）</w:t>
            </w:r>
            <w:r>
              <w:rPr>
                <w:rFonts w:hint="eastAsia" w:ascii="宋体" w:hAnsi="宋体" w:eastAsia="宋体" w:cs="宋体"/>
                <w:color w:val="000000"/>
                <w:sz w:val="21"/>
                <w:szCs w:val="21"/>
                <w:highlight w:val="none"/>
                <w:lang w:eastAsia="zh-CN"/>
              </w:rPr>
            </w:r>
            <w:r/>
          </w:p>
        </w:tc>
      </w:tr>
      <w:tr>
        <w:trPr>
          <w:trHeight w:val="416"/>
        </w:trPr>
        <w:tc>
          <w:tcPr>
            <w:tcW w:w="929" w:type="dxa"/>
            <w:vAlign w:val="center"/>
            <w:textDirection w:val="lrTb"/>
            <w:noWrap w:val="false"/>
          </w:tcPr>
          <w:p>
            <w:pPr>
              <w:pStyle w:val="737"/>
              <w:ind w:left="0"/>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企业资质</w:t>
            </w:r>
            <w:r>
              <w:rPr>
                <w:rFonts w:hint="eastAsia" w:ascii="宋体" w:hAnsi="宋体" w:eastAsia="宋体" w:cs="宋体"/>
                <w:color w:val="000000"/>
                <w:sz w:val="21"/>
                <w:szCs w:val="21"/>
                <w:highlight w:val="none"/>
              </w:rPr>
            </w:r>
            <w:r/>
          </w:p>
          <w:p>
            <w:pPr>
              <w:pStyle w:val="737"/>
              <w:ind w:left="0"/>
              <w:jc w:val="center"/>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4070" w:type="dxa"/>
            <w:vAlign w:val="center"/>
            <w:textDirection w:val="lrTb"/>
            <w:noWrap w:val="false"/>
          </w:tcPr>
          <w:p>
            <w:pPr>
              <w:pStyle w:val="737"/>
              <w:numPr>
                <w:ilvl w:val="0"/>
                <w:numId w:val="0"/>
              </w:numPr>
              <w:jc w:val="both"/>
              <w:keepLines w:val="0"/>
              <w:keepNext w:val="0"/>
              <w:pageBreakBefore w:val="0"/>
              <w:spacing w:line="360" w:lineRule="auto"/>
              <w:widowControl w:val="off"/>
              <w:rPr>
                <w:rFonts w:hint="eastAsia" w:ascii="宋体" w:hAnsi="宋体" w:eastAsia="宋体" w:cs="宋体"/>
                <w:color w:val="000000"/>
                <w:sz w:val="21"/>
                <w:szCs w:val="21"/>
                <w:highlight w:val="none"/>
              </w:rPr>
              <w:framePr w:vAnchor="text" w:hAnchor="page" w:x="1658" w:y="425"/>
            </w:pPr>
            <w:r>
              <w:rPr>
                <w:rFonts w:hint="eastAsia" w:ascii="宋体" w:hAnsi="宋体" w:eastAsia="宋体" w:cs="宋体"/>
                <w:color w:val="000000"/>
                <w:sz w:val="21"/>
                <w:szCs w:val="21"/>
                <w:highlight w:val="none"/>
              </w:rPr>
              <w:t xml:space="preserve">投标人具有ISO9001质量管理体系认证、ISO27001信息安全管理体系认证、ISO20000信息技术服务管理体系认证，每提供一个得1分，本项最高得3分。</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eastAsia="宋体" w:cs="宋体"/>
                <w:b/>
                <w:bCs/>
                <w:color w:val="000000"/>
                <w:sz w:val="21"/>
                <w:szCs w:val="21"/>
                <w:highlight w:val="none"/>
              </w:rPr>
              <w:t xml:space="preserve">证书及国家认监委网站查询截图（https：//www.cnca.gov.cn/），扫描件</w:t>
            </w:r>
            <w:r>
              <w:rPr>
                <w:rFonts w:hint="eastAsia" w:ascii="宋体" w:hAnsi="宋体" w:eastAsia="宋体" w:cs="宋体"/>
                <w:b/>
                <w:bCs/>
                <w:color w:val="000000"/>
                <w:sz w:val="21"/>
                <w:szCs w:val="21"/>
                <w:highlight w:val="none"/>
                <w:lang w:val="en-US" w:eastAsia="zh-CN"/>
              </w:rPr>
              <w:t xml:space="preserve">系统上传，未提供不得分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737"/>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7"/>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8"/>
        <w:rPr>
          <w:rFonts w:hint="eastAsia"/>
          <w:color w:val="000000"/>
          <w:highlight w:val="none"/>
        </w:rPr>
      </w:pPr>
      <w:r/>
      <w:bookmarkStart w:id="65" w:name="_Toc18779"/>
      <w:r>
        <w:rPr>
          <w:rFonts w:hint="eastAsia"/>
          <w:color w:val="000000"/>
          <w:highlight w:val="none"/>
        </w:rPr>
        <w:t xml:space="preserve">第六章 投标文件格式</w:t>
      </w:r>
      <w:bookmarkEnd w:id="65"/>
      <w:r>
        <w:rPr>
          <w:rFonts w:hint="eastAsia"/>
          <w:color w:val="000000"/>
          <w:highlight w:val="none"/>
        </w:rPr>
        <w:t xml:space="preserve"> </w:t>
      </w:r>
      <w:r>
        <w:rPr>
          <w:rFonts w:hint="eastAsia"/>
          <w:color w:val="000000"/>
          <w:highlight w:val="none"/>
        </w:rPr>
      </w:r>
      <w:r/>
    </w:p>
    <w:p>
      <w:pPr>
        <w:pStyle w:val="737"/>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3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3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rPr>
      </w:r>
      <w:r/>
    </w:p>
    <w:p>
      <w:pPr>
        <w:pStyle w:val="737"/>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招 标 编 号：</w:t>
      </w:r>
      <w:r>
        <w:rPr>
          <w:rFonts w:hint="eastAsia" w:ascii="宋体" w:hAnsi="宋体" w:eastAsia="宋体" w:cs="宋体"/>
          <w:b/>
          <w:color w:val="000000"/>
          <w:sz w:val="36"/>
          <w:highlight w:val="none"/>
          <w:u w:val="single"/>
        </w:rPr>
      </w:r>
      <w:r/>
    </w:p>
    <w:p>
      <w:pPr>
        <w:pStyle w:val="737"/>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r>
      <w:r/>
    </w:p>
    <w:p>
      <w:pPr>
        <w:pStyle w:val="737"/>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r>
      <w:r/>
    </w:p>
    <w:p>
      <w:pPr>
        <w:pStyle w:val="73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  标  人：（电子签章）</w:t>
      </w:r>
      <w:r>
        <w:rPr>
          <w:rFonts w:hint="eastAsia" w:ascii="宋体" w:hAnsi="宋体" w:eastAsia="宋体" w:cs="宋体"/>
          <w:b/>
          <w:color w:val="000000"/>
          <w:sz w:val="36"/>
          <w:highlight w:val="none"/>
        </w:rPr>
      </w:r>
      <w:r/>
    </w:p>
    <w:p>
      <w:pPr>
        <w:pStyle w:val="73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jc w:val="center"/>
        <w:spacing w:line="440" w:lineRule="exact"/>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73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投标主要文件目录</w:t>
      </w:r>
      <w:r>
        <w:rPr>
          <w:rFonts w:hint="eastAsia" w:ascii="宋体" w:hAnsi="宋体" w:eastAsia="宋体" w:cs="宋体"/>
          <w:b/>
          <w:bCs/>
          <w:color w:val="000000"/>
          <w:sz w:val="32"/>
          <w:szCs w:val="32"/>
          <w:highlight w:val="none"/>
        </w:rPr>
      </w:r>
      <w:r/>
    </w:p>
    <w:p>
      <w:pPr>
        <w:pStyle w:val="73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rPr>
          <w:rFonts w:hint="eastAsia" w:ascii="宋体" w:hAnsi="宋体" w:eastAsia="宋体" w:cs="宋体"/>
          <w:color w:val="000000"/>
          <w:sz w:val="24"/>
          <w:highlight w:val="none"/>
        </w:rPr>
      </w:r>
      <w:r/>
    </w:p>
    <w:p>
      <w:pPr>
        <w:pStyle w:val="737"/>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rPr>
          <w:rFonts w:hint="eastAsia" w:ascii="宋体" w:hAnsi="宋体" w:eastAsia="宋体" w:cs="宋体"/>
          <w:color w:val="000000"/>
          <w:sz w:val="24"/>
          <w:highlight w:val="none"/>
        </w:rPr>
      </w:r>
      <w:r/>
    </w:p>
    <w:p>
      <w:pPr>
        <w:pStyle w:val="737"/>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开标一览表</w:t>
      </w:r>
      <w:r>
        <w:rPr>
          <w:rFonts w:hint="eastAsia" w:ascii="宋体" w:hAnsi="宋体" w:eastAsia="宋体" w:cs="宋体"/>
          <w:b/>
          <w:bCs/>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五、投标配置与分项报价表</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w:t>
      </w:r>
      <w:r>
        <w:rPr>
          <w:rFonts w:hint="eastAsia" w:ascii="宋体" w:hAnsi="宋体" w:eastAsia="宋体" w:cs="宋体"/>
          <w:color w:val="000000"/>
          <w:sz w:val="24"/>
          <w:szCs w:val="24"/>
          <w:highlight w:val="none"/>
        </w:rPr>
        <w:t xml:space="preserve">、技术参数响应及偏离表</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七、商务条款响应及偏离表</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八、拟投入人员一览表</w:t>
      </w:r>
      <w:r>
        <w:rPr>
          <w:rFonts w:hint="eastAsia" w:ascii="宋体" w:hAnsi="宋体" w:eastAsia="宋体" w:cs="宋体"/>
          <w:color w:val="000000"/>
          <w:sz w:val="24"/>
          <w:highlight w:val="none"/>
        </w:rPr>
      </w:r>
      <w:r/>
    </w:p>
    <w:p>
      <w:pPr>
        <w:pStyle w:val="737"/>
        <w:ind w:firstLine="48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highlight w:val="none"/>
        </w:rPr>
        <w:t xml:space="preserve">九、其他 （投标人认为有必要提供的声明和文件，如有自拟并自行添加）</w:t>
      </w:r>
      <w:r>
        <w:rPr>
          <w:rFonts w:hint="eastAsia" w:ascii="宋体" w:hAnsi="宋体" w:eastAsia="宋体" w:cs="宋体"/>
          <w:color w:val="000000"/>
          <w:sz w:val="36"/>
          <w:szCs w:val="36"/>
          <w:highlight w:val="none"/>
        </w:rPr>
      </w:r>
      <w:r/>
    </w:p>
    <w:p>
      <w:pPr>
        <w:pStyle w:val="737"/>
        <w:contextualSpacing/>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7"/>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7"/>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4"/>
        <w:rPr>
          <w:rFonts w:hint="eastAsia" w:ascii="宋体" w:hAnsi="宋体" w:eastAsia="宋体" w:cs="宋体"/>
          <w:b w:val="0"/>
          <w:color w:val="000000"/>
          <w:sz w:val="32"/>
          <w:szCs w:val="32"/>
          <w:highlight w:val="none"/>
        </w:rPr>
      </w:pPr>
      <w:r>
        <w:rPr>
          <w:rFonts w:hint="eastAsia" w:ascii="宋体" w:hAnsi="宋体" w:eastAsia="宋体" w:cs="宋体"/>
          <w:color w:val="000000"/>
          <w:sz w:val="32"/>
          <w:szCs w:val="32"/>
          <w:highlight w:val="none"/>
        </w:rPr>
        <w:br w:type="page" w:clear="all"/>
      </w:r>
      <w:bookmarkStart w:id="66" w:name="_Toc7268"/>
      <w:r/>
      <w:bookmarkStart w:id="67" w:name="_Toc20369"/>
      <w:r/>
      <w:bookmarkStart w:id="68" w:name="_Toc5792"/>
      <w:r>
        <w:rPr>
          <w:rFonts w:hint="eastAsia" w:ascii="宋体" w:hAnsi="宋体" w:eastAsia="宋体" w:cs="宋体"/>
          <w:color w:val="000000"/>
          <w:sz w:val="32"/>
          <w:highlight w:val="none"/>
        </w:rPr>
        <w:t xml:space="preserve">一、资格审查响应对照表</w:t>
      </w:r>
      <w:bookmarkEnd w:id="66"/>
      <w:r/>
      <w:bookmarkEnd w:id="67"/>
      <w:r/>
      <w:bookmarkEnd w:id="68"/>
      <w:r>
        <w:rPr>
          <w:rFonts w:hint="eastAsia" w:ascii="宋体" w:hAnsi="宋体" w:eastAsia="宋体" w:cs="宋体"/>
          <w:b w:val="0"/>
          <w:color w:val="000000"/>
          <w:sz w:val="32"/>
          <w:szCs w:val="32"/>
          <w:highlight w:val="none"/>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062"/>
        <w:gridCol w:w="2030"/>
      </w:tblGrid>
      <w:tr>
        <w:trPr>
          <w:trHeight w:val="647"/>
        </w:trPr>
        <w:tc>
          <w:tcPr>
            <w:tcW w:w="427"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6062"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2030"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519"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761"/>
        </w:trPr>
        <w:tc>
          <w:tcPr>
            <w:tcW w:w="427" w:type="dxa"/>
            <w:vAlign w:val="center"/>
            <w:textDirection w:val="lrTb"/>
            <w:noWrap w:val="false"/>
          </w:tcPr>
          <w:p>
            <w:pPr>
              <w:pStyle w:val="737"/>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法人或者其他组织的营业执照等证明文件，自然人的身份证明</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上一年度的财务报告情况（成立不满一年无需提供）</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具备履行合同所必需的设备和专业技术能力的书面声明；</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参加政府采购活动前3年内在经营活动中没有重大违法记录的书面声明；</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供应商信用承诺函；</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42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6062" w:type="dxa"/>
            <w:vAlign w:val="center"/>
            <w:textDirection w:val="lrTb"/>
            <w:noWrap w:val="false"/>
          </w:tcPr>
          <w:p>
            <w:pPr>
              <w:pStyle w:val="7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41"/>
        </w:trPr>
        <w:tc>
          <w:tcPr>
            <w:gridSpan w:val="3"/>
            <w:tcW w:w="851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落实政府采购政策需满足的资格要求：无</w:t>
            </w:r>
            <w:r>
              <w:rPr>
                <w:rFonts w:hint="eastAsia" w:ascii="宋体" w:hAnsi="宋体" w:eastAsia="宋体" w:cs="宋体"/>
                <w:color w:val="000000"/>
                <w:szCs w:val="21"/>
                <w:highlight w:val="none"/>
              </w:rPr>
            </w:r>
            <w:r/>
          </w:p>
        </w:tc>
      </w:tr>
      <w:tr>
        <w:trPr>
          <w:trHeight w:val="400"/>
        </w:trPr>
        <w:tc>
          <w:tcPr>
            <w:gridSpan w:val="3"/>
            <w:tcW w:w="8519" w:type="dxa"/>
            <w:vAlign w:val="center"/>
            <w:textDirection w:val="lrTb"/>
            <w:noWrap w:val="false"/>
          </w:tcPr>
          <w:p>
            <w:pPr>
              <w:pStyle w:val="737"/>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特定资格条件：无</w:t>
            </w:r>
            <w:r>
              <w:rPr>
                <w:rFonts w:hint="eastAsia" w:ascii="宋体" w:hAnsi="宋体" w:eastAsia="宋体" w:cs="宋体"/>
                <w:color w:val="000000"/>
                <w:szCs w:val="21"/>
                <w:highlight w:val="none"/>
              </w:rPr>
            </w:r>
            <w:r/>
          </w:p>
        </w:tc>
      </w:tr>
      <w:tr>
        <w:trPr>
          <w:trHeight w:val="400"/>
        </w:trPr>
        <w:tc>
          <w:tcPr>
            <w:gridSpan w:val="3"/>
            <w:tcW w:w="851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rPr>
                <w:rFonts w:hint="eastAsia" w:ascii="宋体" w:hAnsi="宋体" w:eastAsia="宋体" w:cs="宋体"/>
                <w:color w:val="000000"/>
                <w:szCs w:val="21"/>
                <w:highlight w:val="none"/>
              </w:rPr>
            </w:r>
            <w:r/>
          </w:p>
        </w:tc>
      </w:tr>
      <w:tr>
        <w:trPr>
          <w:trHeight w:val="400"/>
        </w:trPr>
        <w:tc>
          <w:tcPr>
            <w:tcW w:w="427" w:type="dxa"/>
            <w:vAlign w:val="center"/>
            <w:textDirection w:val="lrTb"/>
            <w:noWrap w:val="false"/>
          </w:tcPr>
          <w:p>
            <w:pPr>
              <w:pStyle w:val="737"/>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6062" w:type="dxa"/>
            <w:vAlign w:val="center"/>
            <w:textDirection w:val="lrTb"/>
            <w:noWrap w:val="false"/>
          </w:tcPr>
          <w:p>
            <w:pPr>
              <w:pStyle w:val="737"/>
              <w:jc w:val="left"/>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投标函</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427" w:type="dxa"/>
            <w:vAlign w:val="center"/>
            <w:textDirection w:val="lrTb"/>
            <w:noWrap w:val="false"/>
          </w:tcPr>
          <w:p>
            <w:pPr>
              <w:pStyle w:val="737"/>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6062" w:type="dxa"/>
            <w:vAlign w:val="center"/>
            <w:textDirection w:val="lrTb"/>
            <w:noWrap w:val="false"/>
          </w:tcPr>
          <w:p>
            <w:pPr>
              <w:pStyle w:val="737"/>
              <w:jc w:val="left"/>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法人授权书</w:t>
            </w:r>
            <w:r>
              <w:rPr>
                <w:rFonts w:hint="eastAsia" w:ascii="宋体" w:hAnsi="宋体" w:eastAsia="宋体" w:cs="宋体"/>
                <w:iCs/>
                <w:color w:val="000000"/>
                <w:szCs w:val="21"/>
                <w:highlight w:val="none"/>
              </w:rPr>
            </w:r>
            <w:r/>
          </w:p>
        </w:tc>
        <w:tc>
          <w:tcPr>
            <w:tcW w:w="203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ind w:firstLine="1476"/>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highlight w:val="none"/>
        </w:rPr>
      </w:r>
      <w:r/>
    </w:p>
    <w:p>
      <w:pPr>
        <w:pStyle w:val="737"/>
        <w:ind w:firstLine="1476"/>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具备履行合同所必需的设备和专业技术能力的书面声明</w:t>
      </w:r>
      <w:r>
        <w:rPr>
          <w:rFonts w:hint="eastAsia" w:ascii="宋体" w:hAnsi="宋体" w:eastAsia="宋体" w:cs="宋体"/>
          <w:b/>
          <w:bCs/>
          <w:color w:val="000000"/>
          <w:highlight w:val="none"/>
        </w:rPr>
      </w:r>
      <w:r/>
    </w:p>
    <w:p>
      <w:pPr>
        <w:pStyle w:val="737"/>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highlight w:val="none"/>
        </w:rPr>
      </w:r>
      <w:r/>
    </w:p>
    <w:p>
      <w:pPr>
        <w:pStyle w:val="737"/>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rPr>
      </w:r>
      <w:r/>
    </w:p>
    <w:p>
      <w:pPr>
        <w:pStyle w:val="737"/>
        <w:ind w:firstLine="492"/>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br w:type="page" w:clear="all"/>
      </w:r>
      <w:r>
        <w:rPr>
          <w:rFonts w:hint="eastAsia" w:ascii="宋体" w:hAnsi="宋体" w:eastAsia="宋体" w:cs="宋体"/>
          <w:b/>
          <w:color w:val="000000"/>
          <w:sz w:val="36"/>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参加本次政府采购活动前 3 年内在经营活动中没有重大违法记录的书面声明</w:t>
      </w:r>
      <w:r>
        <w:rPr>
          <w:rFonts w:hint="eastAsia" w:ascii="宋体" w:hAnsi="宋体" w:eastAsia="宋体" w:cs="宋体"/>
          <w:b/>
          <w:bCs/>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jc w:val="center"/>
        <w:spacing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rPr>
          <w:rFonts w:hint="eastAsia" w:ascii="宋体" w:hAnsi="宋体" w:eastAsia="宋体" w:cs="宋体"/>
          <w:b/>
          <w:bCs/>
          <w:color w:val="000000"/>
          <w:highlight w:val="none"/>
        </w:rPr>
      </w:r>
      <w:r/>
    </w:p>
    <w:p>
      <w:pPr>
        <w:pStyle w:val="7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7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r>
        <w:rPr>
          <w:rFonts w:hint="eastAsia" w:ascii="宋体" w:hAnsi="宋体" w:eastAsia="宋体" w:cs="宋体"/>
          <w:bCs/>
          <w:color w:val="000000"/>
          <w:highlight w:val="none"/>
        </w:rPr>
      </w:r>
      <w:r/>
    </w:p>
    <w:p>
      <w:pPr>
        <w:pStyle w:val="7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 xml:space="preserve">_______________________</w:t>
      </w:r>
      <w:r>
        <w:rPr>
          <w:rFonts w:hint="eastAsia" w:ascii="宋体" w:hAnsi="宋体" w:eastAsia="宋体" w:cs="宋体"/>
          <w:bCs/>
          <w:color w:val="000000"/>
          <w:highlight w:val="none"/>
        </w:rPr>
      </w:r>
      <w:r/>
    </w:p>
    <w:p>
      <w:pPr>
        <w:pStyle w:val="737"/>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  年  月  日</w:t>
      </w:r>
      <w:r>
        <w:rPr>
          <w:rFonts w:hint="eastAsia" w:ascii="宋体" w:hAnsi="宋体" w:eastAsia="宋体" w:cs="宋体"/>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500" w:lineRule="exact"/>
        <w:rPr>
          <w:rFonts w:hint="eastAsia" w:ascii="宋体" w:hAnsi="宋体" w:eastAsia="宋体" w:cs="宋体"/>
          <w:b/>
          <w:color w:val="000000"/>
          <w:szCs w:val="21"/>
          <w:highlight w:val="none"/>
        </w:rPr>
      </w:pPr>
      <w:r>
        <w:rPr>
          <w:rFonts w:hint="eastAsia" w:ascii="宋体" w:hAnsi="宋体" w:eastAsia="宋体" w:cs="宋体"/>
          <w:b/>
          <w:bCs/>
          <w:color w:val="000000"/>
          <w:highlight w:val="none"/>
        </w:rPr>
        <w:br w:type="page" w:clear="all"/>
      </w:r>
      <w:r>
        <w:rPr>
          <w:rFonts w:hint="eastAsia" w:ascii="宋体" w:hAnsi="宋体" w:eastAsia="宋体" w:cs="宋体"/>
          <w:b/>
          <w:color w:val="000000"/>
          <w:szCs w:val="21"/>
          <w:highlight w:val="none"/>
        </w:rPr>
        <w:t xml:space="preserve">供应商信用承诺书</w:t>
      </w:r>
      <w:r>
        <w:rPr>
          <w:rFonts w:hint="eastAsia" w:ascii="宋体" w:hAnsi="宋体" w:eastAsia="宋体" w:cs="宋体"/>
          <w:b/>
          <w:color w:val="000000"/>
          <w:szCs w:val="21"/>
          <w:highlight w:val="none"/>
        </w:rPr>
      </w:r>
      <w:r/>
    </w:p>
    <w:p>
      <w:pPr>
        <w:pStyle w:val="7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73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73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（注：法定代表人或负责人、主体名称发生变更的应当重新做出承诺。）</w:t>
      </w:r>
      <w:r>
        <w:rPr>
          <w:rFonts w:hint="eastAsia" w:ascii="宋体" w:hAnsi="宋体" w:eastAsia="宋体" w:cs="宋体"/>
          <w:color w:val="000000"/>
          <w:szCs w:val="21"/>
          <w:highlight w:val="none"/>
        </w:rPr>
      </w:r>
      <w:r/>
    </w:p>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rPr>
          <w:rFonts w:hint="eastAsia" w:ascii="宋体" w:hAnsi="宋体" w:eastAsia="宋体" w:cs="宋体"/>
          <w:color w:val="000000"/>
          <w:szCs w:val="21"/>
          <w:highlight w:val="none"/>
        </w:rPr>
      </w:r>
      <w:r/>
    </w:p>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737"/>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投标函格式</w:t>
      </w:r>
      <w:r>
        <w:rPr>
          <w:rFonts w:hint="eastAsia" w:ascii="宋体" w:hAnsi="宋体" w:eastAsia="宋体" w:cs="宋体"/>
          <w:b/>
          <w:bCs/>
          <w:color w:val="000000"/>
          <w:highlight w:val="none"/>
        </w:rPr>
      </w:r>
      <w:r/>
    </w:p>
    <w:p>
      <w:pPr>
        <w:pStyle w:val="960"/>
        <w:ind w:firstLine="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highlight w:val="none"/>
        </w:rPr>
        <w:t xml:space="preserve">江苏苏维工程管理有限公司</w:t>
      </w:r>
      <w:r>
        <w:rPr>
          <w:rFonts w:hint="eastAsia" w:ascii="宋体" w:hAnsi="宋体" w:eastAsia="宋体" w:cs="宋体"/>
          <w:color w:val="000000"/>
          <w:sz w:val="21"/>
          <w:szCs w:val="21"/>
          <w:highlight w:val="none"/>
        </w:rPr>
      </w:r>
      <w:r/>
    </w:p>
    <w:p>
      <w:pPr>
        <w:pStyle w:val="960"/>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hint="eastAsia" w:ascii="宋体" w:hAnsi="宋体" w:eastAsia="宋体" w:cs="宋体"/>
          <w:color w:val="000000"/>
          <w:sz w:val="21"/>
          <w:szCs w:val="21"/>
          <w:highlight w:val="none"/>
        </w:rPr>
      </w:r>
      <w:r/>
    </w:p>
    <w:p>
      <w:pPr>
        <w:pStyle w:val="960"/>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据此函，__________签字人（姓名）兹宣布同意如下：</w:t>
      </w:r>
      <w:r>
        <w:rPr>
          <w:rFonts w:hint="eastAsia" w:ascii="宋体" w:hAnsi="宋体" w:eastAsia="宋体" w:cs="宋体"/>
          <w:color w:val="000000"/>
          <w:sz w:val="21"/>
          <w:szCs w:val="21"/>
          <w:highlight w:val="none"/>
        </w:rPr>
      </w:r>
      <w:r/>
    </w:p>
    <w:p>
      <w:pPr>
        <w:pStyle w:val="960"/>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1.按招标文件规定的各项要求，向买方提供所需货物与服务。</w:t>
      </w:r>
      <w:r>
        <w:rPr>
          <w:rFonts w:hint="eastAsia" w:ascii="宋体" w:hAnsi="宋体" w:eastAsia="宋体" w:cs="宋体"/>
          <w:color w:val="000000"/>
          <w:sz w:val="21"/>
          <w:szCs w:val="21"/>
          <w:highlight w:val="none"/>
        </w:rPr>
      </w:r>
      <w:r/>
    </w:p>
    <w:p>
      <w:pPr>
        <w:pStyle w:val="960"/>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rPr>
          <w:rFonts w:hint="eastAsia" w:ascii="宋体" w:hAnsi="宋体" w:eastAsia="宋体" w:cs="宋体"/>
          <w:color w:val="000000"/>
          <w:sz w:val="21"/>
          <w:szCs w:val="21"/>
          <w:highlight w:val="none"/>
        </w:rPr>
      </w:r>
      <w:r/>
    </w:p>
    <w:p>
      <w:pPr>
        <w:pStyle w:val="960"/>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6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96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6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rPr>
      </w:r>
      <w:r/>
    </w:p>
    <w:p>
      <w:pPr>
        <w:pStyle w:val="960"/>
        <w:ind w:left="425" w:firstLine="105"/>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960"/>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rPr>
          <w:rFonts w:hint="eastAsia" w:ascii="宋体" w:hAnsi="宋体" w:eastAsia="宋体" w:cs="宋体"/>
          <w:color w:val="000000"/>
          <w:sz w:val="21"/>
          <w:szCs w:val="21"/>
          <w:highlight w:val="none"/>
        </w:rPr>
      </w:r>
      <w:r/>
    </w:p>
    <w:p>
      <w:pPr>
        <w:pStyle w:val="737"/>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1"/>
          <w:szCs w:val="21"/>
          <w:highlight w:val="none"/>
        </w:rPr>
        <w:t xml:space="preserve">法人授权书</w:t>
      </w:r>
      <w:r>
        <w:rPr>
          <w:rFonts w:hint="eastAsia" w:ascii="宋体" w:hAnsi="宋体" w:eastAsia="宋体" w:cs="宋体"/>
          <w:b/>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961"/>
        <w:ind w:firstLine="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 </w:t>
      </w:r>
      <w:r>
        <w:rPr>
          <w:rFonts w:hint="eastAsia" w:ascii="宋体" w:hAnsi="宋体" w:eastAsia="宋体" w:cs="宋体"/>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 </w:t>
      </w:r>
      <w:r>
        <w:rPr>
          <w:rFonts w:hint="eastAsia" w:ascii="宋体" w:hAnsi="宋体" w:eastAsia="宋体" w:cs="宋体"/>
          <w:color w:val="000000"/>
          <w:sz w:val="21"/>
          <w:szCs w:val="21"/>
          <w:highlight w:val="none"/>
        </w:rPr>
      </w:r>
      <w:r/>
    </w:p>
    <w:p>
      <w:pPr>
        <w:pStyle w:val="961"/>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r>
      <w:r/>
    </w:p>
    <w:p>
      <w:pPr>
        <w:pStyle w:val="961"/>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737"/>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3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7"/>
        <w:ind w:firstLine="420"/>
        <w:spacing w:line="460" w:lineRule="exact"/>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924"/>
        <w:rPr>
          <w:rFonts w:hint="eastAsia" w:ascii="宋体" w:hAnsi="宋体" w:eastAsia="宋体" w:cs="宋体"/>
          <w:color w:val="000000"/>
          <w:sz w:val="32"/>
          <w:highlight w:val="none"/>
        </w:rPr>
      </w:pPr>
      <w:r/>
      <w:bookmarkStart w:id="69" w:name="_Toc9345"/>
      <w:r/>
      <w:bookmarkStart w:id="70" w:name="_Toc16911"/>
      <w:r/>
      <w:bookmarkStart w:id="71" w:name="_Toc20616"/>
      <w:r>
        <w:rPr>
          <w:rFonts w:hint="eastAsia" w:ascii="宋体" w:hAnsi="宋体" w:eastAsia="宋体" w:cs="宋体"/>
          <w:color w:val="000000"/>
          <w:sz w:val="32"/>
          <w:highlight w:val="none"/>
        </w:rPr>
        <w:t xml:space="preserve">二、符合性审查响应对照表</w:t>
      </w:r>
      <w:bookmarkEnd w:id="69"/>
      <w:r/>
      <w:bookmarkEnd w:id="70"/>
      <w:r/>
      <w:bookmarkEnd w:id="71"/>
      <w:r>
        <w:rPr>
          <w:rFonts w:hint="eastAsia" w:ascii="宋体" w:hAnsi="宋体" w:eastAsia="宋体" w:cs="宋体"/>
          <w:color w:val="000000"/>
          <w:sz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999"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924"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720"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737"/>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bCs/>
                <w:iCs/>
                <w:color w:val="000000"/>
                <w:szCs w:val="21"/>
                <w:highlight w:val="none"/>
              </w:rPr>
            </w:pPr>
            <w:r>
              <w:rPr>
                <w:rFonts w:hint="eastAsia" w:ascii="宋体" w:hAnsi="宋体" w:eastAsia="宋体" w:cs="宋体"/>
                <w:bCs/>
                <w:iCs/>
                <w:color w:val="000000"/>
                <w:szCs w:val="21"/>
                <w:highlight w:val="none"/>
              </w:rPr>
              <w:t xml:space="preserve">采购需求中必须满足的实质性要求（即加斜体下划线内容，每条详细列出）</w:t>
            </w:r>
            <w:r>
              <w:rPr>
                <w:rFonts w:hint="eastAsia" w:ascii="宋体" w:hAnsi="宋体" w:eastAsia="宋体" w:cs="宋体"/>
                <w:bCs/>
                <w:iCs/>
                <w:color w:val="000000"/>
                <w:szCs w:val="21"/>
                <w:highlight w:val="none"/>
              </w:rPr>
            </w:r>
            <w:r/>
          </w:p>
        </w:tc>
        <w:tc>
          <w:tcPr>
            <w:tcW w:w="924"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720"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24"/>
        <w:rPr>
          <w:rFonts w:hint="eastAsia" w:ascii="宋体" w:hAnsi="宋体" w:eastAsia="宋体" w:cs="宋体"/>
          <w:color w:val="000000"/>
          <w:sz w:val="32"/>
          <w:highlight w:val="none"/>
        </w:rPr>
      </w:pPr>
      <w:r/>
      <w:bookmarkStart w:id="72" w:name="_Toc23068"/>
      <w:r/>
      <w:bookmarkStart w:id="73" w:name="_Toc23420"/>
      <w:r/>
      <w:bookmarkStart w:id="74" w:name="_Toc29406"/>
      <w:r>
        <w:rPr>
          <w:rFonts w:hint="eastAsia" w:ascii="宋体" w:hAnsi="宋体" w:eastAsia="宋体" w:cs="宋体"/>
          <w:color w:val="000000"/>
          <w:sz w:val="32"/>
          <w:highlight w:val="none"/>
        </w:rPr>
        <w:t xml:space="preserve">三、非实质性响应对照表</w:t>
      </w:r>
      <w:bookmarkEnd w:id="72"/>
      <w:r/>
      <w:bookmarkEnd w:id="73"/>
      <w:r/>
      <w:bookmarkEnd w:id="74"/>
      <w:r>
        <w:rPr>
          <w:rFonts w:hint="eastAsia" w:ascii="宋体" w:hAnsi="宋体" w:eastAsia="宋体" w:cs="宋体"/>
          <w:color w:val="000000"/>
          <w:sz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2999"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924"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720" w:type="dxa"/>
            <w:vAlign w:val="center"/>
            <w:textDirection w:val="lrTb"/>
            <w:noWrap w:val="false"/>
          </w:tcPr>
          <w:p>
            <w:pPr>
              <w:pStyle w:val="737"/>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737"/>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《残疾人福利性单位声明函》</w:t>
            </w: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720" w:type="dxa"/>
            <w:vAlign w:val="center"/>
            <w:textDirection w:val="lrTb"/>
            <w:noWrap w:val="false"/>
          </w:tcPr>
          <w:p>
            <w:pPr>
              <w:pStyle w:val="73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355"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999" w:type="dxa"/>
            <w:vAlign w:val="center"/>
            <w:textDirection w:val="lrTb"/>
            <w:noWrap w:val="false"/>
          </w:tcPr>
          <w:p>
            <w:pPr>
              <w:pStyle w:val="737"/>
              <w:spacing w:line="0" w:lineRule="atLeas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924"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0"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before="312" w:after="312"/>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中小企业声明函（货物）</w:t>
      </w:r>
      <w:r>
        <w:rPr>
          <w:rFonts w:hint="eastAsia" w:ascii="宋体" w:hAnsi="宋体" w:eastAsia="宋体" w:cs="宋体"/>
          <w:b/>
          <w:bCs/>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（软件和信息技术服务业）行业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"br1" </w:instrText>
      </w:r>
      <w:r>
        <w:rPr>
          <w:rFonts w:hint="eastAsia" w:ascii="宋体" w:hAnsi="宋体" w:eastAsia="宋体" w:cs="宋体"/>
          <w:color w:val="000000"/>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（软件和信息技术服务业）行业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737"/>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1、从业人员（不仅指在职职工）、营业收入、资产总额填报上一年度数据，无上一年度数据的新成立企业可不填报。</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hint="eastAsia" w:ascii="宋体" w:hAnsi="宋体" w:eastAsia="宋体" w:cs="宋体"/>
          <w:color w:val="000000"/>
          <w:highlight w:val="none"/>
        </w:rPr>
      </w:r>
      <w:r/>
    </w:p>
    <w:p>
      <w:pPr>
        <w:pStyle w:val="737"/>
        <w:ind w:firstLine="422"/>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3、供应商如不提供此声明函，价格将不做相应扣除。</w:t>
      </w:r>
      <w:r>
        <w:rPr>
          <w:rFonts w:hint="eastAsia" w:ascii="宋体" w:hAnsi="宋体" w:eastAsia="宋体" w:cs="宋体"/>
          <w:b/>
          <w:bCs/>
          <w:color w:val="000000"/>
          <w:highlight w:val="none"/>
        </w:rPr>
      </w:r>
      <w:r/>
    </w:p>
    <w:p>
      <w:pPr>
        <w:pStyle w:val="737"/>
        <w:ind w:firstLine="42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4、企业声明函请完整填写，中标后将公示。</w:t>
      </w:r>
      <w:r>
        <w:rPr>
          <w:rFonts w:hint="eastAsia" w:ascii="宋体" w:hAnsi="宋体" w:eastAsia="宋体" w:cs="宋体"/>
          <w:b/>
          <w:bCs/>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b/>
          <w:bCs/>
          <w:color w:val="000000"/>
          <w:highlight w:val="none"/>
        </w:rPr>
        <w:t xml:space="preserve">声明函请按照第四章项目需求中的采购清单并根据实际情况逐项填写，否则视为不符合要求</w:t>
      </w:r>
      <w:r>
        <w:rPr>
          <w:rFonts w:hint="eastAsia" w:ascii="宋体" w:hAnsi="宋体" w:eastAsia="宋体" w:cs="宋体"/>
          <w:b/>
          <w:bCs/>
          <w:color w:val="000000"/>
          <w:highlight w:val="none"/>
          <w:lang w:eastAsia="zh-CN"/>
        </w:rPr>
        <w:t xml:space="preserve">，</w:t>
      </w:r>
      <w:r>
        <w:rPr>
          <w:rFonts w:ascii="Times New Roman" w:hAnsi="Times New Roman" w:eastAsia="宋体"/>
          <w:b/>
          <w:bCs/>
          <w:color w:val="000000"/>
          <w:highlight w:val="none"/>
        </w:rPr>
        <w:t xml:space="preserve">价格不作扣除</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r>
      <w:r/>
    </w:p>
    <w:p>
      <w:pPr>
        <w:pStyle w:val="73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Cs w:val="21"/>
          <w:highlight w:val="none"/>
        </w:rPr>
      </w:r>
      <w:r/>
    </w:p>
    <w:p>
      <w:pPr>
        <w:pStyle w:val="737"/>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szCs w:val="21"/>
          <w:highlight w:val="none"/>
        </w:rPr>
      </w:r>
      <w:r/>
    </w:p>
    <w:p>
      <w:pPr>
        <w:pStyle w:val="737"/>
        <w:ind w:firstLine="52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rPr>
      </w:r>
      <w:r/>
    </w:p>
    <w:p>
      <w:pPr>
        <w:pStyle w:val="737"/>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737"/>
        <w:jc w:val="center"/>
        <w:rPr>
          <w:rStyle w:val="950"/>
          <w:rFonts w:hint="eastAsia" w:ascii="宋体" w:hAnsi="宋体" w:eastAsia="宋体" w:cs="宋体"/>
          <w:color w:val="000000"/>
          <w:szCs w:val="21"/>
          <w:highlight w:val="none"/>
        </w:rPr>
      </w:pPr>
      <w:r>
        <w:rPr>
          <w:rStyle w:val="950"/>
          <w:rFonts w:hint="eastAsia" w:ascii="宋体" w:hAnsi="宋体" w:eastAsia="宋体" w:cs="宋体"/>
          <w:color w:val="000000"/>
          <w:szCs w:val="21"/>
          <w:highlight w:val="none"/>
        </w:rPr>
        <w:t xml:space="preserve">中小微企业划型标准</w:t>
      </w:r>
      <w:r>
        <w:rPr>
          <w:rStyle w:val="950"/>
          <w:rFonts w:hint="eastAsia" w:ascii="宋体" w:hAnsi="宋体" w:eastAsia="宋体" w:cs="宋体"/>
          <w:color w:val="000000"/>
          <w:szCs w:val="21"/>
          <w:highlight w:val="none"/>
        </w:rPr>
      </w:r>
      <w:r/>
    </w:p>
    <w:p>
      <w:pPr>
        <w:pStyle w:val="945"/>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950"/>
          <w:rFonts w:hint="eastAsia" w:ascii="宋体" w:hAnsi="宋体" w:eastAsia="宋体" w:cs="宋体"/>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45"/>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6000≤Y＜80000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300≤Y＜6000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Y＜300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5000≤Z＜80000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300≤Z＜5000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Z＜300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5≤X＜20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X＜5</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5000≤Y＜40000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500≤Y＜20000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200≤Y＜3000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2000≤Y＜30000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ind w:firstLine="420"/>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5000≤Z＜10000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2000≤Y＜5000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300≤X＜1000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1000≤Y＜5000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500≤Y＜1000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37"/>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8000≤Z＜120000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100≤Z＜8000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Y＜100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100≤X＜300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10≤X＜100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5"/>
              <w:jc w:val="center"/>
              <w:spacing w:after="150" w:line="360" w:lineRule="auto"/>
              <w:widowControl/>
              <w:rPr>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X＜10</w:t>
            </w:r>
            <w:r>
              <w:rPr>
                <w:rFonts w:hint="eastAsia" w:ascii="宋体" w:hAnsi="宋体" w:eastAsia="宋体" w:cs="宋体"/>
                <w:color w:val="000000"/>
                <w:sz w:val="21"/>
                <w:szCs w:val="21"/>
                <w:highlight w:val="none"/>
              </w:rPr>
            </w:r>
            <w:r/>
          </w:p>
        </w:tc>
      </w:tr>
    </w:tbl>
    <w:p>
      <w:pPr>
        <w:pStyle w:val="945"/>
        <w:ind w:firstLine="810"/>
        <w:spacing w:before="300" w:after="452" w:line="360" w:lineRule="auto"/>
        <w:widowControl/>
        <w:rPr>
          <w:rStyle w:val="950"/>
          <w:rFonts w:hint="eastAsia" w:ascii="宋体" w:hAnsi="宋体" w:eastAsia="宋体" w:cs="宋体"/>
          <w:color w:val="000000"/>
          <w:sz w:val="21"/>
          <w:szCs w:val="21"/>
          <w:highlight w:val="none"/>
        </w:rPr>
      </w:pPr>
      <w:r>
        <w:rPr>
          <w:rStyle w:val="950"/>
          <w:rFonts w:hint="eastAsia" w:ascii="宋体" w:hAnsi="宋体" w:eastAsia="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50"/>
          <w:rFonts w:hint="eastAsia" w:ascii="宋体" w:hAnsi="宋体" w:eastAsia="宋体" w:cs="宋体"/>
          <w:color w:val="000000"/>
          <w:sz w:val="21"/>
          <w:szCs w:val="21"/>
          <w:highlight w:val="none"/>
        </w:rPr>
      </w:r>
      <w:r/>
    </w:p>
    <w:p>
      <w:pPr>
        <w:pStyle w:val="925"/>
        <w:rPr>
          <w:rFonts w:hint="eastAsia" w:ascii="宋体" w:hAnsi="宋体" w:eastAsia="宋体" w:cs="宋体"/>
          <w:color w:val="000000"/>
          <w:highlight w:val="none"/>
        </w:rPr>
      </w:pPr>
      <w:r>
        <w:rPr>
          <w:rStyle w:val="950"/>
          <w:rFonts w:hint="eastAsia" w:ascii="宋体" w:hAnsi="宋体" w:eastAsia="宋体" w:cs="宋体"/>
          <w:b w:val="0"/>
          <w:color w:val="000000"/>
          <w:sz w:val="21"/>
          <w:szCs w:val="21"/>
          <w:highlight w:val="none"/>
        </w:rPr>
        <w:br w:type="page" w:clear="all"/>
      </w:r>
      <w:r>
        <w:rPr>
          <w:rFonts w:hint="eastAsia" w:ascii="宋体" w:hAnsi="宋体" w:eastAsia="宋体" w:cs="宋体"/>
          <w:color w:val="000000"/>
          <w:highlight w:val="none"/>
        </w:rPr>
      </w:r>
      <w:r/>
    </w:p>
    <w:p>
      <w:pPr>
        <w:pStyle w:val="737"/>
        <w:ind w:firstLine="272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737"/>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37"/>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737"/>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本单位在本次政府采购活动中提供的残疾人福利单位产品报价合计为人民币（大写）圆整（￥：     ）。</w:t>
      </w:r>
      <w:r>
        <w:rPr>
          <w:rFonts w:hint="eastAsia" w:ascii="宋体" w:hAnsi="宋体" w:eastAsia="宋体" w:cs="宋体"/>
          <w:color w:val="000000"/>
          <w:szCs w:val="21"/>
          <w:highlight w:val="none"/>
        </w:rPr>
      </w:r>
      <w:r/>
    </w:p>
    <w:p>
      <w:pPr>
        <w:pStyle w:val="737"/>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737"/>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szCs w:val="21"/>
          <w:highlight w:val="none"/>
        </w:rPr>
      </w:r>
      <w:r/>
    </w:p>
    <w:p>
      <w:pPr>
        <w:pStyle w:val="737"/>
        <w:ind w:firstLine="444"/>
        <w:spacing w:line="588"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737"/>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供应商全称（盖章）：</w:t>
      </w:r>
      <w:r>
        <w:rPr>
          <w:rFonts w:hint="eastAsia" w:ascii="宋体" w:hAnsi="宋体" w:eastAsia="宋体" w:cs="宋体"/>
          <w:color w:val="000000"/>
          <w:szCs w:val="21"/>
          <w:highlight w:val="none"/>
        </w:rPr>
      </w:r>
      <w:r/>
    </w:p>
    <w:p>
      <w:pPr>
        <w:pStyle w:val="737"/>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center"/>
        <w:rPr>
          <w:rFonts w:hint="eastAsia" w:ascii="宋体" w:hAnsi="宋体" w:eastAsia="宋体" w:cs="宋体"/>
          <w:color w:val="000000"/>
          <w:sz w:val="32"/>
          <w:highlight w:val="none"/>
        </w:rPr>
      </w:pPr>
      <w:r>
        <w:rPr>
          <w:rFonts w:hint="eastAsia" w:ascii="宋体" w:hAnsi="宋体" w:eastAsia="宋体" w:cs="宋体"/>
          <w:b/>
          <w:color w:val="000000"/>
          <w:sz w:val="32"/>
          <w:szCs w:val="32"/>
          <w:highlight w:val="none"/>
        </w:rPr>
        <w:br w:type="page" w:clear="all"/>
      </w:r>
      <w:bookmarkStart w:id="75" w:name="_Toc25382"/>
      <w:r/>
      <w:bookmarkStart w:id="76" w:name="_Toc19910"/>
      <w:r>
        <w:rPr>
          <w:rFonts w:hint="eastAsia" w:ascii="宋体" w:hAnsi="宋体" w:eastAsia="宋体" w:cs="宋体"/>
          <w:b/>
          <w:bCs/>
          <w:color w:val="000000"/>
          <w:sz w:val="32"/>
          <w:szCs w:val="44"/>
          <w:highlight w:val="none"/>
        </w:rPr>
        <w:t xml:space="preserve">四、开标一览表</w:t>
      </w:r>
      <w:bookmarkEnd w:id="75"/>
      <w:r/>
      <w:bookmarkEnd w:id="76"/>
      <w:r>
        <w:rPr>
          <w:rFonts w:hint="eastAsia" w:ascii="宋体" w:hAnsi="宋体" w:eastAsia="宋体" w:cs="宋体"/>
          <w:color w:val="000000"/>
          <w:sz w:val="32"/>
          <w:highlight w:val="none"/>
        </w:rPr>
      </w:r>
      <w:r/>
    </w:p>
    <w:p>
      <w:pPr>
        <w:pStyle w:val="737"/>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p>
      <w:pPr>
        <w:pStyle w:val="737"/>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737"/>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分包号(如有)： </w:t>
      </w:r>
      <w:r>
        <w:rPr>
          <w:rFonts w:hint="eastAsia" w:ascii="宋体" w:hAnsi="宋体" w:eastAsia="宋体" w:cs="宋体"/>
          <w:color w:val="000000"/>
          <w:szCs w:val="21"/>
          <w:highlight w:val="none"/>
        </w:rPr>
      </w:r>
      <w:r/>
    </w:p>
    <w:p>
      <w:pPr>
        <w:pStyle w:val="737"/>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dxa"/>
            <w:vAlign w:val="center"/>
            <w:textDirection w:val="lrTb"/>
            <w:noWrap w:val="false"/>
          </w:tcPr>
          <w:p>
            <w:pPr>
              <w:pStyle w:val="93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投标货物及服务名称</w:t>
            </w:r>
            <w:r>
              <w:rPr>
                <w:rFonts w:hint="eastAsia" w:ascii="宋体" w:hAnsi="宋体" w:eastAsia="宋体" w:cs="宋体"/>
                <w:color w:val="000000"/>
                <w:sz w:val="21"/>
                <w:szCs w:val="21"/>
                <w:highlight w:val="none"/>
              </w:rPr>
            </w:r>
            <w:r/>
          </w:p>
        </w:tc>
        <w:tc>
          <w:tcPr>
            <w:tcW w:w="3604"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w:t>
            </w:r>
            <w:r>
              <w:rPr>
                <w:rFonts w:hint="eastAsia" w:ascii="宋体" w:hAnsi="宋体" w:eastAsia="宋体" w:cs="宋体"/>
                <w:color w:val="000000"/>
                <w:szCs w:val="21"/>
                <w:highlight w:val="none"/>
              </w:rPr>
            </w:r>
            <w:r/>
          </w:p>
        </w:tc>
      </w:tr>
      <w:tr>
        <w:trPr>
          <w:cantSplit/>
          <w:trHeight w:val="1697"/>
        </w:trPr>
        <w:tc>
          <w:tcPr>
            <w:tcW w:w="1395" w:type="dxa"/>
            <w:vAlign w:val="center"/>
            <w:textDirection w:val="lrTb"/>
            <w:noWrap w:val="false"/>
          </w:tcPr>
          <w:p>
            <w:pPr>
              <w:pStyle w:val="93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04" w:type="dxa"/>
            <w:vAlign w:val="center"/>
            <w:textDirection w:val="lrTb"/>
            <w:noWrap w:val="false"/>
          </w:tcPr>
          <w:p>
            <w:pPr>
              <w:pStyle w:val="960"/>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960"/>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p>
            <w:pPr>
              <w:pStyle w:val="960"/>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7"/>
        <w:ind w:firstLine="480"/>
        <w:rPr>
          <w:rFonts w:hint="eastAsia" w:ascii="宋体" w:hAnsi="宋体" w:eastAsia="宋体" w:cs="宋体"/>
          <w:color w:val="000000"/>
          <w:sz w:val="32"/>
          <w:szCs w:val="32"/>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32"/>
          <w:szCs w:val="32"/>
          <w:highlight w:val="none"/>
        </w:rPr>
      </w:r>
      <w:r/>
    </w:p>
    <w:p>
      <w:pPr>
        <w:pStyle w:val="930"/>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30"/>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7"/>
        <w:jc w:val="center"/>
        <w:rPr>
          <w:rFonts w:hint="eastAsia" w:ascii="宋体" w:hAnsi="宋体" w:eastAsia="宋体" w:cs="宋体"/>
          <w:color w:val="000000"/>
          <w:sz w:val="32"/>
          <w:highlight w:val="none"/>
        </w:rPr>
      </w:pPr>
      <w:r>
        <w:rPr>
          <w:rFonts w:hint="eastAsia" w:ascii="宋体" w:hAnsi="宋体" w:eastAsia="宋体" w:cs="宋体"/>
          <w:color w:val="000000"/>
          <w:sz w:val="32"/>
          <w:szCs w:val="32"/>
          <w:highlight w:val="none"/>
        </w:rPr>
        <w:br w:type="page" w:clear="all"/>
      </w:r>
      <w:bookmarkStart w:id="77" w:name="_Toc17891"/>
      <w:r/>
      <w:bookmarkStart w:id="78" w:name="_Toc20323"/>
      <w:r>
        <w:rPr>
          <w:rFonts w:hint="eastAsia" w:ascii="宋体" w:hAnsi="宋体" w:eastAsia="宋体" w:cs="宋体"/>
          <w:b/>
          <w:bCs/>
          <w:color w:val="000000"/>
          <w:sz w:val="32"/>
          <w:szCs w:val="44"/>
          <w:highlight w:val="none"/>
        </w:rPr>
        <w:t xml:space="preserve">五、投标产品配置及分项报价表</w:t>
      </w:r>
      <w:bookmarkEnd w:id="77"/>
      <w:r/>
      <w:bookmarkEnd w:id="78"/>
      <w:r>
        <w:rPr>
          <w:rFonts w:hint="eastAsia" w:ascii="宋体" w:hAnsi="宋体" w:eastAsia="宋体" w:cs="宋体"/>
          <w:color w:val="000000"/>
          <w:sz w:val="32"/>
          <w:highlight w:val="none"/>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trHeight w:val="538"/>
        </w:trPr>
        <w:tc>
          <w:tcPr>
            <w:tcW w:w="2502"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49"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731"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06"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29"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99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463"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r>
      <w:tr>
        <w:trPr>
          <w:cantSplit/>
          <w:trHeight w:val="313"/>
        </w:trPr>
        <w:tc>
          <w:tcPr>
            <w:tcW w:w="2502"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产品名称及规格、型号</w:t>
            </w:r>
            <w:r>
              <w:rPr>
                <w:rFonts w:hint="eastAsia" w:ascii="宋体" w:hAnsi="宋体" w:eastAsia="宋体" w:cs="宋体"/>
                <w:color w:val="000000"/>
                <w:szCs w:val="21"/>
                <w:highlight w:val="none"/>
              </w:rPr>
            </w:r>
            <w:r/>
          </w:p>
        </w:tc>
        <w:tc>
          <w:tcPr>
            <w:tcW w:w="1249"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731"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产地</w:t>
            </w:r>
            <w:r>
              <w:rPr>
                <w:rFonts w:hint="eastAsia" w:ascii="宋体" w:hAnsi="宋体" w:eastAsia="宋体" w:cs="宋体"/>
                <w:color w:val="000000"/>
                <w:szCs w:val="21"/>
                <w:highlight w:val="none"/>
              </w:rPr>
            </w:r>
            <w:r/>
          </w:p>
        </w:tc>
        <w:tc>
          <w:tcPr>
            <w:tcW w:w="1206"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交付期</w:t>
            </w:r>
            <w:r>
              <w:rPr>
                <w:rFonts w:hint="eastAsia" w:ascii="宋体" w:hAnsi="宋体" w:eastAsia="宋体" w:cs="宋体"/>
                <w:color w:val="000000"/>
                <w:szCs w:val="21"/>
                <w:highlight w:val="none"/>
              </w:rPr>
            </w:r>
            <w:r/>
          </w:p>
        </w:tc>
        <w:tc>
          <w:tcPr>
            <w:tcW w:w="1329"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tc>
        <w:tc>
          <w:tcPr>
            <w:tcW w:w="997"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w:t>
            </w:r>
            <w:r>
              <w:rPr>
                <w:rFonts w:hint="eastAsia" w:ascii="宋体" w:hAnsi="宋体" w:eastAsia="宋体" w:cs="宋体"/>
                <w:color w:val="000000"/>
                <w:szCs w:val="21"/>
                <w:highlight w:val="none"/>
              </w:rPr>
            </w:r>
            <w:r/>
          </w:p>
        </w:tc>
        <w:tc>
          <w:tcPr>
            <w:tcW w:w="1463"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总价</w:t>
            </w:r>
            <w:r>
              <w:rPr>
                <w:rFonts w:hint="eastAsia" w:ascii="宋体" w:hAnsi="宋体" w:eastAsia="宋体" w:cs="宋体"/>
                <w:color w:val="000000"/>
                <w:szCs w:val="21"/>
                <w:highlight w:val="none"/>
              </w:rPr>
            </w:r>
            <w:r/>
          </w:p>
        </w:tc>
      </w:tr>
      <w:tr>
        <w:trPr>
          <w:cantSplit/>
          <w:trHeight w:val="906"/>
        </w:trPr>
        <w:tc>
          <w:tcPr>
            <w:tcW w:w="2502"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6"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97"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3"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906"/>
        </w:trPr>
        <w:tc>
          <w:tcPr>
            <w:tcW w:w="2502"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6"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97"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3"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906"/>
        </w:trPr>
        <w:tc>
          <w:tcPr>
            <w:tcW w:w="2502"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6"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97"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3"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573"/>
        </w:trPr>
        <w:tc>
          <w:tcPr>
            <w:tcW w:w="2502"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6"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9"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97"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3" w:type="dxa"/>
            <w:vAlign w:val="center"/>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1019"/>
        </w:trPr>
        <w:tc>
          <w:tcPr>
            <w:tcW w:w="2502"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gridSpan w:val="5"/>
            <w:tcW w:w="5512" w:type="dxa"/>
            <w:vAlign w:val="top"/>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3" w:type="dxa"/>
            <w:vAlign w:val="top"/>
            <w:textDirection w:val="lrTb"/>
            <w:noWrap w:val="false"/>
          </w:tcPr>
          <w:p>
            <w:pPr>
              <w:pStyle w:val="73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7"/>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7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color w:val="000000"/>
          <w:sz w:val="32"/>
          <w:highlight w:val="none"/>
        </w:rPr>
      </w:pPr>
      <w:r/>
      <w:bookmarkStart w:id="79" w:name="_Toc5967"/>
      <w:r/>
      <w:bookmarkStart w:id="80" w:name="_Toc9678"/>
      <w:r/>
      <w:bookmarkStart w:id="81" w:name="_Toc16517"/>
      <w:r>
        <w:rPr>
          <w:rFonts w:hint="eastAsia" w:ascii="宋体" w:hAnsi="宋体" w:eastAsia="宋体" w:cs="宋体"/>
          <w:color w:val="000000"/>
          <w:sz w:val="32"/>
          <w:highlight w:val="none"/>
        </w:rPr>
        <w:t xml:space="preserve">六、技术参数响应及偏离表</w:t>
      </w:r>
      <w:bookmarkEnd w:id="79"/>
      <w:r/>
      <w:bookmarkEnd w:id="80"/>
      <w:r/>
      <w:bookmarkEnd w:id="81"/>
      <w:r>
        <w:rPr>
          <w:rFonts w:hint="eastAsia" w:ascii="宋体" w:hAnsi="宋体" w:eastAsia="宋体" w:cs="宋体"/>
          <w:color w:val="000000"/>
          <w:sz w:val="32"/>
          <w:highlight w:val="none"/>
        </w:rPr>
      </w:r>
      <w:r/>
    </w:p>
    <w:tbl>
      <w:tblPr>
        <w:tblW w:w="890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551"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招标要求</w:t>
            </w:r>
            <w:r>
              <w:rPr>
                <w:rFonts w:hint="eastAsia" w:ascii="宋体" w:hAnsi="宋体" w:eastAsia="宋体" w:cs="宋体"/>
                <w:color w:val="000000"/>
                <w:szCs w:val="21"/>
                <w:highlight w:val="none"/>
              </w:rPr>
            </w:r>
            <w:r/>
          </w:p>
        </w:tc>
        <w:tc>
          <w:tcPr>
            <w:tcW w:w="2701"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投标响应</w:t>
            </w:r>
            <w:r>
              <w:rPr>
                <w:rFonts w:hint="eastAsia" w:ascii="宋体" w:hAnsi="宋体" w:eastAsia="宋体" w:cs="宋体"/>
                <w:color w:val="000000"/>
                <w:szCs w:val="21"/>
                <w:highlight w:val="none"/>
              </w:rPr>
            </w:r>
            <w:r/>
          </w:p>
        </w:tc>
        <w:tc>
          <w:tcPr>
            <w:tcW w:w="1458"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210" w:type="dxa"/>
            <w:vAlign w:val="center"/>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5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1"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58"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73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注：1、按照基本技术要求详细填列。</w:t>
      </w:r>
      <w:r>
        <w:rPr>
          <w:rFonts w:hint="eastAsia" w:ascii="宋体" w:hAnsi="宋体" w:eastAsia="宋体" w:cs="宋体"/>
          <w:color w:val="000000"/>
          <w:sz w:val="24"/>
          <w:szCs w:val="24"/>
          <w:highlight w:val="none"/>
        </w:rPr>
      </w:r>
      <w:r/>
    </w:p>
    <w:p>
      <w:pPr>
        <w:pStyle w:val="73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2、行数不够，可自行添加。</w:t>
      </w:r>
      <w:r>
        <w:rPr>
          <w:rFonts w:hint="eastAsia" w:ascii="宋体" w:hAnsi="宋体" w:eastAsia="宋体" w:cs="宋体"/>
          <w:color w:val="000000"/>
          <w:sz w:val="24"/>
          <w:szCs w:val="24"/>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7"/>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br w:type="page" w:clear="all"/>
      </w:r>
      <w:bookmarkStart w:id="82" w:name="_Hlt26955054"/>
      <w:r/>
      <w:bookmarkEnd w:id="82"/>
      <w:r/>
      <w:bookmarkStart w:id="83" w:name="_Toc32154"/>
      <w:r/>
      <w:bookmarkStart w:id="84" w:name="_Toc16820"/>
      <w:r>
        <w:rPr>
          <w:rFonts w:hint="eastAsia" w:ascii="宋体" w:hAnsi="宋体" w:eastAsia="宋体" w:cs="宋体"/>
          <w:b/>
          <w:bCs/>
          <w:color w:val="000000"/>
          <w:sz w:val="32"/>
          <w:szCs w:val="44"/>
          <w:highlight w:val="none"/>
        </w:rPr>
        <w:t xml:space="preserve">七、商务条款响应及偏离表</w:t>
      </w:r>
      <w:bookmarkEnd w:id="83"/>
      <w:r/>
      <w:bookmarkEnd w:id="84"/>
      <w:r>
        <w:rPr>
          <w:rFonts w:hint="eastAsia" w:ascii="宋体" w:hAnsi="宋体" w:eastAsia="宋体" w:cs="宋体"/>
          <w:color w:val="000000"/>
          <w:sz w:val="32"/>
          <w:highlight w:val="none"/>
        </w:rPr>
      </w:r>
      <w:r/>
    </w:p>
    <w:tbl>
      <w:tblPr>
        <w:tblW w:w="84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bookmarkStart w:id="85" w:name="_Hlt26782999"/>
            <w:r/>
            <w:bookmarkEnd w:id="85"/>
            <w:r/>
            <w:bookmarkStart w:id="86" w:name="_Hlt24879081"/>
            <w:r/>
            <w:bookmarkEnd w:id="86"/>
            <w:r/>
            <w:bookmarkStart w:id="87" w:name="_Hlt26671343"/>
            <w:r/>
            <w:bookmarkEnd w:id="87"/>
            <w:r/>
            <w:bookmarkStart w:id="88" w:name="_Hlt26955056"/>
            <w:r/>
            <w:bookmarkEnd w:id="88"/>
            <w:r/>
            <w:bookmarkStart w:id="89" w:name="_Hlt26580838"/>
            <w:r/>
            <w:bookmarkEnd w:id="89"/>
            <w:r/>
            <w:bookmarkStart w:id="90" w:name="_Hlt26609391"/>
            <w:r/>
            <w:bookmarkEnd w:id="90"/>
            <w:r/>
            <w:bookmarkStart w:id="91" w:name="_Hlt26671372"/>
            <w:r/>
            <w:bookmarkEnd w:id="91"/>
            <w:r/>
            <w:bookmarkStart w:id="92" w:name="_Hlt26955064"/>
            <w:r/>
            <w:bookmarkEnd w:id="92"/>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W w:w="2122"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招标文件要求</w:t>
            </w:r>
            <w:r>
              <w:rPr>
                <w:rFonts w:hint="eastAsia" w:ascii="宋体" w:hAnsi="宋体" w:eastAsia="宋体" w:cs="宋体"/>
                <w:color w:val="000000"/>
                <w:szCs w:val="21"/>
                <w:highlight w:val="none"/>
              </w:rPr>
            </w:r>
            <w:r/>
          </w:p>
        </w:tc>
        <w:tc>
          <w:tcPr>
            <w:tcW w:w="1800"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W w:w="2561"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投标人的承诺或说明</w:t>
            </w:r>
            <w:r>
              <w:rPr>
                <w:rFonts w:hint="eastAsia" w:ascii="宋体" w:hAnsi="宋体" w:eastAsia="宋体" w:cs="宋体"/>
                <w:color w:val="000000"/>
                <w:szCs w:val="21"/>
                <w:highlight w:val="none"/>
              </w:rPr>
            </w:r>
            <w:r/>
          </w:p>
        </w:tc>
      </w:tr>
      <w:tr>
        <w:trPr>
          <w:trHeight w:val="624"/>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质保期</w:t>
            </w:r>
            <w:r>
              <w:rPr>
                <w:rFonts w:hint="eastAsia" w:ascii="宋体" w:hAnsi="宋体" w:eastAsia="宋体" w:cs="宋体"/>
                <w:color w:val="000000"/>
                <w:szCs w:val="21"/>
                <w:highlight w:val="none"/>
              </w:rPr>
            </w:r>
            <w:r/>
          </w:p>
        </w:tc>
        <w:tc>
          <w:tcPr>
            <w:tcW w:w="2122"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50"/>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售后技术服务要求</w:t>
            </w:r>
            <w:r>
              <w:rPr>
                <w:rFonts w:hint="eastAsia" w:ascii="宋体" w:hAnsi="宋体" w:eastAsia="宋体" w:cs="宋体"/>
                <w:color w:val="000000"/>
                <w:szCs w:val="21"/>
                <w:highlight w:val="none"/>
              </w:rPr>
            </w:r>
            <w:r/>
          </w:p>
        </w:tc>
        <w:tc>
          <w:tcPr>
            <w:tcW w:w="2122"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7"/>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交付时间</w:t>
            </w:r>
            <w:r>
              <w:rPr>
                <w:rFonts w:hint="eastAsia" w:ascii="宋体" w:hAnsi="宋体" w:eastAsia="宋体" w:cs="宋体"/>
                <w:color w:val="000000"/>
                <w:szCs w:val="21"/>
                <w:highlight w:val="none"/>
              </w:rPr>
            </w:r>
            <w:r/>
          </w:p>
        </w:tc>
        <w:tc>
          <w:tcPr>
            <w:tcW w:w="2122"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6"/>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交货方式</w:t>
            </w:r>
            <w:r>
              <w:rPr>
                <w:rFonts w:hint="eastAsia" w:ascii="宋体" w:hAnsi="宋体" w:eastAsia="宋体" w:cs="宋体"/>
                <w:color w:val="000000"/>
                <w:szCs w:val="21"/>
                <w:highlight w:val="none"/>
              </w:rPr>
            </w:r>
            <w:r/>
          </w:p>
        </w:tc>
        <w:tc>
          <w:tcPr>
            <w:tcW w:w="2122" w:type="dxa"/>
            <w:vAlign w:val="top"/>
            <w:textDirection w:val="lrTb"/>
            <w:noWrap w:val="false"/>
          </w:tcPr>
          <w:p>
            <w:pPr>
              <w:pStyle w:val="737"/>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3"/>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交货地点</w:t>
            </w:r>
            <w:r>
              <w:rPr>
                <w:rFonts w:hint="eastAsia" w:ascii="宋体" w:hAnsi="宋体" w:eastAsia="宋体" w:cs="宋体"/>
                <w:color w:val="000000"/>
                <w:szCs w:val="21"/>
                <w:highlight w:val="none"/>
              </w:rPr>
            </w:r>
            <w:r/>
          </w:p>
        </w:tc>
        <w:tc>
          <w:tcPr>
            <w:tcW w:w="2122" w:type="dxa"/>
            <w:vAlign w:val="top"/>
            <w:textDirection w:val="lrTb"/>
            <w:noWrap w:val="false"/>
          </w:tcPr>
          <w:p>
            <w:pPr>
              <w:pStyle w:val="737"/>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ind w:left="43"/>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4"/>
        </w:trPr>
        <w:tc>
          <w:tcPr>
            <w:tcW w:w="1935"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2122" w:type="dxa"/>
            <w:vAlign w:val="top"/>
            <w:textDirection w:val="lrTb"/>
            <w:noWrap w:val="false"/>
          </w:tcPr>
          <w:p>
            <w:pPr>
              <w:pStyle w:val="737"/>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00"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1" w:type="dxa"/>
            <w:vAlign w:val="top"/>
            <w:textDirection w:val="lrTb"/>
            <w:noWrap w:val="false"/>
          </w:tcPr>
          <w:p>
            <w:pPr>
              <w:pStyle w:val="737"/>
              <w:jc w:val="center"/>
              <w:spacing w:before="15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7"/>
        <w:spacing w:line="48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30"/>
        <w:ind w:firstLine="480"/>
        <w:rPr>
          <w:rFonts w:hint="eastAsia" w:ascii="宋体" w:hAnsi="宋体" w:eastAsia="宋体" w:cs="宋体"/>
          <w:color w:val="000000"/>
          <w:sz w:val="24"/>
          <w:highlight w:val="none"/>
        </w:rPr>
      </w:pPr>
      <w:r/>
      <w:bookmarkStart w:id="93" w:name="_Hlt26955066"/>
      <w:r/>
      <w:bookmarkEnd w:id="93"/>
      <w:r/>
      <w:bookmarkStart w:id="94" w:name="_Hlt26609389"/>
      <w:r/>
      <w:bookmarkEnd w:id="94"/>
      <w:r/>
      <w:bookmarkStart w:id="95" w:name="_Hlt26671374"/>
      <w:r/>
      <w:bookmarkEnd w:id="95"/>
      <w:r/>
      <w:bookmarkStart w:id="96" w:name="_Toc462564146"/>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jc w:val="center"/>
        <w:rPr>
          <w:rFonts w:hint="eastAsia" w:ascii="宋体" w:hAnsi="宋体" w:eastAsia="宋体" w:cs="宋体"/>
          <w:b/>
          <w:bCs/>
          <w:color w:val="000000"/>
          <w:sz w:val="32"/>
          <w:szCs w:val="4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44"/>
          <w:highlight w:val="none"/>
        </w:rPr>
        <w:t xml:space="preserve">八、拟投入人员一览表</w:t>
      </w:r>
      <w:r>
        <w:rPr>
          <w:rFonts w:hint="eastAsia" w:ascii="宋体" w:hAnsi="宋体" w:eastAsia="宋体" w:cs="宋体"/>
          <w:b/>
          <w:bCs/>
          <w:color w:val="000000"/>
          <w:sz w:val="32"/>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trHeight w:val="781"/>
        </w:trPr>
        <w:tc>
          <w:tcPr>
            <w:tcW w:w="676"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出生年月</w:t>
            </w: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专业</w:t>
            </w: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证书及编号</w:t>
            </w: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before="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7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676"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44"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6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5"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3"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71" w:type="dxa"/>
            <w:vAlign w:val="center"/>
            <w:textDirection w:val="lrTb"/>
            <w:noWrap w:val="false"/>
          </w:tcPr>
          <w:p>
            <w:pPr>
              <w:pStyle w:val="737"/>
              <w:ind w:righ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7"/>
        <w:jc w:val="center"/>
        <w:widowControl/>
        <w:rPr>
          <w:rFonts w:hint="eastAsia" w:ascii="宋体" w:hAnsi="宋体" w:eastAsia="宋体" w:cs="宋体"/>
          <w:b/>
          <w:color w:val="000000"/>
          <w:highlight w:val="none"/>
        </w:rPr>
      </w:pPr>
      <w:r/>
      <w:bookmarkEnd w:id="96"/>
      <w:r/>
      <w:bookmarkStart w:id="97" w:name="_格式2__法定代表人授权书"/>
      <w:r/>
      <w:bookmarkEnd w:id="97"/>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主要标的信息（中标后将公示）</w:t>
      </w:r>
      <w:r>
        <w:rPr>
          <w:rFonts w:hint="eastAsia" w:ascii="宋体" w:hAnsi="宋体" w:eastAsia="宋体" w:cs="宋体"/>
          <w:b/>
          <w:color w:val="000000"/>
          <w:highlight w:val="none"/>
        </w:rPr>
      </w:r>
      <w:r/>
    </w:p>
    <w:p>
      <w:pPr>
        <w:pStyle w:val="737"/>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b/>
          <w:color w:val="000000"/>
          <w:highlight w:val="none"/>
        </w:rPr>
      </w:r>
      <w:r/>
    </w:p>
    <w:tbl>
      <w:tblPr>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3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货物类</w:t>
            </w:r>
            <w:r>
              <w:rPr>
                <w:rFonts w:hint="eastAsia" w:ascii="宋体" w:hAnsi="宋体" w:eastAsia="宋体" w:cs="宋体"/>
                <w:color w:val="000000"/>
                <w:highlight w:val="none"/>
              </w:rPr>
            </w:r>
            <w:r/>
          </w:p>
        </w:tc>
        <w:tc>
          <w:tcPr>
            <w:tcW w:w="3780" w:type="dxa"/>
            <w:vAlign w:val="top"/>
            <w:textDirection w:val="lrTb"/>
            <w:noWrap w:val="false"/>
          </w:tcPr>
          <w:p>
            <w:pPr>
              <w:pStyle w:val="73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rHeight w:val="3810"/>
        </w:trPr>
        <w:tc>
          <w:tcPr>
            <w:tcW w:w="3901" w:type="dxa"/>
            <w:vAlign w:val="top"/>
            <w:textDirection w:val="lrTb"/>
            <w:noWrap w:val="false"/>
          </w:tcPr>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品牌（如有）：</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规格型号：</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单价：</w:t>
            </w:r>
            <w:r>
              <w:rPr>
                <w:rFonts w:hint="eastAsia" w:ascii="宋体" w:hAnsi="宋体" w:eastAsia="宋体" w:cs="宋体"/>
                <w:color w:val="000000"/>
                <w:highlight w:val="none"/>
              </w:rPr>
            </w:r>
            <w:r/>
          </w:p>
        </w:tc>
        <w:tc>
          <w:tcPr>
            <w:tcW w:w="3780" w:type="dxa"/>
            <w:vAlign w:val="top"/>
            <w:textDirection w:val="lrTb"/>
            <w:noWrap w:val="false"/>
          </w:tcPr>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服务范围：</w:t>
            </w:r>
            <w:r>
              <w:rPr>
                <w:rFonts w:hint="eastAsia" w:ascii="宋体" w:hAnsi="宋体" w:eastAsia="宋体" w:cs="宋体"/>
                <w:color w:val="000000"/>
                <w:highlight w:val="none"/>
              </w:rPr>
            </w:r>
            <w:r/>
          </w:p>
          <w:p>
            <w:pPr>
              <w:pStyle w:val="737"/>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服务要求：</w:t>
            </w:r>
            <w:r>
              <w:rPr>
                <w:rFonts w:hint="eastAsia" w:ascii="宋体" w:hAnsi="宋体" w:eastAsia="宋体" w:cs="宋体"/>
                <w:color w:val="000000"/>
                <w:highlight w:val="none"/>
                <w:u w:val="single"/>
              </w:rPr>
            </w:r>
            <w:r/>
          </w:p>
          <w:p>
            <w:pPr>
              <w:pStyle w:val="737"/>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服务时间：</w:t>
            </w:r>
            <w:r>
              <w:rPr>
                <w:rFonts w:hint="eastAsia" w:ascii="宋体" w:hAnsi="宋体" w:eastAsia="宋体" w:cs="宋体"/>
                <w:color w:val="000000"/>
                <w:highlight w:val="none"/>
                <w:u w:val="singl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服务标准：</w:t>
            </w:r>
            <w:r>
              <w:rPr>
                <w:rFonts w:hint="eastAsia" w:ascii="宋体" w:hAnsi="宋体" w:eastAsia="宋体" w:cs="宋体"/>
                <w:color w:val="000000"/>
                <w:highlight w:val="none"/>
              </w:rPr>
            </w:r>
            <w:r/>
          </w:p>
        </w:tc>
      </w:tr>
    </w:tbl>
    <w:p>
      <w:pPr>
        <w:pStyle w:val="73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37"/>
        <w:ind w:firstLine="21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联合体协议（如有）</w:t>
      </w:r>
      <w:r>
        <w:rPr>
          <w:rFonts w:hint="eastAsia" w:ascii="宋体" w:hAnsi="宋体" w:eastAsia="宋体" w:cs="宋体"/>
          <w:b/>
          <w:color w:val="000000"/>
          <w:highlight w:val="none"/>
        </w:rPr>
      </w:r>
      <w:r/>
    </w:p>
    <w:p>
      <w:pPr>
        <w:pStyle w:val="737"/>
        <w:ind w:firstLine="211"/>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3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color w:val="000000"/>
          <w:highlight w:val="none"/>
        </w:rPr>
      </w:r>
      <w:r/>
    </w:p>
    <w:p>
      <w:pPr>
        <w:pStyle w:val="737"/>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1、我们自愿组成联合体，参加代理机构组织的采购编号为（项目编号）（项目全称）的政府采购活动。</w:t>
      </w:r>
      <w:r>
        <w:rPr>
          <w:rFonts w:hint="eastAsia" w:ascii="宋体" w:hAnsi="宋体" w:eastAsia="宋体" w:cs="宋体"/>
          <w:color w:val="000000"/>
          <w:highlight w:val="none"/>
        </w:rPr>
      </w:r>
      <w:r/>
    </w:p>
    <w:p>
      <w:pPr>
        <w:pStyle w:val="737"/>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highlight w:val="none"/>
        </w:rPr>
      </w:r>
      <w:r/>
    </w:p>
    <w:p>
      <w:pPr>
        <w:pStyle w:val="737"/>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ind w:firstLine="46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所有供应商全称：</w:t>
      </w:r>
      <w:r>
        <w:rPr>
          <w:rFonts w:hint="eastAsia" w:ascii="宋体" w:hAnsi="宋体" w:eastAsia="宋体" w:cs="宋体"/>
          <w:color w:val="000000"/>
          <w:highlight w:val="none"/>
        </w:rPr>
      </w:r>
      <w:r/>
    </w:p>
    <w:p>
      <w:pPr>
        <w:pStyle w:val="737"/>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  </w:t>
      </w:r>
      <w:r>
        <w:rPr>
          <w:rFonts w:hint="eastAsia" w:ascii="宋体" w:hAnsi="宋体" w:eastAsia="宋体" w:cs="宋体"/>
          <w:color w:val="000000"/>
          <w:highlight w:val="none"/>
        </w:rPr>
      </w:r>
      <w:r/>
    </w:p>
    <w:p>
      <w:pPr>
        <w:pStyle w:val="737"/>
        <w:ind w:firstLine="46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37"/>
                    </w:pPr>
                    <w:r/>
                    <w:r/>
                  </w:p>
                </w:txbxContent>
              </v:textbox>
            </v:shape>
          </w:pict>
        </mc:Fallback>
      </mc:AlternateContent>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pPr>
    <w:r>
      <w:rPr>
        <w:rFonts w:hint="eastAsia"/>
        <w:lang w:eastAsia="zh-CN"/>
      </w:rPr>
      <w:t xml:space="preserve">JSZC-321000-SWGC-G2024-0202号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pPr>
    <w:r>
      <w:rPr>
        <w:rFonts w:hint="eastAsia"/>
        <w:lang w:eastAsia="zh-CN"/>
      </w:rPr>
      <w:t xml:space="preserve">JSZC-321000-SWGC-G2024-0202号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decimal"/>
      <w:pStyle w:val="963"/>
      <w:isLgl w:val="false"/>
      <w:suff w:val="nothing"/>
      <w:lvlText w:val="（%1）"/>
      <w:lvlJc w:val="left"/>
      <w:pPr>
        <w:pStyle w:val="737"/>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737"/>
        <w:ind w:left="1413" w:firstLine="0"/>
      </w:pPr>
      <w:rPr>
        <w:rFonts w:hint="eastAsia"/>
      </w:rPr>
    </w:lvl>
    <w:lvl w:ilvl="2">
      <w:start w:val="1"/>
      <w:numFmt w:val="lowerRoman"/>
      <w:isLgl w:val="false"/>
      <w:suff w:val="tab"/>
      <w:lvlText w:val="%3."/>
      <w:lvlJc w:val="right"/>
      <w:pPr>
        <w:pStyle w:val="737"/>
        <w:ind w:left="1833" w:firstLine="0"/>
      </w:pPr>
      <w:rPr>
        <w:rFonts w:hint="eastAsia"/>
      </w:rPr>
    </w:lvl>
    <w:lvl w:ilvl="3">
      <w:start w:val="1"/>
      <w:numFmt w:val="decimal"/>
      <w:isLgl w:val="false"/>
      <w:suff w:val="tab"/>
      <w:lvlText w:val="%4）"/>
      <w:lvlJc w:val="left"/>
      <w:pPr>
        <w:pStyle w:val="737"/>
        <w:ind w:left="2253" w:firstLine="0"/>
      </w:pPr>
      <w:rPr>
        <w:rFonts w:hint="eastAsia"/>
      </w:rPr>
    </w:lvl>
    <w:lvl w:ilvl="4">
      <w:start w:val="1"/>
      <w:numFmt w:val="lowerLetter"/>
      <w:isLgl w:val="false"/>
      <w:suff w:val="tab"/>
      <w:lvlText w:val="%5)"/>
      <w:lvlJc w:val="left"/>
      <w:pPr>
        <w:pStyle w:val="737"/>
        <w:ind w:left="2673" w:firstLine="0"/>
      </w:pPr>
      <w:rPr>
        <w:rFonts w:hint="eastAsia"/>
      </w:rPr>
    </w:lvl>
    <w:lvl w:ilvl="5">
      <w:start w:val="1"/>
      <w:numFmt w:val="lowerRoman"/>
      <w:isLgl w:val="false"/>
      <w:suff w:val="tab"/>
      <w:lvlText w:val="%6."/>
      <w:lvlJc w:val="right"/>
      <w:pPr>
        <w:pStyle w:val="737"/>
        <w:ind w:left="3093" w:firstLine="0"/>
      </w:pPr>
      <w:rPr>
        <w:rFonts w:hint="eastAsia"/>
      </w:rPr>
    </w:lvl>
    <w:lvl w:ilvl="6">
      <w:start w:val="1"/>
      <w:numFmt w:val="decimal"/>
      <w:isLgl w:val="false"/>
      <w:suff w:val="tab"/>
      <w:lvlText w:val="%7."/>
      <w:lvlJc w:val="left"/>
      <w:pPr>
        <w:pStyle w:val="737"/>
        <w:ind w:left="3513" w:firstLine="0"/>
      </w:pPr>
      <w:rPr>
        <w:rFonts w:hint="eastAsia"/>
      </w:rPr>
    </w:lvl>
    <w:lvl w:ilvl="7">
      <w:start w:val="1"/>
      <w:numFmt w:val="lowerLetter"/>
      <w:isLgl w:val="false"/>
      <w:suff w:val="tab"/>
      <w:lvlText w:val="%8)"/>
      <w:lvlJc w:val="left"/>
      <w:pPr>
        <w:pStyle w:val="737"/>
        <w:ind w:left="3933" w:firstLine="0"/>
      </w:pPr>
      <w:rPr>
        <w:rFonts w:hint="eastAsia"/>
      </w:rPr>
    </w:lvl>
    <w:lvl w:ilvl="8">
      <w:start w:val="1"/>
      <w:numFmt w:val="lowerRoman"/>
      <w:isLgl w:val="false"/>
      <w:suff w:val="tab"/>
      <w:lvlText w:val="%9."/>
      <w:lvlJc w:val="right"/>
      <w:pPr>
        <w:pStyle w:val="737"/>
        <w:ind w:left="4353" w:firstLine="0"/>
      </w:pPr>
      <w:rPr>
        <w:rFonts w:hint="eastAsia"/>
      </w:rPr>
    </w:lvl>
  </w:abstractNum>
  <w:abstractNum w:abstractNumId="3">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784"/>
    <w:uiPriority w:val="10"/>
    <w:qFormat/>
    <w:pPr>
      <w:contextualSpacing/>
      <w:spacing w:before="300" w:after="200"/>
    </w:pPr>
    <w:rPr>
      <w:sz w:val="48"/>
      <w:szCs w:val="48"/>
    </w:rPr>
  </w:style>
  <w:style w:type="paragraph" w:styleId="717">
    <w:name w:val="Subtitle"/>
    <w:basedOn w:val="737"/>
    <w:next w:val="737"/>
    <w:link w:val="775"/>
    <w:uiPriority w:val="11"/>
    <w:qFormat/>
    <w:pPr>
      <w:spacing w:before="200" w:after="200"/>
    </w:pPr>
    <w:rPr>
      <w:sz w:val="24"/>
      <w:szCs w:val="24"/>
    </w:rPr>
  </w:style>
  <w:style w:type="paragraph" w:styleId="718">
    <w:name w:val="Header"/>
    <w:basedOn w:val="737"/>
    <w:link w:val="771"/>
    <w:uiPriority w:val="99"/>
    <w:unhideWhenUsed/>
    <w:pPr>
      <w:spacing w:after="0" w:line="240" w:lineRule="auto"/>
      <w:tabs>
        <w:tab w:val="center" w:pos="7143" w:leader="none"/>
        <w:tab w:val="right" w:pos="14287" w:leader="none"/>
      </w:tabs>
    </w:pPr>
  </w:style>
  <w:style w:type="paragraph" w:styleId="719">
    <w:name w:val="Footer"/>
    <w:basedOn w:val="737"/>
    <w:link w:val="790"/>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77"/>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767"/>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Calibri" w:hAnsi="Calibri" w:eastAsia="宋体" w:cs="Times New Roman"/>
      <w:sz w:val="21"/>
      <w:szCs w:val="22"/>
      <w:lang w:val="en-US" w:eastAsia="zh-CN" w:bidi="ar-SA"/>
    </w:rPr>
  </w:style>
  <w:style w:type="paragraph" w:styleId="738">
    <w:name w:val="标题 1"/>
    <w:basedOn w:val="737"/>
    <w:next w:val="737"/>
    <w:link w:val="750"/>
    <w:uiPriority w:val="9"/>
    <w:qFormat/>
    <w:pPr>
      <w:jc w:val="center"/>
      <w:keepLines/>
      <w:keepNext/>
      <w:spacing w:line="360" w:lineRule="auto"/>
      <w:outlineLvl w:val="0"/>
    </w:pPr>
    <w:rPr>
      <w:rFonts w:ascii="Arial" w:hAnsi="Arial" w:eastAsia="宋体" w:cs="Arial"/>
      <w:b/>
      <w:sz w:val="30"/>
      <w:szCs w:val="40"/>
    </w:rPr>
  </w:style>
  <w:style w:type="paragraph" w:styleId="739">
    <w:name w:val="标题 2"/>
    <w:basedOn w:val="737"/>
    <w:next w:val="737"/>
    <w:link w:val="751"/>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37"/>
    <w:link w:val="752"/>
    <w:uiPriority w:val="9"/>
    <w:unhideWhenUsed/>
    <w:qFormat/>
    <w:pPr>
      <w:keepLines/>
      <w:keepNext/>
      <w:spacing w:before="320" w:after="200"/>
      <w:outlineLvl w:val="2"/>
    </w:pPr>
    <w:rPr>
      <w:rFonts w:ascii="Arial" w:hAnsi="Arial" w:eastAsia="Arial" w:cs="Arial"/>
      <w:sz w:val="30"/>
      <w:szCs w:val="30"/>
    </w:rPr>
  </w:style>
  <w:style w:type="paragraph" w:styleId="741">
    <w:name w:val="标题 4"/>
    <w:basedOn w:val="737"/>
    <w:next w:val="737"/>
    <w:link w:val="753"/>
    <w:uiPriority w:val="9"/>
    <w:unhideWhenUsed/>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5"/>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7"/>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paragraph" w:styleId="749">
    <w:name w:val="Default"/>
    <w:next w:val="737"/>
    <w:link w:val="737"/>
    <w:qFormat/>
    <w:pPr>
      <w:widowControl w:val="off"/>
    </w:pPr>
    <w:rPr>
      <w:rFonts w:ascii="黑体" w:hAnsi="Times New Roman" w:eastAsia="黑体" w:cs="Times New Roman"/>
      <w:lang w:val="en-US" w:eastAsia="zh-CN" w:bidi="ar-SA"/>
    </w:rPr>
  </w:style>
  <w:style w:type="character" w:styleId="750">
    <w:name w:val="Heading 1 Char"/>
    <w:next w:val="750"/>
    <w:link w:val="738"/>
    <w:uiPriority w:val="9"/>
    <w:qFormat/>
    <w:rPr>
      <w:rFonts w:ascii="Arial" w:hAnsi="Arial" w:eastAsia="宋体" w:cs="Arial"/>
      <w:b/>
      <w:sz w:val="30"/>
      <w:szCs w:val="40"/>
    </w:rPr>
  </w:style>
  <w:style w:type="character" w:styleId="751">
    <w:name w:val="Heading 2 Char"/>
    <w:next w:val="751"/>
    <w:link w:val="739"/>
    <w:uiPriority w:val="9"/>
    <w:qFormat/>
    <w:rPr>
      <w:rFonts w:ascii="Arial" w:hAnsi="Arial" w:eastAsia="Arial" w:cs="Arial"/>
      <w:sz w:val="34"/>
    </w:rPr>
  </w:style>
  <w:style w:type="character" w:styleId="752">
    <w:name w:val="Heading 3 Char"/>
    <w:next w:val="752"/>
    <w:link w:val="740"/>
    <w:uiPriority w:val="9"/>
    <w:qFormat/>
    <w:rPr>
      <w:rFonts w:ascii="Arial" w:hAnsi="Arial" w:eastAsia="Arial" w:cs="Arial"/>
      <w:sz w:val="30"/>
      <w:szCs w:val="30"/>
    </w:rPr>
  </w:style>
  <w:style w:type="character" w:styleId="753">
    <w:name w:val="Heading 4 Char"/>
    <w:next w:val="753"/>
    <w:link w:val="741"/>
    <w:uiPriority w:val="9"/>
    <w:qFormat/>
    <w:rPr>
      <w:rFonts w:ascii="Arial" w:hAnsi="Arial" w:eastAsia="Arial" w:cs="Arial"/>
      <w:b/>
      <w:bCs/>
      <w:sz w:val="26"/>
      <w:szCs w:val="26"/>
    </w:rPr>
  </w:style>
  <w:style w:type="character" w:styleId="754">
    <w:name w:val="Heading 5 Char"/>
    <w:next w:val="754"/>
    <w:link w:val="742"/>
    <w:uiPriority w:val="9"/>
    <w:qFormat/>
    <w:rPr>
      <w:rFonts w:ascii="Arial" w:hAnsi="Arial" w:eastAsia="Arial" w:cs="Arial"/>
      <w:b/>
      <w:bCs/>
      <w:sz w:val="24"/>
      <w:szCs w:val="24"/>
    </w:rPr>
  </w:style>
  <w:style w:type="character" w:styleId="755">
    <w:name w:val="Heading 6 Char"/>
    <w:next w:val="755"/>
    <w:link w:val="743"/>
    <w:uiPriority w:val="9"/>
    <w:qFormat/>
    <w:rPr>
      <w:rFonts w:ascii="Arial" w:hAnsi="Arial" w:eastAsia="Arial" w:cs="Arial"/>
      <w:b/>
      <w:bCs/>
      <w:sz w:val="22"/>
      <w:szCs w:val="22"/>
    </w:rPr>
  </w:style>
  <w:style w:type="character" w:styleId="756">
    <w:name w:val="Heading 7 Char"/>
    <w:next w:val="756"/>
    <w:link w:val="744"/>
    <w:uiPriority w:val="9"/>
    <w:qFormat/>
    <w:rPr>
      <w:rFonts w:ascii="Arial" w:hAnsi="Arial" w:eastAsia="Arial" w:cs="Arial"/>
      <w:b/>
      <w:bCs/>
      <w:i/>
      <w:iCs/>
      <w:sz w:val="22"/>
      <w:szCs w:val="22"/>
    </w:rPr>
  </w:style>
  <w:style w:type="character" w:styleId="757">
    <w:name w:val="Heading 8 Char"/>
    <w:next w:val="757"/>
    <w:link w:val="745"/>
    <w:uiPriority w:val="9"/>
    <w:qFormat/>
    <w:rPr>
      <w:rFonts w:ascii="Arial" w:hAnsi="Arial" w:eastAsia="Arial" w:cs="Arial"/>
      <w:i/>
      <w:iCs/>
      <w:sz w:val="22"/>
      <w:szCs w:val="22"/>
    </w:rPr>
  </w:style>
  <w:style w:type="character" w:styleId="758">
    <w:name w:val="Heading 9 Char"/>
    <w:next w:val="758"/>
    <w:link w:val="746"/>
    <w:uiPriority w:val="9"/>
    <w:qFormat/>
    <w:rPr>
      <w:rFonts w:ascii="Arial" w:hAnsi="Arial" w:eastAsia="Arial" w:cs="Arial"/>
      <w:i/>
      <w:iCs/>
      <w:sz w:val="21"/>
      <w:szCs w:val="21"/>
    </w:rPr>
  </w:style>
  <w:style w:type="paragraph" w:styleId="759">
    <w:name w:val="目录 7"/>
    <w:basedOn w:val="737"/>
    <w:next w:val="737"/>
    <w:link w:val="737"/>
    <w:uiPriority w:val="39"/>
    <w:unhideWhenUsed/>
    <w:qFormat/>
    <w:pPr>
      <w:ind w:left="1701" w:right="0" w:firstLine="0"/>
      <w:spacing w:after="57"/>
    </w:pPr>
  </w:style>
  <w:style w:type="paragraph" w:styleId="760">
    <w:name w:val="题注"/>
    <w:basedOn w:val="737"/>
    <w:next w:val="737"/>
    <w:link w:val="737"/>
    <w:uiPriority w:val="35"/>
    <w:unhideWhenUsed/>
    <w:qFormat/>
    <w:pPr>
      <w:spacing w:line="276" w:lineRule="auto"/>
    </w:pPr>
    <w:rPr>
      <w:b/>
      <w:bCs/>
      <w:color w:val="4f81bd"/>
      <w:sz w:val="18"/>
      <w:szCs w:val="18"/>
    </w:rPr>
  </w:style>
  <w:style w:type="paragraph" w:styleId="761">
    <w:name w:val="批注文字"/>
    <w:basedOn w:val="737"/>
    <w:next w:val="761"/>
    <w:link w:val="737"/>
    <w:uiPriority w:val="99"/>
    <w:unhideWhenUsed/>
    <w:qFormat/>
    <w:pPr>
      <w:jc w:val="left"/>
    </w:pPr>
  </w:style>
  <w:style w:type="paragraph" w:styleId="762">
    <w:name w:val="正文文本缩进"/>
    <w:basedOn w:val="737"/>
    <w:next w:val="737"/>
    <w:link w:val="737"/>
    <w:qFormat/>
    <w:pPr>
      <w:ind w:left="420"/>
      <w:spacing w:after="120"/>
    </w:pPr>
    <w:rPr>
      <w:rFonts w:ascii="等线" w:hAnsi="等线" w:eastAsia="等线"/>
    </w:rPr>
  </w:style>
  <w:style w:type="paragraph" w:styleId="763">
    <w:name w:val="目录 5"/>
    <w:basedOn w:val="737"/>
    <w:next w:val="737"/>
    <w:link w:val="737"/>
    <w:uiPriority w:val="39"/>
    <w:unhideWhenUsed/>
    <w:qFormat/>
    <w:pPr>
      <w:ind w:left="1134" w:right="0" w:firstLine="0"/>
      <w:spacing w:after="57"/>
    </w:pPr>
  </w:style>
  <w:style w:type="paragraph" w:styleId="764">
    <w:name w:val="目录 3"/>
    <w:basedOn w:val="737"/>
    <w:next w:val="737"/>
    <w:link w:val="737"/>
    <w:uiPriority w:val="39"/>
    <w:unhideWhenUsed/>
    <w:qFormat/>
    <w:pPr>
      <w:ind w:left="567" w:right="0" w:firstLine="0"/>
      <w:spacing w:after="57"/>
    </w:pPr>
  </w:style>
  <w:style w:type="paragraph" w:styleId="765">
    <w:name w:val="目录 8"/>
    <w:basedOn w:val="737"/>
    <w:next w:val="737"/>
    <w:link w:val="737"/>
    <w:uiPriority w:val="39"/>
    <w:unhideWhenUsed/>
    <w:qFormat/>
    <w:pPr>
      <w:ind w:left="1984" w:right="0" w:firstLine="0"/>
      <w:spacing w:after="57"/>
    </w:pPr>
  </w:style>
  <w:style w:type="paragraph" w:styleId="766">
    <w:name w:val="尾注文本"/>
    <w:basedOn w:val="737"/>
    <w:next w:val="766"/>
    <w:link w:val="767"/>
    <w:uiPriority w:val="99"/>
    <w:unhideWhenUsed/>
    <w:qFormat/>
    <w:pPr>
      <w:spacing w:after="0" w:line="240" w:lineRule="auto"/>
    </w:pPr>
    <w:rPr>
      <w:sz w:val="20"/>
    </w:rPr>
  </w:style>
  <w:style w:type="character" w:styleId="767">
    <w:name w:val="Endnote Text Char"/>
    <w:next w:val="767"/>
    <w:link w:val="766"/>
    <w:uiPriority w:val="99"/>
    <w:qFormat/>
    <w:rPr>
      <w:sz w:val="20"/>
    </w:rPr>
  </w:style>
  <w:style w:type="paragraph" w:styleId="768">
    <w:name w:val="页脚"/>
    <w:basedOn w:val="737"/>
    <w:next w:val="768"/>
    <w:link w:val="769"/>
    <w:uiPriority w:val="99"/>
    <w:unhideWhenUsed/>
    <w:qFormat/>
    <w:pPr>
      <w:spacing w:after="0" w:line="240" w:lineRule="auto"/>
      <w:tabs>
        <w:tab w:val="center" w:pos="7143" w:leader="none"/>
        <w:tab w:val="right" w:pos="14287" w:leader="none"/>
      </w:tabs>
    </w:pPr>
  </w:style>
  <w:style w:type="character" w:styleId="769">
    <w:name w:val="Footer Char"/>
    <w:next w:val="769"/>
    <w:link w:val="768"/>
    <w:uiPriority w:val="99"/>
    <w:qFormat/>
  </w:style>
  <w:style w:type="paragraph" w:styleId="770">
    <w:name w:val="页眉"/>
    <w:basedOn w:val="737"/>
    <w:next w:val="770"/>
    <w:link w:val="771"/>
    <w:uiPriority w:val="99"/>
    <w:unhideWhenUsed/>
    <w:qFormat/>
    <w:pPr>
      <w:spacing w:after="0" w:line="240" w:lineRule="auto"/>
      <w:tabs>
        <w:tab w:val="center" w:pos="7143" w:leader="none"/>
        <w:tab w:val="right" w:pos="14287" w:leader="none"/>
      </w:tabs>
    </w:pPr>
  </w:style>
  <w:style w:type="character" w:styleId="771">
    <w:name w:val="Header Char"/>
    <w:next w:val="771"/>
    <w:link w:val="770"/>
    <w:uiPriority w:val="99"/>
    <w:qFormat/>
  </w:style>
  <w:style w:type="paragraph" w:styleId="772">
    <w:name w:val="目录 1"/>
    <w:basedOn w:val="737"/>
    <w:next w:val="737"/>
    <w:link w:val="737"/>
    <w:uiPriority w:val="39"/>
    <w:unhideWhenUsed/>
    <w:qFormat/>
    <w:pPr>
      <w:ind w:left="0" w:right="0" w:firstLine="0"/>
      <w:spacing w:after="57"/>
    </w:pPr>
  </w:style>
  <w:style w:type="paragraph" w:styleId="773">
    <w:name w:val="目录 4"/>
    <w:basedOn w:val="737"/>
    <w:next w:val="737"/>
    <w:link w:val="737"/>
    <w:uiPriority w:val="39"/>
    <w:unhideWhenUsed/>
    <w:qFormat/>
    <w:pPr>
      <w:ind w:left="850" w:right="0" w:firstLine="0"/>
      <w:spacing w:after="57"/>
    </w:pPr>
  </w:style>
  <w:style w:type="paragraph" w:styleId="774">
    <w:name w:val="副标题"/>
    <w:basedOn w:val="737"/>
    <w:next w:val="737"/>
    <w:link w:val="775"/>
    <w:uiPriority w:val="11"/>
    <w:qFormat/>
    <w:pPr>
      <w:spacing w:before="200" w:after="200"/>
    </w:pPr>
    <w:rPr>
      <w:sz w:val="24"/>
      <w:szCs w:val="24"/>
    </w:rPr>
  </w:style>
  <w:style w:type="character" w:styleId="775">
    <w:name w:val="Subtitle Char"/>
    <w:next w:val="775"/>
    <w:link w:val="774"/>
    <w:uiPriority w:val="11"/>
    <w:qFormat/>
    <w:rPr>
      <w:sz w:val="24"/>
      <w:szCs w:val="24"/>
    </w:rPr>
  </w:style>
  <w:style w:type="paragraph" w:styleId="776">
    <w:name w:val="脚注文本"/>
    <w:basedOn w:val="737"/>
    <w:next w:val="776"/>
    <w:link w:val="777"/>
    <w:uiPriority w:val="99"/>
    <w:unhideWhenUsed/>
    <w:qFormat/>
    <w:pPr>
      <w:spacing w:after="40" w:line="240" w:lineRule="auto"/>
    </w:pPr>
    <w:rPr>
      <w:sz w:val="18"/>
    </w:rPr>
  </w:style>
  <w:style w:type="character" w:styleId="777">
    <w:name w:val="Footnote Text Char"/>
    <w:next w:val="777"/>
    <w:link w:val="776"/>
    <w:uiPriority w:val="99"/>
    <w:qFormat/>
    <w:rPr>
      <w:sz w:val="18"/>
    </w:rPr>
  </w:style>
  <w:style w:type="paragraph" w:styleId="778">
    <w:name w:val="目录 6"/>
    <w:basedOn w:val="737"/>
    <w:next w:val="737"/>
    <w:link w:val="737"/>
    <w:uiPriority w:val="39"/>
    <w:unhideWhenUsed/>
    <w:qFormat/>
    <w:pPr>
      <w:ind w:left="1417" w:right="0" w:firstLine="0"/>
      <w:spacing w:after="57"/>
    </w:pPr>
  </w:style>
  <w:style w:type="paragraph" w:styleId="779">
    <w:name w:val="图表目录"/>
    <w:basedOn w:val="737"/>
    <w:next w:val="737"/>
    <w:link w:val="737"/>
    <w:uiPriority w:val="99"/>
    <w:unhideWhenUsed/>
    <w:qFormat/>
    <w:pPr>
      <w:spacing w:after="0" w:afterAutospacing="0"/>
    </w:pPr>
  </w:style>
  <w:style w:type="paragraph" w:styleId="780">
    <w:name w:val="目录 2"/>
    <w:basedOn w:val="737"/>
    <w:next w:val="737"/>
    <w:link w:val="737"/>
    <w:uiPriority w:val="39"/>
    <w:unhideWhenUsed/>
    <w:qFormat/>
    <w:pPr>
      <w:ind w:left="283" w:right="0" w:firstLine="0"/>
      <w:spacing w:after="57"/>
    </w:pPr>
  </w:style>
  <w:style w:type="paragraph" w:styleId="781">
    <w:name w:val="目录 9"/>
    <w:basedOn w:val="737"/>
    <w:next w:val="737"/>
    <w:link w:val="737"/>
    <w:uiPriority w:val="39"/>
    <w:unhideWhenUsed/>
    <w:qFormat/>
    <w:pPr>
      <w:ind w:left="2268" w:right="0" w:firstLine="0"/>
      <w:spacing w:after="57"/>
    </w:pPr>
  </w:style>
  <w:style w:type="paragraph" w:styleId="782">
    <w:name w:val="普通(网站)"/>
    <w:basedOn w:val="737"/>
    <w:next w:val="782"/>
    <w:link w:val="737"/>
    <w:uiPriority w:val="99"/>
    <w:unhideWhenUsed/>
    <w:qFormat/>
    <w:pPr>
      <w:ind w:left="0" w:right="0"/>
      <w:jc w:val="left"/>
      <w:spacing w:before="100" w:beforeAutospacing="1" w:after="100" w:afterAutospacing="1"/>
    </w:pPr>
    <w:rPr>
      <w:sz w:val="24"/>
      <w:lang w:val="en-US" w:eastAsia="zh-CN" w:bidi="ar"/>
    </w:rPr>
  </w:style>
  <w:style w:type="paragraph" w:styleId="783">
    <w:name w:val="标题"/>
    <w:basedOn w:val="737"/>
    <w:next w:val="737"/>
    <w:link w:val="784"/>
    <w:uiPriority w:val="10"/>
    <w:qFormat/>
    <w:pPr>
      <w:contextualSpacing/>
      <w:spacing w:before="300" w:after="200"/>
    </w:pPr>
    <w:rPr>
      <w:sz w:val="48"/>
      <w:szCs w:val="48"/>
    </w:rPr>
  </w:style>
  <w:style w:type="character" w:styleId="784">
    <w:name w:val="Title Char"/>
    <w:next w:val="784"/>
    <w:link w:val="783"/>
    <w:uiPriority w:val="10"/>
    <w:qFormat/>
    <w:rPr>
      <w:sz w:val="48"/>
      <w:szCs w:val="48"/>
    </w:rPr>
  </w:style>
  <w:style w:type="table" w:styleId="785">
    <w:name w:val="网格型"/>
    <w:next w:val="785"/>
    <w:link w:val="737"/>
    <w:uiPriority w:val="59"/>
    <w:qFormat/>
    <w:pPr>
      <w:spacing w:after="0" w:line="240" w:lineRule="auto"/>
    </w:pPr>
    <w:tblPr/>
  </w:style>
  <w:style w:type="character" w:styleId="786">
    <w:name w:val="尾注引用"/>
    <w:next w:val="786"/>
    <w:link w:val="737"/>
    <w:uiPriority w:val="99"/>
    <w:unhideWhenUsed/>
    <w:qFormat/>
    <w:rPr>
      <w:vertAlign w:val="superscript"/>
    </w:rPr>
  </w:style>
  <w:style w:type="character" w:styleId="787">
    <w:name w:val="超链接"/>
    <w:next w:val="787"/>
    <w:link w:val="737"/>
    <w:uiPriority w:val="99"/>
    <w:unhideWhenUsed/>
    <w:qFormat/>
    <w:rPr>
      <w:color w:val="0000ff"/>
      <w:u w:val="single"/>
    </w:rPr>
  </w:style>
  <w:style w:type="character" w:styleId="788">
    <w:name w:val="脚注引用"/>
    <w:next w:val="788"/>
    <w:link w:val="737"/>
    <w:uiPriority w:val="99"/>
    <w:unhideWhenUsed/>
    <w:qFormat/>
    <w:rPr>
      <w:vertAlign w:val="superscript"/>
    </w:rPr>
  </w:style>
  <w:style w:type="character" w:styleId="789">
    <w:name w:val="font31"/>
    <w:next w:val="789"/>
    <w:link w:val="737"/>
    <w:qFormat/>
    <w:rPr>
      <w:rFonts w:hint="eastAsia" w:ascii="宋体" w:hAnsi="宋体" w:eastAsia="宋体" w:cs="宋体"/>
      <w:color w:val="000000"/>
      <w:sz w:val="21"/>
      <w:szCs w:val="21"/>
      <w:u w:val="none"/>
    </w:rPr>
  </w:style>
  <w:style w:type="character" w:styleId="790">
    <w:name w:val="Caption Char"/>
    <w:next w:val="790"/>
    <w:link w:val="768"/>
    <w:uiPriority w:val="99"/>
    <w:qFormat/>
  </w:style>
  <w:style w:type="paragraph" w:styleId="791">
    <w:name w:val="List Paragraph"/>
    <w:basedOn w:val="737"/>
    <w:next w:val="791"/>
    <w:link w:val="737"/>
    <w:uiPriority w:val="34"/>
    <w:qFormat/>
    <w:pPr>
      <w:contextualSpacing/>
      <w:ind w:left="720"/>
    </w:pPr>
  </w:style>
  <w:style w:type="paragraph" w:styleId="792">
    <w:name w:val="No Spacing"/>
    <w:next w:val="792"/>
    <w:link w:val="737"/>
    <w:uiPriority w:val="1"/>
    <w:qFormat/>
    <w:pPr>
      <w:spacing w:before="0" w:after="0" w:line="240" w:lineRule="auto"/>
    </w:pPr>
    <w:rPr>
      <w:rFonts w:ascii="Times New Roman" w:hAnsi="Times New Roman" w:eastAsia="宋体" w:cs="Times New Roman"/>
    </w:rPr>
  </w:style>
  <w:style w:type="paragraph" w:styleId="793">
    <w:name w:val="Quote"/>
    <w:basedOn w:val="737"/>
    <w:next w:val="737"/>
    <w:link w:val="794"/>
    <w:uiPriority w:val="29"/>
    <w:qFormat/>
    <w:pPr>
      <w:ind w:left="720" w:right="720"/>
    </w:pPr>
    <w:rPr>
      <w:i/>
    </w:rPr>
  </w:style>
  <w:style w:type="character" w:styleId="794">
    <w:name w:val="Quote Char"/>
    <w:next w:val="794"/>
    <w:link w:val="793"/>
    <w:uiPriority w:val="29"/>
    <w:qFormat/>
    <w:rPr>
      <w:i/>
    </w:rPr>
  </w:style>
  <w:style w:type="paragraph" w:styleId="795">
    <w:name w:val="Intense Quote"/>
    <w:basedOn w:val="737"/>
    <w:next w:val="737"/>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next w:val="796"/>
    <w:link w:val="795"/>
    <w:uiPriority w:val="30"/>
    <w:qFormat/>
    <w:rPr>
      <w:i/>
    </w:rPr>
  </w:style>
  <w:style w:type="table" w:styleId="797">
    <w:name w:val="Table Grid Light"/>
    <w:next w:val="797"/>
    <w:link w:val="737"/>
    <w:uiPriority w:val="59"/>
    <w:qFormat/>
    <w:pPr>
      <w:spacing w:after="0" w:line="240" w:lineRule="auto"/>
    </w:pPr>
    <w:tblPr/>
  </w:style>
  <w:style w:type="table" w:styleId="798">
    <w:name w:val="Plain Table 1"/>
    <w:next w:val="798"/>
    <w:link w:val="737"/>
    <w:uiPriority w:val="59"/>
    <w:qFormat/>
    <w:pPr>
      <w:spacing w:after="0" w:line="240" w:lineRule="auto"/>
    </w:pPr>
    <w:tblPr/>
  </w:style>
  <w:style w:type="table" w:styleId="799">
    <w:name w:val="Plain Table 2"/>
    <w:next w:val="799"/>
    <w:link w:val="737"/>
    <w:uiPriority w:val="59"/>
    <w:qFormat/>
    <w:pPr>
      <w:spacing w:after="0" w:line="240" w:lineRule="auto"/>
    </w:pPr>
    <w:tblPr/>
  </w:style>
  <w:style w:type="table" w:styleId="800">
    <w:name w:val="Plain Table 3"/>
    <w:next w:val="800"/>
    <w:link w:val="737"/>
    <w:uiPriority w:val="99"/>
    <w:qFormat/>
    <w:pPr>
      <w:spacing w:after="0" w:line="240" w:lineRule="auto"/>
    </w:pPr>
    <w:tblPr/>
  </w:style>
  <w:style w:type="table" w:styleId="801">
    <w:name w:val="Plain Table 4"/>
    <w:next w:val="801"/>
    <w:link w:val="737"/>
    <w:uiPriority w:val="99"/>
    <w:qFormat/>
    <w:pPr>
      <w:spacing w:after="0" w:line="240" w:lineRule="auto"/>
    </w:pPr>
    <w:tblPr/>
  </w:style>
  <w:style w:type="table" w:styleId="802">
    <w:name w:val="Plain Table 5"/>
    <w:next w:val="802"/>
    <w:link w:val="737"/>
    <w:uiPriority w:val="99"/>
    <w:qFormat/>
    <w:pPr>
      <w:spacing w:after="0" w:line="240" w:lineRule="auto"/>
    </w:pPr>
    <w:tblPr/>
  </w:style>
  <w:style w:type="table" w:styleId="803">
    <w:name w:val="Grid Table 1 Light"/>
    <w:next w:val="803"/>
    <w:link w:val="737"/>
    <w:uiPriority w:val="99"/>
    <w:qFormat/>
    <w:pPr>
      <w:spacing w:after="0" w:line="240" w:lineRule="auto"/>
    </w:pPr>
    <w:tblPr/>
  </w:style>
  <w:style w:type="table" w:styleId="804">
    <w:name w:val="Grid Table 1 Light - Accent 1"/>
    <w:next w:val="804"/>
    <w:link w:val="737"/>
    <w:uiPriority w:val="99"/>
    <w:qFormat/>
    <w:pPr>
      <w:spacing w:after="0" w:line="240" w:lineRule="auto"/>
    </w:pPr>
    <w:tblPr/>
  </w:style>
  <w:style w:type="table" w:styleId="805">
    <w:name w:val="Grid Table 1 Light - Accent 2"/>
    <w:next w:val="805"/>
    <w:link w:val="737"/>
    <w:uiPriority w:val="99"/>
    <w:qFormat/>
    <w:pPr>
      <w:spacing w:after="0" w:line="240" w:lineRule="auto"/>
    </w:pPr>
    <w:tblPr/>
  </w:style>
  <w:style w:type="table" w:styleId="806">
    <w:name w:val="Grid Table 1 Light - Accent 3"/>
    <w:next w:val="806"/>
    <w:link w:val="737"/>
    <w:uiPriority w:val="99"/>
    <w:qFormat/>
    <w:pPr>
      <w:spacing w:after="0" w:line="240" w:lineRule="auto"/>
    </w:pPr>
    <w:tblPr/>
  </w:style>
  <w:style w:type="table" w:styleId="807">
    <w:name w:val="Grid Table 1 Light - Accent 4"/>
    <w:next w:val="807"/>
    <w:link w:val="737"/>
    <w:uiPriority w:val="99"/>
    <w:qFormat/>
    <w:pPr>
      <w:spacing w:after="0" w:line="240" w:lineRule="auto"/>
    </w:pPr>
    <w:tblPr/>
  </w:style>
  <w:style w:type="table" w:styleId="808">
    <w:name w:val="Grid Table 1 Light - Accent 5"/>
    <w:next w:val="808"/>
    <w:link w:val="737"/>
    <w:uiPriority w:val="99"/>
    <w:qFormat/>
    <w:pPr>
      <w:spacing w:after="0" w:line="240" w:lineRule="auto"/>
    </w:pPr>
    <w:tblPr/>
  </w:style>
  <w:style w:type="table" w:styleId="809">
    <w:name w:val="Grid Table 1 Light - Accent 6"/>
    <w:next w:val="809"/>
    <w:link w:val="737"/>
    <w:uiPriority w:val="99"/>
    <w:qFormat/>
    <w:pPr>
      <w:spacing w:after="0" w:line="240" w:lineRule="auto"/>
    </w:pPr>
    <w:tblPr/>
  </w:style>
  <w:style w:type="table" w:styleId="810">
    <w:name w:val="Grid Table 2"/>
    <w:next w:val="810"/>
    <w:link w:val="737"/>
    <w:uiPriority w:val="99"/>
    <w:qFormat/>
    <w:pPr>
      <w:spacing w:after="0" w:line="240" w:lineRule="auto"/>
    </w:pPr>
    <w:tblPr/>
  </w:style>
  <w:style w:type="table" w:styleId="811">
    <w:name w:val="Grid Table 2 - Accent 1"/>
    <w:next w:val="811"/>
    <w:link w:val="737"/>
    <w:uiPriority w:val="99"/>
    <w:qFormat/>
    <w:pPr>
      <w:spacing w:after="0" w:line="240" w:lineRule="auto"/>
    </w:pPr>
    <w:tblPr/>
  </w:style>
  <w:style w:type="table" w:styleId="812">
    <w:name w:val="Grid Table 2 - Accent 2"/>
    <w:next w:val="812"/>
    <w:link w:val="737"/>
    <w:uiPriority w:val="99"/>
    <w:qFormat/>
    <w:pPr>
      <w:spacing w:after="0" w:line="240" w:lineRule="auto"/>
    </w:pPr>
    <w:tblPr/>
  </w:style>
  <w:style w:type="table" w:styleId="813">
    <w:name w:val="Grid Table 2 - Accent 3"/>
    <w:next w:val="813"/>
    <w:link w:val="737"/>
    <w:uiPriority w:val="99"/>
    <w:qFormat/>
    <w:pPr>
      <w:spacing w:after="0" w:line="240" w:lineRule="auto"/>
    </w:pPr>
    <w:tblPr/>
  </w:style>
  <w:style w:type="table" w:styleId="814">
    <w:name w:val="Grid Table 2 - Accent 4"/>
    <w:next w:val="814"/>
    <w:link w:val="737"/>
    <w:uiPriority w:val="99"/>
    <w:qFormat/>
    <w:pPr>
      <w:spacing w:after="0" w:line="240" w:lineRule="auto"/>
    </w:pPr>
    <w:tblPr/>
  </w:style>
  <w:style w:type="table" w:styleId="815">
    <w:name w:val="Grid Table 2 - Accent 5"/>
    <w:next w:val="815"/>
    <w:link w:val="737"/>
    <w:uiPriority w:val="99"/>
    <w:qFormat/>
    <w:pPr>
      <w:spacing w:after="0" w:line="240" w:lineRule="auto"/>
    </w:pPr>
    <w:tblPr/>
  </w:style>
  <w:style w:type="table" w:styleId="816">
    <w:name w:val="Grid Table 2 - Accent 6"/>
    <w:next w:val="816"/>
    <w:link w:val="737"/>
    <w:uiPriority w:val="99"/>
    <w:qFormat/>
    <w:pPr>
      <w:spacing w:after="0" w:line="240" w:lineRule="auto"/>
    </w:pPr>
    <w:tblPr/>
  </w:style>
  <w:style w:type="table" w:styleId="817">
    <w:name w:val="Grid Table 3"/>
    <w:next w:val="817"/>
    <w:link w:val="737"/>
    <w:uiPriority w:val="99"/>
    <w:qFormat/>
    <w:pPr>
      <w:spacing w:after="0" w:line="240" w:lineRule="auto"/>
    </w:pPr>
    <w:tblPr/>
  </w:style>
  <w:style w:type="table" w:styleId="818">
    <w:name w:val="Grid Table 3 - Accent 1"/>
    <w:next w:val="818"/>
    <w:link w:val="737"/>
    <w:uiPriority w:val="99"/>
    <w:qFormat/>
    <w:pPr>
      <w:spacing w:after="0" w:line="240" w:lineRule="auto"/>
    </w:pPr>
    <w:tblPr/>
  </w:style>
  <w:style w:type="table" w:styleId="819">
    <w:name w:val="Grid Table 3 - Accent 2"/>
    <w:next w:val="819"/>
    <w:link w:val="737"/>
    <w:uiPriority w:val="99"/>
    <w:qFormat/>
    <w:pPr>
      <w:spacing w:after="0" w:line="240" w:lineRule="auto"/>
    </w:pPr>
    <w:tblPr/>
  </w:style>
  <w:style w:type="table" w:styleId="820">
    <w:name w:val="Grid Table 3 - Accent 3"/>
    <w:next w:val="820"/>
    <w:link w:val="737"/>
    <w:uiPriority w:val="99"/>
    <w:pPr>
      <w:spacing w:after="0" w:line="240" w:lineRule="auto"/>
    </w:pPr>
    <w:tblPr/>
  </w:style>
  <w:style w:type="table" w:styleId="821">
    <w:name w:val="Grid Table 3 - Accent 4"/>
    <w:next w:val="821"/>
    <w:link w:val="737"/>
    <w:uiPriority w:val="99"/>
    <w:qFormat/>
    <w:pPr>
      <w:spacing w:after="0" w:line="240" w:lineRule="auto"/>
    </w:pPr>
    <w:tblPr/>
  </w:style>
  <w:style w:type="table" w:styleId="822">
    <w:name w:val="Grid Table 3 - Accent 5"/>
    <w:next w:val="822"/>
    <w:link w:val="737"/>
    <w:uiPriority w:val="99"/>
    <w:qFormat/>
    <w:pPr>
      <w:spacing w:after="0" w:line="240" w:lineRule="auto"/>
    </w:pPr>
    <w:tblPr/>
  </w:style>
  <w:style w:type="table" w:styleId="823">
    <w:name w:val="Grid Table 3 - Accent 6"/>
    <w:next w:val="823"/>
    <w:link w:val="737"/>
    <w:uiPriority w:val="99"/>
    <w:pPr>
      <w:spacing w:after="0" w:line="240" w:lineRule="auto"/>
    </w:pPr>
    <w:tblPr/>
  </w:style>
  <w:style w:type="table" w:styleId="824">
    <w:name w:val="Grid Table 4"/>
    <w:next w:val="824"/>
    <w:link w:val="737"/>
    <w:uiPriority w:val="59"/>
    <w:pPr>
      <w:spacing w:after="0" w:line="240" w:lineRule="auto"/>
    </w:pPr>
    <w:tblPr/>
  </w:style>
  <w:style w:type="table" w:styleId="825">
    <w:name w:val="Grid Table 4 - Accent 1"/>
    <w:next w:val="825"/>
    <w:link w:val="737"/>
    <w:uiPriority w:val="59"/>
    <w:qFormat/>
    <w:pPr>
      <w:spacing w:after="0" w:line="240" w:lineRule="auto"/>
    </w:pPr>
    <w:tblPr/>
  </w:style>
  <w:style w:type="table" w:styleId="826">
    <w:name w:val="Grid Table 4 - Accent 2"/>
    <w:next w:val="826"/>
    <w:link w:val="737"/>
    <w:uiPriority w:val="59"/>
    <w:qFormat/>
    <w:pPr>
      <w:spacing w:after="0" w:line="240" w:lineRule="auto"/>
    </w:pPr>
    <w:tblPr/>
  </w:style>
  <w:style w:type="table" w:styleId="827">
    <w:name w:val="Grid Table 4 - Accent 3"/>
    <w:next w:val="827"/>
    <w:link w:val="737"/>
    <w:uiPriority w:val="59"/>
    <w:qFormat/>
    <w:pPr>
      <w:spacing w:after="0" w:line="240" w:lineRule="auto"/>
    </w:pPr>
    <w:tblPr/>
  </w:style>
  <w:style w:type="table" w:styleId="828">
    <w:name w:val="Grid Table 4 - Accent 4"/>
    <w:next w:val="828"/>
    <w:link w:val="737"/>
    <w:uiPriority w:val="59"/>
    <w:pPr>
      <w:spacing w:after="0" w:line="240" w:lineRule="auto"/>
    </w:pPr>
    <w:tblPr/>
  </w:style>
  <w:style w:type="table" w:styleId="829">
    <w:name w:val="Grid Table 4 - Accent 5"/>
    <w:next w:val="829"/>
    <w:link w:val="737"/>
    <w:uiPriority w:val="59"/>
    <w:qFormat/>
    <w:pPr>
      <w:spacing w:after="0" w:line="240" w:lineRule="auto"/>
    </w:pPr>
    <w:tblPr/>
  </w:style>
  <w:style w:type="table" w:styleId="830">
    <w:name w:val="Grid Table 4 - Accent 6"/>
    <w:next w:val="830"/>
    <w:link w:val="737"/>
    <w:uiPriority w:val="59"/>
    <w:qFormat/>
    <w:pPr>
      <w:spacing w:after="0" w:line="240" w:lineRule="auto"/>
    </w:pPr>
    <w:tblPr/>
  </w:style>
  <w:style w:type="table" w:styleId="831">
    <w:name w:val="Grid Table 5 Dark"/>
    <w:next w:val="831"/>
    <w:link w:val="737"/>
    <w:uiPriority w:val="99"/>
    <w:pPr>
      <w:spacing w:after="0" w:line="240" w:lineRule="auto"/>
    </w:pPr>
    <w:tblPr/>
  </w:style>
  <w:style w:type="table" w:styleId="832">
    <w:name w:val="Grid Table 5 Dark- Accent 1"/>
    <w:next w:val="832"/>
    <w:link w:val="737"/>
    <w:uiPriority w:val="99"/>
    <w:pPr>
      <w:spacing w:after="0" w:line="240" w:lineRule="auto"/>
    </w:pPr>
    <w:tblPr/>
  </w:style>
  <w:style w:type="table" w:styleId="833">
    <w:name w:val="Grid Table 5 Dark - Accent 2"/>
    <w:next w:val="833"/>
    <w:link w:val="737"/>
    <w:uiPriority w:val="99"/>
    <w:pPr>
      <w:spacing w:after="0" w:line="240" w:lineRule="auto"/>
    </w:pPr>
    <w:tblPr/>
  </w:style>
  <w:style w:type="table" w:styleId="834">
    <w:name w:val="Grid Table 5 Dark - Accent 3"/>
    <w:next w:val="834"/>
    <w:link w:val="737"/>
    <w:uiPriority w:val="99"/>
    <w:qFormat/>
    <w:pPr>
      <w:spacing w:after="0" w:line="240" w:lineRule="auto"/>
    </w:pPr>
    <w:tblPr/>
  </w:style>
  <w:style w:type="table" w:styleId="835">
    <w:name w:val="Grid Table 5 Dark- Accent 4"/>
    <w:next w:val="835"/>
    <w:link w:val="737"/>
    <w:uiPriority w:val="99"/>
    <w:qFormat/>
    <w:pPr>
      <w:spacing w:after="0" w:line="240" w:lineRule="auto"/>
    </w:pPr>
    <w:tblPr/>
  </w:style>
  <w:style w:type="table" w:styleId="836">
    <w:name w:val="Grid Table 5 Dark - Accent 5"/>
    <w:next w:val="836"/>
    <w:link w:val="737"/>
    <w:uiPriority w:val="99"/>
    <w:qFormat/>
    <w:pPr>
      <w:spacing w:after="0" w:line="240" w:lineRule="auto"/>
    </w:pPr>
    <w:tblPr/>
  </w:style>
  <w:style w:type="table" w:styleId="837">
    <w:name w:val="Grid Table 5 Dark - Accent 6"/>
    <w:next w:val="837"/>
    <w:link w:val="737"/>
    <w:uiPriority w:val="99"/>
    <w:qFormat/>
    <w:pPr>
      <w:spacing w:after="0" w:line="240" w:lineRule="auto"/>
    </w:pPr>
    <w:tblPr/>
  </w:style>
  <w:style w:type="table" w:styleId="838">
    <w:name w:val="Grid Table 6 Colorful"/>
    <w:next w:val="838"/>
    <w:link w:val="737"/>
    <w:uiPriority w:val="99"/>
    <w:qFormat/>
    <w:pPr>
      <w:spacing w:after="0" w:line="240" w:lineRule="auto"/>
    </w:pPr>
    <w:tblPr/>
  </w:style>
  <w:style w:type="table" w:styleId="839">
    <w:name w:val="Grid Table 6 Colorful - Accent 1"/>
    <w:next w:val="839"/>
    <w:link w:val="737"/>
    <w:uiPriority w:val="99"/>
    <w:qFormat/>
    <w:pPr>
      <w:spacing w:after="0" w:line="240" w:lineRule="auto"/>
    </w:pPr>
    <w:tblPr/>
  </w:style>
  <w:style w:type="table" w:styleId="840">
    <w:name w:val="Grid Table 6 Colorful - Accent 2"/>
    <w:next w:val="840"/>
    <w:link w:val="737"/>
    <w:uiPriority w:val="99"/>
    <w:qFormat/>
    <w:pPr>
      <w:spacing w:after="0" w:line="240" w:lineRule="auto"/>
    </w:pPr>
    <w:tblPr/>
  </w:style>
  <w:style w:type="table" w:styleId="841">
    <w:name w:val="Grid Table 6 Colorful - Accent 3"/>
    <w:next w:val="841"/>
    <w:link w:val="737"/>
    <w:uiPriority w:val="99"/>
    <w:qFormat/>
    <w:pPr>
      <w:spacing w:after="0" w:line="240" w:lineRule="auto"/>
    </w:pPr>
    <w:tblPr/>
  </w:style>
  <w:style w:type="table" w:styleId="842">
    <w:name w:val="Grid Table 6 Colorful - Accent 4"/>
    <w:next w:val="842"/>
    <w:link w:val="737"/>
    <w:uiPriority w:val="99"/>
    <w:qFormat/>
    <w:pPr>
      <w:spacing w:after="0" w:line="240" w:lineRule="auto"/>
    </w:pPr>
    <w:tblPr/>
  </w:style>
  <w:style w:type="table" w:styleId="843">
    <w:name w:val="Grid Table 6 Colorful - Accent 5"/>
    <w:next w:val="843"/>
    <w:link w:val="737"/>
    <w:uiPriority w:val="99"/>
    <w:qFormat/>
    <w:pPr>
      <w:spacing w:after="0" w:line="240" w:lineRule="auto"/>
    </w:pPr>
    <w:tblPr/>
  </w:style>
  <w:style w:type="table" w:styleId="844">
    <w:name w:val="Grid Table 6 Colorful - Accent 6"/>
    <w:next w:val="844"/>
    <w:link w:val="737"/>
    <w:uiPriority w:val="99"/>
    <w:qFormat/>
    <w:pPr>
      <w:spacing w:after="0" w:line="240" w:lineRule="auto"/>
    </w:pPr>
    <w:tblPr/>
  </w:style>
  <w:style w:type="table" w:styleId="845">
    <w:name w:val="Grid Table 7 Colorful"/>
    <w:next w:val="845"/>
    <w:link w:val="737"/>
    <w:uiPriority w:val="99"/>
    <w:qFormat/>
    <w:pPr>
      <w:spacing w:after="0" w:line="240" w:lineRule="auto"/>
    </w:pPr>
    <w:tblPr/>
  </w:style>
  <w:style w:type="table" w:styleId="846">
    <w:name w:val="Grid Table 7 Colorful - Accent 1"/>
    <w:next w:val="846"/>
    <w:link w:val="737"/>
    <w:uiPriority w:val="99"/>
    <w:qFormat/>
    <w:pPr>
      <w:spacing w:after="0" w:line="240" w:lineRule="auto"/>
    </w:pPr>
    <w:tblPr/>
  </w:style>
  <w:style w:type="table" w:styleId="847">
    <w:name w:val="Grid Table 7 Colorful - Accent 2"/>
    <w:next w:val="847"/>
    <w:link w:val="737"/>
    <w:uiPriority w:val="99"/>
    <w:qFormat/>
    <w:pPr>
      <w:spacing w:after="0" w:line="240" w:lineRule="auto"/>
    </w:pPr>
    <w:tblPr/>
  </w:style>
  <w:style w:type="table" w:styleId="848">
    <w:name w:val="Grid Table 7 Colorful - Accent 3"/>
    <w:next w:val="848"/>
    <w:link w:val="737"/>
    <w:uiPriority w:val="99"/>
    <w:qFormat/>
    <w:pPr>
      <w:spacing w:after="0" w:line="240" w:lineRule="auto"/>
    </w:pPr>
    <w:tblPr/>
  </w:style>
  <w:style w:type="table" w:styleId="849">
    <w:name w:val="Grid Table 7 Colorful - Accent 4"/>
    <w:next w:val="849"/>
    <w:link w:val="737"/>
    <w:uiPriority w:val="99"/>
    <w:qFormat/>
    <w:pPr>
      <w:spacing w:after="0" w:line="240" w:lineRule="auto"/>
    </w:pPr>
    <w:tblPr/>
  </w:style>
  <w:style w:type="table" w:styleId="850">
    <w:name w:val="Grid Table 7 Colorful - Accent 5"/>
    <w:next w:val="850"/>
    <w:link w:val="737"/>
    <w:uiPriority w:val="99"/>
    <w:qFormat/>
    <w:pPr>
      <w:spacing w:after="0" w:line="240" w:lineRule="auto"/>
    </w:pPr>
    <w:tblPr/>
  </w:style>
  <w:style w:type="table" w:styleId="851">
    <w:name w:val="Grid Table 7 Colorful - Accent 6"/>
    <w:next w:val="851"/>
    <w:link w:val="737"/>
    <w:uiPriority w:val="99"/>
    <w:qFormat/>
    <w:pPr>
      <w:spacing w:after="0" w:line="240" w:lineRule="auto"/>
    </w:pPr>
    <w:tblPr/>
  </w:style>
  <w:style w:type="table" w:styleId="852">
    <w:name w:val="List Table 1 Light"/>
    <w:next w:val="852"/>
    <w:link w:val="737"/>
    <w:uiPriority w:val="99"/>
    <w:qFormat/>
    <w:pPr>
      <w:spacing w:after="0" w:line="240" w:lineRule="auto"/>
    </w:pPr>
    <w:tblPr/>
  </w:style>
  <w:style w:type="table" w:styleId="853">
    <w:name w:val="List Table 1 Light - Accent 1"/>
    <w:next w:val="853"/>
    <w:link w:val="737"/>
    <w:uiPriority w:val="99"/>
    <w:qFormat/>
    <w:pPr>
      <w:spacing w:after="0" w:line="240" w:lineRule="auto"/>
    </w:pPr>
    <w:tblPr/>
  </w:style>
  <w:style w:type="table" w:styleId="854">
    <w:name w:val="List Table 1 Light - Accent 2"/>
    <w:next w:val="854"/>
    <w:link w:val="737"/>
    <w:uiPriority w:val="99"/>
    <w:qFormat/>
    <w:pPr>
      <w:spacing w:after="0" w:line="240" w:lineRule="auto"/>
    </w:pPr>
    <w:tblPr/>
  </w:style>
  <w:style w:type="table" w:styleId="855">
    <w:name w:val="List Table 1 Light - Accent 3"/>
    <w:next w:val="855"/>
    <w:link w:val="737"/>
    <w:uiPriority w:val="99"/>
    <w:qFormat/>
    <w:pPr>
      <w:spacing w:after="0" w:line="240" w:lineRule="auto"/>
    </w:pPr>
    <w:tblPr/>
  </w:style>
  <w:style w:type="table" w:styleId="856">
    <w:name w:val="List Table 1 Light - Accent 4"/>
    <w:next w:val="856"/>
    <w:link w:val="737"/>
    <w:uiPriority w:val="99"/>
    <w:qFormat/>
    <w:pPr>
      <w:spacing w:after="0" w:line="240" w:lineRule="auto"/>
    </w:pPr>
    <w:tblPr/>
  </w:style>
  <w:style w:type="table" w:styleId="857">
    <w:name w:val="List Table 1 Light - Accent 5"/>
    <w:next w:val="857"/>
    <w:link w:val="737"/>
    <w:uiPriority w:val="99"/>
    <w:qFormat/>
    <w:pPr>
      <w:spacing w:after="0" w:line="240" w:lineRule="auto"/>
    </w:pPr>
    <w:tblPr/>
  </w:style>
  <w:style w:type="table" w:styleId="858">
    <w:name w:val="List Table 1 Light - Accent 6"/>
    <w:next w:val="858"/>
    <w:link w:val="737"/>
    <w:uiPriority w:val="99"/>
    <w:qFormat/>
    <w:pPr>
      <w:spacing w:after="0" w:line="240" w:lineRule="auto"/>
    </w:pPr>
    <w:tblPr/>
  </w:style>
  <w:style w:type="table" w:styleId="859">
    <w:name w:val="List Table 2"/>
    <w:next w:val="859"/>
    <w:link w:val="737"/>
    <w:uiPriority w:val="99"/>
    <w:qFormat/>
    <w:pPr>
      <w:spacing w:after="0" w:line="240" w:lineRule="auto"/>
    </w:pPr>
    <w:tblPr/>
  </w:style>
  <w:style w:type="table" w:styleId="860">
    <w:name w:val="List Table 2 - Accent 1"/>
    <w:next w:val="860"/>
    <w:link w:val="737"/>
    <w:uiPriority w:val="99"/>
    <w:qFormat/>
    <w:pPr>
      <w:spacing w:after="0" w:line="240" w:lineRule="auto"/>
    </w:pPr>
    <w:tblPr/>
  </w:style>
  <w:style w:type="table" w:styleId="861">
    <w:name w:val="List Table 2 - Accent 2"/>
    <w:next w:val="861"/>
    <w:link w:val="737"/>
    <w:uiPriority w:val="99"/>
    <w:qFormat/>
    <w:pPr>
      <w:spacing w:after="0" w:line="240" w:lineRule="auto"/>
    </w:pPr>
    <w:tblPr/>
  </w:style>
  <w:style w:type="table" w:styleId="862">
    <w:name w:val="List Table 2 - Accent 3"/>
    <w:next w:val="862"/>
    <w:link w:val="737"/>
    <w:uiPriority w:val="99"/>
    <w:qFormat/>
    <w:pPr>
      <w:spacing w:after="0" w:line="240" w:lineRule="auto"/>
    </w:pPr>
    <w:tblPr/>
  </w:style>
  <w:style w:type="table" w:styleId="863">
    <w:name w:val="List Table 2 - Accent 4"/>
    <w:next w:val="863"/>
    <w:link w:val="737"/>
    <w:uiPriority w:val="99"/>
    <w:qFormat/>
    <w:pPr>
      <w:spacing w:after="0" w:line="240" w:lineRule="auto"/>
    </w:pPr>
    <w:tblPr/>
  </w:style>
  <w:style w:type="table" w:styleId="864">
    <w:name w:val="List Table 2 - Accent 5"/>
    <w:next w:val="864"/>
    <w:link w:val="737"/>
    <w:uiPriority w:val="99"/>
    <w:qFormat/>
    <w:pPr>
      <w:spacing w:after="0" w:line="240" w:lineRule="auto"/>
    </w:pPr>
    <w:tblPr/>
  </w:style>
  <w:style w:type="table" w:styleId="865">
    <w:name w:val="List Table 2 - Accent 6"/>
    <w:next w:val="865"/>
    <w:link w:val="737"/>
    <w:uiPriority w:val="99"/>
    <w:qFormat/>
    <w:pPr>
      <w:spacing w:after="0" w:line="240" w:lineRule="auto"/>
    </w:pPr>
    <w:tblPr/>
  </w:style>
  <w:style w:type="table" w:styleId="866">
    <w:name w:val="List Table 3"/>
    <w:next w:val="866"/>
    <w:link w:val="737"/>
    <w:uiPriority w:val="99"/>
    <w:qFormat/>
    <w:pPr>
      <w:spacing w:after="0" w:line="240" w:lineRule="auto"/>
    </w:pPr>
    <w:tblPr/>
  </w:style>
  <w:style w:type="table" w:styleId="867">
    <w:name w:val="List Table 3 - Accent 1"/>
    <w:next w:val="867"/>
    <w:link w:val="737"/>
    <w:uiPriority w:val="99"/>
    <w:qFormat/>
    <w:pPr>
      <w:spacing w:after="0" w:line="240" w:lineRule="auto"/>
    </w:pPr>
    <w:tblPr/>
  </w:style>
  <w:style w:type="table" w:styleId="868">
    <w:name w:val="List Table 3 - Accent 2"/>
    <w:next w:val="868"/>
    <w:link w:val="737"/>
    <w:uiPriority w:val="99"/>
    <w:qFormat/>
    <w:pPr>
      <w:spacing w:after="0" w:line="240" w:lineRule="auto"/>
    </w:pPr>
    <w:tblPr/>
  </w:style>
  <w:style w:type="table" w:styleId="869">
    <w:name w:val="List Table 3 - Accent 3"/>
    <w:next w:val="869"/>
    <w:link w:val="737"/>
    <w:uiPriority w:val="99"/>
    <w:qFormat/>
    <w:pPr>
      <w:spacing w:after="0" w:line="240" w:lineRule="auto"/>
    </w:pPr>
    <w:tblPr/>
  </w:style>
  <w:style w:type="table" w:styleId="870">
    <w:name w:val="List Table 3 - Accent 4"/>
    <w:next w:val="870"/>
    <w:link w:val="737"/>
    <w:uiPriority w:val="99"/>
    <w:qFormat/>
    <w:pPr>
      <w:spacing w:after="0" w:line="240" w:lineRule="auto"/>
    </w:pPr>
    <w:tblPr/>
  </w:style>
  <w:style w:type="table" w:styleId="871">
    <w:name w:val="List Table 3 - Accent 5"/>
    <w:next w:val="871"/>
    <w:link w:val="737"/>
    <w:uiPriority w:val="99"/>
    <w:qFormat/>
    <w:pPr>
      <w:spacing w:after="0" w:line="240" w:lineRule="auto"/>
    </w:pPr>
    <w:tblPr/>
  </w:style>
  <w:style w:type="table" w:styleId="872">
    <w:name w:val="List Table 3 - Accent 6"/>
    <w:next w:val="872"/>
    <w:link w:val="737"/>
    <w:uiPriority w:val="99"/>
    <w:qFormat/>
    <w:pPr>
      <w:spacing w:after="0" w:line="240" w:lineRule="auto"/>
    </w:pPr>
    <w:tblPr/>
  </w:style>
  <w:style w:type="table" w:styleId="873">
    <w:name w:val="List Table 4"/>
    <w:next w:val="873"/>
    <w:link w:val="737"/>
    <w:uiPriority w:val="99"/>
    <w:qFormat/>
    <w:pPr>
      <w:spacing w:after="0" w:line="240" w:lineRule="auto"/>
    </w:pPr>
    <w:tblPr/>
  </w:style>
  <w:style w:type="table" w:styleId="874">
    <w:name w:val="List Table 4 - Accent 1"/>
    <w:next w:val="874"/>
    <w:link w:val="737"/>
    <w:uiPriority w:val="99"/>
    <w:qFormat/>
    <w:pPr>
      <w:spacing w:after="0" w:line="240" w:lineRule="auto"/>
    </w:pPr>
    <w:tblPr/>
  </w:style>
  <w:style w:type="table" w:styleId="875">
    <w:name w:val="List Table 4 - Accent 2"/>
    <w:next w:val="875"/>
    <w:link w:val="737"/>
    <w:uiPriority w:val="99"/>
    <w:qFormat/>
    <w:pPr>
      <w:spacing w:after="0" w:line="240" w:lineRule="auto"/>
    </w:pPr>
    <w:tblPr/>
  </w:style>
  <w:style w:type="table" w:styleId="876">
    <w:name w:val="List Table 4 - Accent 3"/>
    <w:next w:val="876"/>
    <w:link w:val="737"/>
    <w:uiPriority w:val="99"/>
    <w:qFormat/>
    <w:pPr>
      <w:spacing w:after="0" w:line="240" w:lineRule="auto"/>
    </w:pPr>
    <w:tblPr/>
  </w:style>
  <w:style w:type="table" w:styleId="877">
    <w:name w:val="List Table 4 - Accent 4"/>
    <w:next w:val="877"/>
    <w:link w:val="737"/>
    <w:uiPriority w:val="99"/>
    <w:qFormat/>
    <w:pPr>
      <w:spacing w:after="0" w:line="240" w:lineRule="auto"/>
    </w:pPr>
    <w:tblPr/>
  </w:style>
  <w:style w:type="table" w:styleId="878">
    <w:name w:val="List Table 4 - Accent 5"/>
    <w:next w:val="878"/>
    <w:link w:val="737"/>
    <w:uiPriority w:val="99"/>
    <w:qFormat/>
    <w:pPr>
      <w:spacing w:after="0" w:line="240" w:lineRule="auto"/>
    </w:pPr>
    <w:tblPr/>
  </w:style>
  <w:style w:type="table" w:styleId="879">
    <w:name w:val="List Table 4 - Accent 6"/>
    <w:next w:val="879"/>
    <w:link w:val="737"/>
    <w:uiPriority w:val="99"/>
    <w:qFormat/>
    <w:pPr>
      <w:spacing w:after="0" w:line="240" w:lineRule="auto"/>
    </w:pPr>
    <w:tblPr/>
  </w:style>
  <w:style w:type="table" w:styleId="880">
    <w:name w:val="List Table 5 Dark"/>
    <w:next w:val="880"/>
    <w:link w:val="737"/>
    <w:uiPriority w:val="99"/>
    <w:qFormat/>
    <w:pPr>
      <w:spacing w:after="0" w:line="240" w:lineRule="auto"/>
    </w:pPr>
    <w:tblPr/>
  </w:style>
  <w:style w:type="table" w:styleId="881">
    <w:name w:val="List Table 5 Dark - Accent 1"/>
    <w:next w:val="881"/>
    <w:link w:val="737"/>
    <w:uiPriority w:val="99"/>
    <w:qFormat/>
    <w:pPr>
      <w:spacing w:after="0" w:line="240" w:lineRule="auto"/>
    </w:pPr>
    <w:tblPr/>
  </w:style>
  <w:style w:type="table" w:styleId="882">
    <w:name w:val="List Table 5 Dark - Accent 2"/>
    <w:next w:val="882"/>
    <w:link w:val="737"/>
    <w:uiPriority w:val="99"/>
    <w:qFormat/>
    <w:pPr>
      <w:spacing w:after="0" w:line="240" w:lineRule="auto"/>
    </w:pPr>
    <w:tblPr/>
  </w:style>
  <w:style w:type="table" w:styleId="883">
    <w:name w:val="List Table 5 Dark - Accent 3"/>
    <w:next w:val="883"/>
    <w:link w:val="737"/>
    <w:uiPriority w:val="99"/>
    <w:qFormat/>
    <w:pPr>
      <w:spacing w:after="0" w:line="240" w:lineRule="auto"/>
    </w:pPr>
    <w:tblPr/>
  </w:style>
  <w:style w:type="table" w:styleId="884">
    <w:name w:val="List Table 5 Dark - Accent 4"/>
    <w:next w:val="884"/>
    <w:link w:val="737"/>
    <w:uiPriority w:val="99"/>
    <w:qFormat/>
    <w:pPr>
      <w:spacing w:after="0" w:line="240" w:lineRule="auto"/>
    </w:pPr>
    <w:tblPr/>
  </w:style>
  <w:style w:type="table" w:styleId="885">
    <w:name w:val="List Table 5 Dark - Accent 5"/>
    <w:next w:val="885"/>
    <w:link w:val="737"/>
    <w:uiPriority w:val="99"/>
    <w:qFormat/>
    <w:pPr>
      <w:spacing w:after="0" w:line="240" w:lineRule="auto"/>
    </w:pPr>
    <w:tblPr/>
  </w:style>
  <w:style w:type="table" w:styleId="886">
    <w:name w:val="List Table 5 Dark - Accent 6"/>
    <w:next w:val="886"/>
    <w:link w:val="737"/>
    <w:uiPriority w:val="99"/>
    <w:qFormat/>
    <w:pPr>
      <w:spacing w:after="0" w:line="240" w:lineRule="auto"/>
    </w:pPr>
    <w:tblPr/>
  </w:style>
  <w:style w:type="table" w:styleId="887">
    <w:name w:val="List Table 6 Colorful"/>
    <w:next w:val="887"/>
    <w:link w:val="737"/>
    <w:uiPriority w:val="99"/>
    <w:qFormat/>
    <w:pPr>
      <w:spacing w:after="0" w:line="240" w:lineRule="auto"/>
    </w:pPr>
    <w:tblPr/>
  </w:style>
  <w:style w:type="table" w:styleId="888">
    <w:name w:val="List Table 6 Colorful - Accent 1"/>
    <w:next w:val="888"/>
    <w:link w:val="737"/>
    <w:uiPriority w:val="99"/>
    <w:qFormat/>
    <w:pPr>
      <w:spacing w:after="0" w:line="240" w:lineRule="auto"/>
    </w:pPr>
    <w:tblPr/>
  </w:style>
  <w:style w:type="table" w:styleId="889">
    <w:name w:val="List Table 6 Colorful - Accent 2"/>
    <w:next w:val="889"/>
    <w:link w:val="737"/>
    <w:uiPriority w:val="99"/>
    <w:qFormat/>
    <w:pPr>
      <w:spacing w:after="0" w:line="240" w:lineRule="auto"/>
    </w:pPr>
    <w:tblPr/>
  </w:style>
  <w:style w:type="table" w:styleId="890">
    <w:name w:val="List Table 6 Colorful - Accent 3"/>
    <w:next w:val="890"/>
    <w:link w:val="737"/>
    <w:uiPriority w:val="99"/>
    <w:qFormat/>
    <w:pPr>
      <w:spacing w:after="0" w:line="240" w:lineRule="auto"/>
    </w:pPr>
    <w:tblPr/>
  </w:style>
  <w:style w:type="table" w:styleId="891">
    <w:name w:val="List Table 6 Colorful - Accent 4"/>
    <w:next w:val="891"/>
    <w:link w:val="737"/>
    <w:uiPriority w:val="99"/>
    <w:qFormat/>
    <w:pPr>
      <w:spacing w:after="0" w:line="240" w:lineRule="auto"/>
    </w:pPr>
    <w:tblPr/>
  </w:style>
  <w:style w:type="table" w:styleId="892">
    <w:name w:val="List Table 6 Colorful - Accent 5"/>
    <w:next w:val="892"/>
    <w:link w:val="737"/>
    <w:uiPriority w:val="99"/>
    <w:qFormat/>
    <w:pPr>
      <w:spacing w:after="0" w:line="240" w:lineRule="auto"/>
    </w:pPr>
    <w:tblPr/>
  </w:style>
  <w:style w:type="table" w:styleId="893">
    <w:name w:val="List Table 6 Colorful - Accent 6"/>
    <w:next w:val="893"/>
    <w:link w:val="737"/>
    <w:uiPriority w:val="99"/>
    <w:qFormat/>
    <w:pPr>
      <w:spacing w:after="0" w:line="240" w:lineRule="auto"/>
    </w:pPr>
    <w:tblPr/>
  </w:style>
  <w:style w:type="table" w:styleId="894">
    <w:name w:val="List Table 7 Colorful"/>
    <w:next w:val="894"/>
    <w:link w:val="737"/>
    <w:uiPriority w:val="99"/>
    <w:qFormat/>
    <w:pPr>
      <w:spacing w:after="0" w:line="240" w:lineRule="auto"/>
    </w:pPr>
    <w:tblPr/>
  </w:style>
  <w:style w:type="table" w:styleId="895">
    <w:name w:val="List Table 7 Colorful - Accent 1"/>
    <w:next w:val="895"/>
    <w:link w:val="737"/>
    <w:uiPriority w:val="99"/>
    <w:qFormat/>
    <w:pPr>
      <w:spacing w:after="0" w:line="240" w:lineRule="auto"/>
    </w:pPr>
    <w:tblPr/>
  </w:style>
  <w:style w:type="table" w:styleId="896">
    <w:name w:val="List Table 7 Colorful - Accent 2"/>
    <w:next w:val="896"/>
    <w:link w:val="737"/>
    <w:uiPriority w:val="99"/>
    <w:qFormat/>
    <w:pPr>
      <w:spacing w:after="0" w:line="240" w:lineRule="auto"/>
    </w:pPr>
    <w:tblPr/>
  </w:style>
  <w:style w:type="table" w:styleId="897">
    <w:name w:val="List Table 7 Colorful - Accent 3"/>
    <w:next w:val="897"/>
    <w:link w:val="737"/>
    <w:uiPriority w:val="99"/>
    <w:qFormat/>
    <w:pPr>
      <w:spacing w:after="0" w:line="240" w:lineRule="auto"/>
    </w:pPr>
    <w:tblPr/>
  </w:style>
  <w:style w:type="table" w:styleId="898">
    <w:name w:val="List Table 7 Colorful - Accent 4"/>
    <w:next w:val="898"/>
    <w:link w:val="737"/>
    <w:uiPriority w:val="99"/>
    <w:qFormat/>
    <w:pPr>
      <w:spacing w:after="0" w:line="240" w:lineRule="auto"/>
    </w:pPr>
    <w:tblPr/>
  </w:style>
  <w:style w:type="table" w:styleId="899">
    <w:name w:val="List Table 7 Colorful - Accent 5"/>
    <w:next w:val="899"/>
    <w:link w:val="737"/>
    <w:uiPriority w:val="99"/>
    <w:qFormat/>
    <w:pPr>
      <w:spacing w:after="0" w:line="240" w:lineRule="auto"/>
    </w:pPr>
    <w:tblPr/>
  </w:style>
  <w:style w:type="table" w:styleId="900">
    <w:name w:val="List Table 7 Colorful - Accent 6"/>
    <w:next w:val="900"/>
    <w:link w:val="737"/>
    <w:uiPriority w:val="99"/>
    <w:qFormat/>
    <w:pPr>
      <w:spacing w:after="0" w:line="240" w:lineRule="auto"/>
    </w:pPr>
    <w:tblPr/>
  </w:style>
  <w:style w:type="table" w:styleId="901">
    <w:name w:val="Lined - Accent"/>
    <w:next w:val="901"/>
    <w:link w:val="737"/>
    <w:uiPriority w:val="99"/>
    <w:qFormat/>
    <w:pPr>
      <w:spacing w:after="0" w:line="240" w:lineRule="auto"/>
    </w:pPr>
    <w:rPr>
      <w:color w:val="404040"/>
    </w:rPr>
    <w:tblPr/>
  </w:style>
  <w:style w:type="table" w:styleId="902">
    <w:name w:val="Lined - Accent 1"/>
    <w:next w:val="902"/>
    <w:link w:val="737"/>
    <w:uiPriority w:val="99"/>
    <w:qFormat/>
    <w:pPr>
      <w:spacing w:after="0" w:line="240" w:lineRule="auto"/>
    </w:pPr>
    <w:rPr>
      <w:color w:val="404040"/>
    </w:rPr>
    <w:tblPr/>
  </w:style>
  <w:style w:type="table" w:styleId="903">
    <w:name w:val="Lined - Accent 2"/>
    <w:next w:val="903"/>
    <w:link w:val="737"/>
    <w:uiPriority w:val="99"/>
    <w:qFormat/>
    <w:pPr>
      <w:spacing w:after="0" w:line="240" w:lineRule="auto"/>
    </w:pPr>
    <w:rPr>
      <w:color w:val="404040"/>
    </w:rPr>
    <w:tblPr/>
  </w:style>
  <w:style w:type="table" w:styleId="904">
    <w:name w:val="Lined - Accent 3"/>
    <w:next w:val="904"/>
    <w:link w:val="737"/>
    <w:uiPriority w:val="99"/>
    <w:qFormat/>
    <w:pPr>
      <w:spacing w:after="0" w:line="240" w:lineRule="auto"/>
    </w:pPr>
    <w:rPr>
      <w:color w:val="404040"/>
    </w:rPr>
    <w:tblPr/>
  </w:style>
  <w:style w:type="table" w:styleId="905">
    <w:name w:val="Lined - Accent 4"/>
    <w:next w:val="905"/>
    <w:link w:val="737"/>
    <w:uiPriority w:val="99"/>
    <w:qFormat/>
    <w:pPr>
      <w:spacing w:after="0" w:line="240" w:lineRule="auto"/>
    </w:pPr>
    <w:rPr>
      <w:color w:val="404040"/>
    </w:rPr>
    <w:tblPr/>
  </w:style>
  <w:style w:type="table" w:styleId="906">
    <w:name w:val="Lined - Accent 5"/>
    <w:next w:val="906"/>
    <w:link w:val="737"/>
    <w:uiPriority w:val="99"/>
    <w:pPr>
      <w:spacing w:after="0" w:line="240" w:lineRule="auto"/>
    </w:pPr>
    <w:rPr>
      <w:color w:val="404040"/>
    </w:rPr>
    <w:tblPr/>
  </w:style>
  <w:style w:type="table" w:styleId="907">
    <w:name w:val="Lined - Accent 6"/>
    <w:next w:val="907"/>
    <w:link w:val="737"/>
    <w:uiPriority w:val="99"/>
    <w:qFormat/>
    <w:pPr>
      <w:spacing w:after="0" w:line="240" w:lineRule="auto"/>
    </w:pPr>
    <w:rPr>
      <w:color w:val="404040"/>
    </w:rPr>
    <w:tblPr/>
  </w:style>
  <w:style w:type="table" w:styleId="908">
    <w:name w:val="Bordered &amp; Lined - Accent"/>
    <w:next w:val="908"/>
    <w:link w:val="737"/>
    <w:uiPriority w:val="99"/>
    <w:qFormat/>
    <w:pPr>
      <w:spacing w:after="0" w:line="240" w:lineRule="auto"/>
    </w:pPr>
    <w:rPr>
      <w:color w:val="404040"/>
    </w:rPr>
    <w:tblPr/>
  </w:style>
  <w:style w:type="table" w:styleId="909">
    <w:name w:val="Bordered &amp; Lined - Accent 1"/>
    <w:next w:val="909"/>
    <w:link w:val="737"/>
    <w:uiPriority w:val="99"/>
    <w:qFormat/>
    <w:pPr>
      <w:spacing w:after="0" w:line="240" w:lineRule="auto"/>
    </w:pPr>
    <w:rPr>
      <w:color w:val="404040"/>
    </w:rPr>
    <w:tblPr/>
  </w:style>
  <w:style w:type="table" w:styleId="910">
    <w:name w:val="Bordered &amp; Lined - Accent 2"/>
    <w:next w:val="910"/>
    <w:link w:val="737"/>
    <w:uiPriority w:val="99"/>
    <w:qFormat/>
    <w:pPr>
      <w:spacing w:after="0" w:line="240" w:lineRule="auto"/>
    </w:pPr>
    <w:rPr>
      <w:color w:val="404040"/>
    </w:rPr>
    <w:tblPr/>
  </w:style>
  <w:style w:type="table" w:styleId="911">
    <w:name w:val="Bordered &amp; Lined - Accent 3"/>
    <w:next w:val="911"/>
    <w:link w:val="737"/>
    <w:uiPriority w:val="99"/>
    <w:qFormat/>
    <w:pPr>
      <w:spacing w:after="0" w:line="240" w:lineRule="auto"/>
    </w:pPr>
    <w:rPr>
      <w:color w:val="404040"/>
    </w:rPr>
    <w:tblPr/>
  </w:style>
  <w:style w:type="table" w:styleId="912">
    <w:name w:val="Bordered &amp; Lined - Accent 4"/>
    <w:next w:val="912"/>
    <w:link w:val="737"/>
    <w:uiPriority w:val="99"/>
    <w:qFormat/>
    <w:pPr>
      <w:spacing w:after="0" w:line="240" w:lineRule="auto"/>
    </w:pPr>
    <w:rPr>
      <w:color w:val="404040"/>
    </w:rPr>
    <w:tblPr/>
  </w:style>
  <w:style w:type="table" w:styleId="913">
    <w:name w:val="Bordered &amp; Lined - Accent 5"/>
    <w:next w:val="913"/>
    <w:link w:val="737"/>
    <w:uiPriority w:val="99"/>
    <w:qFormat/>
    <w:pPr>
      <w:spacing w:after="0" w:line="240" w:lineRule="auto"/>
    </w:pPr>
    <w:rPr>
      <w:color w:val="404040"/>
    </w:rPr>
    <w:tblPr/>
  </w:style>
  <w:style w:type="table" w:styleId="914">
    <w:name w:val="Bordered &amp; Lined - Accent 6"/>
    <w:next w:val="914"/>
    <w:link w:val="737"/>
    <w:uiPriority w:val="99"/>
    <w:qFormat/>
    <w:pPr>
      <w:spacing w:after="0" w:line="240" w:lineRule="auto"/>
    </w:pPr>
    <w:rPr>
      <w:color w:val="404040"/>
    </w:rPr>
    <w:tblPr/>
  </w:style>
  <w:style w:type="table" w:styleId="915">
    <w:name w:val="Bordered"/>
    <w:next w:val="915"/>
    <w:link w:val="737"/>
    <w:uiPriority w:val="99"/>
    <w:qFormat/>
    <w:pPr>
      <w:spacing w:after="0" w:line="240" w:lineRule="auto"/>
    </w:pPr>
    <w:tblPr/>
  </w:style>
  <w:style w:type="table" w:styleId="916">
    <w:name w:val="Bordered - Accent 1"/>
    <w:next w:val="916"/>
    <w:link w:val="737"/>
    <w:uiPriority w:val="99"/>
    <w:qFormat/>
    <w:pPr>
      <w:spacing w:after="0" w:line="240" w:lineRule="auto"/>
    </w:pPr>
    <w:tblPr/>
  </w:style>
  <w:style w:type="table" w:styleId="917">
    <w:name w:val="Bordered - Accent 2"/>
    <w:next w:val="917"/>
    <w:link w:val="737"/>
    <w:uiPriority w:val="99"/>
    <w:qFormat/>
    <w:pPr>
      <w:spacing w:after="0" w:line="240" w:lineRule="auto"/>
    </w:pPr>
    <w:tblPr/>
  </w:style>
  <w:style w:type="table" w:styleId="918">
    <w:name w:val="Bordered - Accent 3"/>
    <w:next w:val="918"/>
    <w:link w:val="737"/>
    <w:uiPriority w:val="99"/>
    <w:qFormat/>
    <w:pPr>
      <w:spacing w:after="0" w:line="240" w:lineRule="auto"/>
    </w:pPr>
    <w:tblPr/>
  </w:style>
  <w:style w:type="table" w:styleId="919">
    <w:name w:val="Bordered - Accent 4"/>
    <w:next w:val="919"/>
    <w:link w:val="737"/>
    <w:uiPriority w:val="99"/>
    <w:qFormat/>
    <w:pPr>
      <w:spacing w:after="0" w:line="240" w:lineRule="auto"/>
    </w:pPr>
    <w:tblPr/>
  </w:style>
  <w:style w:type="table" w:styleId="920">
    <w:name w:val="Bordered - Accent 5"/>
    <w:next w:val="920"/>
    <w:link w:val="737"/>
    <w:uiPriority w:val="99"/>
    <w:qFormat/>
    <w:pPr>
      <w:spacing w:after="0" w:line="240" w:lineRule="auto"/>
    </w:pPr>
    <w:tblPr/>
  </w:style>
  <w:style w:type="table" w:styleId="921">
    <w:name w:val="Bordered - Accent 6"/>
    <w:next w:val="921"/>
    <w:link w:val="737"/>
    <w:uiPriority w:val="99"/>
    <w:qFormat/>
    <w:pPr>
      <w:spacing w:after="0" w:line="240" w:lineRule="auto"/>
    </w:pPr>
    <w:tblPr/>
  </w:style>
  <w:style w:type="paragraph" w:styleId="922">
    <w:name w:val="TOC Heading"/>
    <w:next w:val="922"/>
    <w:link w:val="737"/>
    <w:uiPriority w:val="39"/>
    <w:unhideWhenUsed/>
    <w:qFormat/>
    <w:rPr>
      <w:rFonts w:ascii="Times New Roman" w:hAnsi="Times New Roman" w:eastAsia="宋体" w:cs="Times New Roman"/>
    </w:rPr>
  </w:style>
  <w:style w:type="paragraph" w:styleId="923">
    <w:name w:val="标题 11"/>
    <w:basedOn w:val="737"/>
    <w:next w:val="737"/>
    <w:link w:val="737"/>
    <w:uiPriority w:val="9"/>
    <w:qFormat/>
    <w:pPr>
      <w:keepLines/>
      <w:keepNext/>
      <w:spacing w:before="340" w:after="330" w:line="578" w:lineRule="auto"/>
      <w:outlineLvl w:val="0"/>
    </w:pPr>
    <w:rPr>
      <w:b/>
      <w:bCs/>
      <w:sz w:val="44"/>
      <w:szCs w:val="44"/>
    </w:rPr>
  </w:style>
  <w:style w:type="paragraph" w:styleId="924">
    <w:name w:val="标题 21"/>
    <w:basedOn w:val="737"/>
    <w:next w:val="737"/>
    <w:link w:val="737"/>
    <w:qFormat/>
    <w:pPr>
      <w:jc w:val="center"/>
      <w:keepLines/>
      <w:keepNext/>
      <w:spacing w:before="260" w:after="260" w:line="416" w:lineRule="auto"/>
      <w:outlineLvl w:val="1"/>
    </w:pPr>
    <w:rPr>
      <w:rFonts w:ascii="Arial" w:hAnsi="Arial" w:eastAsia="幼圆" w:cs="Arial"/>
      <w:b/>
      <w:bCs/>
      <w:sz w:val="44"/>
      <w:szCs w:val="44"/>
    </w:rPr>
  </w:style>
  <w:style w:type="paragraph" w:styleId="925">
    <w:name w:val="标题 31"/>
    <w:basedOn w:val="737"/>
    <w:next w:val="737"/>
    <w:link w:val="737"/>
    <w:qFormat/>
    <w:pPr>
      <w:keepLines/>
      <w:keepNext/>
      <w:spacing w:before="260" w:after="260" w:line="416" w:lineRule="auto"/>
      <w:outlineLvl w:val="2"/>
    </w:pPr>
    <w:rPr>
      <w:b/>
      <w:bCs/>
      <w:sz w:val="32"/>
      <w:szCs w:val="32"/>
    </w:rPr>
  </w:style>
  <w:style w:type="character" w:styleId="926">
    <w:name w:val="默认段落字体1"/>
    <w:next w:val="926"/>
    <w:link w:val="737"/>
    <w:uiPriority w:val="1"/>
    <w:unhideWhenUsed/>
    <w:qFormat/>
  </w:style>
  <w:style w:type="table" w:styleId="927">
    <w:name w:val="普通表格1"/>
    <w:next w:val="927"/>
    <w:link w:val="737"/>
    <w:uiPriority w:val="99"/>
    <w:unhideWhenUsed/>
    <w:qFormat/>
    <w:tblPr/>
  </w:style>
  <w:style w:type="paragraph" w:styleId="928">
    <w:name w:val="正文文本缩进1"/>
    <w:basedOn w:val="737"/>
    <w:next w:val="929"/>
    <w:link w:val="737"/>
    <w:qFormat/>
    <w:pPr>
      <w:ind w:left="420"/>
      <w:spacing w:after="120"/>
    </w:pPr>
    <w:rPr>
      <w:rFonts w:ascii="等线" w:hAnsi="等线" w:eastAsia="等线"/>
    </w:rPr>
  </w:style>
  <w:style w:type="paragraph" w:styleId="929">
    <w:name w:val="寄信人地址1"/>
    <w:basedOn w:val="737"/>
    <w:next w:val="929"/>
    <w:link w:val="737"/>
    <w:uiPriority w:val="99"/>
    <w:unhideWhenUsed/>
    <w:qFormat/>
    <w:rPr>
      <w:rFonts w:ascii="Arial" w:hAnsi="Arial"/>
    </w:rPr>
  </w:style>
  <w:style w:type="paragraph" w:styleId="930">
    <w:name w:val="正文缩进1"/>
    <w:basedOn w:val="737"/>
    <w:next w:val="930"/>
    <w:link w:val="737"/>
    <w:unhideWhenUsed/>
    <w:qFormat/>
    <w:pPr>
      <w:ind w:firstLine="420"/>
    </w:pPr>
  </w:style>
  <w:style w:type="paragraph" w:styleId="931">
    <w:name w:val="批注文字1"/>
    <w:basedOn w:val="737"/>
    <w:next w:val="931"/>
    <w:link w:val="932"/>
    <w:qFormat/>
    <w:pPr>
      <w:jc w:val="left"/>
    </w:pPr>
  </w:style>
  <w:style w:type="character" w:styleId="932">
    <w:name w:val="批注文字 Char"/>
    <w:next w:val="932"/>
    <w:link w:val="931"/>
    <w:qFormat/>
    <w:rPr>
      <w:rFonts w:ascii="Calibri" w:hAnsi="Calibri"/>
      <w:sz w:val="21"/>
      <w:szCs w:val="22"/>
    </w:rPr>
  </w:style>
  <w:style w:type="paragraph" w:styleId="933">
    <w:name w:val="正文文本11"/>
    <w:basedOn w:val="737"/>
    <w:next w:val="934"/>
    <w:link w:val="737"/>
    <w:qFormat/>
    <w:rPr>
      <w:rFonts w:ascii="楷体_GB2312" w:hAnsi="Arial" w:eastAsia="楷体_GB2312"/>
      <w:sz w:val="28"/>
      <w:szCs w:val="28"/>
    </w:rPr>
  </w:style>
  <w:style w:type="paragraph" w:styleId="934">
    <w:name w:val="标题1"/>
    <w:basedOn w:val="737"/>
    <w:next w:val="737"/>
    <w:link w:val="737"/>
    <w:qFormat/>
    <w:pPr>
      <w:jc w:val="center"/>
      <w:spacing w:before="240" w:after="60" w:line="360" w:lineRule="auto"/>
      <w:outlineLvl w:val="0"/>
    </w:pPr>
    <w:rPr>
      <w:rFonts w:ascii="宋体" w:hAnsi="宋体"/>
      <w:b/>
      <w:bCs/>
      <w:sz w:val="32"/>
      <w:szCs w:val="32"/>
    </w:rPr>
  </w:style>
  <w:style w:type="paragraph" w:styleId="935">
    <w:name w:val="纯文本1"/>
    <w:basedOn w:val="737"/>
    <w:next w:val="935"/>
    <w:link w:val="737"/>
    <w:uiPriority w:val="99"/>
    <w:qFormat/>
    <w:rPr>
      <w:rFonts w:ascii="宋体" w:hAnsi="Courier New"/>
      <w:sz w:val="20"/>
      <w:szCs w:val="21"/>
    </w:rPr>
  </w:style>
  <w:style w:type="paragraph" w:styleId="936">
    <w:name w:val="正文文本缩进 21"/>
    <w:basedOn w:val="737"/>
    <w:next w:val="936"/>
    <w:link w:val="737"/>
    <w:qFormat/>
    <w:pPr>
      <w:ind w:left="640"/>
      <w:spacing w:after="120" w:line="480" w:lineRule="auto"/>
    </w:pPr>
    <w:rPr>
      <w:rFonts w:eastAsia="仿宋_GB2312"/>
      <w:sz w:val="32"/>
      <w:szCs w:val="28"/>
    </w:rPr>
  </w:style>
  <w:style w:type="paragraph" w:styleId="937">
    <w:name w:val="批注框文本1"/>
    <w:basedOn w:val="737"/>
    <w:next w:val="937"/>
    <w:link w:val="938"/>
    <w:qFormat/>
    <w:rPr>
      <w:sz w:val="18"/>
      <w:szCs w:val="18"/>
    </w:rPr>
  </w:style>
  <w:style w:type="character" w:styleId="938">
    <w:name w:val="批注框文本 Char"/>
    <w:next w:val="938"/>
    <w:link w:val="937"/>
    <w:qFormat/>
    <w:rPr>
      <w:sz w:val="18"/>
      <w:szCs w:val="18"/>
    </w:rPr>
  </w:style>
  <w:style w:type="paragraph" w:styleId="939">
    <w:name w:val="页脚1"/>
    <w:basedOn w:val="737"/>
    <w:next w:val="939"/>
    <w:link w:val="737"/>
    <w:uiPriority w:val="99"/>
    <w:unhideWhenUsed/>
    <w:qFormat/>
    <w:pPr>
      <w:jc w:val="left"/>
      <w:tabs>
        <w:tab w:val="center" w:pos="4153" w:leader="none"/>
        <w:tab w:val="right" w:pos="8306" w:leader="none"/>
      </w:tabs>
    </w:pPr>
    <w:rPr>
      <w:sz w:val="18"/>
      <w:szCs w:val="18"/>
    </w:rPr>
  </w:style>
  <w:style w:type="paragraph" w:styleId="940">
    <w:name w:val="页眉1"/>
    <w:basedOn w:val="737"/>
    <w:next w:val="940"/>
    <w:link w:val="7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1">
    <w:name w:val="目录 11"/>
    <w:basedOn w:val="737"/>
    <w:next w:val="737"/>
    <w:link w:val="737"/>
    <w:uiPriority w:val="39"/>
    <w:unhideWhenUsed/>
    <w:qFormat/>
  </w:style>
  <w:style w:type="paragraph" w:styleId="942">
    <w:name w:val="目录 21"/>
    <w:basedOn w:val="737"/>
    <w:next w:val="737"/>
    <w:link w:val="737"/>
    <w:qFormat/>
    <w:pPr>
      <w:ind w:left="420"/>
    </w:pPr>
  </w:style>
  <w:style w:type="paragraph" w:styleId="943">
    <w:name w:val="正文文本 21"/>
    <w:basedOn w:val="737"/>
    <w:next w:val="943"/>
    <w:link w:val="737"/>
    <w:qFormat/>
    <w:pPr>
      <w:spacing w:after="120" w:line="480" w:lineRule="auto"/>
    </w:pPr>
  </w:style>
  <w:style w:type="paragraph" w:styleId="944">
    <w:name w:val="信息标题1"/>
    <w:basedOn w:val="737"/>
    <w:next w:val="944"/>
    <w:link w:val="737"/>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5">
    <w:name w:val="普通(网站)1"/>
    <w:basedOn w:val="737"/>
    <w:next w:val="945"/>
    <w:link w:val="737"/>
    <w:qFormat/>
    <w:rPr>
      <w:rFonts w:ascii="Times New Roman" w:hAnsi="Times New Roman"/>
      <w:sz w:val="24"/>
    </w:rPr>
  </w:style>
  <w:style w:type="paragraph" w:styleId="946">
    <w:name w:val="批注主题1"/>
    <w:basedOn w:val="931"/>
    <w:next w:val="931"/>
    <w:link w:val="947"/>
    <w:qFormat/>
    <w:rPr>
      <w:b/>
      <w:bCs/>
    </w:rPr>
  </w:style>
  <w:style w:type="character" w:styleId="947">
    <w:name w:val="批注主题 Char"/>
    <w:next w:val="947"/>
    <w:link w:val="946"/>
    <w:qFormat/>
    <w:rPr>
      <w:rFonts w:ascii="Calibri" w:hAnsi="Calibri"/>
      <w:b/>
      <w:bCs/>
      <w:sz w:val="21"/>
      <w:szCs w:val="22"/>
    </w:rPr>
  </w:style>
  <w:style w:type="paragraph" w:styleId="948">
    <w:name w:val="正文首行缩进 21"/>
    <w:basedOn w:val="928"/>
    <w:next w:val="737"/>
    <w:link w:val="737"/>
    <w:qFormat/>
    <w:pPr>
      <w:ind w:firstLine="420"/>
      <w:spacing w:before="100" w:beforeAutospacing="1"/>
    </w:pPr>
    <w:rPr>
      <w:rFonts w:ascii="Times New Roman" w:hAnsi="Times New Roman" w:eastAsia="宋体"/>
      <w:sz w:val="20"/>
      <w:szCs w:val="21"/>
    </w:rPr>
  </w:style>
  <w:style w:type="table" w:styleId="949">
    <w:name w:val="网格型1"/>
    <w:basedOn w:val="927"/>
    <w:next w:val="949"/>
    <w:link w:val="737"/>
    <w:qFormat/>
    <w:pPr>
      <w:jc w:val="both"/>
      <w:widowControl w:val="off"/>
    </w:pPr>
    <w:tblPr/>
  </w:style>
  <w:style w:type="character" w:styleId="950">
    <w:name w:val="要点1"/>
    <w:next w:val="950"/>
    <w:link w:val="737"/>
    <w:qFormat/>
    <w:rPr>
      <w:b/>
    </w:rPr>
  </w:style>
  <w:style w:type="character" w:styleId="951">
    <w:name w:val="强调1"/>
    <w:next w:val="951"/>
    <w:link w:val="737"/>
    <w:qFormat/>
    <w:rPr>
      <w:i/>
    </w:rPr>
  </w:style>
  <w:style w:type="character" w:styleId="952">
    <w:name w:val="超链接1"/>
    <w:next w:val="952"/>
    <w:link w:val="737"/>
    <w:qFormat/>
    <w:rPr>
      <w:color w:val="0000ff"/>
      <w:u w:val="single"/>
    </w:rPr>
  </w:style>
  <w:style w:type="character" w:styleId="953">
    <w:name w:val="批注引用1"/>
    <w:next w:val="953"/>
    <w:link w:val="737"/>
    <w:qFormat/>
    <w:rPr>
      <w:sz w:val="21"/>
      <w:szCs w:val="21"/>
    </w:rPr>
  </w:style>
  <w:style w:type="paragraph" w:styleId="954">
    <w:name w:val="正文（缩进）"/>
    <w:basedOn w:val="737"/>
    <w:next w:val="954"/>
    <w:link w:val="737"/>
    <w:qFormat/>
    <w:pPr>
      <w:ind w:firstLine="480"/>
      <w:spacing w:before="156" w:after="156"/>
    </w:pPr>
  </w:style>
  <w:style w:type="paragraph" w:styleId="955">
    <w:name w:val="正文1"/>
    <w:basedOn w:val="737"/>
    <w:next w:val="956"/>
    <w:link w:val="737"/>
    <w:qFormat/>
    <w:pPr>
      <w:jc w:val="left"/>
      <w:spacing w:line="360" w:lineRule="atLeast"/>
    </w:pPr>
    <w:rPr>
      <w:rFonts w:ascii="宋体" w:hAnsi="Calibri" w:eastAsia="宋体" w:cs="Arial"/>
      <w:sz w:val="24"/>
      <w:szCs w:val="20"/>
    </w:rPr>
  </w:style>
  <w:style w:type="paragraph" w:styleId="956">
    <w:name w:val="正文文本1"/>
    <w:basedOn w:val="955"/>
    <w:next w:val="957"/>
    <w:link w:val="737"/>
    <w:qFormat/>
    <w:pPr>
      <w:spacing w:after="120"/>
    </w:pPr>
    <w:rPr>
      <w:lang w:eastAsia="en-US"/>
    </w:rPr>
  </w:style>
  <w:style w:type="paragraph" w:styleId="957">
    <w:name w:val="一级条标题"/>
    <w:basedOn w:val="958"/>
    <w:next w:val="959"/>
    <w:link w:val="73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name w:val="章标题"/>
    <w:next w:val="737"/>
    <w:link w:val="73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9">
    <w:name w:val="段"/>
    <w:basedOn w:val="955"/>
    <w:next w:val="737"/>
    <w:link w:val="737"/>
    <w:qFormat/>
    <w:pPr>
      <w:ind w:firstLine="200"/>
      <w:widowControl/>
    </w:pPr>
    <w:rPr>
      <w:sz w:val="20"/>
    </w:rPr>
  </w:style>
  <w:style w:type="paragraph" w:styleId="960">
    <w:name w:val="普通正文"/>
    <w:basedOn w:val="737"/>
    <w:next w:val="960"/>
    <w:link w:val="737"/>
    <w:qFormat/>
    <w:pPr>
      <w:ind w:firstLine="480"/>
      <w:jc w:val="left"/>
      <w:spacing w:before="120" w:after="120" w:line="360" w:lineRule="auto"/>
    </w:pPr>
    <w:rPr>
      <w:rFonts w:ascii="Arial" w:hAnsi="Arial"/>
      <w:sz w:val="24"/>
      <w:szCs w:val="24"/>
    </w:rPr>
  </w:style>
  <w:style w:type="paragraph" w:styleId="961">
    <w:name w:val="Char"/>
    <w:basedOn w:val="737"/>
    <w:next w:val="961"/>
    <w:link w:val="737"/>
    <w:qFormat/>
    <w:pPr>
      <w:ind w:firstLine="200"/>
      <w:tabs>
        <w:tab w:val="left" w:pos="360" w:leader="none"/>
      </w:tabs>
    </w:pPr>
    <w:rPr>
      <w:rFonts w:ascii="Times New Roman" w:hAnsi="Times New Roman"/>
      <w:sz w:val="28"/>
      <w:szCs w:val="30"/>
    </w:rPr>
  </w:style>
  <w:style w:type="paragraph" w:styleId="962">
    <w:name w:val="Table Paragraph"/>
    <w:basedOn w:val="737"/>
    <w:next w:val="962"/>
    <w:link w:val="737"/>
    <w:uiPriority w:val="1"/>
    <w:qFormat/>
    <w:rPr>
      <w:rFonts w:ascii="Noto Sans CJK JP Regular" w:hAnsi="Noto Sans CJK JP Regular" w:eastAsia="Noto Sans CJK JP Regular" w:cs="Noto Sans CJK JP Regular"/>
    </w:rPr>
  </w:style>
  <w:style w:type="paragraph" w:styleId="963">
    <w:name w:val="正文（1）"/>
    <w:basedOn w:val="737"/>
    <w:next w:val="963"/>
    <w:link w:val="737"/>
    <w:qFormat/>
    <w:pPr>
      <w:numPr>
        <w:ilvl w:val="0"/>
        <w:numId w:val="1"/>
      </w:numPr>
      <w:ind w:firstLine="200"/>
    </w:pPr>
    <w:rPr>
      <w:szCs w:val="24"/>
    </w:rPr>
  </w:style>
  <w:style w:type="paragraph" w:styleId="964">
    <w:name w:val="朱-正文"/>
    <w:basedOn w:val="737"/>
    <w:next w:val="964"/>
    <w:link w:val="737"/>
    <w:qFormat/>
    <w:pPr>
      <w:ind w:firstLine="200"/>
    </w:pPr>
    <w:rPr>
      <w:rFonts w:ascii="Times New Roman"/>
      <w:color w:val="000000"/>
      <w:szCs w:val="24"/>
      <w:lang w:val="en-GB"/>
    </w:rPr>
  </w:style>
  <w:style w:type="paragraph" w:styleId="965">
    <w:name w:val="GP正文(首行缩进)"/>
    <w:basedOn w:val="737"/>
    <w:next w:val="965"/>
    <w:link w:val="737"/>
    <w:qFormat/>
    <w:pPr>
      <w:ind w:firstLine="480"/>
      <w:jc w:val="left"/>
    </w:pPr>
    <w:rPr>
      <w:rFonts w:ascii="Times New Roman" w:hAnsi="宋体"/>
      <w:sz w:val="24"/>
      <w:szCs w:val="24"/>
    </w:rPr>
  </w:style>
  <w:style w:type="character" w:styleId="966">
    <w:name w:val="font71"/>
    <w:next w:val="966"/>
    <w:link w:val="737"/>
    <w:qFormat/>
    <w:rPr>
      <w:rFonts w:hint="eastAsia" w:ascii="宋体" w:hAnsi="宋体" w:eastAsia="宋体" w:cs="宋体"/>
      <w:color w:val="ff0000"/>
      <w:sz w:val="21"/>
      <w:szCs w:val="21"/>
      <w:u w:val="none"/>
    </w:rPr>
  </w:style>
  <w:style w:type="character" w:styleId="967">
    <w:name w:val="font41"/>
    <w:next w:val="967"/>
    <w:link w:val="737"/>
    <w:qFormat/>
    <w:rPr>
      <w:rFonts w:hint="eastAsia" w:ascii="宋体" w:hAnsi="宋体" w:eastAsia="宋体" w:cs="宋体"/>
      <w:color w:val="000000"/>
      <w:sz w:val="21"/>
      <w:szCs w:val="21"/>
      <w:u w:val="none"/>
    </w:rPr>
  </w:style>
  <w:style w:type="paragraph" w:styleId="968">
    <w:name w:val="列出段落"/>
    <w:basedOn w:val="737"/>
    <w:next w:val="968"/>
    <w:link w:val="737"/>
    <w:qFormat/>
    <w:pPr>
      <w:ind w:firstLine="420"/>
    </w:pPr>
  </w:style>
  <w:style w:type="paragraph" w:styleId="969">
    <w:name w:val="列出段落2"/>
    <w:basedOn w:val="737"/>
    <w:next w:val="969"/>
    <w:link w:val="737"/>
    <w:uiPriority w:val="34"/>
    <w:qFormat/>
    <w:pPr>
      <w:ind w:firstLine="420"/>
    </w:pPr>
    <w:rPr>
      <w:rFonts w:ascii="宋体"/>
      <w:color w:val="404040"/>
    </w:rPr>
  </w:style>
  <w:style w:type="paragraph" w:styleId="970">
    <w:name w:val="列表段落1"/>
    <w:basedOn w:val="737"/>
    <w:next w:val="970"/>
    <w:link w:val="737"/>
    <w:qFormat/>
    <w:pPr>
      <w:ind w:firstLine="200"/>
    </w:pPr>
    <w:rPr>
      <w:rFonts w:cs="宋体"/>
    </w:rPr>
  </w:style>
  <w:style w:type="character" w:styleId="971">
    <w:name w:val="font51"/>
    <w:next w:val="971"/>
    <w:link w:val="737"/>
    <w:qFormat/>
    <w:rPr>
      <w:rFonts w:hint="eastAsia" w:ascii="宋体" w:hAnsi="宋体" w:eastAsia="宋体" w:cs="宋体"/>
      <w:color w:val="000000"/>
      <w:sz w:val="24"/>
      <w:szCs w:val="24"/>
      <w:u w:val="none"/>
      <w:vertAlign w:val="subscript"/>
    </w:rPr>
  </w:style>
  <w:style w:type="character" w:styleId="972">
    <w:name w:val="font61"/>
    <w:next w:val="972"/>
    <w:link w:val="737"/>
    <w:qFormat/>
    <w:rPr>
      <w:rFonts w:hint="eastAsia" w:ascii="宋体" w:hAnsi="宋体" w:eastAsia="宋体" w:cs="宋体"/>
      <w:color w:val="000000"/>
      <w:sz w:val="24"/>
      <w:szCs w:val="24"/>
      <w:u w:val="none"/>
    </w:rPr>
  </w:style>
  <w:style w:type="character" w:styleId="973">
    <w:name w:val="font01"/>
    <w:next w:val="973"/>
    <w:link w:val="737"/>
    <w:qFormat/>
    <w:rPr>
      <w:rFonts w:hint="eastAsia" w:ascii="宋体" w:hAnsi="宋体" w:eastAsia="宋体" w:cs="宋体"/>
      <w:color w:val="000000"/>
      <w:sz w:val="24"/>
      <w:szCs w:val="24"/>
      <w:u w:val="none"/>
    </w:rPr>
  </w:style>
  <w:style w:type="character" w:styleId="974">
    <w:name w:val="font81"/>
    <w:next w:val="974"/>
    <w:link w:val="737"/>
    <w:qFormat/>
    <w:rPr>
      <w:rFonts w:ascii="微软雅黑" w:hAnsi="微软雅黑" w:eastAsia="微软雅黑" w:cs="微软雅黑"/>
      <w:color w:val="000000"/>
      <w:sz w:val="24"/>
      <w:szCs w:val="24"/>
      <w:u w:val="none"/>
    </w:rPr>
  </w:style>
  <w:style w:type="character" w:styleId="975">
    <w:name w:val="font91"/>
    <w:next w:val="975"/>
    <w:link w:val="737"/>
    <w:qFormat/>
    <w:rPr>
      <w:rFonts w:ascii="Segoe UI Symbol" w:hAnsi="Segoe UI Symbol" w:eastAsia="Segoe UI Symbol" w:cs="Segoe UI Symbol"/>
      <w:color w:val="000000"/>
      <w:sz w:val="24"/>
      <w:szCs w:val="24"/>
      <w:u w:val="none"/>
    </w:rPr>
  </w:style>
  <w:style w:type="character" w:styleId="976">
    <w:name w:val="font101"/>
    <w:next w:val="976"/>
    <w:link w:val="737"/>
    <w:qFormat/>
    <w:rPr>
      <w:rFonts w:ascii="Calibri" w:hAnsi="Calibri" w:cs="Calibri"/>
      <w:color w:val="000000"/>
      <w:sz w:val="24"/>
      <w:szCs w:val="24"/>
      <w:u w:val="none"/>
    </w:rPr>
  </w:style>
  <w:style w:type="paragraph" w:styleId="977">
    <w:name w:val="TableItem"/>
    <w:next w:val="977"/>
    <w:link w:val="737"/>
    <w:qFormat/>
    <w:rPr>
      <w:rFonts w:ascii="Verdana" w:hAnsi="Verdana" w:eastAsia="宋体" w:cs="Verdana"/>
      <w:b/>
      <w:bCs/>
      <w:color w:val="538135"/>
      <w:spacing w:val="-10"/>
      <w:sz w:val="16"/>
      <w:szCs w:val="28"/>
      <w:lang w:val="en-US" w:eastAsia="zh-CN" w:bidi="ar-SA"/>
    </w:rPr>
  </w:style>
  <w:style w:type="paragraph" w:styleId="978">
    <w:name w:val="TableEmphasis"/>
    <w:basedOn w:val="737"/>
    <w:next w:val="978"/>
    <w:link w:val="737"/>
    <w:qFormat/>
    <w:rPr>
      <w:rFonts w:ascii="Times New Roman" w:hAnsi="Times New Roman" w:eastAsia="Times New Roman"/>
      <w:b/>
      <w:bCs/>
      <w:color w:val="3333ff"/>
      <w:sz w:val="16"/>
      <w:szCs w:val="18"/>
    </w:rPr>
  </w:style>
  <w:style w:type="paragraph" w:styleId="979">
    <w:name w:val="修订1"/>
    <w:next w:val="979"/>
    <w:link w:val="737"/>
    <w:uiPriority w:val="99"/>
    <w:unhideWhenUsed/>
    <w:qFormat/>
    <w:rPr>
      <w:rFonts w:ascii="Calibri" w:hAnsi="Calibri" w:eastAsia="宋体" w:cs="Times New Roman"/>
      <w:sz w:val="21"/>
      <w:szCs w:val="22"/>
      <w:lang w:val="en-US" w:eastAsia="zh-CN" w:bidi="ar-SA"/>
    </w:rPr>
  </w:style>
  <w:style w:type="paragraph" w:styleId="980">
    <w:name w:val="修订2"/>
    <w:next w:val="980"/>
    <w:link w:val="737"/>
    <w:uiPriority w:val="99"/>
    <w:semiHidden/>
    <w:qFormat/>
    <w:rPr>
      <w:rFonts w:ascii="Calibri" w:hAnsi="Calibri" w:eastAsia="宋体" w:cs="Times New Roman"/>
      <w:sz w:val="21"/>
      <w:szCs w:val="22"/>
      <w:lang w:val="en-US" w:eastAsia="zh-CN" w:bidi="ar-SA"/>
    </w:rPr>
  </w:style>
  <w:style w:type="character" w:styleId="981">
    <w:name w:val="font11"/>
    <w:next w:val="981"/>
    <w:link w:val="737"/>
    <w:qFormat/>
    <w:rPr>
      <w:rFonts w:hint="eastAsia" w:ascii="宋体" w:hAnsi="宋体" w:eastAsia="宋体" w:cs="宋体"/>
      <w:color w:val="000000"/>
      <w:sz w:val="24"/>
      <w:szCs w:val="24"/>
      <w:u w:val="none"/>
    </w:rPr>
  </w:style>
  <w:style w:type="character" w:styleId="982">
    <w:name w:val="font21"/>
    <w:next w:val="982"/>
    <w:link w:val="737"/>
    <w:qFormat/>
    <w:rPr>
      <w:rFonts w:ascii="Segoe UI Symbol" w:hAnsi="Segoe UI Symbol" w:eastAsia="Segoe UI Symbol" w:cs="Segoe UI Symbol"/>
      <w:color w:val="000000"/>
      <w:sz w:val="24"/>
      <w:szCs w:val="24"/>
      <w:u w:val="none"/>
    </w:rPr>
  </w:style>
  <w:style w:type="character" w:styleId="983">
    <w:name w:val="NormalCharacter1"/>
    <w:next w:val="983"/>
    <w:link w:val="737"/>
    <w:semiHidden/>
    <w:qFormat/>
  </w:style>
  <w:style w:type="paragraph" w:styleId="984">
    <w:name w:val="无间隔"/>
    <w:next w:val="984"/>
    <w:link w:val="737"/>
    <w:uiPriority w:val="1"/>
    <w:qFormat/>
    <w:rPr>
      <w:rFonts w:ascii="Times New Roman" w:hAnsi="Times New Roman" w:eastAsia="宋体" w:cs="Times New Roman"/>
      <w:lang w:val="en-US" w:eastAsia="zh-CN" w:bidi="ar-SA"/>
    </w:rPr>
  </w:style>
  <w:style w:type="paragraph" w:styleId="985">
    <w:name w:val="索引 41"/>
    <w:basedOn w:val="737"/>
    <w:next w:val="737"/>
    <w:link w:val="737"/>
    <w:uiPriority w:val="99"/>
    <w:unhideWhenUsed/>
    <w:qFormat/>
    <w:pPr>
      <w:ind w:left="600"/>
    </w:pPr>
    <w:rPr>
      <w:rFonts w:ascii="Verdana" w:hAnsi="Verdana" w:eastAsia="微软雅黑"/>
      <w:szCs w:val="20"/>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陈秋萍</cp:lastModifiedBy>
  <cp:revision>11</cp:revision>
  <dcterms:created xsi:type="dcterms:W3CDTF">2024-08-07T07:47:00Z</dcterms:created>
  <dcterms:modified xsi:type="dcterms:W3CDTF">2024-09-05T08:54:29Z</dcterms:modified>
</cp:coreProperties>
</file>