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隶书"/>
          <w:b/>
          <w:bCs/>
          <w:sz w:val="72"/>
          <w:szCs w:val="72"/>
        </w:rPr>
      </w:pPr>
    </w:p>
    <w:p>
      <w:pPr>
        <w:spacing w:line="360" w:lineRule="auto"/>
        <w:jc w:val="center"/>
        <w:rPr>
          <w:rFonts w:eastAsia="隶书"/>
          <w:sz w:val="72"/>
        </w:rPr>
      </w:pPr>
      <w:r>
        <w:rPr>
          <w:rFonts w:hint="eastAsia" w:eastAsia="隶书"/>
          <w:sz w:val="72"/>
        </w:rPr>
        <w:t xml:space="preserve">江苏省电子信息产品质量监督检验研究院    </w:t>
      </w:r>
    </w:p>
    <w:p>
      <w:pPr>
        <w:spacing w:line="360" w:lineRule="auto"/>
        <w:jc w:val="center"/>
        <w:rPr>
          <w:rFonts w:eastAsia="隶书"/>
          <w:sz w:val="48"/>
          <w:szCs w:val="48"/>
        </w:rPr>
      </w:pPr>
    </w:p>
    <w:p>
      <w:pPr>
        <w:spacing w:line="360" w:lineRule="auto"/>
        <w:jc w:val="center"/>
        <w:rPr>
          <w:rFonts w:eastAsia="隶书"/>
          <w:sz w:val="72"/>
        </w:rPr>
      </w:pPr>
      <w:r>
        <w:rPr>
          <w:rFonts w:hint="eastAsia" w:eastAsia="隶书"/>
          <w:sz w:val="48"/>
          <w:szCs w:val="48"/>
        </w:rPr>
        <w:t>闭式冷却水塔及管路采购及相关服务项目</w:t>
      </w:r>
    </w:p>
    <w:p>
      <w:pPr>
        <w:spacing w:line="360" w:lineRule="auto"/>
        <w:jc w:val="center"/>
        <w:rPr>
          <w:rFonts w:eastAsia="隶书"/>
          <w:sz w:val="72"/>
        </w:rPr>
      </w:pPr>
    </w:p>
    <w:p>
      <w:pPr>
        <w:spacing w:line="360" w:lineRule="auto"/>
        <w:jc w:val="center"/>
        <w:rPr>
          <w:sz w:val="96"/>
          <w:szCs w:val="96"/>
        </w:rPr>
      </w:pPr>
      <w:r>
        <w:rPr>
          <w:rFonts w:hint="eastAsia" w:eastAsia="隶书"/>
          <w:sz w:val="96"/>
          <w:szCs w:val="96"/>
        </w:rPr>
        <w:t>招 标 文 件</w:t>
      </w:r>
    </w:p>
    <w:p>
      <w:pPr>
        <w:spacing w:line="360" w:lineRule="auto"/>
        <w:jc w:val="center"/>
        <w:rPr>
          <w:rFonts w:eastAsia="隶书"/>
          <w:b/>
          <w:sz w:val="36"/>
          <w:szCs w:val="22"/>
        </w:rPr>
      </w:pPr>
      <w:r>
        <w:rPr>
          <w:rFonts w:hint="eastAsia" w:eastAsia="隶书"/>
          <w:b/>
          <w:sz w:val="36"/>
          <w:szCs w:val="22"/>
        </w:rPr>
        <w:t>招标编号：0664-2460SUMEC069D</w:t>
      </w:r>
    </w:p>
    <w:p>
      <w:pPr>
        <w:spacing w:line="440" w:lineRule="exact"/>
        <w:jc w:val="center"/>
        <w:rPr>
          <w:rFonts w:ascii="黑体" w:eastAsia="黑体"/>
          <w:b/>
          <w:sz w:val="36"/>
        </w:rPr>
      </w:pPr>
    </w:p>
    <w:p>
      <w:pPr>
        <w:spacing w:line="440" w:lineRule="exact"/>
        <w:jc w:val="center"/>
        <w:rPr>
          <w:rFonts w:ascii="黑体" w:eastAsia="黑体"/>
          <w:b/>
          <w:sz w:val="52"/>
        </w:rPr>
      </w:pPr>
    </w:p>
    <w:p>
      <w:pPr>
        <w:spacing w:line="440" w:lineRule="exact"/>
        <w:jc w:val="center"/>
        <w:rPr>
          <w:rFonts w:ascii="黑体" w:eastAsia="黑体"/>
          <w:b/>
          <w:sz w:val="52"/>
        </w:rPr>
      </w:pPr>
    </w:p>
    <w:p>
      <w:pPr>
        <w:spacing w:line="440" w:lineRule="exact"/>
        <w:jc w:val="center"/>
        <w:rPr>
          <w:rFonts w:ascii="黑体" w:eastAsia="黑体"/>
          <w:b/>
          <w:sz w:val="52"/>
        </w:rPr>
      </w:pPr>
    </w:p>
    <w:p>
      <w:pPr>
        <w:spacing w:line="440" w:lineRule="exact"/>
        <w:rPr>
          <w:rFonts w:ascii="楷体_GB2312" w:eastAsia="楷体_GB2312"/>
          <w:b/>
          <w:sz w:val="32"/>
        </w:rPr>
      </w:pPr>
    </w:p>
    <w:p>
      <w:pPr>
        <w:spacing w:line="440" w:lineRule="exact"/>
        <w:jc w:val="center"/>
        <w:rPr>
          <w:rFonts w:ascii="楷体_GB2312" w:eastAsia="楷体_GB2312"/>
          <w:b/>
          <w:sz w:val="32"/>
        </w:rPr>
      </w:pPr>
    </w:p>
    <w:p>
      <w:pPr>
        <w:spacing w:line="360" w:lineRule="auto"/>
        <w:rPr>
          <w:szCs w:val="21"/>
        </w:rPr>
      </w:pPr>
    </w:p>
    <w:p>
      <w:pPr>
        <w:spacing w:line="360" w:lineRule="auto"/>
        <w:jc w:val="center"/>
        <w:rPr>
          <w:szCs w:val="21"/>
        </w:rPr>
      </w:pPr>
    </w:p>
    <w:p>
      <w:pPr>
        <w:spacing w:line="360" w:lineRule="auto"/>
        <w:jc w:val="center"/>
        <w:rPr>
          <w:rFonts w:ascii="楷体_GB2312" w:eastAsia="楷体_GB2312"/>
          <w:b/>
          <w:sz w:val="32"/>
        </w:rPr>
      </w:pPr>
      <w:r>
        <w:rPr>
          <w:rFonts w:hint="eastAsia"/>
          <w:szCs w:val="21"/>
        </w:rPr>
        <w:object>
          <v:shape id="_x0000_i1025" o:spt="75" type="#_x0000_t75" style="height:23.25pt;width:99.75pt;" o:ole="t" filled="f" o:preferrelative="t" stroked="f" coordsize="21600,21600">
            <v:path/>
            <v:fill on="f" focussize="0,0"/>
            <v:stroke on="f" joinstyle="miter"/>
            <v:imagedata r:id="rId17" o:title=""/>
            <o:lock v:ext="edit" aspectratio="t"/>
            <w10:wrap type="none"/>
            <w10:anchorlock/>
          </v:shape>
          <o:OLEObject Type="Embed" ProgID="PBrush" ShapeID="_x0000_i1025" DrawAspect="Content" ObjectID="_1468075725" r:id="rId16">
            <o:LockedField>false</o:LockedField>
          </o:OLEObject>
        </w:object>
      </w:r>
    </w:p>
    <w:p>
      <w:pPr>
        <w:spacing w:line="360" w:lineRule="auto"/>
        <w:jc w:val="center"/>
        <w:rPr>
          <w:rFonts w:eastAsia="隶书"/>
          <w:b/>
          <w:sz w:val="32"/>
        </w:rPr>
      </w:pPr>
      <w:r>
        <w:rPr>
          <w:rFonts w:hint="eastAsia" w:eastAsia="隶书"/>
          <w:b/>
          <w:sz w:val="32"/>
        </w:rPr>
        <w:t>招标代理机构：苏美达国际技术贸易有限公司</w:t>
      </w:r>
    </w:p>
    <w:p>
      <w:pPr>
        <w:spacing w:line="360" w:lineRule="auto"/>
        <w:jc w:val="center"/>
        <w:rPr>
          <w:rFonts w:ascii="隶书" w:eastAsia="隶书"/>
          <w:b/>
          <w:sz w:val="32"/>
        </w:rPr>
      </w:pPr>
      <w:r>
        <w:rPr>
          <w:rFonts w:ascii="隶书" w:eastAsia="隶书"/>
          <w:b/>
          <w:sz w:val="32"/>
        </w:rPr>
        <w:t>20</w:t>
      </w:r>
      <w:r>
        <w:rPr>
          <w:rFonts w:hint="eastAsia" w:ascii="隶书" w:eastAsia="隶书"/>
          <w:b/>
          <w:sz w:val="32"/>
        </w:rPr>
        <w:t>24</w:t>
      </w:r>
      <w:r>
        <w:rPr>
          <w:rFonts w:ascii="隶书" w:eastAsia="隶书"/>
          <w:b/>
          <w:sz w:val="32"/>
        </w:rPr>
        <w:t>年</w:t>
      </w:r>
      <w:r>
        <w:rPr>
          <w:rFonts w:hint="eastAsia" w:ascii="隶书" w:eastAsia="隶书"/>
          <w:b/>
          <w:sz w:val="32"/>
          <w:lang w:val="en-US" w:eastAsia="zh-CN"/>
        </w:rPr>
        <w:t>4</w:t>
      </w:r>
      <w:r>
        <w:rPr>
          <w:rFonts w:ascii="隶书" w:eastAsia="隶书"/>
          <w:b/>
          <w:sz w:val="32"/>
        </w:rPr>
        <w:t>月</w:t>
      </w:r>
    </w:p>
    <w:p>
      <w:pPr>
        <w:spacing w:line="440" w:lineRule="exact"/>
        <w:jc w:val="center"/>
        <w:rPr>
          <w:rFonts w:eastAsia="黑体"/>
          <w:b/>
          <w:sz w:val="32"/>
        </w:rPr>
        <w:sectPr>
          <w:footerReference r:id="rId5" w:type="first"/>
          <w:headerReference r:id="rId3" w:type="default"/>
          <w:footerReference r:id="rId4" w:type="default"/>
          <w:pgSz w:w="11906" w:h="16838"/>
          <w:pgMar w:top="1134" w:right="1134" w:bottom="1134" w:left="1134" w:header="851" w:footer="992" w:gutter="0"/>
          <w:pgNumType w:start="1"/>
          <w:cols w:space="720" w:num="1"/>
          <w:docGrid w:type="lines" w:linePitch="312" w:charSpace="0"/>
        </w:sectPr>
      </w:pPr>
    </w:p>
    <w:p>
      <w:pPr>
        <w:spacing w:line="440" w:lineRule="exact"/>
        <w:jc w:val="center"/>
        <w:rPr>
          <w:rFonts w:eastAsia="黑体"/>
          <w:b/>
          <w:sz w:val="32"/>
        </w:rPr>
      </w:pPr>
      <w:r>
        <w:rPr>
          <w:rFonts w:hint="eastAsia" w:eastAsia="黑体"/>
          <w:b/>
          <w:sz w:val="32"/>
        </w:rPr>
        <w:t>目   录</w:t>
      </w:r>
    </w:p>
    <w:p>
      <w:pPr>
        <w:pStyle w:val="24"/>
        <w:tabs>
          <w:tab w:val="right" w:leader="dot" w:pos="9638"/>
        </w:tabs>
      </w:pPr>
      <w:r>
        <w:rPr>
          <w:rFonts w:hint="eastAsia" w:eastAsia="黑体"/>
          <w:bCs/>
          <w:sz w:val="24"/>
        </w:rPr>
        <w:fldChar w:fldCharType="begin"/>
      </w:r>
      <w:r>
        <w:rPr>
          <w:rFonts w:hint="eastAsia" w:eastAsia="黑体"/>
          <w:bCs/>
          <w:sz w:val="24"/>
        </w:rPr>
        <w:instrText xml:space="preserve">TOC \o "1-3" \h \u </w:instrText>
      </w:r>
      <w:r>
        <w:rPr>
          <w:rFonts w:hint="eastAsia" w:eastAsia="黑体"/>
          <w:bCs/>
          <w:sz w:val="24"/>
        </w:rPr>
        <w:fldChar w:fldCharType="separate"/>
      </w:r>
      <w:r>
        <w:rPr>
          <w:rFonts w:hint="eastAsia" w:eastAsia="黑体"/>
          <w:bCs/>
        </w:rPr>
        <w:fldChar w:fldCharType="begin"/>
      </w:r>
      <w:r>
        <w:rPr>
          <w:rFonts w:hint="eastAsia" w:eastAsia="黑体"/>
          <w:bCs/>
        </w:rPr>
        <w:instrText xml:space="preserve"> HYPERLINK \l _Toc2830 </w:instrText>
      </w:r>
      <w:r>
        <w:rPr>
          <w:rFonts w:hint="eastAsia" w:eastAsia="黑体"/>
          <w:bCs/>
        </w:rPr>
        <w:fldChar w:fldCharType="separate"/>
      </w:r>
      <w:r>
        <w:rPr>
          <w:rFonts w:hint="eastAsia" w:ascii="黑体" w:eastAsia="黑体"/>
          <w:szCs w:val="28"/>
        </w:rPr>
        <w:t>第一章 招标公告</w:t>
      </w:r>
      <w:r>
        <w:tab/>
      </w:r>
      <w:r>
        <w:fldChar w:fldCharType="begin"/>
      </w:r>
      <w:r>
        <w:instrText xml:space="preserve"> PAGEREF _Toc2830 \h </w:instrText>
      </w:r>
      <w:r>
        <w:fldChar w:fldCharType="separate"/>
      </w:r>
      <w:r>
        <w:t>3</w:t>
      </w:r>
      <w:r>
        <w:fldChar w:fldCharType="end"/>
      </w:r>
      <w:r>
        <w:rPr>
          <w:rFonts w:hint="eastAsia" w:eastAsia="黑体"/>
          <w:bCs/>
        </w:rPr>
        <w:fldChar w:fldCharType="end"/>
      </w:r>
    </w:p>
    <w:p>
      <w:pPr>
        <w:pStyle w:val="28"/>
        <w:tabs>
          <w:tab w:val="right" w:leader="dot" w:pos="9638"/>
        </w:tabs>
      </w:pPr>
      <w:r>
        <w:rPr>
          <w:rFonts w:hint="eastAsia" w:eastAsia="黑体"/>
          <w:bCs/>
        </w:rPr>
        <w:fldChar w:fldCharType="begin"/>
      </w:r>
      <w:r>
        <w:rPr>
          <w:rFonts w:hint="eastAsia" w:eastAsia="黑体"/>
          <w:bCs/>
        </w:rPr>
        <w:instrText xml:space="preserve"> HYPERLINK \l _Toc24456 </w:instrText>
      </w:r>
      <w:r>
        <w:rPr>
          <w:rFonts w:hint="eastAsia" w:eastAsia="黑体"/>
          <w:bCs/>
        </w:rPr>
        <w:fldChar w:fldCharType="separate"/>
      </w:r>
      <w:r>
        <w:rPr>
          <w:rFonts w:hint="eastAsia" w:ascii="宋体" w:hAnsi="宋体" w:eastAsia="宋体" w:cs="宋体"/>
          <w:szCs w:val="21"/>
        </w:rPr>
        <w:t>一、项目基本情况</w:t>
      </w:r>
      <w:r>
        <w:tab/>
      </w:r>
      <w:r>
        <w:fldChar w:fldCharType="begin"/>
      </w:r>
      <w:r>
        <w:instrText xml:space="preserve"> PAGEREF _Toc24456 \h </w:instrText>
      </w:r>
      <w:r>
        <w:fldChar w:fldCharType="separate"/>
      </w:r>
      <w:r>
        <w:t>3</w:t>
      </w:r>
      <w:r>
        <w:fldChar w:fldCharType="end"/>
      </w:r>
      <w:r>
        <w:rPr>
          <w:rFonts w:hint="eastAsia" w:eastAsia="黑体"/>
          <w:bCs/>
        </w:rPr>
        <w:fldChar w:fldCharType="end"/>
      </w:r>
    </w:p>
    <w:p>
      <w:pPr>
        <w:pStyle w:val="28"/>
        <w:tabs>
          <w:tab w:val="right" w:leader="dot" w:pos="9638"/>
        </w:tabs>
      </w:pPr>
      <w:r>
        <w:rPr>
          <w:rFonts w:hint="eastAsia" w:eastAsia="黑体"/>
          <w:bCs/>
        </w:rPr>
        <w:fldChar w:fldCharType="begin"/>
      </w:r>
      <w:r>
        <w:rPr>
          <w:rFonts w:hint="eastAsia" w:eastAsia="黑体"/>
          <w:bCs/>
        </w:rPr>
        <w:instrText xml:space="preserve"> HYPERLINK \l _Toc32645 </w:instrText>
      </w:r>
      <w:r>
        <w:rPr>
          <w:rFonts w:hint="eastAsia" w:eastAsia="黑体"/>
          <w:bCs/>
        </w:rPr>
        <w:fldChar w:fldCharType="separate"/>
      </w:r>
      <w:r>
        <w:rPr>
          <w:rFonts w:hint="eastAsia" w:ascii="宋体" w:hAnsi="宋体" w:eastAsia="宋体" w:cs="宋体"/>
          <w:szCs w:val="21"/>
        </w:rPr>
        <w:t>二、申请人的资格要求：</w:t>
      </w:r>
      <w:r>
        <w:tab/>
      </w:r>
      <w:r>
        <w:fldChar w:fldCharType="begin"/>
      </w:r>
      <w:r>
        <w:instrText xml:space="preserve"> PAGEREF _Toc32645 \h </w:instrText>
      </w:r>
      <w:r>
        <w:fldChar w:fldCharType="separate"/>
      </w:r>
      <w:r>
        <w:t>3</w:t>
      </w:r>
      <w:r>
        <w:fldChar w:fldCharType="end"/>
      </w:r>
      <w:r>
        <w:rPr>
          <w:rFonts w:hint="eastAsia" w:eastAsia="黑体"/>
          <w:bCs/>
        </w:rPr>
        <w:fldChar w:fldCharType="end"/>
      </w:r>
    </w:p>
    <w:p>
      <w:pPr>
        <w:pStyle w:val="28"/>
        <w:tabs>
          <w:tab w:val="right" w:leader="dot" w:pos="9638"/>
        </w:tabs>
      </w:pPr>
      <w:r>
        <w:rPr>
          <w:rFonts w:hint="eastAsia" w:eastAsia="黑体"/>
          <w:bCs/>
        </w:rPr>
        <w:fldChar w:fldCharType="begin"/>
      </w:r>
      <w:r>
        <w:rPr>
          <w:rFonts w:hint="eastAsia" w:eastAsia="黑体"/>
          <w:bCs/>
        </w:rPr>
        <w:instrText xml:space="preserve"> HYPERLINK \l _Toc27838 </w:instrText>
      </w:r>
      <w:r>
        <w:rPr>
          <w:rFonts w:hint="eastAsia" w:eastAsia="黑体"/>
          <w:bCs/>
        </w:rPr>
        <w:fldChar w:fldCharType="separate"/>
      </w:r>
      <w:r>
        <w:rPr>
          <w:rFonts w:hint="eastAsia" w:ascii="宋体" w:hAnsi="宋体" w:eastAsia="宋体" w:cs="宋体"/>
          <w:szCs w:val="21"/>
        </w:rPr>
        <w:t>三、获取招标文件</w:t>
      </w:r>
      <w:r>
        <w:tab/>
      </w:r>
      <w:r>
        <w:fldChar w:fldCharType="begin"/>
      </w:r>
      <w:r>
        <w:instrText xml:space="preserve"> PAGEREF _Toc27838 \h </w:instrText>
      </w:r>
      <w:r>
        <w:fldChar w:fldCharType="separate"/>
      </w:r>
      <w:r>
        <w:t>4</w:t>
      </w:r>
      <w:r>
        <w:fldChar w:fldCharType="end"/>
      </w:r>
      <w:r>
        <w:rPr>
          <w:rFonts w:hint="eastAsia" w:eastAsia="黑体"/>
          <w:bCs/>
        </w:rPr>
        <w:fldChar w:fldCharType="end"/>
      </w:r>
    </w:p>
    <w:p>
      <w:pPr>
        <w:pStyle w:val="28"/>
        <w:tabs>
          <w:tab w:val="right" w:leader="dot" w:pos="9638"/>
        </w:tabs>
      </w:pPr>
      <w:r>
        <w:rPr>
          <w:rFonts w:hint="eastAsia" w:eastAsia="黑体"/>
          <w:bCs/>
        </w:rPr>
        <w:fldChar w:fldCharType="begin"/>
      </w:r>
      <w:r>
        <w:rPr>
          <w:rFonts w:hint="eastAsia" w:eastAsia="黑体"/>
          <w:bCs/>
        </w:rPr>
        <w:instrText xml:space="preserve"> HYPERLINK \l _Toc3381 </w:instrText>
      </w:r>
      <w:r>
        <w:rPr>
          <w:rFonts w:hint="eastAsia" w:eastAsia="黑体"/>
          <w:bCs/>
        </w:rPr>
        <w:fldChar w:fldCharType="separate"/>
      </w:r>
      <w:r>
        <w:rPr>
          <w:rFonts w:hint="eastAsia" w:ascii="宋体" w:hAnsi="宋体" w:eastAsia="宋体" w:cs="宋体"/>
          <w:szCs w:val="21"/>
        </w:rPr>
        <w:t>四、提交投标文件截止时间、开标时间和地点</w:t>
      </w:r>
      <w:r>
        <w:tab/>
      </w:r>
      <w:r>
        <w:fldChar w:fldCharType="begin"/>
      </w:r>
      <w:r>
        <w:instrText xml:space="preserve"> PAGEREF _Toc3381 \h </w:instrText>
      </w:r>
      <w:r>
        <w:fldChar w:fldCharType="separate"/>
      </w:r>
      <w:r>
        <w:t>5</w:t>
      </w:r>
      <w:r>
        <w:fldChar w:fldCharType="end"/>
      </w:r>
      <w:r>
        <w:rPr>
          <w:rFonts w:hint="eastAsia" w:eastAsia="黑体"/>
          <w:bCs/>
        </w:rPr>
        <w:fldChar w:fldCharType="end"/>
      </w:r>
    </w:p>
    <w:p>
      <w:pPr>
        <w:pStyle w:val="28"/>
        <w:tabs>
          <w:tab w:val="right" w:leader="dot" w:pos="9638"/>
        </w:tabs>
      </w:pPr>
      <w:r>
        <w:rPr>
          <w:rFonts w:hint="eastAsia" w:eastAsia="黑体"/>
          <w:bCs/>
        </w:rPr>
        <w:fldChar w:fldCharType="begin"/>
      </w:r>
      <w:r>
        <w:rPr>
          <w:rFonts w:hint="eastAsia" w:eastAsia="黑体"/>
          <w:bCs/>
        </w:rPr>
        <w:instrText xml:space="preserve"> HYPERLINK \l _Toc17505 </w:instrText>
      </w:r>
      <w:r>
        <w:rPr>
          <w:rFonts w:hint="eastAsia" w:eastAsia="黑体"/>
          <w:bCs/>
        </w:rPr>
        <w:fldChar w:fldCharType="separate"/>
      </w:r>
      <w:r>
        <w:rPr>
          <w:rFonts w:hint="eastAsia" w:ascii="宋体" w:hAnsi="宋体" w:eastAsia="宋体" w:cs="宋体"/>
          <w:szCs w:val="21"/>
        </w:rPr>
        <w:t>五、公告期限</w:t>
      </w:r>
      <w:r>
        <w:tab/>
      </w:r>
      <w:r>
        <w:fldChar w:fldCharType="begin"/>
      </w:r>
      <w:r>
        <w:instrText xml:space="preserve"> PAGEREF _Toc17505 \h </w:instrText>
      </w:r>
      <w:r>
        <w:fldChar w:fldCharType="separate"/>
      </w:r>
      <w:r>
        <w:t>5</w:t>
      </w:r>
      <w:r>
        <w:fldChar w:fldCharType="end"/>
      </w:r>
      <w:r>
        <w:rPr>
          <w:rFonts w:hint="eastAsia" w:eastAsia="黑体"/>
          <w:bCs/>
        </w:rPr>
        <w:fldChar w:fldCharType="end"/>
      </w:r>
    </w:p>
    <w:p>
      <w:pPr>
        <w:pStyle w:val="28"/>
        <w:tabs>
          <w:tab w:val="right" w:leader="dot" w:pos="9638"/>
        </w:tabs>
      </w:pPr>
      <w:r>
        <w:rPr>
          <w:rFonts w:hint="eastAsia" w:eastAsia="黑体"/>
          <w:bCs/>
        </w:rPr>
        <w:fldChar w:fldCharType="begin"/>
      </w:r>
      <w:r>
        <w:rPr>
          <w:rFonts w:hint="eastAsia" w:eastAsia="黑体"/>
          <w:bCs/>
        </w:rPr>
        <w:instrText xml:space="preserve"> HYPERLINK \l _Toc8791 </w:instrText>
      </w:r>
      <w:r>
        <w:rPr>
          <w:rFonts w:hint="eastAsia" w:eastAsia="黑体"/>
          <w:bCs/>
        </w:rPr>
        <w:fldChar w:fldCharType="separate"/>
      </w:r>
      <w:r>
        <w:rPr>
          <w:rFonts w:hint="eastAsia" w:ascii="宋体" w:hAnsi="宋体" w:eastAsia="宋体" w:cs="宋体"/>
          <w:szCs w:val="21"/>
        </w:rPr>
        <w:t>六、其他补充事宜</w:t>
      </w:r>
      <w:r>
        <w:tab/>
      </w:r>
      <w:r>
        <w:fldChar w:fldCharType="begin"/>
      </w:r>
      <w:r>
        <w:instrText xml:space="preserve"> PAGEREF _Toc8791 \h </w:instrText>
      </w:r>
      <w:r>
        <w:fldChar w:fldCharType="separate"/>
      </w:r>
      <w:r>
        <w:t>5</w:t>
      </w:r>
      <w:r>
        <w:fldChar w:fldCharType="end"/>
      </w:r>
      <w:r>
        <w:rPr>
          <w:rFonts w:hint="eastAsia" w:eastAsia="黑体"/>
          <w:bCs/>
        </w:rPr>
        <w:fldChar w:fldCharType="end"/>
      </w:r>
    </w:p>
    <w:p>
      <w:pPr>
        <w:pStyle w:val="28"/>
        <w:tabs>
          <w:tab w:val="right" w:leader="dot" w:pos="9638"/>
        </w:tabs>
      </w:pPr>
      <w:r>
        <w:rPr>
          <w:rFonts w:hint="eastAsia" w:eastAsia="黑体"/>
          <w:bCs/>
        </w:rPr>
        <w:fldChar w:fldCharType="begin"/>
      </w:r>
      <w:r>
        <w:rPr>
          <w:rFonts w:hint="eastAsia" w:eastAsia="黑体"/>
          <w:bCs/>
        </w:rPr>
        <w:instrText xml:space="preserve"> HYPERLINK \l _Toc22132 </w:instrText>
      </w:r>
      <w:r>
        <w:rPr>
          <w:rFonts w:hint="eastAsia" w:eastAsia="黑体"/>
          <w:bCs/>
        </w:rPr>
        <w:fldChar w:fldCharType="separate"/>
      </w:r>
      <w:r>
        <w:rPr>
          <w:rFonts w:hint="eastAsia" w:ascii="宋体" w:hAnsi="宋体" w:eastAsia="宋体" w:cs="宋体"/>
          <w:szCs w:val="21"/>
        </w:rPr>
        <w:t>七、对本次招标提出询问，请按以下方式联系。</w:t>
      </w:r>
      <w:r>
        <w:tab/>
      </w:r>
      <w:r>
        <w:fldChar w:fldCharType="begin"/>
      </w:r>
      <w:r>
        <w:instrText xml:space="preserve"> PAGEREF _Toc22132 \h </w:instrText>
      </w:r>
      <w:r>
        <w:fldChar w:fldCharType="separate"/>
      </w:r>
      <w:r>
        <w:t>5</w:t>
      </w:r>
      <w:r>
        <w:fldChar w:fldCharType="end"/>
      </w:r>
      <w:r>
        <w:rPr>
          <w:rFonts w:hint="eastAsia" w:eastAsia="黑体"/>
          <w:bCs/>
        </w:rPr>
        <w:fldChar w:fldCharType="end"/>
      </w:r>
    </w:p>
    <w:p>
      <w:pPr>
        <w:pStyle w:val="24"/>
        <w:tabs>
          <w:tab w:val="right" w:leader="dot" w:pos="9638"/>
        </w:tabs>
      </w:pPr>
      <w:r>
        <w:rPr>
          <w:rFonts w:hint="eastAsia" w:eastAsia="黑体"/>
          <w:bCs/>
        </w:rPr>
        <w:fldChar w:fldCharType="begin"/>
      </w:r>
      <w:r>
        <w:rPr>
          <w:rFonts w:hint="eastAsia" w:eastAsia="黑体"/>
          <w:bCs/>
        </w:rPr>
        <w:instrText xml:space="preserve"> HYPERLINK \l _Toc1747 </w:instrText>
      </w:r>
      <w:r>
        <w:rPr>
          <w:rFonts w:hint="eastAsia" w:eastAsia="黑体"/>
          <w:bCs/>
        </w:rPr>
        <w:fldChar w:fldCharType="separate"/>
      </w:r>
      <w:r>
        <w:rPr>
          <w:rFonts w:hint="eastAsia" w:ascii="黑体" w:eastAsia="黑体"/>
          <w:szCs w:val="28"/>
        </w:rPr>
        <w:t>第二章 投标人须知</w:t>
      </w:r>
      <w:r>
        <w:tab/>
      </w:r>
      <w:r>
        <w:fldChar w:fldCharType="begin"/>
      </w:r>
      <w:r>
        <w:instrText xml:space="preserve"> PAGEREF _Toc1747 \h </w:instrText>
      </w:r>
      <w:r>
        <w:fldChar w:fldCharType="separate"/>
      </w:r>
      <w:r>
        <w:t>6</w:t>
      </w:r>
      <w:r>
        <w:fldChar w:fldCharType="end"/>
      </w:r>
      <w:r>
        <w:rPr>
          <w:rFonts w:hint="eastAsia" w:eastAsia="黑体"/>
          <w:bCs/>
        </w:rPr>
        <w:fldChar w:fldCharType="end"/>
      </w:r>
    </w:p>
    <w:p>
      <w:pPr>
        <w:pStyle w:val="28"/>
        <w:tabs>
          <w:tab w:val="right" w:leader="dot" w:pos="9638"/>
        </w:tabs>
      </w:pPr>
      <w:r>
        <w:rPr>
          <w:rFonts w:hint="eastAsia" w:eastAsia="黑体"/>
          <w:bCs/>
        </w:rPr>
        <w:fldChar w:fldCharType="begin"/>
      </w:r>
      <w:r>
        <w:rPr>
          <w:rFonts w:hint="eastAsia" w:eastAsia="黑体"/>
          <w:bCs/>
        </w:rPr>
        <w:instrText xml:space="preserve"> HYPERLINK \l _Toc11138 </w:instrText>
      </w:r>
      <w:r>
        <w:rPr>
          <w:rFonts w:hint="eastAsia" w:eastAsia="黑体"/>
          <w:bCs/>
        </w:rPr>
        <w:fldChar w:fldCharType="separate"/>
      </w:r>
      <w:r>
        <w:rPr>
          <w:rFonts w:hint="eastAsia" w:ascii="宋体" w:hAnsi="宋体"/>
          <w:bCs/>
          <w:kern w:val="0"/>
        </w:rPr>
        <w:t>一、总 则</w:t>
      </w:r>
      <w:r>
        <w:tab/>
      </w:r>
      <w:r>
        <w:fldChar w:fldCharType="begin"/>
      </w:r>
      <w:r>
        <w:instrText xml:space="preserve"> PAGEREF _Toc11138 \h </w:instrText>
      </w:r>
      <w:r>
        <w:fldChar w:fldCharType="separate"/>
      </w:r>
      <w:r>
        <w:t>7</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_Toc2110 </w:instrText>
      </w:r>
      <w:r>
        <w:rPr>
          <w:rFonts w:hint="eastAsia" w:eastAsia="黑体"/>
          <w:bCs/>
        </w:rPr>
        <w:fldChar w:fldCharType="separate"/>
      </w:r>
      <w:r>
        <w:rPr>
          <w:rFonts w:hint="eastAsia" w:ascii="宋体" w:hAnsi="宋体" w:eastAsia="宋体"/>
          <w:bCs/>
        </w:rPr>
        <w:t>1.采购人式</w:t>
      </w:r>
      <w:r>
        <w:tab/>
      </w:r>
      <w:r>
        <w:fldChar w:fldCharType="begin"/>
      </w:r>
      <w:r>
        <w:instrText xml:space="preserve"> PAGEREF _Toc2110 \h </w:instrText>
      </w:r>
      <w:r>
        <w:fldChar w:fldCharType="separate"/>
      </w:r>
      <w:r>
        <w:t>7</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_Toc3360 </w:instrText>
      </w:r>
      <w:r>
        <w:rPr>
          <w:rFonts w:hint="eastAsia" w:eastAsia="黑体"/>
          <w:bCs/>
        </w:rPr>
        <w:fldChar w:fldCharType="separate"/>
      </w:r>
      <w:r>
        <w:rPr>
          <w:rFonts w:hint="eastAsia" w:ascii="宋体" w:hAnsi="宋体" w:eastAsia="宋体"/>
          <w:bCs/>
        </w:rPr>
        <w:t>2.定义</w:t>
      </w:r>
      <w:r>
        <w:tab/>
      </w:r>
      <w:r>
        <w:fldChar w:fldCharType="begin"/>
      </w:r>
      <w:r>
        <w:instrText xml:space="preserve"> PAGEREF _Toc3360 \h </w:instrText>
      </w:r>
      <w:r>
        <w:fldChar w:fldCharType="separate"/>
      </w:r>
      <w:r>
        <w:t>7</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_Toc31460 </w:instrText>
      </w:r>
      <w:r>
        <w:rPr>
          <w:rFonts w:hint="eastAsia" w:eastAsia="黑体"/>
          <w:bCs/>
        </w:rPr>
        <w:fldChar w:fldCharType="separate"/>
      </w:r>
      <w:r>
        <w:rPr>
          <w:rFonts w:hint="eastAsia" w:ascii="宋体" w:hAnsi="宋体" w:eastAsia="宋体"/>
          <w:bCs/>
        </w:rPr>
        <w:t>3.适用法律</w:t>
      </w:r>
      <w:r>
        <w:tab/>
      </w:r>
      <w:r>
        <w:fldChar w:fldCharType="begin"/>
      </w:r>
      <w:r>
        <w:instrText xml:space="preserve"> PAGEREF _Toc31460 \h </w:instrText>
      </w:r>
      <w:r>
        <w:fldChar w:fldCharType="separate"/>
      </w:r>
      <w:r>
        <w:t>7</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_Toc4941 </w:instrText>
      </w:r>
      <w:r>
        <w:rPr>
          <w:rFonts w:hint="eastAsia" w:eastAsia="黑体"/>
          <w:bCs/>
        </w:rPr>
        <w:fldChar w:fldCharType="separate"/>
      </w:r>
      <w:r>
        <w:rPr>
          <w:rFonts w:hint="eastAsia" w:ascii="宋体" w:hAnsi="宋体" w:eastAsia="宋体"/>
          <w:bCs/>
        </w:rPr>
        <w:t>4.投标费用</w:t>
      </w:r>
      <w:r>
        <w:tab/>
      </w:r>
      <w:r>
        <w:fldChar w:fldCharType="begin"/>
      </w:r>
      <w:r>
        <w:instrText xml:space="preserve"> PAGEREF _Toc4941 \h </w:instrText>
      </w:r>
      <w:r>
        <w:fldChar w:fldCharType="separate"/>
      </w:r>
      <w:r>
        <w:t>7</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_Toc24611 </w:instrText>
      </w:r>
      <w:r>
        <w:rPr>
          <w:rFonts w:hint="eastAsia" w:eastAsia="黑体"/>
          <w:bCs/>
        </w:rPr>
        <w:fldChar w:fldCharType="separate"/>
      </w:r>
      <w:r>
        <w:rPr>
          <w:rFonts w:hint="eastAsia" w:ascii="宋体" w:hAnsi="宋体" w:eastAsia="宋体"/>
          <w:bCs/>
        </w:rPr>
        <w:t>5.招标文件的约束力</w:t>
      </w:r>
      <w:r>
        <w:tab/>
      </w:r>
      <w:r>
        <w:fldChar w:fldCharType="begin"/>
      </w:r>
      <w:r>
        <w:instrText xml:space="preserve"> PAGEREF _Toc24611 \h </w:instrText>
      </w:r>
      <w:r>
        <w:fldChar w:fldCharType="separate"/>
      </w:r>
      <w:r>
        <w:t>7</w:t>
      </w:r>
      <w:r>
        <w:fldChar w:fldCharType="end"/>
      </w:r>
      <w:r>
        <w:rPr>
          <w:rFonts w:hint="eastAsia" w:eastAsia="黑体"/>
          <w:bCs/>
        </w:rPr>
        <w:fldChar w:fldCharType="end"/>
      </w:r>
    </w:p>
    <w:p>
      <w:pPr>
        <w:pStyle w:val="28"/>
        <w:tabs>
          <w:tab w:val="right" w:leader="dot" w:pos="9638"/>
        </w:tabs>
      </w:pPr>
      <w:r>
        <w:rPr>
          <w:rFonts w:hint="eastAsia" w:eastAsia="黑体"/>
          <w:bCs/>
        </w:rPr>
        <w:fldChar w:fldCharType="begin"/>
      </w:r>
      <w:r>
        <w:rPr>
          <w:rFonts w:hint="eastAsia" w:eastAsia="黑体"/>
          <w:bCs/>
        </w:rPr>
        <w:instrText xml:space="preserve"> HYPERLINK \l _Toc17888 </w:instrText>
      </w:r>
      <w:r>
        <w:rPr>
          <w:rFonts w:hint="eastAsia" w:eastAsia="黑体"/>
          <w:bCs/>
        </w:rPr>
        <w:fldChar w:fldCharType="separate"/>
      </w:r>
      <w:r>
        <w:rPr>
          <w:rFonts w:hint="eastAsia" w:ascii="宋体" w:hAnsi="宋体"/>
          <w:bCs/>
          <w:kern w:val="0"/>
        </w:rPr>
        <w:t>二、招标文件</w:t>
      </w:r>
      <w:r>
        <w:tab/>
      </w:r>
      <w:r>
        <w:fldChar w:fldCharType="begin"/>
      </w:r>
      <w:r>
        <w:instrText xml:space="preserve"> PAGEREF _Toc17888 \h </w:instrText>
      </w:r>
      <w:r>
        <w:fldChar w:fldCharType="separate"/>
      </w:r>
      <w:r>
        <w:t>7</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_Toc17567 </w:instrText>
      </w:r>
      <w:r>
        <w:rPr>
          <w:rFonts w:hint="eastAsia" w:eastAsia="黑体"/>
          <w:bCs/>
        </w:rPr>
        <w:fldChar w:fldCharType="separate"/>
      </w:r>
      <w:r>
        <w:rPr>
          <w:rFonts w:hint="eastAsia" w:ascii="宋体" w:hAnsi="宋体" w:eastAsia="宋体"/>
          <w:bCs/>
        </w:rPr>
        <w:t>6.招标文件构成</w:t>
      </w:r>
      <w:r>
        <w:tab/>
      </w:r>
      <w:r>
        <w:fldChar w:fldCharType="begin"/>
      </w:r>
      <w:r>
        <w:instrText xml:space="preserve"> PAGEREF _Toc17567 \h </w:instrText>
      </w:r>
      <w:r>
        <w:fldChar w:fldCharType="separate"/>
      </w:r>
      <w:r>
        <w:t>7</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_Toc14956 </w:instrText>
      </w:r>
      <w:r>
        <w:rPr>
          <w:rFonts w:hint="eastAsia" w:eastAsia="黑体"/>
          <w:bCs/>
        </w:rPr>
        <w:fldChar w:fldCharType="separate"/>
      </w:r>
      <w:r>
        <w:rPr>
          <w:rFonts w:hint="eastAsia" w:ascii="宋体" w:hAnsi="宋体" w:eastAsia="宋体"/>
          <w:bCs/>
        </w:rPr>
        <w:t>7.招标文件的澄清、补充或修改</w:t>
      </w:r>
      <w:r>
        <w:tab/>
      </w:r>
      <w:r>
        <w:fldChar w:fldCharType="begin"/>
      </w:r>
      <w:r>
        <w:instrText xml:space="preserve"> PAGEREF _Toc14956 \h </w:instrText>
      </w:r>
      <w:r>
        <w:fldChar w:fldCharType="separate"/>
      </w:r>
      <w:r>
        <w:t>8</w:t>
      </w:r>
      <w:r>
        <w:fldChar w:fldCharType="end"/>
      </w:r>
      <w:r>
        <w:rPr>
          <w:rFonts w:hint="eastAsia" w:eastAsia="黑体"/>
          <w:bCs/>
        </w:rPr>
        <w:fldChar w:fldCharType="end"/>
      </w:r>
    </w:p>
    <w:p>
      <w:pPr>
        <w:pStyle w:val="28"/>
        <w:tabs>
          <w:tab w:val="right" w:leader="dot" w:pos="9638"/>
        </w:tabs>
      </w:pPr>
      <w:r>
        <w:rPr>
          <w:rFonts w:hint="eastAsia" w:eastAsia="黑体"/>
          <w:bCs/>
        </w:rPr>
        <w:fldChar w:fldCharType="begin"/>
      </w:r>
      <w:r>
        <w:rPr>
          <w:rFonts w:hint="eastAsia" w:eastAsia="黑体"/>
          <w:bCs/>
        </w:rPr>
        <w:instrText xml:space="preserve"> HYPERLINK \l _Toc15641 </w:instrText>
      </w:r>
      <w:r>
        <w:rPr>
          <w:rFonts w:hint="eastAsia" w:eastAsia="黑体"/>
          <w:bCs/>
        </w:rPr>
        <w:fldChar w:fldCharType="separate"/>
      </w:r>
      <w:r>
        <w:rPr>
          <w:rFonts w:hint="eastAsia" w:ascii="宋体" w:hAnsi="宋体"/>
          <w:bCs/>
          <w:kern w:val="0"/>
        </w:rPr>
        <w:t>三、投标文件的编制</w:t>
      </w:r>
      <w:r>
        <w:tab/>
      </w:r>
      <w:r>
        <w:fldChar w:fldCharType="begin"/>
      </w:r>
      <w:r>
        <w:instrText xml:space="preserve"> PAGEREF _Toc15641 \h </w:instrText>
      </w:r>
      <w:r>
        <w:fldChar w:fldCharType="separate"/>
      </w:r>
      <w:r>
        <w:t>8</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_Toc6721 </w:instrText>
      </w:r>
      <w:r>
        <w:rPr>
          <w:rFonts w:hint="eastAsia" w:eastAsia="黑体"/>
          <w:bCs/>
        </w:rPr>
        <w:fldChar w:fldCharType="separate"/>
      </w:r>
      <w:r>
        <w:rPr>
          <w:rFonts w:hint="eastAsia" w:ascii="宋体" w:hAnsi="宋体" w:eastAsia="宋体"/>
          <w:bCs/>
        </w:rPr>
        <w:t>8.投标文件的语言</w:t>
      </w:r>
      <w:r>
        <w:tab/>
      </w:r>
      <w:r>
        <w:fldChar w:fldCharType="begin"/>
      </w:r>
      <w:r>
        <w:instrText xml:space="preserve"> PAGEREF _Toc6721 \h </w:instrText>
      </w:r>
      <w:r>
        <w:fldChar w:fldCharType="separate"/>
      </w:r>
      <w:r>
        <w:t>8</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_Toc24301 </w:instrText>
      </w:r>
      <w:r>
        <w:rPr>
          <w:rFonts w:hint="eastAsia" w:eastAsia="黑体"/>
          <w:bCs/>
        </w:rPr>
        <w:fldChar w:fldCharType="separate"/>
      </w:r>
      <w:r>
        <w:rPr>
          <w:rFonts w:hint="eastAsia" w:ascii="宋体" w:hAnsi="宋体" w:eastAsia="宋体"/>
          <w:bCs/>
        </w:rPr>
        <w:t>9.投标文件的编制</w:t>
      </w:r>
      <w:r>
        <w:tab/>
      </w:r>
      <w:r>
        <w:fldChar w:fldCharType="begin"/>
      </w:r>
      <w:r>
        <w:instrText xml:space="preserve"> PAGEREF _Toc24301 \h </w:instrText>
      </w:r>
      <w:r>
        <w:fldChar w:fldCharType="separate"/>
      </w:r>
      <w:r>
        <w:t>8</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_Toc6512 </w:instrText>
      </w:r>
      <w:r>
        <w:rPr>
          <w:rFonts w:hint="eastAsia" w:eastAsia="黑体"/>
          <w:bCs/>
        </w:rPr>
        <w:fldChar w:fldCharType="separate"/>
      </w:r>
      <w:r>
        <w:rPr>
          <w:rFonts w:hint="eastAsia" w:ascii="宋体" w:hAnsi="宋体" w:eastAsia="宋体"/>
          <w:bCs/>
        </w:rPr>
        <w:t>10.投标文件的组成</w:t>
      </w:r>
      <w:r>
        <w:tab/>
      </w:r>
      <w:r>
        <w:fldChar w:fldCharType="begin"/>
      </w:r>
      <w:r>
        <w:instrText xml:space="preserve"> PAGEREF _Toc6512 \h </w:instrText>
      </w:r>
      <w:r>
        <w:fldChar w:fldCharType="separate"/>
      </w:r>
      <w:r>
        <w:t>9</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_Toc14718 </w:instrText>
      </w:r>
      <w:r>
        <w:rPr>
          <w:rFonts w:hint="eastAsia" w:eastAsia="黑体"/>
          <w:bCs/>
        </w:rPr>
        <w:fldChar w:fldCharType="separate"/>
      </w:r>
      <w:r>
        <w:rPr>
          <w:rFonts w:hint="eastAsia" w:ascii="宋体" w:hAnsi="宋体" w:eastAsia="宋体"/>
          <w:bCs/>
        </w:rPr>
        <w:t>11.投标资格文件（投标资格不符合，将被拒绝接受或视为无效）</w:t>
      </w:r>
      <w:r>
        <w:tab/>
      </w:r>
      <w:r>
        <w:fldChar w:fldCharType="begin"/>
      </w:r>
      <w:r>
        <w:instrText xml:space="preserve"> PAGEREF _Toc14718 \h </w:instrText>
      </w:r>
      <w:r>
        <w:fldChar w:fldCharType="separate"/>
      </w:r>
      <w:r>
        <w:t>9</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_Toc28418 </w:instrText>
      </w:r>
      <w:r>
        <w:rPr>
          <w:rFonts w:hint="eastAsia" w:eastAsia="黑体"/>
          <w:bCs/>
        </w:rPr>
        <w:fldChar w:fldCharType="separate"/>
      </w:r>
      <w:r>
        <w:rPr>
          <w:rFonts w:hint="eastAsia" w:ascii="宋体" w:hAnsi="宋体" w:eastAsia="宋体"/>
          <w:bCs/>
        </w:rPr>
        <w:t>12.产品合格文件</w:t>
      </w:r>
      <w:r>
        <w:tab/>
      </w:r>
      <w:r>
        <w:fldChar w:fldCharType="begin"/>
      </w:r>
      <w:r>
        <w:instrText xml:space="preserve"> PAGEREF _Toc28418 \h </w:instrText>
      </w:r>
      <w:r>
        <w:fldChar w:fldCharType="separate"/>
      </w:r>
      <w:r>
        <w:t>10</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_Toc16416 </w:instrText>
      </w:r>
      <w:r>
        <w:rPr>
          <w:rFonts w:hint="eastAsia" w:eastAsia="黑体"/>
          <w:bCs/>
        </w:rPr>
        <w:fldChar w:fldCharType="separate"/>
      </w:r>
      <w:r>
        <w:rPr>
          <w:rFonts w:hint="eastAsia" w:ascii="宋体" w:hAnsi="宋体" w:eastAsia="宋体"/>
          <w:bCs/>
        </w:rPr>
        <w:t>13.所供产品的价格</w:t>
      </w:r>
      <w:r>
        <w:tab/>
      </w:r>
      <w:r>
        <w:fldChar w:fldCharType="begin"/>
      </w:r>
      <w:r>
        <w:instrText xml:space="preserve"> PAGEREF _Toc16416 \h </w:instrText>
      </w:r>
      <w:r>
        <w:fldChar w:fldCharType="separate"/>
      </w:r>
      <w:r>
        <w:t>10</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_Toc8120 </w:instrText>
      </w:r>
      <w:r>
        <w:rPr>
          <w:rFonts w:hint="eastAsia" w:eastAsia="黑体"/>
          <w:bCs/>
        </w:rPr>
        <w:fldChar w:fldCharType="separate"/>
      </w:r>
      <w:r>
        <w:rPr>
          <w:rFonts w:hint="eastAsia" w:ascii="宋体" w:hAnsi="宋体" w:eastAsia="宋体"/>
          <w:bCs/>
        </w:rPr>
        <w:t>14.报价的币制</w:t>
      </w:r>
      <w:r>
        <w:tab/>
      </w:r>
      <w:r>
        <w:fldChar w:fldCharType="begin"/>
      </w:r>
      <w:r>
        <w:instrText xml:space="preserve"> PAGEREF _Toc8120 \h </w:instrText>
      </w:r>
      <w:r>
        <w:fldChar w:fldCharType="separate"/>
      </w:r>
      <w:r>
        <w:t>10</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_Toc20547 </w:instrText>
      </w:r>
      <w:r>
        <w:rPr>
          <w:rFonts w:hint="eastAsia" w:eastAsia="黑体"/>
          <w:bCs/>
        </w:rPr>
        <w:fldChar w:fldCharType="separate"/>
      </w:r>
      <w:r>
        <w:rPr>
          <w:rFonts w:hint="eastAsia" w:ascii="宋体" w:hAnsi="宋体" w:eastAsia="宋体"/>
          <w:bCs/>
        </w:rPr>
        <w:t>15.投标保证金</w:t>
      </w:r>
      <w:r>
        <w:tab/>
      </w:r>
      <w:r>
        <w:fldChar w:fldCharType="begin"/>
      </w:r>
      <w:r>
        <w:instrText xml:space="preserve"> PAGEREF _Toc20547 \h </w:instrText>
      </w:r>
      <w:r>
        <w:fldChar w:fldCharType="separate"/>
      </w:r>
      <w:r>
        <w:t>10</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_Toc14362 </w:instrText>
      </w:r>
      <w:r>
        <w:rPr>
          <w:rFonts w:hint="eastAsia" w:eastAsia="黑体"/>
          <w:bCs/>
        </w:rPr>
        <w:fldChar w:fldCharType="separate"/>
      </w:r>
      <w:r>
        <w:rPr>
          <w:rFonts w:hint="eastAsia" w:ascii="宋体" w:hAnsi="宋体" w:eastAsia="宋体"/>
          <w:bCs/>
        </w:rPr>
        <w:t>16.投标文件的有效期</w:t>
      </w:r>
      <w:r>
        <w:tab/>
      </w:r>
      <w:r>
        <w:fldChar w:fldCharType="begin"/>
      </w:r>
      <w:r>
        <w:instrText xml:space="preserve"> PAGEREF _Toc14362 \h </w:instrText>
      </w:r>
      <w:r>
        <w:fldChar w:fldCharType="separate"/>
      </w:r>
      <w:r>
        <w:t>10</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_Toc7650 </w:instrText>
      </w:r>
      <w:r>
        <w:rPr>
          <w:rFonts w:hint="eastAsia" w:eastAsia="黑体"/>
          <w:bCs/>
        </w:rPr>
        <w:fldChar w:fldCharType="separate"/>
      </w:r>
      <w:r>
        <w:rPr>
          <w:rFonts w:hint="eastAsia" w:ascii="宋体" w:hAnsi="宋体" w:eastAsia="宋体"/>
          <w:bCs/>
        </w:rPr>
        <w:t>17.投标文件的签署及其形式</w:t>
      </w:r>
      <w:r>
        <w:tab/>
      </w:r>
      <w:r>
        <w:fldChar w:fldCharType="begin"/>
      </w:r>
      <w:r>
        <w:instrText xml:space="preserve"> PAGEREF _Toc7650 \h </w:instrText>
      </w:r>
      <w:r>
        <w:fldChar w:fldCharType="separate"/>
      </w:r>
      <w:r>
        <w:t>10</w:t>
      </w:r>
      <w:r>
        <w:fldChar w:fldCharType="end"/>
      </w:r>
      <w:r>
        <w:rPr>
          <w:rFonts w:hint="eastAsia" w:eastAsia="黑体"/>
          <w:bCs/>
        </w:rPr>
        <w:fldChar w:fldCharType="end"/>
      </w:r>
    </w:p>
    <w:p>
      <w:pPr>
        <w:pStyle w:val="28"/>
        <w:tabs>
          <w:tab w:val="right" w:leader="dot" w:pos="9638"/>
        </w:tabs>
      </w:pPr>
      <w:r>
        <w:rPr>
          <w:rFonts w:hint="eastAsia" w:eastAsia="黑体"/>
          <w:bCs/>
        </w:rPr>
        <w:fldChar w:fldCharType="begin"/>
      </w:r>
      <w:r>
        <w:rPr>
          <w:rFonts w:hint="eastAsia" w:eastAsia="黑体"/>
          <w:bCs/>
        </w:rPr>
        <w:instrText xml:space="preserve"> HYPERLINK \l _Toc14229 </w:instrText>
      </w:r>
      <w:r>
        <w:rPr>
          <w:rFonts w:hint="eastAsia" w:eastAsia="黑体"/>
          <w:bCs/>
        </w:rPr>
        <w:fldChar w:fldCharType="separate"/>
      </w:r>
      <w:r>
        <w:rPr>
          <w:rFonts w:hint="eastAsia" w:ascii="宋体" w:hAnsi="宋体"/>
          <w:bCs/>
          <w:kern w:val="0"/>
        </w:rPr>
        <w:t>四、投标文件的递交</w:t>
      </w:r>
      <w:r>
        <w:tab/>
      </w:r>
      <w:r>
        <w:fldChar w:fldCharType="begin"/>
      </w:r>
      <w:r>
        <w:instrText xml:space="preserve"> PAGEREF _Toc14229 \h </w:instrText>
      </w:r>
      <w:r>
        <w:fldChar w:fldCharType="separate"/>
      </w:r>
      <w:r>
        <w:t>11</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_Toc24712 </w:instrText>
      </w:r>
      <w:r>
        <w:rPr>
          <w:rFonts w:hint="eastAsia" w:eastAsia="黑体"/>
          <w:bCs/>
        </w:rPr>
        <w:fldChar w:fldCharType="separate"/>
      </w:r>
      <w:r>
        <w:rPr>
          <w:rFonts w:hint="eastAsia" w:ascii="宋体" w:hAnsi="宋体" w:eastAsia="宋体"/>
          <w:bCs/>
        </w:rPr>
        <w:t>18.投标文件的密封及标记</w:t>
      </w:r>
      <w:r>
        <w:tab/>
      </w:r>
      <w:r>
        <w:fldChar w:fldCharType="begin"/>
      </w:r>
      <w:r>
        <w:instrText xml:space="preserve"> PAGEREF _Toc24712 \h </w:instrText>
      </w:r>
      <w:r>
        <w:fldChar w:fldCharType="separate"/>
      </w:r>
      <w:r>
        <w:t>11</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_Toc15867 </w:instrText>
      </w:r>
      <w:r>
        <w:rPr>
          <w:rFonts w:hint="eastAsia" w:eastAsia="黑体"/>
          <w:bCs/>
        </w:rPr>
        <w:fldChar w:fldCharType="separate"/>
      </w:r>
      <w:r>
        <w:rPr>
          <w:rFonts w:hint="eastAsia" w:ascii="宋体" w:hAnsi="宋体" w:eastAsia="宋体"/>
          <w:bCs/>
        </w:rPr>
        <w:t>19.投标的截止日期</w:t>
      </w:r>
      <w:r>
        <w:tab/>
      </w:r>
      <w:r>
        <w:fldChar w:fldCharType="begin"/>
      </w:r>
      <w:r>
        <w:instrText xml:space="preserve"> PAGEREF _Toc15867 \h </w:instrText>
      </w:r>
      <w:r>
        <w:fldChar w:fldCharType="separate"/>
      </w:r>
      <w:r>
        <w:t>11</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_Toc11627 </w:instrText>
      </w:r>
      <w:r>
        <w:rPr>
          <w:rFonts w:hint="eastAsia" w:eastAsia="黑体"/>
          <w:bCs/>
        </w:rPr>
        <w:fldChar w:fldCharType="separate"/>
      </w:r>
      <w:r>
        <w:rPr>
          <w:rFonts w:hint="eastAsia" w:ascii="宋体" w:hAnsi="宋体" w:eastAsia="宋体"/>
          <w:bCs/>
        </w:rPr>
        <w:t>20.过期投标文件</w:t>
      </w:r>
      <w:r>
        <w:tab/>
      </w:r>
      <w:r>
        <w:fldChar w:fldCharType="begin"/>
      </w:r>
      <w:r>
        <w:instrText xml:space="preserve"> PAGEREF _Toc11627 \h </w:instrText>
      </w:r>
      <w:r>
        <w:fldChar w:fldCharType="separate"/>
      </w:r>
      <w:r>
        <w:t>11</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_Toc21931 </w:instrText>
      </w:r>
      <w:r>
        <w:rPr>
          <w:rFonts w:hint="eastAsia" w:eastAsia="黑体"/>
          <w:bCs/>
        </w:rPr>
        <w:fldChar w:fldCharType="separate"/>
      </w:r>
      <w:r>
        <w:rPr>
          <w:rFonts w:hint="eastAsia" w:ascii="宋体" w:hAnsi="宋体" w:eastAsia="宋体"/>
          <w:bCs/>
        </w:rPr>
        <w:t>21.投标文件的修改或撤回</w:t>
      </w:r>
      <w:r>
        <w:tab/>
      </w:r>
      <w:r>
        <w:fldChar w:fldCharType="begin"/>
      </w:r>
      <w:r>
        <w:instrText xml:space="preserve"> PAGEREF _Toc21931 \h </w:instrText>
      </w:r>
      <w:r>
        <w:fldChar w:fldCharType="separate"/>
      </w:r>
      <w:r>
        <w:t>11</w:t>
      </w:r>
      <w:r>
        <w:fldChar w:fldCharType="end"/>
      </w:r>
      <w:r>
        <w:rPr>
          <w:rFonts w:hint="eastAsia" w:eastAsia="黑体"/>
          <w:bCs/>
        </w:rPr>
        <w:fldChar w:fldCharType="end"/>
      </w:r>
    </w:p>
    <w:p>
      <w:pPr>
        <w:pStyle w:val="28"/>
        <w:tabs>
          <w:tab w:val="right" w:leader="dot" w:pos="9638"/>
        </w:tabs>
      </w:pPr>
      <w:r>
        <w:rPr>
          <w:rFonts w:hint="eastAsia" w:eastAsia="黑体"/>
          <w:bCs/>
        </w:rPr>
        <w:fldChar w:fldCharType="begin"/>
      </w:r>
      <w:r>
        <w:rPr>
          <w:rFonts w:hint="eastAsia" w:eastAsia="黑体"/>
          <w:bCs/>
        </w:rPr>
        <w:instrText xml:space="preserve"> HYPERLINK \l _Toc3948 </w:instrText>
      </w:r>
      <w:r>
        <w:rPr>
          <w:rFonts w:hint="eastAsia" w:eastAsia="黑体"/>
          <w:bCs/>
        </w:rPr>
        <w:fldChar w:fldCharType="separate"/>
      </w:r>
      <w:r>
        <w:rPr>
          <w:rFonts w:hint="eastAsia" w:ascii="宋体" w:hAnsi="宋体"/>
          <w:bCs/>
          <w:kern w:val="0"/>
        </w:rPr>
        <w:t>五、开标与评标</w:t>
      </w:r>
      <w:r>
        <w:tab/>
      </w:r>
      <w:r>
        <w:fldChar w:fldCharType="begin"/>
      </w:r>
      <w:r>
        <w:instrText xml:space="preserve"> PAGEREF _Toc3948 \h </w:instrText>
      </w:r>
      <w:r>
        <w:fldChar w:fldCharType="separate"/>
      </w:r>
      <w:r>
        <w:t>11</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_Toc18457 </w:instrText>
      </w:r>
      <w:r>
        <w:rPr>
          <w:rFonts w:hint="eastAsia" w:eastAsia="黑体"/>
          <w:bCs/>
        </w:rPr>
        <w:fldChar w:fldCharType="separate"/>
      </w:r>
      <w:r>
        <w:rPr>
          <w:rFonts w:hint="eastAsia" w:ascii="宋体" w:hAnsi="宋体" w:eastAsia="宋体"/>
          <w:bCs/>
        </w:rPr>
        <w:t>22.开标</w:t>
      </w:r>
      <w:r>
        <w:tab/>
      </w:r>
      <w:r>
        <w:fldChar w:fldCharType="begin"/>
      </w:r>
      <w:r>
        <w:instrText xml:space="preserve"> PAGEREF _Toc18457 \h </w:instrText>
      </w:r>
      <w:r>
        <w:fldChar w:fldCharType="separate"/>
      </w:r>
      <w:r>
        <w:t>11</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_Toc13304 </w:instrText>
      </w:r>
      <w:r>
        <w:rPr>
          <w:rFonts w:hint="eastAsia" w:eastAsia="黑体"/>
          <w:bCs/>
        </w:rPr>
        <w:fldChar w:fldCharType="separate"/>
      </w:r>
      <w:r>
        <w:rPr>
          <w:rFonts w:hint="eastAsia" w:ascii="宋体" w:hAnsi="宋体" w:eastAsia="宋体"/>
          <w:bCs/>
        </w:rPr>
        <w:t>23.评标委员会</w:t>
      </w:r>
      <w:r>
        <w:tab/>
      </w:r>
      <w:r>
        <w:fldChar w:fldCharType="begin"/>
      </w:r>
      <w:r>
        <w:instrText xml:space="preserve"> PAGEREF _Toc13304 \h </w:instrText>
      </w:r>
      <w:r>
        <w:fldChar w:fldCharType="separate"/>
      </w:r>
      <w:r>
        <w:t>12</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_Toc6043 </w:instrText>
      </w:r>
      <w:r>
        <w:rPr>
          <w:rFonts w:hint="eastAsia" w:eastAsia="黑体"/>
          <w:bCs/>
        </w:rPr>
        <w:fldChar w:fldCharType="separate"/>
      </w:r>
      <w:r>
        <w:rPr>
          <w:rFonts w:hint="eastAsia" w:ascii="宋体" w:hAnsi="宋体" w:eastAsia="宋体"/>
          <w:bCs/>
        </w:rPr>
        <w:t>24.评标过程的保密与公正</w:t>
      </w:r>
      <w:r>
        <w:tab/>
      </w:r>
      <w:r>
        <w:fldChar w:fldCharType="begin"/>
      </w:r>
      <w:r>
        <w:instrText xml:space="preserve"> PAGEREF _Toc6043 \h </w:instrText>
      </w:r>
      <w:r>
        <w:fldChar w:fldCharType="separate"/>
      </w:r>
      <w:r>
        <w:t>12</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_Toc31779 </w:instrText>
      </w:r>
      <w:r>
        <w:rPr>
          <w:rFonts w:hint="eastAsia" w:eastAsia="黑体"/>
          <w:bCs/>
        </w:rPr>
        <w:fldChar w:fldCharType="separate"/>
      </w:r>
      <w:r>
        <w:rPr>
          <w:rFonts w:hint="eastAsia" w:ascii="宋体" w:hAnsi="宋体" w:eastAsia="宋体"/>
          <w:bCs/>
        </w:rPr>
        <w:t>25.投标文件的澄清</w:t>
      </w:r>
      <w:r>
        <w:tab/>
      </w:r>
      <w:r>
        <w:fldChar w:fldCharType="begin"/>
      </w:r>
      <w:r>
        <w:instrText xml:space="preserve"> PAGEREF _Toc31779 \h </w:instrText>
      </w:r>
      <w:r>
        <w:fldChar w:fldCharType="separate"/>
      </w:r>
      <w:r>
        <w:t>12</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_Toc20646 </w:instrText>
      </w:r>
      <w:r>
        <w:rPr>
          <w:rFonts w:hint="eastAsia" w:eastAsia="黑体"/>
          <w:bCs/>
        </w:rPr>
        <w:fldChar w:fldCharType="separate"/>
      </w:r>
      <w:r>
        <w:rPr>
          <w:rFonts w:hint="eastAsia" w:ascii="宋体" w:hAnsi="宋体" w:eastAsia="宋体"/>
          <w:bCs/>
        </w:rPr>
        <w:t>26.初步审查</w:t>
      </w:r>
      <w:r>
        <w:tab/>
      </w:r>
      <w:r>
        <w:fldChar w:fldCharType="begin"/>
      </w:r>
      <w:r>
        <w:instrText xml:space="preserve"> PAGEREF _Toc20646 \h </w:instrText>
      </w:r>
      <w:r>
        <w:fldChar w:fldCharType="separate"/>
      </w:r>
      <w:r>
        <w:t>12</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_Toc31608 </w:instrText>
      </w:r>
      <w:r>
        <w:rPr>
          <w:rFonts w:hint="eastAsia" w:eastAsia="黑体"/>
          <w:bCs/>
        </w:rPr>
        <w:fldChar w:fldCharType="separate"/>
      </w:r>
      <w:r>
        <w:rPr>
          <w:rFonts w:hint="eastAsia" w:ascii="宋体" w:hAnsi="宋体" w:eastAsia="宋体"/>
          <w:bCs/>
        </w:rPr>
        <w:t>27.无效投标条款和废标条款</w:t>
      </w:r>
      <w:r>
        <w:tab/>
      </w:r>
      <w:r>
        <w:fldChar w:fldCharType="begin"/>
      </w:r>
      <w:r>
        <w:instrText xml:space="preserve"> PAGEREF _Toc31608 \h </w:instrText>
      </w:r>
      <w:r>
        <w:fldChar w:fldCharType="separate"/>
      </w:r>
      <w:r>
        <w:t>13</w:t>
      </w:r>
      <w:r>
        <w:fldChar w:fldCharType="end"/>
      </w:r>
      <w:r>
        <w:rPr>
          <w:rFonts w:hint="eastAsia" w:eastAsia="黑体"/>
          <w:bCs/>
        </w:rPr>
        <w:fldChar w:fldCharType="end"/>
      </w:r>
    </w:p>
    <w:p>
      <w:pPr>
        <w:pStyle w:val="28"/>
        <w:tabs>
          <w:tab w:val="right" w:leader="dot" w:pos="9638"/>
        </w:tabs>
      </w:pPr>
      <w:r>
        <w:rPr>
          <w:rFonts w:hint="eastAsia" w:eastAsia="黑体"/>
          <w:bCs/>
        </w:rPr>
        <w:fldChar w:fldCharType="begin"/>
      </w:r>
      <w:r>
        <w:rPr>
          <w:rFonts w:hint="eastAsia" w:eastAsia="黑体"/>
          <w:bCs/>
        </w:rPr>
        <w:instrText xml:space="preserve"> HYPERLINK \l _Toc13791 </w:instrText>
      </w:r>
      <w:r>
        <w:rPr>
          <w:rFonts w:hint="eastAsia" w:eastAsia="黑体"/>
          <w:bCs/>
        </w:rPr>
        <w:fldChar w:fldCharType="separate"/>
      </w:r>
      <w:r>
        <w:rPr>
          <w:rFonts w:hint="eastAsia" w:ascii="宋体" w:hAnsi="宋体"/>
          <w:bCs/>
          <w:kern w:val="0"/>
        </w:rPr>
        <w:t>六、授标</w:t>
      </w:r>
      <w:r>
        <w:tab/>
      </w:r>
      <w:r>
        <w:fldChar w:fldCharType="begin"/>
      </w:r>
      <w:r>
        <w:instrText xml:space="preserve"> PAGEREF _Toc13791 \h </w:instrText>
      </w:r>
      <w:r>
        <w:fldChar w:fldCharType="separate"/>
      </w:r>
      <w:r>
        <w:t>14</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_Toc31305 </w:instrText>
      </w:r>
      <w:r>
        <w:rPr>
          <w:rFonts w:hint="eastAsia" w:eastAsia="黑体"/>
          <w:bCs/>
        </w:rPr>
        <w:fldChar w:fldCharType="separate"/>
      </w:r>
      <w:r>
        <w:rPr>
          <w:rFonts w:hint="eastAsia" w:ascii="宋体" w:hAnsi="宋体" w:eastAsia="宋体"/>
          <w:bCs/>
        </w:rPr>
        <w:t>28.确定中标人</w:t>
      </w:r>
      <w:r>
        <w:tab/>
      </w:r>
      <w:r>
        <w:fldChar w:fldCharType="begin"/>
      </w:r>
      <w:r>
        <w:instrText xml:space="preserve"> PAGEREF _Toc31305 \h </w:instrText>
      </w:r>
      <w:r>
        <w:fldChar w:fldCharType="separate"/>
      </w:r>
      <w:r>
        <w:t>14</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_Toc9632 </w:instrText>
      </w:r>
      <w:r>
        <w:rPr>
          <w:rFonts w:hint="eastAsia" w:eastAsia="黑体"/>
          <w:bCs/>
        </w:rPr>
        <w:fldChar w:fldCharType="separate"/>
      </w:r>
      <w:r>
        <w:rPr>
          <w:rFonts w:hint="eastAsia" w:ascii="宋体" w:hAnsi="宋体" w:eastAsia="宋体"/>
          <w:bCs/>
        </w:rPr>
        <w:t>29.最后审定</w:t>
      </w:r>
      <w:r>
        <w:tab/>
      </w:r>
      <w:r>
        <w:fldChar w:fldCharType="begin"/>
      </w:r>
      <w:r>
        <w:instrText xml:space="preserve"> PAGEREF _Toc9632 \h </w:instrText>
      </w:r>
      <w:r>
        <w:fldChar w:fldCharType="separate"/>
      </w:r>
      <w:r>
        <w:t>15</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_Toc19701 </w:instrText>
      </w:r>
      <w:r>
        <w:rPr>
          <w:rFonts w:hint="eastAsia" w:eastAsia="黑体"/>
          <w:bCs/>
        </w:rPr>
        <w:fldChar w:fldCharType="separate"/>
      </w:r>
      <w:r>
        <w:rPr>
          <w:rFonts w:hint="eastAsia" w:ascii="宋体" w:hAnsi="宋体" w:eastAsia="宋体"/>
          <w:bCs/>
        </w:rPr>
        <w:t>30.中标的通知</w:t>
      </w:r>
      <w:r>
        <w:tab/>
      </w:r>
      <w:r>
        <w:fldChar w:fldCharType="begin"/>
      </w:r>
      <w:r>
        <w:instrText xml:space="preserve"> PAGEREF _Toc19701 \h </w:instrText>
      </w:r>
      <w:r>
        <w:fldChar w:fldCharType="separate"/>
      </w:r>
      <w:r>
        <w:t>15</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_Toc6926 </w:instrText>
      </w:r>
      <w:r>
        <w:rPr>
          <w:rFonts w:hint="eastAsia" w:eastAsia="黑体"/>
          <w:bCs/>
        </w:rPr>
        <w:fldChar w:fldCharType="separate"/>
      </w:r>
      <w:r>
        <w:rPr>
          <w:rFonts w:hint="eastAsia" w:ascii="宋体" w:hAnsi="宋体" w:eastAsia="宋体"/>
          <w:bCs/>
        </w:rPr>
        <w:t>31.签订合同</w:t>
      </w:r>
      <w:r>
        <w:tab/>
      </w:r>
      <w:r>
        <w:fldChar w:fldCharType="begin"/>
      </w:r>
      <w:r>
        <w:instrText xml:space="preserve"> PAGEREF _Toc6926 \h </w:instrText>
      </w:r>
      <w:r>
        <w:fldChar w:fldCharType="separate"/>
      </w:r>
      <w:r>
        <w:t>15</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_Toc26273 </w:instrText>
      </w:r>
      <w:r>
        <w:rPr>
          <w:rFonts w:hint="eastAsia" w:eastAsia="黑体"/>
          <w:bCs/>
        </w:rPr>
        <w:fldChar w:fldCharType="separate"/>
      </w:r>
      <w:r>
        <w:rPr>
          <w:rFonts w:hint="eastAsia" w:ascii="宋体" w:hAnsi="宋体" w:eastAsia="宋体"/>
          <w:bCs/>
        </w:rPr>
        <w:t>32.中标服务费</w:t>
      </w:r>
      <w:r>
        <w:tab/>
      </w:r>
      <w:r>
        <w:fldChar w:fldCharType="begin"/>
      </w:r>
      <w:r>
        <w:instrText xml:space="preserve"> PAGEREF _Toc26273 \h </w:instrText>
      </w:r>
      <w:r>
        <w:fldChar w:fldCharType="separate"/>
      </w:r>
      <w:r>
        <w:t>15</w:t>
      </w:r>
      <w:r>
        <w:fldChar w:fldCharType="end"/>
      </w:r>
      <w:r>
        <w:rPr>
          <w:rFonts w:hint="eastAsia" w:eastAsia="黑体"/>
          <w:bCs/>
        </w:rPr>
        <w:fldChar w:fldCharType="end"/>
      </w:r>
    </w:p>
    <w:p>
      <w:pPr>
        <w:pStyle w:val="28"/>
        <w:tabs>
          <w:tab w:val="right" w:leader="dot" w:pos="9638"/>
        </w:tabs>
      </w:pPr>
      <w:r>
        <w:rPr>
          <w:rFonts w:hint="eastAsia" w:eastAsia="黑体"/>
          <w:bCs/>
        </w:rPr>
        <w:fldChar w:fldCharType="begin"/>
      </w:r>
      <w:r>
        <w:rPr>
          <w:rFonts w:hint="eastAsia" w:eastAsia="黑体"/>
          <w:bCs/>
        </w:rPr>
        <w:instrText xml:space="preserve"> HYPERLINK \l _Toc16831 </w:instrText>
      </w:r>
      <w:r>
        <w:rPr>
          <w:rFonts w:hint="eastAsia" w:eastAsia="黑体"/>
          <w:bCs/>
        </w:rPr>
        <w:fldChar w:fldCharType="separate"/>
      </w:r>
      <w:r>
        <w:rPr>
          <w:rFonts w:hint="eastAsia" w:ascii="宋体" w:hAnsi="宋体"/>
          <w:bCs/>
          <w:kern w:val="0"/>
        </w:rPr>
        <w:t>七、质疑</w:t>
      </w:r>
      <w:r>
        <w:tab/>
      </w:r>
      <w:r>
        <w:fldChar w:fldCharType="begin"/>
      </w:r>
      <w:r>
        <w:instrText xml:space="preserve"> PAGEREF _Toc16831 \h </w:instrText>
      </w:r>
      <w:r>
        <w:fldChar w:fldCharType="separate"/>
      </w:r>
      <w:r>
        <w:t>15</w:t>
      </w:r>
      <w:r>
        <w:fldChar w:fldCharType="end"/>
      </w:r>
      <w:r>
        <w:rPr>
          <w:rFonts w:hint="eastAsia" w:eastAsia="黑体"/>
          <w:bCs/>
        </w:rPr>
        <w:fldChar w:fldCharType="end"/>
      </w:r>
    </w:p>
    <w:p>
      <w:pPr>
        <w:pStyle w:val="16"/>
        <w:tabs>
          <w:tab w:val="right" w:leader="dot" w:pos="9638"/>
        </w:tabs>
      </w:pPr>
      <w:r>
        <w:rPr>
          <w:rFonts w:hint="eastAsia" w:eastAsia="黑体"/>
          <w:bCs/>
        </w:rPr>
        <w:fldChar w:fldCharType="begin"/>
      </w:r>
      <w:r>
        <w:rPr>
          <w:rFonts w:hint="eastAsia" w:eastAsia="黑体"/>
          <w:bCs/>
        </w:rPr>
        <w:instrText xml:space="preserve"> HYPERLINK \l _Toc26898 </w:instrText>
      </w:r>
      <w:r>
        <w:rPr>
          <w:rFonts w:hint="eastAsia" w:eastAsia="黑体"/>
          <w:bCs/>
        </w:rPr>
        <w:fldChar w:fldCharType="separate"/>
      </w:r>
      <w:r>
        <w:rPr>
          <w:rFonts w:hint="eastAsia" w:ascii="宋体" w:hAnsi="宋体" w:eastAsia="宋体"/>
          <w:bCs/>
        </w:rPr>
        <w:t>33、质疑</w:t>
      </w:r>
      <w:r>
        <w:tab/>
      </w:r>
      <w:r>
        <w:fldChar w:fldCharType="begin"/>
      </w:r>
      <w:r>
        <w:instrText xml:space="preserve"> PAGEREF _Toc26898 \h </w:instrText>
      </w:r>
      <w:r>
        <w:fldChar w:fldCharType="separate"/>
      </w:r>
      <w:r>
        <w:t>15</w:t>
      </w:r>
      <w:r>
        <w:fldChar w:fldCharType="end"/>
      </w:r>
      <w:r>
        <w:rPr>
          <w:rFonts w:hint="eastAsia" w:eastAsia="黑体"/>
          <w:bCs/>
        </w:rPr>
        <w:fldChar w:fldCharType="end"/>
      </w:r>
    </w:p>
    <w:p>
      <w:pPr>
        <w:pStyle w:val="24"/>
        <w:tabs>
          <w:tab w:val="right" w:leader="dot" w:pos="9638"/>
        </w:tabs>
      </w:pPr>
      <w:r>
        <w:rPr>
          <w:rFonts w:hint="eastAsia" w:eastAsia="黑体"/>
          <w:bCs/>
        </w:rPr>
        <w:fldChar w:fldCharType="begin"/>
      </w:r>
      <w:r>
        <w:rPr>
          <w:rFonts w:hint="eastAsia" w:eastAsia="黑体"/>
          <w:bCs/>
        </w:rPr>
        <w:instrText xml:space="preserve"> HYPERLINK \l _Toc12935 </w:instrText>
      </w:r>
      <w:r>
        <w:rPr>
          <w:rFonts w:hint="eastAsia" w:eastAsia="黑体"/>
          <w:bCs/>
        </w:rPr>
        <w:fldChar w:fldCharType="separate"/>
      </w:r>
      <w:r>
        <w:rPr>
          <w:rFonts w:hint="eastAsia" w:ascii="黑体" w:eastAsia="黑体"/>
          <w:szCs w:val="28"/>
        </w:rPr>
        <w:t>第三章 评标标准</w:t>
      </w:r>
      <w:r>
        <w:tab/>
      </w:r>
      <w:r>
        <w:fldChar w:fldCharType="begin"/>
      </w:r>
      <w:r>
        <w:instrText xml:space="preserve"> PAGEREF _Toc12935 \h </w:instrText>
      </w:r>
      <w:r>
        <w:fldChar w:fldCharType="separate"/>
      </w:r>
      <w:r>
        <w:t>17</w:t>
      </w:r>
      <w:r>
        <w:fldChar w:fldCharType="end"/>
      </w:r>
      <w:r>
        <w:rPr>
          <w:rFonts w:hint="eastAsia" w:eastAsia="黑体"/>
          <w:bCs/>
        </w:rPr>
        <w:fldChar w:fldCharType="end"/>
      </w:r>
    </w:p>
    <w:p>
      <w:pPr>
        <w:pStyle w:val="24"/>
        <w:tabs>
          <w:tab w:val="right" w:leader="dot" w:pos="9638"/>
        </w:tabs>
      </w:pPr>
      <w:r>
        <w:rPr>
          <w:rFonts w:hint="eastAsia" w:eastAsia="黑体"/>
          <w:bCs/>
        </w:rPr>
        <w:fldChar w:fldCharType="begin"/>
      </w:r>
      <w:r>
        <w:rPr>
          <w:rFonts w:hint="eastAsia" w:eastAsia="黑体"/>
          <w:bCs/>
        </w:rPr>
        <w:instrText xml:space="preserve"> HYPERLINK \l _Toc7056 </w:instrText>
      </w:r>
      <w:r>
        <w:rPr>
          <w:rFonts w:hint="eastAsia" w:eastAsia="黑体"/>
          <w:bCs/>
        </w:rPr>
        <w:fldChar w:fldCharType="separate"/>
      </w:r>
      <w:r>
        <w:rPr>
          <w:rFonts w:hint="eastAsia" w:ascii="黑体" w:eastAsia="黑体"/>
          <w:szCs w:val="28"/>
        </w:rPr>
        <w:t>第四章 招标产品清单及有关说明</w:t>
      </w:r>
      <w:r>
        <w:tab/>
      </w:r>
      <w:r>
        <w:fldChar w:fldCharType="begin"/>
      </w:r>
      <w:r>
        <w:instrText xml:space="preserve"> PAGEREF _Toc7056 \h </w:instrText>
      </w:r>
      <w:r>
        <w:fldChar w:fldCharType="separate"/>
      </w:r>
      <w:r>
        <w:t>19</w:t>
      </w:r>
      <w:r>
        <w:fldChar w:fldCharType="end"/>
      </w:r>
      <w:r>
        <w:rPr>
          <w:rFonts w:hint="eastAsia" w:eastAsia="黑体"/>
          <w:bCs/>
        </w:rPr>
        <w:fldChar w:fldCharType="end"/>
      </w:r>
    </w:p>
    <w:p>
      <w:pPr>
        <w:pStyle w:val="24"/>
        <w:tabs>
          <w:tab w:val="right" w:leader="dot" w:pos="9638"/>
        </w:tabs>
      </w:pPr>
      <w:r>
        <w:rPr>
          <w:rFonts w:hint="eastAsia" w:eastAsia="黑体"/>
          <w:bCs/>
        </w:rPr>
        <w:fldChar w:fldCharType="begin"/>
      </w:r>
      <w:r>
        <w:rPr>
          <w:rFonts w:hint="eastAsia" w:eastAsia="黑体"/>
          <w:bCs/>
        </w:rPr>
        <w:instrText xml:space="preserve"> HYPERLINK \l _Toc15210 </w:instrText>
      </w:r>
      <w:r>
        <w:rPr>
          <w:rFonts w:hint="eastAsia" w:eastAsia="黑体"/>
          <w:bCs/>
        </w:rPr>
        <w:fldChar w:fldCharType="separate"/>
      </w:r>
      <w:r>
        <w:rPr>
          <w:rFonts w:hint="eastAsia" w:ascii="黑体" w:eastAsia="黑体"/>
          <w:szCs w:val="28"/>
        </w:rPr>
        <w:t>第五章 合同条款的主要内容</w:t>
      </w:r>
      <w:r>
        <w:tab/>
      </w:r>
      <w:r>
        <w:fldChar w:fldCharType="begin"/>
      </w:r>
      <w:r>
        <w:instrText xml:space="preserve"> PAGEREF _Toc15210 \h </w:instrText>
      </w:r>
      <w:r>
        <w:fldChar w:fldCharType="separate"/>
      </w:r>
      <w:r>
        <w:t>27</w:t>
      </w:r>
      <w:r>
        <w:fldChar w:fldCharType="end"/>
      </w:r>
      <w:r>
        <w:rPr>
          <w:rFonts w:hint="eastAsia" w:eastAsia="黑体"/>
          <w:bCs/>
        </w:rPr>
        <w:fldChar w:fldCharType="end"/>
      </w:r>
    </w:p>
    <w:p>
      <w:pPr>
        <w:pStyle w:val="24"/>
        <w:tabs>
          <w:tab w:val="right" w:leader="dot" w:pos="9638"/>
        </w:tabs>
      </w:pPr>
      <w:r>
        <w:rPr>
          <w:rFonts w:hint="eastAsia" w:eastAsia="黑体"/>
          <w:bCs/>
        </w:rPr>
        <w:fldChar w:fldCharType="begin"/>
      </w:r>
      <w:r>
        <w:rPr>
          <w:rFonts w:hint="eastAsia" w:eastAsia="黑体"/>
          <w:bCs/>
        </w:rPr>
        <w:instrText xml:space="preserve"> HYPERLINK \l _Toc23539 </w:instrText>
      </w:r>
      <w:r>
        <w:rPr>
          <w:rFonts w:hint="eastAsia" w:eastAsia="黑体"/>
          <w:bCs/>
        </w:rPr>
        <w:fldChar w:fldCharType="separate"/>
      </w:r>
      <w:r>
        <w:rPr>
          <w:rFonts w:hint="eastAsia" w:ascii="黑体" w:eastAsia="黑体"/>
          <w:szCs w:val="28"/>
        </w:rPr>
        <w:t>第六章 投标文件格式及附件</w:t>
      </w:r>
      <w:r>
        <w:tab/>
      </w:r>
      <w:r>
        <w:fldChar w:fldCharType="begin"/>
      </w:r>
      <w:r>
        <w:instrText xml:space="preserve"> PAGEREF _Toc23539 \h </w:instrText>
      </w:r>
      <w:r>
        <w:fldChar w:fldCharType="separate"/>
      </w:r>
      <w:r>
        <w:t>33</w:t>
      </w:r>
      <w:r>
        <w:fldChar w:fldCharType="end"/>
      </w:r>
      <w:r>
        <w:rPr>
          <w:rFonts w:hint="eastAsia" w:eastAsia="黑体"/>
          <w:bCs/>
        </w:rPr>
        <w:fldChar w:fldCharType="end"/>
      </w:r>
    </w:p>
    <w:p>
      <w:pPr>
        <w:spacing w:line="440" w:lineRule="exact"/>
        <w:rPr>
          <w:rFonts w:eastAsia="黑体"/>
          <w:bCs/>
          <w:sz w:val="24"/>
        </w:rPr>
      </w:pPr>
      <w:r>
        <w:rPr>
          <w:rFonts w:hint="eastAsia" w:eastAsia="黑体"/>
          <w:bCs/>
        </w:rPr>
        <w:fldChar w:fldCharType="end"/>
      </w:r>
    </w:p>
    <w:p>
      <w:pPr>
        <w:spacing w:line="440" w:lineRule="exact"/>
        <w:jc w:val="center"/>
        <w:outlineLvl w:val="0"/>
        <w:rPr>
          <w:rFonts w:ascii="黑体" w:eastAsia="黑体"/>
          <w:b/>
          <w:sz w:val="28"/>
          <w:szCs w:val="28"/>
        </w:rPr>
        <w:sectPr>
          <w:footerReference r:id="rId6" w:type="default"/>
          <w:pgSz w:w="11906" w:h="16838"/>
          <w:pgMar w:top="1134" w:right="1134" w:bottom="1134" w:left="1134" w:header="851" w:footer="992" w:gutter="0"/>
          <w:pgNumType w:start="1"/>
          <w:cols w:space="720" w:num="1"/>
          <w:docGrid w:type="lines" w:linePitch="312" w:charSpace="0"/>
        </w:sectPr>
      </w:pPr>
    </w:p>
    <w:p>
      <w:pPr>
        <w:spacing w:line="440" w:lineRule="exact"/>
        <w:jc w:val="center"/>
        <w:outlineLvl w:val="0"/>
        <w:rPr>
          <w:rFonts w:ascii="黑体" w:eastAsia="黑体"/>
          <w:b/>
          <w:sz w:val="44"/>
        </w:rPr>
      </w:pPr>
      <w:bookmarkStart w:id="0" w:name="_Toc1"/>
      <w:bookmarkStart w:id="1" w:name="_Toc9986"/>
      <w:bookmarkStart w:id="2" w:name="_Toc19858"/>
      <w:bookmarkStart w:id="3" w:name="_Toc2830"/>
      <w:bookmarkStart w:id="4" w:name="_Toc3922"/>
      <w:bookmarkStart w:id="5" w:name="_Toc27166"/>
      <w:bookmarkStart w:id="6" w:name="_Toc32648"/>
      <w:r>
        <w:rPr>
          <w:rFonts w:hint="eastAsia" w:ascii="黑体" w:eastAsia="黑体"/>
          <w:b/>
          <w:sz w:val="28"/>
          <w:szCs w:val="28"/>
        </w:rPr>
        <w:t>第一章 招标公告</w:t>
      </w:r>
      <w:bookmarkEnd w:id="0"/>
      <w:bookmarkEnd w:id="1"/>
      <w:bookmarkEnd w:id="2"/>
      <w:bookmarkEnd w:id="3"/>
      <w:bookmarkEnd w:id="4"/>
      <w:bookmarkEnd w:id="5"/>
      <w:bookmarkEnd w:id="6"/>
    </w:p>
    <w:p>
      <w:pPr>
        <w:spacing w:line="360" w:lineRule="auto"/>
        <w:ind w:firstLine="420" w:firstLineChars="200"/>
        <w:rPr>
          <w:rFonts w:ascii="宋体" w:hAnsi="宋体" w:cs="宋体"/>
          <w:szCs w:val="21"/>
        </w:rPr>
      </w:pPr>
      <w:bookmarkStart w:id="7" w:name="_Toc28359079"/>
      <w:bookmarkStart w:id="8" w:name="_Toc35393790"/>
      <w:bookmarkStart w:id="9" w:name="_Toc35393621"/>
      <w:bookmarkStart w:id="10" w:name="_Toc28359002"/>
      <w:bookmarkStart w:id="11" w:name="_Hlk24379207"/>
      <w:r>
        <w:rPr>
          <w:rFonts w:hint="eastAsia" w:ascii="宋体" w:hAnsi="宋体" w:cs="宋体"/>
          <w:szCs w:val="21"/>
        </w:rPr>
        <w:t>项目概况</w:t>
      </w:r>
    </w:p>
    <w:p>
      <w:pPr>
        <w:spacing w:line="360" w:lineRule="auto"/>
        <w:ind w:firstLine="420" w:firstLineChars="200"/>
        <w:rPr>
          <w:rFonts w:ascii="宋体" w:hAnsi="宋体" w:cs="宋体"/>
          <w:szCs w:val="21"/>
        </w:rPr>
      </w:pPr>
      <w:r>
        <w:rPr>
          <w:rFonts w:hint="eastAsia" w:ascii="宋体" w:hAnsi="宋体" w:cs="宋体"/>
          <w:szCs w:val="21"/>
        </w:rPr>
        <w:t>江苏省电子信息产品质量监督检验研究院闭式冷却水塔及管路采购及相关服务项目的潜在投标人应在微信公众号“苏美达达天下”获取招标文件，并</w:t>
      </w:r>
      <w:r>
        <w:rPr>
          <w:rFonts w:hint="eastAsia" w:ascii="宋体" w:hAnsi="宋体" w:cs="宋体"/>
          <w:szCs w:val="21"/>
          <w:highlight w:val="none"/>
        </w:rPr>
        <w:t>于2024年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30</w:t>
      </w:r>
      <w:r>
        <w:rPr>
          <w:rFonts w:hint="eastAsia" w:ascii="宋体" w:hAnsi="宋体" w:cs="宋体"/>
          <w:szCs w:val="21"/>
          <w:highlight w:val="none"/>
        </w:rPr>
        <w:t>日</w:t>
      </w:r>
      <w:r>
        <w:rPr>
          <w:rFonts w:hint="eastAsia" w:ascii="宋体" w:hAnsi="宋体" w:cs="宋体"/>
          <w:szCs w:val="21"/>
          <w:highlight w:val="none"/>
          <w:lang w:val="en-US" w:eastAsia="zh-CN"/>
        </w:rPr>
        <w:t>09</w:t>
      </w:r>
      <w:r>
        <w:rPr>
          <w:rFonts w:hint="eastAsia" w:ascii="宋体" w:hAnsi="宋体" w:cs="宋体"/>
          <w:szCs w:val="21"/>
          <w:highlight w:val="none"/>
        </w:rPr>
        <w:t>点</w:t>
      </w:r>
      <w:r>
        <w:rPr>
          <w:rFonts w:hint="eastAsia" w:ascii="宋体" w:hAnsi="宋体" w:cs="宋体"/>
          <w:szCs w:val="21"/>
          <w:highlight w:val="none"/>
          <w:lang w:val="en-US" w:eastAsia="zh-CN"/>
        </w:rPr>
        <w:t>3</w:t>
      </w:r>
      <w:r>
        <w:rPr>
          <w:rFonts w:hint="eastAsia" w:ascii="宋体" w:hAnsi="宋体" w:cs="宋体"/>
          <w:szCs w:val="21"/>
          <w:highlight w:val="none"/>
        </w:rPr>
        <w:t>0分（</w:t>
      </w:r>
      <w:r>
        <w:rPr>
          <w:rFonts w:hint="eastAsia" w:ascii="宋体" w:hAnsi="宋体" w:cs="宋体"/>
          <w:szCs w:val="21"/>
        </w:rPr>
        <w:t>北京时间）前递交投标文件。</w:t>
      </w:r>
      <w:bookmarkStart w:id="381" w:name="_GoBack"/>
      <w:bookmarkEnd w:id="381"/>
    </w:p>
    <w:p>
      <w:pPr>
        <w:pStyle w:val="3"/>
        <w:tabs>
          <w:tab w:val="left" w:pos="6479"/>
        </w:tabs>
        <w:spacing w:before="0" w:after="0" w:line="360" w:lineRule="auto"/>
        <w:rPr>
          <w:rFonts w:ascii="宋体" w:hAnsi="宋体" w:eastAsia="宋体" w:cs="宋体"/>
          <w:b w:val="0"/>
          <w:sz w:val="21"/>
          <w:szCs w:val="21"/>
        </w:rPr>
      </w:pPr>
      <w:bookmarkStart w:id="12" w:name="_Toc8862"/>
      <w:bookmarkStart w:id="13" w:name="_Toc32478"/>
      <w:bookmarkStart w:id="14" w:name="_Toc24456"/>
      <w:bookmarkStart w:id="15" w:name="_Toc10871"/>
      <w:r>
        <w:rPr>
          <w:rFonts w:hint="eastAsia" w:ascii="宋体" w:hAnsi="宋体" w:eastAsia="宋体" w:cs="宋体"/>
          <w:b w:val="0"/>
          <w:sz w:val="21"/>
          <w:szCs w:val="21"/>
        </w:rPr>
        <w:t>一、项目基本情况</w:t>
      </w:r>
      <w:bookmarkEnd w:id="7"/>
      <w:bookmarkEnd w:id="8"/>
      <w:bookmarkEnd w:id="9"/>
      <w:bookmarkEnd w:id="10"/>
      <w:bookmarkEnd w:id="12"/>
      <w:bookmarkEnd w:id="13"/>
      <w:bookmarkEnd w:id="14"/>
      <w:bookmarkEnd w:id="15"/>
    </w:p>
    <w:p>
      <w:pPr>
        <w:spacing w:line="360" w:lineRule="auto"/>
        <w:ind w:firstLine="420" w:firstLineChars="200"/>
        <w:rPr>
          <w:rFonts w:ascii="宋体" w:hAnsi="宋体" w:cs="宋体"/>
          <w:szCs w:val="21"/>
        </w:rPr>
      </w:pPr>
      <w:r>
        <w:rPr>
          <w:rFonts w:hint="eastAsia" w:ascii="宋体" w:hAnsi="宋体" w:cs="宋体"/>
          <w:szCs w:val="21"/>
        </w:rPr>
        <w:t>项目编号：0664-2460SUMEC069D</w:t>
      </w:r>
    </w:p>
    <w:p>
      <w:pPr>
        <w:spacing w:line="360" w:lineRule="auto"/>
        <w:ind w:firstLine="420" w:firstLineChars="200"/>
        <w:rPr>
          <w:rFonts w:ascii="宋体" w:hAnsi="宋体" w:cs="宋体"/>
          <w:szCs w:val="21"/>
        </w:rPr>
      </w:pPr>
      <w:r>
        <w:rPr>
          <w:rFonts w:hint="eastAsia" w:ascii="宋体" w:hAnsi="宋体" w:cs="宋体"/>
          <w:szCs w:val="21"/>
        </w:rPr>
        <w:t>项目名称：江苏省电子信息产品质量监督检验研究院闭式冷却水塔及管路采购及相关服务项目</w:t>
      </w:r>
    </w:p>
    <w:bookmarkEnd w:id="11"/>
    <w:p>
      <w:pPr>
        <w:spacing w:line="360" w:lineRule="auto"/>
        <w:ind w:firstLine="420" w:firstLineChars="200"/>
        <w:rPr>
          <w:rFonts w:ascii="宋体" w:hAnsi="宋体" w:cs="宋体"/>
          <w:szCs w:val="21"/>
        </w:rPr>
      </w:pPr>
      <w:r>
        <w:rPr>
          <w:rFonts w:hint="eastAsia" w:ascii="宋体" w:hAnsi="宋体" w:cs="宋体"/>
          <w:szCs w:val="21"/>
        </w:rPr>
        <w:t>采购方式：公开招标</w:t>
      </w:r>
    </w:p>
    <w:p>
      <w:pPr>
        <w:spacing w:line="360" w:lineRule="auto"/>
        <w:ind w:firstLine="420" w:firstLineChars="200"/>
        <w:rPr>
          <w:rFonts w:ascii="宋体" w:hAnsi="宋体" w:cs="宋体"/>
          <w:szCs w:val="21"/>
        </w:rPr>
      </w:pPr>
      <w:r>
        <w:rPr>
          <w:rFonts w:hint="eastAsia" w:ascii="宋体" w:hAnsi="宋体" w:cs="宋体"/>
          <w:szCs w:val="21"/>
        </w:rPr>
        <w:t>预算金额：人民币1</w:t>
      </w:r>
      <w:r>
        <w:rPr>
          <w:rFonts w:ascii="宋体" w:hAnsi="宋体" w:cs="宋体"/>
          <w:szCs w:val="21"/>
        </w:rPr>
        <w:t>5</w:t>
      </w:r>
      <w:r>
        <w:rPr>
          <w:rFonts w:hint="eastAsia" w:ascii="宋体" w:hAnsi="宋体" w:cs="宋体"/>
          <w:szCs w:val="21"/>
        </w:rPr>
        <w:t>0万元整</w:t>
      </w:r>
    </w:p>
    <w:p>
      <w:pPr>
        <w:spacing w:line="360" w:lineRule="auto"/>
        <w:ind w:firstLine="420" w:firstLineChars="200"/>
        <w:rPr>
          <w:rFonts w:ascii="宋体" w:hAnsi="宋体" w:cs="宋体"/>
          <w:szCs w:val="21"/>
        </w:rPr>
      </w:pPr>
      <w:r>
        <w:rPr>
          <w:rFonts w:hint="eastAsia" w:ascii="宋体" w:hAnsi="宋体" w:cs="宋体"/>
          <w:szCs w:val="21"/>
        </w:rPr>
        <w:t>最高限价：人民币1</w:t>
      </w:r>
      <w:r>
        <w:rPr>
          <w:rFonts w:ascii="宋体" w:hAnsi="宋体" w:cs="宋体"/>
          <w:szCs w:val="21"/>
        </w:rPr>
        <w:t>5</w:t>
      </w:r>
      <w:r>
        <w:rPr>
          <w:rFonts w:hint="eastAsia" w:ascii="宋体" w:hAnsi="宋体" w:cs="宋体"/>
          <w:szCs w:val="21"/>
        </w:rPr>
        <w:t>0万元整，投标人报价不得超过最高限价，否则将作无效投标处理。</w:t>
      </w:r>
    </w:p>
    <w:p>
      <w:pPr>
        <w:spacing w:line="360" w:lineRule="auto"/>
        <w:ind w:firstLine="420" w:firstLineChars="200"/>
        <w:rPr>
          <w:rFonts w:ascii="宋体" w:hAnsi="宋体" w:cs="宋体"/>
          <w:szCs w:val="21"/>
        </w:rPr>
      </w:pPr>
      <w:r>
        <w:rPr>
          <w:rFonts w:hint="eastAsia" w:ascii="宋体" w:hAnsi="宋体" w:cs="宋体"/>
          <w:szCs w:val="21"/>
        </w:rPr>
        <w:t>采购需求：闭式冷却水塔及管路采购及相关服务项目,具体要求详见招标文件</w:t>
      </w:r>
    </w:p>
    <w:p>
      <w:pPr>
        <w:widowControl/>
        <w:spacing w:line="360" w:lineRule="auto"/>
        <w:ind w:firstLine="420" w:firstLineChars="200"/>
        <w:jc w:val="left"/>
        <w:rPr>
          <w:rFonts w:ascii="宋体" w:hAnsi="宋体" w:cs="宋体"/>
          <w:szCs w:val="21"/>
        </w:rPr>
      </w:pPr>
      <w:r>
        <w:rPr>
          <w:rFonts w:hint="eastAsia" w:ascii="宋体" w:hAnsi="宋体" w:cs="宋体"/>
          <w:szCs w:val="21"/>
        </w:rPr>
        <w:t>合同履行期限：合同签订起40天内到货安装及验收（具体以招标人要求为准）</w:t>
      </w:r>
    </w:p>
    <w:p>
      <w:pPr>
        <w:widowControl/>
        <w:spacing w:line="360" w:lineRule="auto"/>
        <w:ind w:firstLine="422" w:firstLineChars="200"/>
        <w:jc w:val="left"/>
        <w:rPr>
          <w:rFonts w:ascii="宋体" w:hAnsi="宋体" w:cs="宋体"/>
          <w:szCs w:val="21"/>
        </w:rPr>
      </w:pPr>
      <w:r>
        <w:rPr>
          <w:rFonts w:hint="eastAsia" w:ascii="宋体" w:hAnsi="宋体" w:cs="宋体"/>
          <w:b/>
          <w:bCs/>
          <w:szCs w:val="21"/>
        </w:rPr>
        <w:t>本项目不接受进口产品</w:t>
      </w:r>
    </w:p>
    <w:p>
      <w:pPr>
        <w:spacing w:line="360" w:lineRule="auto"/>
        <w:ind w:left="420" w:leftChars="200"/>
        <w:rPr>
          <w:rFonts w:ascii="宋体" w:hAnsi="宋体" w:cs="宋体"/>
          <w:b/>
          <w:bCs/>
          <w:szCs w:val="21"/>
        </w:rPr>
      </w:pPr>
      <w:r>
        <w:rPr>
          <w:rFonts w:hint="eastAsia" w:ascii="宋体" w:hAnsi="宋体" w:cs="宋体"/>
          <w:b/>
          <w:bCs/>
          <w:szCs w:val="21"/>
        </w:rPr>
        <w:t>本项目不接受联合体投标</w:t>
      </w:r>
    </w:p>
    <w:p>
      <w:pPr>
        <w:pStyle w:val="3"/>
        <w:spacing w:before="0" w:after="0" w:line="360" w:lineRule="auto"/>
        <w:rPr>
          <w:rFonts w:ascii="宋体" w:hAnsi="宋体" w:eastAsia="宋体" w:cs="宋体"/>
          <w:b w:val="0"/>
          <w:sz w:val="21"/>
          <w:szCs w:val="21"/>
        </w:rPr>
      </w:pPr>
      <w:bookmarkStart w:id="16" w:name="_Toc35393622"/>
      <w:bookmarkStart w:id="17" w:name="_Toc17133"/>
      <w:bookmarkStart w:id="18" w:name="_Toc28359003"/>
      <w:bookmarkStart w:id="19" w:name="_Toc35393791"/>
      <w:bookmarkStart w:id="20" w:name="_Toc14998"/>
      <w:bookmarkStart w:id="21" w:name="_Toc16848"/>
      <w:bookmarkStart w:id="22" w:name="_Toc32645"/>
      <w:bookmarkStart w:id="23" w:name="_Toc28359080"/>
      <w:r>
        <w:rPr>
          <w:rFonts w:hint="eastAsia" w:ascii="宋体" w:hAnsi="宋体" w:eastAsia="宋体" w:cs="宋体"/>
          <w:b w:val="0"/>
          <w:sz w:val="21"/>
          <w:szCs w:val="21"/>
        </w:rPr>
        <w:t>二、申请人的资格要求：</w:t>
      </w:r>
      <w:bookmarkEnd w:id="16"/>
      <w:bookmarkEnd w:id="17"/>
      <w:bookmarkEnd w:id="18"/>
      <w:bookmarkEnd w:id="19"/>
      <w:bookmarkEnd w:id="20"/>
      <w:bookmarkEnd w:id="21"/>
      <w:bookmarkEnd w:id="22"/>
      <w:bookmarkEnd w:id="23"/>
    </w:p>
    <w:p>
      <w:pPr>
        <w:autoSpaceDE w:val="0"/>
        <w:autoSpaceDN w:val="0"/>
        <w:adjustRightInd w:val="0"/>
        <w:snapToGrid w:val="0"/>
        <w:spacing w:line="360" w:lineRule="auto"/>
        <w:ind w:firstLine="420"/>
        <w:rPr>
          <w:rFonts w:ascii="宋体" w:hAnsi="宋体" w:cs="宋体"/>
          <w:b/>
          <w:bCs/>
          <w:szCs w:val="21"/>
          <w:lang w:val="zh-CN"/>
        </w:rPr>
      </w:pPr>
      <w:r>
        <w:rPr>
          <w:rFonts w:hint="eastAsia" w:ascii="宋体" w:hAnsi="宋体" w:cs="宋体"/>
          <w:b/>
          <w:bCs/>
          <w:szCs w:val="21"/>
          <w:lang w:val="zh-CN"/>
        </w:rPr>
        <w:t>1.满足《中华人民共和国政府采购法》第二十二条规定：</w:t>
      </w:r>
    </w:p>
    <w:p>
      <w:pPr>
        <w:autoSpaceDE w:val="0"/>
        <w:autoSpaceDN w:val="0"/>
        <w:adjustRightInd w:val="0"/>
        <w:snapToGrid w:val="0"/>
        <w:spacing w:line="360" w:lineRule="auto"/>
        <w:ind w:firstLine="420"/>
        <w:rPr>
          <w:rFonts w:ascii="宋体" w:hAnsi="宋体" w:cs="宋体"/>
          <w:szCs w:val="21"/>
          <w:lang w:val="zh-CN"/>
        </w:rPr>
      </w:pPr>
      <w:r>
        <w:rPr>
          <w:rFonts w:hint="eastAsia" w:ascii="宋体" w:hAnsi="宋体" w:cs="宋体"/>
          <w:szCs w:val="21"/>
          <w:lang w:val="zh-CN"/>
        </w:rPr>
        <w:t>（1）具有独立承担民事责任的能力（提供法人或者其他组织的营业执照，自然人的身份证明）；</w:t>
      </w:r>
    </w:p>
    <w:p>
      <w:pPr>
        <w:autoSpaceDE w:val="0"/>
        <w:autoSpaceDN w:val="0"/>
        <w:adjustRightInd w:val="0"/>
        <w:snapToGrid w:val="0"/>
        <w:spacing w:line="360" w:lineRule="auto"/>
        <w:ind w:firstLine="420"/>
        <w:rPr>
          <w:rFonts w:ascii="宋体" w:hAnsi="宋体" w:cs="宋体"/>
          <w:szCs w:val="21"/>
          <w:lang w:val="zh-CN"/>
        </w:rPr>
      </w:pPr>
      <w:r>
        <w:rPr>
          <w:rFonts w:hint="eastAsia" w:ascii="宋体" w:hAnsi="宋体" w:cs="宋体"/>
          <w:szCs w:val="21"/>
          <w:lang w:val="zh-CN"/>
        </w:rPr>
        <w:t>（2）具有良好的商业信誉和健全的财务会计制度（提供参加本次政府采购活动前半年内（至少一个月）的会计报表或者上一年度的财务审计报告，</w:t>
      </w:r>
      <w:r>
        <w:rPr>
          <w:rFonts w:hint="eastAsia" w:ascii="宋体" w:hAnsi="宋体" w:cs="宋体"/>
          <w:szCs w:val="21"/>
        </w:rPr>
        <w:t>成立不足一年的提供开标前半年内的银行资信证明复印件。</w:t>
      </w:r>
      <w:r>
        <w:rPr>
          <w:rFonts w:hint="eastAsia" w:ascii="宋体" w:hAnsi="宋体" w:cs="宋体"/>
          <w:szCs w:val="21"/>
          <w:lang w:val="zh-CN"/>
        </w:rPr>
        <w:t>）；</w:t>
      </w:r>
    </w:p>
    <w:p>
      <w:pPr>
        <w:autoSpaceDE w:val="0"/>
        <w:autoSpaceDN w:val="0"/>
        <w:adjustRightInd w:val="0"/>
        <w:snapToGrid w:val="0"/>
        <w:spacing w:line="360" w:lineRule="auto"/>
        <w:ind w:firstLine="420"/>
        <w:rPr>
          <w:rFonts w:ascii="宋体" w:hAnsi="宋体" w:cs="宋体"/>
          <w:szCs w:val="21"/>
          <w:lang w:val="zh-CN"/>
        </w:rPr>
      </w:pPr>
      <w:r>
        <w:rPr>
          <w:rFonts w:hint="eastAsia" w:ascii="宋体" w:hAnsi="宋体" w:cs="宋体"/>
          <w:szCs w:val="21"/>
          <w:lang w:val="zh-CN"/>
        </w:rPr>
        <w:t>（3）具有履行合同所必需的设备和专业技术能力（根据项目需求提供履行合同所必需的设备和专业技术能力的证明材料）；</w:t>
      </w:r>
    </w:p>
    <w:p>
      <w:pPr>
        <w:autoSpaceDE w:val="0"/>
        <w:autoSpaceDN w:val="0"/>
        <w:adjustRightInd w:val="0"/>
        <w:snapToGrid w:val="0"/>
        <w:spacing w:line="360" w:lineRule="auto"/>
        <w:ind w:firstLine="420"/>
        <w:rPr>
          <w:rFonts w:ascii="宋体" w:hAnsi="宋体" w:cs="宋体"/>
          <w:szCs w:val="21"/>
          <w:lang w:val="zh-CN"/>
        </w:rPr>
      </w:pPr>
      <w:r>
        <w:rPr>
          <w:rFonts w:hint="eastAsia" w:ascii="宋体" w:hAnsi="宋体" w:cs="宋体"/>
          <w:szCs w:val="21"/>
          <w:lang w:val="zh-CN"/>
        </w:rPr>
        <w:t>（4）有依法缴纳税收和社会保障资金的良好记录（提供参加本次政府采购活动前半年内（至少一个月）依法缴纳税收和社会保障资金的相关材料）；</w:t>
      </w:r>
    </w:p>
    <w:p>
      <w:pPr>
        <w:autoSpaceDE w:val="0"/>
        <w:autoSpaceDN w:val="0"/>
        <w:adjustRightInd w:val="0"/>
        <w:snapToGrid w:val="0"/>
        <w:spacing w:line="360" w:lineRule="auto"/>
        <w:ind w:firstLine="420"/>
        <w:rPr>
          <w:rFonts w:ascii="宋体" w:hAnsi="宋体" w:cs="宋体"/>
          <w:szCs w:val="21"/>
          <w:lang w:val="zh-CN"/>
        </w:rPr>
      </w:pPr>
      <w:r>
        <w:rPr>
          <w:rFonts w:hint="eastAsia" w:ascii="宋体" w:hAnsi="宋体" w:cs="宋体"/>
          <w:szCs w:val="21"/>
          <w:lang w:val="zh-CN"/>
        </w:rPr>
        <w:t>（5）参加政府采购活动前三年内，在经营活动中没有重大违法记录（提供参加本次政府采购活动前3年内在经营活动中没有重大违法记录的书面声明）（格式见后附件）。</w:t>
      </w:r>
    </w:p>
    <w:p>
      <w:pPr>
        <w:autoSpaceDE w:val="0"/>
        <w:autoSpaceDN w:val="0"/>
        <w:adjustRightInd w:val="0"/>
        <w:snapToGrid w:val="0"/>
        <w:spacing w:line="360" w:lineRule="auto"/>
        <w:ind w:firstLine="420"/>
        <w:rPr>
          <w:rFonts w:ascii="宋体" w:hAnsi="宋体" w:cs="宋体"/>
          <w:szCs w:val="21"/>
          <w:lang w:val="zh-CN"/>
        </w:rPr>
      </w:pPr>
      <w:r>
        <w:rPr>
          <w:rFonts w:hint="eastAsia" w:ascii="宋体" w:hAnsi="宋体" w:cs="宋体"/>
          <w:szCs w:val="21"/>
          <w:lang w:val="zh-CN"/>
        </w:rPr>
        <w:t>（6）法律、行政法规规定的其他条件。</w:t>
      </w:r>
    </w:p>
    <w:p>
      <w:pPr>
        <w:autoSpaceDE w:val="0"/>
        <w:autoSpaceDN w:val="0"/>
        <w:adjustRightInd w:val="0"/>
        <w:snapToGrid w:val="0"/>
        <w:spacing w:line="360" w:lineRule="auto"/>
        <w:ind w:firstLine="422" w:firstLineChars="200"/>
        <w:rPr>
          <w:rFonts w:ascii="宋体" w:hAnsi="宋体" w:cs="宋体"/>
          <w:szCs w:val="21"/>
          <w:lang w:val="zh-CN"/>
        </w:rPr>
      </w:pPr>
      <w:r>
        <w:rPr>
          <w:rFonts w:hint="eastAsia" w:ascii="宋体" w:hAnsi="宋体" w:cs="宋体"/>
          <w:b/>
          <w:bCs/>
          <w:szCs w:val="21"/>
          <w:lang w:val="zh-CN"/>
        </w:rPr>
        <w:t>2.落实政府采购政策需满足的资格要求：</w:t>
      </w:r>
      <w:r>
        <w:rPr>
          <w:rFonts w:hint="eastAsia" w:ascii="宋体" w:hAnsi="宋体" w:cs="宋体"/>
          <w:szCs w:val="21"/>
          <w:lang w:val="zh-CN"/>
        </w:rPr>
        <w:t>本项目若符合扶持福利企业、促进残疾人就业、支持中小微企业、支持监狱和戒毒企业等政策，将落实相关政策。</w:t>
      </w:r>
    </w:p>
    <w:p>
      <w:pPr>
        <w:autoSpaceDE w:val="0"/>
        <w:autoSpaceDN w:val="0"/>
        <w:adjustRightInd w:val="0"/>
        <w:snapToGrid w:val="0"/>
        <w:spacing w:line="360" w:lineRule="auto"/>
        <w:ind w:firstLine="420"/>
        <w:rPr>
          <w:rFonts w:ascii="宋体" w:hAnsi="宋体" w:cs="宋体"/>
          <w:szCs w:val="21"/>
          <w:lang w:val="zh-CN"/>
        </w:rPr>
      </w:pPr>
      <w:r>
        <w:rPr>
          <w:rFonts w:hint="eastAsia" w:ascii="宋体" w:hAnsi="宋体" w:cs="宋体"/>
          <w:b/>
          <w:bCs/>
          <w:szCs w:val="21"/>
          <w:lang w:val="zh-CN"/>
        </w:rPr>
        <w:t>3.本项目的特定资格要求：</w:t>
      </w:r>
      <w:r>
        <w:rPr>
          <w:rFonts w:hint="eastAsia" w:ascii="宋体" w:hAnsi="宋体" w:cs="宋体"/>
          <w:b/>
          <w:bCs/>
          <w:szCs w:val="21"/>
        </w:rPr>
        <w:t>无</w:t>
      </w:r>
    </w:p>
    <w:p>
      <w:pPr>
        <w:autoSpaceDE w:val="0"/>
        <w:autoSpaceDN w:val="0"/>
        <w:adjustRightInd w:val="0"/>
        <w:snapToGrid w:val="0"/>
        <w:spacing w:line="360" w:lineRule="auto"/>
        <w:ind w:firstLine="420"/>
        <w:rPr>
          <w:rFonts w:ascii="宋体" w:hAnsi="宋体" w:cs="宋体"/>
          <w:b/>
          <w:bCs/>
          <w:szCs w:val="21"/>
          <w:lang w:val="zh-CN"/>
        </w:rPr>
      </w:pPr>
      <w:r>
        <w:rPr>
          <w:rFonts w:hint="eastAsia" w:ascii="宋体" w:hAnsi="宋体" w:cs="宋体"/>
          <w:b/>
          <w:bCs/>
          <w:szCs w:val="21"/>
          <w:lang w:val="zh-CN"/>
        </w:rPr>
        <w:t>4.拒绝下述供应商参加本次采购活动：</w:t>
      </w:r>
    </w:p>
    <w:p>
      <w:pPr>
        <w:autoSpaceDE w:val="0"/>
        <w:autoSpaceDN w:val="0"/>
        <w:adjustRightInd w:val="0"/>
        <w:snapToGrid w:val="0"/>
        <w:spacing w:line="360" w:lineRule="auto"/>
        <w:ind w:firstLine="420"/>
        <w:rPr>
          <w:rFonts w:ascii="宋体" w:hAnsi="宋体" w:cs="宋体"/>
          <w:szCs w:val="21"/>
          <w:lang w:val="zh-CN"/>
        </w:rPr>
      </w:pPr>
      <w:r>
        <w:rPr>
          <w:rFonts w:hint="eastAsia" w:ascii="宋体" w:hAnsi="宋体" w:cs="宋体"/>
          <w:szCs w:val="21"/>
          <w:lang w:val="zh-CN"/>
        </w:rPr>
        <w:t>（1）供应商单位负责人为同一人或者存在直接控股、管理关系的不同供应商，不得参加同一合同项下的政府采购活动。</w:t>
      </w:r>
    </w:p>
    <w:p>
      <w:pPr>
        <w:autoSpaceDE w:val="0"/>
        <w:autoSpaceDN w:val="0"/>
        <w:adjustRightInd w:val="0"/>
        <w:snapToGrid w:val="0"/>
        <w:spacing w:line="360" w:lineRule="auto"/>
        <w:ind w:firstLine="420"/>
        <w:rPr>
          <w:rFonts w:ascii="宋体" w:hAnsi="宋体" w:cs="宋体"/>
          <w:szCs w:val="21"/>
          <w:lang w:val="zh-CN"/>
        </w:rPr>
      </w:pPr>
      <w:r>
        <w:rPr>
          <w:rFonts w:hint="eastAsia" w:ascii="宋体" w:hAnsi="宋体" w:cs="宋体"/>
          <w:szCs w:val="21"/>
          <w:lang w:val="zh-CN"/>
        </w:rPr>
        <w:t>（2）凡为采购项目提供整体设计、规范编制或者项目管理、监理、检测等服务的供应商，不得再参加本项目的采购活动。</w:t>
      </w:r>
    </w:p>
    <w:p>
      <w:pPr>
        <w:autoSpaceDE w:val="0"/>
        <w:autoSpaceDN w:val="0"/>
        <w:adjustRightInd w:val="0"/>
        <w:snapToGrid w:val="0"/>
        <w:spacing w:line="360" w:lineRule="auto"/>
        <w:ind w:firstLine="420"/>
        <w:rPr>
          <w:rFonts w:ascii="宋体" w:hAnsi="宋体" w:cs="宋体"/>
          <w:szCs w:val="21"/>
          <w:lang w:val="zh-CN"/>
        </w:rPr>
      </w:pPr>
      <w:r>
        <w:rPr>
          <w:rFonts w:hint="eastAsia" w:ascii="宋体" w:hAnsi="宋体" w:cs="宋体"/>
          <w:szCs w:val="21"/>
          <w:lang w:val="zh-CN"/>
        </w:rPr>
        <w:t>（3）供应商被“信用中国”网站（www.creditchina.gov.cn）、“中国政府采购网"(www.ccgp.gov.cn)列入失信被执行人、税收违法黑名单、政府采购严重违法失信行为记录名单。</w:t>
      </w:r>
    </w:p>
    <w:p>
      <w:pPr>
        <w:pStyle w:val="3"/>
        <w:spacing w:before="0" w:after="0" w:line="360" w:lineRule="auto"/>
        <w:rPr>
          <w:rFonts w:ascii="宋体" w:hAnsi="宋体" w:eastAsia="宋体" w:cs="宋体"/>
          <w:b w:val="0"/>
          <w:sz w:val="21"/>
          <w:szCs w:val="21"/>
        </w:rPr>
      </w:pPr>
      <w:bookmarkStart w:id="24" w:name="_Toc35393623"/>
      <w:bookmarkStart w:id="25" w:name="_Toc14041"/>
      <w:bookmarkStart w:id="26" w:name="_Toc5867"/>
      <w:bookmarkStart w:id="27" w:name="_Toc35393792"/>
      <w:bookmarkStart w:id="28" w:name="_Toc27838"/>
      <w:bookmarkStart w:id="29" w:name="_Toc22548"/>
      <w:bookmarkStart w:id="30" w:name="_Toc519"/>
      <w:bookmarkStart w:id="31" w:name="_Toc28996"/>
      <w:bookmarkStart w:id="32" w:name="_Toc21732"/>
      <w:bookmarkStart w:id="33" w:name="_Toc13391"/>
      <w:r>
        <w:rPr>
          <w:rFonts w:hint="eastAsia" w:ascii="宋体" w:hAnsi="宋体" w:eastAsia="宋体" w:cs="宋体"/>
          <w:b w:val="0"/>
          <w:sz w:val="21"/>
          <w:szCs w:val="21"/>
        </w:rPr>
        <w:t>三、获取招标文件</w:t>
      </w:r>
      <w:bookmarkEnd w:id="24"/>
      <w:bookmarkEnd w:id="25"/>
      <w:bookmarkEnd w:id="26"/>
      <w:bookmarkEnd w:id="27"/>
      <w:bookmarkEnd w:id="28"/>
      <w:bookmarkEnd w:id="29"/>
    </w:p>
    <w:p>
      <w:pPr>
        <w:spacing w:line="360" w:lineRule="auto"/>
        <w:ind w:firstLine="540"/>
        <w:rPr>
          <w:rFonts w:ascii="宋体" w:hAnsi="宋体" w:cs="宋体"/>
          <w:szCs w:val="21"/>
        </w:rPr>
      </w:pPr>
      <w:r>
        <w:rPr>
          <w:rFonts w:hint="eastAsia" w:ascii="宋体" w:hAnsi="宋体" w:cs="宋体"/>
          <w:szCs w:val="21"/>
        </w:rPr>
        <w:t>1、时间</w:t>
      </w:r>
      <w:r>
        <w:rPr>
          <w:rFonts w:hint="eastAsia" w:ascii="宋体" w:hAnsi="宋体" w:cs="宋体"/>
          <w:szCs w:val="21"/>
          <w:highlight w:val="none"/>
        </w:rPr>
        <w:t>：</w:t>
      </w:r>
      <w:r>
        <w:rPr>
          <w:rFonts w:hint="eastAsia" w:ascii="宋体" w:hAnsi="宋体" w:cs="宋体"/>
          <w:szCs w:val="21"/>
          <w:highlight w:val="none"/>
          <w:lang w:val="en-US" w:eastAsia="zh-CN"/>
        </w:rPr>
        <w:t>自公告发布之日</w:t>
      </w:r>
      <w:r>
        <w:rPr>
          <w:rFonts w:hint="eastAsia" w:ascii="宋体" w:hAnsi="宋体" w:cs="宋体"/>
          <w:szCs w:val="21"/>
          <w:highlight w:val="none"/>
        </w:rPr>
        <w:t>起至2024年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16</w:t>
      </w:r>
      <w:r>
        <w:rPr>
          <w:rFonts w:hint="eastAsia" w:ascii="宋体" w:hAnsi="宋体" w:cs="宋体"/>
          <w:szCs w:val="21"/>
          <w:highlight w:val="none"/>
        </w:rPr>
        <w:t>日，每天</w:t>
      </w:r>
      <w:r>
        <w:rPr>
          <w:rFonts w:hint="eastAsia" w:ascii="宋体" w:hAnsi="宋体" w:cs="宋体"/>
          <w:szCs w:val="21"/>
        </w:rPr>
        <w:t>上午09：00至11：00，下午14:00至17:00（北京时间，法定节假日除外）</w:t>
      </w:r>
    </w:p>
    <w:p>
      <w:pPr>
        <w:spacing w:line="360" w:lineRule="auto"/>
        <w:ind w:firstLine="540"/>
        <w:rPr>
          <w:rFonts w:ascii="宋体" w:hAnsi="宋体" w:cs="宋体"/>
          <w:szCs w:val="21"/>
        </w:rPr>
      </w:pPr>
      <w:r>
        <w:rPr>
          <w:rFonts w:hint="eastAsia" w:ascii="宋体" w:hAnsi="宋体" w:cs="宋体"/>
          <w:szCs w:val="21"/>
        </w:rPr>
        <w:t>2、地点：本项目仅接受在线获取采购文件。</w:t>
      </w:r>
    </w:p>
    <w:p>
      <w:pPr>
        <w:spacing w:line="360" w:lineRule="auto"/>
        <w:ind w:firstLine="540"/>
        <w:rPr>
          <w:rFonts w:ascii="宋体" w:hAnsi="宋体" w:cs="宋体"/>
          <w:szCs w:val="21"/>
        </w:rPr>
      </w:pPr>
      <w:r>
        <w:rPr>
          <w:rFonts w:hint="eastAsia" w:ascii="宋体" w:hAnsi="宋体" w:cs="宋体"/>
          <w:szCs w:val="21"/>
        </w:rPr>
        <w:t>3、方式：在线获取</w:t>
      </w:r>
      <w:r>
        <w:rPr>
          <w:rFonts w:hint="eastAsia" w:ascii="宋体" w:hAnsi="宋体" w:cs="宋体"/>
          <w:szCs w:val="21"/>
        </w:rPr>
        <w:tab/>
      </w:r>
    </w:p>
    <w:p>
      <w:pPr>
        <w:spacing w:line="360" w:lineRule="auto"/>
        <w:ind w:firstLine="540"/>
        <w:rPr>
          <w:rFonts w:ascii="宋体" w:hAnsi="宋体" w:cs="宋体"/>
          <w:szCs w:val="21"/>
        </w:rPr>
      </w:pPr>
      <w:r>
        <w:rPr>
          <w:rFonts w:hint="eastAsia" w:ascii="宋体" w:hAnsi="宋体" w:cs="宋体"/>
          <w:szCs w:val="21"/>
        </w:rPr>
        <w:t>4、售价：每包¥500.00（采购文件售后一概不退）</w:t>
      </w:r>
    </w:p>
    <w:p>
      <w:pPr>
        <w:spacing w:line="360" w:lineRule="auto"/>
        <w:ind w:firstLine="540"/>
        <w:rPr>
          <w:rFonts w:ascii="宋体" w:hAnsi="宋体" w:cs="宋体"/>
          <w:szCs w:val="21"/>
        </w:rPr>
      </w:pPr>
      <w:r>
        <w:rPr>
          <w:rFonts w:hint="eastAsia" w:ascii="宋体" w:hAnsi="宋体" w:cs="宋体"/>
          <w:szCs w:val="21"/>
        </w:rPr>
        <w:t>5、凭以下材料获取：</w:t>
      </w:r>
    </w:p>
    <w:p>
      <w:pPr>
        <w:spacing w:line="360" w:lineRule="auto"/>
        <w:ind w:firstLine="540"/>
        <w:rPr>
          <w:rFonts w:ascii="宋体" w:hAnsi="宋体" w:cs="宋体"/>
          <w:szCs w:val="21"/>
        </w:rPr>
      </w:pPr>
      <w:r>
        <w:rPr>
          <w:rFonts w:hint="eastAsia" w:ascii="宋体" w:hAnsi="宋体" w:cs="宋体"/>
          <w:szCs w:val="21"/>
        </w:rPr>
        <w:t>（1）获取采购文件材料：1、营业执照【复印件加盖公章，扫描件】2、介绍信或者法定代表人授权书【原件加盖公章，扫描件，开具日期不得早于公告日期】3、委托代理人身份证【复印件加盖公章，扫描件】4、采购文件获取表【word版】</w:t>
      </w:r>
    </w:p>
    <w:p>
      <w:pPr>
        <w:spacing w:line="360" w:lineRule="auto"/>
        <w:ind w:firstLine="540"/>
        <w:rPr>
          <w:rFonts w:ascii="宋体" w:hAnsi="宋体" w:cs="宋体"/>
          <w:szCs w:val="21"/>
        </w:rPr>
      </w:pPr>
      <w:r>
        <w:rPr>
          <w:rFonts w:hint="eastAsia" w:ascii="宋体" w:hAnsi="宋体" w:cs="宋体"/>
          <w:szCs w:val="21"/>
        </w:rPr>
        <w:t>（2）凡有意参加本次采购活动的供应商必须提供第（1）条规定证件获取，不按规定获取的视为获取失败。</w:t>
      </w:r>
    </w:p>
    <w:p>
      <w:pPr>
        <w:spacing w:line="360" w:lineRule="auto"/>
        <w:ind w:firstLine="540"/>
        <w:rPr>
          <w:rFonts w:ascii="宋体" w:hAnsi="宋体" w:cs="宋体"/>
          <w:szCs w:val="21"/>
        </w:rPr>
      </w:pPr>
      <w:r>
        <w:rPr>
          <w:rFonts w:hint="eastAsia" w:ascii="宋体" w:hAnsi="宋体" w:cs="宋体"/>
          <w:szCs w:val="21"/>
        </w:rPr>
        <w:t>6、我司提供了在线获取采购文件服务，操作流程如下：</w:t>
      </w:r>
    </w:p>
    <w:p>
      <w:pPr>
        <w:spacing w:line="360" w:lineRule="auto"/>
        <w:ind w:firstLine="540"/>
        <w:rPr>
          <w:rFonts w:ascii="宋体" w:hAnsi="宋体" w:cs="宋体"/>
          <w:szCs w:val="21"/>
        </w:rPr>
      </w:pPr>
      <w:r>
        <w:rPr>
          <w:rFonts w:hint="eastAsia" w:ascii="宋体" w:hAnsi="宋体" w:cs="宋体"/>
          <w:szCs w:val="21"/>
        </w:rPr>
        <w:t>（1）、用微信关注我司公众号“苏美达达天下”。</w:t>
      </w:r>
    </w:p>
    <w:p>
      <w:pPr>
        <w:spacing w:line="360" w:lineRule="auto"/>
        <w:ind w:firstLine="540"/>
        <w:rPr>
          <w:rFonts w:ascii="宋体" w:hAnsi="宋体" w:cs="宋体"/>
          <w:szCs w:val="21"/>
        </w:rPr>
      </w:pPr>
      <w:r>
        <w:rPr>
          <w:rFonts w:hint="eastAsia" w:ascii="宋体" w:hAnsi="宋体" w:cs="宋体"/>
          <w:szCs w:val="21"/>
        </w:rPr>
        <w:t>（2）、进入公众号-“在线服务”-“在线购标”。</w:t>
      </w:r>
    </w:p>
    <w:p>
      <w:pPr>
        <w:spacing w:line="360" w:lineRule="auto"/>
        <w:ind w:firstLine="540"/>
        <w:rPr>
          <w:rFonts w:ascii="宋体" w:hAnsi="宋体" w:cs="宋体"/>
          <w:szCs w:val="21"/>
        </w:rPr>
      </w:pPr>
      <w:r>
        <w:rPr>
          <w:rFonts w:hint="eastAsia" w:ascii="宋体" w:hAnsi="宋体" w:cs="宋体"/>
          <w:szCs w:val="21"/>
        </w:rPr>
        <w:t>（3）、输入本项目的项目编号，举例：0664-2460SUMEC069D，点击查询。添加您所要获取的采购文件到购物车，输入投标单位名称、领购人信息以及发票信息，提交订单并确认微信支付，支付完成后将获取采购文件材料扫描件和采购文件获取表word版一并发至采购代理机构联系人：张静雯，邮箱：1327828533@qq.com即可，我们将会把采购文件电子版发送到领购人的邮箱。</w:t>
      </w:r>
    </w:p>
    <w:p>
      <w:pPr>
        <w:spacing w:line="360" w:lineRule="auto"/>
        <w:ind w:firstLine="540"/>
        <w:rPr>
          <w:rFonts w:ascii="宋体" w:hAnsi="宋体" w:cs="宋体"/>
          <w:szCs w:val="21"/>
        </w:rPr>
      </w:pPr>
      <w:r>
        <w:rPr>
          <w:rFonts w:hint="eastAsia" w:ascii="宋体" w:hAnsi="宋体" w:cs="宋体"/>
          <w:szCs w:val="21"/>
        </w:rPr>
        <w:t>注意事项：</w:t>
      </w:r>
    </w:p>
    <w:p>
      <w:pPr>
        <w:spacing w:line="360" w:lineRule="auto"/>
        <w:ind w:firstLine="540"/>
        <w:rPr>
          <w:rFonts w:ascii="宋体" w:hAnsi="宋体" w:cs="宋体"/>
          <w:szCs w:val="21"/>
        </w:rPr>
      </w:pPr>
      <w:r>
        <w:rPr>
          <w:rFonts w:hint="eastAsia" w:ascii="宋体" w:hAnsi="宋体" w:cs="宋体"/>
          <w:szCs w:val="21"/>
        </w:rPr>
        <w:t>（1）确保领购人邮箱真实准确无误，电子版采购文件将发送到此邮箱。</w:t>
      </w:r>
    </w:p>
    <w:p>
      <w:pPr>
        <w:spacing w:line="360" w:lineRule="auto"/>
        <w:ind w:firstLine="540"/>
        <w:rPr>
          <w:rFonts w:ascii="宋体" w:hAnsi="宋体" w:cs="宋体"/>
          <w:szCs w:val="21"/>
        </w:rPr>
      </w:pPr>
      <w:r>
        <w:rPr>
          <w:rFonts w:hint="eastAsia" w:ascii="宋体" w:hAnsi="宋体" w:cs="宋体"/>
          <w:szCs w:val="21"/>
        </w:rPr>
        <w:t>（2）目前标书费发票支持开标现场领取或者邮寄。</w:t>
      </w:r>
    </w:p>
    <w:p>
      <w:pPr>
        <w:spacing w:line="360" w:lineRule="auto"/>
        <w:ind w:firstLine="540"/>
        <w:rPr>
          <w:rFonts w:ascii="宋体" w:hAnsi="宋体" w:cs="宋体"/>
          <w:szCs w:val="21"/>
        </w:rPr>
      </w:pPr>
      <w:r>
        <w:rPr>
          <w:rFonts w:hint="eastAsia" w:ascii="宋体" w:hAnsi="宋体" w:cs="宋体"/>
          <w:szCs w:val="21"/>
        </w:rPr>
        <w:t>（3）“苏美达达天下”付款平台填写的投标单位名称必须与开票信息一致。如不一致投标人自行承担后果。请认真填写领购人信息及发票信息。</w:t>
      </w:r>
    </w:p>
    <w:p>
      <w:pPr>
        <w:spacing w:line="360" w:lineRule="auto"/>
        <w:ind w:firstLine="540"/>
        <w:rPr>
          <w:rFonts w:ascii="宋体" w:hAnsi="宋体" w:cs="宋体"/>
          <w:szCs w:val="21"/>
        </w:rPr>
      </w:pPr>
      <w:r>
        <w:rPr>
          <w:rFonts w:hint="eastAsia" w:ascii="宋体" w:hAnsi="宋体" w:cs="宋体"/>
          <w:szCs w:val="21"/>
        </w:rPr>
        <w:t>（4）非采购代理机构或平台公司原因，发票一经开具不予退换。</w:t>
      </w:r>
    </w:p>
    <w:p>
      <w:pPr>
        <w:pStyle w:val="3"/>
        <w:spacing w:before="0" w:after="0" w:line="360" w:lineRule="auto"/>
        <w:rPr>
          <w:rFonts w:ascii="宋体" w:hAnsi="宋体" w:eastAsia="宋体" w:cs="宋体"/>
          <w:b w:val="0"/>
          <w:sz w:val="21"/>
          <w:szCs w:val="21"/>
        </w:rPr>
      </w:pPr>
      <w:bookmarkStart w:id="34" w:name="_Toc28359082"/>
      <w:bookmarkStart w:id="35" w:name="_Toc28359005"/>
      <w:bookmarkStart w:id="36" w:name="_Toc35393624"/>
      <w:bookmarkStart w:id="37" w:name="_Toc35393793"/>
      <w:bookmarkStart w:id="38" w:name="_Toc767"/>
      <w:bookmarkStart w:id="39" w:name="_Toc1461"/>
      <w:bookmarkStart w:id="40" w:name="_Toc9532"/>
      <w:bookmarkStart w:id="41" w:name="_Toc3381"/>
      <w:r>
        <w:rPr>
          <w:rFonts w:hint="eastAsia" w:ascii="宋体" w:hAnsi="宋体" w:eastAsia="宋体" w:cs="宋体"/>
          <w:b w:val="0"/>
          <w:sz w:val="21"/>
          <w:szCs w:val="21"/>
        </w:rPr>
        <w:t>四、提交投标文件</w:t>
      </w:r>
      <w:bookmarkEnd w:id="34"/>
      <w:bookmarkEnd w:id="35"/>
      <w:r>
        <w:rPr>
          <w:rFonts w:hint="eastAsia" w:ascii="宋体" w:hAnsi="宋体" w:eastAsia="宋体" w:cs="宋体"/>
          <w:b w:val="0"/>
          <w:sz w:val="21"/>
          <w:szCs w:val="21"/>
        </w:rPr>
        <w:t>截止时间、开标时间和地点</w:t>
      </w:r>
      <w:bookmarkEnd w:id="36"/>
      <w:bookmarkEnd w:id="37"/>
      <w:bookmarkEnd w:id="38"/>
      <w:bookmarkEnd w:id="39"/>
      <w:bookmarkEnd w:id="40"/>
      <w:bookmarkEnd w:id="41"/>
    </w:p>
    <w:p>
      <w:pPr>
        <w:spacing w:line="360" w:lineRule="auto"/>
        <w:ind w:firstLine="420" w:firstLineChars="200"/>
        <w:rPr>
          <w:rFonts w:ascii="宋体" w:hAnsi="宋体" w:cs="宋体"/>
          <w:szCs w:val="21"/>
          <w:highlight w:val="none"/>
        </w:rPr>
      </w:pPr>
      <w:r>
        <w:rPr>
          <w:rFonts w:hint="eastAsia" w:ascii="宋体" w:hAnsi="宋体" w:cs="宋体"/>
          <w:szCs w:val="21"/>
        </w:rPr>
        <w:t>1、投标截止时</w:t>
      </w:r>
      <w:r>
        <w:rPr>
          <w:rFonts w:hint="eastAsia" w:ascii="宋体" w:hAnsi="宋体" w:cs="宋体"/>
          <w:szCs w:val="21"/>
          <w:highlight w:val="none"/>
        </w:rPr>
        <w:t>间：2024年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30</w:t>
      </w:r>
      <w:r>
        <w:rPr>
          <w:rFonts w:hint="eastAsia" w:ascii="宋体" w:hAnsi="宋体" w:cs="宋体"/>
          <w:szCs w:val="21"/>
          <w:highlight w:val="none"/>
        </w:rPr>
        <w:t>日</w:t>
      </w:r>
      <w:r>
        <w:rPr>
          <w:rFonts w:hint="eastAsia" w:ascii="宋体" w:hAnsi="宋体" w:cs="宋体"/>
          <w:szCs w:val="21"/>
          <w:highlight w:val="none"/>
          <w:lang w:val="en-US" w:eastAsia="zh-CN"/>
        </w:rPr>
        <w:t>09</w:t>
      </w:r>
      <w:r>
        <w:rPr>
          <w:rFonts w:hint="eastAsia" w:ascii="宋体" w:hAnsi="宋体" w:cs="宋体"/>
          <w:szCs w:val="21"/>
          <w:highlight w:val="none"/>
        </w:rPr>
        <w:t>点</w:t>
      </w:r>
      <w:r>
        <w:rPr>
          <w:rFonts w:hint="eastAsia" w:ascii="宋体" w:hAnsi="宋体" w:cs="宋体"/>
          <w:szCs w:val="21"/>
          <w:highlight w:val="none"/>
          <w:lang w:val="en-US" w:eastAsia="zh-CN"/>
        </w:rPr>
        <w:t>3</w:t>
      </w:r>
      <w:r>
        <w:rPr>
          <w:rFonts w:hint="eastAsia" w:ascii="宋体" w:hAnsi="宋体" w:cs="宋体"/>
          <w:szCs w:val="21"/>
          <w:highlight w:val="none"/>
        </w:rPr>
        <w:t>0分（北京时间）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2、开标时间：2024年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30</w:t>
      </w:r>
      <w:r>
        <w:rPr>
          <w:rFonts w:hint="eastAsia" w:ascii="宋体" w:hAnsi="宋体" w:cs="宋体"/>
          <w:szCs w:val="21"/>
          <w:highlight w:val="none"/>
        </w:rPr>
        <w:t>日</w:t>
      </w:r>
      <w:r>
        <w:rPr>
          <w:rFonts w:hint="eastAsia" w:ascii="宋体" w:hAnsi="宋体" w:cs="宋体"/>
          <w:szCs w:val="21"/>
          <w:highlight w:val="none"/>
          <w:lang w:val="en-US" w:eastAsia="zh-CN"/>
        </w:rPr>
        <w:t>09</w:t>
      </w:r>
      <w:r>
        <w:rPr>
          <w:rFonts w:hint="eastAsia" w:ascii="宋体" w:hAnsi="宋体" w:cs="宋体"/>
          <w:szCs w:val="21"/>
          <w:highlight w:val="none"/>
        </w:rPr>
        <w:t>点</w:t>
      </w:r>
      <w:r>
        <w:rPr>
          <w:rFonts w:hint="eastAsia" w:ascii="宋体" w:hAnsi="宋体" w:cs="宋体"/>
          <w:szCs w:val="21"/>
          <w:highlight w:val="none"/>
          <w:lang w:val="en-US" w:eastAsia="zh-CN"/>
        </w:rPr>
        <w:t>3</w:t>
      </w:r>
      <w:r>
        <w:rPr>
          <w:rFonts w:hint="eastAsia" w:ascii="宋体" w:hAnsi="宋体" w:cs="宋体"/>
          <w:szCs w:val="21"/>
          <w:highlight w:val="none"/>
        </w:rPr>
        <w:t>0分（北京时间）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3、地点：南京市长江路198号苏美达大厦辅楼30</w:t>
      </w:r>
      <w:r>
        <w:rPr>
          <w:rFonts w:hint="eastAsia" w:ascii="宋体" w:hAnsi="宋体" w:cs="宋体"/>
          <w:szCs w:val="21"/>
          <w:highlight w:val="none"/>
          <w:lang w:val="en-US" w:eastAsia="zh-CN"/>
        </w:rPr>
        <w:t>4</w:t>
      </w:r>
      <w:r>
        <w:rPr>
          <w:rFonts w:hint="eastAsia" w:ascii="宋体" w:hAnsi="宋体" w:cs="宋体"/>
          <w:szCs w:val="21"/>
          <w:highlight w:val="none"/>
        </w:rPr>
        <w:t>会议室</w:t>
      </w:r>
    </w:p>
    <w:p>
      <w:pPr>
        <w:pStyle w:val="3"/>
        <w:spacing w:before="0" w:after="0" w:line="360" w:lineRule="auto"/>
        <w:rPr>
          <w:rFonts w:ascii="宋体" w:hAnsi="宋体" w:eastAsia="宋体" w:cs="宋体"/>
          <w:b w:val="0"/>
          <w:sz w:val="21"/>
          <w:szCs w:val="21"/>
        </w:rPr>
      </w:pPr>
      <w:bookmarkStart w:id="42" w:name="_Toc28359084"/>
      <w:bookmarkStart w:id="43" w:name="_Toc29562"/>
      <w:bookmarkStart w:id="44" w:name="_Toc28359007"/>
      <w:bookmarkStart w:id="45" w:name="_Toc35393794"/>
      <w:bookmarkStart w:id="46" w:name="_Toc17505"/>
      <w:bookmarkStart w:id="47" w:name="_Toc22322"/>
      <w:bookmarkStart w:id="48" w:name="_Toc24398"/>
      <w:bookmarkStart w:id="49" w:name="_Toc35393625"/>
      <w:r>
        <w:rPr>
          <w:rFonts w:hint="eastAsia" w:ascii="宋体" w:hAnsi="宋体" w:eastAsia="宋体" w:cs="宋体"/>
          <w:b w:val="0"/>
          <w:sz w:val="21"/>
          <w:szCs w:val="21"/>
        </w:rPr>
        <w:t>五、公告期限</w:t>
      </w:r>
      <w:bookmarkEnd w:id="42"/>
      <w:bookmarkEnd w:id="43"/>
      <w:bookmarkEnd w:id="44"/>
      <w:bookmarkEnd w:id="45"/>
      <w:bookmarkEnd w:id="46"/>
      <w:bookmarkEnd w:id="47"/>
      <w:bookmarkEnd w:id="48"/>
      <w:bookmarkEnd w:id="49"/>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pPr>
        <w:pStyle w:val="3"/>
        <w:spacing w:before="0" w:after="0" w:line="360" w:lineRule="auto"/>
        <w:rPr>
          <w:rFonts w:ascii="宋体" w:hAnsi="宋体" w:eastAsia="宋体" w:cs="宋体"/>
          <w:b w:val="0"/>
          <w:sz w:val="21"/>
          <w:szCs w:val="21"/>
        </w:rPr>
      </w:pPr>
      <w:bookmarkStart w:id="50" w:name="_Toc32050"/>
      <w:bookmarkStart w:id="51" w:name="_Toc35393795"/>
      <w:bookmarkStart w:id="52" w:name="_Toc8791"/>
      <w:bookmarkStart w:id="53" w:name="_Toc21801"/>
      <w:bookmarkStart w:id="54" w:name="_Toc4251"/>
      <w:bookmarkStart w:id="55" w:name="_Toc35393626"/>
      <w:r>
        <w:rPr>
          <w:rFonts w:hint="eastAsia" w:ascii="宋体" w:hAnsi="宋体" w:eastAsia="宋体" w:cs="宋体"/>
          <w:b w:val="0"/>
          <w:sz w:val="21"/>
          <w:szCs w:val="21"/>
        </w:rPr>
        <w:t>六、其他补充事宜</w:t>
      </w:r>
      <w:bookmarkEnd w:id="50"/>
      <w:bookmarkEnd w:id="51"/>
      <w:bookmarkEnd w:id="52"/>
      <w:bookmarkEnd w:id="53"/>
      <w:bookmarkEnd w:id="54"/>
      <w:bookmarkEnd w:id="55"/>
    </w:p>
    <w:p>
      <w:pPr>
        <w:pStyle w:val="53"/>
        <w:spacing w:line="360" w:lineRule="auto"/>
      </w:pPr>
      <w:r>
        <w:rPr>
          <w:rFonts w:hint="eastAsia" w:ascii="宋体" w:hAnsi="宋体" w:cs="宋体"/>
          <w:szCs w:val="21"/>
        </w:rPr>
        <w:t>无。</w:t>
      </w:r>
    </w:p>
    <w:p>
      <w:pPr>
        <w:pStyle w:val="3"/>
        <w:spacing w:before="0" w:after="0" w:line="360" w:lineRule="auto"/>
        <w:rPr>
          <w:rFonts w:ascii="宋体" w:hAnsi="宋体" w:eastAsia="宋体" w:cs="宋体"/>
          <w:b w:val="0"/>
          <w:sz w:val="21"/>
          <w:szCs w:val="21"/>
        </w:rPr>
      </w:pPr>
      <w:bookmarkStart w:id="56" w:name="_Toc35393796"/>
      <w:bookmarkStart w:id="57" w:name="_Toc28359085"/>
      <w:bookmarkStart w:id="58" w:name="_Toc28359008"/>
      <w:bookmarkStart w:id="59" w:name="_Toc196"/>
      <w:bookmarkStart w:id="60" w:name="_Toc11606"/>
      <w:bookmarkStart w:id="61" w:name="_Toc35393627"/>
      <w:bookmarkStart w:id="62" w:name="_Toc22132"/>
      <w:bookmarkStart w:id="63" w:name="_Toc1141"/>
      <w:r>
        <w:rPr>
          <w:rFonts w:hint="eastAsia" w:ascii="宋体" w:hAnsi="宋体" w:eastAsia="宋体" w:cs="宋体"/>
          <w:b w:val="0"/>
          <w:sz w:val="21"/>
          <w:szCs w:val="21"/>
        </w:rPr>
        <w:t>七、对本次招标提出询问，请按以下方式联系。</w:t>
      </w:r>
      <w:bookmarkEnd w:id="56"/>
      <w:bookmarkEnd w:id="57"/>
      <w:bookmarkEnd w:id="58"/>
      <w:bookmarkEnd w:id="59"/>
      <w:bookmarkEnd w:id="60"/>
      <w:bookmarkEnd w:id="61"/>
      <w:bookmarkEnd w:id="62"/>
      <w:bookmarkEnd w:id="63"/>
    </w:p>
    <w:p>
      <w:pPr>
        <w:spacing w:line="360" w:lineRule="auto"/>
        <w:ind w:firstLine="420" w:firstLineChars="200"/>
        <w:jc w:val="left"/>
        <w:rPr>
          <w:rFonts w:ascii="宋体" w:hAnsi="宋体" w:cs="宋体"/>
          <w:szCs w:val="21"/>
        </w:rPr>
      </w:pPr>
      <w:bookmarkStart w:id="64" w:name="_Toc35393806"/>
      <w:bookmarkStart w:id="65" w:name="_Toc28359019"/>
      <w:bookmarkStart w:id="66" w:name="_Toc28359096"/>
      <w:bookmarkStart w:id="67" w:name="_Toc35393637"/>
      <w:r>
        <w:rPr>
          <w:rFonts w:hint="eastAsia" w:ascii="宋体" w:hAnsi="宋体" w:cs="宋体"/>
          <w:szCs w:val="21"/>
        </w:rPr>
        <w:t>1.采购人信息</w:t>
      </w:r>
      <w:bookmarkEnd w:id="64"/>
      <w:bookmarkEnd w:id="65"/>
      <w:bookmarkEnd w:id="66"/>
      <w:bookmarkEnd w:id="67"/>
    </w:p>
    <w:p>
      <w:pPr>
        <w:spacing w:line="360" w:lineRule="auto"/>
        <w:ind w:firstLine="420" w:firstLineChars="200"/>
        <w:jc w:val="left"/>
        <w:rPr>
          <w:rFonts w:ascii="宋体" w:hAnsi="宋体" w:cs="宋体"/>
          <w:szCs w:val="21"/>
        </w:rPr>
      </w:pPr>
      <w:r>
        <w:rPr>
          <w:rFonts w:hint="eastAsia" w:ascii="宋体" w:hAnsi="宋体" w:cs="宋体"/>
          <w:szCs w:val="21"/>
        </w:rPr>
        <w:t>名    称：江苏省电子信息产品质量监督检验研究院（江苏省信息安全测评中心）</w:t>
      </w:r>
    </w:p>
    <w:p>
      <w:pPr>
        <w:spacing w:line="360" w:lineRule="auto"/>
        <w:ind w:firstLine="420" w:firstLineChars="200"/>
        <w:jc w:val="left"/>
        <w:rPr>
          <w:rFonts w:ascii="宋体" w:hAnsi="宋体" w:cs="宋体"/>
          <w:szCs w:val="21"/>
        </w:rPr>
      </w:pPr>
      <w:bookmarkStart w:id="68" w:name="_Toc28359020"/>
      <w:bookmarkStart w:id="69" w:name="_Toc35393638"/>
      <w:bookmarkStart w:id="70" w:name="_Toc35393807"/>
      <w:bookmarkStart w:id="71" w:name="_Toc28359097"/>
      <w:r>
        <w:rPr>
          <w:rFonts w:hint="eastAsia" w:ascii="宋体" w:hAnsi="宋体" w:cs="宋体"/>
          <w:szCs w:val="21"/>
        </w:rPr>
        <w:t>联系人：吴晟</w:t>
      </w:r>
    </w:p>
    <w:p>
      <w:pPr>
        <w:spacing w:line="360" w:lineRule="auto"/>
        <w:ind w:firstLine="420" w:firstLineChars="200"/>
        <w:jc w:val="left"/>
        <w:rPr>
          <w:rFonts w:ascii="宋体" w:hAnsi="宋体" w:cs="宋体"/>
          <w:szCs w:val="21"/>
        </w:rPr>
      </w:pPr>
      <w:r>
        <w:rPr>
          <w:rFonts w:hint="eastAsia" w:ascii="宋体" w:hAnsi="宋体" w:cs="宋体"/>
          <w:szCs w:val="21"/>
        </w:rPr>
        <w:t>联系地址：江苏省无锡市滨湖区金水路100号</w:t>
      </w:r>
    </w:p>
    <w:p>
      <w:pPr>
        <w:spacing w:line="360" w:lineRule="auto"/>
        <w:ind w:firstLine="420" w:firstLineChars="200"/>
        <w:jc w:val="left"/>
        <w:rPr>
          <w:rFonts w:ascii="宋体" w:hAnsi="宋体" w:cs="宋体"/>
          <w:szCs w:val="21"/>
        </w:rPr>
      </w:pPr>
      <w:r>
        <w:rPr>
          <w:rFonts w:hint="eastAsia" w:ascii="宋体" w:hAnsi="宋体" w:cs="宋体"/>
          <w:szCs w:val="21"/>
        </w:rPr>
        <w:t>联系电话：0510-83561105</w:t>
      </w:r>
    </w:p>
    <w:p>
      <w:pPr>
        <w:spacing w:line="360" w:lineRule="auto"/>
        <w:ind w:firstLine="420" w:firstLineChars="200"/>
        <w:jc w:val="left"/>
        <w:rPr>
          <w:rFonts w:ascii="宋体" w:hAnsi="宋体" w:cs="宋体"/>
          <w:szCs w:val="21"/>
        </w:rPr>
      </w:pPr>
      <w:r>
        <w:rPr>
          <w:rFonts w:hint="eastAsia" w:ascii="宋体" w:hAnsi="宋体" w:cs="宋体"/>
          <w:szCs w:val="21"/>
        </w:rPr>
        <w:t>2.采购代理机构信息</w:t>
      </w:r>
      <w:bookmarkEnd w:id="68"/>
      <w:bookmarkEnd w:id="69"/>
      <w:bookmarkEnd w:id="70"/>
      <w:bookmarkEnd w:id="71"/>
    </w:p>
    <w:p>
      <w:pPr>
        <w:spacing w:line="360" w:lineRule="auto"/>
        <w:ind w:firstLine="420" w:firstLineChars="200"/>
        <w:jc w:val="left"/>
        <w:rPr>
          <w:rFonts w:ascii="宋体" w:hAnsi="宋体" w:cs="宋体"/>
          <w:szCs w:val="21"/>
        </w:rPr>
      </w:pPr>
      <w:r>
        <w:rPr>
          <w:rFonts w:hint="eastAsia" w:ascii="宋体" w:hAnsi="宋体" w:cs="宋体"/>
          <w:szCs w:val="21"/>
        </w:rPr>
        <w:t>名    称：苏美达国际技术贸易有限公司</w:t>
      </w:r>
    </w:p>
    <w:p>
      <w:pPr>
        <w:spacing w:line="360" w:lineRule="auto"/>
        <w:ind w:firstLine="420" w:firstLineChars="200"/>
        <w:jc w:val="left"/>
        <w:rPr>
          <w:rFonts w:ascii="宋体" w:hAnsi="宋体" w:cs="宋体"/>
          <w:szCs w:val="21"/>
        </w:rPr>
      </w:pPr>
      <w:r>
        <w:rPr>
          <w:rFonts w:hint="eastAsia" w:ascii="宋体" w:hAnsi="宋体" w:cs="宋体"/>
          <w:szCs w:val="21"/>
        </w:rPr>
        <w:t>地　　址：南京市长江路198号苏美达大厦5楼502室</w:t>
      </w:r>
    </w:p>
    <w:p>
      <w:pPr>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联系方式：025-8453245</w:t>
      </w:r>
      <w:r>
        <w:rPr>
          <w:rFonts w:hint="eastAsia" w:ascii="宋体" w:hAnsi="宋体" w:cs="宋体"/>
          <w:szCs w:val="21"/>
          <w:lang w:val="en-US" w:eastAsia="zh-CN"/>
        </w:rPr>
        <w:t>8</w:t>
      </w:r>
    </w:p>
    <w:p>
      <w:pPr>
        <w:spacing w:line="360" w:lineRule="auto"/>
        <w:ind w:firstLine="420" w:firstLineChars="200"/>
        <w:jc w:val="left"/>
        <w:rPr>
          <w:rFonts w:ascii="宋体" w:hAnsi="宋体" w:cs="宋体"/>
          <w:szCs w:val="21"/>
        </w:rPr>
      </w:pPr>
      <w:bookmarkStart w:id="72" w:name="_Toc35393808"/>
      <w:bookmarkStart w:id="73" w:name="_Toc28359021"/>
      <w:bookmarkStart w:id="74" w:name="_Toc35393639"/>
      <w:bookmarkStart w:id="75" w:name="_Toc28359098"/>
      <w:r>
        <w:rPr>
          <w:rFonts w:hint="eastAsia" w:ascii="宋体" w:hAnsi="宋体" w:cs="宋体"/>
          <w:szCs w:val="21"/>
        </w:rPr>
        <w:t>3.项目联系方式</w:t>
      </w:r>
      <w:bookmarkEnd w:id="72"/>
      <w:bookmarkEnd w:id="73"/>
      <w:bookmarkEnd w:id="74"/>
      <w:bookmarkEnd w:id="75"/>
    </w:p>
    <w:p>
      <w:pPr>
        <w:spacing w:line="360" w:lineRule="auto"/>
        <w:ind w:firstLine="420" w:firstLineChars="200"/>
        <w:jc w:val="left"/>
        <w:rPr>
          <w:rFonts w:ascii="宋体" w:hAnsi="宋体" w:cs="宋体"/>
          <w:szCs w:val="21"/>
        </w:rPr>
      </w:pPr>
      <w:r>
        <w:rPr>
          <w:rFonts w:hint="eastAsia" w:ascii="宋体" w:hAnsi="宋体" w:cs="宋体"/>
          <w:szCs w:val="21"/>
        </w:rPr>
        <w:t>项目联系人：杨 扬、张静雯</w:t>
      </w:r>
    </w:p>
    <w:p>
      <w:pPr>
        <w:spacing w:line="360" w:lineRule="auto"/>
        <w:ind w:firstLine="420" w:firstLineChars="200"/>
        <w:jc w:val="left"/>
        <w:rPr>
          <w:rFonts w:hint="eastAsia" w:ascii="宋体" w:hAnsi="宋体" w:eastAsia="宋体" w:cs="宋体"/>
          <w:szCs w:val="21"/>
          <w:u w:val="single"/>
          <w:lang w:eastAsia="zh-CN"/>
        </w:rPr>
      </w:pPr>
      <w:r>
        <w:rPr>
          <w:rFonts w:hint="eastAsia" w:ascii="宋体" w:hAnsi="宋体" w:cs="宋体"/>
          <w:szCs w:val="21"/>
        </w:rPr>
        <w:t>电　　 话：025-84532455、025-8453245</w:t>
      </w:r>
      <w:r>
        <w:rPr>
          <w:rFonts w:hint="eastAsia" w:ascii="宋体" w:hAnsi="宋体" w:cs="宋体"/>
          <w:szCs w:val="21"/>
          <w:lang w:val="en-US" w:eastAsia="zh-CN"/>
        </w:rPr>
        <w:t>8</w:t>
      </w:r>
    </w:p>
    <w:p>
      <w:pPr>
        <w:jc w:val="left"/>
        <w:rPr>
          <w:rFonts w:ascii="黑体" w:eastAsia="黑体"/>
          <w:b/>
          <w:sz w:val="28"/>
          <w:szCs w:val="28"/>
        </w:rPr>
      </w:pPr>
      <w:bookmarkStart w:id="76" w:name="_Toc2970"/>
      <w:bookmarkStart w:id="77" w:name="_Toc15690"/>
      <w:r>
        <w:rPr>
          <w:rFonts w:hint="eastAsia" w:ascii="黑体" w:eastAsia="黑体"/>
          <w:b/>
          <w:sz w:val="28"/>
          <w:szCs w:val="28"/>
        </w:rPr>
        <w:br w:type="page"/>
      </w:r>
    </w:p>
    <w:p>
      <w:pPr>
        <w:spacing w:line="440" w:lineRule="exact"/>
        <w:jc w:val="center"/>
        <w:outlineLvl w:val="0"/>
        <w:rPr>
          <w:rFonts w:ascii="黑体" w:eastAsia="黑体"/>
          <w:b/>
          <w:sz w:val="28"/>
          <w:szCs w:val="28"/>
        </w:rPr>
      </w:pPr>
      <w:bookmarkStart w:id="78" w:name="_Toc1747"/>
      <w:r>
        <w:rPr>
          <w:rFonts w:hint="eastAsia" w:ascii="黑体" w:eastAsia="黑体"/>
          <w:b/>
          <w:sz w:val="28"/>
          <w:szCs w:val="28"/>
        </w:rPr>
        <w:t>第二章 投标人须知</w:t>
      </w:r>
      <w:bookmarkEnd w:id="30"/>
      <w:bookmarkEnd w:id="31"/>
      <w:bookmarkEnd w:id="32"/>
      <w:bookmarkEnd w:id="33"/>
      <w:bookmarkEnd w:id="76"/>
      <w:bookmarkEnd w:id="77"/>
      <w:bookmarkEnd w:id="78"/>
    </w:p>
    <w:p>
      <w:pPr>
        <w:widowControl/>
        <w:shd w:val="clear" w:color="auto" w:fill="FFFFFF"/>
        <w:spacing w:line="440" w:lineRule="exact"/>
        <w:rPr>
          <w:rFonts w:ascii="宋体" w:hAnsi="宋体"/>
          <w:b/>
          <w:bCs/>
          <w:kern w:val="0"/>
          <w:sz w:val="24"/>
        </w:rPr>
      </w:pPr>
      <w:r>
        <w:rPr>
          <w:rFonts w:hint="eastAsia" w:ascii="宋体" w:hAnsi="宋体"/>
          <w:b/>
          <w:bCs/>
          <w:kern w:val="0"/>
          <w:sz w:val="24"/>
        </w:rPr>
        <w:t>投标人须知前附表</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37" w:type="dxa"/>
            <w:vAlign w:val="center"/>
          </w:tcPr>
          <w:p>
            <w:pPr>
              <w:spacing w:line="440" w:lineRule="exact"/>
              <w:jc w:val="center"/>
              <w:rPr>
                <w:rFonts w:ascii="宋体" w:hAnsi="宋体"/>
                <w:b/>
                <w:sz w:val="24"/>
              </w:rPr>
            </w:pPr>
            <w:r>
              <w:rPr>
                <w:rFonts w:hint="eastAsia" w:ascii="宋体" w:hAnsi="宋体"/>
                <w:b/>
                <w:sz w:val="24"/>
              </w:rPr>
              <w:t>序号</w:t>
            </w:r>
          </w:p>
        </w:tc>
        <w:tc>
          <w:tcPr>
            <w:tcW w:w="8310" w:type="dxa"/>
            <w:vAlign w:val="center"/>
          </w:tcPr>
          <w:p>
            <w:pPr>
              <w:spacing w:line="440" w:lineRule="exact"/>
              <w:jc w:val="center"/>
              <w:rPr>
                <w:rFonts w:ascii="宋体" w:hAnsi="宋体"/>
                <w:b/>
                <w:sz w:val="24"/>
              </w:rPr>
            </w:pPr>
            <w:r>
              <w:rPr>
                <w:rFonts w:hint="eastAsia" w:ascii="宋体" w:hAnsi="宋体"/>
                <w:b/>
                <w:sz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37" w:type="dxa"/>
            <w:vAlign w:val="center"/>
          </w:tcPr>
          <w:p>
            <w:pPr>
              <w:spacing w:line="440" w:lineRule="exact"/>
              <w:jc w:val="center"/>
              <w:rPr>
                <w:rFonts w:ascii="宋体" w:hAnsi="宋体"/>
                <w:b/>
                <w:szCs w:val="21"/>
              </w:rPr>
            </w:pPr>
            <w:r>
              <w:rPr>
                <w:rFonts w:hint="eastAsia" w:ascii="宋体" w:hAnsi="宋体"/>
                <w:b/>
                <w:szCs w:val="21"/>
              </w:rPr>
              <w:t>1</w:t>
            </w:r>
          </w:p>
        </w:tc>
        <w:tc>
          <w:tcPr>
            <w:tcW w:w="8310" w:type="dxa"/>
            <w:vAlign w:val="center"/>
          </w:tcPr>
          <w:p>
            <w:pPr>
              <w:widowControl/>
              <w:shd w:val="clear" w:color="auto" w:fill="FFFFFF"/>
              <w:spacing w:line="440" w:lineRule="exact"/>
              <w:rPr>
                <w:rFonts w:ascii="宋体" w:hAnsi="宋体"/>
                <w:kern w:val="0"/>
                <w:szCs w:val="21"/>
              </w:rPr>
            </w:pPr>
            <w:r>
              <w:rPr>
                <w:rFonts w:hint="eastAsia" w:ascii="宋体" w:hAnsi="宋体"/>
                <w:kern w:val="0"/>
                <w:szCs w:val="21"/>
              </w:rPr>
              <w:t>项目名称：</w:t>
            </w:r>
            <w:r>
              <w:rPr>
                <w:rFonts w:hint="eastAsia" w:ascii="宋体" w:hAnsi="宋体" w:cs="宋体"/>
                <w:szCs w:val="21"/>
              </w:rPr>
              <w:t>江苏省电子信息产品质量监督检验研究院</w:t>
            </w:r>
            <w:r>
              <w:rPr>
                <w:rFonts w:hint="eastAsia" w:ascii="宋体" w:hAnsi="宋体"/>
                <w:szCs w:val="21"/>
              </w:rPr>
              <w:t>闭式冷却水塔及管路采购及相关服务项目</w:t>
            </w:r>
          </w:p>
          <w:p>
            <w:pPr>
              <w:widowControl/>
              <w:shd w:val="clear" w:color="auto" w:fill="FFFFFF"/>
              <w:spacing w:line="440" w:lineRule="exact"/>
              <w:rPr>
                <w:rFonts w:ascii="宋体" w:hAnsi="宋体"/>
                <w:b/>
                <w:szCs w:val="21"/>
              </w:rPr>
            </w:pPr>
            <w:r>
              <w:rPr>
                <w:rFonts w:hint="eastAsia" w:ascii="宋体" w:hAnsi="宋体"/>
                <w:kern w:val="0"/>
                <w:szCs w:val="21"/>
              </w:rPr>
              <w:t>项目编号：0664-2460SUMEC069D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37" w:type="dxa"/>
            <w:vAlign w:val="center"/>
          </w:tcPr>
          <w:p>
            <w:pPr>
              <w:spacing w:line="440" w:lineRule="exact"/>
              <w:jc w:val="center"/>
              <w:rPr>
                <w:rFonts w:ascii="宋体" w:hAnsi="宋体"/>
                <w:b/>
                <w:szCs w:val="21"/>
              </w:rPr>
            </w:pPr>
            <w:r>
              <w:rPr>
                <w:rFonts w:hint="eastAsia" w:ascii="宋体" w:hAnsi="宋体"/>
                <w:b/>
                <w:szCs w:val="21"/>
              </w:rPr>
              <w:t>2</w:t>
            </w:r>
          </w:p>
        </w:tc>
        <w:tc>
          <w:tcPr>
            <w:tcW w:w="8310" w:type="dxa"/>
            <w:vAlign w:val="center"/>
          </w:tcPr>
          <w:p>
            <w:pPr>
              <w:widowControl/>
              <w:shd w:val="clear" w:color="auto" w:fill="FFFFFF"/>
              <w:spacing w:line="440" w:lineRule="exact"/>
              <w:rPr>
                <w:szCs w:val="21"/>
              </w:rPr>
            </w:pPr>
            <w:r>
              <w:rPr>
                <w:rFonts w:hint="eastAsia"/>
                <w:b/>
                <w:bCs/>
                <w:szCs w:val="21"/>
              </w:rPr>
              <w:t>投标有效期</w:t>
            </w:r>
            <w:r>
              <w:rPr>
                <w:rFonts w:hint="eastAsia"/>
                <w:szCs w:val="21"/>
              </w:rPr>
              <w:t>：开标之日起90天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37" w:type="dxa"/>
            <w:vAlign w:val="center"/>
          </w:tcPr>
          <w:p>
            <w:pPr>
              <w:spacing w:line="440" w:lineRule="exact"/>
              <w:jc w:val="center"/>
              <w:rPr>
                <w:rFonts w:ascii="宋体" w:hAnsi="宋体"/>
                <w:b/>
                <w:szCs w:val="21"/>
              </w:rPr>
            </w:pPr>
            <w:r>
              <w:rPr>
                <w:rFonts w:hint="eastAsia" w:ascii="宋体" w:hAnsi="宋体"/>
                <w:b/>
                <w:szCs w:val="21"/>
              </w:rPr>
              <w:t>3</w:t>
            </w:r>
          </w:p>
        </w:tc>
        <w:tc>
          <w:tcPr>
            <w:tcW w:w="8310" w:type="dxa"/>
            <w:vAlign w:val="center"/>
          </w:tcPr>
          <w:p>
            <w:pPr>
              <w:widowControl/>
              <w:shd w:val="clear" w:color="auto" w:fill="FFFFFF"/>
              <w:spacing w:line="440" w:lineRule="exact"/>
              <w:rPr>
                <w:rFonts w:ascii="宋体" w:hAnsi="宋体"/>
                <w:b/>
                <w:kern w:val="0"/>
                <w:szCs w:val="21"/>
              </w:rPr>
            </w:pPr>
            <w:r>
              <w:rPr>
                <w:rFonts w:hint="eastAsia"/>
                <w:b/>
                <w:bCs/>
                <w:szCs w:val="21"/>
              </w:rPr>
              <w:t>投标保证金：</w:t>
            </w:r>
            <w:r>
              <w:rPr>
                <w:rFonts w:hint="eastAsia" w:ascii="宋体" w:hAnsi="宋体"/>
                <w:b/>
                <w:bCs/>
                <w:kern w:val="0"/>
                <w:szCs w:val="21"/>
              </w:rPr>
              <w:t>本项目无需缴纳投标保证金。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37" w:type="dxa"/>
            <w:vAlign w:val="center"/>
          </w:tcPr>
          <w:p>
            <w:pPr>
              <w:spacing w:line="440" w:lineRule="exact"/>
              <w:jc w:val="center"/>
              <w:rPr>
                <w:rFonts w:ascii="宋体" w:hAnsi="宋体"/>
                <w:b/>
                <w:szCs w:val="21"/>
              </w:rPr>
            </w:pPr>
            <w:r>
              <w:rPr>
                <w:rFonts w:hint="eastAsia" w:ascii="宋体" w:hAnsi="宋体"/>
                <w:b/>
                <w:szCs w:val="21"/>
              </w:rPr>
              <w:t>4</w:t>
            </w:r>
          </w:p>
        </w:tc>
        <w:tc>
          <w:tcPr>
            <w:tcW w:w="8310" w:type="dxa"/>
            <w:vAlign w:val="center"/>
          </w:tcPr>
          <w:p>
            <w:pPr>
              <w:spacing w:line="440" w:lineRule="exact"/>
              <w:jc w:val="left"/>
              <w:rPr>
                <w:rFonts w:ascii="宋体" w:hAnsi="宋体"/>
                <w:b/>
                <w:bCs/>
                <w:kern w:val="0"/>
                <w:szCs w:val="21"/>
              </w:rPr>
            </w:pPr>
            <w:r>
              <w:rPr>
                <w:rFonts w:hint="eastAsia" w:ascii="宋体" w:hAnsi="宋体"/>
                <w:b/>
                <w:bCs/>
                <w:kern w:val="0"/>
                <w:szCs w:val="21"/>
              </w:rPr>
              <w:t>投标文件份数：一式陆份（壹份正本、伍份副本），电子版响应文件壹份（投标文件电子版须为投标文件盖公章（红章）正本的PDF扫描件，扫描件内容应与纸质文件完全一致。U盘形式、随纸质版文件一并提交。电子文件命名要求：单位名称+项目编号+项目名称）。每份响应文件须清楚标明“正本”或“副本”字样。</w:t>
            </w:r>
          </w:p>
          <w:p>
            <w:pPr>
              <w:spacing w:line="440" w:lineRule="exact"/>
              <w:jc w:val="left"/>
              <w:rPr>
                <w:rFonts w:ascii="宋体" w:hAnsi="宋体"/>
                <w:kern w:val="0"/>
                <w:szCs w:val="21"/>
              </w:rPr>
            </w:pPr>
            <w:r>
              <w:rPr>
                <w:rFonts w:hint="eastAsia" w:ascii="宋体" w:hAnsi="宋体"/>
                <w:b/>
                <w:bCs/>
                <w:kern w:val="0"/>
                <w:szCs w:val="21"/>
              </w:rPr>
              <w:t>注：如提交的电子版和纸质版不一致导致的后果由投标人自负。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37" w:type="dxa"/>
            <w:vAlign w:val="center"/>
          </w:tcPr>
          <w:p>
            <w:pPr>
              <w:spacing w:line="440" w:lineRule="exact"/>
              <w:jc w:val="center"/>
              <w:rPr>
                <w:rFonts w:ascii="宋体" w:hAnsi="宋体"/>
                <w:b/>
                <w:szCs w:val="21"/>
              </w:rPr>
            </w:pPr>
            <w:r>
              <w:rPr>
                <w:rFonts w:hint="eastAsia" w:ascii="宋体" w:hAnsi="宋体"/>
                <w:b/>
                <w:szCs w:val="21"/>
              </w:rPr>
              <w:t>5</w:t>
            </w:r>
          </w:p>
        </w:tc>
        <w:tc>
          <w:tcPr>
            <w:tcW w:w="8310" w:type="dxa"/>
            <w:vAlign w:val="center"/>
          </w:tcPr>
          <w:p>
            <w:pPr>
              <w:spacing w:line="440" w:lineRule="exact"/>
              <w:jc w:val="left"/>
              <w:rPr>
                <w:rFonts w:ascii="宋体" w:hAnsi="宋体"/>
                <w:kern w:val="0"/>
                <w:szCs w:val="21"/>
              </w:rPr>
            </w:pPr>
            <w:r>
              <w:rPr>
                <w:rFonts w:hint="eastAsia" w:ascii="宋体" w:hAnsi="宋体"/>
                <w:kern w:val="0"/>
                <w:szCs w:val="21"/>
              </w:rPr>
              <w:t>递交投标文件开始时间：详见招标公告</w:t>
            </w:r>
          </w:p>
          <w:p>
            <w:pPr>
              <w:spacing w:line="440" w:lineRule="exact"/>
              <w:jc w:val="left"/>
              <w:rPr>
                <w:rFonts w:ascii="宋体" w:hAnsi="宋体"/>
                <w:kern w:val="0"/>
                <w:szCs w:val="21"/>
              </w:rPr>
            </w:pPr>
            <w:r>
              <w:rPr>
                <w:rFonts w:hint="eastAsia" w:ascii="宋体" w:hAnsi="宋体"/>
                <w:kern w:val="0"/>
                <w:szCs w:val="21"/>
              </w:rPr>
              <w:t>递交投标文件截止时间：详见招标公告</w:t>
            </w:r>
          </w:p>
          <w:p>
            <w:pPr>
              <w:spacing w:line="440" w:lineRule="exact"/>
              <w:jc w:val="left"/>
              <w:rPr>
                <w:rFonts w:ascii="宋体" w:hAnsi="宋体"/>
                <w:kern w:val="0"/>
                <w:szCs w:val="21"/>
              </w:rPr>
            </w:pPr>
            <w:r>
              <w:rPr>
                <w:rFonts w:hint="eastAsia" w:ascii="宋体" w:hAnsi="宋体"/>
                <w:kern w:val="0"/>
                <w:szCs w:val="21"/>
              </w:rPr>
              <w:t>开标时间：详见招标公告</w:t>
            </w:r>
          </w:p>
          <w:p>
            <w:pPr>
              <w:spacing w:line="440" w:lineRule="exact"/>
              <w:jc w:val="left"/>
              <w:rPr>
                <w:rFonts w:ascii="宋体" w:hAnsi="宋体"/>
                <w:kern w:val="0"/>
                <w:szCs w:val="21"/>
              </w:rPr>
            </w:pPr>
            <w:r>
              <w:rPr>
                <w:rFonts w:hint="eastAsia" w:ascii="宋体" w:hAnsi="宋体"/>
                <w:kern w:val="0"/>
                <w:szCs w:val="21"/>
              </w:rPr>
              <w:t>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437" w:type="dxa"/>
            <w:vAlign w:val="center"/>
          </w:tcPr>
          <w:p>
            <w:pPr>
              <w:spacing w:line="440" w:lineRule="exact"/>
              <w:jc w:val="center"/>
              <w:rPr>
                <w:rFonts w:ascii="宋体" w:hAnsi="宋体"/>
                <w:b/>
                <w:szCs w:val="21"/>
              </w:rPr>
            </w:pPr>
            <w:r>
              <w:rPr>
                <w:rFonts w:hint="eastAsia" w:ascii="宋体" w:hAnsi="宋体"/>
                <w:b/>
                <w:szCs w:val="21"/>
              </w:rPr>
              <w:t>6</w:t>
            </w:r>
          </w:p>
        </w:tc>
        <w:tc>
          <w:tcPr>
            <w:tcW w:w="8310" w:type="dxa"/>
            <w:vAlign w:val="center"/>
          </w:tcPr>
          <w:p>
            <w:pPr>
              <w:spacing w:line="440" w:lineRule="exact"/>
              <w:rPr>
                <w:rFonts w:ascii="宋体" w:hAnsi="宋体" w:cs="宋体"/>
                <w:szCs w:val="21"/>
              </w:rPr>
            </w:pPr>
            <w:r>
              <w:rPr>
                <w:rFonts w:hint="eastAsia" w:ascii="宋体" w:hAnsi="宋体" w:cs="宋体"/>
                <w:szCs w:val="21"/>
              </w:rPr>
              <w:t>投标报价：</w:t>
            </w:r>
          </w:p>
          <w:p>
            <w:pPr>
              <w:spacing w:line="440" w:lineRule="exact"/>
              <w:rPr>
                <w:rFonts w:ascii="宋体" w:hAnsi="宋体" w:cs="宋体"/>
              </w:rPr>
            </w:pPr>
            <w:r>
              <w:rPr>
                <w:rFonts w:hint="eastAsia" w:ascii="宋体" w:hAnsi="宋体" w:cs="宋体"/>
                <w:szCs w:val="21"/>
              </w:rPr>
              <w:t>1、</w:t>
            </w:r>
            <w:r>
              <w:rPr>
                <w:rFonts w:hint="eastAsia" w:ascii="宋体" w:hAnsi="宋体" w:cs="宋体"/>
              </w:rPr>
              <w:t>报用户指定地点现场交货人民币价，包含一切费用；</w:t>
            </w:r>
          </w:p>
          <w:p>
            <w:pPr>
              <w:spacing w:line="440" w:lineRule="exact"/>
              <w:rPr>
                <w:rFonts w:ascii="宋体" w:hAnsi="宋体"/>
                <w:szCs w:val="21"/>
              </w:rPr>
            </w:pPr>
            <w:r>
              <w:rPr>
                <w:rStyle w:val="44"/>
                <w:rFonts w:hint="eastAsia" w:ascii="宋体" w:hAnsi="宋体" w:cs="宋体"/>
              </w:rPr>
              <w:t>2、投标报价既要有投标总价和分项报价，也要有每种型号规格设备的单价及明细报价；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437" w:type="dxa"/>
            <w:vAlign w:val="center"/>
          </w:tcPr>
          <w:p>
            <w:pPr>
              <w:spacing w:line="440" w:lineRule="exact"/>
              <w:jc w:val="center"/>
              <w:rPr>
                <w:rFonts w:ascii="宋体" w:hAnsi="宋体"/>
                <w:b/>
                <w:szCs w:val="21"/>
              </w:rPr>
            </w:pPr>
            <w:r>
              <w:rPr>
                <w:rFonts w:hint="eastAsia" w:ascii="宋体" w:hAnsi="宋体"/>
                <w:b/>
                <w:szCs w:val="21"/>
              </w:rPr>
              <w:t>7</w:t>
            </w:r>
          </w:p>
        </w:tc>
        <w:tc>
          <w:tcPr>
            <w:tcW w:w="8310" w:type="dxa"/>
            <w:vAlign w:val="center"/>
          </w:tcPr>
          <w:p>
            <w:pPr>
              <w:spacing w:line="440" w:lineRule="exact"/>
              <w:rPr>
                <w:rStyle w:val="44"/>
                <w:rFonts w:ascii="宋体" w:hAnsi="宋体" w:cs="宋体"/>
              </w:rPr>
            </w:pPr>
            <w:r>
              <w:rPr>
                <w:rStyle w:val="44"/>
                <w:rFonts w:hint="eastAsia" w:ascii="宋体" w:hAnsi="宋体" w:cs="宋体"/>
              </w:rPr>
              <w:t>现场踏勘：</w:t>
            </w:r>
          </w:p>
          <w:p>
            <w:pPr>
              <w:spacing w:line="440" w:lineRule="exact"/>
              <w:rPr>
                <w:rStyle w:val="44"/>
                <w:rFonts w:ascii="宋体" w:hAnsi="宋体" w:cs="宋体"/>
              </w:rPr>
            </w:pPr>
            <w:r>
              <w:rPr>
                <w:rStyle w:val="44"/>
                <w:rFonts w:hint="eastAsia" w:ascii="宋体" w:hAnsi="宋体" w:cs="宋体"/>
              </w:rPr>
              <w:t>因场地限制，投标人应先期自行到现场实地踏勘评估设备安装位置，确定管路走向并连接到相应用水设备或接口预留。</w:t>
            </w:r>
          </w:p>
          <w:p>
            <w:pPr>
              <w:spacing w:line="440" w:lineRule="exact"/>
              <w:rPr>
                <w:rStyle w:val="44"/>
                <w:rFonts w:ascii="宋体" w:hAnsi="宋体" w:cs="宋体"/>
              </w:rPr>
            </w:pPr>
            <w:r>
              <w:rPr>
                <w:rStyle w:val="44"/>
                <w:rFonts w:hint="eastAsia" w:ascii="宋体" w:hAnsi="宋体" w:cs="宋体"/>
              </w:rPr>
              <w:t xml:space="preserve">现场踏勘联系人及电话：赵东杰 </w:t>
            </w:r>
            <w:r>
              <w:rPr>
                <w:rStyle w:val="44"/>
                <w:rFonts w:ascii="宋体" w:hAnsi="宋体" w:cs="宋体"/>
              </w:rPr>
              <w:t>18961815895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437" w:type="dxa"/>
            <w:vAlign w:val="center"/>
          </w:tcPr>
          <w:p>
            <w:pPr>
              <w:spacing w:line="440" w:lineRule="exact"/>
              <w:jc w:val="center"/>
              <w:rPr>
                <w:rFonts w:ascii="宋体" w:hAnsi="宋体"/>
                <w:b/>
                <w:szCs w:val="21"/>
              </w:rPr>
            </w:pPr>
            <w:r>
              <w:rPr>
                <w:rFonts w:hint="eastAsia" w:ascii="宋体" w:hAnsi="宋体"/>
                <w:b/>
                <w:szCs w:val="21"/>
              </w:rPr>
              <w:t>8</w:t>
            </w:r>
          </w:p>
        </w:tc>
        <w:tc>
          <w:tcPr>
            <w:tcW w:w="8310" w:type="dxa"/>
            <w:vAlign w:val="center"/>
          </w:tcPr>
          <w:p>
            <w:pPr>
              <w:spacing w:line="440" w:lineRule="exact"/>
              <w:rPr>
                <w:rStyle w:val="44"/>
                <w:rFonts w:ascii="宋体" w:hAnsi="宋体" w:cs="宋体"/>
              </w:rPr>
            </w:pPr>
            <w:r>
              <w:rPr>
                <w:rStyle w:val="44"/>
                <w:rFonts w:hint="eastAsia" w:ascii="宋体" w:hAnsi="宋体" w:cs="宋体"/>
              </w:rPr>
              <w:t>核心产品：</w:t>
            </w:r>
            <w:r>
              <w:rPr>
                <w:rStyle w:val="44"/>
                <w:rFonts w:hint="eastAsia" w:ascii="宋体" w:hAnsi="宋体" w:cs="宋体"/>
              </w:rPr>
              <w:br w:type="textWrapping"/>
            </w:r>
            <w:r>
              <w:rPr>
                <w:rStyle w:val="44"/>
                <w:rFonts w:hint="eastAsia" w:ascii="宋体" w:hAnsi="宋体" w:cs="宋体"/>
              </w:rPr>
              <w:t>■货物类，单一产品或核心产品为：闭式冷却水塔</w:t>
            </w:r>
            <w:r>
              <w:rPr>
                <w:rStyle w:val="44"/>
                <w:rFonts w:hint="eastAsia" w:ascii="宋体" w:hAnsi="宋体" w:cs="宋体"/>
              </w:rPr>
              <w:br w:type="textWrapping"/>
            </w:r>
            <w:r>
              <w:rPr>
                <w:rStyle w:val="44"/>
                <w:rFonts w:hint="eastAsia" w:ascii="宋体" w:hAnsi="宋体" w:cs="宋体"/>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437" w:type="dxa"/>
            <w:vAlign w:val="center"/>
          </w:tcPr>
          <w:p>
            <w:pPr>
              <w:spacing w:line="440" w:lineRule="exact"/>
              <w:jc w:val="center"/>
              <w:rPr>
                <w:rFonts w:ascii="宋体" w:hAnsi="宋体"/>
                <w:b/>
                <w:szCs w:val="21"/>
              </w:rPr>
            </w:pPr>
            <w:r>
              <w:rPr>
                <w:rFonts w:hint="eastAsia" w:ascii="宋体" w:hAnsi="宋体"/>
                <w:b/>
                <w:szCs w:val="21"/>
              </w:rPr>
              <w:t>9</w:t>
            </w:r>
          </w:p>
        </w:tc>
        <w:tc>
          <w:tcPr>
            <w:tcW w:w="8310" w:type="dxa"/>
            <w:vAlign w:val="center"/>
          </w:tcPr>
          <w:p>
            <w:pPr>
              <w:spacing w:line="440" w:lineRule="exact"/>
              <w:rPr>
                <w:rStyle w:val="44"/>
                <w:rFonts w:ascii="宋体" w:hAnsi="宋体" w:cs="宋体"/>
              </w:rPr>
            </w:pPr>
            <w:r>
              <w:rPr>
                <w:rStyle w:val="44"/>
                <w:rFonts w:hint="eastAsia" w:ascii="宋体" w:hAnsi="宋体" w:cs="宋体"/>
              </w:rPr>
              <w:t>标的对应的中小企业划分标准所属行业：工业</w:t>
            </w:r>
            <w:r>
              <w:rPr>
                <w:rStyle w:val="44"/>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37" w:type="dxa"/>
            <w:vAlign w:val="center"/>
          </w:tcPr>
          <w:p>
            <w:pPr>
              <w:spacing w:line="440" w:lineRule="exact"/>
              <w:jc w:val="center"/>
              <w:rPr>
                <w:rFonts w:ascii="宋体" w:hAnsi="宋体"/>
                <w:b/>
                <w:szCs w:val="21"/>
              </w:rPr>
            </w:pPr>
            <w:r>
              <w:rPr>
                <w:rFonts w:hint="eastAsia" w:ascii="宋体" w:hAnsi="宋体"/>
                <w:b/>
                <w:szCs w:val="21"/>
              </w:rPr>
              <w:t>10</w:t>
            </w:r>
          </w:p>
        </w:tc>
        <w:tc>
          <w:tcPr>
            <w:tcW w:w="8310" w:type="dxa"/>
            <w:vAlign w:val="center"/>
          </w:tcPr>
          <w:p>
            <w:pPr>
              <w:widowControl/>
              <w:jc w:val="left"/>
              <w:rPr>
                <w:rFonts w:ascii="宋体" w:hAnsi="宋体"/>
                <w:kern w:val="0"/>
                <w:szCs w:val="21"/>
              </w:rPr>
            </w:pPr>
            <w:r>
              <w:rPr>
                <w:rFonts w:hint="eastAsia" w:ascii="宋体" w:hAnsi="宋体"/>
                <w:kern w:val="0"/>
                <w:szCs w:val="21"/>
              </w:rPr>
              <w:t>采购人：江苏省电子信息产品质量监督检验研究院（江苏省信息安全测评中心）</w:t>
            </w:r>
          </w:p>
          <w:p>
            <w:pPr>
              <w:pStyle w:val="32"/>
              <w:spacing w:before="0" w:beforeAutospacing="0" w:after="0" w:afterAutospacing="0" w:line="440" w:lineRule="exact"/>
              <w:textAlignment w:val="baseline"/>
              <w:rPr>
                <w:rFonts w:ascii="宋体" w:hAnsi="宋体" w:eastAsia="宋体"/>
                <w:color w:val="auto"/>
                <w:sz w:val="21"/>
                <w:szCs w:val="21"/>
              </w:rPr>
            </w:pPr>
            <w:r>
              <w:rPr>
                <w:rFonts w:hint="eastAsia" w:ascii="宋体" w:hAnsi="宋体" w:eastAsia="宋体"/>
                <w:color w:val="auto"/>
                <w:sz w:val="21"/>
                <w:szCs w:val="21"/>
              </w:rPr>
              <w:t>联系人：吴晟</w:t>
            </w:r>
          </w:p>
          <w:p>
            <w:pPr>
              <w:pStyle w:val="32"/>
              <w:spacing w:before="0" w:beforeAutospacing="0" w:after="0" w:afterAutospacing="0" w:line="440" w:lineRule="exact"/>
              <w:textAlignment w:val="baseline"/>
              <w:rPr>
                <w:rFonts w:ascii="宋体" w:hAnsi="宋体" w:eastAsia="宋体"/>
                <w:color w:val="auto"/>
                <w:sz w:val="21"/>
                <w:szCs w:val="21"/>
              </w:rPr>
            </w:pPr>
            <w:r>
              <w:rPr>
                <w:rFonts w:hint="eastAsia" w:ascii="宋体" w:hAnsi="宋体" w:eastAsia="宋体"/>
                <w:color w:val="auto"/>
                <w:sz w:val="21"/>
                <w:szCs w:val="21"/>
              </w:rPr>
              <w:t>联系地址：江苏省无锡市滨湖区金水路100号</w:t>
            </w:r>
          </w:p>
          <w:p>
            <w:pPr>
              <w:pStyle w:val="32"/>
              <w:spacing w:before="0" w:beforeAutospacing="0" w:after="0" w:afterAutospacing="0" w:line="440" w:lineRule="exact"/>
              <w:textAlignment w:val="baseline"/>
              <w:rPr>
                <w:rFonts w:ascii="宋体" w:hAnsi="宋体" w:eastAsia="宋体"/>
                <w:color w:val="auto"/>
                <w:sz w:val="21"/>
                <w:szCs w:val="21"/>
              </w:rPr>
            </w:pPr>
            <w:r>
              <w:rPr>
                <w:rFonts w:hint="eastAsia" w:ascii="宋体" w:hAnsi="宋体" w:eastAsia="宋体"/>
                <w:color w:val="auto"/>
                <w:sz w:val="21"/>
                <w:szCs w:val="21"/>
              </w:rPr>
              <w:t>联系电话：0510-83561105</w:t>
            </w:r>
          </w:p>
          <w:p>
            <w:pPr>
              <w:pStyle w:val="32"/>
              <w:spacing w:before="0" w:beforeAutospacing="0" w:after="0" w:afterAutospacing="0" w:line="440" w:lineRule="exact"/>
              <w:textAlignment w:val="baseline"/>
              <w:rPr>
                <w:rFonts w:ascii="宋体" w:hAnsi="宋体" w:eastAsia="宋体"/>
                <w:color w:val="auto"/>
                <w:kern w:val="2"/>
                <w:sz w:val="21"/>
                <w:szCs w:val="21"/>
              </w:rPr>
            </w:pPr>
            <w:r>
              <w:rPr>
                <w:rFonts w:hint="eastAsia" w:ascii="宋体" w:hAnsi="宋体" w:eastAsia="宋体"/>
                <w:color w:val="auto"/>
                <w:kern w:val="2"/>
                <w:sz w:val="21"/>
                <w:szCs w:val="21"/>
              </w:rPr>
              <w:t>招标代理机构：苏美达国际技术贸易有限公司</w:t>
            </w:r>
          </w:p>
          <w:p>
            <w:pPr>
              <w:pStyle w:val="32"/>
              <w:spacing w:before="0" w:beforeAutospacing="0" w:after="0" w:afterAutospacing="0" w:line="440" w:lineRule="exact"/>
              <w:textAlignment w:val="baseline"/>
              <w:rPr>
                <w:rFonts w:ascii="宋体" w:hAnsi="宋体" w:eastAsia="宋体"/>
                <w:color w:val="auto"/>
                <w:kern w:val="2"/>
                <w:sz w:val="21"/>
                <w:szCs w:val="21"/>
              </w:rPr>
            </w:pPr>
            <w:r>
              <w:rPr>
                <w:rFonts w:hint="eastAsia" w:ascii="宋体" w:hAnsi="宋体" w:eastAsia="宋体"/>
                <w:color w:val="auto"/>
                <w:kern w:val="2"/>
                <w:sz w:val="21"/>
                <w:szCs w:val="21"/>
              </w:rPr>
              <w:t>联 系 人：杨 扬、张静雯</w:t>
            </w:r>
          </w:p>
          <w:p>
            <w:pPr>
              <w:pStyle w:val="32"/>
              <w:spacing w:before="0" w:beforeAutospacing="0" w:after="0" w:afterAutospacing="0" w:line="440" w:lineRule="exact"/>
              <w:textAlignment w:val="baseline"/>
              <w:rPr>
                <w:rFonts w:hint="eastAsia" w:ascii="宋体" w:hAnsi="宋体" w:eastAsia="宋体"/>
                <w:color w:val="auto"/>
                <w:kern w:val="2"/>
                <w:sz w:val="21"/>
                <w:szCs w:val="21"/>
                <w:lang w:eastAsia="zh-CN"/>
              </w:rPr>
            </w:pPr>
            <w:r>
              <w:rPr>
                <w:rFonts w:hint="eastAsia" w:ascii="宋体" w:hAnsi="宋体" w:eastAsia="宋体"/>
                <w:color w:val="auto"/>
                <w:kern w:val="2"/>
                <w:sz w:val="21"/>
                <w:szCs w:val="21"/>
              </w:rPr>
              <w:t>联系电话：025-84532455、025-8453245</w:t>
            </w:r>
            <w:r>
              <w:rPr>
                <w:rFonts w:hint="eastAsia" w:ascii="宋体" w:hAnsi="宋体" w:eastAsia="宋体"/>
                <w:color w:val="auto"/>
                <w:kern w:val="2"/>
                <w:sz w:val="21"/>
                <w:szCs w:val="21"/>
                <w:lang w:val="en-US" w:eastAsia="zh-CN"/>
              </w:rPr>
              <w:t>8</w:t>
            </w:r>
          </w:p>
          <w:p>
            <w:pPr>
              <w:pStyle w:val="32"/>
              <w:spacing w:before="0" w:beforeAutospacing="0" w:after="0" w:afterAutospacing="0" w:line="440" w:lineRule="exact"/>
              <w:textAlignment w:val="baseline"/>
              <w:rPr>
                <w:rFonts w:ascii="宋体" w:hAnsi="宋体"/>
                <w:color w:val="auto"/>
                <w:szCs w:val="21"/>
              </w:rPr>
            </w:pPr>
            <w:r>
              <w:rPr>
                <w:rFonts w:hint="eastAsia" w:ascii="宋体" w:hAnsi="宋体" w:eastAsia="宋体"/>
                <w:color w:val="auto"/>
                <w:kern w:val="2"/>
                <w:sz w:val="21"/>
                <w:szCs w:val="21"/>
              </w:rPr>
              <w:t>联系地址：南京市长江路198号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37" w:type="dxa"/>
            <w:vAlign w:val="center"/>
          </w:tcPr>
          <w:p>
            <w:pPr>
              <w:widowControl/>
              <w:shd w:val="clear" w:color="auto" w:fill="FFFFFF"/>
              <w:spacing w:line="440" w:lineRule="exact"/>
              <w:jc w:val="center"/>
              <w:rPr>
                <w:rFonts w:ascii="宋体" w:hAnsi="宋体"/>
                <w:kern w:val="0"/>
                <w:szCs w:val="21"/>
              </w:rPr>
            </w:pPr>
            <w:r>
              <w:rPr>
                <w:rFonts w:hint="eastAsia" w:ascii="宋体" w:hAnsi="宋体"/>
                <w:b/>
                <w:szCs w:val="21"/>
              </w:rPr>
              <w:t>11</w:t>
            </w:r>
          </w:p>
        </w:tc>
        <w:tc>
          <w:tcPr>
            <w:tcW w:w="8310" w:type="dxa"/>
            <w:vAlign w:val="center"/>
          </w:tcPr>
          <w:p>
            <w:pPr>
              <w:widowControl/>
              <w:shd w:val="clear" w:color="auto" w:fill="FFFFFF"/>
              <w:spacing w:line="440" w:lineRule="exact"/>
              <w:rPr>
                <w:rFonts w:ascii="宋体" w:hAnsi="宋体"/>
                <w:kern w:val="0"/>
                <w:szCs w:val="21"/>
              </w:rPr>
            </w:pPr>
            <w:r>
              <w:rPr>
                <w:rFonts w:ascii="宋体" w:hAnsi="宋体"/>
                <w:b/>
                <w:bCs/>
                <w:kern w:val="0"/>
                <w:szCs w:val="21"/>
              </w:rPr>
              <w:t>投标报价中的投标价不得超过招标公告、招标文件规定的预算价</w:t>
            </w:r>
            <w:r>
              <w:rPr>
                <w:rFonts w:hint="eastAsia" w:ascii="宋体" w:hAnsi="宋体"/>
                <w:b/>
                <w:bCs/>
                <w:kern w:val="0"/>
                <w:szCs w:val="21"/>
              </w:rPr>
              <w:t>/最高限价</w:t>
            </w:r>
            <w:r>
              <w:rPr>
                <w:rFonts w:ascii="宋体" w:hAnsi="宋体"/>
                <w:b/>
                <w:bCs/>
                <w:kern w:val="0"/>
                <w:szCs w:val="21"/>
              </w:rPr>
              <w:t>，超过规定的预算价</w:t>
            </w:r>
            <w:r>
              <w:rPr>
                <w:rFonts w:hint="eastAsia" w:ascii="宋体" w:hAnsi="宋体"/>
                <w:b/>
                <w:bCs/>
                <w:kern w:val="0"/>
                <w:szCs w:val="21"/>
              </w:rPr>
              <w:t>/最高限价</w:t>
            </w:r>
            <w:r>
              <w:rPr>
                <w:rFonts w:ascii="宋体" w:hAnsi="宋体"/>
                <w:b/>
                <w:bCs/>
                <w:kern w:val="0"/>
                <w:szCs w:val="21"/>
              </w:rPr>
              <w:t xml:space="preserve">的投标文件，按无效投标处理。 </w:t>
            </w:r>
          </w:p>
        </w:tc>
      </w:tr>
    </w:tbl>
    <w:p>
      <w:pPr>
        <w:widowControl/>
        <w:shd w:val="clear" w:color="auto" w:fill="FFFFFF"/>
        <w:spacing w:line="440" w:lineRule="exact"/>
        <w:ind w:firstLine="420"/>
        <w:rPr>
          <w:rFonts w:ascii="宋体" w:hAnsi="宋体"/>
          <w:b/>
          <w:bCs/>
          <w:kern w:val="0"/>
          <w:sz w:val="24"/>
        </w:rPr>
      </w:pPr>
      <w:r>
        <w:rPr>
          <w:rFonts w:hint="eastAsia" w:ascii="宋体" w:hAnsi="宋体"/>
          <w:b/>
          <w:bCs/>
          <w:kern w:val="0"/>
          <w:sz w:val="24"/>
        </w:rPr>
        <w:t> </w:t>
      </w:r>
    </w:p>
    <w:p>
      <w:pPr>
        <w:widowControl/>
        <w:shd w:val="clear" w:color="auto" w:fill="FFFFFF"/>
        <w:spacing w:line="440" w:lineRule="exact"/>
        <w:ind w:firstLine="420"/>
        <w:outlineLvl w:val="1"/>
        <w:rPr>
          <w:rFonts w:ascii="宋体" w:hAnsi="宋体"/>
          <w:kern w:val="0"/>
          <w:sz w:val="24"/>
        </w:rPr>
      </w:pPr>
      <w:bookmarkStart w:id="79" w:name="_Toc24327"/>
      <w:bookmarkStart w:id="80" w:name="_Toc25444"/>
      <w:bookmarkStart w:id="81" w:name="_Toc29004"/>
      <w:bookmarkStart w:id="82" w:name="_Toc2287"/>
      <w:bookmarkStart w:id="83" w:name="_Toc19726"/>
      <w:bookmarkStart w:id="84" w:name="_Toc11138"/>
      <w:bookmarkStart w:id="85" w:name="_Toc16918"/>
      <w:bookmarkStart w:id="86" w:name="_Toc20799"/>
      <w:bookmarkStart w:id="87" w:name="_Toc12622"/>
      <w:r>
        <w:rPr>
          <w:rFonts w:hint="eastAsia" w:ascii="宋体" w:hAnsi="宋体"/>
          <w:b/>
          <w:bCs/>
          <w:kern w:val="0"/>
          <w:sz w:val="24"/>
        </w:rPr>
        <w:t>一、总 则</w:t>
      </w:r>
      <w:bookmarkEnd w:id="79"/>
      <w:bookmarkEnd w:id="80"/>
      <w:bookmarkEnd w:id="81"/>
      <w:bookmarkEnd w:id="82"/>
      <w:bookmarkEnd w:id="83"/>
      <w:bookmarkEnd w:id="84"/>
    </w:p>
    <w:p>
      <w:pPr>
        <w:pStyle w:val="4"/>
        <w:spacing w:line="440" w:lineRule="exact"/>
        <w:ind w:left="0" w:firstLine="482" w:firstLineChars="200"/>
        <w:jc w:val="both"/>
        <w:rPr>
          <w:rFonts w:ascii="宋体" w:hAnsi="宋体" w:eastAsia="宋体"/>
          <w:b/>
          <w:bCs/>
          <w:sz w:val="24"/>
        </w:rPr>
      </w:pPr>
      <w:bookmarkStart w:id="88" w:name="_Toc458694821"/>
      <w:bookmarkStart w:id="89" w:name="_Toc513029204"/>
      <w:bookmarkStart w:id="90" w:name="_Toc20823276"/>
      <w:bookmarkStart w:id="91" w:name="_Toc24947"/>
      <w:bookmarkStart w:id="92" w:name="_Toc2110"/>
      <w:bookmarkStart w:id="93" w:name="_Toc24318"/>
      <w:bookmarkStart w:id="94" w:name="_Toc17048"/>
      <w:bookmarkStart w:id="95" w:name="_Toc16938520"/>
      <w:bookmarkStart w:id="96" w:name="_Toc29450"/>
      <w:bookmarkStart w:id="97" w:name="_Toc2111"/>
      <w:r>
        <w:rPr>
          <w:rFonts w:hint="eastAsia" w:ascii="宋体" w:hAnsi="宋体" w:eastAsia="宋体"/>
          <w:b/>
          <w:bCs/>
          <w:sz w:val="24"/>
        </w:rPr>
        <w:t>1</w:t>
      </w:r>
      <w:bookmarkEnd w:id="88"/>
      <w:r>
        <w:rPr>
          <w:rFonts w:hint="eastAsia" w:ascii="宋体" w:hAnsi="宋体" w:eastAsia="宋体"/>
          <w:b/>
          <w:bCs/>
          <w:sz w:val="24"/>
        </w:rPr>
        <w:t>.采购人式</w:t>
      </w:r>
      <w:bookmarkEnd w:id="89"/>
      <w:bookmarkEnd w:id="90"/>
      <w:bookmarkEnd w:id="91"/>
      <w:bookmarkEnd w:id="92"/>
      <w:bookmarkEnd w:id="93"/>
      <w:bookmarkEnd w:id="94"/>
      <w:bookmarkEnd w:id="95"/>
      <w:bookmarkEnd w:id="96"/>
      <w:bookmarkEnd w:id="97"/>
    </w:p>
    <w:p>
      <w:pPr>
        <w:spacing w:line="440" w:lineRule="exact"/>
        <w:ind w:firstLine="420" w:firstLineChars="200"/>
        <w:rPr>
          <w:rFonts w:ascii="宋体" w:hAnsi="宋体"/>
          <w:szCs w:val="21"/>
        </w:rPr>
      </w:pPr>
      <w:r>
        <w:rPr>
          <w:rFonts w:hint="eastAsia" w:ascii="宋体" w:hAnsi="宋体"/>
          <w:szCs w:val="21"/>
        </w:rPr>
        <w:t>1.1 本次招标采取公开采购方式。</w:t>
      </w:r>
    </w:p>
    <w:p>
      <w:pPr>
        <w:pStyle w:val="4"/>
        <w:spacing w:line="440" w:lineRule="exact"/>
        <w:ind w:left="0" w:firstLine="482" w:firstLineChars="200"/>
        <w:jc w:val="both"/>
        <w:rPr>
          <w:rFonts w:ascii="宋体" w:hAnsi="宋体" w:eastAsia="宋体"/>
          <w:b/>
          <w:bCs/>
          <w:sz w:val="24"/>
        </w:rPr>
      </w:pPr>
      <w:bookmarkStart w:id="98" w:name="_Toc16938521"/>
      <w:bookmarkStart w:id="99" w:name="_Toc513029205"/>
      <w:bookmarkStart w:id="100" w:name="_Toc20823277"/>
      <w:bookmarkStart w:id="101" w:name="_Toc3360"/>
      <w:bookmarkStart w:id="102" w:name="_Toc24067"/>
      <w:bookmarkStart w:id="103" w:name="_Toc10095"/>
      <w:bookmarkStart w:id="104" w:name="_Toc9116"/>
      <w:bookmarkStart w:id="105" w:name="_Toc24401"/>
      <w:bookmarkStart w:id="106" w:name="_Toc26283"/>
      <w:r>
        <w:rPr>
          <w:rFonts w:hint="eastAsia" w:ascii="宋体" w:hAnsi="宋体" w:eastAsia="宋体"/>
          <w:b/>
          <w:bCs/>
          <w:sz w:val="24"/>
        </w:rPr>
        <w:t>2</w:t>
      </w:r>
      <w:bookmarkEnd w:id="98"/>
      <w:bookmarkEnd w:id="99"/>
      <w:bookmarkEnd w:id="100"/>
      <w:r>
        <w:rPr>
          <w:rFonts w:hint="eastAsia" w:ascii="宋体" w:hAnsi="宋体" w:eastAsia="宋体"/>
          <w:b/>
          <w:bCs/>
          <w:sz w:val="24"/>
        </w:rPr>
        <w:t>.定义</w:t>
      </w:r>
      <w:bookmarkEnd w:id="101"/>
      <w:bookmarkEnd w:id="102"/>
      <w:bookmarkEnd w:id="103"/>
      <w:bookmarkEnd w:id="104"/>
      <w:bookmarkEnd w:id="105"/>
      <w:bookmarkEnd w:id="106"/>
    </w:p>
    <w:p>
      <w:pPr>
        <w:spacing w:line="440" w:lineRule="exact"/>
        <w:ind w:firstLine="420" w:firstLineChars="200"/>
        <w:rPr>
          <w:rFonts w:ascii="宋体" w:hAnsi="宋体"/>
          <w:sz w:val="24"/>
          <w:szCs w:val="24"/>
        </w:rPr>
      </w:pPr>
      <w:r>
        <w:rPr>
          <w:rFonts w:hint="eastAsia" w:ascii="宋体" w:hAnsi="宋体"/>
          <w:szCs w:val="21"/>
        </w:rPr>
        <w:t>2.1本文件</w:t>
      </w:r>
      <w:r>
        <w:rPr>
          <w:rFonts w:hint="eastAsia" w:ascii="宋体"/>
          <w:bCs/>
        </w:rPr>
        <w:t xml:space="preserve">中招标代理机构为 </w:t>
      </w:r>
      <w:r>
        <w:rPr>
          <w:rFonts w:hint="eastAsia" w:ascii="宋体"/>
          <w:b/>
          <w:u w:val="single"/>
        </w:rPr>
        <w:t>苏美达国际技术贸易有限公司</w:t>
      </w:r>
      <w:r>
        <w:rPr>
          <w:rFonts w:hint="eastAsia" w:ascii="宋体"/>
          <w:bCs/>
        </w:rPr>
        <w:t>；采购人（亦称采购人）为</w:t>
      </w:r>
      <w:r>
        <w:rPr>
          <w:rFonts w:hint="eastAsia" w:ascii="宋体"/>
          <w:b/>
          <w:u w:val="single"/>
        </w:rPr>
        <w:t xml:space="preserve"> 江苏省电子信息产品质量监督检验研究院（江苏省信息安全测评中心）</w:t>
      </w:r>
      <w:r>
        <w:rPr>
          <w:rFonts w:hint="eastAsia" w:ascii="宋体"/>
          <w:bCs/>
        </w:rPr>
        <w:t>；投标人（亦称供应商）系指参加投标竞争并满足招标文件资格要求规定的法人、其他组织或者自然人；中标人系指最后中标的投标人。</w:t>
      </w:r>
    </w:p>
    <w:p>
      <w:pPr>
        <w:pStyle w:val="4"/>
        <w:spacing w:line="440" w:lineRule="exact"/>
        <w:ind w:left="0" w:firstLine="482" w:firstLineChars="200"/>
        <w:jc w:val="both"/>
        <w:rPr>
          <w:rFonts w:ascii="宋体" w:hAnsi="宋体" w:eastAsia="宋体"/>
          <w:b/>
          <w:bCs/>
          <w:sz w:val="24"/>
        </w:rPr>
      </w:pPr>
      <w:bookmarkStart w:id="107" w:name="_Toc2777"/>
      <w:bookmarkStart w:id="108" w:name="_Toc3442"/>
      <w:bookmarkStart w:id="109" w:name="_Toc20823278"/>
      <w:bookmarkStart w:id="110" w:name="_Toc4279"/>
      <w:bookmarkStart w:id="111" w:name="_Toc31460"/>
      <w:bookmarkStart w:id="112" w:name="_Toc513029206"/>
      <w:bookmarkStart w:id="113" w:name="_Toc8890"/>
      <w:bookmarkStart w:id="114" w:name="_Toc16938522"/>
      <w:bookmarkStart w:id="115" w:name="_Toc29665"/>
      <w:r>
        <w:rPr>
          <w:rFonts w:hint="eastAsia" w:ascii="宋体" w:hAnsi="宋体" w:eastAsia="宋体"/>
          <w:b/>
          <w:bCs/>
          <w:sz w:val="24"/>
        </w:rPr>
        <w:t>3.适用法律</w:t>
      </w:r>
      <w:bookmarkEnd w:id="107"/>
      <w:bookmarkEnd w:id="108"/>
      <w:bookmarkEnd w:id="109"/>
      <w:bookmarkEnd w:id="110"/>
      <w:bookmarkEnd w:id="111"/>
      <w:bookmarkEnd w:id="112"/>
      <w:bookmarkEnd w:id="113"/>
      <w:bookmarkEnd w:id="114"/>
      <w:bookmarkEnd w:id="115"/>
    </w:p>
    <w:p>
      <w:pPr>
        <w:spacing w:line="440" w:lineRule="exact"/>
        <w:ind w:firstLine="420" w:firstLineChars="200"/>
        <w:rPr>
          <w:rFonts w:ascii="仿宋_GB2312" w:eastAsia="仿宋_GB2312"/>
          <w:sz w:val="24"/>
        </w:rPr>
      </w:pPr>
      <w:r>
        <w:rPr>
          <w:rFonts w:hint="eastAsia" w:ascii="宋体" w:hAnsi="宋体"/>
          <w:szCs w:val="21"/>
        </w:rPr>
        <w:t>3.1 《中华人民共和国政府采购法》、《政府采购货物和服务招标投标管理办法》等有关法律、规章和规定等。</w:t>
      </w:r>
    </w:p>
    <w:p>
      <w:pPr>
        <w:pStyle w:val="4"/>
        <w:spacing w:line="440" w:lineRule="exact"/>
        <w:ind w:left="0" w:firstLine="482" w:firstLineChars="200"/>
        <w:jc w:val="both"/>
        <w:rPr>
          <w:rFonts w:ascii="宋体" w:hAnsi="宋体" w:eastAsia="宋体"/>
          <w:b/>
          <w:bCs/>
          <w:sz w:val="24"/>
        </w:rPr>
      </w:pPr>
      <w:bookmarkStart w:id="116" w:name="_Toc12569"/>
      <w:bookmarkStart w:id="117" w:name="_Toc2677"/>
      <w:bookmarkStart w:id="118" w:name="_Toc11362"/>
      <w:bookmarkStart w:id="119" w:name="_Toc462564067"/>
      <w:bookmarkStart w:id="120" w:name="_Toc16938523"/>
      <w:bookmarkStart w:id="121" w:name="_Toc513029207"/>
      <w:bookmarkStart w:id="122" w:name="_Toc4941"/>
      <w:bookmarkStart w:id="123" w:name="_Toc4759"/>
      <w:bookmarkStart w:id="124" w:name="_Toc20823279"/>
      <w:bookmarkStart w:id="125" w:name="_Toc32726"/>
      <w:r>
        <w:rPr>
          <w:rFonts w:hint="eastAsia" w:ascii="宋体" w:hAnsi="宋体" w:eastAsia="宋体"/>
          <w:b/>
          <w:bCs/>
          <w:sz w:val="24"/>
        </w:rPr>
        <w:t>4.投标费用</w:t>
      </w:r>
      <w:bookmarkEnd w:id="116"/>
      <w:bookmarkEnd w:id="117"/>
      <w:bookmarkEnd w:id="118"/>
      <w:bookmarkEnd w:id="119"/>
      <w:bookmarkEnd w:id="120"/>
      <w:bookmarkEnd w:id="121"/>
      <w:bookmarkEnd w:id="122"/>
      <w:bookmarkEnd w:id="123"/>
      <w:bookmarkEnd w:id="124"/>
      <w:bookmarkEnd w:id="125"/>
    </w:p>
    <w:p>
      <w:pPr>
        <w:spacing w:line="440" w:lineRule="exact"/>
        <w:ind w:firstLine="420" w:firstLineChars="200"/>
        <w:rPr>
          <w:rFonts w:ascii="宋体" w:hAnsi="宋体"/>
          <w:szCs w:val="21"/>
        </w:rPr>
      </w:pPr>
      <w:r>
        <w:rPr>
          <w:rFonts w:hint="eastAsia" w:ascii="宋体" w:hAnsi="宋体"/>
          <w:szCs w:val="21"/>
        </w:rPr>
        <w:t>4.1 投标人应自行承担所有与参加投标有关的费用。</w:t>
      </w:r>
    </w:p>
    <w:p>
      <w:pPr>
        <w:pStyle w:val="4"/>
        <w:spacing w:line="440" w:lineRule="exact"/>
        <w:ind w:left="0" w:firstLine="482" w:firstLineChars="200"/>
        <w:jc w:val="both"/>
        <w:rPr>
          <w:rFonts w:ascii="宋体" w:hAnsi="宋体" w:eastAsia="宋体"/>
          <w:b/>
          <w:bCs/>
          <w:sz w:val="24"/>
        </w:rPr>
      </w:pPr>
      <w:bookmarkStart w:id="126" w:name="_Toc31233"/>
      <w:bookmarkStart w:id="127" w:name="_Toc21520"/>
      <w:bookmarkStart w:id="128" w:name="_Toc21020"/>
      <w:bookmarkStart w:id="129" w:name="_Toc9507"/>
      <w:bookmarkStart w:id="130" w:name="_Toc344"/>
      <w:bookmarkStart w:id="131" w:name="_Toc24611"/>
      <w:r>
        <w:rPr>
          <w:rFonts w:hint="eastAsia" w:ascii="宋体" w:hAnsi="宋体" w:eastAsia="宋体"/>
          <w:b/>
          <w:bCs/>
          <w:sz w:val="24"/>
        </w:rPr>
        <w:t>5.招标文件的约束力</w:t>
      </w:r>
      <w:bookmarkEnd w:id="126"/>
      <w:bookmarkEnd w:id="127"/>
      <w:bookmarkEnd w:id="128"/>
      <w:bookmarkEnd w:id="129"/>
      <w:bookmarkEnd w:id="130"/>
      <w:bookmarkEnd w:id="131"/>
    </w:p>
    <w:p>
      <w:pPr>
        <w:spacing w:line="440" w:lineRule="exact"/>
        <w:ind w:firstLine="420" w:firstLineChars="200"/>
        <w:rPr>
          <w:rFonts w:ascii="宋体" w:hAnsi="宋体"/>
          <w:szCs w:val="21"/>
        </w:rPr>
      </w:pPr>
      <w:r>
        <w:rPr>
          <w:rFonts w:hint="eastAsia" w:ascii="宋体" w:hAnsi="宋体"/>
          <w:szCs w:val="21"/>
        </w:rPr>
        <w:t>5.1 投标人一旦参加本项目采购活动，即被认为接受了本招标文件的规定和约束。</w:t>
      </w:r>
    </w:p>
    <w:p>
      <w:pPr>
        <w:widowControl/>
        <w:shd w:val="clear" w:color="auto" w:fill="FFFFFF"/>
        <w:spacing w:line="440" w:lineRule="exact"/>
        <w:ind w:firstLine="420"/>
        <w:outlineLvl w:val="1"/>
        <w:rPr>
          <w:rFonts w:ascii="宋体" w:hAnsi="宋体"/>
          <w:b/>
          <w:bCs/>
          <w:kern w:val="0"/>
          <w:sz w:val="24"/>
        </w:rPr>
      </w:pPr>
      <w:bookmarkStart w:id="132" w:name="_Toc16938525"/>
      <w:bookmarkStart w:id="133" w:name="_Toc19237"/>
      <w:bookmarkStart w:id="134" w:name="_Toc20911"/>
      <w:bookmarkStart w:id="135" w:name="_Toc17677"/>
      <w:bookmarkStart w:id="136" w:name="_Toc513029209"/>
      <w:bookmarkStart w:id="137" w:name="_Toc2495"/>
      <w:bookmarkStart w:id="138" w:name="_Toc17888"/>
      <w:bookmarkStart w:id="139" w:name="_Toc120614215"/>
      <w:bookmarkStart w:id="140" w:name="_Toc15035"/>
      <w:bookmarkStart w:id="141" w:name="_Toc20823281"/>
      <w:r>
        <w:rPr>
          <w:rFonts w:hint="eastAsia" w:ascii="宋体" w:hAnsi="宋体"/>
          <w:b/>
          <w:bCs/>
          <w:kern w:val="0"/>
          <w:sz w:val="24"/>
        </w:rPr>
        <w:t>二、招标文件</w:t>
      </w:r>
      <w:bookmarkEnd w:id="132"/>
      <w:bookmarkEnd w:id="133"/>
      <w:bookmarkEnd w:id="134"/>
      <w:bookmarkEnd w:id="135"/>
      <w:bookmarkEnd w:id="136"/>
      <w:bookmarkEnd w:id="137"/>
      <w:bookmarkEnd w:id="138"/>
      <w:bookmarkEnd w:id="139"/>
      <w:bookmarkEnd w:id="140"/>
      <w:bookmarkEnd w:id="141"/>
    </w:p>
    <w:p>
      <w:pPr>
        <w:pStyle w:val="4"/>
        <w:spacing w:line="440" w:lineRule="exact"/>
        <w:ind w:left="0" w:firstLine="482" w:firstLineChars="200"/>
        <w:jc w:val="both"/>
        <w:rPr>
          <w:rFonts w:ascii="宋体" w:hAnsi="宋体" w:eastAsia="宋体"/>
          <w:b/>
          <w:bCs/>
          <w:sz w:val="24"/>
        </w:rPr>
      </w:pPr>
      <w:bookmarkStart w:id="142" w:name="_Toc31631"/>
      <w:bookmarkStart w:id="143" w:name="_Toc722"/>
      <w:bookmarkStart w:id="144" w:name="_Toc12256"/>
      <w:bookmarkStart w:id="145" w:name="_Toc13281"/>
      <w:bookmarkStart w:id="146" w:name="_Toc26832"/>
      <w:bookmarkStart w:id="147" w:name="_Toc20823282"/>
      <w:bookmarkStart w:id="148" w:name="_Toc16938526"/>
      <w:bookmarkStart w:id="149" w:name="_Toc17567"/>
      <w:bookmarkStart w:id="150" w:name="_Toc513029210"/>
      <w:r>
        <w:rPr>
          <w:rFonts w:hint="eastAsia" w:ascii="宋体" w:hAnsi="宋体" w:eastAsia="宋体"/>
          <w:b/>
          <w:bCs/>
          <w:sz w:val="24"/>
        </w:rPr>
        <w:t>6.招标文件构成</w:t>
      </w:r>
      <w:bookmarkEnd w:id="142"/>
      <w:bookmarkEnd w:id="143"/>
      <w:bookmarkEnd w:id="144"/>
      <w:bookmarkEnd w:id="145"/>
      <w:bookmarkEnd w:id="146"/>
      <w:bookmarkEnd w:id="147"/>
      <w:bookmarkEnd w:id="148"/>
      <w:bookmarkEnd w:id="149"/>
      <w:bookmarkEnd w:id="150"/>
    </w:p>
    <w:p>
      <w:pPr>
        <w:spacing w:line="440" w:lineRule="exact"/>
        <w:ind w:firstLine="420" w:firstLineChars="200"/>
        <w:rPr>
          <w:rFonts w:ascii="宋体" w:hAnsi="宋体"/>
          <w:kern w:val="0"/>
          <w:szCs w:val="21"/>
        </w:rPr>
      </w:pPr>
      <w:r>
        <w:rPr>
          <w:rFonts w:hint="eastAsia" w:ascii="宋体" w:hAnsi="宋体"/>
          <w:kern w:val="0"/>
          <w:szCs w:val="21"/>
        </w:rPr>
        <w:t>6.1 招标文件有以下部分组成：</w:t>
      </w:r>
    </w:p>
    <w:p>
      <w:pPr>
        <w:spacing w:line="440" w:lineRule="exact"/>
        <w:ind w:firstLine="420" w:firstLineChars="200"/>
        <w:rPr>
          <w:rFonts w:ascii="宋体" w:hAnsi="宋体"/>
          <w:kern w:val="0"/>
          <w:szCs w:val="21"/>
        </w:rPr>
      </w:pPr>
      <w:r>
        <w:rPr>
          <w:rFonts w:hint="eastAsia" w:ascii="宋体" w:hAnsi="宋体"/>
          <w:kern w:val="0"/>
          <w:szCs w:val="21"/>
        </w:rPr>
        <w:t>（1）招标公告</w:t>
      </w:r>
    </w:p>
    <w:p>
      <w:pPr>
        <w:spacing w:line="440" w:lineRule="exact"/>
        <w:ind w:firstLine="420" w:firstLineChars="200"/>
        <w:rPr>
          <w:rFonts w:ascii="宋体" w:hAnsi="宋体"/>
          <w:kern w:val="0"/>
          <w:szCs w:val="21"/>
        </w:rPr>
      </w:pPr>
      <w:r>
        <w:rPr>
          <w:rFonts w:hint="eastAsia" w:ascii="宋体" w:hAnsi="宋体"/>
          <w:kern w:val="0"/>
          <w:szCs w:val="21"/>
        </w:rPr>
        <w:t>（2）投标人须知</w:t>
      </w:r>
    </w:p>
    <w:p>
      <w:pPr>
        <w:spacing w:line="440" w:lineRule="exact"/>
        <w:ind w:firstLine="420" w:firstLineChars="200"/>
        <w:rPr>
          <w:rFonts w:ascii="宋体" w:hAnsi="宋体"/>
          <w:kern w:val="0"/>
          <w:szCs w:val="21"/>
        </w:rPr>
      </w:pPr>
      <w:r>
        <w:rPr>
          <w:rFonts w:hint="eastAsia" w:ascii="宋体" w:hAnsi="宋体"/>
          <w:kern w:val="0"/>
          <w:szCs w:val="21"/>
        </w:rPr>
        <w:t>（3）评标标准</w:t>
      </w:r>
    </w:p>
    <w:p>
      <w:pPr>
        <w:spacing w:line="440" w:lineRule="exact"/>
        <w:ind w:firstLine="420" w:firstLineChars="200"/>
        <w:rPr>
          <w:rFonts w:ascii="宋体" w:hAnsi="宋体"/>
          <w:kern w:val="0"/>
          <w:szCs w:val="21"/>
        </w:rPr>
      </w:pPr>
      <w:r>
        <w:rPr>
          <w:rFonts w:hint="eastAsia" w:ascii="宋体" w:hAnsi="宋体"/>
          <w:kern w:val="0"/>
          <w:szCs w:val="21"/>
        </w:rPr>
        <w:t>（4）招标产品清单及有关说明</w:t>
      </w:r>
    </w:p>
    <w:p>
      <w:pPr>
        <w:spacing w:line="440" w:lineRule="exact"/>
        <w:ind w:firstLine="420" w:firstLineChars="200"/>
        <w:rPr>
          <w:rFonts w:ascii="宋体" w:hAnsi="宋体"/>
          <w:kern w:val="0"/>
          <w:szCs w:val="21"/>
        </w:rPr>
      </w:pPr>
      <w:r>
        <w:rPr>
          <w:rFonts w:hint="eastAsia" w:ascii="宋体" w:hAnsi="宋体"/>
          <w:kern w:val="0"/>
          <w:szCs w:val="21"/>
        </w:rPr>
        <w:t>（5）合同条款的主要内容</w:t>
      </w:r>
    </w:p>
    <w:p>
      <w:pPr>
        <w:spacing w:line="440" w:lineRule="exact"/>
        <w:ind w:firstLine="420" w:firstLineChars="200"/>
        <w:rPr>
          <w:rFonts w:ascii="宋体" w:hAnsi="宋体"/>
          <w:kern w:val="0"/>
          <w:szCs w:val="21"/>
        </w:rPr>
      </w:pPr>
      <w:r>
        <w:rPr>
          <w:rFonts w:hint="eastAsia" w:ascii="宋体" w:hAnsi="宋体"/>
          <w:kern w:val="0"/>
          <w:szCs w:val="21"/>
        </w:rPr>
        <w:t>（6）投标文件格式及附件</w:t>
      </w:r>
    </w:p>
    <w:p>
      <w:pPr>
        <w:spacing w:line="440" w:lineRule="exact"/>
        <w:ind w:firstLine="420" w:firstLineChars="200"/>
        <w:rPr>
          <w:rFonts w:ascii="宋体" w:hAnsi="宋体"/>
          <w:kern w:val="0"/>
          <w:szCs w:val="21"/>
        </w:rPr>
      </w:pPr>
      <w:r>
        <w:rPr>
          <w:rFonts w:hint="eastAsia" w:ascii="宋体" w:hAnsi="宋体"/>
          <w:kern w:val="0"/>
          <w:szCs w:val="21"/>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spacing w:line="440" w:lineRule="exact"/>
        <w:ind w:firstLine="420" w:firstLineChars="200"/>
        <w:rPr>
          <w:rFonts w:ascii="宋体"/>
          <w:bCs/>
        </w:rPr>
      </w:pPr>
      <w:r>
        <w:rPr>
          <w:rFonts w:hint="eastAsia" w:ascii="宋体"/>
          <w:bCs/>
        </w:rPr>
        <w:t>6.3投标人被视为充分熟悉本招标项目的各种情况以及与履行合同有关的一切其他情况。</w:t>
      </w:r>
    </w:p>
    <w:p>
      <w:pPr>
        <w:spacing w:line="440" w:lineRule="exact"/>
        <w:ind w:firstLine="420" w:firstLineChars="200"/>
        <w:rPr>
          <w:rFonts w:ascii="宋体"/>
          <w:bCs/>
          <w:sz w:val="30"/>
        </w:rPr>
      </w:pPr>
      <w:r>
        <w:rPr>
          <w:rFonts w:hint="eastAsia" w:ascii="宋体"/>
          <w:bCs/>
        </w:rPr>
        <w:t>6</w:t>
      </w:r>
      <w:r>
        <w:rPr>
          <w:rFonts w:ascii="宋体"/>
          <w:bCs/>
        </w:rPr>
        <w:t>.</w:t>
      </w:r>
      <w:r>
        <w:rPr>
          <w:rFonts w:hint="eastAsia" w:ascii="宋体"/>
          <w:bCs/>
        </w:rPr>
        <w:t>4招标文件以中文书写。</w:t>
      </w:r>
    </w:p>
    <w:p>
      <w:pPr>
        <w:pStyle w:val="4"/>
        <w:spacing w:line="440" w:lineRule="exact"/>
        <w:ind w:left="0" w:firstLine="482" w:firstLineChars="200"/>
        <w:jc w:val="both"/>
        <w:rPr>
          <w:rFonts w:ascii="宋体" w:hAnsi="宋体" w:eastAsia="宋体"/>
          <w:b/>
          <w:bCs/>
          <w:sz w:val="24"/>
        </w:rPr>
      </w:pPr>
      <w:bookmarkStart w:id="151" w:name="_Toc10146"/>
      <w:bookmarkStart w:id="152" w:name="_Toc14956"/>
      <w:bookmarkStart w:id="153" w:name="_Toc14415"/>
      <w:bookmarkStart w:id="154" w:name="_Toc11390"/>
      <w:bookmarkStart w:id="155" w:name="_Toc12544"/>
      <w:bookmarkStart w:id="156" w:name="_Toc24672"/>
      <w:r>
        <w:rPr>
          <w:rFonts w:hint="eastAsia" w:ascii="宋体" w:hAnsi="宋体" w:eastAsia="宋体"/>
          <w:b/>
          <w:bCs/>
          <w:sz w:val="24"/>
        </w:rPr>
        <w:t>7.招标文件的澄清、补充或修改</w:t>
      </w:r>
      <w:bookmarkEnd w:id="151"/>
      <w:bookmarkEnd w:id="152"/>
      <w:bookmarkEnd w:id="153"/>
      <w:bookmarkEnd w:id="154"/>
      <w:bookmarkEnd w:id="155"/>
      <w:bookmarkEnd w:id="156"/>
    </w:p>
    <w:p>
      <w:pPr>
        <w:spacing w:line="440" w:lineRule="exact"/>
        <w:ind w:firstLine="441" w:firstLineChars="210"/>
        <w:rPr>
          <w:rFonts w:ascii="宋体"/>
          <w:bCs/>
        </w:rPr>
      </w:pPr>
      <w:r>
        <w:rPr>
          <w:rFonts w:hint="eastAsia" w:ascii="宋体" w:hAnsi="宋体"/>
          <w:kern w:val="0"/>
          <w:szCs w:val="21"/>
        </w:rPr>
        <w:t>7.1 </w:t>
      </w:r>
      <w:r>
        <w:rPr>
          <w:rFonts w:hint="eastAsia" w:ascii="宋体"/>
          <w:bCs/>
        </w:rPr>
        <w:t>投标人应仔细阅读和检查招标文件的全部内容。如发现缺页或附件不全，应及时向招标代理机构提出，以便补齐。投标人如须澄清招标文件的疑点，可用信函或传真等书面形式通知招标代理机构，具体通知时间须按政府采购相关规定执行，如投标人须澄清的疑点超出采购人对招标代理机构委托授权范围的，招标代理机构应当告知投标人向采购人提出。招标代理机构将用信函或传真等书面形式作出答复。招标代理机构认为有必要时可将答复内容（包括原提出的问题，但不包括问题的来源）分发给所有取得同一招标文件的投标人。</w:t>
      </w:r>
    </w:p>
    <w:p>
      <w:pPr>
        <w:spacing w:line="440" w:lineRule="exact"/>
        <w:ind w:firstLine="441" w:firstLineChars="210"/>
        <w:rPr>
          <w:rFonts w:ascii="宋体"/>
          <w:bCs/>
        </w:rPr>
      </w:pPr>
      <w:r>
        <w:rPr>
          <w:rFonts w:hint="eastAsia" w:ascii="宋体"/>
          <w:bCs/>
        </w:rPr>
        <w:t>7.2 招标代理机构对已发出的招标文件进行必要的澄清或者修改，将在投标截止时间15日前，以书面形式通知所有报名投标人，并同时在</w:t>
      </w:r>
      <w:bookmarkStart w:id="157" w:name="OLE_LINK1"/>
      <w:r>
        <w:rPr>
          <w:rFonts w:hint="eastAsia" w:ascii="宋体"/>
          <w:bCs/>
        </w:rPr>
        <w:t>原招标公告媒体</w:t>
      </w:r>
      <w:bookmarkEnd w:id="157"/>
      <w:r>
        <w:rPr>
          <w:rFonts w:hint="eastAsia" w:ascii="宋体"/>
          <w:bCs/>
        </w:rPr>
        <w:t>上发布更正公告。</w:t>
      </w:r>
    </w:p>
    <w:p>
      <w:pPr>
        <w:widowControl/>
        <w:shd w:val="clear" w:color="auto" w:fill="FFFFFF"/>
        <w:spacing w:line="440" w:lineRule="exact"/>
        <w:ind w:firstLine="420"/>
        <w:rPr>
          <w:rFonts w:ascii="宋体" w:hAnsi="宋体"/>
          <w:kern w:val="0"/>
          <w:szCs w:val="21"/>
        </w:rPr>
      </w:pPr>
      <w:r>
        <w:rPr>
          <w:rFonts w:hint="eastAsia" w:ascii="宋体" w:hAnsi="宋体"/>
          <w:kern w:val="0"/>
          <w:szCs w:val="21"/>
        </w:rPr>
        <w:t>7.3 招标代理机构在招标文件要求提交投标文件截止时间前，有权决定延长投标截止时间和开标时间，并在</w:t>
      </w:r>
      <w:r>
        <w:rPr>
          <w:rFonts w:hint="eastAsia" w:ascii="宋体"/>
          <w:bCs/>
        </w:rPr>
        <w:t>原招标公告</w:t>
      </w:r>
      <w:r>
        <w:rPr>
          <w:rFonts w:hint="eastAsia" w:ascii="宋体" w:hAnsi="宋体"/>
          <w:kern w:val="0"/>
          <w:szCs w:val="21"/>
        </w:rPr>
        <w:t>媒体上发布变更公告。</w:t>
      </w:r>
    </w:p>
    <w:p>
      <w:pPr>
        <w:spacing w:line="440" w:lineRule="exact"/>
        <w:ind w:firstLine="441" w:firstLineChars="210"/>
        <w:rPr>
          <w:rFonts w:ascii="宋体" w:hAnsi="宋体"/>
          <w:szCs w:val="21"/>
        </w:rPr>
      </w:pPr>
      <w:r>
        <w:rPr>
          <w:rFonts w:hint="eastAsia" w:ascii="宋体" w:hAnsi="宋体"/>
          <w:kern w:val="0"/>
          <w:szCs w:val="21"/>
        </w:rPr>
        <w:t>7.4 </w:t>
      </w:r>
      <w:r>
        <w:rPr>
          <w:rFonts w:hint="eastAsia" w:ascii="宋体" w:hAnsi="宋体"/>
          <w:szCs w:val="21"/>
        </w:rPr>
        <w:t>为使投标人在准备投标时，有合理的时间考虑招标文件的补充或修改，招标代理机构将视情况可能推迟投标截止时间和开标时间，并将此变更以</w:t>
      </w:r>
      <w:r>
        <w:rPr>
          <w:rFonts w:hint="eastAsia" w:ascii="宋体"/>
          <w:bCs/>
        </w:rPr>
        <w:t>信函或传真等形式</w:t>
      </w:r>
      <w:r>
        <w:rPr>
          <w:rFonts w:hint="eastAsia" w:ascii="宋体" w:hAnsi="宋体"/>
          <w:szCs w:val="21"/>
        </w:rPr>
        <w:t>通知所有的投标人。</w:t>
      </w:r>
    </w:p>
    <w:p>
      <w:pPr>
        <w:widowControl/>
        <w:shd w:val="clear" w:color="auto" w:fill="FFFFFF"/>
        <w:spacing w:line="440" w:lineRule="exact"/>
        <w:ind w:firstLine="420"/>
        <w:rPr>
          <w:rFonts w:ascii="宋体" w:hAnsi="宋体"/>
          <w:kern w:val="0"/>
          <w:szCs w:val="21"/>
        </w:rPr>
      </w:pPr>
      <w:r>
        <w:rPr>
          <w:rFonts w:hint="eastAsia" w:ascii="宋体" w:hAnsi="宋体"/>
          <w:kern w:val="0"/>
          <w:szCs w:val="21"/>
        </w:rPr>
        <w:t>7.5 招标代理机构发出的所有补充、修改和变更文件均作为招标文件的组成部分，与招标文件具有同等法律效力。</w:t>
      </w:r>
    </w:p>
    <w:p>
      <w:pPr>
        <w:widowControl/>
        <w:shd w:val="clear" w:color="auto" w:fill="FFFFFF"/>
        <w:spacing w:line="440" w:lineRule="exact"/>
        <w:ind w:firstLine="420"/>
        <w:outlineLvl w:val="1"/>
        <w:rPr>
          <w:rFonts w:ascii="宋体" w:hAnsi="宋体"/>
          <w:b/>
          <w:bCs/>
          <w:kern w:val="0"/>
          <w:sz w:val="24"/>
        </w:rPr>
      </w:pPr>
      <w:bookmarkStart w:id="158" w:name="_Toc23314"/>
      <w:bookmarkStart w:id="159" w:name="_Toc11850"/>
      <w:bookmarkStart w:id="160" w:name="_Toc823"/>
      <w:bookmarkStart w:id="161" w:name="_Toc479"/>
      <w:bookmarkStart w:id="162" w:name="_Toc15641"/>
      <w:bookmarkStart w:id="163" w:name="_Toc29128"/>
      <w:r>
        <w:rPr>
          <w:rFonts w:hint="eastAsia" w:ascii="宋体" w:hAnsi="宋体"/>
          <w:b/>
          <w:bCs/>
          <w:kern w:val="0"/>
          <w:sz w:val="24"/>
        </w:rPr>
        <w:t>三、投标文件的编制</w:t>
      </w:r>
      <w:bookmarkEnd w:id="158"/>
      <w:bookmarkEnd w:id="159"/>
      <w:bookmarkEnd w:id="160"/>
      <w:bookmarkEnd w:id="161"/>
      <w:bookmarkEnd w:id="162"/>
      <w:bookmarkEnd w:id="163"/>
    </w:p>
    <w:p>
      <w:pPr>
        <w:pStyle w:val="4"/>
        <w:spacing w:line="440" w:lineRule="exact"/>
        <w:ind w:left="0" w:firstLine="482" w:firstLineChars="200"/>
        <w:jc w:val="both"/>
        <w:rPr>
          <w:rFonts w:ascii="宋体" w:hAnsi="宋体" w:eastAsia="宋体"/>
          <w:b/>
          <w:bCs/>
          <w:sz w:val="24"/>
        </w:rPr>
      </w:pPr>
      <w:bookmarkStart w:id="164" w:name="_Toc28127"/>
      <w:bookmarkStart w:id="165" w:name="_Toc12955"/>
      <w:bookmarkStart w:id="166" w:name="_Toc6721"/>
      <w:bookmarkStart w:id="167" w:name="_Toc13160"/>
      <w:bookmarkStart w:id="168" w:name="_Toc20921"/>
      <w:bookmarkStart w:id="169" w:name="_Toc2934"/>
      <w:r>
        <w:rPr>
          <w:rFonts w:hint="eastAsia" w:ascii="宋体" w:hAnsi="宋体" w:eastAsia="宋体"/>
          <w:b/>
          <w:bCs/>
          <w:sz w:val="24"/>
        </w:rPr>
        <w:t>8.投标文件的语言</w:t>
      </w:r>
      <w:bookmarkEnd w:id="164"/>
      <w:bookmarkEnd w:id="165"/>
      <w:bookmarkEnd w:id="166"/>
      <w:bookmarkEnd w:id="167"/>
      <w:bookmarkEnd w:id="168"/>
      <w:bookmarkEnd w:id="169"/>
    </w:p>
    <w:p>
      <w:pPr>
        <w:widowControl/>
        <w:shd w:val="clear" w:color="auto" w:fill="FFFFFF"/>
        <w:spacing w:line="440" w:lineRule="exact"/>
        <w:ind w:firstLine="420"/>
        <w:rPr>
          <w:rFonts w:ascii="宋体" w:hAnsi="宋体"/>
          <w:kern w:val="0"/>
          <w:szCs w:val="21"/>
        </w:rPr>
      </w:pPr>
      <w:r>
        <w:rPr>
          <w:rFonts w:hint="eastAsia" w:ascii="宋体" w:hAnsi="宋体"/>
          <w:kern w:val="0"/>
          <w:szCs w:val="21"/>
        </w:rPr>
        <w:t>8.1投标文件以及投标人与招标代理机构之间函、电、文件和资料往来，都应以中文书写。</w:t>
      </w:r>
    </w:p>
    <w:p>
      <w:pPr>
        <w:widowControl/>
        <w:shd w:val="clear" w:color="auto" w:fill="FFFFFF"/>
        <w:spacing w:line="440" w:lineRule="exact"/>
        <w:ind w:firstLine="420"/>
        <w:rPr>
          <w:rFonts w:ascii="宋体" w:hAnsi="宋体"/>
          <w:kern w:val="0"/>
          <w:szCs w:val="21"/>
        </w:rPr>
      </w:pPr>
      <w:r>
        <w:rPr>
          <w:rFonts w:hint="eastAsia" w:ascii="宋体" w:hAnsi="宋体"/>
          <w:kern w:val="0"/>
          <w:szCs w:val="21"/>
        </w:rPr>
        <w:t>8.2投标人已印刷好的产品说明书等可以用其他语言，但其中要点应附有中文译文。</w:t>
      </w:r>
    </w:p>
    <w:p>
      <w:pPr>
        <w:widowControl/>
        <w:shd w:val="clear" w:color="auto" w:fill="FFFFFF"/>
        <w:spacing w:line="440" w:lineRule="exact"/>
        <w:ind w:firstLine="420"/>
        <w:rPr>
          <w:rFonts w:ascii="宋体" w:hAnsi="宋体"/>
          <w:kern w:val="0"/>
          <w:szCs w:val="21"/>
        </w:rPr>
      </w:pPr>
      <w:r>
        <w:rPr>
          <w:rFonts w:hint="eastAsia" w:ascii="宋体" w:hAnsi="宋体"/>
          <w:kern w:val="0"/>
          <w:szCs w:val="21"/>
        </w:rPr>
        <w:t>8.3任何不符合8.1至8.2项目规定的投标文件和资料，将被拒绝接受或视为无效。</w:t>
      </w:r>
    </w:p>
    <w:p>
      <w:pPr>
        <w:pStyle w:val="4"/>
        <w:spacing w:line="440" w:lineRule="exact"/>
        <w:ind w:left="0" w:firstLine="482" w:firstLineChars="200"/>
        <w:jc w:val="both"/>
        <w:rPr>
          <w:rFonts w:ascii="宋体" w:hAnsi="宋体"/>
          <w:kern w:val="0"/>
          <w:sz w:val="21"/>
          <w:szCs w:val="21"/>
        </w:rPr>
      </w:pPr>
      <w:bookmarkStart w:id="170" w:name="_Toc24301"/>
      <w:bookmarkStart w:id="171" w:name="_Toc22790"/>
      <w:bookmarkStart w:id="172" w:name="_Toc19298"/>
      <w:bookmarkStart w:id="173" w:name="_Toc556"/>
      <w:bookmarkStart w:id="174" w:name="_Toc1266"/>
      <w:bookmarkStart w:id="175" w:name="_Toc28472"/>
      <w:r>
        <w:rPr>
          <w:rFonts w:hint="eastAsia" w:ascii="宋体" w:hAnsi="宋体" w:eastAsia="宋体"/>
          <w:b/>
          <w:bCs/>
          <w:sz w:val="24"/>
        </w:rPr>
        <w:t>9.投标文件的编制</w:t>
      </w:r>
      <w:bookmarkEnd w:id="170"/>
      <w:bookmarkEnd w:id="171"/>
      <w:bookmarkEnd w:id="172"/>
      <w:bookmarkEnd w:id="173"/>
      <w:bookmarkEnd w:id="174"/>
      <w:bookmarkEnd w:id="175"/>
    </w:p>
    <w:p>
      <w:pPr>
        <w:widowControl/>
        <w:shd w:val="clear" w:color="auto" w:fill="FFFFFF"/>
        <w:spacing w:line="440" w:lineRule="exact"/>
        <w:ind w:firstLine="420"/>
        <w:rPr>
          <w:rFonts w:ascii="宋体" w:hAnsi="宋体"/>
          <w:kern w:val="0"/>
          <w:szCs w:val="21"/>
        </w:rPr>
      </w:pPr>
      <w:r>
        <w:rPr>
          <w:rFonts w:hint="eastAsia" w:ascii="宋体" w:hAnsi="宋体"/>
          <w:kern w:val="0"/>
          <w:szCs w:val="21"/>
        </w:rPr>
        <w:t>9.1投标人须按招标文件第六章“投标文件格式及附件”编制投标文件。</w:t>
      </w:r>
    </w:p>
    <w:p>
      <w:pPr>
        <w:widowControl/>
        <w:shd w:val="clear" w:color="auto" w:fill="FFFFFF"/>
        <w:spacing w:line="440" w:lineRule="exact"/>
        <w:ind w:firstLine="420"/>
        <w:rPr>
          <w:rFonts w:ascii="宋体" w:hAnsi="宋体"/>
          <w:kern w:val="0"/>
          <w:szCs w:val="21"/>
        </w:rPr>
      </w:pPr>
      <w:r>
        <w:rPr>
          <w:rFonts w:hint="eastAsia" w:ascii="宋体" w:hAnsi="宋体"/>
          <w:kern w:val="0"/>
          <w:szCs w:val="21"/>
        </w:rPr>
        <w:t>9.2投标人应在投标文件中写清相应的招标文件编号、投标人全称、地址、电话、传真，并由授权代表签字或盖章。</w:t>
      </w:r>
    </w:p>
    <w:p>
      <w:pPr>
        <w:widowControl/>
        <w:shd w:val="clear" w:color="auto" w:fill="FFFFFF"/>
        <w:spacing w:line="440" w:lineRule="exact"/>
        <w:ind w:firstLine="420"/>
        <w:rPr>
          <w:rFonts w:ascii="宋体" w:hAnsi="宋体"/>
          <w:kern w:val="0"/>
          <w:szCs w:val="21"/>
        </w:rPr>
      </w:pPr>
      <w:r>
        <w:rPr>
          <w:rFonts w:hint="eastAsia" w:ascii="宋体" w:hAnsi="宋体"/>
          <w:kern w:val="0"/>
          <w:szCs w:val="21"/>
        </w:rPr>
        <w:t>9.3不允许投标人就招标项目清单中单独一个分包的一部分进行投标。</w:t>
      </w:r>
    </w:p>
    <w:p>
      <w:pPr>
        <w:widowControl/>
        <w:shd w:val="clear" w:color="auto" w:fill="FFFFFF"/>
        <w:spacing w:line="440" w:lineRule="exact"/>
        <w:ind w:firstLine="420"/>
        <w:rPr>
          <w:rFonts w:ascii="宋体" w:hAnsi="宋体"/>
          <w:kern w:val="0"/>
          <w:szCs w:val="21"/>
        </w:rPr>
      </w:pPr>
      <w:r>
        <w:rPr>
          <w:rFonts w:hint="eastAsia" w:ascii="宋体" w:hAnsi="宋体"/>
          <w:kern w:val="0"/>
          <w:szCs w:val="21"/>
        </w:rPr>
        <w:t>9.4投标一览表须按填表说明详细填写,价格、数量均按此表为准；如有优惠条件须在此表中详细说明。</w:t>
      </w:r>
    </w:p>
    <w:p>
      <w:pPr>
        <w:widowControl/>
        <w:shd w:val="clear" w:color="auto" w:fill="FFFFFF"/>
        <w:spacing w:line="440" w:lineRule="exact"/>
        <w:ind w:firstLine="420"/>
        <w:rPr>
          <w:rFonts w:ascii="宋体" w:hAnsi="宋体"/>
          <w:kern w:val="0"/>
          <w:szCs w:val="21"/>
        </w:rPr>
      </w:pPr>
      <w:r>
        <w:rPr>
          <w:rFonts w:hint="eastAsia" w:ascii="宋体" w:hAnsi="宋体"/>
          <w:kern w:val="0"/>
          <w:szCs w:val="21"/>
        </w:rPr>
        <w:t>9.5投标产品规格及技术参数偏离表，投标人须按表填明对招标产品在规格及参数等方面的响应情况，并由授权代表逐页签字或盖章。未按上述要求制作投标文件，其投标文件将被拒绝接受。</w:t>
      </w:r>
    </w:p>
    <w:p>
      <w:pPr>
        <w:widowControl/>
        <w:shd w:val="clear" w:color="auto" w:fill="FFFFFF"/>
        <w:spacing w:line="440" w:lineRule="exact"/>
        <w:ind w:firstLine="420"/>
        <w:rPr>
          <w:rFonts w:ascii="宋体" w:hAnsi="宋体"/>
          <w:kern w:val="0"/>
          <w:szCs w:val="21"/>
        </w:rPr>
      </w:pPr>
      <w:r>
        <w:rPr>
          <w:rFonts w:hint="eastAsia" w:ascii="宋体" w:hAnsi="宋体"/>
          <w:kern w:val="0"/>
          <w:szCs w:val="21"/>
        </w:rPr>
        <w:t>9.6投标人应按照招标文件所规定的内容顺序，统一编制目录，逐页编码。由于编排混乱导致投标文件被误读或查找不到，责任由投标人承担。</w:t>
      </w:r>
    </w:p>
    <w:p>
      <w:pPr>
        <w:pStyle w:val="4"/>
        <w:spacing w:line="440" w:lineRule="exact"/>
        <w:ind w:left="0" w:firstLine="482" w:firstLineChars="200"/>
        <w:jc w:val="both"/>
        <w:rPr>
          <w:rFonts w:ascii="宋体" w:hAnsi="宋体" w:eastAsia="宋体"/>
          <w:b/>
          <w:bCs/>
          <w:sz w:val="24"/>
        </w:rPr>
      </w:pPr>
      <w:bookmarkStart w:id="176" w:name="_Toc30963"/>
      <w:bookmarkStart w:id="177" w:name="_Toc9747"/>
      <w:bookmarkStart w:id="178" w:name="_Toc6512"/>
      <w:bookmarkStart w:id="179" w:name="_Toc1148"/>
      <w:bookmarkStart w:id="180" w:name="_Toc11903"/>
      <w:bookmarkStart w:id="181" w:name="_Toc18911"/>
      <w:r>
        <w:rPr>
          <w:rFonts w:hint="eastAsia" w:ascii="宋体" w:hAnsi="宋体" w:eastAsia="宋体"/>
          <w:b/>
          <w:bCs/>
          <w:sz w:val="24"/>
        </w:rPr>
        <w:t>10.投标文件的组成</w:t>
      </w:r>
      <w:bookmarkEnd w:id="176"/>
      <w:bookmarkEnd w:id="177"/>
      <w:bookmarkEnd w:id="178"/>
      <w:bookmarkEnd w:id="179"/>
      <w:bookmarkEnd w:id="180"/>
      <w:bookmarkEnd w:id="181"/>
    </w:p>
    <w:p>
      <w:pPr>
        <w:overflowPunct w:val="0"/>
        <w:spacing w:line="440" w:lineRule="exact"/>
        <w:ind w:firstLine="420" w:firstLineChars="200"/>
        <w:rPr>
          <w:rFonts w:ascii="宋体"/>
          <w:bCs/>
        </w:rPr>
      </w:pPr>
      <w:r>
        <w:rPr>
          <w:rFonts w:hint="eastAsia" w:ascii="宋体"/>
          <w:bCs/>
        </w:rPr>
        <w:t>10</w:t>
      </w:r>
      <w:r>
        <w:rPr>
          <w:rFonts w:ascii="宋体"/>
          <w:bCs/>
        </w:rPr>
        <w:t>.</w:t>
      </w:r>
      <w:r>
        <w:rPr>
          <w:rFonts w:hint="eastAsia" w:ascii="宋体"/>
          <w:bCs/>
        </w:rPr>
        <w:t>1投标人的投标文件应包括下列部分：</w:t>
      </w:r>
    </w:p>
    <w:p>
      <w:pPr>
        <w:kinsoku w:val="0"/>
        <w:spacing w:line="440" w:lineRule="exact"/>
        <w:rPr>
          <w:rFonts w:ascii="宋体"/>
          <w:bCs/>
        </w:rPr>
      </w:pPr>
      <w:r>
        <w:rPr>
          <w:rFonts w:ascii="宋体"/>
          <w:bCs/>
        </w:rPr>
        <w:t>(1)</w:t>
      </w:r>
      <w:r>
        <w:rPr>
          <w:rFonts w:hint="eastAsia" w:ascii="宋体"/>
          <w:bCs/>
        </w:rPr>
        <w:t>按第11项规定，提供证明投标人是合法的，有投标资格的并在中标后有能力执行合同的证明文件。</w:t>
      </w:r>
    </w:p>
    <w:p>
      <w:pPr>
        <w:kinsoku w:val="0"/>
        <w:spacing w:line="440" w:lineRule="exact"/>
        <w:rPr>
          <w:rFonts w:ascii="宋体"/>
          <w:bCs/>
        </w:rPr>
      </w:pPr>
      <w:r>
        <w:rPr>
          <w:rFonts w:ascii="宋体"/>
          <w:bCs/>
        </w:rPr>
        <w:t>(2)</w:t>
      </w:r>
      <w:r>
        <w:rPr>
          <w:rFonts w:hint="eastAsia" w:ascii="宋体"/>
          <w:bCs/>
        </w:rPr>
        <w:t>按第12项规定，投标人提供的产品是合格的并符合招标文件要求的证明文件。</w:t>
      </w:r>
    </w:p>
    <w:p>
      <w:pPr>
        <w:kinsoku w:val="0"/>
        <w:spacing w:line="440" w:lineRule="exact"/>
        <w:rPr>
          <w:rFonts w:ascii="宋体"/>
          <w:bCs/>
        </w:rPr>
      </w:pPr>
      <w:r>
        <w:rPr>
          <w:rFonts w:ascii="宋体"/>
          <w:bCs/>
        </w:rPr>
        <w:t>(3)</w:t>
      </w:r>
      <w:r>
        <w:rPr>
          <w:rFonts w:hint="eastAsia" w:ascii="宋体"/>
          <w:bCs/>
        </w:rPr>
        <w:t>按第8和第13项规定，提供投标函、投标一览表、投标产品技术参数偏离表等。</w:t>
      </w:r>
    </w:p>
    <w:p>
      <w:pPr>
        <w:spacing w:line="440" w:lineRule="exact"/>
        <w:jc w:val="left"/>
        <w:rPr>
          <w:rFonts w:ascii="宋体"/>
          <w:bCs/>
        </w:rPr>
      </w:pPr>
      <w:r>
        <w:rPr>
          <w:rFonts w:ascii="宋体"/>
          <w:bCs/>
        </w:rPr>
        <w:t>(</w:t>
      </w:r>
      <w:r>
        <w:rPr>
          <w:rFonts w:hint="eastAsia" w:ascii="宋体"/>
          <w:bCs/>
        </w:rPr>
        <w:t>4</w:t>
      </w:r>
      <w:r>
        <w:rPr>
          <w:rFonts w:ascii="宋体"/>
          <w:bCs/>
        </w:rPr>
        <w:t>)</w:t>
      </w:r>
      <w:r>
        <w:rPr>
          <w:rFonts w:hint="eastAsia" w:ascii="宋体"/>
          <w:bCs/>
        </w:rPr>
        <w:t>投标单位可自报优惠条件，供评标时参考。</w:t>
      </w:r>
    </w:p>
    <w:p>
      <w:pPr>
        <w:spacing w:line="440" w:lineRule="exact"/>
        <w:rPr>
          <w:rFonts w:ascii="宋体"/>
          <w:bCs/>
        </w:rPr>
      </w:pPr>
      <w:r>
        <w:rPr>
          <w:rFonts w:ascii="宋体"/>
          <w:bCs/>
        </w:rPr>
        <w:t>(</w:t>
      </w:r>
      <w:r>
        <w:rPr>
          <w:rFonts w:hint="eastAsia" w:ascii="宋体"/>
          <w:bCs/>
        </w:rPr>
        <w:t>5</w:t>
      </w:r>
      <w:r>
        <w:rPr>
          <w:rFonts w:ascii="宋体"/>
          <w:bCs/>
        </w:rPr>
        <w:t>)</w:t>
      </w:r>
      <w:r>
        <w:rPr>
          <w:rFonts w:hint="eastAsia" w:ascii="宋体"/>
          <w:bCs/>
        </w:rPr>
        <w:t>其他说明</w:t>
      </w:r>
    </w:p>
    <w:p>
      <w:pPr>
        <w:pStyle w:val="4"/>
        <w:spacing w:line="440" w:lineRule="exact"/>
        <w:ind w:left="0" w:firstLine="482" w:firstLineChars="200"/>
        <w:jc w:val="both"/>
        <w:rPr>
          <w:rFonts w:ascii="宋体" w:hAnsi="宋体" w:eastAsia="宋体"/>
          <w:b/>
          <w:bCs/>
          <w:sz w:val="24"/>
        </w:rPr>
      </w:pPr>
      <w:bookmarkStart w:id="182" w:name="_Toc8008"/>
      <w:bookmarkStart w:id="183" w:name="_Toc14718"/>
      <w:bookmarkStart w:id="184" w:name="_Toc18037"/>
      <w:bookmarkStart w:id="185" w:name="_Toc2491"/>
      <w:bookmarkStart w:id="186" w:name="_Toc31874"/>
      <w:bookmarkStart w:id="187" w:name="_Toc6640"/>
      <w:r>
        <w:rPr>
          <w:rFonts w:hint="eastAsia" w:ascii="宋体" w:hAnsi="宋体" w:eastAsia="宋体"/>
          <w:b/>
          <w:bCs/>
          <w:sz w:val="24"/>
        </w:rPr>
        <w:t>11.投标资格文件（投标资格不符合，将被拒绝接受或视为无效）</w:t>
      </w:r>
      <w:bookmarkEnd w:id="182"/>
      <w:bookmarkEnd w:id="183"/>
      <w:bookmarkEnd w:id="184"/>
      <w:bookmarkEnd w:id="185"/>
      <w:bookmarkEnd w:id="186"/>
      <w:bookmarkEnd w:id="187"/>
    </w:p>
    <w:p>
      <w:pPr>
        <w:widowControl/>
        <w:shd w:val="clear" w:color="auto" w:fill="FFFFFF"/>
        <w:spacing w:line="440" w:lineRule="exact"/>
        <w:ind w:firstLine="420"/>
        <w:rPr>
          <w:rFonts w:ascii="宋体" w:hAnsi="宋体"/>
          <w:kern w:val="0"/>
          <w:szCs w:val="21"/>
        </w:rPr>
      </w:pPr>
      <w:bookmarkStart w:id="188" w:name="OLE_LINK4"/>
      <w:r>
        <w:rPr>
          <w:rFonts w:hint="eastAsia" w:ascii="宋体" w:hAnsi="宋体"/>
          <w:kern w:val="0"/>
          <w:szCs w:val="21"/>
        </w:rPr>
        <w:t>投标需要根据下列几项要求作资格介绍，这些文件应作为投标文件的一部分一起递交给招标代理机构。</w:t>
      </w:r>
    </w:p>
    <w:p>
      <w:pPr>
        <w:widowControl/>
        <w:shd w:val="clear" w:color="auto" w:fill="FFFFFF"/>
        <w:spacing w:line="360" w:lineRule="auto"/>
        <w:ind w:firstLine="284"/>
        <w:rPr>
          <w:rFonts w:ascii="Arial" w:hAnsi="Arial" w:cs="Arial"/>
          <w:kern w:val="0"/>
          <w:szCs w:val="21"/>
        </w:rPr>
      </w:pPr>
      <w:r>
        <w:rPr>
          <w:rFonts w:ascii="Arial" w:hAnsi="Arial" w:cs="Arial"/>
          <w:kern w:val="0"/>
          <w:szCs w:val="21"/>
        </w:rPr>
        <w:t>1)</w:t>
      </w:r>
      <w:r>
        <w:rPr>
          <w:rFonts w:hint="eastAsia" w:ascii="Arial" w:hAnsi="Arial" w:cs="Arial"/>
        </w:rPr>
        <w:t>具有独立承担民事责任的能力，提供法人或其他组织的营业执照等证明文件，复印件加盖公章</w:t>
      </w:r>
      <w:r>
        <w:rPr>
          <w:rFonts w:hint="eastAsia"/>
          <w:szCs w:val="21"/>
        </w:rPr>
        <w:t>；</w:t>
      </w:r>
    </w:p>
    <w:p>
      <w:pPr>
        <w:widowControl/>
        <w:shd w:val="clear" w:color="auto" w:fill="FFFFFF"/>
        <w:spacing w:line="360" w:lineRule="auto"/>
        <w:ind w:firstLine="284"/>
        <w:rPr>
          <w:rFonts w:ascii="Arial" w:hAnsi="Arial" w:cs="Arial"/>
          <w:kern w:val="0"/>
          <w:szCs w:val="21"/>
        </w:rPr>
      </w:pPr>
      <w:r>
        <w:rPr>
          <w:rFonts w:ascii="Arial" w:hAnsi="Arial" w:cs="Arial"/>
          <w:kern w:val="0"/>
          <w:szCs w:val="21"/>
        </w:rPr>
        <w:t>2)法人代表授权书（原件）及法定代表人、授权代表身份证复印件</w:t>
      </w:r>
      <w:r>
        <w:rPr>
          <w:rFonts w:hint="eastAsia" w:ascii="Arial" w:hAnsi="Arial" w:cs="Arial"/>
          <w:kern w:val="0"/>
          <w:szCs w:val="21"/>
        </w:rPr>
        <w:t>（如果是法定代表人直接参与投标的可以不提供授权书）；</w:t>
      </w:r>
    </w:p>
    <w:p>
      <w:pPr>
        <w:pStyle w:val="32"/>
        <w:spacing w:before="0" w:beforeAutospacing="0" w:after="0" w:afterAutospacing="0" w:line="440" w:lineRule="exact"/>
        <w:ind w:firstLine="210" w:firstLineChars="100"/>
        <w:textAlignment w:val="baseline"/>
        <w:rPr>
          <w:rFonts w:ascii="Arial" w:hAnsi="Arial" w:eastAsia="宋体" w:cs="Arial"/>
          <w:color w:val="auto"/>
          <w:sz w:val="21"/>
          <w:szCs w:val="21"/>
        </w:rPr>
      </w:pPr>
      <w:r>
        <w:rPr>
          <w:rFonts w:ascii="Arial" w:hAnsi="Arial" w:eastAsia="宋体" w:cs="Arial"/>
          <w:color w:val="auto"/>
          <w:sz w:val="21"/>
          <w:szCs w:val="21"/>
        </w:rPr>
        <w:t>3)</w:t>
      </w:r>
      <w:r>
        <w:rPr>
          <w:rFonts w:hint="eastAsia" w:ascii="Arial" w:hAnsi="Arial" w:eastAsia="宋体" w:cs="Arial"/>
          <w:color w:val="auto"/>
          <w:sz w:val="21"/>
          <w:szCs w:val="21"/>
        </w:rPr>
        <w:t>供应商</w:t>
      </w:r>
      <w:r>
        <w:rPr>
          <w:rFonts w:ascii="Arial" w:hAnsi="Arial" w:eastAsia="宋体" w:cs="Arial"/>
          <w:color w:val="auto"/>
          <w:sz w:val="21"/>
          <w:szCs w:val="21"/>
        </w:rPr>
        <w:t>必须是所投产品的制造商或代理商，</w:t>
      </w:r>
      <w:r>
        <w:rPr>
          <w:rFonts w:hint="eastAsia" w:ascii="Arial" w:hAnsi="Arial" w:eastAsia="宋体" w:cs="Arial"/>
          <w:color w:val="auto"/>
          <w:sz w:val="21"/>
          <w:szCs w:val="21"/>
        </w:rPr>
        <w:t>若投标人不是投标产品制造商的，投标人必须具有下列授权文件之一（本条只适用于进口产品）：</w:t>
      </w:r>
    </w:p>
    <w:p>
      <w:pPr>
        <w:pStyle w:val="32"/>
        <w:spacing w:before="0" w:beforeAutospacing="0" w:after="0" w:afterAutospacing="0" w:line="440" w:lineRule="exact"/>
        <w:ind w:firstLine="105" w:firstLineChars="50"/>
        <w:textAlignment w:val="baseline"/>
        <w:rPr>
          <w:rFonts w:ascii="宋体" w:hAnsi="宋体" w:eastAsia="宋体" w:cs="宋体"/>
          <w:color w:val="auto"/>
          <w:sz w:val="21"/>
          <w:szCs w:val="21"/>
        </w:rPr>
      </w:pPr>
      <w:r>
        <w:rPr>
          <w:rFonts w:hint="eastAsia" w:ascii="宋体" w:hAnsi="宋体" w:eastAsia="宋体" w:cs="宋体"/>
          <w:color w:val="auto"/>
          <w:sz w:val="21"/>
          <w:szCs w:val="21"/>
        </w:rPr>
        <w:t>a.供应商必须提供制造商出具的授权函正本；</w:t>
      </w:r>
    </w:p>
    <w:p>
      <w:pPr>
        <w:pStyle w:val="32"/>
        <w:spacing w:before="0" w:beforeAutospacing="0" w:after="0" w:afterAutospacing="0" w:line="44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 xml:space="preserve"> b.制造商的国内全资子公司出具的授权函正本；</w:t>
      </w:r>
    </w:p>
    <w:p>
      <w:pPr>
        <w:pStyle w:val="32"/>
        <w:spacing w:before="0" w:beforeAutospacing="0" w:after="0" w:afterAutospacing="0" w:line="44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 xml:space="preserve"> c.制造商对授权的区域代理商出具的授权函复印件及该区域代理商出具的授权函正本；</w:t>
      </w:r>
    </w:p>
    <w:p>
      <w:pPr>
        <w:pStyle w:val="32"/>
        <w:spacing w:before="0" w:beforeAutospacing="0" w:after="0" w:afterAutospacing="0" w:line="44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 xml:space="preserve"> d.投标人取得的产品代理证书复印件(正本备查)。</w:t>
      </w:r>
    </w:p>
    <w:p>
      <w:pPr>
        <w:widowControl/>
        <w:shd w:val="clear" w:color="auto" w:fill="FFFFFF"/>
        <w:spacing w:line="360" w:lineRule="auto"/>
        <w:ind w:firstLine="284"/>
        <w:rPr>
          <w:rFonts w:ascii="Arial" w:hAnsi="Arial" w:cs="Arial"/>
          <w:kern w:val="0"/>
          <w:szCs w:val="21"/>
        </w:rPr>
      </w:pPr>
      <w:r>
        <w:rPr>
          <w:rFonts w:ascii="Arial" w:hAnsi="Arial" w:cs="Arial"/>
          <w:kern w:val="0"/>
          <w:szCs w:val="21"/>
        </w:rPr>
        <w:t>4)</w:t>
      </w:r>
      <w:r>
        <w:rPr>
          <w:rFonts w:hint="eastAsia" w:ascii="Arial" w:hAnsi="Arial" w:cs="Arial"/>
          <w:kern w:val="0"/>
          <w:szCs w:val="21"/>
        </w:rPr>
        <w:t>具有良好的商业信誉和健全的财务会计制度，提供</w:t>
      </w:r>
      <w:r>
        <w:rPr>
          <w:rFonts w:hint="eastAsia" w:ascii="Arial" w:hAnsi="Arial" w:cs="Arial"/>
        </w:rPr>
        <w:t>距开标时间半年内任意一月份的</w:t>
      </w:r>
      <w:r>
        <w:rPr>
          <w:rFonts w:hint="eastAsia" w:ascii="Arial" w:hAnsi="Arial" w:cs="Arial"/>
          <w:kern w:val="0"/>
          <w:szCs w:val="21"/>
        </w:rPr>
        <w:t>财务状况报告（至少包括资产负债表和利润表）（法人或者其他组织成立未满三个月的可以不提供），或其银行出具的资信证书（复印件）（开标前半年内），或其上一年度经审计的财务报告复印件加盖公章；</w:t>
      </w:r>
    </w:p>
    <w:p>
      <w:pPr>
        <w:widowControl/>
        <w:shd w:val="clear" w:color="auto" w:fill="FFFFFF"/>
        <w:spacing w:line="360" w:lineRule="auto"/>
        <w:ind w:firstLine="284"/>
        <w:rPr>
          <w:rFonts w:ascii="Arial" w:hAnsi="Arial" w:cs="Arial"/>
          <w:kern w:val="0"/>
          <w:szCs w:val="21"/>
        </w:rPr>
      </w:pPr>
      <w:r>
        <w:rPr>
          <w:rFonts w:ascii="Arial" w:hAnsi="Arial" w:cs="Arial"/>
          <w:kern w:val="0"/>
          <w:szCs w:val="21"/>
        </w:rPr>
        <w:t>5)参加政府采购活动近三年内</w:t>
      </w:r>
      <w:r>
        <w:rPr>
          <w:rFonts w:hint="eastAsia" w:ascii="Arial" w:hAnsi="Arial" w:cs="Arial"/>
        </w:rPr>
        <w:t>（成立时间不足三年的、自成立时间起）</w:t>
      </w:r>
      <w:r>
        <w:rPr>
          <w:rFonts w:ascii="Arial" w:hAnsi="Arial" w:cs="Arial"/>
          <w:kern w:val="0"/>
          <w:szCs w:val="21"/>
        </w:rPr>
        <w:t>，在经营活动中没有重大违法记录（提供承诺书，格式自拟</w:t>
      </w:r>
      <w:r>
        <w:rPr>
          <w:rFonts w:hint="eastAsia" w:ascii="Arial" w:hAnsi="Arial" w:cs="Arial"/>
          <w:kern w:val="0"/>
          <w:szCs w:val="21"/>
        </w:rPr>
        <w:t>，</w:t>
      </w:r>
      <w:r>
        <w:rPr>
          <w:rFonts w:hint="eastAsia" w:ascii="Arial" w:hAnsi="Arial" w:cs="Arial"/>
        </w:rPr>
        <w:t>重大违法记录是指供应商因违法经营受到刑事处罚或责令停产停业、吊销许可证或者执照、较大数额等行政处罚</w:t>
      </w:r>
      <w:r>
        <w:rPr>
          <w:rFonts w:ascii="Arial" w:hAnsi="Arial" w:cs="Arial"/>
          <w:kern w:val="0"/>
          <w:szCs w:val="21"/>
        </w:rPr>
        <w:t>）</w:t>
      </w:r>
      <w:r>
        <w:rPr>
          <w:rFonts w:hint="eastAsia" w:ascii="Arial" w:hAnsi="Arial" w:cs="Arial"/>
          <w:kern w:val="0"/>
          <w:szCs w:val="21"/>
        </w:rPr>
        <w:t>；</w:t>
      </w:r>
    </w:p>
    <w:p>
      <w:pPr>
        <w:widowControl/>
        <w:shd w:val="clear" w:color="auto" w:fill="FFFFFF"/>
        <w:spacing w:line="360" w:lineRule="auto"/>
        <w:ind w:firstLine="284"/>
        <w:rPr>
          <w:rFonts w:ascii="Arial" w:hAnsi="Arial" w:cs="Arial"/>
          <w:kern w:val="0"/>
          <w:szCs w:val="21"/>
        </w:rPr>
      </w:pPr>
      <w:r>
        <w:rPr>
          <w:rFonts w:ascii="Arial" w:hAnsi="Arial" w:cs="Arial"/>
          <w:kern w:val="0"/>
          <w:szCs w:val="21"/>
        </w:rPr>
        <w:t>6)</w:t>
      </w:r>
      <w:r>
        <w:rPr>
          <w:rFonts w:hint="eastAsia"/>
        </w:rPr>
        <w:t>有依法缴纳税收的良好记录</w:t>
      </w:r>
      <w:r>
        <w:rPr>
          <w:rFonts w:hint="eastAsia" w:ascii="Arial" w:hAnsi="Arial" w:cs="Arial"/>
          <w:kern w:val="0"/>
          <w:szCs w:val="21"/>
        </w:rPr>
        <w:t>，</w:t>
      </w:r>
      <w:r>
        <w:rPr>
          <w:rFonts w:hint="eastAsia" w:ascii="Arial" w:hAnsi="Arial" w:cs="Arial"/>
        </w:rPr>
        <w:t>提供距开标时间半年内任意一月份的纳税凭据复印件加盖公章（依法免税的应提供相应文件说明）；</w:t>
      </w:r>
    </w:p>
    <w:p>
      <w:pPr>
        <w:widowControl/>
        <w:shd w:val="clear" w:color="auto" w:fill="FFFFFF"/>
        <w:spacing w:line="360" w:lineRule="auto"/>
        <w:ind w:firstLine="284"/>
        <w:rPr>
          <w:rFonts w:ascii="Arial" w:hAnsi="Arial" w:cs="Arial"/>
        </w:rPr>
      </w:pPr>
      <w:r>
        <w:rPr>
          <w:rFonts w:ascii="Arial" w:hAnsi="Arial" w:cs="Arial"/>
          <w:kern w:val="0"/>
          <w:szCs w:val="21"/>
        </w:rPr>
        <w:t>7)</w:t>
      </w:r>
      <w:r>
        <w:rPr>
          <w:rFonts w:hint="eastAsia" w:ascii="Arial" w:hAnsi="Arial" w:cs="Arial"/>
          <w:kern w:val="0"/>
          <w:szCs w:val="21"/>
        </w:rPr>
        <w:t>有依法缴纳</w:t>
      </w:r>
      <w:r>
        <w:rPr>
          <w:rFonts w:hint="eastAsia"/>
        </w:rPr>
        <w:t>社会保障资金的良好记录</w:t>
      </w:r>
      <w:r>
        <w:rPr>
          <w:rFonts w:hint="eastAsia" w:ascii="Arial" w:hAnsi="Arial" w:cs="Arial"/>
          <w:kern w:val="0"/>
          <w:szCs w:val="21"/>
        </w:rPr>
        <w:t>，</w:t>
      </w:r>
      <w:r>
        <w:rPr>
          <w:rFonts w:hint="eastAsia" w:ascii="Arial" w:hAnsi="Arial" w:cs="Arial"/>
        </w:rPr>
        <w:t>提供距开标时间半年内内任意一月份的依法缴纳社会保障资金的凭据复印件加盖公章</w:t>
      </w:r>
    </w:p>
    <w:p>
      <w:pPr>
        <w:widowControl/>
        <w:shd w:val="clear" w:color="auto" w:fill="FFFFFF"/>
        <w:spacing w:line="360" w:lineRule="auto"/>
        <w:ind w:firstLine="284"/>
        <w:rPr>
          <w:rFonts w:ascii="Arial" w:hAnsi="Arial" w:cs="Arial"/>
        </w:rPr>
      </w:pPr>
      <w:r>
        <w:rPr>
          <w:rFonts w:ascii="Arial" w:hAnsi="Arial" w:cs="Arial"/>
        </w:rPr>
        <w:t>8</w:t>
      </w:r>
      <w:r>
        <w:rPr>
          <w:rFonts w:hint="eastAsia" w:ascii="Arial" w:hAnsi="Arial" w:cs="Arial"/>
        </w:rPr>
        <w:t>)本次项目不接受联合体投标。</w:t>
      </w:r>
    </w:p>
    <w:bookmarkEnd w:id="188"/>
    <w:p>
      <w:pPr>
        <w:pStyle w:val="4"/>
        <w:spacing w:line="440" w:lineRule="exact"/>
        <w:ind w:left="0" w:firstLine="482" w:firstLineChars="200"/>
        <w:jc w:val="both"/>
        <w:rPr>
          <w:rFonts w:ascii="宋体" w:hAnsi="宋体" w:eastAsia="宋体"/>
          <w:b/>
          <w:bCs/>
          <w:sz w:val="24"/>
        </w:rPr>
      </w:pPr>
      <w:bookmarkStart w:id="189" w:name="_Toc148"/>
      <w:bookmarkStart w:id="190" w:name="_Toc19912"/>
      <w:bookmarkStart w:id="191" w:name="_Toc17342"/>
      <w:bookmarkStart w:id="192" w:name="_Toc30523"/>
      <w:bookmarkStart w:id="193" w:name="_Toc15946"/>
      <w:bookmarkStart w:id="194" w:name="_Toc28418"/>
      <w:r>
        <w:rPr>
          <w:rFonts w:hint="eastAsia" w:ascii="宋体" w:hAnsi="宋体" w:eastAsia="宋体"/>
          <w:b/>
          <w:bCs/>
          <w:sz w:val="24"/>
        </w:rPr>
        <w:t>12.产品合格文件</w:t>
      </w:r>
      <w:bookmarkEnd w:id="189"/>
      <w:bookmarkEnd w:id="190"/>
      <w:bookmarkEnd w:id="191"/>
      <w:bookmarkEnd w:id="192"/>
      <w:bookmarkEnd w:id="193"/>
      <w:bookmarkEnd w:id="194"/>
    </w:p>
    <w:p>
      <w:pPr>
        <w:widowControl/>
        <w:shd w:val="clear" w:color="auto" w:fill="FFFFFF"/>
        <w:spacing w:line="440" w:lineRule="exact"/>
        <w:ind w:firstLine="420"/>
        <w:rPr>
          <w:rFonts w:ascii="宋体" w:hAnsi="宋体"/>
          <w:kern w:val="0"/>
          <w:szCs w:val="21"/>
        </w:rPr>
      </w:pPr>
      <w:r>
        <w:rPr>
          <w:rFonts w:hint="eastAsia" w:ascii="宋体" w:hAnsi="宋体"/>
          <w:kern w:val="0"/>
          <w:szCs w:val="21"/>
        </w:rPr>
        <w:t>12.1作为投标文件的一部分，投标人必须提供所供应的产品是合格的、并符合招标文件要求的证明文件。</w:t>
      </w:r>
    </w:p>
    <w:p>
      <w:pPr>
        <w:widowControl/>
        <w:shd w:val="clear" w:color="auto" w:fill="FFFFFF"/>
        <w:spacing w:line="440" w:lineRule="exact"/>
        <w:ind w:firstLine="420"/>
        <w:rPr>
          <w:rFonts w:ascii="宋体" w:hAnsi="宋体"/>
          <w:kern w:val="0"/>
          <w:szCs w:val="21"/>
        </w:rPr>
      </w:pPr>
      <w:r>
        <w:rPr>
          <w:rFonts w:hint="eastAsia" w:ascii="宋体" w:hAnsi="宋体"/>
          <w:kern w:val="0"/>
          <w:szCs w:val="21"/>
        </w:rPr>
        <w:t>12.2证明产品和服务都符合招标文件要求的文件可以是说明书、图样和资料，并须提供：</w:t>
      </w:r>
    </w:p>
    <w:p>
      <w:pPr>
        <w:widowControl/>
        <w:shd w:val="clear" w:color="auto" w:fill="FFFFFF"/>
        <w:spacing w:line="440" w:lineRule="exact"/>
        <w:ind w:firstLine="420"/>
        <w:rPr>
          <w:rFonts w:ascii="宋体" w:hAnsi="宋体"/>
          <w:kern w:val="0"/>
          <w:szCs w:val="21"/>
        </w:rPr>
      </w:pPr>
      <w:r>
        <w:rPr>
          <w:rFonts w:hint="eastAsia" w:ascii="宋体" w:hAnsi="宋体"/>
          <w:kern w:val="0"/>
          <w:szCs w:val="21"/>
        </w:rPr>
        <w:t>（1）有关制造情况和近三年供应同类或相似产品用户名单，以及设备质量保证书复印件；（如需要）</w:t>
      </w:r>
    </w:p>
    <w:p>
      <w:pPr>
        <w:widowControl/>
        <w:shd w:val="clear" w:color="auto" w:fill="FFFFFF"/>
        <w:spacing w:line="440" w:lineRule="exact"/>
        <w:ind w:firstLine="420"/>
        <w:rPr>
          <w:rFonts w:ascii="宋体" w:hAnsi="宋体"/>
          <w:kern w:val="0"/>
          <w:szCs w:val="21"/>
        </w:rPr>
      </w:pPr>
      <w:r>
        <w:rPr>
          <w:rFonts w:hint="eastAsia" w:ascii="宋体" w:hAnsi="宋体"/>
          <w:kern w:val="0"/>
          <w:szCs w:val="21"/>
        </w:rPr>
        <w:t>（2）产品的主要技术数据和性能的详细描述；</w:t>
      </w:r>
    </w:p>
    <w:p>
      <w:pPr>
        <w:widowControl/>
        <w:shd w:val="clear" w:color="auto" w:fill="FFFFFF"/>
        <w:spacing w:line="440" w:lineRule="exact"/>
        <w:ind w:firstLine="420"/>
        <w:rPr>
          <w:rFonts w:ascii="宋体" w:hAnsi="宋体"/>
          <w:kern w:val="0"/>
          <w:szCs w:val="21"/>
        </w:rPr>
      </w:pPr>
      <w:r>
        <w:rPr>
          <w:rFonts w:hint="eastAsia" w:ascii="宋体" w:hAnsi="宋体"/>
          <w:kern w:val="0"/>
          <w:szCs w:val="21"/>
        </w:rPr>
        <w:t>（3）根据招标文件的技术要求逐条说明产品对技术要求的适合性，如有不符之处，应说明其差别之所在；</w:t>
      </w:r>
    </w:p>
    <w:p>
      <w:pPr>
        <w:pStyle w:val="4"/>
        <w:spacing w:line="440" w:lineRule="exact"/>
        <w:ind w:left="0" w:firstLine="482" w:firstLineChars="200"/>
        <w:jc w:val="both"/>
        <w:rPr>
          <w:rFonts w:ascii="宋体" w:hAnsi="宋体" w:eastAsia="宋体"/>
          <w:b/>
          <w:bCs/>
          <w:sz w:val="24"/>
        </w:rPr>
      </w:pPr>
      <w:bookmarkStart w:id="195" w:name="_Toc13534"/>
      <w:bookmarkStart w:id="196" w:name="_Toc22944"/>
      <w:bookmarkStart w:id="197" w:name="_Toc1330"/>
      <w:bookmarkStart w:id="198" w:name="_Toc74"/>
      <w:bookmarkStart w:id="199" w:name="_Toc16416"/>
      <w:bookmarkStart w:id="200" w:name="_Toc22143"/>
      <w:r>
        <w:rPr>
          <w:rFonts w:hint="eastAsia" w:ascii="宋体" w:hAnsi="宋体" w:eastAsia="宋体"/>
          <w:b/>
          <w:bCs/>
          <w:sz w:val="24"/>
        </w:rPr>
        <w:t>13.所供产品的价格</w:t>
      </w:r>
      <w:bookmarkEnd w:id="195"/>
      <w:bookmarkEnd w:id="196"/>
      <w:bookmarkEnd w:id="197"/>
      <w:bookmarkEnd w:id="198"/>
      <w:bookmarkEnd w:id="199"/>
      <w:bookmarkEnd w:id="200"/>
    </w:p>
    <w:p>
      <w:pPr>
        <w:widowControl/>
        <w:shd w:val="clear" w:color="auto" w:fill="FFFFFF"/>
        <w:spacing w:line="440" w:lineRule="exact"/>
        <w:ind w:firstLine="420"/>
        <w:rPr>
          <w:rFonts w:ascii="宋体" w:hAnsi="宋体"/>
          <w:kern w:val="0"/>
          <w:szCs w:val="21"/>
        </w:rPr>
      </w:pPr>
      <w:r>
        <w:rPr>
          <w:rFonts w:hint="eastAsia" w:ascii="宋体" w:hAnsi="宋体"/>
          <w:kern w:val="0"/>
          <w:szCs w:val="21"/>
        </w:rPr>
        <w:t>13.1招标代理机构对每一项产品仅接受一个价格。</w:t>
      </w:r>
    </w:p>
    <w:p>
      <w:pPr>
        <w:widowControl/>
        <w:shd w:val="clear" w:color="auto" w:fill="FFFFFF"/>
        <w:spacing w:line="440" w:lineRule="exact"/>
        <w:ind w:firstLine="420"/>
        <w:rPr>
          <w:rFonts w:ascii="宋体" w:hAnsi="宋体"/>
          <w:kern w:val="0"/>
          <w:szCs w:val="21"/>
        </w:rPr>
      </w:pPr>
      <w:r>
        <w:rPr>
          <w:rFonts w:hint="eastAsia" w:ascii="宋体" w:hAnsi="宋体"/>
          <w:kern w:val="0"/>
          <w:szCs w:val="21"/>
        </w:rPr>
        <w:t>13.2投标人的投标一览表，应由授权代表签署。</w:t>
      </w:r>
    </w:p>
    <w:p>
      <w:pPr>
        <w:widowControl/>
        <w:shd w:val="clear" w:color="auto" w:fill="FFFFFF"/>
        <w:spacing w:line="440" w:lineRule="exact"/>
        <w:ind w:firstLine="420"/>
        <w:rPr>
          <w:rFonts w:ascii="宋体" w:hAnsi="宋体"/>
          <w:kern w:val="0"/>
          <w:szCs w:val="21"/>
        </w:rPr>
      </w:pPr>
      <w:r>
        <w:rPr>
          <w:rFonts w:hint="eastAsia" w:ascii="宋体" w:hAnsi="宋体"/>
          <w:kern w:val="0"/>
          <w:szCs w:val="21"/>
        </w:rPr>
        <w:t>13.3投标人在填写投标一览表时，币制、金额、单位要统一；数字、文字要清晰，不应涂改。</w:t>
      </w:r>
    </w:p>
    <w:p>
      <w:pPr>
        <w:pStyle w:val="4"/>
        <w:spacing w:line="440" w:lineRule="exact"/>
        <w:ind w:left="0" w:firstLine="482" w:firstLineChars="200"/>
        <w:jc w:val="both"/>
        <w:rPr>
          <w:rFonts w:ascii="宋体" w:hAnsi="宋体" w:eastAsia="宋体"/>
          <w:b/>
          <w:bCs/>
          <w:sz w:val="24"/>
        </w:rPr>
      </w:pPr>
      <w:bookmarkStart w:id="201" w:name="_Toc8120"/>
      <w:bookmarkStart w:id="202" w:name="_Toc22830"/>
      <w:bookmarkStart w:id="203" w:name="_Toc21900"/>
      <w:bookmarkStart w:id="204" w:name="_Toc32514"/>
      <w:bookmarkStart w:id="205" w:name="_Toc30182"/>
      <w:bookmarkStart w:id="206" w:name="_Toc12309"/>
      <w:r>
        <w:rPr>
          <w:rFonts w:hint="eastAsia" w:ascii="宋体" w:hAnsi="宋体" w:eastAsia="宋体"/>
          <w:b/>
          <w:bCs/>
          <w:sz w:val="24"/>
        </w:rPr>
        <w:t>14.报价的币制</w:t>
      </w:r>
      <w:bookmarkEnd w:id="201"/>
      <w:bookmarkEnd w:id="202"/>
      <w:bookmarkEnd w:id="203"/>
      <w:bookmarkEnd w:id="204"/>
      <w:bookmarkEnd w:id="205"/>
      <w:bookmarkEnd w:id="206"/>
    </w:p>
    <w:p>
      <w:pPr>
        <w:widowControl/>
        <w:shd w:val="clear" w:color="auto" w:fill="FFFFFF"/>
        <w:spacing w:line="440" w:lineRule="exact"/>
        <w:ind w:firstLine="420"/>
        <w:rPr>
          <w:rFonts w:ascii="宋体" w:hAnsi="宋体"/>
          <w:kern w:val="0"/>
          <w:szCs w:val="21"/>
        </w:rPr>
      </w:pPr>
      <w:r>
        <w:rPr>
          <w:rFonts w:hint="eastAsia" w:ascii="宋体" w:hAnsi="宋体"/>
          <w:kern w:val="0"/>
          <w:szCs w:val="21"/>
        </w:rPr>
        <w:t xml:space="preserve">14.1 国内产品报用户指定地点现场交货人民币价，包含一切费用； </w:t>
      </w:r>
    </w:p>
    <w:p>
      <w:pPr>
        <w:spacing w:line="440" w:lineRule="exact"/>
        <w:ind w:firstLine="210"/>
        <w:rPr>
          <w:rFonts w:ascii="宋体" w:hAnsi="宋体"/>
          <w:kern w:val="0"/>
          <w:szCs w:val="21"/>
        </w:rPr>
      </w:pPr>
      <w:r>
        <w:rPr>
          <w:rFonts w:hint="eastAsia" w:ascii="宋体" w:hAnsi="宋体"/>
          <w:kern w:val="0"/>
          <w:szCs w:val="21"/>
        </w:rPr>
        <w:t xml:space="preserve">  14.2</w:t>
      </w:r>
      <w:r>
        <w:rPr>
          <w:rFonts w:hint="eastAsia" w:ascii="宋体"/>
          <w:bCs/>
        </w:rPr>
        <w:t>进口产品投标报价应包含货款及进口环节的各种费用（包括税款）（折算汇率以投标截止时间前一个工作日10：00中国银行外汇卖出价为准），进口代理公司由采购人指定。</w:t>
      </w:r>
    </w:p>
    <w:p>
      <w:pPr>
        <w:pStyle w:val="4"/>
        <w:spacing w:line="440" w:lineRule="exact"/>
        <w:ind w:left="0" w:firstLine="482" w:firstLineChars="200"/>
        <w:jc w:val="both"/>
        <w:rPr>
          <w:rFonts w:ascii="宋体" w:hAnsi="宋体" w:eastAsia="宋体"/>
          <w:b/>
          <w:bCs/>
          <w:sz w:val="24"/>
        </w:rPr>
      </w:pPr>
      <w:bookmarkStart w:id="207" w:name="_Toc12595"/>
      <w:bookmarkStart w:id="208" w:name="_Toc8627"/>
      <w:bookmarkStart w:id="209" w:name="_Toc20547"/>
      <w:bookmarkStart w:id="210" w:name="_Toc19122"/>
      <w:bookmarkStart w:id="211" w:name="_Toc18250"/>
      <w:bookmarkStart w:id="212" w:name="_Toc24741"/>
      <w:r>
        <w:rPr>
          <w:rFonts w:hint="eastAsia" w:ascii="宋体" w:hAnsi="宋体" w:eastAsia="宋体"/>
          <w:b/>
          <w:bCs/>
          <w:sz w:val="24"/>
        </w:rPr>
        <w:t>15.投标保证金</w:t>
      </w:r>
      <w:bookmarkEnd w:id="207"/>
      <w:bookmarkEnd w:id="208"/>
      <w:bookmarkEnd w:id="209"/>
      <w:bookmarkEnd w:id="210"/>
      <w:bookmarkEnd w:id="211"/>
      <w:bookmarkEnd w:id="212"/>
    </w:p>
    <w:p>
      <w:pPr>
        <w:widowControl/>
        <w:shd w:val="clear" w:color="auto" w:fill="FFFFFF"/>
        <w:spacing w:line="440" w:lineRule="exact"/>
        <w:ind w:firstLine="420"/>
        <w:rPr>
          <w:rFonts w:ascii="宋体" w:hAnsi="宋体"/>
          <w:b/>
          <w:bCs/>
          <w:kern w:val="0"/>
          <w:szCs w:val="21"/>
        </w:rPr>
      </w:pPr>
      <w:r>
        <w:rPr>
          <w:rFonts w:hint="eastAsia" w:ascii="宋体" w:hAnsi="宋体"/>
          <w:b/>
          <w:bCs/>
          <w:kern w:val="0"/>
          <w:szCs w:val="21"/>
        </w:rPr>
        <w:t>投标保证金金额：本项目无需缴纳投标保证金。</w:t>
      </w:r>
    </w:p>
    <w:p>
      <w:pPr>
        <w:widowControl/>
        <w:shd w:val="clear" w:color="auto" w:fill="FFFFFF"/>
        <w:spacing w:line="440" w:lineRule="exact"/>
        <w:ind w:firstLine="420"/>
        <w:rPr>
          <w:rFonts w:ascii="宋体" w:hAnsi="宋体"/>
          <w:kern w:val="0"/>
          <w:szCs w:val="21"/>
        </w:rPr>
      </w:pPr>
      <w:r>
        <w:rPr>
          <w:rFonts w:hint="eastAsia" w:ascii="宋体" w:hAnsi="宋体"/>
          <w:kern w:val="0"/>
          <w:szCs w:val="21"/>
        </w:rPr>
        <w:t>15.1发生下列情况之一，信用分将被扣除：</w:t>
      </w:r>
    </w:p>
    <w:p>
      <w:pPr>
        <w:widowControl/>
        <w:shd w:val="clear" w:color="auto" w:fill="FFFFFF"/>
        <w:spacing w:line="440" w:lineRule="exact"/>
        <w:ind w:firstLine="420"/>
        <w:rPr>
          <w:rFonts w:ascii="宋体" w:hAnsi="宋体"/>
          <w:kern w:val="0"/>
          <w:szCs w:val="21"/>
        </w:rPr>
      </w:pPr>
      <w:r>
        <w:rPr>
          <w:rFonts w:hint="eastAsia" w:ascii="宋体" w:hAnsi="宋体"/>
          <w:kern w:val="0"/>
          <w:szCs w:val="21"/>
        </w:rPr>
        <w:t>（1）中标人在中标后无正当理由不与采购人或者招标代理机构签订合同的；</w:t>
      </w:r>
    </w:p>
    <w:p>
      <w:pPr>
        <w:widowControl/>
        <w:shd w:val="clear" w:color="auto" w:fill="FFFFFF"/>
        <w:spacing w:line="440" w:lineRule="exact"/>
        <w:ind w:firstLine="420"/>
        <w:rPr>
          <w:rFonts w:ascii="宋体" w:hAnsi="宋体"/>
          <w:kern w:val="0"/>
          <w:szCs w:val="21"/>
        </w:rPr>
      </w:pPr>
      <w:r>
        <w:rPr>
          <w:rFonts w:hint="eastAsia" w:ascii="宋体" w:hAnsi="宋体"/>
          <w:kern w:val="0"/>
          <w:szCs w:val="21"/>
        </w:rPr>
        <w:t>（2）中标人在中标后将中标项目转让给他人，或者在投标文件中未说明，且未经招标代理机构同意，将中标项目分包给他人的；</w:t>
      </w:r>
    </w:p>
    <w:p>
      <w:pPr>
        <w:widowControl/>
        <w:shd w:val="clear" w:color="auto" w:fill="FFFFFF"/>
        <w:spacing w:line="440" w:lineRule="exact"/>
        <w:ind w:firstLine="420"/>
        <w:rPr>
          <w:rFonts w:ascii="宋体"/>
          <w:bCs/>
        </w:rPr>
      </w:pPr>
      <w:r>
        <w:rPr>
          <w:rFonts w:hint="eastAsia" w:ascii="宋体" w:hAnsi="宋体"/>
          <w:kern w:val="0"/>
          <w:szCs w:val="21"/>
        </w:rPr>
        <w:t>（3）中标人在中标后拒绝</w:t>
      </w:r>
      <w:r>
        <w:rPr>
          <w:rFonts w:hint="eastAsia" w:ascii="宋体"/>
          <w:bCs/>
        </w:rPr>
        <w:t>履行合同义务的；</w:t>
      </w:r>
    </w:p>
    <w:p>
      <w:pPr>
        <w:pStyle w:val="30"/>
        <w:ind w:firstLine="420" w:firstLineChars="200"/>
      </w:pPr>
      <w:r>
        <w:rPr>
          <w:rFonts w:hint="eastAsia" w:ascii="宋体"/>
          <w:bCs/>
        </w:rPr>
        <w:t>（4）中标人不按时缴纳中标服务费的。</w:t>
      </w:r>
    </w:p>
    <w:p>
      <w:pPr>
        <w:pStyle w:val="4"/>
        <w:spacing w:line="440" w:lineRule="exact"/>
        <w:ind w:left="0" w:firstLine="482" w:firstLineChars="200"/>
        <w:jc w:val="both"/>
        <w:rPr>
          <w:rFonts w:ascii="宋体" w:hAnsi="宋体" w:eastAsia="宋体"/>
          <w:b/>
          <w:bCs/>
          <w:sz w:val="24"/>
        </w:rPr>
      </w:pPr>
      <w:bookmarkStart w:id="213" w:name="_Toc31206"/>
      <w:bookmarkStart w:id="214" w:name="_Toc31617"/>
      <w:bookmarkStart w:id="215" w:name="_Toc14362"/>
      <w:bookmarkStart w:id="216" w:name="_Toc30833"/>
      <w:bookmarkStart w:id="217" w:name="_Toc1336"/>
      <w:bookmarkStart w:id="218" w:name="_Toc19349"/>
      <w:r>
        <w:rPr>
          <w:rFonts w:hint="eastAsia" w:ascii="宋体" w:hAnsi="宋体" w:eastAsia="宋体"/>
          <w:b/>
          <w:bCs/>
          <w:sz w:val="24"/>
        </w:rPr>
        <w:t>16.投标文件的有效期</w:t>
      </w:r>
      <w:bookmarkEnd w:id="213"/>
      <w:bookmarkEnd w:id="214"/>
      <w:bookmarkEnd w:id="215"/>
      <w:bookmarkEnd w:id="216"/>
      <w:bookmarkEnd w:id="217"/>
      <w:bookmarkEnd w:id="218"/>
    </w:p>
    <w:p>
      <w:pPr>
        <w:spacing w:line="440" w:lineRule="exact"/>
        <w:ind w:firstLine="420" w:firstLineChars="200"/>
        <w:jc w:val="left"/>
        <w:rPr>
          <w:rFonts w:ascii="宋体"/>
          <w:bCs/>
        </w:rPr>
      </w:pPr>
      <w:r>
        <w:rPr>
          <w:rFonts w:hint="eastAsia" w:ascii="宋体"/>
          <w:bCs/>
        </w:rPr>
        <w:t>16.1自开标之日起90天内，投标文件应保持有效，有效期短于此规定的投标文件将视为无效。</w:t>
      </w:r>
    </w:p>
    <w:p>
      <w:pPr>
        <w:pStyle w:val="4"/>
        <w:spacing w:line="440" w:lineRule="exact"/>
        <w:ind w:left="0" w:firstLine="482" w:firstLineChars="200"/>
        <w:jc w:val="both"/>
        <w:rPr>
          <w:rFonts w:ascii="宋体" w:hAnsi="宋体" w:eastAsia="宋体"/>
          <w:b/>
          <w:bCs/>
          <w:sz w:val="24"/>
        </w:rPr>
      </w:pPr>
      <w:bookmarkStart w:id="219" w:name="_Toc6811"/>
      <w:bookmarkStart w:id="220" w:name="_Toc4518"/>
      <w:bookmarkStart w:id="221" w:name="_Toc24074"/>
      <w:bookmarkStart w:id="222" w:name="_Toc21499"/>
      <w:bookmarkStart w:id="223" w:name="_Toc7650"/>
      <w:bookmarkStart w:id="224" w:name="_Toc17360"/>
      <w:r>
        <w:rPr>
          <w:rFonts w:hint="eastAsia" w:ascii="宋体" w:hAnsi="宋体" w:eastAsia="宋体"/>
          <w:b/>
          <w:bCs/>
          <w:sz w:val="24"/>
        </w:rPr>
        <w:t>17.投标文件的签署及其形式</w:t>
      </w:r>
      <w:bookmarkEnd w:id="219"/>
      <w:bookmarkEnd w:id="220"/>
      <w:bookmarkEnd w:id="221"/>
      <w:bookmarkEnd w:id="222"/>
      <w:bookmarkEnd w:id="223"/>
      <w:bookmarkEnd w:id="224"/>
    </w:p>
    <w:p>
      <w:pPr>
        <w:spacing w:line="440" w:lineRule="exact"/>
        <w:ind w:firstLine="420" w:firstLineChars="200"/>
        <w:rPr>
          <w:rFonts w:ascii="宋体"/>
          <w:bCs/>
        </w:rPr>
      </w:pPr>
      <w:r>
        <w:rPr>
          <w:rFonts w:hint="eastAsia" w:ascii="宋体"/>
          <w:bCs/>
        </w:rPr>
        <w:t>17</w:t>
      </w:r>
      <w:r>
        <w:rPr>
          <w:rFonts w:ascii="宋体"/>
          <w:bCs/>
        </w:rPr>
        <w:t>.</w:t>
      </w:r>
      <w:r>
        <w:rPr>
          <w:rFonts w:hint="eastAsia" w:ascii="宋体"/>
          <w:bCs/>
        </w:rPr>
        <w:t>1投标人对投标文件须准备一式6份，并分别标以“正本”1份和“副本”5份，如果它们之间有差异，则以正本为准。</w:t>
      </w:r>
    </w:p>
    <w:p>
      <w:pPr>
        <w:spacing w:line="440" w:lineRule="exact"/>
        <w:ind w:firstLine="420" w:firstLineChars="200"/>
        <w:rPr>
          <w:rFonts w:ascii="宋体"/>
          <w:bCs/>
        </w:rPr>
      </w:pPr>
      <w:r>
        <w:rPr>
          <w:rFonts w:hint="eastAsia" w:ascii="宋体"/>
          <w:bCs/>
        </w:rPr>
        <w:t>17.2投标文件的正本应用打印机或不褪色墨水书写，且经授权代表签署，副本可以为正本的复印件。</w:t>
      </w:r>
    </w:p>
    <w:p>
      <w:pPr>
        <w:spacing w:line="440" w:lineRule="exact"/>
        <w:ind w:firstLine="420" w:firstLineChars="200"/>
        <w:rPr>
          <w:rFonts w:ascii="宋体"/>
          <w:bCs/>
        </w:rPr>
      </w:pPr>
      <w:r>
        <w:rPr>
          <w:rFonts w:hint="eastAsia" w:ascii="宋体"/>
          <w:bCs/>
        </w:rPr>
        <w:t>17.3投标文件不应有涂改、增删之处。但如有错误必须修改时，修改处必须由原授权代表签署。</w:t>
      </w:r>
    </w:p>
    <w:p>
      <w:pPr>
        <w:widowControl/>
        <w:shd w:val="clear" w:color="auto" w:fill="FFFFFF"/>
        <w:spacing w:line="440" w:lineRule="exact"/>
        <w:ind w:firstLine="420"/>
        <w:outlineLvl w:val="1"/>
        <w:rPr>
          <w:rFonts w:ascii="宋体" w:hAnsi="宋体"/>
          <w:b/>
          <w:bCs/>
          <w:kern w:val="0"/>
          <w:sz w:val="24"/>
        </w:rPr>
      </w:pPr>
      <w:bookmarkStart w:id="225" w:name="_Toc29429"/>
      <w:bookmarkStart w:id="226" w:name="_Toc12110"/>
      <w:bookmarkStart w:id="227" w:name="_Toc14229"/>
      <w:bookmarkStart w:id="228" w:name="_Toc22948"/>
      <w:bookmarkStart w:id="229" w:name="_Toc27455"/>
      <w:bookmarkStart w:id="230" w:name="_Toc13545"/>
      <w:r>
        <w:rPr>
          <w:rFonts w:hint="eastAsia" w:ascii="宋体" w:hAnsi="宋体"/>
          <w:b/>
          <w:bCs/>
          <w:kern w:val="0"/>
          <w:sz w:val="24"/>
        </w:rPr>
        <w:t>四、投标文件的递交</w:t>
      </w:r>
      <w:bookmarkEnd w:id="225"/>
      <w:bookmarkEnd w:id="226"/>
      <w:bookmarkEnd w:id="227"/>
      <w:bookmarkEnd w:id="228"/>
      <w:bookmarkEnd w:id="229"/>
      <w:bookmarkEnd w:id="230"/>
    </w:p>
    <w:p>
      <w:pPr>
        <w:pStyle w:val="4"/>
        <w:spacing w:line="440" w:lineRule="exact"/>
        <w:ind w:left="0" w:firstLine="482" w:firstLineChars="200"/>
        <w:jc w:val="both"/>
        <w:rPr>
          <w:rFonts w:ascii="宋体" w:hAnsi="宋体" w:eastAsia="宋体"/>
          <w:b/>
          <w:bCs/>
          <w:sz w:val="24"/>
        </w:rPr>
      </w:pPr>
      <w:bookmarkStart w:id="231" w:name="_Toc25011"/>
      <w:bookmarkStart w:id="232" w:name="_Toc30850"/>
      <w:bookmarkStart w:id="233" w:name="_Toc13810"/>
      <w:bookmarkStart w:id="234" w:name="_Toc1942"/>
      <w:bookmarkStart w:id="235" w:name="_Toc24712"/>
      <w:bookmarkStart w:id="236" w:name="_Toc14201"/>
      <w:r>
        <w:rPr>
          <w:rFonts w:hint="eastAsia" w:ascii="宋体" w:hAnsi="宋体" w:eastAsia="宋体"/>
          <w:b/>
          <w:bCs/>
          <w:sz w:val="24"/>
        </w:rPr>
        <w:t>18.投标文件的密封及标记</w:t>
      </w:r>
      <w:bookmarkEnd w:id="231"/>
      <w:bookmarkEnd w:id="232"/>
      <w:bookmarkEnd w:id="233"/>
      <w:bookmarkEnd w:id="234"/>
      <w:bookmarkEnd w:id="235"/>
      <w:bookmarkEnd w:id="236"/>
    </w:p>
    <w:p>
      <w:pPr>
        <w:spacing w:line="440" w:lineRule="exact"/>
        <w:ind w:firstLine="420" w:firstLineChars="200"/>
        <w:rPr>
          <w:rFonts w:ascii="宋体"/>
          <w:b/>
          <w:sz w:val="30"/>
        </w:rPr>
      </w:pPr>
      <w:r>
        <w:rPr>
          <w:rFonts w:hint="eastAsia" w:ascii="宋体"/>
          <w:bCs/>
        </w:rPr>
        <w:t>18.1投标人应分别把正本和副本投标文件都用封套加以密封，并在封套上标明“正本”和“副本”。</w:t>
      </w:r>
    </w:p>
    <w:p>
      <w:pPr>
        <w:spacing w:line="440" w:lineRule="exact"/>
        <w:ind w:firstLine="420" w:firstLineChars="200"/>
        <w:rPr>
          <w:rFonts w:ascii="宋体"/>
          <w:bCs/>
        </w:rPr>
      </w:pPr>
      <w:r>
        <w:rPr>
          <w:rFonts w:hint="eastAsia" w:ascii="宋体"/>
          <w:bCs/>
        </w:rPr>
        <w:t>18</w:t>
      </w:r>
      <w:r>
        <w:rPr>
          <w:rFonts w:ascii="宋体"/>
          <w:bCs/>
        </w:rPr>
        <w:t>.</w:t>
      </w:r>
      <w:r>
        <w:rPr>
          <w:rFonts w:hint="eastAsia" w:ascii="宋体"/>
          <w:bCs/>
        </w:rPr>
        <w:t>2 “投标一览表”除应装订在投标文件中，还必须另用内封套加以密封，放在投标文件正本封套之内。</w:t>
      </w:r>
    </w:p>
    <w:p>
      <w:pPr>
        <w:spacing w:line="440" w:lineRule="exact"/>
        <w:ind w:firstLine="420" w:firstLineChars="200"/>
        <w:rPr>
          <w:rFonts w:ascii="宋体"/>
          <w:bCs/>
        </w:rPr>
      </w:pPr>
      <w:r>
        <w:rPr>
          <w:rFonts w:hint="eastAsia" w:ascii="宋体"/>
          <w:bCs/>
        </w:rPr>
        <w:t>18.3外封套和内封套上均须按招标代理机构提供的格式写明：</w:t>
      </w:r>
    </w:p>
    <w:p>
      <w:pPr>
        <w:numPr>
          <w:ilvl w:val="0"/>
          <w:numId w:val="1"/>
        </w:numPr>
        <w:spacing w:line="440" w:lineRule="exact"/>
        <w:ind w:firstLine="420" w:firstLineChars="200"/>
        <w:rPr>
          <w:rFonts w:ascii="宋体"/>
          <w:bCs/>
        </w:rPr>
      </w:pPr>
      <w:r>
        <w:rPr>
          <w:rFonts w:hint="eastAsia" w:ascii="宋体"/>
          <w:bCs/>
        </w:rPr>
        <w:t>招标代理机构：苏美达国际技术贸易有限公司</w:t>
      </w:r>
    </w:p>
    <w:p>
      <w:pPr>
        <w:numPr>
          <w:ilvl w:val="0"/>
          <w:numId w:val="1"/>
        </w:numPr>
        <w:spacing w:line="440" w:lineRule="exact"/>
        <w:ind w:firstLine="420" w:firstLineChars="200"/>
        <w:rPr>
          <w:rFonts w:ascii="宋体"/>
          <w:bCs/>
        </w:rPr>
      </w:pPr>
      <w:r>
        <w:rPr>
          <w:rFonts w:hint="eastAsia" w:ascii="宋体"/>
          <w:bCs/>
        </w:rPr>
        <w:t>招标代理机构地址：南京市长江路198号</w:t>
      </w:r>
    </w:p>
    <w:p>
      <w:pPr>
        <w:numPr>
          <w:ilvl w:val="0"/>
          <w:numId w:val="1"/>
        </w:numPr>
        <w:spacing w:line="440" w:lineRule="exact"/>
        <w:ind w:firstLine="420" w:firstLineChars="200"/>
        <w:rPr>
          <w:rFonts w:ascii="宋体"/>
          <w:bCs/>
        </w:rPr>
      </w:pPr>
      <w:r>
        <w:rPr>
          <w:rFonts w:hint="eastAsia" w:ascii="宋体"/>
          <w:bCs/>
        </w:rPr>
        <w:t>招标文件编号：</w:t>
      </w:r>
      <w:r>
        <w:rPr>
          <w:rFonts w:hint="eastAsia" w:ascii="宋体" w:hAnsi="宋体"/>
          <w:kern w:val="0"/>
          <w:szCs w:val="21"/>
        </w:rPr>
        <w:t>0664-2460SUMEC069D</w:t>
      </w:r>
    </w:p>
    <w:p>
      <w:pPr>
        <w:numPr>
          <w:ilvl w:val="0"/>
          <w:numId w:val="1"/>
        </w:numPr>
        <w:spacing w:line="440" w:lineRule="exact"/>
        <w:ind w:firstLine="420" w:firstLineChars="200"/>
        <w:rPr>
          <w:rFonts w:ascii="宋体"/>
          <w:bCs/>
        </w:rPr>
      </w:pPr>
      <w:r>
        <w:rPr>
          <w:rFonts w:hint="eastAsia" w:ascii="宋体"/>
          <w:bCs/>
        </w:rPr>
        <w:t>招标项目包号：第XX包</w:t>
      </w:r>
    </w:p>
    <w:p>
      <w:pPr>
        <w:numPr>
          <w:ilvl w:val="0"/>
          <w:numId w:val="1"/>
        </w:numPr>
        <w:spacing w:line="440" w:lineRule="exact"/>
        <w:ind w:firstLine="420" w:firstLineChars="200"/>
        <w:rPr>
          <w:rFonts w:ascii="宋体"/>
          <w:bCs/>
        </w:rPr>
      </w:pPr>
      <w:r>
        <w:rPr>
          <w:rFonts w:hint="eastAsia" w:ascii="宋体"/>
          <w:bCs/>
        </w:rPr>
        <w:t>招标项目名称：XXXX</w:t>
      </w:r>
    </w:p>
    <w:p>
      <w:pPr>
        <w:numPr>
          <w:ilvl w:val="0"/>
          <w:numId w:val="1"/>
        </w:numPr>
        <w:spacing w:line="440" w:lineRule="exact"/>
        <w:ind w:firstLine="420" w:firstLineChars="200"/>
        <w:rPr>
          <w:rFonts w:ascii="宋体"/>
          <w:bCs/>
        </w:rPr>
      </w:pPr>
      <w:r>
        <w:rPr>
          <w:rFonts w:hint="eastAsia" w:ascii="宋体"/>
          <w:bCs/>
        </w:rPr>
        <w:t>投标人的全称、地址、电话和传真。</w:t>
      </w:r>
    </w:p>
    <w:p>
      <w:pPr>
        <w:numPr>
          <w:ilvl w:val="0"/>
          <w:numId w:val="1"/>
        </w:numPr>
        <w:spacing w:line="440" w:lineRule="exact"/>
        <w:ind w:firstLine="420" w:firstLineChars="200"/>
        <w:rPr>
          <w:rFonts w:ascii="宋体"/>
          <w:bCs/>
        </w:rPr>
      </w:pPr>
      <w:r>
        <w:rPr>
          <w:rFonts w:hint="eastAsia" w:ascii="宋体"/>
          <w:bCs/>
        </w:rPr>
        <w:t>写明开标时启封。</w:t>
      </w:r>
    </w:p>
    <w:p>
      <w:pPr>
        <w:spacing w:line="440" w:lineRule="exact"/>
        <w:ind w:firstLine="420" w:firstLineChars="200"/>
        <w:rPr>
          <w:rFonts w:ascii="宋体"/>
          <w:bCs/>
        </w:rPr>
      </w:pPr>
      <w:r>
        <w:rPr>
          <w:rFonts w:hint="eastAsia" w:ascii="宋体"/>
          <w:bCs/>
        </w:rPr>
        <w:t>18.4投标文件的封套未按第18.1,18.2项规定密封者,其投标文件将被视为无效投标。</w:t>
      </w:r>
    </w:p>
    <w:p>
      <w:pPr>
        <w:pStyle w:val="4"/>
        <w:spacing w:line="440" w:lineRule="exact"/>
        <w:ind w:left="0" w:firstLine="482" w:firstLineChars="200"/>
        <w:jc w:val="both"/>
        <w:rPr>
          <w:rFonts w:ascii="宋体" w:hAnsi="宋体" w:eastAsia="宋体"/>
          <w:b/>
          <w:bCs/>
          <w:sz w:val="24"/>
        </w:rPr>
      </w:pPr>
      <w:bookmarkStart w:id="237" w:name="_Toc21766"/>
      <w:bookmarkStart w:id="238" w:name="_Toc15867"/>
      <w:bookmarkStart w:id="239" w:name="_Toc17073"/>
      <w:bookmarkStart w:id="240" w:name="_Toc28003"/>
      <w:bookmarkStart w:id="241" w:name="_Toc20685"/>
      <w:bookmarkStart w:id="242" w:name="_Toc4828"/>
      <w:r>
        <w:rPr>
          <w:rFonts w:hint="eastAsia" w:ascii="宋体" w:hAnsi="宋体" w:eastAsia="宋体"/>
          <w:b/>
          <w:bCs/>
          <w:sz w:val="24"/>
        </w:rPr>
        <w:t>19.投标的截止日期</w:t>
      </w:r>
      <w:bookmarkEnd w:id="237"/>
      <w:bookmarkEnd w:id="238"/>
      <w:bookmarkEnd w:id="239"/>
      <w:bookmarkEnd w:id="240"/>
      <w:bookmarkEnd w:id="241"/>
      <w:bookmarkEnd w:id="242"/>
    </w:p>
    <w:p>
      <w:pPr>
        <w:spacing w:line="440" w:lineRule="exact"/>
        <w:ind w:firstLine="420" w:firstLineChars="200"/>
        <w:rPr>
          <w:rFonts w:ascii="宋体"/>
          <w:bCs/>
        </w:rPr>
      </w:pPr>
      <w:r>
        <w:rPr>
          <w:rFonts w:hint="eastAsia" w:ascii="宋体"/>
          <w:bCs/>
        </w:rPr>
        <w:t>19</w:t>
      </w:r>
      <w:r>
        <w:rPr>
          <w:rFonts w:ascii="宋体"/>
          <w:bCs/>
        </w:rPr>
        <w:t>.</w:t>
      </w:r>
      <w:r>
        <w:rPr>
          <w:rFonts w:hint="eastAsia" w:ascii="宋体"/>
          <w:bCs/>
        </w:rPr>
        <w:t>1投标文件须在招标代理机构规定的投标截止时间前递交到指定地点。</w:t>
      </w:r>
    </w:p>
    <w:p>
      <w:pPr>
        <w:spacing w:line="440" w:lineRule="exact"/>
        <w:ind w:firstLine="420" w:firstLineChars="200"/>
        <w:rPr>
          <w:rFonts w:ascii="宋体"/>
          <w:bCs/>
        </w:rPr>
      </w:pPr>
      <w:r>
        <w:rPr>
          <w:rFonts w:hint="eastAsia" w:ascii="宋体"/>
          <w:bCs/>
        </w:rPr>
        <w:t>19.2招标代理机构可以按第7项的规定，以补充招标文件的形式推迟投标的截止时间，在这种情况下，招标代理机构或投标人的权利和义务都以新的截止时间为准。</w:t>
      </w:r>
    </w:p>
    <w:p>
      <w:pPr>
        <w:spacing w:line="440" w:lineRule="exact"/>
        <w:ind w:firstLine="420" w:firstLineChars="200"/>
        <w:rPr>
          <w:rFonts w:ascii="宋体"/>
          <w:bCs/>
        </w:rPr>
      </w:pPr>
      <w:r>
        <w:rPr>
          <w:rFonts w:hint="eastAsia" w:ascii="宋体"/>
          <w:bCs/>
        </w:rPr>
        <w:t>19</w:t>
      </w:r>
      <w:r>
        <w:rPr>
          <w:rFonts w:ascii="宋体"/>
          <w:bCs/>
        </w:rPr>
        <w:t>.</w:t>
      </w:r>
      <w:r>
        <w:rPr>
          <w:rFonts w:hint="eastAsia" w:ascii="宋体"/>
          <w:bCs/>
        </w:rPr>
        <w:t>3投标文件由于不可抗力的原因遗失和损坏，招标代理机构不负任何责任。</w:t>
      </w:r>
    </w:p>
    <w:p>
      <w:pPr>
        <w:pStyle w:val="4"/>
        <w:spacing w:line="440" w:lineRule="exact"/>
        <w:ind w:left="0" w:firstLine="482" w:firstLineChars="200"/>
        <w:jc w:val="both"/>
        <w:rPr>
          <w:rFonts w:ascii="宋体" w:hAnsi="宋体" w:eastAsia="宋体"/>
          <w:b/>
          <w:bCs/>
          <w:sz w:val="24"/>
        </w:rPr>
      </w:pPr>
      <w:bookmarkStart w:id="243" w:name="_Toc32673"/>
      <w:bookmarkStart w:id="244" w:name="_Toc18956"/>
      <w:bookmarkStart w:id="245" w:name="_Toc3327"/>
      <w:bookmarkStart w:id="246" w:name="_Toc29061"/>
      <w:bookmarkStart w:id="247" w:name="_Toc11627"/>
      <w:bookmarkStart w:id="248" w:name="_Toc14422"/>
      <w:r>
        <w:rPr>
          <w:rFonts w:hint="eastAsia" w:ascii="宋体" w:hAnsi="宋体" w:eastAsia="宋体"/>
          <w:b/>
          <w:bCs/>
          <w:sz w:val="24"/>
        </w:rPr>
        <w:t>20.过期投标文件</w:t>
      </w:r>
      <w:bookmarkEnd w:id="243"/>
      <w:bookmarkEnd w:id="244"/>
      <w:bookmarkEnd w:id="245"/>
      <w:bookmarkEnd w:id="246"/>
      <w:bookmarkEnd w:id="247"/>
      <w:bookmarkEnd w:id="248"/>
    </w:p>
    <w:p>
      <w:pPr>
        <w:spacing w:line="440" w:lineRule="exact"/>
        <w:rPr>
          <w:rFonts w:ascii="宋体"/>
          <w:bCs/>
        </w:rPr>
      </w:pPr>
      <w:r>
        <w:rPr>
          <w:rFonts w:hint="eastAsia" w:ascii="宋体"/>
          <w:bCs/>
        </w:rPr>
        <w:t xml:space="preserve"> 在投标截止时间以后收到的投标文件，招标代理机构拒绝接收。</w:t>
      </w:r>
    </w:p>
    <w:p>
      <w:pPr>
        <w:pStyle w:val="4"/>
        <w:spacing w:line="440" w:lineRule="exact"/>
        <w:ind w:left="0" w:firstLine="482" w:firstLineChars="200"/>
        <w:jc w:val="both"/>
        <w:rPr>
          <w:rFonts w:ascii="宋体" w:hAnsi="宋体" w:eastAsia="宋体"/>
          <w:b/>
          <w:bCs/>
          <w:sz w:val="24"/>
        </w:rPr>
      </w:pPr>
      <w:bookmarkStart w:id="249" w:name="_Toc27692"/>
      <w:bookmarkStart w:id="250" w:name="_Toc21963"/>
      <w:bookmarkStart w:id="251" w:name="_Toc21931"/>
      <w:bookmarkStart w:id="252" w:name="_Toc23947"/>
      <w:bookmarkStart w:id="253" w:name="_Toc7141"/>
      <w:bookmarkStart w:id="254" w:name="_Toc6201"/>
      <w:r>
        <w:rPr>
          <w:rFonts w:hint="eastAsia" w:ascii="宋体" w:hAnsi="宋体" w:eastAsia="宋体"/>
          <w:b/>
          <w:bCs/>
          <w:sz w:val="24"/>
        </w:rPr>
        <w:t>21.投标文件的修改或撤回</w:t>
      </w:r>
      <w:bookmarkEnd w:id="249"/>
      <w:bookmarkEnd w:id="250"/>
      <w:bookmarkEnd w:id="251"/>
      <w:bookmarkEnd w:id="252"/>
      <w:bookmarkEnd w:id="253"/>
      <w:bookmarkEnd w:id="254"/>
    </w:p>
    <w:p>
      <w:pPr>
        <w:spacing w:line="440" w:lineRule="exact"/>
        <w:ind w:firstLine="420" w:firstLineChars="200"/>
        <w:rPr>
          <w:rFonts w:ascii="宋体"/>
          <w:bCs/>
        </w:rPr>
      </w:pPr>
      <w:r>
        <w:rPr>
          <w:rFonts w:hint="eastAsia" w:ascii="宋体"/>
          <w:bCs/>
        </w:rPr>
        <w:t>21</w:t>
      </w:r>
      <w:r>
        <w:rPr>
          <w:rFonts w:ascii="宋体"/>
          <w:bCs/>
        </w:rPr>
        <w:t>.</w:t>
      </w:r>
      <w:r>
        <w:rPr>
          <w:rFonts w:hint="eastAsia" w:ascii="宋体"/>
          <w:bCs/>
        </w:rPr>
        <w:t>1投标以后，如果投标人书面的修改或撤回要求，使招标代理机构能在投标截止时间前（不考虑不可抗力原因）收到，那么招标代理机构可以接受投标人对投标文件的修改或撤回。</w:t>
      </w:r>
    </w:p>
    <w:p>
      <w:pPr>
        <w:spacing w:line="440" w:lineRule="exact"/>
        <w:ind w:firstLine="420" w:firstLineChars="200"/>
        <w:rPr>
          <w:rFonts w:ascii="宋体"/>
          <w:bCs/>
        </w:rPr>
      </w:pPr>
      <w:r>
        <w:rPr>
          <w:rFonts w:hint="eastAsia" w:ascii="宋体"/>
          <w:bCs/>
        </w:rPr>
        <w:t>21</w:t>
      </w:r>
      <w:r>
        <w:rPr>
          <w:rFonts w:ascii="宋体"/>
          <w:bCs/>
        </w:rPr>
        <w:t>.</w:t>
      </w:r>
      <w:r>
        <w:rPr>
          <w:rFonts w:hint="eastAsia" w:ascii="宋体"/>
          <w:bCs/>
        </w:rPr>
        <w:t>2投标人的修改或撤回通知必须按第18项的规定并在封套上注明：“修改”或“撤回”字样封送给招标代理机构。</w:t>
      </w:r>
    </w:p>
    <w:p>
      <w:pPr>
        <w:spacing w:line="440" w:lineRule="exact"/>
        <w:ind w:firstLine="420" w:firstLineChars="200"/>
        <w:rPr>
          <w:rFonts w:ascii="宋体"/>
          <w:bCs/>
          <w:sz w:val="32"/>
        </w:rPr>
      </w:pPr>
      <w:r>
        <w:rPr>
          <w:rFonts w:hint="eastAsia" w:ascii="宋体"/>
          <w:bCs/>
        </w:rPr>
        <w:t>21.3在投标截止时间之后和投标文件有效期内，任何投标文件不得撤回，在这段期间撤回投标文件，信用分将被扣除。</w:t>
      </w:r>
    </w:p>
    <w:p>
      <w:pPr>
        <w:widowControl/>
        <w:shd w:val="clear" w:color="auto" w:fill="FFFFFF"/>
        <w:spacing w:line="440" w:lineRule="exact"/>
        <w:ind w:firstLine="420"/>
        <w:outlineLvl w:val="1"/>
        <w:rPr>
          <w:rFonts w:ascii="宋体" w:hAnsi="宋体"/>
          <w:b/>
          <w:bCs/>
          <w:kern w:val="0"/>
          <w:sz w:val="24"/>
        </w:rPr>
      </w:pPr>
      <w:bookmarkStart w:id="255" w:name="_Toc16938545"/>
      <w:bookmarkStart w:id="256" w:name="_Toc17333"/>
      <w:bookmarkStart w:id="257" w:name="_Toc20823301"/>
      <w:bookmarkStart w:id="258" w:name="_Toc3948"/>
      <w:bookmarkStart w:id="259" w:name="_Toc120614218"/>
      <w:bookmarkStart w:id="260" w:name="_Toc513029229"/>
      <w:bookmarkStart w:id="261" w:name="_Toc3395"/>
      <w:bookmarkStart w:id="262" w:name="_Toc7757"/>
      <w:bookmarkStart w:id="263" w:name="_Toc24233"/>
      <w:bookmarkStart w:id="264" w:name="_Toc9766"/>
      <w:r>
        <w:rPr>
          <w:rFonts w:hint="eastAsia" w:ascii="宋体" w:hAnsi="宋体"/>
          <w:b/>
          <w:bCs/>
          <w:kern w:val="0"/>
          <w:sz w:val="24"/>
        </w:rPr>
        <w:t>五、开标与评标</w:t>
      </w:r>
      <w:bookmarkEnd w:id="255"/>
      <w:bookmarkEnd w:id="256"/>
      <w:bookmarkEnd w:id="257"/>
      <w:bookmarkEnd w:id="258"/>
      <w:bookmarkEnd w:id="259"/>
      <w:bookmarkEnd w:id="260"/>
      <w:bookmarkEnd w:id="261"/>
      <w:bookmarkEnd w:id="262"/>
      <w:bookmarkEnd w:id="263"/>
      <w:bookmarkEnd w:id="264"/>
    </w:p>
    <w:p>
      <w:pPr>
        <w:pStyle w:val="4"/>
        <w:spacing w:line="440" w:lineRule="exact"/>
        <w:ind w:left="0" w:firstLine="482" w:firstLineChars="200"/>
        <w:jc w:val="both"/>
        <w:rPr>
          <w:rFonts w:ascii="宋体" w:hAnsi="宋体" w:eastAsia="宋体"/>
          <w:b/>
          <w:bCs/>
          <w:sz w:val="24"/>
        </w:rPr>
      </w:pPr>
      <w:bookmarkStart w:id="265" w:name="_Toc18457"/>
      <w:bookmarkStart w:id="266" w:name="_Toc21296"/>
      <w:bookmarkStart w:id="267" w:name="_Toc30784"/>
      <w:bookmarkStart w:id="268" w:name="_Toc3679"/>
      <w:bookmarkStart w:id="269" w:name="_Toc13547"/>
      <w:bookmarkStart w:id="270" w:name="_Toc15345"/>
      <w:bookmarkStart w:id="271" w:name="OLE_LINK3"/>
      <w:bookmarkStart w:id="272" w:name="OLE_LINK7"/>
      <w:r>
        <w:rPr>
          <w:rFonts w:hint="eastAsia" w:ascii="宋体" w:hAnsi="宋体" w:eastAsia="宋体"/>
          <w:b/>
          <w:bCs/>
          <w:sz w:val="24"/>
        </w:rPr>
        <w:t>22.开标</w:t>
      </w:r>
      <w:bookmarkEnd w:id="265"/>
      <w:bookmarkEnd w:id="266"/>
      <w:bookmarkEnd w:id="267"/>
      <w:bookmarkEnd w:id="268"/>
      <w:bookmarkEnd w:id="269"/>
      <w:bookmarkEnd w:id="270"/>
    </w:p>
    <w:bookmarkEnd w:id="271"/>
    <w:p>
      <w:pPr>
        <w:spacing w:line="440" w:lineRule="exact"/>
        <w:ind w:firstLine="420" w:firstLineChars="200"/>
        <w:rPr>
          <w:rFonts w:ascii="宋体"/>
          <w:bCs/>
        </w:rPr>
      </w:pPr>
      <w:r>
        <w:rPr>
          <w:rFonts w:hint="eastAsia" w:ascii="宋体"/>
          <w:bCs/>
        </w:rPr>
        <w:t>22.1招标代理机构按规定的时间和地点进行公开开标，投标人可派代表参加。</w:t>
      </w:r>
    </w:p>
    <w:p>
      <w:pPr>
        <w:spacing w:line="440" w:lineRule="exact"/>
        <w:ind w:firstLine="420" w:firstLineChars="200"/>
        <w:rPr>
          <w:rFonts w:ascii="宋体"/>
          <w:bCs/>
        </w:rPr>
      </w:pPr>
      <w:r>
        <w:rPr>
          <w:rFonts w:hint="eastAsia" w:ascii="宋体"/>
          <w:bCs/>
        </w:rPr>
        <w:t>21.2 开</w:t>
      </w:r>
      <w:bookmarkEnd w:id="272"/>
      <w:r>
        <w:rPr>
          <w:rFonts w:hint="eastAsia" w:ascii="宋体"/>
          <w:bCs/>
        </w:rPr>
        <w:t>标时，代理机构将邀请公证人员或投标人代表检查投标文件的密封情况。经确认无误后，由代理机构工作人员当众拆封宣读每份投标文件中“投标一览表”的内容，未列入投标一览表的内容一律不在开标时宣读。开标时未宣读的投标报价信息，评标时不予承认</w:t>
      </w:r>
      <w:r>
        <w:rPr>
          <w:rFonts w:hint="eastAsia" w:ascii="宋体" w:hAnsi="宋体"/>
          <w:sz w:val="24"/>
          <w:szCs w:val="24"/>
        </w:rPr>
        <w:t>。</w:t>
      </w:r>
    </w:p>
    <w:p>
      <w:pPr>
        <w:spacing w:line="440" w:lineRule="exact"/>
        <w:ind w:firstLine="420" w:firstLineChars="200"/>
        <w:rPr>
          <w:rFonts w:ascii="宋体"/>
          <w:bCs/>
        </w:rPr>
      </w:pPr>
      <w:r>
        <w:rPr>
          <w:rFonts w:hint="eastAsia" w:ascii="宋体"/>
          <w:bCs/>
        </w:rPr>
        <w:t>21.3 开标时，《投标一览表》内容与投标文件中明细表内容不一致的，以《投标一览表》为准。</w:t>
      </w:r>
    </w:p>
    <w:p>
      <w:pPr>
        <w:spacing w:line="440" w:lineRule="exact"/>
        <w:ind w:firstLine="420" w:firstLineChars="200"/>
        <w:rPr>
          <w:rFonts w:ascii="宋体"/>
          <w:bCs/>
        </w:rPr>
      </w:pPr>
      <w:r>
        <w:rPr>
          <w:rFonts w:hint="eastAsia" w:ascii="宋体"/>
          <w:bCs/>
        </w:rPr>
        <w:t>21.4投标文件的大写金额与小写金额不一致的，以大写金额为准；总价金额与单项金额不一致的，以单项金额计算为准；单项金额小数点有明显错位的，应以总价金额为准，并修改单项金额；对不同文字文本投标文件的解释发生异议的，以中文文本为准；如果正本投标文件和副本投标文件之间有差异，则以正本投标文件为准。</w:t>
      </w:r>
    </w:p>
    <w:p>
      <w:pPr>
        <w:spacing w:line="440" w:lineRule="exact"/>
        <w:ind w:firstLine="420" w:firstLineChars="200"/>
        <w:rPr>
          <w:rFonts w:ascii="宋体"/>
          <w:bCs/>
        </w:rPr>
      </w:pPr>
      <w:r>
        <w:rPr>
          <w:rFonts w:hint="eastAsia" w:ascii="宋体"/>
          <w:bCs/>
        </w:rPr>
        <w:t>21.5</w:t>
      </w:r>
      <w:r>
        <w:rPr>
          <w:rFonts w:hint="eastAsia" w:ascii="宋体" w:hAnsi="宋体" w:cs="宋体"/>
          <w:szCs w:val="21"/>
          <w:lang w:val="zh-CN"/>
        </w:rPr>
        <w:t>投标截止时间结束后参加投标的供应商不足三家的，除采购任务取消情形外，代理机构报经监管部门批准后，可变更为竞争性谈判、磋商或者单一来源方式采购，或者终止采购活动。本次招标文件中对供应商资格条件要求、技术要求和商务等要求，将作为竞争性谈判、磋商或者单一来源方式采购的基本要求和谈判依据。原评标委员会改为谈判小组，并根据政府采购法等法律法规进行谈判或者磋商，改为竞争性谈判的，按照“符合采购需求，质量服务相等且报价最低”的原则确定成交供应商，改为竞争性磋商的，按照原评标方法及评分标准进行评审。参加投标的供应商，根据自愿原则，选择参加竞争性谈判、磋商或单一来源方式采购。。</w:t>
      </w:r>
    </w:p>
    <w:p>
      <w:pPr>
        <w:pStyle w:val="4"/>
        <w:spacing w:line="440" w:lineRule="exact"/>
        <w:ind w:left="0" w:firstLine="482" w:firstLineChars="200"/>
        <w:jc w:val="both"/>
        <w:rPr>
          <w:rFonts w:ascii="宋体" w:hAnsi="宋体" w:eastAsia="宋体"/>
          <w:b/>
          <w:bCs/>
          <w:sz w:val="24"/>
        </w:rPr>
      </w:pPr>
      <w:bookmarkStart w:id="273" w:name="_Toc12315"/>
      <w:bookmarkStart w:id="274" w:name="_Toc1824"/>
      <w:bookmarkStart w:id="275" w:name="_Toc13513"/>
      <w:bookmarkStart w:id="276" w:name="_Toc18524"/>
      <w:bookmarkStart w:id="277" w:name="_Toc6944"/>
      <w:bookmarkStart w:id="278" w:name="_Toc13304"/>
      <w:r>
        <w:rPr>
          <w:rFonts w:hint="eastAsia" w:ascii="宋体" w:hAnsi="宋体" w:eastAsia="宋体"/>
          <w:b/>
          <w:bCs/>
          <w:sz w:val="24"/>
        </w:rPr>
        <w:t>23.评标委员会</w:t>
      </w:r>
      <w:bookmarkEnd w:id="273"/>
      <w:bookmarkEnd w:id="274"/>
      <w:bookmarkEnd w:id="275"/>
      <w:bookmarkEnd w:id="276"/>
      <w:bookmarkEnd w:id="277"/>
      <w:bookmarkEnd w:id="278"/>
    </w:p>
    <w:p>
      <w:pPr>
        <w:spacing w:line="440" w:lineRule="exact"/>
        <w:ind w:firstLine="420" w:firstLineChars="200"/>
        <w:rPr>
          <w:rFonts w:ascii="宋体"/>
          <w:bCs/>
        </w:rPr>
      </w:pPr>
      <w:r>
        <w:rPr>
          <w:rFonts w:hint="eastAsia" w:ascii="宋体"/>
          <w:bCs/>
        </w:rPr>
        <w:t>23.1开标后，代理机构负责组织评标委员会进行评标。</w:t>
      </w:r>
    </w:p>
    <w:p>
      <w:pPr>
        <w:spacing w:line="440" w:lineRule="exact"/>
        <w:ind w:firstLine="420" w:firstLineChars="200"/>
        <w:rPr>
          <w:rFonts w:ascii="宋体"/>
          <w:bCs/>
        </w:rPr>
      </w:pPr>
      <w:r>
        <w:rPr>
          <w:rFonts w:hint="eastAsia" w:ascii="宋体"/>
          <w:bCs/>
        </w:rPr>
        <w:t>23.2 评标委员会由采购人代表和有关技术、经济等方面的专家组成，独立开展评审工作且评标委员会人员构成符合政府采购有关规定。</w:t>
      </w:r>
    </w:p>
    <w:p>
      <w:pPr>
        <w:spacing w:line="440" w:lineRule="exact"/>
        <w:ind w:firstLine="420" w:firstLineChars="200"/>
        <w:rPr>
          <w:rFonts w:ascii="宋体"/>
          <w:bCs/>
        </w:rPr>
      </w:pPr>
      <w:bookmarkStart w:id="279" w:name="_Toc20823303"/>
      <w:bookmarkStart w:id="280" w:name="_Toc513029231"/>
      <w:bookmarkStart w:id="281" w:name="_Toc16938547"/>
      <w:r>
        <w:rPr>
          <w:rFonts w:hint="eastAsia" w:ascii="宋体"/>
          <w:bCs/>
        </w:rPr>
        <w:t>23.3评委会独立工作，负责评审所有投标文件并确定中标、成交侯选人。</w:t>
      </w:r>
    </w:p>
    <w:p>
      <w:pPr>
        <w:pStyle w:val="4"/>
        <w:spacing w:line="440" w:lineRule="exact"/>
        <w:ind w:left="0" w:firstLine="482" w:firstLineChars="200"/>
        <w:jc w:val="both"/>
        <w:rPr>
          <w:rFonts w:ascii="宋体" w:hAnsi="宋体" w:eastAsia="宋体"/>
          <w:b/>
          <w:bCs/>
          <w:sz w:val="24"/>
        </w:rPr>
      </w:pPr>
      <w:bookmarkStart w:id="282" w:name="_Toc14875"/>
      <w:bookmarkStart w:id="283" w:name="_Toc21081"/>
      <w:bookmarkStart w:id="284" w:name="_Toc29284"/>
      <w:bookmarkStart w:id="285" w:name="_Toc28875"/>
      <w:bookmarkStart w:id="286" w:name="_Toc26172"/>
      <w:bookmarkStart w:id="287" w:name="_Toc6043"/>
      <w:r>
        <w:rPr>
          <w:rFonts w:hint="eastAsia" w:ascii="宋体" w:hAnsi="宋体" w:eastAsia="宋体"/>
          <w:b/>
          <w:bCs/>
          <w:sz w:val="24"/>
        </w:rPr>
        <w:t>24.评标过程的保密与公正</w:t>
      </w:r>
      <w:bookmarkEnd w:id="282"/>
      <w:bookmarkEnd w:id="283"/>
      <w:bookmarkEnd w:id="284"/>
      <w:bookmarkEnd w:id="285"/>
      <w:bookmarkEnd w:id="286"/>
      <w:bookmarkEnd w:id="287"/>
    </w:p>
    <w:bookmarkEnd w:id="279"/>
    <w:bookmarkEnd w:id="280"/>
    <w:bookmarkEnd w:id="281"/>
    <w:p>
      <w:pPr>
        <w:spacing w:line="440" w:lineRule="exact"/>
        <w:ind w:firstLine="420" w:firstLineChars="200"/>
        <w:rPr>
          <w:rFonts w:ascii="宋体"/>
          <w:bCs/>
        </w:rPr>
      </w:pPr>
      <w:r>
        <w:rPr>
          <w:rFonts w:hint="eastAsia" w:ascii="宋体"/>
          <w:bCs/>
        </w:rPr>
        <w:t>24.1公开开标后，直至向中标的投标人授予合同时止，凡是与审查、澄清、评价和比较投标的有关资料以及授标建议等，采购人、评委、招标代理机构均不得向投标人或与评标无关的其他人员透露。</w:t>
      </w:r>
    </w:p>
    <w:p>
      <w:pPr>
        <w:spacing w:line="440" w:lineRule="exact"/>
        <w:ind w:firstLine="420" w:firstLineChars="200"/>
        <w:rPr>
          <w:rFonts w:ascii="宋体"/>
          <w:bCs/>
        </w:rPr>
      </w:pPr>
      <w:r>
        <w:rPr>
          <w:rFonts w:hint="eastAsia" w:ascii="宋体"/>
          <w:bCs/>
        </w:rPr>
        <w:t>24.2在评标过程中，投标人不得以任何行为影响评标过程，否则其投标文件将被作为无效投标文件。</w:t>
      </w:r>
    </w:p>
    <w:p>
      <w:pPr>
        <w:spacing w:line="440" w:lineRule="exact"/>
        <w:ind w:firstLine="420" w:firstLineChars="200"/>
        <w:rPr>
          <w:rFonts w:ascii="宋体"/>
          <w:bCs/>
        </w:rPr>
      </w:pPr>
      <w:r>
        <w:rPr>
          <w:rFonts w:hint="eastAsia" w:ascii="宋体"/>
          <w:bCs/>
        </w:rPr>
        <w:t>24.3 招标代理机构和评标委员会不得向落标的投标人解释未中标原因，也不公布评标过程中的相关细节。</w:t>
      </w:r>
    </w:p>
    <w:p>
      <w:pPr>
        <w:spacing w:line="440" w:lineRule="exact"/>
        <w:ind w:firstLine="420" w:firstLineChars="200"/>
        <w:rPr>
          <w:rFonts w:ascii="宋体"/>
          <w:bCs/>
        </w:rPr>
      </w:pPr>
      <w:r>
        <w:rPr>
          <w:rFonts w:hint="eastAsia" w:ascii="宋体"/>
          <w:bCs/>
        </w:rPr>
        <w:t>24</w:t>
      </w:r>
      <w:r>
        <w:rPr>
          <w:rFonts w:ascii="宋体"/>
          <w:bCs/>
        </w:rPr>
        <w:t>.</w:t>
      </w:r>
      <w:r>
        <w:rPr>
          <w:rFonts w:hint="eastAsia" w:ascii="宋体"/>
          <w:bCs/>
        </w:rPr>
        <w:t>4在评标期间，招标代理机构将指定联络员与投标人进行联络。</w:t>
      </w:r>
    </w:p>
    <w:p>
      <w:pPr>
        <w:pStyle w:val="4"/>
        <w:spacing w:line="440" w:lineRule="exact"/>
        <w:ind w:left="0" w:firstLine="482" w:firstLineChars="200"/>
        <w:jc w:val="both"/>
        <w:rPr>
          <w:rFonts w:ascii="宋体" w:hAnsi="宋体" w:eastAsia="宋体"/>
          <w:b/>
          <w:bCs/>
          <w:sz w:val="24"/>
        </w:rPr>
      </w:pPr>
      <w:bookmarkStart w:id="288" w:name="_Toc32179"/>
      <w:bookmarkStart w:id="289" w:name="_Toc16496"/>
      <w:bookmarkStart w:id="290" w:name="_Toc2532"/>
      <w:bookmarkStart w:id="291" w:name="_Toc31779"/>
      <w:bookmarkStart w:id="292" w:name="_Toc6941"/>
      <w:bookmarkStart w:id="293" w:name="_Toc21754"/>
      <w:r>
        <w:rPr>
          <w:rFonts w:hint="eastAsia" w:ascii="宋体" w:hAnsi="宋体" w:eastAsia="宋体"/>
          <w:b/>
          <w:bCs/>
          <w:sz w:val="24"/>
        </w:rPr>
        <w:t>25.投标文件的澄清</w:t>
      </w:r>
      <w:bookmarkEnd w:id="288"/>
      <w:bookmarkEnd w:id="289"/>
      <w:bookmarkEnd w:id="290"/>
      <w:bookmarkEnd w:id="291"/>
      <w:bookmarkEnd w:id="292"/>
      <w:bookmarkEnd w:id="293"/>
    </w:p>
    <w:p>
      <w:pPr>
        <w:spacing w:line="440" w:lineRule="exact"/>
        <w:rPr>
          <w:rFonts w:ascii="宋体"/>
          <w:bCs/>
        </w:rPr>
      </w:pPr>
      <w:r>
        <w:rPr>
          <w:rFonts w:hint="eastAsia" w:ascii="宋体"/>
          <w:bCs/>
        </w:rPr>
        <w:t xml:space="preserve">    为有利于评标，评标委员会认为需要投标人作出必要澄清、说明的，可随时请投标人对其投标文件中含义不明确的内容、明显文字或者计算错误加以书面澄清、说明。这些资料经评标委员会认可后，可作为投标文件的一部分参与评标。</w:t>
      </w:r>
    </w:p>
    <w:p>
      <w:pPr>
        <w:pStyle w:val="4"/>
        <w:spacing w:line="440" w:lineRule="exact"/>
        <w:ind w:left="0" w:firstLine="482" w:firstLineChars="200"/>
        <w:jc w:val="both"/>
        <w:rPr>
          <w:rFonts w:ascii="宋体" w:hAnsi="宋体" w:eastAsia="宋体"/>
          <w:b/>
          <w:bCs/>
          <w:sz w:val="24"/>
        </w:rPr>
      </w:pPr>
      <w:bookmarkStart w:id="294" w:name="_Toc12710"/>
      <w:bookmarkStart w:id="295" w:name="_Toc18520"/>
      <w:bookmarkStart w:id="296" w:name="_Toc20732"/>
      <w:bookmarkStart w:id="297" w:name="_Toc13685"/>
      <w:bookmarkStart w:id="298" w:name="_Toc21772"/>
      <w:bookmarkStart w:id="299" w:name="_Toc20646"/>
      <w:r>
        <w:rPr>
          <w:rFonts w:hint="eastAsia" w:ascii="宋体" w:hAnsi="宋体" w:eastAsia="宋体"/>
          <w:b/>
          <w:bCs/>
          <w:sz w:val="24"/>
        </w:rPr>
        <w:t>26.初步审查</w:t>
      </w:r>
      <w:bookmarkEnd w:id="294"/>
      <w:bookmarkEnd w:id="295"/>
      <w:bookmarkEnd w:id="296"/>
      <w:bookmarkEnd w:id="297"/>
      <w:bookmarkEnd w:id="298"/>
      <w:bookmarkEnd w:id="299"/>
    </w:p>
    <w:p>
      <w:pPr>
        <w:spacing w:line="440" w:lineRule="exact"/>
        <w:ind w:firstLine="420" w:firstLineChars="200"/>
        <w:rPr>
          <w:rFonts w:ascii="宋体"/>
          <w:bCs/>
        </w:rPr>
      </w:pPr>
      <w:r>
        <w:rPr>
          <w:rFonts w:hint="eastAsia" w:ascii="宋体"/>
          <w:bCs/>
        </w:rPr>
        <w:t>26.1投标文件初审分为资格性检查和符合性检查。</w:t>
      </w:r>
    </w:p>
    <w:p>
      <w:pPr>
        <w:widowControl/>
        <w:shd w:val="clear" w:color="auto" w:fill="FFFFFF"/>
        <w:spacing w:line="440" w:lineRule="exact"/>
        <w:ind w:firstLine="420" w:firstLineChars="200"/>
        <w:rPr>
          <w:rFonts w:ascii="宋体" w:hAnsi="宋体"/>
          <w:kern w:val="0"/>
          <w:szCs w:val="21"/>
        </w:rPr>
      </w:pPr>
      <w:r>
        <w:rPr>
          <w:rFonts w:hint="eastAsia" w:ascii="宋体"/>
          <w:bCs/>
        </w:rPr>
        <w:t>资格性检查：依据法律法规和招标文件的规定，对投标文件中的资格证明文件等进行审查，以确定投标人是否具备投标资格。</w:t>
      </w:r>
    </w:p>
    <w:p>
      <w:pPr>
        <w:spacing w:line="440" w:lineRule="exact"/>
        <w:ind w:firstLine="420" w:firstLineChars="200"/>
        <w:rPr>
          <w:rFonts w:ascii="宋体"/>
          <w:bCs/>
        </w:rPr>
      </w:pPr>
      <w:r>
        <w:rPr>
          <w:rFonts w:hint="eastAsia" w:ascii="宋体"/>
          <w:bCs/>
        </w:rPr>
        <w:t>符合性检查：依据招标文件的规定，从投标文件的有效性、完整性和对招标文件的响应程度进行审查，以确定是否对招标文件的实质性要求作出响应。</w:t>
      </w:r>
    </w:p>
    <w:p>
      <w:pPr>
        <w:spacing w:line="440" w:lineRule="exact"/>
        <w:ind w:firstLine="420" w:firstLineChars="200"/>
        <w:rPr>
          <w:rFonts w:ascii="宋体"/>
          <w:bCs/>
        </w:rPr>
      </w:pPr>
      <w:r>
        <w:rPr>
          <w:rFonts w:hint="eastAsia" w:ascii="宋体"/>
          <w:bCs/>
        </w:rPr>
        <w:t>26.2在详细评标之前，评标委员会将首先审查每份投标文件是否实质性响应了招标文件的要求，凡投标文件的实质性内容和关键格式严重不符合招标文件规定或不响应招标文件要求的，经评审委员会认定作无效投标文件处理。投标人不得通过修改或撤销不合要求的偏离或保留而使其投标成为实质性响应的投标。评委决定投标文件的响应性只根据投标文件本身的内容，而不寻求外部的证据。</w:t>
      </w:r>
    </w:p>
    <w:p>
      <w:pPr>
        <w:spacing w:line="440" w:lineRule="exact"/>
        <w:ind w:firstLine="420" w:firstLineChars="200"/>
        <w:rPr>
          <w:rFonts w:ascii="宋体"/>
          <w:bCs/>
        </w:rPr>
      </w:pPr>
      <w:bookmarkStart w:id="300" w:name="OLE_LINK10"/>
      <w:r>
        <w:rPr>
          <w:rFonts w:hint="eastAsia" w:ascii="宋体"/>
          <w:bCs/>
        </w:rPr>
        <w:t>26.3评标委员会将对确定为实质性响应的投标进行进一步审核，看其是否有计算上或累加上的算术错误，修正错误的原则如下：</w:t>
      </w:r>
    </w:p>
    <w:p>
      <w:pPr>
        <w:spacing w:line="440" w:lineRule="exact"/>
        <w:ind w:firstLine="420" w:firstLineChars="200"/>
        <w:rPr>
          <w:rFonts w:ascii="宋体"/>
          <w:bCs/>
        </w:rPr>
      </w:pPr>
      <w:r>
        <w:rPr>
          <w:rFonts w:hint="eastAsia" w:ascii="宋体"/>
          <w:bCs/>
        </w:rPr>
        <w:t>（1）投标文件的大写金额与小写金额不一致的，以大写金额为准；总价金额与按单价汇总金额不一致的，以单价金额计算结果为准；单价金额小数点有明显错位的，应以总价为准，并修改单价。</w:t>
      </w:r>
    </w:p>
    <w:bookmarkEnd w:id="300"/>
    <w:p>
      <w:pPr>
        <w:spacing w:line="440" w:lineRule="exact"/>
        <w:ind w:firstLine="420" w:firstLineChars="200"/>
        <w:rPr>
          <w:rFonts w:ascii="宋体"/>
          <w:bCs/>
        </w:rPr>
      </w:pPr>
      <w:r>
        <w:rPr>
          <w:rFonts w:hint="eastAsia" w:ascii="宋体"/>
          <w:bCs/>
        </w:rPr>
        <w:t>26.4评标委员会根据投标人的有效报价,计算各投标人的报价得分。</w:t>
      </w:r>
    </w:p>
    <w:p>
      <w:pPr>
        <w:spacing w:line="440" w:lineRule="exact"/>
        <w:ind w:firstLine="420" w:firstLineChars="200"/>
        <w:rPr>
          <w:rFonts w:ascii="宋体"/>
          <w:bCs/>
        </w:rPr>
      </w:pPr>
      <w:r>
        <w:rPr>
          <w:rFonts w:hint="eastAsia" w:ascii="宋体"/>
          <w:bCs/>
        </w:rPr>
        <w:t>26.5评标委员会完成评审后,评审专家对各部分得分进行汇总,计算各投标人的最终得分,推荐中标候选人，并制作评标报告。</w:t>
      </w:r>
    </w:p>
    <w:p>
      <w:pPr>
        <w:spacing w:line="440" w:lineRule="exact"/>
        <w:ind w:firstLine="420" w:firstLineChars="200"/>
        <w:rPr>
          <w:rFonts w:ascii="宋体"/>
          <w:bCs/>
        </w:rPr>
      </w:pPr>
      <w:r>
        <w:rPr>
          <w:rFonts w:hint="eastAsia" w:ascii="宋体"/>
          <w:bCs/>
        </w:rPr>
        <w:t>26.6</w:t>
      </w:r>
      <w:r>
        <w:rPr>
          <w:rFonts w:hint="eastAsia" w:ascii="宋体" w:hAnsi="宋体"/>
          <w:kern w:val="0"/>
          <w:szCs w:val="21"/>
        </w:rPr>
        <w:t>同一品牌同一型号产品只能由一家供应商参加。</w:t>
      </w:r>
      <w:r>
        <w:rPr>
          <w:rFonts w:ascii="宋体"/>
          <w:bCs/>
        </w:rPr>
        <w:t>如多家</w:t>
      </w:r>
      <w:r>
        <w:rPr>
          <w:rFonts w:hint="eastAsia" w:ascii="宋体"/>
          <w:bCs/>
        </w:rPr>
        <w:t>投标人</w:t>
      </w:r>
      <w:r>
        <w:rPr>
          <w:rFonts w:ascii="宋体"/>
          <w:bCs/>
        </w:rPr>
        <w:t>提供相同品牌相同型号的产品参加同一政府采购项目竞争的，应当按一家</w:t>
      </w:r>
      <w:r>
        <w:rPr>
          <w:rFonts w:hint="eastAsia" w:ascii="宋体"/>
          <w:bCs/>
        </w:rPr>
        <w:t>投标人</w:t>
      </w:r>
      <w:r>
        <w:rPr>
          <w:rFonts w:ascii="宋体"/>
          <w:bCs/>
        </w:rPr>
        <w:t>认定。</w:t>
      </w:r>
      <w:r>
        <w:rPr>
          <w:rFonts w:hint="eastAsia" w:ascii="宋体"/>
          <w:bCs/>
        </w:rPr>
        <w:t>评审</w:t>
      </w:r>
      <w:r>
        <w:rPr>
          <w:rFonts w:ascii="宋体"/>
          <w:bCs/>
        </w:rPr>
        <w:t>时，应取其中通过资格审查后的报价最低一家为有效</w:t>
      </w:r>
      <w:r>
        <w:rPr>
          <w:rFonts w:hint="eastAsia" w:ascii="宋体"/>
          <w:bCs/>
        </w:rPr>
        <w:t>投标人</w:t>
      </w:r>
      <w:r>
        <w:rPr>
          <w:rFonts w:ascii="宋体"/>
          <w:bCs/>
        </w:rPr>
        <w:t>；报价相同时，取技术分最高者；均相同时，由</w:t>
      </w:r>
      <w:r>
        <w:rPr>
          <w:rFonts w:hint="eastAsia" w:ascii="宋体"/>
          <w:bCs/>
        </w:rPr>
        <w:t>评审委员会</w:t>
      </w:r>
      <w:r>
        <w:rPr>
          <w:rFonts w:ascii="宋体"/>
          <w:bCs/>
        </w:rPr>
        <w:t>集体决定。</w:t>
      </w:r>
      <w:r>
        <w:rPr>
          <w:rFonts w:hint="eastAsia" w:ascii="宋体"/>
          <w:bCs/>
        </w:rPr>
        <w:t>如按一家有效投标人认定后，造成项目有效投标人不足三家的，项目应予以废标处理。</w:t>
      </w:r>
    </w:p>
    <w:p>
      <w:pPr>
        <w:spacing w:line="440" w:lineRule="exact"/>
        <w:ind w:firstLine="422" w:firstLineChars="200"/>
        <w:rPr>
          <w:rFonts w:ascii="Arial" w:hAnsi="Arial" w:cs="Arial"/>
          <w:b/>
        </w:rPr>
      </w:pPr>
      <w:r>
        <w:rPr>
          <w:rFonts w:hint="eastAsia" w:ascii="Arial" w:hAnsi="Arial" w:cs="Arial"/>
          <w:b/>
        </w:rPr>
        <w:t>26.7</w:t>
      </w:r>
      <w:r>
        <w:rPr>
          <w:rFonts w:ascii="Arial" w:hAnsi="Arial" w:cs="Arial"/>
          <w:b/>
        </w:rPr>
        <w:t>招标文件中</w:t>
      </w:r>
      <w:r>
        <w:rPr>
          <w:rFonts w:hint="eastAsia" w:ascii="Arial" w:hAnsi="Arial" w:cs="Arial"/>
          <w:b/>
        </w:rPr>
        <w:t>标注“</w:t>
      </w:r>
      <w:bookmarkStart w:id="301" w:name="_Hlk147535298"/>
      <w:r>
        <w:rPr>
          <w:rFonts w:hint="eastAsia" w:ascii="Arial" w:hAnsi="Arial" w:cs="Arial"/>
          <w:b/>
        </w:rPr>
        <w:t>★</w:t>
      </w:r>
      <w:bookmarkEnd w:id="301"/>
      <w:r>
        <w:rPr>
          <w:rFonts w:hint="eastAsia" w:ascii="Arial" w:hAnsi="Arial" w:cs="Arial"/>
          <w:b/>
        </w:rPr>
        <w:t>”的为否决项，不满足的按无效投标处理。</w:t>
      </w:r>
    </w:p>
    <w:p>
      <w:pPr>
        <w:spacing w:line="440" w:lineRule="exact"/>
        <w:ind w:firstLine="422" w:firstLineChars="200"/>
        <w:rPr>
          <w:rFonts w:ascii="Arial" w:hAnsi="Arial" w:cs="Arial"/>
          <w:b/>
        </w:rPr>
      </w:pPr>
      <w:r>
        <w:rPr>
          <w:rFonts w:ascii="宋体"/>
          <w:b/>
        </w:rPr>
        <w:t>26</w:t>
      </w:r>
      <w:r>
        <w:rPr>
          <w:rFonts w:hint="eastAsia" w:ascii="宋体"/>
          <w:b/>
        </w:rPr>
        <w:t>.8</w:t>
      </w:r>
      <w:r>
        <w:rPr>
          <w:rFonts w:hint="eastAsia" w:ascii="Arial" w:hAnsi="Arial" w:cs="Arial"/>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20" w:firstLineChars="200"/>
        <w:rPr>
          <w:bCs/>
        </w:rPr>
      </w:pPr>
      <w:r>
        <w:rPr>
          <w:rFonts w:hint="eastAsia"/>
          <w:bCs/>
        </w:rPr>
        <w:t>26.</w:t>
      </w:r>
      <w:r>
        <w:rPr>
          <w:bCs/>
        </w:rPr>
        <w:t>9</w:t>
      </w:r>
      <w:r>
        <w:rPr>
          <w:rFonts w:hint="eastAsia"/>
          <w:bCs/>
        </w:rPr>
        <w:t>技术参数偏离表中未作出响应的视为负偏离。</w:t>
      </w:r>
    </w:p>
    <w:p>
      <w:pPr>
        <w:pStyle w:val="4"/>
        <w:spacing w:line="440" w:lineRule="exact"/>
        <w:ind w:left="0" w:firstLine="482" w:firstLineChars="200"/>
        <w:jc w:val="both"/>
        <w:rPr>
          <w:rFonts w:ascii="宋体" w:hAnsi="宋体" w:eastAsia="宋体"/>
          <w:b/>
          <w:bCs/>
          <w:sz w:val="24"/>
        </w:rPr>
      </w:pPr>
      <w:bookmarkStart w:id="302" w:name="_Toc17401"/>
      <w:bookmarkStart w:id="303" w:name="_Toc26838"/>
      <w:bookmarkStart w:id="304" w:name="_Toc31608"/>
      <w:bookmarkStart w:id="305" w:name="_Toc23547"/>
      <w:bookmarkStart w:id="306" w:name="_Toc30824"/>
      <w:bookmarkStart w:id="307" w:name="_Toc843"/>
      <w:r>
        <w:rPr>
          <w:rFonts w:hint="eastAsia" w:ascii="宋体" w:hAnsi="宋体" w:eastAsia="宋体"/>
          <w:b/>
          <w:bCs/>
          <w:sz w:val="24"/>
        </w:rPr>
        <w:t>27.无效投标条款和废标条款</w:t>
      </w:r>
      <w:bookmarkEnd w:id="302"/>
      <w:bookmarkEnd w:id="303"/>
      <w:bookmarkEnd w:id="304"/>
      <w:bookmarkEnd w:id="305"/>
      <w:bookmarkEnd w:id="306"/>
      <w:bookmarkEnd w:id="307"/>
    </w:p>
    <w:p>
      <w:pPr>
        <w:spacing w:line="360" w:lineRule="auto"/>
        <w:ind w:firstLine="420" w:firstLineChars="200"/>
        <w:rPr>
          <w:rFonts w:ascii="宋体"/>
          <w:bCs/>
        </w:rPr>
      </w:pPr>
      <w:r>
        <w:rPr>
          <w:rFonts w:hint="eastAsia" w:ascii="宋体"/>
          <w:bCs/>
        </w:rPr>
        <w:t>27.1无效投标条款</w:t>
      </w:r>
    </w:p>
    <w:p>
      <w:pPr>
        <w:widowControl/>
        <w:adjustRightInd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1</w:t>
      </w:r>
      <w:r>
        <w:rPr>
          <w:rFonts w:hint="eastAsia" w:ascii="宋体" w:hAnsi="宋体" w:cs="宋体"/>
          <w:kern w:val="0"/>
          <w:szCs w:val="21"/>
          <w:lang w:val="zh-CN"/>
        </w:rPr>
        <w:t>）</w:t>
      </w:r>
      <w:r>
        <w:rPr>
          <w:rFonts w:hint="eastAsia" w:ascii="宋体" w:hAnsi="宋体" w:cs="宋体"/>
          <w:kern w:val="0"/>
          <w:szCs w:val="21"/>
        </w:rPr>
        <w:t>未按照招标文件规定要求密封、签署</w:t>
      </w:r>
      <w:r>
        <w:rPr>
          <w:rFonts w:hint="eastAsia" w:ascii="宋体" w:hAnsi="宋体" w:cs="宋体"/>
          <w:kern w:val="0"/>
          <w:szCs w:val="21"/>
          <w:lang w:val="zh-CN"/>
        </w:rPr>
        <w:t>、盖章的，以及没有《投标一览表》或《投标一览表》没有按照招标文件要求单独封装、盖章的；</w:t>
      </w:r>
    </w:p>
    <w:p>
      <w:pPr>
        <w:widowControl/>
        <w:adjustRightInd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2</w:t>
      </w:r>
      <w:r>
        <w:rPr>
          <w:rFonts w:hint="eastAsia" w:ascii="宋体" w:hAnsi="宋体" w:cs="宋体"/>
          <w:kern w:val="0"/>
          <w:szCs w:val="21"/>
          <w:lang w:val="zh-CN"/>
        </w:rPr>
        <w:t>）投标总价超出采购预算限额的；</w:t>
      </w:r>
    </w:p>
    <w:p>
      <w:pPr>
        <w:widowControl/>
        <w:adjustRightInd w:val="0"/>
        <w:snapToGrid w:val="0"/>
        <w:spacing w:line="360" w:lineRule="auto"/>
        <w:ind w:firstLine="420"/>
        <w:jc w:val="left"/>
        <w:rPr>
          <w:rFonts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3</w:t>
      </w:r>
      <w:r>
        <w:rPr>
          <w:rFonts w:hint="eastAsia" w:ascii="宋体" w:hAnsi="宋体" w:cs="宋体"/>
          <w:kern w:val="0"/>
          <w:szCs w:val="21"/>
          <w:lang w:val="zh-CN"/>
        </w:rPr>
        <w:t>）不具备招标文件中规定资格要求的；</w:t>
      </w:r>
    </w:p>
    <w:p>
      <w:pPr>
        <w:widowControl/>
        <w:adjustRightInd w:val="0"/>
        <w:snapToGrid w:val="0"/>
        <w:spacing w:line="360" w:lineRule="auto"/>
        <w:ind w:firstLine="420"/>
        <w:jc w:val="left"/>
        <w:rPr>
          <w:rFonts w:ascii="宋体" w:hAnsi="宋体" w:cs="宋体"/>
          <w:kern w:val="0"/>
          <w:szCs w:val="21"/>
          <w:lang w:val="zh-CN"/>
        </w:rPr>
      </w:pPr>
      <w:r>
        <w:rPr>
          <w:rFonts w:hint="eastAsia" w:ascii="宋体" w:hAnsi="宋体"/>
          <w:szCs w:val="21"/>
        </w:rPr>
        <w:t>（4）不同供应商的投标文件由同一单位或者个人编制；</w:t>
      </w:r>
    </w:p>
    <w:p>
      <w:pPr>
        <w:widowControl/>
        <w:adjustRightInd w:val="0"/>
        <w:snapToGrid w:val="0"/>
        <w:spacing w:line="360" w:lineRule="auto"/>
        <w:ind w:firstLine="420"/>
        <w:jc w:val="left"/>
        <w:rPr>
          <w:rFonts w:ascii="宋体" w:hAnsi="宋体" w:cs="宋体"/>
          <w:kern w:val="0"/>
          <w:szCs w:val="21"/>
          <w:lang w:val="zh-CN"/>
        </w:rPr>
      </w:pPr>
      <w:r>
        <w:rPr>
          <w:rFonts w:hint="eastAsia" w:ascii="宋体" w:hAnsi="宋体"/>
          <w:szCs w:val="21"/>
        </w:rPr>
        <w:t>（5）不同供应商委托同一单位或者个人办理投标事宜；</w:t>
      </w:r>
    </w:p>
    <w:p>
      <w:pPr>
        <w:widowControl/>
        <w:adjustRightInd w:val="0"/>
        <w:snapToGrid w:val="0"/>
        <w:spacing w:line="360" w:lineRule="auto"/>
        <w:ind w:firstLine="420"/>
        <w:jc w:val="left"/>
        <w:rPr>
          <w:rFonts w:ascii="宋体" w:hAnsi="宋体" w:cs="宋体"/>
          <w:kern w:val="0"/>
          <w:szCs w:val="21"/>
          <w:lang w:val="zh-CN"/>
        </w:rPr>
      </w:pPr>
      <w:r>
        <w:rPr>
          <w:rFonts w:hint="eastAsia" w:ascii="宋体" w:hAnsi="宋体"/>
          <w:szCs w:val="21"/>
        </w:rPr>
        <w:t>（6）不同供应商的投标文件载明的项目管理成员为同一人；</w:t>
      </w:r>
    </w:p>
    <w:p>
      <w:pPr>
        <w:widowControl/>
        <w:adjustRightInd w:val="0"/>
        <w:snapToGrid w:val="0"/>
        <w:spacing w:line="360" w:lineRule="auto"/>
        <w:ind w:firstLine="420"/>
        <w:jc w:val="left"/>
        <w:rPr>
          <w:rFonts w:ascii="宋体" w:hAnsi="宋体" w:cs="宋体"/>
          <w:kern w:val="0"/>
          <w:szCs w:val="21"/>
          <w:lang w:val="zh-CN"/>
        </w:rPr>
      </w:pPr>
      <w:r>
        <w:rPr>
          <w:rFonts w:hint="eastAsia" w:ascii="宋体" w:hAnsi="宋体"/>
          <w:szCs w:val="21"/>
        </w:rPr>
        <w:t>（7）不同供应商的投标文件异常一致或者投标报价呈规律性差异；</w:t>
      </w:r>
    </w:p>
    <w:p>
      <w:pPr>
        <w:widowControl/>
        <w:adjustRightInd w:val="0"/>
        <w:snapToGrid w:val="0"/>
        <w:spacing w:line="360" w:lineRule="auto"/>
        <w:ind w:firstLine="420"/>
        <w:jc w:val="left"/>
        <w:rPr>
          <w:rFonts w:ascii="宋体" w:hAnsi="宋体" w:cs="宋体"/>
          <w:kern w:val="0"/>
          <w:szCs w:val="21"/>
          <w:lang w:val="zh-CN"/>
        </w:rPr>
      </w:pPr>
      <w:r>
        <w:rPr>
          <w:rFonts w:hint="eastAsia" w:ascii="宋体" w:hAnsi="宋体"/>
          <w:szCs w:val="21"/>
        </w:rPr>
        <w:t>（8）不同供应商的投标文件相互混装；</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（11）不同供应商的法定代表人或委托代理人有夫妻、直系血亲关系的；</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（12）不同供应商的负责人为同一人或者存在控股、管理关系的；</w:t>
      </w:r>
    </w:p>
    <w:p>
      <w:pPr>
        <w:autoSpaceDE w:val="0"/>
        <w:autoSpaceDN w:val="0"/>
        <w:adjustRightInd w:val="0"/>
        <w:snapToGrid w:val="0"/>
        <w:spacing w:line="360" w:lineRule="auto"/>
        <w:ind w:firstLine="420" w:firstLineChars="200"/>
        <w:rPr>
          <w:rFonts w:ascii="宋体" w:hAnsi="宋体"/>
          <w:szCs w:val="21"/>
          <w:lang w:val="zh-CN"/>
        </w:rPr>
      </w:pPr>
      <w:r>
        <w:rPr>
          <w:rFonts w:hint="eastAsia" w:ascii="宋体" w:hAnsi="宋体"/>
          <w:szCs w:val="21"/>
          <w:lang w:val="zh-CN"/>
        </w:rPr>
        <w:t>（</w:t>
      </w:r>
      <w:r>
        <w:rPr>
          <w:rFonts w:hint="eastAsia" w:ascii="宋体" w:hAnsi="宋体"/>
          <w:szCs w:val="21"/>
        </w:rPr>
        <w:t>13</w:t>
      </w:r>
      <w:r>
        <w:rPr>
          <w:rFonts w:hint="eastAsia" w:ascii="宋体" w:hAnsi="宋体"/>
          <w:szCs w:val="21"/>
          <w:lang w:val="zh-CN"/>
        </w:rPr>
        <w:t>）没有逐一说明投标产品和服务响应，而是直接拷贝招标文件技术要求的；</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（14）</w:t>
      </w:r>
      <w:r>
        <w:rPr>
          <w:rFonts w:hint="eastAsia" w:ascii="宋体" w:hAnsi="宋体"/>
          <w:szCs w:val="21"/>
        </w:rPr>
        <w:t>不同供应商的委托代理人(或法定代表人、项目经理、项目总监、项目负责人等)在采购文件发布日上月至投标截止日当月在同一单位缴纳社会保险的；</w:t>
      </w:r>
    </w:p>
    <w:p>
      <w:pPr>
        <w:autoSpaceDE w:val="0"/>
        <w:autoSpaceDN w:val="0"/>
        <w:adjustRightInd w:val="0"/>
        <w:snapToGrid w:val="0"/>
        <w:spacing w:line="360" w:lineRule="auto"/>
        <w:ind w:firstLine="420" w:firstLineChars="200"/>
        <w:rPr>
          <w:rFonts w:ascii="宋体" w:hAnsi="宋体"/>
          <w:szCs w:val="21"/>
          <w:lang w:val="zh-CN"/>
        </w:rPr>
      </w:pPr>
      <w:r>
        <w:rPr>
          <w:rFonts w:hint="eastAsia" w:ascii="宋体" w:hAnsi="宋体"/>
          <w:szCs w:val="21"/>
          <w:lang w:val="zh-CN"/>
        </w:rPr>
        <w:t>（1</w:t>
      </w:r>
      <w:r>
        <w:rPr>
          <w:rFonts w:hint="eastAsia" w:ascii="宋体" w:hAnsi="宋体"/>
          <w:szCs w:val="21"/>
        </w:rPr>
        <w:t>5</w:t>
      </w:r>
      <w:r>
        <w:rPr>
          <w:rFonts w:hint="eastAsia" w:ascii="宋体" w:hAnsi="宋体"/>
          <w:szCs w:val="21"/>
          <w:lang w:val="zh-CN"/>
        </w:rPr>
        <w:t>）服务承诺和付款条件未响应招标要求的；</w:t>
      </w:r>
    </w:p>
    <w:p>
      <w:pPr>
        <w:autoSpaceDE w:val="0"/>
        <w:autoSpaceDN w:val="0"/>
        <w:adjustRightInd w:val="0"/>
        <w:snapToGrid w:val="0"/>
        <w:spacing w:line="360" w:lineRule="auto"/>
        <w:ind w:firstLine="420" w:firstLineChars="200"/>
        <w:rPr>
          <w:rFonts w:ascii="宋体" w:hAnsi="宋体"/>
          <w:szCs w:val="21"/>
          <w:lang w:val="zh-CN"/>
        </w:rPr>
      </w:pPr>
      <w:r>
        <w:rPr>
          <w:rFonts w:hint="eastAsia" w:ascii="宋体" w:hAnsi="宋体"/>
          <w:szCs w:val="21"/>
          <w:lang w:val="zh-CN"/>
        </w:rPr>
        <w:t>（1</w:t>
      </w:r>
      <w:r>
        <w:rPr>
          <w:rFonts w:hint="eastAsia" w:ascii="宋体" w:hAnsi="宋体"/>
          <w:szCs w:val="21"/>
        </w:rPr>
        <w:t>6</w:t>
      </w:r>
      <w:r>
        <w:rPr>
          <w:rFonts w:hint="eastAsia" w:ascii="宋体" w:hAnsi="宋体"/>
          <w:szCs w:val="21"/>
          <w:lang w:val="zh-CN"/>
        </w:rPr>
        <w:t>）没有提供《中小企业声明函》的</w:t>
      </w:r>
      <w:r>
        <w:rPr>
          <w:rFonts w:hint="eastAsia" w:ascii="宋体" w:hAnsi="宋体"/>
          <w:szCs w:val="21"/>
        </w:rPr>
        <w:t>(专门面向中小企业的项目必须提供）</w:t>
      </w:r>
      <w:r>
        <w:rPr>
          <w:rFonts w:hint="eastAsia" w:ascii="宋体" w:hAnsi="宋体"/>
          <w:szCs w:val="21"/>
          <w:lang w:val="zh-CN"/>
        </w:rPr>
        <w:t>；</w:t>
      </w:r>
    </w:p>
    <w:p>
      <w:pPr>
        <w:autoSpaceDE w:val="0"/>
        <w:autoSpaceDN w:val="0"/>
        <w:adjustRightInd w:val="0"/>
        <w:snapToGrid w:val="0"/>
        <w:spacing w:line="360" w:lineRule="auto"/>
        <w:ind w:firstLine="420" w:firstLineChars="200"/>
        <w:rPr>
          <w:rFonts w:ascii="宋体" w:hAnsi="宋体"/>
          <w:szCs w:val="21"/>
          <w:lang w:val="zh-CN"/>
        </w:rPr>
      </w:pPr>
      <w:r>
        <w:rPr>
          <w:rFonts w:hint="eastAsia" w:ascii="宋体" w:hAnsi="宋体"/>
          <w:szCs w:val="21"/>
          <w:lang w:val="zh-CN"/>
        </w:rPr>
        <w:t>（1</w:t>
      </w:r>
      <w:r>
        <w:rPr>
          <w:rFonts w:hint="eastAsia" w:ascii="宋体" w:hAnsi="宋体"/>
          <w:szCs w:val="21"/>
        </w:rPr>
        <w:t>7</w:t>
      </w:r>
      <w:r>
        <w:rPr>
          <w:rFonts w:hint="eastAsia" w:ascii="宋体" w:hAnsi="宋体"/>
          <w:szCs w:val="21"/>
          <w:lang w:val="zh-CN"/>
        </w:rPr>
        <w:t>）不符合法律、法规和招标文件规定的其他实质性要求的等。</w:t>
      </w:r>
    </w:p>
    <w:p>
      <w:pPr>
        <w:spacing w:line="440" w:lineRule="exact"/>
        <w:ind w:firstLine="420" w:firstLineChars="200"/>
        <w:rPr>
          <w:rFonts w:ascii="宋体"/>
          <w:bCs/>
        </w:rPr>
      </w:pPr>
      <w:r>
        <w:rPr>
          <w:rFonts w:hint="eastAsia" w:ascii="宋体"/>
          <w:bCs/>
        </w:rPr>
        <w:t>27.2废标条款：</w:t>
      </w:r>
    </w:p>
    <w:p>
      <w:pPr>
        <w:spacing w:line="440" w:lineRule="exact"/>
        <w:ind w:firstLine="420" w:firstLineChars="200"/>
        <w:rPr>
          <w:rFonts w:ascii="宋体"/>
          <w:bCs/>
        </w:rPr>
      </w:pPr>
      <w:r>
        <w:rPr>
          <w:rFonts w:hint="eastAsia" w:ascii="宋体"/>
          <w:bCs/>
        </w:rPr>
        <w:t>（1）符合专业条件的投标人或者对招标文件作实质响应的投标人不足三家的；</w:t>
      </w:r>
    </w:p>
    <w:p>
      <w:pPr>
        <w:spacing w:line="440" w:lineRule="exact"/>
        <w:ind w:firstLine="420" w:firstLineChars="200"/>
        <w:rPr>
          <w:rFonts w:ascii="宋体"/>
          <w:bCs/>
        </w:rPr>
      </w:pPr>
      <w:r>
        <w:rPr>
          <w:rFonts w:hint="eastAsia" w:ascii="宋体"/>
          <w:bCs/>
        </w:rPr>
        <w:t>（2）出现影响采购公正的违法、违规行为的；</w:t>
      </w:r>
    </w:p>
    <w:p>
      <w:pPr>
        <w:spacing w:line="440" w:lineRule="exact"/>
        <w:ind w:firstLine="420" w:firstLineChars="200"/>
        <w:rPr>
          <w:rFonts w:ascii="宋体"/>
          <w:bCs/>
        </w:rPr>
      </w:pPr>
      <w:r>
        <w:rPr>
          <w:rFonts w:hint="eastAsia" w:ascii="宋体"/>
          <w:bCs/>
        </w:rPr>
        <w:t>（3）因重大变故，采购任务取消的；</w:t>
      </w:r>
    </w:p>
    <w:p>
      <w:pPr>
        <w:spacing w:line="440" w:lineRule="exact"/>
        <w:ind w:firstLine="420" w:firstLineChars="200"/>
        <w:rPr>
          <w:rFonts w:ascii="宋体"/>
          <w:bCs/>
        </w:rPr>
      </w:pPr>
      <w:r>
        <w:rPr>
          <w:rFonts w:hint="eastAsia" w:ascii="宋体"/>
          <w:bCs/>
        </w:rPr>
        <w:t>（4）评标委员会认定招标文件存在歧义、 重大缺陷导致评审工作无法进行的。</w:t>
      </w:r>
    </w:p>
    <w:p>
      <w:pPr>
        <w:widowControl/>
        <w:shd w:val="clear" w:color="auto" w:fill="FFFFFF"/>
        <w:spacing w:line="440" w:lineRule="exact"/>
        <w:ind w:firstLine="420"/>
        <w:outlineLvl w:val="1"/>
        <w:rPr>
          <w:rFonts w:ascii="宋体" w:hAnsi="宋体"/>
          <w:b/>
          <w:bCs/>
          <w:kern w:val="0"/>
          <w:sz w:val="24"/>
        </w:rPr>
      </w:pPr>
      <w:bookmarkStart w:id="308" w:name="_Toc10969"/>
      <w:bookmarkStart w:id="309" w:name="_Toc4573"/>
      <w:bookmarkStart w:id="310" w:name="_Toc18327"/>
      <w:bookmarkStart w:id="311" w:name="_Toc13791"/>
      <w:bookmarkStart w:id="312" w:name="_Toc15437"/>
      <w:bookmarkStart w:id="313" w:name="_Toc26441"/>
      <w:r>
        <w:rPr>
          <w:rFonts w:hint="eastAsia" w:ascii="宋体" w:hAnsi="宋体"/>
          <w:b/>
          <w:bCs/>
          <w:kern w:val="0"/>
          <w:sz w:val="24"/>
        </w:rPr>
        <w:t>六、授标</w:t>
      </w:r>
      <w:bookmarkEnd w:id="308"/>
      <w:bookmarkEnd w:id="309"/>
      <w:bookmarkEnd w:id="310"/>
      <w:bookmarkEnd w:id="311"/>
      <w:bookmarkEnd w:id="312"/>
      <w:bookmarkEnd w:id="313"/>
    </w:p>
    <w:p>
      <w:pPr>
        <w:pStyle w:val="4"/>
        <w:spacing w:line="440" w:lineRule="exact"/>
        <w:ind w:left="0" w:firstLine="482" w:firstLineChars="200"/>
        <w:jc w:val="both"/>
        <w:rPr>
          <w:rFonts w:ascii="宋体" w:hAnsi="宋体" w:eastAsia="宋体"/>
          <w:b/>
          <w:bCs/>
          <w:sz w:val="24"/>
        </w:rPr>
      </w:pPr>
      <w:bookmarkStart w:id="314" w:name="_Toc6178"/>
      <w:bookmarkStart w:id="315" w:name="_Toc31305"/>
      <w:bookmarkStart w:id="316" w:name="_Toc6515"/>
      <w:bookmarkStart w:id="317" w:name="_Toc25636"/>
      <w:bookmarkStart w:id="318" w:name="_Toc5511"/>
      <w:bookmarkStart w:id="319" w:name="_Toc28693"/>
      <w:r>
        <w:rPr>
          <w:rFonts w:hint="eastAsia" w:ascii="宋体" w:hAnsi="宋体" w:eastAsia="宋体"/>
          <w:b/>
          <w:bCs/>
          <w:sz w:val="24"/>
        </w:rPr>
        <w:t>28.确定中标人</w:t>
      </w:r>
      <w:bookmarkEnd w:id="314"/>
      <w:bookmarkEnd w:id="315"/>
      <w:bookmarkEnd w:id="316"/>
      <w:bookmarkEnd w:id="317"/>
      <w:bookmarkEnd w:id="318"/>
      <w:bookmarkEnd w:id="319"/>
    </w:p>
    <w:p>
      <w:pPr>
        <w:spacing w:line="440" w:lineRule="exact"/>
        <w:ind w:firstLine="420" w:firstLineChars="200"/>
      </w:pPr>
      <w:r>
        <w:rPr>
          <w:rFonts w:hint="eastAsia" w:ascii="宋体" w:hAnsi="宋体"/>
          <w:kern w:val="0"/>
          <w:szCs w:val="21"/>
        </w:rPr>
        <w:t>28.1评标委员会根据招标文件规定的评分办法与评分标准的</w:t>
      </w:r>
      <w:r>
        <w:rPr>
          <w:rFonts w:hint="eastAsia"/>
        </w:rPr>
        <w:t>各项因素综合评价每份投标文件，综合比较与评价后按照得分高低顺序对供应商进行排列。得分相同的，按投标报价由低到高顺序排列。得分且投标报价相同的，按技术指标优劣顺序排列。评标委员会根据最终排名</w:t>
      </w:r>
      <w:r>
        <w:rPr>
          <w:rFonts w:hint="eastAsia" w:ascii="宋体" w:hAnsi="宋体"/>
          <w:kern w:val="0"/>
          <w:szCs w:val="21"/>
        </w:rPr>
        <w:t>向采购人推荐中标候选人。</w:t>
      </w:r>
      <w:r>
        <w:rPr>
          <w:rFonts w:hint="eastAsia"/>
        </w:rPr>
        <w:t>最低投标价等任何单项因素的最优不是中标的必要条件。</w:t>
      </w:r>
    </w:p>
    <w:p>
      <w:pPr>
        <w:widowControl/>
        <w:shd w:val="clear" w:color="auto" w:fill="FFFFFF"/>
        <w:spacing w:line="440" w:lineRule="exact"/>
        <w:ind w:firstLine="420"/>
        <w:rPr>
          <w:rFonts w:ascii="宋体" w:hAnsi="宋体"/>
          <w:kern w:val="0"/>
          <w:szCs w:val="21"/>
        </w:rPr>
      </w:pPr>
      <w:r>
        <w:rPr>
          <w:rFonts w:hint="eastAsia" w:ascii="宋体" w:hAnsi="宋体"/>
          <w:kern w:val="0"/>
          <w:szCs w:val="21"/>
        </w:rPr>
        <w:t>28.2 采购人应根据评标委员会推荐的中标候选人确定中标人。</w:t>
      </w:r>
    </w:p>
    <w:p>
      <w:pPr>
        <w:spacing w:line="440" w:lineRule="exact"/>
        <w:ind w:firstLine="420" w:firstLineChars="200"/>
        <w:rPr>
          <w:rFonts w:ascii="宋体" w:hAnsi="宋体"/>
          <w:kern w:val="0"/>
          <w:szCs w:val="21"/>
        </w:rPr>
      </w:pPr>
      <w:r>
        <w:rPr>
          <w:rFonts w:hint="eastAsia" w:ascii="宋体" w:hAnsi="宋体"/>
          <w:kern w:val="0"/>
          <w:szCs w:val="21"/>
        </w:rPr>
        <w:t>28.3评审结束后，招标代理机构应当自评审结束之日起2个工作日内将评审报告送交采购人。采购人应当自收到评审报告之日起5个工作日内在评审报告推荐的中标或者成交候选人中按顺序确定中标或者成交供应商。招标代理机构应当自中标、成交供应商确定之日起2个工作日内，发出中标、成交通知书，并在省级以上人民政府财政部门指定的媒体上公告中标、成交结果，招标文件、竞争性谈判文件、询价通知书随中标、成交结果同时公告。</w:t>
      </w:r>
    </w:p>
    <w:p>
      <w:pPr>
        <w:spacing w:line="440" w:lineRule="exact"/>
        <w:ind w:firstLine="420" w:firstLineChars="200"/>
        <w:rPr>
          <w:rFonts w:ascii="宋体" w:hAnsi="宋体"/>
          <w:kern w:val="0"/>
          <w:szCs w:val="21"/>
        </w:rPr>
      </w:pPr>
      <w:r>
        <w:rPr>
          <w:rFonts w:hint="eastAsia" w:ascii="宋体" w:hAnsi="宋体"/>
          <w:kern w:val="0"/>
          <w:szCs w:val="21"/>
        </w:rPr>
        <w:t>28.4 中标供应商因不可抗力或者自身原因不能履行政府采购合同的，采购人可以与排位在中标供应商之后第一位的中标候选供应商签订政府采购合同，以此类推；采购人也可以重新开展政府采购活动。</w:t>
      </w:r>
    </w:p>
    <w:p>
      <w:pPr>
        <w:spacing w:line="440" w:lineRule="exact"/>
        <w:ind w:firstLine="420" w:firstLineChars="200"/>
        <w:rPr>
          <w:rFonts w:ascii="宋体" w:hAnsi="宋体"/>
          <w:kern w:val="0"/>
          <w:szCs w:val="21"/>
        </w:rPr>
      </w:pPr>
      <w:r>
        <w:rPr>
          <w:rFonts w:hint="eastAsia" w:ascii="宋体" w:hAnsi="宋体"/>
          <w:kern w:val="0"/>
          <w:szCs w:val="21"/>
        </w:rPr>
        <w:t>28.5 若评标委员会发现投标人的投标文件中有弄虚作假行为，则该投标人将失去投标资格。</w:t>
      </w:r>
    </w:p>
    <w:p>
      <w:pPr>
        <w:spacing w:line="440" w:lineRule="exact"/>
        <w:ind w:firstLine="420" w:firstLineChars="200"/>
        <w:rPr>
          <w:rFonts w:ascii="宋体" w:hAnsi="宋体"/>
          <w:kern w:val="0"/>
          <w:szCs w:val="21"/>
        </w:rPr>
      </w:pPr>
      <w:r>
        <w:rPr>
          <w:rFonts w:hint="eastAsia" w:ascii="宋体" w:hAnsi="宋体"/>
          <w:kern w:val="0"/>
          <w:szCs w:val="21"/>
        </w:rPr>
        <w:t>28.6 招标代理机构对未中标的投标人不作未中标原因的解释。</w:t>
      </w:r>
    </w:p>
    <w:p>
      <w:pPr>
        <w:spacing w:line="440" w:lineRule="exact"/>
        <w:ind w:firstLine="420" w:firstLineChars="200"/>
        <w:rPr>
          <w:rFonts w:ascii="宋体" w:hAnsi="宋体"/>
          <w:kern w:val="0"/>
          <w:szCs w:val="21"/>
        </w:rPr>
      </w:pPr>
      <w:r>
        <w:rPr>
          <w:rFonts w:hint="eastAsia" w:ascii="宋体" w:hAnsi="宋体"/>
          <w:kern w:val="0"/>
          <w:szCs w:val="21"/>
        </w:rPr>
        <w:t>28.7所有投标文件都将作为档案保存，不论中标与否，代理机构均不退回。</w:t>
      </w:r>
    </w:p>
    <w:p>
      <w:pPr>
        <w:pStyle w:val="4"/>
        <w:spacing w:line="440" w:lineRule="exact"/>
        <w:ind w:left="0" w:firstLine="482" w:firstLineChars="200"/>
        <w:jc w:val="both"/>
        <w:rPr>
          <w:rFonts w:ascii="宋体" w:hAnsi="宋体" w:eastAsia="宋体"/>
          <w:b/>
          <w:bCs/>
          <w:sz w:val="24"/>
        </w:rPr>
      </w:pPr>
      <w:bookmarkStart w:id="320" w:name="_Toc11937"/>
      <w:bookmarkStart w:id="321" w:name="_Toc23774"/>
      <w:bookmarkStart w:id="322" w:name="_Toc7377"/>
      <w:bookmarkStart w:id="323" w:name="_Toc9632"/>
      <w:bookmarkStart w:id="324" w:name="_Toc3786"/>
      <w:bookmarkStart w:id="325" w:name="_Toc7418"/>
      <w:r>
        <w:rPr>
          <w:rFonts w:hint="eastAsia" w:ascii="宋体" w:hAnsi="宋体" w:eastAsia="宋体"/>
          <w:b/>
          <w:bCs/>
          <w:sz w:val="24"/>
        </w:rPr>
        <w:t>29.</w:t>
      </w:r>
      <w:bookmarkEnd w:id="320"/>
      <w:bookmarkEnd w:id="321"/>
      <w:bookmarkEnd w:id="322"/>
      <w:bookmarkStart w:id="326" w:name="_Toc21146"/>
      <w:bookmarkStart w:id="327" w:name="_Toc4537"/>
      <w:bookmarkStart w:id="328" w:name="_Toc4002"/>
      <w:r>
        <w:rPr>
          <w:rFonts w:hint="eastAsia" w:ascii="宋体" w:hAnsi="宋体" w:eastAsia="宋体"/>
          <w:b/>
          <w:bCs/>
          <w:sz w:val="24"/>
        </w:rPr>
        <w:t>最后审定</w:t>
      </w:r>
      <w:bookmarkEnd w:id="323"/>
      <w:bookmarkEnd w:id="324"/>
      <w:bookmarkEnd w:id="325"/>
      <w:bookmarkEnd w:id="326"/>
      <w:bookmarkEnd w:id="327"/>
      <w:bookmarkEnd w:id="328"/>
    </w:p>
    <w:p>
      <w:pPr>
        <w:spacing w:line="440" w:lineRule="exact"/>
        <w:ind w:firstLine="420" w:firstLineChars="200"/>
        <w:rPr>
          <w:rFonts w:ascii="宋体"/>
          <w:bCs/>
        </w:rPr>
      </w:pPr>
      <w:r>
        <w:rPr>
          <w:rFonts w:hint="eastAsia" w:ascii="宋体"/>
          <w:bCs/>
        </w:rPr>
        <w:t>通过评标并进一步检查投标人按第9项规定提供的各类文件资料，检查的结果必须是肯定的，才是授予中标通知书的先决条件。</w:t>
      </w:r>
    </w:p>
    <w:p>
      <w:pPr>
        <w:pStyle w:val="4"/>
        <w:spacing w:line="440" w:lineRule="exact"/>
        <w:ind w:left="0" w:firstLine="482" w:firstLineChars="200"/>
        <w:jc w:val="both"/>
        <w:rPr>
          <w:rFonts w:ascii="宋体" w:hAnsi="宋体" w:eastAsia="宋体"/>
          <w:b/>
          <w:bCs/>
          <w:sz w:val="24"/>
        </w:rPr>
      </w:pPr>
      <w:bookmarkStart w:id="329" w:name="_Toc2913"/>
      <w:bookmarkStart w:id="330" w:name="_Toc31148"/>
      <w:bookmarkStart w:id="331" w:name="_Toc32182"/>
      <w:bookmarkStart w:id="332" w:name="_Toc21169"/>
      <w:bookmarkStart w:id="333" w:name="_Toc20747"/>
      <w:bookmarkStart w:id="334" w:name="_Toc19701"/>
      <w:r>
        <w:rPr>
          <w:rFonts w:hint="eastAsia" w:ascii="宋体" w:hAnsi="宋体" w:eastAsia="宋体"/>
          <w:b/>
          <w:bCs/>
          <w:sz w:val="24"/>
        </w:rPr>
        <w:t>30.中标的通知</w:t>
      </w:r>
      <w:bookmarkEnd w:id="329"/>
      <w:bookmarkEnd w:id="330"/>
      <w:bookmarkEnd w:id="331"/>
      <w:bookmarkEnd w:id="332"/>
      <w:bookmarkEnd w:id="333"/>
      <w:bookmarkEnd w:id="334"/>
    </w:p>
    <w:p>
      <w:pPr>
        <w:spacing w:line="440" w:lineRule="exact"/>
        <w:ind w:firstLine="420" w:firstLineChars="200"/>
        <w:rPr>
          <w:rFonts w:ascii="宋体"/>
          <w:bCs/>
        </w:rPr>
      </w:pPr>
      <w:r>
        <w:rPr>
          <w:rFonts w:hint="eastAsia" w:ascii="宋体"/>
          <w:bCs/>
        </w:rPr>
        <w:t>30</w:t>
      </w:r>
      <w:r>
        <w:rPr>
          <w:rFonts w:ascii="宋体"/>
          <w:bCs/>
        </w:rPr>
        <w:t>.1</w:t>
      </w:r>
      <w:r>
        <w:rPr>
          <w:rFonts w:hint="eastAsia" w:ascii="宋体"/>
          <w:bCs/>
        </w:rPr>
        <w:t>在投标文件有效期内，招标代理机构以书面通知所选定的中标人。</w:t>
      </w:r>
    </w:p>
    <w:p>
      <w:pPr>
        <w:spacing w:line="440" w:lineRule="exact"/>
        <w:ind w:firstLine="420" w:firstLineChars="200"/>
        <w:rPr>
          <w:rFonts w:ascii="宋体"/>
          <w:bCs/>
        </w:rPr>
      </w:pPr>
      <w:r>
        <w:rPr>
          <w:rFonts w:hint="eastAsia" w:ascii="宋体"/>
          <w:bCs/>
        </w:rPr>
        <w:t>30</w:t>
      </w:r>
      <w:r>
        <w:rPr>
          <w:rFonts w:ascii="宋体"/>
          <w:bCs/>
        </w:rPr>
        <w:t>.2</w:t>
      </w:r>
      <w:r>
        <w:rPr>
          <w:rFonts w:hint="eastAsia" w:ascii="宋体"/>
          <w:bCs/>
        </w:rPr>
        <w:t>中标人在收到中标通知书后，应郑重保证履行中标人应履行的，含中标服务费在内的一切义务和责任。</w:t>
      </w:r>
    </w:p>
    <w:p>
      <w:pPr>
        <w:pStyle w:val="4"/>
        <w:spacing w:line="440" w:lineRule="exact"/>
        <w:ind w:left="0" w:firstLine="482" w:firstLineChars="200"/>
        <w:jc w:val="both"/>
        <w:rPr>
          <w:rFonts w:ascii="宋体" w:hAnsi="宋体" w:eastAsia="宋体"/>
          <w:b/>
          <w:bCs/>
          <w:sz w:val="24"/>
        </w:rPr>
      </w:pPr>
      <w:bookmarkStart w:id="335" w:name="_Toc15484"/>
      <w:bookmarkStart w:id="336" w:name="_Toc4684"/>
      <w:bookmarkStart w:id="337" w:name="_Toc13054"/>
      <w:bookmarkStart w:id="338" w:name="_Toc11988"/>
      <w:bookmarkStart w:id="339" w:name="_Toc6926"/>
      <w:bookmarkStart w:id="340" w:name="_Toc19128"/>
      <w:r>
        <w:rPr>
          <w:rFonts w:hint="eastAsia" w:ascii="宋体" w:hAnsi="宋体" w:eastAsia="宋体"/>
          <w:b/>
          <w:bCs/>
          <w:sz w:val="24"/>
        </w:rPr>
        <w:t>31.签订合同</w:t>
      </w:r>
      <w:bookmarkEnd w:id="335"/>
      <w:bookmarkEnd w:id="336"/>
      <w:bookmarkEnd w:id="337"/>
      <w:bookmarkEnd w:id="338"/>
      <w:bookmarkEnd w:id="339"/>
      <w:bookmarkEnd w:id="340"/>
    </w:p>
    <w:p>
      <w:pPr>
        <w:spacing w:line="440" w:lineRule="exact"/>
        <w:ind w:firstLine="420" w:firstLineChars="200"/>
        <w:rPr>
          <w:rFonts w:ascii="宋体"/>
          <w:bCs/>
        </w:rPr>
      </w:pPr>
      <w:r>
        <w:rPr>
          <w:rFonts w:hint="eastAsia" w:ascii="宋体"/>
          <w:bCs/>
        </w:rPr>
        <w:t>31.1中标人应当自中标通知书发出之日起三十日内，按照招标文件和中标人投标文件的约定与采购人签订政府采购合同，所签订的合同不得对招标文件和中标人投标文件作实质性修改。</w:t>
      </w:r>
    </w:p>
    <w:p>
      <w:pPr>
        <w:spacing w:line="440" w:lineRule="exact"/>
        <w:ind w:firstLine="420" w:firstLineChars="200"/>
        <w:rPr>
          <w:rFonts w:ascii="宋体"/>
          <w:bCs/>
        </w:rPr>
      </w:pPr>
      <w:r>
        <w:rPr>
          <w:rFonts w:hint="eastAsia" w:ascii="宋体"/>
          <w:bCs/>
        </w:rPr>
        <w:t>31</w:t>
      </w:r>
      <w:r>
        <w:rPr>
          <w:rFonts w:ascii="宋体"/>
          <w:bCs/>
        </w:rPr>
        <w:t>.2</w:t>
      </w:r>
      <w:r>
        <w:rPr>
          <w:rFonts w:hint="eastAsia" w:ascii="宋体"/>
          <w:bCs/>
        </w:rPr>
        <w:t>招标文件中招标产品清单和技术要求及说明、合同条款、投标函、投标一览表，投标产品技术条款偏离表、有关图表和说明等，均应作为合同附件。</w:t>
      </w:r>
    </w:p>
    <w:p>
      <w:pPr>
        <w:spacing w:line="440" w:lineRule="exact"/>
        <w:ind w:firstLine="420" w:firstLineChars="200"/>
        <w:rPr>
          <w:rFonts w:ascii="宋体"/>
          <w:bCs/>
        </w:rPr>
      </w:pPr>
      <w:r>
        <w:rPr>
          <w:rFonts w:hint="eastAsia" w:ascii="宋体"/>
          <w:bCs/>
        </w:rPr>
        <w:t>31</w:t>
      </w:r>
      <w:r>
        <w:rPr>
          <w:rFonts w:ascii="宋体"/>
          <w:bCs/>
        </w:rPr>
        <w:t>.3</w:t>
      </w:r>
      <w:r>
        <w:rPr>
          <w:rFonts w:hint="eastAsia" w:ascii="宋体"/>
          <w:bCs/>
        </w:rPr>
        <w:t>若中标人未能按规定签约，中标将被撤销，在这种情况下采购人可以另选中标人或重新招标。</w:t>
      </w:r>
    </w:p>
    <w:p>
      <w:pPr>
        <w:spacing w:line="440" w:lineRule="exact"/>
        <w:ind w:firstLine="420" w:firstLineChars="200"/>
        <w:rPr>
          <w:rFonts w:ascii="宋体"/>
          <w:bCs/>
        </w:rPr>
      </w:pPr>
      <w:r>
        <w:rPr>
          <w:rFonts w:hint="eastAsia" w:ascii="宋体"/>
          <w:bCs/>
        </w:rPr>
        <w:t>31.4 政府采购合同履行中，采购人需追加与合同标的相同的货物的，在不改变合同其他条款的前提下，可以与供应商协商签订补充合同，但所有补充合同的采购金额不得超过原合同采购金额的百分之十。</w:t>
      </w:r>
    </w:p>
    <w:p>
      <w:pPr>
        <w:pStyle w:val="4"/>
        <w:spacing w:line="440" w:lineRule="exact"/>
        <w:ind w:left="0" w:firstLine="482" w:firstLineChars="200"/>
        <w:jc w:val="both"/>
        <w:rPr>
          <w:rFonts w:ascii="宋体" w:hAnsi="宋体" w:eastAsia="宋体"/>
          <w:b/>
          <w:bCs/>
          <w:sz w:val="24"/>
        </w:rPr>
      </w:pPr>
      <w:bookmarkStart w:id="341" w:name="_Toc24788"/>
      <w:bookmarkStart w:id="342" w:name="_Toc22298"/>
      <w:bookmarkStart w:id="343" w:name="_Toc8556"/>
      <w:bookmarkStart w:id="344" w:name="_Toc26273"/>
      <w:bookmarkStart w:id="345" w:name="_Toc26522"/>
      <w:bookmarkStart w:id="346" w:name="_Toc227"/>
      <w:r>
        <w:rPr>
          <w:rFonts w:hint="eastAsia" w:ascii="宋体" w:hAnsi="宋体" w:eastAsia="宋体"/>
          <w:b/>
          <w:bCs/>
          <w:sz w:val="24"/>
        </w:rPr>
        <w:t>32.中标服务费</w:t>
      </w:r>
      <w:bookmarkEnd w:id="341"/>
      <w:bookmarkEnd w:id="342"/>
      <w:bookmarkEnd w:id="343"/>
      <w:bookmarkEnd w:id="344"/>
      <w:bookmarkEnd w:id="345"/>
      <w:bookmarkEnd w:id="346"/>
    </w:p>
    <w:p>
      <w:pPr>
        <w:snapToGrid w:val="0"/>
        <w:spacing w:line="400" w:lineRule="exact"/>
        <w:ind w:firstLine="420" w:firstLineChars="200"/>
        <w:rPr>
          <w:rFonts w:cs="宋体"/>
          <w:szCs w:val="21"/>
        </w:rPr>
      </w:pPr>
      <w:r>
        <w:rPr>
          <w:rFonts w:hint="eastAsia" w:cs="宋体"/>
          <w:szCs w:val="21"/>
        </w:rPr>
        <w:t>中标服务费采用差额定率累进计费方式。合同签订后一周内，中标人按照“国家计委关于印发《招标代理服务收费管理暂行办法》的通知《招标代理服务收费管理暂行办法》（计价格[2002]1980 号）”中规定的收费标准向采购代理机构交付招标代理服务费，中标服务费一次付清。</w:t>
      </w:r>
    </w:p>
    <w:p>
      <w:pPr>
        <w:spacing w:line="440" w:lineRule="exact"/>
        <w:jc w:val="left"/>
        <w:rPr>
          <w:rFonts w:ascii="宋体" w:hAnsi="宋体"/>
          <w:kern w:val="0"/>
          <w:szCs w:val="21"/>
        </w:rPr>
      </w:pPr>
      <w:r>
        <w:rPr>
          <w:rFonts w:hint="eastAsia" w:ascii="宋体" w:hAnsi="宋体"/>
          <w:kern w:val="0"/>
          <w:szCs w:val="21"/>
        </w:rPr>
        <w:t>服务费收款单位信息：</w:t>
      </w:r>
    </w:p>
    <w:p>
      <w:pPr>
        <w:snapToGrid w:val="0"/>
        <w:spacing w:line="400" w:lineRule="exact"/>
        <w:ind w:firstLine="420" w:firstLineChars="200"/>
        <w:rPr>
          <w:rFonts w:cs="宋体"/>
          <w:szCs w:val="21"/>
          <w:lang w:val="zh-CN"/>
        </w:rPr>
      </w:pPr>
      <w:r>
        <w:rPr>
          <w:rFonts w:hint="eastAsia" w:cs="宋体"/>
          <w:szCs w:val="21"/>
          <w:lang w:val="zh-CN"/>
        </w:rPr>
        <w:t>单位名称：苏美达国际技术贸易有限公司</w:t>
      </w:r>
    </w:p>
    <w:p>
      <w:pPr>
        <w:snapToGrid w:val="0"/>
        <w:spacing w:line="400" w:lineRule="exact"/>
        <w:ind w:firstLine="420" w:firstLineChars="200"/>
        <w:rPr>
          <w:rFonts w:cs="宋体"/>
          <w:szCs w:val="21"/>
          <w:lang w:val="zh-CN"/>
        </w:rPr>
      </w:pPr>
      <w:r>
        <w:rPr>
          <w:rFonts w:hint="eastAsia" w:cs="宋体"/>
          <w:szCs w:val="21"/>
          <w:lang w:val="zh-CN"/>
        </w:rPr>
        <w:t>开户银行：中信南京分行营业部</w:t>
      </w:r>
    </w:p>
    <w:p>
      <w:pPr>
        <w:snapToGrid w:val="0"/>
        <w:spacing w:line="400" w:lineRule="exact"/>
        <w:ind w:firstLine="420" w:firstLineChars="200"/>
        <w:rPr>
          <w:rFonts w:cs="宋体"/>
          <w:szCs w:val="21"/>
        </w:rPr>
      </w:pPr>
      <w:r>
        <w:rPr>
          <w:rFonts w:hint="eastAsia" w:cs="宋体"/>
          <w:szCs w:val="21"/>
          <w:lang w:val="zh-CN"/>
        </w:rPr>
        <w:t>账    号：7321010182300013675</w:t>
      </w:r>
    </w:p>
    <w:p>
      <w:pPr>
        <w:widowControl/>
        <w:shd w:val="clear" w:color="auto" w:fill="FFFFFF"/>
        <w:spacing w:line="440" w:lineRule="exact"/>
        <w:ind w:firstLine="482" w:firstLineChars="200"/>
        <w:outlineLvl w:val="1"/>
        <w:rPr>
          <w:rFonts w:ascii="宋体" w:hAnsi="宋体"/>
          <w:b/>
          <w:bCs/>
          <w:kern w:val="0"/>
          <w:sz w:val="24"/>
        </w:rPr>
      </w:pPr>
      <w:bookmarkStart w:id="347" w:name="_Toc16831"/>
      <w:bookmarkStart w:id="348" w:name="_Toc762"/>
      <w:bookmarkStart w:id="349" w:name="_Toc31918"/>
      <w:bookmarkStart w:id="350" w:name="_Toc12649"/>
      <w:bookmarkStart w:id="351" w:name="_Toc24152"/>
      <w:bookmarkStart w:id="352" w:name="_Toc20112"/>
      <w:r>
        <w:rPr>
          <w:rFonts w:hint="eastAsia" w:ascii="宋体" w:hAnsi="宋体"/>
          <w:b/>
          <w:bCs/>
          <w:kern w:val="0"/>
          <w:sz w:val="24"/>
        </w:rPr>
        <w:t>七、质疑</w:t>
      </w:r>
      <w:bookmarkEnd w:id="347"/>
      <w:bookmarkEnd w:id="348"/>
      <w:bookmarkEnd w:id="349"/>
      <w:bookmarkEnd w:id="350"/>
      <w:bookmarkEnd w:id="351"/>
      <w:bookmarkEnd w:id="352"/>
    </w:p>
    <w:p>
      <w:pPr>
        <w:pStyle w:val="4"/>
        <w:spacing w:line="440" w:lineRule="exact"/>
        <w:ind w:left="0" w:firstLine="482" w:firstLineChars="200"/>
        <w:jc w:val="both"/>
        <w:rPr>
          <w:rFonts w:ascii="宋体" w:hAnsi="宋体" w:eastAsia="宋体"/>
          <w:b/>
          <w:bCs/>
          <w:sz w:val="24"/>
        </w:rPr>
      </w:pPr>
      <w:bookmarkStart w:id="353" w:name="_Toc12523"/>
      <w:bookmarkStart w:id="354" w:name="_Toc9152"/>
      <w:bookmarkStart w:id="355" w:name="_Toc14238"/>
      <w:bookmarkStart w:id="356" w:name="_Toc29529"/>
      <w:bookmarkStart w:id="357" w:name="_Toc16085"/>
      <w:bookmarkStart w:id="358" w:name="_Toc26898"/>
      <w:r>
        <w:rPr>
          <w:rFonts w:hint="eastAsia" w:ascii="宋体" w:hAnsi="宋体" w:eastAsia="宋体"/>
          <w:b/>
          <w:bCs/>
          <w:sz w:val="24"/>
        </w:rPr>
        <w:t>33、质疑</w:t>
      </w:r>
      <w:bookmarkEnd w:id="353"/>
      <w:bookmarkEnd w:id="354"/>
      <w:bookmarkEnd w:id="355"/>
      <w:bookmarkEnd w:id="356"/>
      <w:bookmarkEnd w:id="357"/>
      <w:bookmarkEnd w:id="358"/>
    </w:p>
    <w:p>
      <w:pPr>
        <w:spacing w:line="440" w:lineRule="exact"/>
        <w:ind w:firstLine="420" w:firstLineChars="200"/>
        <w:rPr>
          <w:rFonts w:ascii="宋体"/>
          <w:bCs/>
        </w:rPr>
      </w:pPr>
      <w:r>
        <w:rPr>
          <w:rFonts w:hint="eastAsia" w:ascii="宋体"/>
          <w:bCs/>
        </w:rPr>
        <w:t>33.1 投标人对招标活动事项有疑问的，可以向代理机构提出询问，代理机构将依法作出答复，但答复的内容不涉及商业秘密。</w:t>
      </w:r>
    </w:p>
    <w:p>
      <w:pPr>
        <w:spacing w:line="440" w:lineRule="exact"/>
        <w:ind w:firstLine="420" w:firstLineChars="200"/>
        <w:rPr>
          <w:rFonts w:ascii="宋体"/>
          <w:bCs/>
        </w:rPr>
      </w:pPr>
      <w:r>
        <w:rPr>
          <w:rFonts w:hint="eastAsia" w:ascii="宋体"/>
          <w:bCs/>
        </w:rPr>
        <w:t>33.2 投标人认为采购文件、采购过程和中标结果使自己的合法权益受到损害的，可以在知道或者应当知道其权益受到损害之日起七个工作日内，一次性针对同一采购程序环节提出质疑，并将质疑文件</w:t>
      </w:r>
      <w:r>
        <w:rPr>
          <w:rFonts w:hint="eastAsia" w:ascii="宋体"/>
          <w:b/>
        </w:rPr>
        <w:t>原件</w:t>
      </w:r>
      <w:r>
        <w:rPr>
          <w:rFonts w:hint="eastAsia" w:ascii="宋体"/>
          <w:bCs/>
        </w:rPr>
        <w:t>送达代理机构。</w:t>
      </w:r>
    </w:p>
    <w:p>
      <w:pPr>
        <w:snapToGrid w:val="0"/>
        <w:spacing w:line="440" w:lineRule="exact"/>
        <w:ind w:firstLine="409" w:firstLineChars="195"/>
        <w:rPr>
          <w:rFonts w:ascii="宋体"/>
          <w:bCs/>
        </w:rPr>
      </w:pPr>
      <w:r>
        <w:rPr>
          <w:rFonts w:hint="eastAsia" w:ascii="宋体"/>
          <w:bCs/>
        </w:rPr>
        <w:t>33.3 质疑文件应包括以下主要内容，并按照“谁主张、谁举证”的原则，附上相关证明材料。否则，代理机构不予受理：</w:t>
      </w:r>
    </w:p>
    <w:p>
      <w:pPr>
        <w:spacing w:line="440" w:lineRule="exact"/>
        <w:ind w:firstLine="420" w:firstLineChars="200"/>
        <w:rPr>
          <w:rFonts w:ascii="宋体"/>
          <w:bCs/>
        </w:rPr>
      </w:pPr>
      <w:r>
        <w:rPr>
          <w:rFonts w:hint="eastAsia" w:ascii="宋体"/>
          <w:bCs/>
        </w:rPr>
        <w:t>（1）质疑项目名称、项目编号、包号、招标公告发布时间、开标时间；</w:t>
      </w:r>
    </w:p>
    <w:p>
      <w:pPr>
        <w:spacing w:line="440" w:lineRule="exact"/>
        <w:ind w:firstLine="420" w:firstLineChars="200"/>
        <w:rPr>
          <w:rFonts w:ascii="宋体"/>
          <w:bCs/>
        </w:rPr>
      </w:pPr>
      <w:r>
        <w:rPr>
          <w:rFonts w:hint="eastAsia" w:ascii="宋体"/>
          <w:bCs/>
        </w:rPr>
        <w:t>（2）具体的质疑事项及法律依据（具体条款）；</w:t>
      </w:r>
    </w:p>
    <w:p>
      <w:pPr>
        <w:spacing w:line="440" w:lineRule="exact"/>
        <w:ind w:firstLine="420" w:firstLineChars="200"/>
        <w:rPr>
          <w:rFonts w:ascii="宋体"/>
          <w:bCs/>
        </w:rPr>
      </w:pPr>
      <w:r>
        <w:rPr>
          <w:rFonts w:hint="eastAsia" w:ascii="宋体"/>
          <w:bCs/>
        </w:rPr>
        <w:t>（3）质疑相关证明文件或证明材料；</w:t>
      </w:r>
    </w:p>
    <w:p>
      <w:pPr>
        <w:spacing w:line="440" w:lineRule="exact"/>
        <w:ind w:firstLine="420" w:firstLineChars="200"/>
        <w:rPr>
          <w:rFonts w:ascii="宋体"/>
          <w:bCs/>
        </w:rPr>
      </w:pPr>
      <w:r>
        <w:rPr>
          <w:rFonts w:hint="eastAsia" w:ascii="宋体"/>
          <w:bCs/>
        </w:rPr>
        <w:t>（4）质疑投标人名称、地址、联系方式；</w:t>
      </w:r>
    </w:p>
    <w:p>
      <w:pPr>
        <w:spacing w:line="440" w:lineRule="exact"/>
        <w:ind w:firstLine="420" w:firstLineChars="200"/>
        <w:rPr>
          <w:rFonts w:ascii="宋体"/>
          <w:bCs/>
        </w:rPr>
      </w:pPr>
      <w:r>
        <w:rPr>
          <w:rFonts w:hint="eastAsia" w:ascii="宋体"/>
          <w:bCs/>
        </w:rPr>
        <w:t>（5）提起质疑的日期</w:t>
      </w:r>
    </w:p>
    <w:p>
      <w:pPr>
        <w:spacing w:line="440" w:lineRule="exact"/>
        <w:ind w:firstLine="420" w:firstLineChars="200"/>
        <w:rPr>
          <w:rFonts w:ascii="宋体"/>
          <w:bCs/>
        </w:rPr>
      </w:pPr>
      <w:r>
        <w:rPr>
          <w:rFonts w:hint="eastAsia" w:ascii="宋体"/>
          <w:bCs/>
        </w:rPr>
        <w:t>（6）质疑函应当署名：质疑人为自然人的，应当由本人签字并附有效身份证明；质疑人为法人或其他组织的，应当由法定代表人签署本人姓名或印盖本人姓名章并加盖单位公章，或法定代表人授权委托代理人加盖单位公章，并由参加采购项目的授权委托代理人签署本人姓名或印盖本人姓名章等。</w:t>
      </w:r>
    </w:p>
    <w:p>
      <w:pPr>
        <w:spacing w:line="440" w:lineRule="exact"/>
        <w:ind w:firstLine="420" w:firstLineChars="200"/>
        <w:rPr>
          <w:rFonts w:ascii="宋体"/>
          <w:bCs/>
        </w:rPr>
      </w:pPr>
      <w:r>
        <w:rPr>
          <w:rFonts w:hint="eastAsia" w:ascii="宋体"/>
          <w:bCs/>
        </w:rPr>
        <w:t>33.4质疑投标人是指直接参加本项目采购活动的投标人，未参加投标活动的投标人或在投标活动中自身权益未受到损害的投标人所提出的质疑不予受理。对采购文件提出质疑的，为投标人收到采购文件之日起或招标文件公告期限届满之日计算；对采购过程提出质疑的，自采购程序环节结束之日起计算；对中标结果提出质疑的，自中标结果公告之日起计算。</w:t>
      </w:r>
    </w:p>
    <w:p>
      <w:pPr>
        <w:spacing w:line="440" w:lineRule="exact"/>
        <w:ind w:firstLine="420" w:firstLineChars="200"/>
        <w:rPr>
          <w:rFonts w:ascii="宋体"/>
          <w:bCs/>
        </w:rPr>
      </w:pPr>
      <w:r>
        <w:rPr>
          <w:rFonts w:hint="eastAsia" w:ascii="宋体"/>
          <w:bCs/>
        </w:rPr>
        <w:t>33.5 投标人不得虚假质疑和恶意质疑，并对质疑内容的真实性承担责任。投标人或者其他利害关系人通过捏造事实、伪造证明材料等方式提出异议或投诉，阻碍招投标活动正常进行的，属于严重不良行为，代理机构将提请财政部门将其列入不良行为记录名单，并依法予以处罚。</w:t>
      </w:r>
    </w:p>
    <w:p>
      <w:pPr>
        <w:spacing w:line="440" w:lineRule="exact"/>
        <w:ind w:firstLine="420" w:firstLineChars="200"/>
        <w:rPr>
          <w:rFonts w:ascii="宋体"/>
          <w:bCs/>
        </w:rPr>
      </w:pPr>
      <w:r>
        <w:rPr>
          <w:rFonts w:hint="eastAsia" w:ascii="宋体"/>
          <w:bCs/>
        </w:rPr>
        <w:t>33.6 代理机构在收到投标人的书面质疑后七个工作日内作出答复，并以书面或在网站公告形式通知质疑投标人和其他有关投标人，答复的内容不涉及商业秘密。</w:t>
      </w:r>
    </w:p>
    <w:p>
      <w:pPr>
        <w:rPr>
          <w:rFonts w:ascii="黑体" w:eastAsia="黑体"/>
          <w:b/>
          <w:sz w:val="28"/>
          <w:szCs w:val="28"/>
        </w:rPr>
      </w:pPr>
      <w:r>
        <w:rPr>
          <w:rFonts w:hint="eastAsia" w:ascii="黑体" w:eastAsia="黑体"/>
          <w:b/>
          <w:sz w:val="28"/>
          <w:szCs w:val="28"/>
        </w:rPr>
        <w:br w:type="page"/>
      </w:r>
    </w:p>
    <w:p>
      <w:pPr>
        <w:spacing w:line="440" w:lineRule="exact"/>
        <w:jc w:val="center"/>
        <w:outlineLvl w:val="0"/>
        <w:rPr>
          <w:rFonts w:ascii="黑体" w:eastAsia="黑体"/>
          <w:b/>
          <w:sz w:val="28"/>
          <w:szCs w:val="28"/>
        </w:rPr>
      </w:pPr>
      <w:bookmarkStart w:id="359" w:name="_Toc12932"/>
      <w:bookmarkStart w:id="360" w:name="_Toc8218"/>
      <w:bookmarkStart w:id="361" w:name="_Toc27084"/>
      <w:bookmarkStart w:id="362" w:name="_Toc12935"/>
      <w:r>
        <w:rPr>
          <w:rFonts w:hint="eastAsia" w:ascii="黑体" w:eastAsia="黑体"/>
          <w:b/>
          <w:sz w:val="28"/>
          <w:szCs w:val="28"/>
        </w:rPr>
        <w:t>第三章 评标标准</w:t>
      </w:r>
      <w:bookmarkEnd w:id="85"/>
      <w:bookmarkEnd w:id="86"/>
      <w:bookmarkEnd w:id="87"/>
      <w:bookmarkEnd w:id="359"/>
      <w:bookmarkEnd w:id="360"/>
      <w:bookmarkEnd w:id="361"/>
      <w:bookmarkEnd w:id="362"/>
    </w:p>
    <w:p>
      <w:pPr>
        <w:spacing w:line="440" w:lineRule="exact"/>
        <w:rPr>
          <w:kern w:val="0"/>
          <w:szCs w:val="21"/>
        </w:rPr>
      </w:pPr>
      <w:r>
        <w:rPr>
          <w:kern w:val="0"/>
          <w:szCs w:val="21"/>
        </w:rPr>
        <w:t xml:space="preserve">  本项目采用综合评分法确定中标候选人。评标委员会将按以下评标办法和标准进行评分。总分值为100分，小数点后保留两位</w:t>
      </w:r>
      <w:r>
        <w:rPr>
          <w:rFonts w:hint="eastAsia"/>
          <w:kern w:val="0"/>
          <w:szCs w:val="21"/>
        </w:rPr>
        <w:t>。</w:t>
      </w:r>
    </w:p>
    <w:tbl>
      <w:tblPr>
        <w:tblStyle w:val="37"/>
        <w:tblW w:w="4999" w:type="pct"/>
        <w:jc w:val="center"/>
        <w:tblLayout w:type="autofit"/>
        <w:tblCellMar>
          <w:top w:w="0" w:type="dxa"/>
          <w:left w:w="108" w:type="dxa"/>
          <w:bottom w:w="0" w:type="dxa"/>
          <w:right w:w="108" w:type="dxa"/>
        </w:tblCellMar>
      </w:tblPr>
      <w:tblGrid>
        <w:gridCol w:w="1508"/>
        <w:gridCol w:w="8344"/>
      </w:tblGrid>
      <w:tr>
        <w:tblPrEx>
          <w:tblCellMar>
            <w:top w:w="0" w:type="dxa"/>
            <w:left w:w="108" w:type="dxa"/>
            <w:bottom w:w="0" w:type="dxa"/>
            <w:right w:w="108" w:type="dxa"/>
          </w:tblCellMar>
        </w:tblPrEx>
        <w:trPr>
          <w:trHeight w:val="424" w:hRule="atLeast"/>
          <w:tblHeader/>
          <w:jc w:val="center"/>
        </w:trPr>
        <w:tc>
          <w:tcPr>
            <w:tcW w:w="765" w:type="pct"/>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b/>
                <w:bCs/>
                <w:szCs w:val="21"/>
              </w:rPr>
            </w:pPr>
            <w:r>
              <w:rPr>
                <w:rFonts w:hint="eastAsia" w:ascii="宋体" w:hAnsi="宋体" w:cs="宋体"/>
                <w:b/>
                <w:bCs/>
                <w:szCs w:val="21"/>
              </w:rPr>
              <w:t>项目分值</w:t>
            </w:r>
          </w:p>
        </w:tc>
        <w:tc>
          <w:tcPr>
            <w:tcW w:w="4234" w:type="pct"/>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b/>
                <w:bCs/>
                <w:szCs w:val="21"/>
              </w:rPr>
            </w:pPr>
            <w:r>
              <w:rPr>
                <w:rFonts w:hint="eastAsia" w:ascii="宋体" w:hAnsi="宋体" w:cs="宋体"/>
                <w:b/>
                <w:bCs/>
                <w:szCs w:val="21"/>
              </w:rPr>
              <w:t>评审内容</w:t>
            </w:r>
          </w:p>
        </w:tc>
      </w:tr>
      <w:tr>
        <w:tblPrEx>
          <w:tblCellMar>
            <w:top w:w="0" w:type="dxa"/>
            <w:left w:w="108" w:type="dxa"/>
            <w:bottom w:w="0" w:type="dxa"/>
            <w:right w:w="108" w:type="dxa"/>
          </w:tblCellMar>
        </w:tblPrEx>
        <w:trPr>
          <w:trHeight w:val="693" w:hRule="atLeast"/>
          <w:tblHeader/>
          <w:jc w:val="center"/>
        </w:trPr>
        <w:tc>
          <w:tcPr>
            <w:tcW w:w="765" w:type="pct"/>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Cs w:val="21"/>
              </w:rPr>
            </w:pPr>
            <w:r>
              <w:rPr>
                <w:rFonts w:hint="eastAsia" w:ascii="宋体" w:hAnsi="宋体" w:cs="宋体"/>
                <w:szCs w:val="21"/>
              </w:rPr>
              <w:t>投标报价</w:t>
            </w:r>
          </w:p>
          <w:p>
            <w:pPr>
              <w:jc w:val="center"/>
              <w:rPr>
                <w:rFonts w:ascii="宋体" w:hAnsi="宋体" w:cs="宋体"/>
                <w:szCs w:val="21"/>
              </w:rPr>
            </w:pPr>
            <w:r>
              <w:rPr>
                <w:rFonts w:hint="eastAsia" w:ascii="宋体" w:hAnsi="宋体" w:cs="宋体"/>
                <w:szCs w:val="21"/>
              </w:rPr>
              <w:t>（30分）</w:t>
            </w:r>
          </w:p>
        </w:tc>
        <w:tc>
          <w:tcPr>
            <w:tcW w:w="4234" w:type="pct"/>
            <w:tcBorders>
              <w:top w:val="single" w:color="000000" w:sz="2" w:space="0"/>
              <w:left w:val="single" w:color="000000" w:sz="2" w:space="0"/>
              <w:bottom w:val="single" w:color="000000" w:sz="2" w:space="0"/>
              <w:right w:val="single" w:color="000000" w:sz="2" w:space="0"/>
            </w:tcBorders>
            <w:vAlign w:val="center"/>
          </w:tcPr>
          <w:p>
            <w:pPr>
              <w:snapToGrid w:val="0"/>
              <w:spacing w:line="276" w:lineRule="auto"/>
              <w:rPr>
                <w:rFonts w:ascii="宋体" w:hAnsi="宋体" w:cs="宋体"/>
                <w:szCs w:val="21"/>
              </w:rPr>
            </w:pPr>
            <w:r>
              <w:rPr>
                <w:rFonts w:hint="eastAsia" w:ascii="宋体" w:hAnsi="宋体" w:cs="宋体"/>
                <w:szCs w:val="21"/>
              </w:rPr>
              <w:t>满足招标文件要求且投标价格最低的投标报价为评标基准价，其价格分为30分；其他供应商的价格分按下列公式计算：投标报价得分＝（评标基准价／投标报价）×30分。</w:t>
            </w:r>
          </w:p>
        </w:tc>
      </w:tr>
      <w:tr>
        <w:tblPrEx>
          <w:tblCellMar>
            <w:top w:w="0" w:type="dxa"/>
            <w:left w:w="108" w:type="dxa"/>
            <w:bottom w:w="0" w:type="dxa"/>
            <w:right w:w="108" w:type="dxa"/>
          </w:tblCellMar>
        </w:tblPrEx>
        <w:trPr>
          <w:trHeight w:val="1134" w:hRule="atLeast"/>
          <w:tblHeader/>
          <w:jc w:val="center"/>
        </w:trPr>
        <w:tc>
          <w:tcPr>
            <w:tcW w:w="765" w:type="pct"/>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Cs w:val="21"/>
              </w:rPr>
            </w:pPr>
            <w:r>
              <w:rPr>
                <w:rFonts w:hint="eastAsia" w:ascii="宋体" w:hAnsi="宋体" w:cs="宋体"/>
                <w:szCs w:val="21"/>
              </w:rPr>
              <w:t>综合性能评价（20分）</w:t>
            </w:r>
          </w:p>
        </w:tc>
        <w:tc>
          <w:tcPr>
            <w:tcW w:w="4234" w:type="pct"/>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Cs w:val="21"/>
              </w:rPr>
            </w:pPr>
            <w:r>
              <w:rPr>
                <w:rFonts w:hint="eastAsia" w:ascii="宋体" w:hAnsi="宋体" w:cs="宋体"/>
                <w:bCs/>
                <w:szCs w:val="21"/>
              </w:rPr>
              <w:t>根据所投设备的项目技术方案情况进行综合评分：方案贴合实际、内容全面、合理性、可行性、可靠性、稳定性、可实施性强且提供了详细设备、附件清单，清单中包含设备和附件的品牌、型号、主要技术参数、数量等信息的得20分；方案基本完善且针对性、可实施性一般且提供了设备、附件清单的得12分；方案粗糙且针对性、可实施性较差的得6分；其他不得分。</w:t>
            </w:r>
          </w:p>
        </w:tc>
      </w:tr>
      <w:tr>
        <w:tblPrEx>
          <w:tblCellMar>
            <w:top w:w="0" w:type="dxa"/>
            <w:left w:w="108" w:type="dxa"/>
            <w:bottom w:w="0" w:type="dxa"/>
            <w:right w:w="108" w:type="dxa"/>
          </w:tblCellMar>
        </w:tblPrEx>
        <w:trPr>
          <w:trHeight w:val="1134" w:hRule="atLeast"/>
          <w:tblHeader/>
          <w:jc w:val="center"/>
        </w:trPr>
        <w:tc>
          <w:tcPr>
            <w:tcW w:w="765" w:type="pct"/>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bCs/>
                <w:szCs w:val="21"/>
              </w:rPr>
            </w:pPr>
            <w:r>
              <w:rPr>
                <w:rFonts w:hint="eastAsia" w:ascii="宋体" w:hAnsi="宋体" w:cs="宋体"/>
                <w:bCs/>
                <w:szCs w:val="21"/>
              </w:rPr>
              <w:t>业绩</w:t>
            </w:r>
          </w:p>
          <w:p>
            <w:pPr>
              <w:jc w:val="center"/>
              <w:rPr>
                <w:rFonts w:ascii="宋体" w:hAnsi="宋体" w:cs="宋体"/>
                <w:szCs w:val="21"/>
              </w:rPr>
            </w:pPr>
            <w:r>
              <w:rPr>
                <w:rFonts w:hint="eastAsia" w:ascii="宋体" w:hAnsi="宋体" w:cs="宋体"/>
                <w:szCs w:val="21"/>
              </w:rPr>
              <w:t>（10分）</w:t>
            </w:r>
          </w:p>
        </w:tc>
        <w:tc>
          <w:tcPr>
            <w:tcW w:w="4234" w:type="pct"/>
            <w:tcBorders>
              <w:top w:val="single" w:color="000000" w:sz="2" w:space="0"/>
              <w:left w:val="single" w:color="000000" w:sz="2" w:space="0"/>
              <w:bottom w:val="single" w:color="000000" w:sz="2" w:space="0"/>
              <w:right w:val="single" w:color="000000" w:sz="2" w:space="0"/>
            </w:tcBorders>
            <w:vAlign w:val="center"/>
          </w:tcPr>
          <w:p>
            <w:pPr>
              <w:pStyle w:val="53"/>
              <w:tabs>
                <w:tab w:val="left" w:pos="360"/>
              </w:tabs>
              <w:adjustRightInd w:val="0"/>
              <w:snapToGrid w:val="0"/>
              <w:spacing w:line="276" w:lineRule="auto"/>
              <w:ind w:firstLine="0" w:firstLineChars="0"/>
              <w:rPr>
                <w:rFonts w:ascii="宋体" w:hAnsi="宋体" w:cs="宋体"/>
                <w:szCs w:val="21"/>
              </w:rPr>
            </w:pPr>
            <w:r>
              <w:rPr>
                <w:rFonts w:hint="eastAsia" w:ascii="宋体" w:hAnsi="宋体" w:cs="宋体"/>
                <w:bCs/>
                <w:szCs w:val="21"/>
              </w:rPr>
              <w:t>根据提供的近两年以来（2022年1月1日起至今，以合同签订日期为准）类似业绩合同</w:t>
            </w:r>
            <w:r>
              <w:rPr>
                <w:rFonts w:hint="eastAsia" w:ascii="宋体" w:hAnsi="宋体" w:cs="宋体"/>
              </w:rPr>
              <w:t>进行综合评分</w:t>
            </w:r>
            <w:r>
              <w:rPr>
                <w:rFonts w:hint="eastAsia" w:ascii="宋体" w:hAnsi="宋体" w:cs="宋体"/>
                <w:bCs/>
                <w:szCs w:val="21"/>
              </w:rPr>
              <w:t>。每提供1份得1分，最多得10分。</w:t>
            </w:r>
            <w:r>
              <w:rPr>
                <w:rFonts w:hint="eastAsia" w:ascii="宋体" w:hAnsi="宋体" w:cs="宋体"/>
                <w:szCs w:val="21"/>
              </w:rPr>
              <w:t>（提供合同复印件加盖公章，且含有清晰可见的标的物、合同价以及签字盖章部分所在页，并提供联系人及联系方式，提供不全或没有提供不得分）。</w:t>
            </w:r>
          </w:p>
        </w:tc>
      </w:tr>
      <w:tr>
        <w:tblPrEx>
          <w:tblCellMar>
            <w:top w:w="0" w:type="dxa"/>
            <w:left w:w="108" w:type="dxa"/>
            <w:bottom w:w="0" w:type="dxa"/>
            <w:right w:w="108" w:type="dxa"/>
          </w:tblCellMar>
        </w:tblPrEx>
        <w:trPr>
          <w:trHeight w:val="1134" w:hRule="atLeast"/>
          <w:tblHeader/>
          <w:jc w:val="center"/>
        </w:trPr>
        <w:tc>
          <w:tcPr>
            <w:tcW w:w="765" w:type="pct"/>
            <w:tcBorders>
              <w:top w:val="single" w:color="000000" w:sz="2" w:space="0"/>
              <w:left w:val="single" w:color="000000" w:sz="2" w:space="0"/>
              <w:bottom w:val="single" w:color="auto" w:sz="4" w:space="0"/>
              <w:right w:val="single" w:color="000000" w:sz="2" w:space="0"/>
            </w:tcBorders>
            <w:vAlign w:val="center"/>
          </w:tcPr>
          <w:p>
            <w:pPr>
              <w:jc w:val="center"/>
              <w:rPr>
                <w:rFonts w:ascii="宋体" w:hAnsi="宋体" w:cs="宋体"/>
                <w:szCs w:val="21"/>
              </w:rPr>
            </w:pPr>
            <w:r>
              <w:rPr>
                <w:rFonts w:hint="eastAsia" w:ascii="宋体" w:hAnsi="宋体" w:cs="宋体"/>
                <w:szCs w:val="21"/>
              </w:rPr>
              <w:t>技术参数</w:t>
            </w:r>
          </w:p>
          <w:p>
            <w:pPr>
              <w:jc w:val="center"/>
              <w:rPr>
                <w:rFonts w:ascii="宋体" w:hAnsi="宋体" w:cs="宋体"/>
                <w:szCs w:val="21"/>
              </w:rPr>
            </w:pPr>
            <w:r>
              <w:rPr>
                <w:rFonts w:hint="eastAsia" w:ascii="宋体" w:hAnsi="宋体" w:cs="宋体"/>
                <w:szCs w:val="21"/>
              </w:rPr>
              <w:t>（30分）</w:t>
            </w:r>
          </w:p>
        </w:tc>
        <w:tc>
          <w:tcPr>
            <w:tcW w:w="4234" w:type="pct"/>
            <w:tcBorders>
              <w:top w:val="single" w:color="000000" w:sz="2" w:space="0"/>
              <w:left w:val="single" w:color="000000" w:sz="2" w:space="0"/>
              <w:bottom w:val="single" w:color="auto" w:sz="4" w:space="0"/>
              <w:right w:val="single" w:color="000000" w:sz="2" w:space="0"/>
            </w:tcBorders>
            <w:vAlign w:val="center"/>
          </w:tcPr>
          <w:p>
            <w:pPr>
              <w:rPr>
                <w:rFonts w:ascii="宋体" w:hAnsi="宋体" w:cs="宋体"/>
                <w:bCs/>
                <w:szCs w:val="21"/>
              </w:rPr>
            </w:pPr>
            <w:r>
              <w:rPr>
                <w:rFonts w:hint="eastAsia" w:ascii="宋体" w:hAnsi="宋体" w:cs="宋体"/>
                <w:szCs w:val="21"/>
              </w:rPr>
              <w:t>所投设备的技术指标全部满足招标文件要求的得基准分20分；</w:t>
            </w:r>
            <w:r>
              <w:rPr>
                <w:rFonts w:hint="eastAsia" w:ascii="宋体" w:hAnsi="宋体" w:cs="宋体"/>
                <w:bCs/>
                <w:szCs w:val="21"/>
              </w:rPr>
              <w:t>带★的为核心条款，不允许负偏离，否则作为废标处理；其他条款负偏离的，每项扣3分，扣完为止。</w:t>
            </w:r>
          </w:p>
          <w:p>
            <w:pPr>
              <w:rPr>
                <w:rFonts w:ascii="宋体" w:hAnsi="宋体" w:cs="宋体"/>
                <w:bCs/>
                <w:szCs w:val="21"/>
              </w:rPr>
            </w:pPr>
            <w:r>
              <w:rPr>
                <w:rFonts w:hint="eastAsia" w:ascii="宋体" w:hAnsi="宋体" w:cs="宋体"/>
                <w:bCs/>
                <w:szCs w:val="21"/>
                <w:lang w:val="zh-CN"/>
              </w:rPr>
              <w:t>技术参数正偏离且评标委员会认为该项正偏离确实提升产品性能的，每项加1分，最多加</w:t>
            </w:r>
            <w:r>
              <w:rPr>
                <w:rFonts w:hint="eastAsia" w:ascii="宋体" w:hAnsi="宋体" w:cs="宋体"/>
                <w:bCs/>
                <w:szCs w:val="21"/>
              </w:rPr>
              <w:t>10</w:t>
            </w:r>
            <w:r>
              <w:rPr>
                <w:rFonts w:hint="eastAsia" w:ascii="宋体" w:hAnsi="宋体" w:cs="宋体"/>
                <w:bCs/>
                <w:szCs w:val="21"/>
                <w:lang w:val="zh-CN"/>
              </w:rPr>
              <w:t>分。每项正偏离均应提供支撑资料（明确说明该技术内容的公开发行的产品彩页、产品说明书或第三方检测机构的检测报告等），并在《技术条款偏离表》注明</w:t>
            </w:r>
            <w:r>
              <w:rPr>
                <w:rFonts w:hint="eastAsia" w:ascii="宋体" w:hAnsi="宋体" w:cs="宋体"/>
                <w:bCs/>
                <w:szCs w:val="21"/>
              </w:rPr>
              <w:t>支撑材料</w:t>
            </w:r>
            <w:r>
              <w:rPr>
                <w:rFonts w:hint="eastAsia" w:ascii="宋体" w:hAnsi="宋体" w:cs="宋体"/>
                <w:bCs/>
                <w:szCs w:val="21"/>
                <w:lang w:val="zh-CN"/>
              </w:rPr>
              <w:t>具体位置如页码或序号；否则不得分。</w:t>
            </w:r>
          </w:p>
        </w:tc>
      </w:tr>
      <w:tr>
        <w:tblPrEx>
          <w:tblCellMar>
            <w:top w:w="0" w:type="dxa"/>
            <w:left w:w="108" w:type="dxa"/>
            <w:bottom w:w="0" w:type="dxa"/>
            <w:right w:w="108" w:type="dxa"/>
          </w:tblCellMar>
        </w:tblPrEx>
        <w:trPr>
          <w:trHeight w:val="645" w:hRule="atLeast"/>
          <w:tblHeader/>
          <w:jc w:val="center"/>
        </w:trPr>
        <w:tc>
          <w:tcPr>
            <w:tcW w:w="765" w:type="pct"/>
            <w:vMerge w:val="restart"/>
            <w:tcBorders>
              <w:top w:val="single" w:color="000000" w:sz="2" w:space="0"/>
              <w:left w:val="single" w:color="000000" w:sz="2" w:space="0"/>
              <w:right w:val="single" w:color="000000" w:sz="2" w:space="0"/>
            </w:tcBorders>
            <w:vAlign w:val="center"/>
          </w:tcPr>
          <w:p>
            <w:pPr>
              <w:jc w:val="center"/>
              <w:rPr>
                <w:rFonts w:ascii="宋体" w:hAnsi="宋体" w:cs="宋体"/>
              </w:rPr>
            </w:pPr>
            <w:r>
              <w:rPr>
                <w:rFonts w:hint="eastAsia" w:ascii="宋体" w:hAnsi="宋体" w:cs="宋体"/>
              </w:rPr>
              <w:t>服务</w:t>
            </w:r>
          </w:p>
          <w:p>
            <w:pPr>
              <w:jc w:val="center"/>
              <w:rPr>
                <w:rFonts w:ascii="宋体" w:hAnsi="宋体" w:cs="宋体"/>
                <w:szCs w:val="21"/>
              </w:rPr>
            </w:pPr>
            <w:r>
              <w:rPr>
                <w:rFonts w:hint="eastAsia" w:ascii="宋体" w:hAnsi="宋体" w:cs="宋体"/>
                <w:szCs w:val="21"/>
              </w:rPr>
              <w:t>（10分）</w:t>
            </w:r>
          </w:p>
        </w:tc>
        <w:tc>
          <w:tcPr>
            <w:tcW w:w="4234" w:type="pct"/>
            <w:tcBorders>
              <w:top w:val="single" w:color="000000" w:sz="2" w:space="0"/>
              <w:left w:val="single" w:color="000000" w:sz="2" w:space="0"/>
              <w:bottom w:val="single" w:color="auto" w:sz="4" w:space="0"/>
              <w:right w:val="single" w:color="000000" w:sz="2" w:space="0"/>
            </w:tcBorders>
            <w:vAlign w:val="center"/>
          </w:tcPr>
          <w:p>
            <w:pPr>
              <w:rPr>
                <w:rFonts w:ascii="宋体" w:hAnsi="宋体" w:cs="宋体"/>
                <w:szCs w:val="21"/>
              </w:rPr>
            </w:pPr>
            <w:r>
              <w:rPr>
                <w:rFonts w:hint="eastAsia" w:ascii="宋体" w:hAnsi="宋体" w:cs="宋体"/>
                <w:bCs/>
                <w:szCs w:val="21"/>
              </w:rPr>
              <w:t>免费质保期</w:t>
            </w:r>
            <w:r>
              <w:rPr>
                <w:rFonts w:hint="eastAsia" w:ascii="宋体" w:hAnsi="宋体" w:cs="宋体"/>
                <w:szCs w:val="21"/>
              </w:rPr>
              <w:t>（满分2分）：</w:t>
            </w:r>
            <w:r>
              <w:rPr>
                <w:rFonts w:hint="eastAsia" w:ascii="宋体" w:hAnsi="宋体" w:cs="宋体"/>
                <w:bCs/>
                <w:szCs w:val="21"/>
              </w:rPr>
              <w:t>全部产品满足招标文件要求得1分，每增加1年加1分，最高不超过2分。</w:t>
            </w:r>
          </w:p>
        </w:tc>
      </w:tr>
      <w:tr>
        <w:tblPrEx>
          <w:tblCellMar>
            <w:top w:w="0" w:type="dxa"/>
            <w:left w:w="108" w:type="dxa"/>
            <w:bottom w:w="0" w:type="dxa"/>
            <w:right w:w="108" w:type="dxa"/>
          </w:tblCellMar>
        </w:tblPrEx>
        <w:trPr>
          <w:trHeight w:val="1134" w:hRule="atLeast"/>
          <w:tblHeader/>
          <w:jc w:val="center"/>
        </w:trPr>
        <w:tc>
          <w:tcPr>
            <w:tcW w:w="765" w:type="pct"/>
            <w:vMerge w:val="continue"/>
            <w:tcBorders>
              <w:left w:val="single" w:color="000000" w:sz="2" w:space="0"/>
              <w:right w:val="single" w:color="000000" w:sz="2" w:space="0"/>
            </w:tcBorders>
            <w:vAlign w:val="center"/>
          </w:tcPr>
          <w:p>
            <w:pPr>
              <w:jc w:val="center"/>
              <w:rPr>
                <w:rFonts w:ascii="宋体" w:hAnsi="宋体" w:cs="宋体"/>
                <w:bCs/>
                <w:szCs w:val="21"/>
              </w:rPr>
            </w:pPr>
          </w:p>
        </w:tc>
        <w:tc>
          <w:tcPr>
            <w:tcW w:w="4234" w:type="pct"/>
            <w:tcBorders>
              <w:top w:val="single" w:color="000000" w:sz="2" w:space="0"/>
              <w:left w:val="single" w:color="000000" w:sz="2" w:space="0"/>
              <w:bottom w:val="single" w:color="auto" w:sz="4" w:space="0"/>
              <w:right w:val="single" w:color="000000" w:sz="2" w:space="0"/>
            </w:tcBorders>
            <w:vAlign w:val="center"/>
          </w:tcPr>
          <w:p>
            <w:pPr>
              <w:rPr>
                <w:rFonts w:ascii="宋体" w:hAnsi="宋体" w:cs="宋体"/>
                <w:bCs/>
                <w:szCs w:val="21"/>
              </w:rPr>
            </w:pPr>
            <w:r>
              <w:rPr>
                <w:rFonts w:hint="eastAsia" w:ascii="宋体" w:hAnsi="宋体" w:cs="宋体"/>
                <w:bCs/>
                <w:szCs w:val="21"/>
              </w:rPr>
              <w:t>培训方案和人员安排</w:t>
            </w:r>
            <w:r>
              <w:rPr>
                <w:rFonts w:hint="eastAsia" w:ascii="宋体" w:hAnsi="宋体" w:cs="宋体"/>
                <w:szCs w:val="21"/>
              </w:rPr>
              <w:t>（满分3分）：</w:t>
            </w:r>
            <w:r>
              <w:rPr>
                <w:rFonts w:hint="eastAsia" w:ascii="宋体" w:hAnsi="宋体" w:cs="宋体"/>
                <w:bCs/>
                <w:szCs w:val="21"/>
              </w:rPr>
              <w:t>根据供应商培训方案（包括但不限于使用操作、常规检查、保养内容、日常使用注意事项等方面）和培训技术进行评分。培训方案和人员安排切合实际，使用操作明确、常规检查完备科学合理、保养内容、日常使用及注意事项方便可行的得3分；培训方案和人员安排较好，使用操作、常规检查、保养内容、日常使用注意事项可行的得2分；培训方案和人员安排一般、针对性不足的得1分；未提供的不得分。</w:t>
            </w:r>
          </w:p>
        </w:tc>
      </w:tr>
      <w:tr>
        <w:tblPrEx>
          <w:tblCellMar>
            <w:top w:w="0" w:type="dxa"/>
            <w:left w:w="108" w:type="dxa"/>
            <w:bottom w:w="0" w:type="dxa"/>
            <w:right w:w="108" w:type="dxa"/>
          </w:tblCellMar>
        </w:tblPrEx>
        <w:trPr>
          <w:trHeight w:val="1134" w:hRule="atLeast"/>
          <w:tblHeader/>
          <w:jc w:val="center"/>
        </w:trPr>
        <w:tc>
          <w:tcPr>
            <w:tcW w:w="765" w:type="pct"/>
            <w:vMerge w:val="continue"/>
            <w:tcBorders>
              <w:left w:val="single" w:color="000000" w:sz="2" w:space="0"/>
              <w:right w:val="single" w:color="000000" w:sz="2" w:space="0"/>
            </w:tcBorders>
            <w:vAlign w:val="center"/>
          </w:tcPr>
          <w:p>
            <w:pPr>
              <w:jc w:val="center"/>
              <w:rPr>
                <w:rFonts w:ascii="宋体" w:hAnsi="宋体" w:cs="宋体"/>
                <w:bCs/>
                <w:szCs w:val="21"/>
              </w:rPr>
            </w:pPr>
          </w:p>
        </w:tc>
        <w:tc>
          <w:tcPr>
            <w:tcW w:w="4234" w:type="pct"/>
            <w:tcBorders>
              <w:top w:val="single" w:color="000000" w:sz="2" w:space="0"/>
              <w:left w:val="single" w:color="000000" w:sz="2" w:space="0"/>
              <w:bottom w:val="single" w:color="auto" w:sz="4" w:space="0"/>
              <w:right w:val="single" w:color="000000" w:sz="2" w:space="0"/>
            </w:tcBorders>
            <w:vAlign w:val="center"/>
          </w:tcPr>
          <w:p>
            <w:pPr>
              <w:rPr>
                <w:rFonts w:ascii="宋体" w:hAnsi="宋体" w:cs="宋体"/>
                <w:bCs/>
                <w:szCs w:val="21"/>
              </w:rPr>
            </w:pPr>
            <w:r>
              <w:rPr>
                <w:rFonts w:hint="eastAsia" w:ascii="宋体" w:hAnsi="宋体" w:cs="宋体"/>
                <w:bCs/>
                <w:szCs w:val="21"/>
              </w:rPr>
              <w:t>售后服务（</w:t>
            </w:r>
            <w:r>
              <w:rPr>
                <w:rFonts w:hint="eastAsia" w:ascii="宋体" w:hAnsi="宋体" w:cs="宋体"/>
                <w:szCs w:val="21"/>
              </w:rPr>
              <w:t>满分</w:t>
            </w:r>
            <w:r>
              <w:rPr>
                <w:rFonts w:hint="eastAsia" w:ascii="宋体" w:hAnsi="宋体" w:cs="宋体"/>
                <w:bCs/>
                <w:szCs w:val="21"/>
              </w:rPr>
              <w:t>2分）：供应商及其分支机构或者售后服务单位响应并到场服务的时间、售后服务方案、保修期内外的后续服务承诺、技术支持、维护能力及落实保障措施等进行评分。体系成熟、服务内容完善、故障解决方案具有针对性、专业技术人员保障完善及响应时间迅速的得2；售后服务体系较好、服务内容完善、故障解决方案、专业技术人员保障及响应时间较好的得1分；售后服务体系一般、服务内容、故障解决方案、专业技术人员保障及响应时间一般的得0.5分；未提供的不得分。</w:t>
            </w:r>
          </w:p>
        </w:tc>
      </w:tr>
      <w:tr>
        <w:tblPrEx>
          <w:tblCellMar>
            <w:top w:w="0" w:type="dxa"/>
            <w:left w:w="108" w:type="dxa"/>
            <w:bottom w:w="0" w:type="dxa"/>
            <w:right w:w="108" w:type="dxa"/>
          </w:tblCellMar>
        </w:tblPrEx>
        <w:trPr>
          <w:trHeight w:val="1134" w:hRule="atLeast"/>
          <w:tblHeader/>
          <w:jc w:val="center"/>
        </w:trPr>
        <w:tc>
          <w:tcPr>
            <w:tcW w:w="765" w:type="pct"/>
            <w:vMerge w:val="continue"/>
            <w:tcBorders>
              <w:left w:val="single" w:color="000000" w:sz="2" w:space="0"/>
              <w:bottom w:val="single" w:color="auto" w:sz="4" w:space="0"/>
              <w:right w:val="single" w:color="000000" w:sz="2" w:space="0"/>
            </w:tcBorders>
            <w:vAlign w:val="center"/>
          </w:tcPr>
          <w:p>
            <w:pPr>
              <w:jc w:val="center"/>
              <w:rPr>
                <w:rFonts w:ascii="宋体" w:hAnsi="宋体" w:cs="宋体"/>
                <w:bCs/>
                <w:szCs w:val="21"/>
              </w:rPr>
            </w:pPr>
          </w:p>
        </w:tc>
        <w:tc>
          <w:tcPr>
            <w:tcW w:w="4234" w:type="pct"/>
            <w:tcBorders>
              <w:top w:val="single" w:color="000000" w:sz="2" w:space="0"/>
              <w:left w:val="single" w:color="000000" w:sz="2" w:space="0"/>
              <w:bottom w:val="single" w:color="auto" w:sz="4" w:space="0"/>
              <w:right w:val="single" w:color="000000" w:sz="2" w:space="0"/>
            </w:tcBorders>
            <w:vAlign w:val="center"/>
          </w:tcPr>
          <w:p>
            <w:pPr>
              <w:rPr>
                <w:rFonts w:ascii="宋体" w:hAnsi="宋体" w:cs="宋体"/>
              </w:rPr>
            </w:pPr>
            <w:r>
              <w:rPr>
                <w:rFonts w:hint="eastAsia" w:ascii="宋体" w:hAnsi="宋体" w:cs="宋体"/>
              </w:rPr>
              <w:t>优惠条件（</w:t>
            </w:r>
            <w:r>
              <w:rPr>
                <w:rFonts w:hint="eastAsia" w:ascii="宋体" w:hAnsi="宋体" w:cs="宋体"/>
                <w:szCs w:val="21"/>
              </w:rPr>
              <w:t>满分3分</w:t>
            </w:r>
            <w:r>
              <w:rPr>
                <w:rFonts w:hint="eastAsia" w:ascii="宋体" w:hAnsi="宋体" w:cs="宋体"/>
              </w:rPr>
              <w:t>）：根据采购人实际，提供实质性的优惠措施（包括易损配件/消耗材料优惠价格及供应保证情况）的，可根据对采购人的有利程度进行评分，优惠措施（包括易损配件/消耗材料价格优惠性价比高及供应保证措施完善）得3分；优惠措施（包括易损配件/消耗材料价格优惠性价及供应保证措施一般）得2分；优惠措施（包括易损配件/消耗材料价格优惠性价及供应保证措施较差）得1分；未提供的不得分。</w:t>
            </w:r>
          </w:p>
        </w:tc>
      </w:tr>
    </w:tbl>
    <w:p>
      <w:pPr>
        <w:spacing w:line="440" w:lineRule="exact"/>
        <w:rPr>
          <w:rFonts w:ascii="宋体" w:hAnsi="宋体"/>
          <w:b/>
          <w:kern w:val="0"/>
          <w:szCs w:val="21"/>
        </w:rPr>
      </w:pPr>
      <w:r>
        <w:rPr>
          <w:rFonts w:hint="eastAsia" w:ascii="宋体" w:hAnsi="宋体"/>
          <w:b/>
          <w:kern w:val="0"/>
          <w:szCs w:val="21"/>
        </w:rPr>
        <w:t>说明：</w:t>
      </w:r>
    </w:p>
    <w:p>
      <w:pPr>
        <w:numPr>
          <w:ilvl w:val="0"/>
          <w:numId w:val="2"/>
        </w:numPr>
        <w:snapToGrid w:val="0"/>
        <w:spacing w:line="288" w:lineRule="auto"/>
      </w:pPr>
      <w:r>
        <w:rPr>
          <w:rFonts w:hint="eastAsia"/>
        </w:rPr>
        <w:t>所有认证、证明和业绩均以有效的证明文件的复印件为依据。</w:t>
      </w:r>
    </w:p>
    <w:p>
      <w:pPr>
        <w:snapToGrid w:val="0"/>
        <w:spacing w:line="288" w:lineRule="auto"/>
      </w:pPr>
      <w:r>
        <w:t>2</w:t>
      </w:r>
      <w:r>
        <w:rPr>
          <w:rFonts w:hint="eastAsia"/>
        </w:rPr>
        <w:t>、小微企业价格扣除</w:t>
      </w:r>
    </w:p>
    <w:p>
      <w:pPr>
        <w:snapToGrid w:val="0"/>
        <w:spacing w:line="288" w:lineRule="auto"/>
      </w:pPr>
      <w:r>
        <w:t>2.1</w:t>
      </w:r>
      <w:r>
        <w:rPr>
          <w:rFonts w:hint="eastAsia"/>
        </w:rPr>
        <w:t>对于专门面向中小微型企业的项目，只面向中小微型企业采购，必须提供《中小企业声明函》，否则作无效投标处理。对于非专门面向中小企业的项目，对小型和微型企业的价格给予10</w:t>
      </w:r>
      <w:r>
        <w:t>%</w:t>
      </w:r>
      <w:r>
        <w:rPr>
          <w:rFonts w:hint="eastAsia"/>
        </w:rPr>
        <w:t>的扣除，用扣除后的价格参与评审。</w:t>
      </w:r>
    </w:p>
    <w:p>
      <w:pPr>
        <w:snapToGrid w:val="0"/>
        <w:spacing w:line="288" w:lineRule="auto"/>
      </w:pPr>
      <w:r>
        <w:t>2.2</w:t>
      </w:r>
      <w:r>
        <w:rPr>
          <w:rFonts w:hint="eastAsia"/>
        </w:rPr>
        <w:t>大中型企业和其他自然人、法人或者其他组织与小型、微型企业组成联合体共同参加投标，如果联合协议中约定，小型、微型企业的协议合同金额占到联合体协议合同总金额</w:t>
      </w:r>
      <w:r>
        <w:t>30%</w:t>
      </w:r>
      <w:r>
        <w:rPr>
          <w:rFonts w:hint="eastAsia"/>
        </w:rPr>
        <w:t>以上的，给予联合体</w:t>
      </w:r>
      <w:r>
        <w:t>2%</w:t>
      </w:r>
      <w:r>
        <w:rPr>
          <w:rFonts w:hint="eastAsia"/>
        </w:rPr>
        <w:t>的价格扣除。联合体各方均为小型、微型企业的，联合体视同为小型、微型企业给予10</w:t>
      </w:r>
      <w:r>
        <w:t>%</w:t>
      </w:r>
      <w:r>
        <w:rPr>
          <w:rFonts w:hint="eastAsia"/>
        </w:rPr>
        <w:t>价格扣除，用扣除后的价格参与评审。组成联合体的大中型企业和其他自然人、法人或者其他组织，与小型、微型企业之间不得存在投资关系。</w:t>
      </w:r>
    </w:p>
    <w:p>
      <w:pPr>
        <w:snapToGrid w:val="0"/>
        <w:spacing w:line="288" w:lineRule="auto"/>
      </w:pPr>
      <w:r>
        <w:t>3.</w:t>
      </w:r>
      <w:r>
        <w:rPr>
          <w:rFonts w:hint="eastAsia"/>
        </w:rPr>
        <w:t>监狱和戒毒企业的价格扣除</w:t>
      </w:r>
    </w:p>
    <w:p>
      <w:pPr>
        <w:snapToGrid w:val="0"/>
        <w:spacing w:line="288" w:lineRule="auto"/>
      </w:pPr>
      <w:r>
        <w:t xml:space="preserve">3.1 </w:t>
      </w:r>
      <w:r>
        <w:rPr>
          <w:rFonts w:hint="eastAsia"/>
        </w:rPr>
        <w:t>本项目对监狱和戒毒企业，给予10</w:t>
      </w:r>
      <w:r>
        <w:t>%</w:t>
      </w:r>
      <w:r>
        <w:rPr>
          <w:rFonts w:hint="eastAsia"/>
        </w:rPr>
        <w:t>的价格扣除，用扣除后的价格参与评审。</w:t>
      </w:r>
    </w:p>
    <w:p>
      <w:pPr>
        <w:snapToGrid w:val="0"/>
        <w:spacing w:line="288" w:lineRule="auto"/>
      </w:pPr>
      <w:r>
        <w:t xml:space="preserve">3.2 </w:t>
      </w:r>
      <w:r>
        <w:rPr>
          <w:rFonts w:hint="eastAsia"/>
        </w:rPr>
        <w:t>监狱企业需提供由省级以上监狱管理局、戒毒管理局（含新疆生产建设兵团）出具的属于监狱企业的证明文件。</w:t>
      </w:r>
    </w:p>
    <w:p>
      <w:pPr>
        <w:snapToGrid w:val="0"/>
        <w:spacing w:line="288" w:lineRule="auto"/>
      </w:pPr>
      <w:r>
        <w:t xml:space="preserve">3.3 </w:t>
      </w:r>
      <w:r>
        <w:rPr>
          <w:rFonts w:hint="eastAsia"/>
        </w:rPr>
        <w:t>监狱企业标准请参照《关于政府采购支持监狱企业发展有关问题的通知》（财库〔</w:t>
      </w:r>
      <w:r>
        <w:t>2014</w:t>
      </w:r>
      <w:r>
        <w:rPr>
          <w:rFonts w:hint="eastAsia"/>
        </w:rPr>
        <w:t>〕</w:t>
      </w:r>
      <w:r>
        <w:t>68</w:t>
      </w:r>
      <w:r>
        <w:rPr>
          <w:rFonts w:hint="eastAsia"/>
        </w:rPr>
        <w:t>号）。</w:t>
      </w:r>
    </w:p>
    <w:p>
      <w:pPr>
        <w:snapToGrid w:val="0"/>
        <w:spacing w:line="288" w:lineRule="auto"/>
      </w:pPr>
      <w:r>
        <w:t>4.</w:t>
      </w:r>
      <w:r>
        <w:rPr>
          <w:rFonts w:hint="eastAsia"/>
        </w:rPr>
        <w:t>残疾人福利性单位的价格扣除</w:t>
      </w:r>
    </w:p>
    <w:p>
      <w:pPr>
        <w:snapToGrid w:val="0"/>
        <w:spacing w:line="288" w:lineRule="auto"/>
      </w:pPr>
      <w:r>
        <w:t xml:space="preserve">4.1 </w:t>
      </w:r>
      <w:r>
        <w:rPr>
          <w:rFonts w:hint="eastAsia"/>
        </w:rPr>
        <w:t>本项目对残疾人福利性单位，给予10</w:t>
      </w:r>
      <w:r>
        <w:t>%</w:t>
      </w:r>
      <w:r>
        <w:rPr>
          <w:rFonts w:hint="eastAsia"/>
        </w:rPr>
        <w:t>的价格扣除，用扣除后的价格参与评审。</w:t>
      </w:r>
    </w:p>
    <w:p>
      <w:pPr>
        <w:snapToGrid w:val="0"/>
        <w:spacing w:line="288" w:lineRule="auto"/>
      </w:pPr>
      <w:r>
        <w:t xml:space="preserve">4.2 </w:t>
      </w:r>
      <w:r>
        <w:rPr>
          <w:rFonts w:hint="eastAsia"/>
        </w:rPr>
        <w:t>残疾人福利性单位需提供《残疾人福利性单位声明函》。</w:t>
      </w:r>
    </w:p>
    <w:p>
      <w:pPr>
        <w:snapToGrid w:val="0"/>
        <w:spacing w:line="288" w:lineRule="auto"/>
      </w:pPr>
      <w:r>
        <w:t xml:space="preserve">4.3 </w:t>
      </w:r>
      <w:r>
        <w:rPr>
          <w:rFonts w:hint="eastAsia"/>
        </w:rPr>
        <w:t>残疾人福利性单位标准请参照《关于促进残疾人就业政府采购政策的通知》（财库〔</w:t>
      </w:r>
      <w:r>
        <w:t>2017</w:t>
      </w:r>
      <w:r>
        <w:rPr>
          <w:rFonts w:hint="eastAsia"/>
        </w:rPr>
        <w:t>〕</w:t>
      </w:r>
      <w:r>
        <w:t>141</w:t>
      </w:r>
      <w:r>
        <w:rPr>
          <w:rFonts w:hint="eastAsia"/>
        </w:rPr>
        <w:t>号）。</w:t>
      </w:r>
    </w:p>
    <w:p>
      <w:pPr>
        <w:snapToGrid w:val="0"/>
        <w:spacing w:line="288" w:lineRule="auto"/>
      </w:pPr>
      <w:r>
        <w:t xml:space="preserve">5. </w:t>
      </w:r>
      <w:r>
        <w:rPr>
          <w:rFonts w:hint="eastAsia"/>
        </w:rPr>
        <w:t>监狱企业、残疾人福利性单位属于小型、微型企业的，不重复享受政策。</w:t>
      </w:r>
    </w:p>
    <w:p>
      <w:pPr>
        <w:spacing w:line="440" w:lineRule="exact"/>
        <w:rPr>
          <w:b/>
          <w:sz w:val="36"/>
        </w:rPr>
      </w:pPr>
    </w:p>
    <w:p>
      <w:pPr>
        <w:spacing w:line="440" w:lineRule="exact"/>
        <w:jc w:val="center"/>
        <w:outlineLvl w:val="0"/>
        <w:rPr>
          <w:rFonts w:ascii="黑体" w:eastAsia="黑体"/>
          <w:b/>
          <w:sz w:val="28"/>
          <w:szCs w:val="28"/>
        </w:rPr>
        <w:sectPr>
          <w:footerReference r:id="rId8" w:type="first"/>
          <w:footerReference r:id="rId7" w:type="default"/>
          <w:pgSz w:w="11906" w:h="16838"/>
          <w:pgMar w:top="1134" w:right="1134" w:bottom="1134" w:left="1134" w:header="851" w:footer="992" w:gutter="0"/>
          <w:cols w:space="720" w:num="1"/>
          <w:titlePg/>
          <w:docGrid w:type="lines" w:linePitch="312" w:charSpace="0"/>
        </w:sectPr>
      </w:pPr>
    </w:p>
    <w:p>
      <w:pPr>
        <w:numPr>
          <w:ilvl w:val="0"/>
          <w:numId w:val="3"/>
        </w:numPr>
        <w:spacing w:line="440" w:lineRule="exact"/>
        <w:jc w:val="center"/>
        <w:outlineLvl w:val="0"/>
        <w:rPr>
          <w:rFonts w:ascii="黑体" w:eastAsia="黑体"/>
          <w:b/>
          <w:sz w:val="28"/>
          <w:szCs w:val="28"/>
        </w:rPr>
      </w:pPr>
      <w:bookmarkStart w:id="363" w:name="_Toc17106"/>
      <w:bookmarkStart w:id="364" w:name="_Toc26267"/>
      <w:bookmarkStart w:id="365" w:name="_Toc14897"/>
      <w:bookmarkStart w:id="366" w:name="_Toc12686"/>
      <w:bookmarkStart w:id="367" w:name="_Toc27212"/>
      <w:bookmarkStart w:id="368" w:name="_Toc252"/>
      <w:r>
        <w:rPr>
          <w:rFonts w:hint="eastAsia" w:ascii="黑体" w:eastAsia="黑体"/>
          <w:b/>
          <w:sz w:val="28"/>
          <w:szCs w:val="28"/>
        </w:rPr>
        <w:t xml:space="preserve"> </w:t>
      </w:r>
      <w:bookmarkStart w:id="369" w:name="_Toc7056"/>
      <w:r>
        <w:rPr>
          <w:rFonts w:hint="eastAsia" w:ascii="黑体" w:eastAsia="黑体"/>
          <w:b/>
          <w:sz w:val="28"/>
          <w:szCs w:val="28"/>
        </w:rPr>
        <w:t>招标产品清单及有关说明</w:t>
      </w:r>
      <w:bookmarkEnd w:id="363"/>
      <w:bookmarkEnd w:id="364"/>
      <w:bookmarkEnd w:id="365"/>
      <w:bookmarkEnd w:id="366"/>
      <w:bookmarkEnd w:id="367"/>
      <w:bookmarkEnd w:id="368"/>
      <w:bookmarkEnd w:id="369"/>
    </w:p>
    <w:p>
      <w:pPr>
        <w:widowControl/>
        <w:spacing w:line="360" w:lineRule="auto"/>
        <w:rPr>
          <w:rFonts w:ascii="宋体" w:hAnsi="宋体" w:cs="宋体"/>
          <w:szCs w:val="21"/>
          <w:lang w:bidi="en-US"/>
        </w:rPr>
      </w:pPr>
    </w:p>
    <w:p>
      <w:pPr>
        <w:widowControl/>
        <w:tabs>
          <w:tab w:val="left" w:pos="0"/>
        </w:tabs>
        <w:spacing w:line="360" w:lineRule="auto"/>
        <w:jc w:val="center"/>
        <w:rPr>
          <w:rFonts w:ascii="宋体" w:hAnsi="宋体" w:cs="宋体"/>
          <w:szCs w:val="21"/>
        </w:rPr>
      </w:pPr>
      <w:r>
        <w:rPr>
          <w:rFonts w:hint="eastAsia" w:ascii="宋体" w:hAnsi="宋体" w:cs="宋体"/>
          <w:szCs w:val="21"/>
          <w:lang w:bidi="en-US"/>
        </w:rPr>
        <w:t>本技术要求中，带“★”的条款不得负偏离，否则作无效投标处理。</w:t>
      </w:r>
    </w:p>
    <w:p>
      <w:pPr>
        <w:numPr>
          <w:ilvl w:val="0"/>
          <w:numId w:val="4"/>
        </w:numPr>
        <w:spacing w:line="360" w:lineRule="auto"/>
        <w:ind w:left="0" w:firstLine="422" w:firstLineChars="200"/>
        <w:rPr>
          <w:rFonts w:ascii="宋体" w:hAnsi="宋体" w:cs="宋体"/>
          <w:b/>
          <w:szCs w:val="21"/>
        </w:rPr>
      </w:pPr>
      <w:r>
        <w:rPr>
          <w:rFonts w:hint="eastAsia" w:ascii="宋体" w:hAnsi="宋体" w:cs="宋体"/>
          <w:b/>
          <w:szCs w:val="21"/>
        </w:rPr>
        <w:t>项目概况</w:t>
      </w:r>
    </w:p>
    <w:p>
      <w:pPr>
        <w:spacing w:line="360" w:lineRule="auto"/>
        <w:ind w:firstLine="420" w:firstLineChars="200"/>
        <w:rPr>
          <w:rFonts w:ascii="宋体" w:hAnsi="宋体" w:cs="宋体"/>
          <w:bCs/>
          <w:szCs w:val="21"/>
        </w:rPr>
      </w:pPr>
      <w:r>
        <w:rPr>
          <w:rFonts w:hint="eastAsia" w:ascii="宋体" w:hAnsi="宋体" w:cs="宋体"/>
          <w:bCs/>
          <w:szCs w:val="21"/>
        </w:rPr>
        <w:t>本项目为交钥匙工程。招标内容包括250T闭式冷却塔和配套管路的设计、制造、检验、包装、运输、装卸、安装、调试、验收、交付、质保及后期维护服务等；标书应列出设备各组成部分名称、型号规格、材质、产地、数量、价格，并明确列出设备易损件、消耗品明细和价格清单，以及维保更换周期，对列入明细清单的易损件、消耗品提供质保期内充足备件（质保期外按成本价收费）；应列出并提供维保所需的专用工具及售后服务的项目内容。</w:t>
      </w:r>
    </w:p>
    <w:p>
      <w:pPr>
        <w:spacing w:line="360" w:lineRule="auto"/>
        <w:ind w:firstLine="422" w:firstLineChars="200"/>
        <w:rPr>
          <w:rFonts w:ascii="宋体" w:hAnsi="宋体" w:cs="宋体"/>
          <w:szCs w:val="21"/>
        </w:rPr>
      </w:pPr>
      <w:r>
        <w:rPr>
          <w:rFonts w:hint="eastAsia" w:ascii="宋体" w:hAnsi="宋体" w:cs="宋体"/>
          <w:b/>
          <w:szCs w:val="21"/>
        </w:rPr>
        <w:t>安装地点：</w:t>
      </w:r>
      <w:r>
        <w:rPr>
          <w:rFonts w:hint="eastAsia" w:ascii="宋体" w:hAnsi="宋体" w:cs="宋体"/>
          <w:szCs w:val="21"/>
        </w:rPr>
        <w:t>江苏省电子信息产品质量监督检验研究院指定区域</w:t>
      </w:r>
      <w:r>
        <w:rPr>
          <w:rFonts w:hint="eastAsia" w:ascii="宋体" w:hAnsi="宋体" w:cs="宋体"/>
          <w:iCs/>
          <w:szCs w:val="21"/>
          <w:u w:val="single"/>
        </w:rPr>
        <w:t>（</w:t>
      </w:r>
      <w:r>
        <w:rPr>
          <w:rFonts w:hint="eastAsia" w:ascii="宋体" w:hAnsi="宋体" w:cs="宋体"/>
          <w:b/>
          <w:iCs/>
          <w:szCs w:val="21"/>
          <w:u w:val="single"/>
        </w:rPr>
        <w:t>因场地限制，投标方应先期到现场实地踏勘评估设备安装位置，确定管路走向并连接到相应用水设备或接口预留</w:t>
      </w:r>
      <w:r>
        <w:rPr>
          <w:rFonts w:hint="eastAsia" w:ascii="宋体" w:hAnsi="宋体" w:cs="宋体"/>
          <w:iCs/>
          <w:szCs w:val="21"/>
          <w:u w:val="single"/>
        </w:rPr>
        <w:t>）。</w:t>
      </w:r>
    </w:p>
    <w:p>
      <w:pPr>
        <w:spacing w:line="360" w:lineRule="auto"/>
        <w:ind w:firstLine="422" w:firstLineChars="200"/>
        <w:rPr>
          <w:rFonts w:ascii="宋体" w:hAnsi="宋体" w:cs="宋体"/>
          <w:szCs w:val="21"/>
        </w:rPr>
      </w:pPr>
      <w:r>
        <w:rPr>
          <w:rFonts w:hint="eastAsia" w:ascii="宋体" w:hAnsi="宋体" w:cs="宋体"/>
          <w:b/>
          <w:szCs w:val="21"/>
        </w:rPr>
        <w:t>使用工况：</w:t>
      </w:r>
      <w:r>
        <w:rPr>
          <w:rFonts w:hint="eastAsia" w:ascii="宋体" w:hAnsi="宋体" w:cs="宋体"/>
          <w:szCs w:val="21"/>
        </w:rPr>
        <w:t>设备应能满足无锡当地全天候环境条件下的户外长时间连续正常运行工作，耐腐蚀，易维护，具备自动调节的节能降耗功能，设备具有隔音降噪措施，对外噪音排放能满足相关的环保要求，管路系统分配合理，支路配置阀门，压力表、温度计、截止阀等配套齐全，整套设备具有完备的安全保护功能。</w:t>
      </w:r>
    </w:p>
    <w:p>
      <w:pPr>
        <w:spacing w:line="360" w:lineRule="auto"/>
        <w:ind w:firstLine="422" w:firstLineChars="200"/>
        <w:rPr>
          <w:rFonts w:ascii="宋体" w:hAnsi="宋体" w:cs="宋体"/>
          <w:bCs/>
          <w:szCs w:val="21"/>
        </w:rPr>
      </w:pPr>
      <w:r>
        <w:rPr>
          <w:rFonts w:hint="eastAsia" w:ascii="宋体" w:hAnsi="宋体" w:cs="宋体"/>
          <w:b/>
          <w:bCs/>
          <w:szCs w:val="21"/>
        </w:rPr>
        <w:t>制造及验收交付：</w:t>
      </w:r>
      <w:r>
        <w:rPr>
          <w:rFonts w:hint="eastAsia" w:ascii="宋体" w:hAnsi="宋体" w:cs="宋体"/>
          <w:bCs/>
          <w:szCs w:val="21"/>
        </w:rPr>
        <w:t>设备应满足JB/T 11530-2013《制冷用闭式冷却塔》、GB/T50102《工业循环水冷却设计规范》、GB/T50392《机械通风冷却塔工艺设计规范》、GB12348《工业企业厂界噪音排放标准》”等相关国家法律法规、标准规范要求。</w:t>
      </w:r>
    </w:p>
    <w:p>
      <w:pPr>
        <w:spacing w:line="360" w:lineRule="auto"/>
        <w:ind w:firstLine="420" w:firstLineChars="200"/>
        <w:rPr>
          <w:rFonts w:ascii="宋体" w:hAnsi="宋体" w:cs="宋体"/>
          <w:bCs/>
          <w:szCs w:val="21"/>
        </w:rPr>
      </w:pPr>
      <w:r>
        <w:rPr>
          <w:rFonts w:hint="eastAsia" w:ascii="宋体" w:hAnsi="宋体" w:cs="宋体"/>
          <w:bCs/>
          <w:szCs w:val="21"/>
        </w:rPr>
        <w:t>最终验收：</w:t>
      </w:r>
      <w:r>
        <w:rPr>
          <w:rFonts w:hint="eastAsia" w:ascii="宋体" w:hAnsi="宋体" w:cs="宋体"/>
          <w:szCs w:val="21"/>
          <w:lang w:bidi="ar"/>
        </w:rPr>
        <w:t>以双方签署的技术协议为准，逐项进行最终验收，并提交所有招标方要求热力计算书等技术文档和技术培训资，</w:t>
      </w:r>
      <w:r>
        <w:rPr>
          <w:rFonts w:hint="eastAsia" w:ascii="宋体" w:hAnsi="宋体" w:cs="宋体"/>
          <w:bCs/>
          <w:szCs w:val="21"/>
        </w:rPr>
        <w:t>1、生产过程中招标方要进行现场预验收；安装调试好后，需在夏季高温满负荷运行时进行出水温度检测；</w:t>
      </w:r>
    </w:p>
    <w:p>
      <w:pPr>
        <w:spacing w:line="360" w:lineRule="auto"/>
        <w:ind w:firstLine="420" w:firstLineChars="200"/>
        <w:rPr>
          <w:rFonts w:ascii="宋体" w:hAnsi="宋体" w:cs="宋体"/>
          <w:bCs/>
          <w:szCs w:val="21"/>
        </w:rPr>
      </w:pPr>
    </w:p>
    <w:p>
      <w:pPr>
        <w:numPr>
          <w:ilvl w:val="0"/>
          <w:numId w:val="4"/>
        </w:numPr>
        <w:spacing w:line="360" w:lineRule="auto"/>
        <w:ind w:left="0" w:firstLine="422" w:firstLineChars="200"/>
        <w:rPr>
          <w:rFonts w:ascii="宋体" w:hAnsi="宋体" w:cs="宋体"/>
          <w:b/>
          <w:szCs w:val="21"/>
        </w:rPr>
      </w:pPr>
      <w:r>
        <w:rPr>
          <w:rFonts w:hint="eastAsia" w:ascii="宋体" w:hAnsi="宋体" w:cs="宋体"/>
          <w:b/>
          <w:szCs w:val="21"/>
        </w:rPr>
        <w:t>招标货物一览表</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4709"/>
        <w:gridCol w:w="2876"/>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pPr>
              <w:spacing w:line="360" w:lineRule="auto"/>
              <w:jc w:val="center"/>
              <w:rPr>
                <w:rFonts w:ascii="宋体" w:hAnsi="宋体" w:cs="宋体"/>
                <w:bCs/>
                <w:szCs w:val="21"/>
              </w:rPr>
            </w:pPr>
            <w:r>
              <w:rPr>
                <w:rFonts w:hint="eastAsia" w:ascii="宋体" w:hAnsi="宋体" w:cs="宋体"/>
                <w:bCs/>
                <w:szCs w:val="21"/>
              </w:rPr>
              <w:t>序号</w:t>
            </w:r>
          </w:p>
        </w:tc>
        <w:tc>
          <w:tcPr>
            <w:tcW w:w="2389" w:type="pct"/>
          </w:tcPr>
          <w:p>
            <w:pPr>
              <w:spacing w:line="360" w:lineRule="auto"/>
              <w:ind w:firstLine="420" w:firstLineChars="200"/>
              <w:jc w:val="center"/>
              <w:rPr>
                <w:rFonts w:ascii="宋体" w:hAnsi="宋体" w:cs="宋体"/>
                <w:bCs/>
                <w:szCs w:val="21"/>
              </w:rPr>
            </w:pPr>
            <w:r>
              <w:rPr>
                <w:rFonts w:hint="eastAsia" w:ascii="宋体" w:hAnsi="宋体" w:cs="宋体"/>
                <w:bCs/>
                <w:szCs w:val="21"/>
              </w:rPr>
              <w:t>名称</w:t>
            </w:r>
          </w:p>
        </w:tc>
        <w:tc>
          <w:tcPr>
            <w:tcW w:w="1459" w:type="pct"/>
          </w:tcPr>
          <w:p>
            <w:pPr>
              <w:spacing w:line="360" w:lineRule="auto"/>
              <w:jc w:val="center"/>
              <w:rPr>
                <w:rFonts w:ascii="宋体" w:hAnsi="宋体" w:cs="宋体"/>
                <w:bCs/>
                <w:szCs w:val="21"/>
              </w:rPr>
            </w:pPr>
            <w:r>
              <w:rPr>
                <w:rFonts w:hint="eastAsia" w:ascii="宋体" w:hAnsi="宋体" w:cs="宋体"/>
                <w:bCs/>
                <w:szCs w:val="21"/>
              </w:rPr>
              <w:t>数量</w:t>
            </w:r>
          </w:p>
        </w:tc>
        <w:tc>
          <w:tcPr>
            <w:tcW w:w="638" w:type="pct"/>
          </w:tcPr>
          <w:p>
            <w:pPr>
              <w:spacing w:line="360" w:lineRule="auto"/>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pPr>
              <w:spacing w:line="360" w:lineRule="auto"/>
              <w:jc w:val="center"/>
              <w:rPr>
                <w:rFonts w:ascii="宋体" w:hAnsi="宋体" w:cs="宋体"/>
                <w:bCs/>
                <w:szCs w:val="21"/>
              </w:rPr>
            </w:pPr>
            <w:r>
              <w:rPr>
                <w:rFonts w:hint="eastAsia" w:ascii="宋体" w:hAnsi="宋体" w:cs="宋体"/>
                <w:bCs/>
                <w:szCs w:val="21"/>
              </w:rPr>
              <w:t>1</w:t>
            </w:r>
          </w:p>
        </w:tc>
        <w:tc>
          <w:tcPr>
            <w:tcW w:w="2389" w:type="pct"/>
          </w:tcPr>
          <w:p>
            <w:pPr>
              <w:spacing w:line="360" w:lineRule="auto"/>
              <w:ind w:firstLine="422" w:firstLineChars="200"/>
              <w:jc w:val="center"/>
              <w:rPr>
                <w:rFonts w:ascii="宋体" w:hAnsi="宋体" w:cs="宋体"/>
                <w:b/>
                <w:bCs/>
                <w:szCs w:val="21"/>
              </w:rPr>
            </w:pPr>
            <w:r>
              <w:rPr>
                <w:rFonts w:hint="eastAsia" w:ascii="宋体" w:hAnsi="宋体" w:cs="宋体"/>
                <w:b/>
                <w:bCs/>
                <w:szCs w:val="21"/>
              </w:rPr>
              <w:t>闭式冷却水塔及配套管道</w:t>
            </w:r>
          </w:p>
        </w:tc>
        <w:tc>
          <w:tcPr>
            <w:tcW w:w="1459" w:type="pct"/>
          </w:tcPr>
          <w:p>
            <w:pPr>
              <w:spacing w:line="360" w:lineRule="auto"/>
              <w:jc w:val="center"/>
              <w:rPr>
                <w:rFonts w:ascii="宋体" w:hAnsi="宋体" w:cs="宋体"/>
                <w:bCs/>
                <w:szCs w:val="21"/>
              </w:rPr>
            </w:pPr>
            <w:r>
              <w:rPr>
                <w:rFonts w:hint="eastAsia" w:ascii="宋体" w:hAnsi="宋体" w:cs="宋体"/>
                <w:bCs/>
                <w:szCs w:val="21"/>
              </w:rPr>
              <w:t>3套</w:t>
            </w:r>
          </w:p>
        </w:tc>
        <w:tc>
          <w:tcPr>
            <w:tcW w:w="638" w:type="pct"/>
          </w:tcPr>
          <w:p>
            <w:pPr>
              <w:spacing w:line="360" w:lineRule="auto"/>
              <w:ind w:firstLine="420" w:firstLineChars="200"/>
              <w:jc w:val="center"/>
              <w:rPr>
                <w:rFonts w:ascii="宋体" w:hAnsi="宋体" w:cs="宋体"/>
                <w:bCs/>
                <w:szCs w:val="21"/>
              </w:rPr>
            </w:pPr>
          </w:p>
        </w:tc>
      </w:tr>
    </w:tbl>
    <w:p>
      <w:pPr>
        <w:spacing w:line="360" w:lineRule="auto"/>
        <w:ind w:firstLine="422" w:firstLineChars="200"/>
        <w:rPr>
          <w:rFonts w:ascii="宋体" w:hAnsi="宋体" w:cs="宋体"/>
          <w:b/>
          <w:bCs/>
          <w:szCs w:val="21"/>
        </w:rPr>
      </w:pPr>
    </w:p>
    <w:p>
      <w:pPr>
        <w:numPr>
          <w:ilvl w:val="0"/>
          <w:numId w:val="4"/>
        </w:numPr>
        <w:spacing w:line="360" w:lineRule="auto"/>
        <w:ind w:left="0" w:firstLine="422" w:firstLineChars="200"/>
        <w:rPr>
          <w:rFonts w:ascii="宋体" w:hAnsi="宋体" w:cs="宋体"/>
          <w:szCs w:val="21"/>
        </w:rPr>
      </w:pPr>
      <w:r>
        <w:rPr>
          <w:rFonts w:hint="eastAsia" w:ascii="宋体" w:hAnsi="宋体" w:cs="宋体"/>
          <w:b/>
          <w:bCs/>
          <w:szCs w:val="21"/>
        </w:rPr>
        <w:t>合同履行期限（交货期）：</w:t>
      </w:r>
      <w:r>
        <w:rPr>
          <w:rFonts w:hint="eastAsia" w:ascii="宋体" w:hAnsi="宋体" w:cs="宋体"/>
          <w:szCs w:val="21"/>
        </w:rPr>
        <w:t>合同签订起40天内到货安装及验收（具体以招标人要求为准）</w:t>
      </w:r>
      <w:r>
        <w:rPr>
          <w:rFonts w:hint="eastAsia" w:ascii="宋体" w:hAnsi="宋体" w:cs="宋体"/>
          <w:szCs w:val="21"/>
          <w:lang w:eastAsia="zh-CN"/>
        </w:rPr>
        <w:t>。</w:t>
      </w:r>
    </w:p>
    <w:p>
      <w:pPr>
        <w:spacing w:line="360" w:lineRule="auto"/>
        <w:ind w:firstLine="422" w:firstLineChars="200"/>
        <w:rPr>
          <w:rFonts w:ascii="宋体" w:hAnsi="宋体" w:cs="宋体"/>
          <w:b/>
          <w:bCs/>
          <w:szCs w:val="21"/>
        </w:rPr>
      </w:pPr>
    </w:p>
    <w:p>
      <w:pPr>
        <w:numPr>
          <w:ilvl w:val="0"/>
          <w:numId w:val="4"/>
        </w:numPr>
        <w:spacing w:line="360" w:lineRule="auto"/>
        <w:ind w:left="0" w:firstLine="422" w:firstLineChars="200"/>
        <w:rPr>
          <w:rFonts w:ascii="宋体" w:hAnsi="宋体" w:cs="宋体"/>
          <w:b/>
          <w:bCs/>
          <w:szCs w:val="21"/>
        </w:rPr>
      </w:pPr>
      <w:r>
        <w:rPr>
          <w:rFonts w:hint="eastAsia" w:ascii="宋体" w:hAnsi="宋体" w:cs="宋体"/>
          <w:b/>
          <w:bCs/>
          <w:szCs w:val="21"/>
        </w:rPr>
        <w:t>技术指标</w:t>
      </w:r>
    </w:p>
    <w:p>
      <w:pPr>
        <w:spacing w:line="360" w:lineRule="auto"/>
        <w:ind w:firstLine="422" w:firstLineChars="200"/>
        <w:rPr>
          <w:rFonts w:ascii="宋体" w:hAnsi="宋体" w:cs="宋体"/>
          <w:b/>
          <w:szCs w:val="21"/>
        </w:rPr>
      </w:pPr>
      <w:r>
        <w:rPr>
          <w:rFonts w:hint="eastAsia" w:ascii="宋体" w:hAnsi="宋体" w:cs="宋体"/>
          <w:b/>
          <w:szCs w:val="21"/>
        </w:rPr>
        <w:t xml:space="preserve">4.1 </w:t>
      </w:r>
      <w:r>
        <w:rPr>
          <w:rFonts w:hint="eastAsia" w:ascii="宋体" w:hAnsi="宋体" w:cs="宋体"/>
          <w:szCs w:val="21"/>
        </w:rPr>
        <w:t>★</w:t>
      </w:r>
      <w:r>
        <w:rPr>
          <w:rFonts w:hint="eastAsia" w:ascii="宋体" w:hAnsi="宋体" w:cs="宋体"/>
          <w:b/>
          <w:szCs w:val="21"/>
        </w:rPr>
        <w:t xml:space="preserve">闭式冷却塔及管路的技术要求 </w:t>
      </w:r>
    </w:p>
    <w:p>
      <w:pPr>
        <w:spacing w:line="360" w:lineRule="auto"/>
        <w:ind w:firstLine="420" w:firstLineChars="200"/>
        <w:rPr>
          <w:rFonts w:ascii="宋体" w:hAnsi="宋体" w:cs="宋体"/>
          <w:szCs w:val="21"/>
        </w:rPr>
      </w:pPr>
      <w:r>
        <w:rPr>
          <w:rFonts w:hint="eastAsia" w:ascii="宋体" w:hAnsi="宋体" w:cs="宋体"/>
          <w:szCs w:val="21"/>
        </w:rPr>
        <w:t xml:space="preserve">   1）水源：             自来水循环 </w:t>
      </w:r>
    </w:p>
    <w:p>
      <w:pPr>
        <w:spacing w:line="360" w:lineRule="auto"/>
        <w:ind w:firstLine="420" w:firstLineChars="200"/>
        <w:rPr>
          <w:rFonts w:ascii="宋体" w:hAnsi="宋体" w:cs="宋体"/>
          <w:szCs w:val="21"/>
        </w:rPr>
      </w:pPr>
      <w:r>
        <w:rPr>
          <w:rFonts w:hint="eastAsia" w:ascii="宋体" w:hAnsi="宋体" w:cs="宋体"/>
          <w:szCs w:val="21"/>
        </w:rPr>
        <w:t xml:space="preserve">   2）冷却水总循环量：   ≥250 m</w:t>
      </w:r>
      <w:r>
        <w:rPr>
          <w:rFonts w:hint="eastAsia" w:ascii="宋体" w:hAnsi="宋体" w:cs="宋体"/>
          <w:szCs w:val="21"/>
          <w:vertAlign w:val="superscript"/>
        </w:rPr>
        <w:t>3</w:t>
      </w:r>
      <w:r>
        <w:rPr>
          <w:rFonts w:hint="eastAsia" w:ascii="宋体" w:hAnsi="宋体" w:cs="宋体"/>
          <w:szCs w:val="21"/>
        </w:rPr>
        <w:t xml:space="preserve">/h </w:t>
      </w:r>
    </w:p>
    <w:p>
      <w:pPr>
        <w:spacing w:line="360" w:lineRule="auto"/>
        <w:ind w:firstLine="420" w:firstLineChars="200"/>
        <w:rPr>
          <w:rFonts w:ascii="宋体" w:hAnsi="宋体" w:cs="宋体"/>
          <w:szCs w:val="21"/>
        </w:rPr>
      </w:pPr>
      <w:r>
        <w:rPr>
          <w:rFonts w:hint="eastAsia" w:ascii="宋体" w:hAnsi="宋体" w:cs="宋体"/>
          <w:szCs w:val="21"/>
        </w:rPr>
        <w:t xml:space="preserve">   3）设计进水温度：     ≥42℃ </w:t>
      </w:r>
    </w:p>
    <w:p>
      <w:pPr>
        <w:spacing w:line="360" w:lineRule="auto"/>
        <w:ind w:firstLine="420" w:firstLineChars="200"/>
        <w:rPr>
          <w:rFonts w:ascii="宋体" w:hAnsi="宋体" w:cs="宋体"/>
          <w:szCs w:val="21"/>
        </w:rPr>
      </w:pPr>
      <w:r>
        <w:rPr>
          <w:rFonts w:hint="eastAsia" w:ascii="宋体" w:hAnsi="宋体" w:cs="宋体"/>
          <w:szCs w:val="21"/>
        </w:rPr>
        <w:t xml:space="preserve">   4）设计出水温度：     ≤32℃</w:t>
      </w:r>
    </w:p>
    <w:p>
      <w:pPr>
        <w:spacing w:line="360" w:lineRule="auto"/>
        <w:ind w:firstLine="420" w:firstLineChars="200"/>
        <w:rPr>
          <w:rFonts w:ascii="宋体" w:hAnsi="宋体" w:cs="宋体"/>
          <w:szCs w:val="21"/>
        </w:rPr>
      </w:pPr>
      <w:r>
        <w:rPr>
          <w:rFonts w:hint="eastAsia" w:ascii="宋体" w:hAnsi="宋体" w:cs="宋体"/>
          <w:szCs w:val="21"/>
        </w:rPr>
        <w:t xml:space="preserve">   5）设计湿球温度：     ≤28℃</w:t>
      </w:r>
    </w:p>
    <w:p>
      <w:pPr>
        <w:spacing w:line="360" w:lineRule="auto"/>
        <w:ind w:firstLine="420" w:firstLineChars="200"/>
        <w:rPr>
          <w:rFonts w:ascii="宋体" w:hAnsi="宋体" w:cs="宋体"/>
          <w:szCs w:val="21"/>
        </w:rPr>
      </w:pPr>
      <w:r>
        <w:rPr>
          <w:rFonts w:hint="eastAsia" w:ascii="宋体" w:hAnsi="宋体" w:cs="宋体"/>
          <w:szCs w:val="21"/>
        </w:rPr>
        <w:t xml:space="preserve">   6）进设备水压：       应确保各用水设备进水口压力（2.5-4.5）bar，进回水压差（2-3）bar</w:t>
      </w:r>
    </w:p>
    <w:p>
      <w:pPr>
        <w:spacing w:line="360" w:lineRule="auto"/>
        <w:ind w:firstLine="420" w:firstLineChars="200"/>
        <w:jc w:val="left"/>
        <w:rPr>
          <w:rFonts w:ascii="宋体" w:hAnsi="宋体" w:cs="宋体"/>
          <w:szCs w:val="21"/>
        </w:rPr>
      </w:pPr>
      <w:r>
        <w:rPr>
          <w:rFonts w:hint="eastAsia" w:ascii="宋体" w:hAnsi="宋体" w:cs="宋体"/>
          <w:szCs w:val="21"/>
        </w:rPr>
        <w:t xml:space="preserve">   7）冷却水管道：       热镀锌材质，主管路规格≥DN250，壁厚≥4.5mm；主管路实际总长&gt;570m；以及主管道范围内设备管路连接（依据现场实际设备情况, 含压力表、温度表、阀门等）。</w:t>
      </w:r>
    </w:p>
    <w:p>
      <w:pPr>
        <w:spacing w:line="360" w:lineRule="auto"/>
        <w:ind w:firstLine="422" w:firstLineChars="200"/>
        <w:rPr>
          <w:rFonts w:ascii="宋体" w:hAnsi="宋体" w:cs="宋体"/>
          <w:b/>
          <w:szCs w:val="21"/>
        </w:rPr>
      </w:pPr>
    </w:p>
    <w:p>
      <w:pPr>
        <w:spacing w:line="360" w:lineRule="auto"/>
        <w:ind w:firstLine="422" w:firstLineChars="200"/>
        <w:rPr>
          <w:rFonts w:ascii="宋体" w:hAnsi="宋体" w:cs="宋体"/>
          <w:b/>
          <w:szCs w:val="21"/>
        </w:rPr>
      </w:pPr>
      <w:r>
        <w:rPr>
          <w:rFonts w:hint="eastAsia" w:ascii="宋体" w:hAnsi="宋体" w:cs="宋体"/>
          <w:b/>
          <w:szCs w:val="21"/>
        </w:rPr>
        <w:t xml:space="preserve">4.2 闭式冷却塔一般要求 </w:t>
      </w:r>
    </w:p>
    <w:p>
      <w:pPr>
        <w:spacing w:line="360" w:lineRule="auto"/>
        <w:ind w:firstLine="422" w:firstLineChars="200"/>
        <w:rPr>
          <w:rFonts w:ascii="宋体" w:hAnsi="宋体" w:cs="宋体"/>
          <w:b/>
          <w:szCs w:val="21"/>
        </w:rPr>
      </w:pPr>
      <w:r>
        <w:rPr>
          <w:rFonts w:hint="eastAsia" w:ascii="宋体" w:hAnsi="宋体" w:cs="宋体"/>
          <w:b/>
          <w:szCs w:val="21"/>
        </w:rPr>
        <w:t>4.2.1闭式冷却塔：</w:t>
      </w:r>
    </w:p>
    <w:p>
      <w:pPr>
        <w:spacing w:line="360" w:lineRule="auto"/>
        <w:ind w:firstLine="422" w:firstLineChars="200"/>
        <w:rPr>
          <w:rFonts w:ascii="宋体" w:hAnsi="宋体" w:cs="宋体"/>
          <w:szCs w:val="21"/>
        </w:rPr>
      </w:pPr>
      <w:r>
        <w:rPr>
          <w:rFonts w:hint="eastAsia" w:ascii="宋体" w:hAnsi="宋体" w:cs="宋体"/>
          <w:b/>
          <w:szCs w:val="21"/>
        </w:rPr>
        <w:t xml:space="preserve">4.2.1.1 </w:t>
      </w:r>
      <w:r>
        <w:rPr>
          <w:rFonts w:hint="eastAsia" w:ascii="宋体" w:hAnsi="宋体" w:cs="宋体"/>
          <w:szCs w:val="21"/>
        </w:rPr>
        <w:t>采用单进风复合流结构，框架承重构造形式，框架构造应采用型钢制造，框架结构件应采用焊接或者螺栓连接，所使用部件应进行防腐处理；闭式冷却塔的风筒、集水槽、散水箱应采用304或热材镀锌质制作（镀锌平均厚度不少于85μm，颜色采用深银灰），具备高度防腐，且管路中需要设有不锈钢过滤网。</w:t>
      </w:r>
    </w:p>
    <w:p>
      <w:pPr>
        <w:spacing w:line="360" w:lineRule="auto"/>
        <w:ind w:firstLine="422" w:firstLineChars="200"/>
        <w:rPr>
          <w:rFonts w:ascii="宋体" w:hAnsi="宋体" w:cs="宋体"/>
          <w:szCs w:val="21"/>
        </w:rPr>
      </w:pPr>
      <w:r>
        <w:rPr>
          <w:rFonts w:hint="eastAsia" w:ascii="宋体" w:hAnsi="宋体" w:cs="宋体"/>
          <w:b/>
          <w:szCs w:val="21"/>
        </w:rPr>
        <w:t>4.2.1.2</w:t>
      </w:r>
      <w:r>
        <w:rPr>
          <w:rFonts w:hint="eastAsia" w:ascii="宋体" w:hAnsi="宋体" w:cs="宋体"/>
          <w:szCs w:val="21"/>
        </w:rPr>
        <w:t xml:space="preserve"> 冷却塔外观应光滑平整、清洁污染物、板面应无明显划痕，焊缝表面无明显焊渣，冷却塔涂层应色泽基本一致，不应有气泡、流痕、龟裂和脱落等不良缺陷，不允许漏底（底部应同样具备防腐），冷却塔密封性，冷却塔各箱体连接部位应密封良好，各管路不存在泄漏现象。</w:t>
      </w:r>
    </w:p>
    <w:p>
      <w:pPr>
        <w:spacing w:line="360" w:lineRule="auto"/>
        <w:ind w:firstLine="422" w:firstLineChars="200"/>
        <w:rPr>
          <w:rFonts w:ascii="宋体" w:hAnsi="宋体" w:cs="宋体"/>
          <w:szCs w:val="21"/>
        </w:rPr>
      </w:pPr>
      <w:r>
        <w:rPr>
          <w:rFonts w:hint="eastAsia" w:ascii="宋体" w:hAnsi="宋体" w:cs="宋体"/>
          <w:b/>
          <w:szCs w:val="21"/>
        </w:rPr>
        <w:t xml:space="preserve">4.2.1.3 </w:t>
      </w:r>
      <w:r>
        <w:rPr>
          <w:rFonts w:hint="eastAsia" w:ascii="宋体" w:hAnsi="宋体" w:cs="宋体"/>
          <w:szCs w:val="21"/>
        </w:rPr>
        <w:t>设备需充分考虑降噪措施，冷却塔的性能及整体寿命投保方需承诺不低于15年，长期浸泡在水中的关键材料（填料、积水盘、分水系统等）应保证常年运转所必须的腐蚀性、耐用性、耐寒性。</w:t>
      </w:r>
    </w:p>
    <w:p>
      <w:pPr>
        <w:spacing w:line="360" w:lineRule="auto"/>
        <w:ind w:firstLine="422" w:firstLineChars="200"/>
        <w:rPr>
          <w:rFonts w:ascii="宋体" w:hAnsi="宋体" w:cs="宋体"/>
          <w:szCs w:val="21"/>
        </w:rPr>
      </w:pPr>
      <w:r>
        <w:rPr>
          <w:rFonts w:hint="eastAsia" w:ascii="宋体" w:hAnsi="宋体" w:cs="宋体"/>
          <w:b/>
          <w:szCs w:val="21"/>
        </w:rPr>
        <w:t>4.2.1.4</w:t>
      </w:r>
      <w:r>
        <w:rPr>
          <w:rFonts w:hint="eastAsia" w:ascii="宋体" w:hAnsi="宋体" w:cs="宋体"/>
          <w:szCs w:val="21"/>
        </w:rPr>
        <w:t xml:space="preserve"> 冷却塔应设有自动补水装置，自动补充蒸发水（自来水）及冷却介质（软化水）。</w:t>
      </w:r>
    </w:p>
    <w:p>
      <w:pPr>
        <w:spacing w:line="360" w:lineRule="auto"/>
        <w:ind w:firstLine="422" w:firstLineChars="200"/>
        <w:rPr>
          <w:rFonts w:ascii="宋体" w:hAnsi="宋体" w:cs="宋体"/>
          <w:szCs w:val="21"/>
        </w:rPr>
      </w:pPr>
      <w:r>
        <w:rPr>
          <w:rFonts w:hint="eastAsia" w:ascii="宋体" w:hAnsi="宋体" w:cs="宋体"/>
          <w:b/>
          <w:szCs w:val="21"/>
        </w:rPr>
        <w:t>4.2.1.5</w:t>
      </w:r>
      <w:r>
        <w:rPr>
          <w:rFonts w:hint="eastAsia" w:ascii="宋体" w:hAnsi="宋体" w:cs="宋体"/>
          <w:szCs w:val="21"/>
        </w:rPr>
        <w:t xml:space="preserve"> 冷却塔的设计应按照无锡地区的气候进行设计（≥250T），在最恶劣的天气情况下冷却能力百分比不小于95%（按水温降对比发进行计算冷却能力与设计冷却能力）；</w:t>
      </w:r>
    </w:p>
    <w:p>
      <w:pPr>
        <w:spacing w:line="360" w:lineRule="auto"/>
        <w:ind w:firstLine="422" w:firstLineChars="200"/>
        <w:rPr>
          <w:rFonts w:ascii="宋体" w:hAnsi="宋体" w:cs="宋体"/>
          <w:szCs w:val="21"/>
        </w:rPr>
      </w:pPr>
      <w:r>
        <w:rPr>
          <w:rFonts w:hint="eastAsia" w:ascii="宋体" w:hAnsi="宋体" w:cs="宋体"/>
          <w:b/>
          <w:szCs w:val="21"/>
        </w:rPr>
        <w:t>4.2.1.6</w:t>
      </w:r>
      <w:r>
        <w:rPr>
          <w:rFonts w:hint="eastAsia" w:ascii="宋体" w:hAnsi="宋体" w:cs="宋体"/>
          <w:szCs w:val="21"/>
        </w:rPr>
        <w:t xml:space="preserve">  ★低噪音型闭式冷却塔正常运行时工作噪音声压应不超过72dB(A)，距离冷却塔2米处测量；</w:t>
      </w:r>
    </w:p>
    <w:p>
      <w:pPr>
        <w:spacing w:line="360" w:lineRule="auto"/>
        <w:ind w:firstLine="422" w:firstLineChars="200"/>
        <w:rPr>
          <w:rFonts w:ascii="宋体" w:hAnsi="宋体" w:cs="宋体"/>
          <w:b/>
          <w:szCs w:val="21"/>
        </w:rPr>
      </w:pPr>
    </w:p>
    <w:p>
      <w:pPr>
        <w:numPr>
          <w:ilvl w:val="2"/>
          <w:numId w:val="5"/>
        </w:numPr>
        <w:spacing w:line="360" w:lineRule="auto"/>
        <w:ind w:left="0" w:firstLine="422" w:firstLineChars="200"/>
        <w:rPr>
          <w:rFonts w:ascii="宋体" w:hAnsi="宋体" w:cs="宋体"/>
          <w:b/>
          <w:szCs w:val="21"/>
        </w:rPr>
      </w:pPr>
      <w:r>
        <w:rPr>
          <w:rFonts w:hint="eastAsia" w:ascii="宋体" w:hAnsi="宋体" w:cs="宋体"/>
          <w:b/>
          <w:szCs w:val="21"/>
        </w:rPr>
        <w:t>冷却塔换热器</w:t>
      </w:r>
    </w:p>
    <w:p>
      <w:pPr>
        <w:numPr>
          <w:ilvl w:val="0"/>
          <w:numId w:val="6"/>
        </w:numPr>
        <w:spacing w:line="360" w:lineRule="auto"/>
        <w:ind w:left="0" w:firstLine="420" w:firstLineChars="200"/>
        <w:rPr>
          <w:rFonts w:ascii="宋体" w:hAnsi="宋体" w:cs="宋体"/>
          <w:szCs w:val="21"/>
        </w:rPr>
      </w:pPr>
      <w:r>
        <w:rPr>
          <w:rFonts w:hint="eastAsia" w:ascii="宋体" w:hAnsi="宋体" w:cs="宋体"/>
          <w:szCs w:val="21"/>
        </w:rPr>
        <w:t>★冷却塔换热器采用优质的SUS304不锈钢（壁厚δ≥0.8mm）；换热器盘管总长不小于2500米；管与管之间的连接全采用SUS304不锈钢材质制成的180度U型弯头，采用管管全自动焊接技术进行焊接，必须可靠耐压，全部焊接完成，加压至1.6MPa，保持沉浸水池6h以上。</w:t>
      </w:r>
    </w:p>
    <w:p>
      <w:pPr>
        <w:numPr>
          <w:ilvl w:val="0"/>
          <w:numId w:val="6"/>
        </w:numPr>
        <w:spacing w:line="360" w:lineRule="auto"/>
        <w:ind w:left="0" w:firstLine="420" w:firstLineChars="200"/>
        <w:rPr>
          <w:rFonts w:ascii="宋体" w:hAnsi="宋体" w:cs="宋体"/>
          <w:szCs w:val="21"/>
        </w:rPr>
      </w:pPr>
      <w:r>
        <w:rPr>
          <w:rFonts w:hint="eastAsia" w:ascii="宋体" w:hAnsi="宋体" w:cs="宋体"/>
          <w:szCs w:val="21"/>
        </w:rPr>
        <w:t xml:space="preserve">闭式冷却塔换热器管倾斜布置，坡向设计与排水方向一致，停机时利于冬季排空，冷却水可在15分钟内完成防冻排空；散热盘管检修时拆开空冷塔侧板，单组换热器可以顺利从塔体侧面抽出，若空冷塔散热盘管多于1组，单组冷却盘管进出水母管应设有一处蝶阀，蝶阀关闭单组盘管形成密闭空间，且应在母管上部最高处设有排气阀； </w:t>
      </w:r>
    </w:p>
    <w:p>
      <w:pPr>
        <w:numPr>
          <w:ilvl w:val="0"/>
          <w:numId w:val="6"/>
        </w:numPr>
        <w:spacing w:line="360" w:lineRule="auto"/>
        <w:ind w:left="0" w:firstLine="420" w:firstLineChars="200"/>
        <w:rPr>
          <w:rFonts w:ascii="宋体" w:hAnsi="宋体" w:cs="宋体"/>
          <w:szCs w:val="21"/>
        </w:rPr>
      </w:pPr>
      <w:r>
        <w:rPr>
          <w:rFonts w:hint="eastAsia" w:ascii="宋体" w:hAnsi="宋体" w:cs="宋体"/>
          <w:szCs w:val="21"/>
        </w:rPr>
        <w:t>换热器与箱体外壳体接触区域必须可靠受力。换热器盘管应全封闭安装在机组内，以防止受到阳光照射和环境污染，周围应安装有可拆卸的检修门，无需进入机组便可方便地检修盘管部分。</w:t>
      </w:r>
    </w:p>
    <w:p>
      <w:pPr>
        <w:numPr>
          <w:ilvl w:val="0"/>
          <w:numId w:val="6"/>
        </w:numPr>
        <w:spacing w:line="360" w:lineRule="auto"/>
        <w:ind w:left="0" w:firstLine="420" w:firstLineChars="200"/>
        <w:rPr>
          <w:rFonts w:ascii="宋体" w:hAnsi="宋体" w:cs="宋体"/>
          <w:szCs w:val="21"/>
        </w:rPr>
      </w:pPr>
      <w:r>
        <w:rPr>
          <w:rFonts w:hint="eastAsia" w:ascii="宋体" w:hAnsi="宋体" w:cs="宋体"/>
          <w:szCs w:val="21"/>
        </w:rPr>
        <w:t>江苏地区冬季气候寒冷，系统必须有防冻措施，防冻措施可靠安全，确保不产生腐蚀或漏电等危险。</w:t>
      </w:r>
    </w:p>
    <w:p>
      <w:pPr>
        <w:spacing w:line="360" w:lineRule="auto"/>
        <w:ind w:firstLine="420" w:firstLineChars="200"/>
        <w:rPr>
          <w:rFonts w:ascii="宋体" w:hAnsi="宋体" w:cs="宋体"/>
          <w:szCs w:val="21"/>
        </w:rPr>
      </w:pPr>
    </w:p>
    <w:p>
      <w:pPr>
        <w:spacing w:line="360" w:lineRule="auto"/>
        <w:ind w:firstLine="422" w:firstLineChars="200"/>
        <w:rPr>
          <w:rFonts w:ascii="宋体" w:hAnsi="宋体" w:cs="宋体"/>
          <w:b/>
          <w:szCs w:val="21"/>
        </w:rPr>
      </w:pPr>
      <w:r>
        <w:rPr>
          <w:rFonts w:hint="eastAsia" w:ascii="宋体" w:hAnsi="宋体" w:cs="宋体"/>
          <w:b/>
          <w:szCs w:val="21"/>
        </w:rPr>
        <w:t>4.2.3 冷却塔体</w:t>
      </w:r>
    </w:p>
    <w:p>
      <w:pPr>
        <w:numPr>
          <w:ilvl w:val="0"/>
          <w:numId w:val="7"/>
        </w:numPr>
        <w:spacing w:line="360" w:lineRule="auto"/>
        <w:ind w:left="0" w:firstLine="420" w:firstLineChars="200"/>
        <w:rPr>
          <w:rFonts w:ascii="宋体" w:hAnsi="宋体" w:cs="宋体"/>
          <w:szCs w:val="21"/>
        </w:rPr>
      </w:pPr>
      <w:r>
        <w:rPr>
          <w:rFonts w:hint="eastAsia" w:ascii="宋体" w:hAnsi="宋体" w:cs="宋体"/>
          <w:szCs w:val="21"/>
        </w:rPr>
        <w:t>冷却塔外壳主体为镀镁铝锌钢板，板材厚度δ≥2mm，正反两面镀层含镁铝锌≥275g/m</w:t>
      </w:r>
      <w:r>
        <w:rPr>
          <w:rFonts w:hint="eastAsia" w:ascii="宋体" w:hAnsi="宋体" w:cs="宋体"/>
          <w:szCs w:val="21"/>
          <w:vertAlign w:val="superscript"/>
        </w:rPr>
        <w:t>2</w:t>
      </w:r>
      <w:r>
        <w:rPr>
          <w:rFonts w:hint="eastAsia" w:ascii="宋体" w:hAnsi="宋体" w:cs="宋体"/>
          <w:szCs w:val="21"/>
        </w:rPr>
        <w:t>；配有所需配附件及管道接口包括溢流管、水管、排污管、出水口、出水槽连反旋涡挡板及不锈钢过滤网，补水管接口连浮球阀，清扫检查口等。</w:t>
      </w:r>
    </w:p>
    <w:p>
      <w:pPr>
        <w:numPr>
          <w:ilvl w:val="0"/>
          <w:numId w:val="7"/>
        </w:numPr>
        <w:spacing w:line="360" w:lineRule="auto"/>
        <w:ind w:left="0" w:firstLine="420" w:firstLineChars="200"/>
        <w:rPr>
          <w:rFonts w:ascii="宋体" w:hAnsi="宋体" w:cs="宋体"/>
          <w:szCs w:val="21"/>
        </w:rPr>
      </w:pPr>
      <w:r>
        <w:rPr>
          <w:rFonts w:hint="eastAsia" w:ascii="宋体" w:hAnsi="宋体" w:cs="宋体"/>
          <w:szCs w:val="21"/>
        </w:rPr>
        <w:t>所有螺栓、螺母及自攻螺丝均须为304不锈钢材质。</w:t>
      </w:r>
    </w:p>
    <w:p>
      <w:pPr>
        <w:numPr>
          <w:ilvl w:val="0"/>
          <w:numId w:val="7"/>
        </w:numPr>
        <w:spacing w:line="360" w:lineRule="auto"/>
        <w:ind w:left="0" w:firstLine="420" w:firstLineChars="200"/>
        <w:rPr>
          <w:rFonts w:ascii="宋体" w:hAnsi="宋体" w:cs="宋体"/>
          <w:szCs w:val="21"/>
        </w:rPr>
      </w:pPr>
      <w:r>
        <w:rPr>
          <w:rFonts w:hint="eastAsia" w:ascii="宋体" w:hAnsi="宋体" w:cs="宋体"/>
          <w:szCs w:val="21"/>
        </w:rPr>
        <w:t>框架结构支架：整个闭式冷却塔的金属框架结构支架须为原厂制造，所有外露或与潮湿空气接触的空气接触的金属构件，必须经热浸镀锌处理后外加铅酸锌铝作保护。构件需采用经认可的防腐蚀处理的不锈钢螺栓及螺帽作拼合。</w:t>
      </w:r>
    </w:p>
    <w:p>
      <w:pPr>
        <w:numPr>
          <w:ilvl w:val="0"/>
          <w:numId w:val="7"/>
        </w:numPr>
        <w:spacing w:line="360" w:lineRule="auto"/>
        <w:ind w:left="0" w:firstLine="420" w:firstLineChars="200"/>
        <w:rPr>
          <w:rFonts w:ascii="宋体" w:hAnsi="宋体" w:cs="宋体"/>
          <w:szCs w:val="21"/>
        </w:rPr>
      </w:pPr>
      <w:r>
        <w:rPr>
          <w:rFonts w:hint="eastAsia" w:ascii="宋体" w:hAnsi="宋体" w:cs="宋体"/>
          <w:szCs w:val="21"/>
        </w:rPr>
        <w:t>塔体内部须内置PVC原生填料（双层填料，形成完好水膜，不会造成滴水飞溅，填料厚度应在0.3mm以上，氧指数＞35，具有良好的抗紫外线、抗老化、抗冲击、不脆、不裂、不坍塌，且应提供材料的质检报告），优化冷却效果，填料应具有高效、防腐、防菌及生物生长的能力，对紫外光有抑制作用并防止化学性侵蚀；填料底部浸入水盘的冷水水位以下，冷却水可成薄膜状连贯地流入冷水盘内，最大限度避免了水流声。</w:t>
      </w:r>
    </w:p>
    <w:p>
      <w:pPr>
        <w:numPr>
          <w:ilvl w:val="0"/>
          <w:numId w:val="7"/>
        </w:numPr>
        <w:spacing w:line="360" w:lineRule="auto"/>
        <w:ind w:left="0" w:firstLine="420" w:firstLineChars="200"/>
        <w:rPr>
          <w:rFonts w:ascii="宋体" w:hAnsi="宋体" w:cs="宋体"/>
          <w:szCs w:val="21"/>
        </w:rPr>
      </w:pPr>
      <w:r>
        <w:rPr>
          <w:rFonts w:hint="eastAsia" w:ascii="宋体" w:hAnsi="宋体" w:cs="宋体"/>
          <w:szCs w:val="21"/>
        </w:rPr>
        <w:t>冷却塔换热器上方应具有收水材料，通过后的漂水损失率更小，且有一定污垢自清能力，便于日常维护及保养。</w:t>
      </w:r>
    </w:p>
    <w:p>
      <w:pPr>
        <w:numPr>
          <w:ilvl w:val="0"/>
          <w:numId w:val="7"/>
        </w:numPr>
        <w:spacing w:line="360" w:lineRule="auto"/>
        <w:ind w:left="0" w:firstLine="420" w:firstLineChars="200"/>
        <w:rPr>
          <w:rFonts w:ascii="宋体" w:hAnsi="宋体" w:cs="宋体"/>
          <w:szCs w:val="21"/>
        </w:rPr>
      </w:pPr>
      <w:r>
        <w:rPr>
          <w:rFonts w:hint="eastAsia" w:ascii="宋体" w:hAnsi="宋体" w:cs="宋体"/>
          <w:szCs w:val="21"/>
        </w:rPr>
        <w:t>进风格栅（采用原生料PVC）需采用蜂窝状多角度格栅，能防冷却水不溅出水盘外，避免杂物进入水盘，同时保证阳光不能直射到水盘，避免循环水内微生物的生成。进风格栅为可拆卸，方便进入水盘，进风格栅的角度、叶片数及其设置应能使空气均匀的流向冷却盘管，其构造应装卸简介便利，便于冷却塔进行定期清洗。外框及网板皆采用优良耐腐性的CPVC或PVC材料。</w:t>
      </w:r>
    </w:p>
    <w:p>
      <w:pPr>
        <w:numPr>
          <w:ilvl w:val="0"/>
          <w:numId w:val="7"/>
        </w:numPr>
        <w:spacing w:line="360" w:lineRule="auto"/>
        <w:ind w:left="0" w:firstLine="420" w:firstLineChars="200"/>
        <w:rPr>
          <w:rFonts w:ascii="宋体" w:hAnsi="宋体" w:cs="宋体"/>
          <w:szCs w:val="21"/>
        </w:rPr>
      </w:pPr>
      <w:r>
        <w:rPr>
          <w:rFonts w:hint="eastAsia" w:ascii="宋体" w:hAnsi="宋体" w:cs="宋体"/>
          <w:szCs w:val="21"/>
        </w:rPr>
        <w:t>冷却系统水槽底部排水采用下沉式结构，采用DN50以上排污管道，排水时间&lt;30min，应避免排水在冷却系统在放置区的淤积。</w:t>
      </w:r>
    </w:p>
    <w:p>
      <w:pPr>
        <w:numPr>
          <w:ilvl w:val="0"/>
          <w:numId w:val="7"/>
        </w:numPr>
        <w:spacing w:line="360" w:lineRule="auto"/>
        <w:ind w:left="0" w:firstLine="420" w:firstLineChars="200"/>
        <w:rPr>
          <w:rFonts w:ascii="宋体" w:hAnsi="宋体" w:cs="宋体"/>
          <w:szCs w:val="21"/>
        </w:rPr>
      </w:pPr>
      <w:r>
        <w:rPr>
          <w:rFonts w:hint="eastAsia" w:ascii="宋体" w:hAnsi="宋体" w:cs="宋体"/>
          <w:szCs w:val="21"/>
        </w:rPr>
        <w:t>闭式冷却塔须按照当地的水质和全年气候环境作为选取条件。闭式冷却塔的外壳和结构设计强度应为可抵受风速240千米/小时的强风吹袭，整机抗震性能达到8级以上。</w:t>
      </w:r>
    </w:p>
    <w:p>
      <w:pPr>
        <w:numPr>
          <w:ilvl w:val="0"/>
          <w:numId w:val="7"/>
        </w:numPr>
        <w:spacing w:line="360" w:lineRule="auto"/>
        <w:ind w:left="0" w:firstLine="420" w:firstLineChars="200"/>
        <w:rPr>
          <w:rFonts w:ascii="宋体" w:hAnsi="宋体" w:cs="宋体"/>
          <w:szCs w:val="21"/>
        </w:rPr>
      </w:pPr>
      <w:r>
        <w:rPr>
          <w:rFonts w:hint="eastAsia" w:ascii="宋体" w:hAnsi="宋体" w:cs="宋体"/>
          <w:szCs w:val="21"/>
        </w:rPr>
        <w:t>冷却塔应设置检修门，便于冷却塔内部的检修，冷却塔应装有爬梯，便于冷却塔上部结构的检修</w:t>
      </w:r>
    </w:p>
    <w:p>
      <w:pPr>
        <w:numPr>
          <w:ilvl w:val="0"/>
          <w:numId w:val="7"/>
        </w:numPr>
        <w:spacing w:line="360" w:lineRule="auto"/>
        <w:ind w:left="0" w:firstLine="420" w:firstLineChars="200"/>
        <w:rPr>
          <w:rFonts w:ascii="宋体" w:hAnsi="宋体" w:cs="宋体"/>
          <w:szCs w:val="21"/>
        </w:rPr>
      </w:pPr>
      <w:r>
        <w:rPr>
          <w:rFonts w:hint="eastAsia" w:ascii="宋体" w:hAnsi="宋体" w:cs="宋体"/>
          <w:szCs w:val="21"/>
        </w:rPr>
        <w:t>为保证组装的闭式冷却塔能够达到它的设计能力，闭式冷却塔应在工厂内完成组装和整机运行测试，采用两段式运输，现场进行吊装。不接受散件发货现场拼装的冷却塔。</w:t>
      </w:r>
    </w:p>
    <w:p>
      <w:pPr>
        <w:spacing w:line="360" w:lineRule="auto"/>
        <w:ind w:firstLine="420" w:firstLineChars="200"/>
        <w:rPr>
          <w:rFonts w:ascii="宋体" w:hAnsi="宋体" w:cs="宋体"/>
          <w:szCs w:val="21"/>
        </w:rPr>
      </w:pPr>
    </w:p>
    <w:p>
      <w:pPr>
        <w:spacing w:line="360" w:lineRule="auto"/>
        <w:ind w:firstLine="422" w:firstLineChars="200"/>
        <w:rPr>
          <w:rFonts w:ascii="宋体" w:hAnsi="宋体" w:cs="宋体"/>
          <w:b/>
          <w:szCs w:val="21"/>
        </w:rPr>
      </w:pPr>
      <w:r>
        <w:rPr>
          <w:rFonts w:hint="eastAsia" w:ascii="宋体" w:hAnsi="宋体" w:cs="宋体"/>
          <w:b/>
          <w:szCs w:val="21"/>
        </w:rPr>
        <w:t>4.2.4 风机及喷淋系统</w:t>
      </w:r>
    </w:p>
    <w:p>
      <w:pPr>
        <w:numPr>
          <w:ilvl w:val="0"/>
          <w:numId w:val="8"/>
        </w:numPr>
        <w:spacing w:line="360" w:lineRule="auto"/>
        <w:ind w:left="0" w:firstLine="420" w:firstLineChars="200"/>
        <w:rPr>
          <w:rFonts w:ascii="宋体" w:hAnsi="宋体" w:cs="宋体"/>
          <w:szCs w:val="21"/>
        </w:rPr>
      </w:pPr>
      <w:r>
        <w:rPr>
          <w:rFonts w:hint="eastAsia" w:ascii="宋体" w:hAnsi="宋体" w:cs="宋体"/>
          <w:szCs w:val="21"/>
        </w:rPr>
        <w:t>闭式冷却塔喷淋布水系统应采用喷淋补水，系统应包括水过滤、喷淋循环水泵、喷淋布水系统等，喷淋水泵寿命不低于10年，且进行防腐处理，喷淋集水槽应设有电加热装置和温度控制装置，保证冬季水槽不结冰，同时又能防止水槽内加热器干烧；</w:t>
      </w:r>
    </w:p>
    <w:p>
      <w:pPr>
        <w:numPr>
          <w:ilvl w:val="0"/>
          <w:numId w:val="8"/>
        </w:numPr>
        <w:spacing w:line="360" w:lineRule="auto"/>
        <w:ind w:left="0" w:firstLine="420" w:firstLineChars="200"/>
        <w:rPr>
          <w:rFonts w:ascii="宋体" w:hAnsi="宋体" w:cs="宋体"/>
          <w:szCs w:val="21"/>
        </w:rPr>
      </w:pPr>
      <w:r>
        <w:rPr>
          <w:rFonts w:hint="eastAsia" w:ascii="宋体" w:hAnsi="宋体" w:cs="宋体"/>
          <w:szCs w:val="21"/>
        </w:rPr>
        <w:t>闭式冷却塔喷淋泵（总功率≥7.5kW，防护等级不低于IP55，绝缘等级不低于F级），应采用低噪音全封闭防溅防尘室外型喷淋专用泵，其布水管网为压力布水方式。</w:t>
      </w:r>
    </w:p>
    <w:p>
      <w:pPr>
        <w:numPr>
          <w:ilvl w:val="0"/>
          <w:numId w:val="8"/>
        </w:numPr>
        <w:spacing w:line="360" w:lineRule="auto"/>
        <w:ind w:left="0" w:firstLine="420" w:firstLineChars="200"/>
        <w:rPr>
          <w:rFonts w:ascii="宋体" w:hAnsi="宋体" w:cs="宋体"/>
          <w:szCs w:val="21"/>
        </w:rPr>
      </w:pPr>
      <w:r>
        <w:rPr>
          <w:rFonts w:hint="eastAsia" w:ascii="宋体" w:hAnsi="宋体" w:cs="宋体"/>
          <w:szCs w:val="21"/>
        </w:rPr>
        <w:t>喷淋配水管及塔体结构间须有高可靠性的强化连接。布水喷嘴采用大流量喷头，应有防异物设计，不易堵塞，清理维护方便；</w:t>
      </w:r>
    </w:p>
    <w:p>
      <w:pPr>
        <w:numPr>
          <w:ilvl w:val="0"/>
          <w:numId w:val="8"/>
        </w:numPr>
        <w:spacing w:line="360" w:lineRule="auto"/>
        <w:ind w:left="0" w:firstLine="420" w:firstLineChars="200"/>
        <w:rPr>
          <w:rFonts w:ascii="宋体" w:hAnsi="宋体" w:cs="宋体"/>
          <w:szCs w:val="21"/>
        </w:rPr>
      </w:pPr>
      <w:r>
        <w:rPr>
          <w:rFonts w:hint="eastAsia" w:ascii="宋体" w:hAnsi="宋体" w:cs="宋体"/>
          <w:szCs w:val="21"/>
        </w:rPr>
        <w:t xml:space="preserve">为确保稳定性及有便于能耗控制，塔体采用多台小型专用风机。单台维修更换方便、快捷（无需起重设备）； </w:t>
      </w:r>
    </w:p>
    <w:p>
      <w:pPr>
        <w:numPr>
          <w:ilvl w:val="0"/>
          <w:numId w:val="8"/>
        </w:numPr>
        <w:spacing w:line="360" w:lineRule="auto"/>
        <w:ind w:left="0" w:firstLine="420" w:firstLineChars="200"/>
        <w:rPr>
          <w:rFonts w:ascii="宋体" w:hAnsi="宋体" w:cs="宋体"/>
          <w:szCs w:val="21"/>
        </w:rPr>
      </w:pPr>
      <w:r>
        <w:rPr>
          <w:rFonts w:hint="eastAsia" w:ascii="宋体" w:hAnsi="宋体" w:cs="宋体"/>
          <w:szCs w:val="21"/>
        </w:rPr>
        <w:t>风机采用铝合金加强型叶片，防腐的同时减少运行能耗及噪音。</w:t>
      </w:r>
    </w:p>
    <w:p>
      <w:pPr>
        <w:numPr>
          <w:ilvl w:val="0"/>
          <w:numId w:val="8"/>
        </w:numPr>
        <w:spacing w:line="360" w:lineRule="auto"/>
        <w:ind w:left="0" w:firstLine="420" w:firstLineChars="200"/>
        <w:rPr>
          <w:rFonts w:ascii="宋体" w:hAnsi="宋体" w:cs="宋体"/>
          <w:szCs w:val="21"/>
        </w:rPr>
      </w:pPr>
      <w:r>
        <w:rPr>
          <w:rFonts w:hint="eastAsia" w:ascii="宋体" w:hAnsi="宋体" w:cs="宋体"/>
          <w:szCs w:val="21"/>
        </w:rPr>
        <w:t>须采用低噪声风机(≥10级，总功率≥16.5kW)系统，单塔标准点噪声：≤72dBA，风量＞240000m³/h。</w:t>
      </w:r>
    </w:p>
    <w:p>
      <w:pPr>
        <w:numPr>
          <w:ilvl w:val="0"/>
          <w:numId w:val="8"/>
        </w:numPr>
        <w:spacing w:line="360" w:lineRule="auto"/>
        <w:ind w:left="0" w:firstLine="420" w:firstLineChars="200"/>
        <w:rPr>
          <w:rFonts w:ascii="宋体" w:hAnsi="宋体" w:cs="宋体"/>
          <w:szCs w:val="21"/>
        </w:rPr>
      </w:pPr>
      <w:r>
        <w:rPr>
          <w:rFonts w:hint="eastAsia" w:ascii="宋体" w:hAnsi="宋体" w:cs="宋体"/>
          <w:szCs w:val="21"/>
        </w:rPr>
        <w:t>散热风机应采用直连式，若采用减速机构不可采用皮带传动，风机应配置全封闭室外型电动机，风机轴承质保期不低于3年（整机质保期不低于1年），风机叶轮应稳定可靠，风机叶轮间隔，塔壁内壁之间间隙应保持匀称，出厂前应进行动平衡试验，动平衡试验需按照（刚性转子动平衡精度等级为G6.3）。</w:t>
      </w:r>
    </w:p>
    <w:p>
      <w:pPr>
        <w:numPr>
          <w:ilvl w:val="0"/>
          <w:numId w:val="8"/>
        </w:numPr>
        <w:spacing w:line="360" w:lineRule="auto"/>
        <w:ind w:left="0" w:firstLine="420" w:firstLineChars="200"/>
        <w:rPr>
          <w:rFonts w:ascii="宋体" w:hAnsi="宋体" w:cs="宋体"/>
          <w:szCs w:val="21"/>
        </w:rPr>
      </w:pPr>
      <w:r>
        <w:rPr>
          <w:rFonts w:hint="eastAsia" w:ascii="宋体" w:hAnsi="宋体" w:cs="宋体"/>
          <w:szCs w:val="21"/>
        </w:rPr>
        <w:t>配导风式风筒：风筒原材料应采用热浸镀锌钢材料制成，风筒自上而下过渡应圆滑。风筒制作必须采用模加压成型工艺，以确保风筒内外表面光滑，空气通过带有流线型入口的风筒将减小的顶部空间容积，并获得较大的风机效率。在每个风筒上提供由热浸锌线材制成的风机保护网。</w:t>
      </w:r>
    </w:p>
    <w:p>
      <w:pPr>
        <w:spacing w:line="360" w:lineRule="auto"/>
        <w:ind w:firstLine="420" w:firstLineChars="200"/>
        <w:rPr>
          <w:rFonts w:ascii="宋体" w:hAnsi="宋体" w:cs="宋体"/>
          <w:szCs w:val="21"/>
        </w:rPr>
      </w:pPr>
    </w:p>
    <w:p>
      <w:pPr>
        <w:spacing w:line="360" w:lineRule="auto"/>
        <w:ind w:firstLine="422" w:firstLineChars="200"/>
        <w:rPr>
          <w:rFonts w:ascii="宋体" w:hAnsi="宋体" w:cs="宋体"/>
          <w:b/>
          <w:szCs w:val="21"/>
        </w:rPr>
      </w:pPr>
      <w:r>
        <w:rPr>
          <w:rFonts w:hint="eastAsia" w:ascii="宋体" w:hAnsi="宋体" w:cs="宋体"/>
          <w:b/>
          <w:szCs w:val="21"/>
        </w:rPr>
        <w:t>4.2.5 泵阀组</w:t>
      </w:r>
    </w:p>
    <w:p>
      <w:pPr>
        <w:numPr>
          <w:ilvl w:val="0"/>
          <w:numId w:val="9"/>
        </w:numPr>
        <w:spacing w:line="360" w:lineRule="auto"/>
        <w:ind w:left="0" w:firstLine="420" w:firstLineChars="200"/>
        <w:rPr>
          <w:rFonts w:ascii="宋体" w:hAnsi="宋体" w:cs="宋体"/>
          <w:szCs w:val="21"/>
        </w:rPr>
      </w:pPr>
      <w:r>
        <w:rPr>
          <w:rFonts w:hint="eastAsia" w:ascii="宋体" w:hAnsi="宋体" w:cs="宋体"/>
          <w:szCs w:val="21"/>
        </w:rPr>
        <w:t>循环水泵选用立式管道式，防护等级不低于IP55，绝缘等级不低于F级。</w:t>
      </w:r>
    </w:p>
    <w:p>
      <w:pPr>
        <w:numPr>
          <w:ilvl w:val="0"/>
          <w:numId w:val="9"/>
        </w:numPr>
        <w:spacing w:line="360" w:lineRule="auto"/>
        <w:ind w:left="0" w:firstLine="420" w:firstLineChars="200"/>
        <w:rPr>
          <w:rFonts w:ascii="宋体" w:hAnsi="宋体" w:cs="宋体"/>
          <w:szCs w:val="21"/>
        </w:rPr>
      </w:pPr>
      <w:r>
        <w:rPr>
          <w:rFonts w:hint="eastAsia" w:ascii="宋体" w:hAnsi="宋体" w:cs="宋体"/>
          <w:szCs w:val="21"/>
        </w:rPr>
        <w:t>★冷却系统配置变频泵（总功率≥90kW），不少于3台，主要部件（变频器、水泵）配有备用系统，并配置柔性接、过滤、单向阀、截止阀、压力表、温度计等相关部件。</w:t>
      </w:r>
    </w:p>
    <w:p>
      <w:pPr>
        <w:numPr>
          <w:ilvl w:val="0"/>
          <w:numId w:val="9"/>
        </w:numPr>
        <w:spacing w:line="360" w:lineRule="auto"/>
        <w:ind w:left="0" w:firstLine="420" w:firstLineChars="200"/>
        <w:rPr>
          <w:rFonts w:ascii="宋体" w:hAnsi="宋体" w:cs="宋体"/>
          <w:szCs w:val="21"/>
        </w:rPr>
      </w:pPr>
      <w:r>
        <w:rPr>
          <w:rFonts w:hint="eastAsia" w:ascii="宋体" w:hAnsi="宋体" w:cs="宋体"/>
          <w:szCs w:val="21"/>
        </w:rPr>
        <w:t>阀门、阀件采用不锈钢或全铜材质。</w:t>
      </w:r>
    </w:p>
    <w:p>
      <w:pPr>
        <w:numPr>
          <w:ilvl w:val="0"/>
          <w:numId w:val="9"/>
        </w:numPr>
        <w:spacing w:line="360" w:lineRule="auto"/>
        <w:ind w:left="0" w:firstLine="420" w:firstLineChars="200"/>
        <w:rPr>
          <w:rFonts w:ascii="宋体" w:hAnsi="宋体" w:cs="宋体"/>
          <w:szCs w:val="21"/>
        </w:rPr>
      </w:pPr>
      <w:r>
        <w:rPr>
          <w:rFonts w:hint="eastAsia" w:ascii="宋体" w:hAnsi="宋体" w:cs="宋体"/>
          <w:szCs w:val="21"/>
        </w:rPr>
        <w:t>整套泵阀组模块，需配置水箱（≥4000L）、电控主箱；本单元需自带热镀锌底架，热镀锌材料涉及焊接必须二次热镀锌处理。</w:t>
      </w:r>
    </w:p>
    <w:p>
      <w:pPr>
        <w:numPr>
          <w:ilvl w:val="0"/>
          <w:numId w:val="9"/>
        </w:numPr>
        <w:spacing w:line="360" w:lineRule="auto"/>
        <w:ind w:left="0" w:firstLine="420" w:firstLineChars="200"/>
        <w:rPr>
          <w:rFonts w:ascii="宋体" w:hAnsi="宋体" w:cs="宋体"/>
          <w:szCs w:val="21"/>
        </w:rPr>
      </w:pPr>
      <w:r>
        <w:rPr>
          <w:rFonts w:hint="eastAsia" w:ascii="宋体" w:hAnsi="宋体" w:cs="宋体"/>
          <w:szCs w:val="21"/>
        </w:rPr>
        <w:t>泵阀组模块运至现场前需配置管线橡塑保温、铝板护套（或不锈钢护套），橡塑厚度30mm以上，护套厚度不小于0.5mm。</w:t>
      </w:r>
    </w:p>
    <w:p>
      <w:pPr>
        <w:numPr>
          <w:ilvl w:val="0"/>
          <w:numId w:val="9"/>
        </w:numPr>
        <w:spacing w:line="360" w:lineRule="auto"/>
        <w:ind w:left="0" w:firstLine="420" w:firstLineChars="200"/>
        <w:rPr>
          <w:rFonts w:ascii="宋体" w:hAnsi="宋体" w:cs="宋体"/>
          <w:szCs w:val="21"/>
        </w:rPr>
      </w:pPr>
      <w:r>
        <w:rPr>
          <w:rFonts w:hint="eastAsia" w:ascii="宋体" w:hAnsi="宋体" w:cs="宋体"/>
          <w:szCs w:val="21"/>
        </w:rPr>
        <w:t>所有室外水泵电机需配置SUS304材质防雨帽。</w:t>
      </w:r>
    </w:p>
    <w:p>
      <w:pPr>
        <w:spacing w:line="360" w:lineRule="auto"/>
        <w:ind w:firstLine="420" w:firstLineChars="200"/>
        <w:rPr>
          <w:rFonts w:ascii="宋体" w:hAnsi="宋体" w:cs="宋体"/>
          <w:szCs w:val="21"/>
        </w:rPr>
      </w:pPr>
    </w:p>
    <w:p>
      <w:pPr>
        <w:spacing w:line="360" w:lineRule="auto"/>
        <w:ind w:firstLine="422" w:firstLineChars="200"/>
        <w:rPr>
          <w:rFonts w:ascii="宋体" w:hAnsi="宋体" w:cs="宋体"/>
          <w:b/>
          <w:szCs w:val="21"/>
        </w:rPr>
      </w:pPr>
      <w:r>
        <w:rPr>
          <w:rFonts w:hint="eastAsia" w:ascii="宋体" w:hAnsi="宋体" w:cs="宋体"/>
          <w:b/>
          <w:szCs w:val="21"/>
        </w:rPr>
        <w:t>4.2.6 电控系统及必要功能</w:t>
      </w:r>
    </w:p>
    <w:p>
      <w:pPr>
        <w:numPr>
          <w:ilvl w:val="0"/>
          <w:numId w:val="10"/>
        </w:numPr>
        <w:spacing w:line="360" w:lineRule="auto"/>
        <w:ind w:left="0" w:firstLine="420" w:firstLineChars="200"/>
        <w:rPr>
          <w:rFonts w:ascii="宋体" w:hAnsi="宋体" w:cs="宋体"/>
          <w:szCs w:val="21"/>
        </w:rPr>
      </w:pPr>
      <w:r>
        <w:rPr>
          <w:rFonts w:hint="eastAsia" w:ascii="宋体" w:hAnsi="宋体" w:cs="宋体"/>
          <w:szCs w:val="21"/>
        </w:rPr>
        <w:t>主控箱安置在室内，材质必须为304以上不锈钢，室外防雨型设计。</w:t>
      </w:r>
    </w:p>
    <w:p>
      <w:pPr>
        <w:numPr>
          <w:ilvl w:val="0"/>
          <w:numId w:val="10"/>
        </w:numPr>
        <w:spacing w:line="360" w:lineRule="auto"/>
        <w:ind w:left="0" w:firstLine="420" w:firstLineChars="200"/>
        <w:rPr>
          <w:rFonts w:ascii="宋体" w:hAnsi="宋体" w:cs="宋体"/>
          <w:szCs w:val="21"/>
        </w:rPr>
      </w:pPr>
      <w:r>
        <w:rPr>
          <w:rFonts w:hint="eastAsia" w:ascii="宋体" w:hAnsi="宋体" w:cs="宋体"/>
          <w:szCs w:val="21"/>
        </w:rPr>
        <w:t>远控装置安置在150m以内试验控制室内部，界面为不小于7寸触摸屏，实现远程操控及485通讯。</w:t>
      </w:r>
    </w:p>
    <w:p>
      <w:pPr>
        <w:numPr>
          <w:ilvl w:val="0"/>
          <w:numId w:val="10"/>
        </w:numPr>
        <w:spacing w:line="360" w:lineRule="auto"/>
        <w:ind w:left="0" w:firstLine="420" w:firstLineChars="200"/>
        <w:rPr>
          <w:rFonts w:ascii="宋体" w:hAnsi="宋体" w:cs="宋体"/>
          <w:szCs w:val="21"/>
        </w:rPr>
      </w:pPr>
      <w:r>
        <w:rPr>
          <w:rFonts w:hint="eastAsia" w:ascii="宋体" w:hAnsi="宋体" w:cs="宋体"/>
          <w:szCs w:val="21"/>
        </w:rPr>
        <w:t>触摸屏记录及显示界面内容不少于：风机运行数量及对应编号、喷淋及主供泵运行数量及对应编号、供水温度、回水温度、喷淋水温、环境温度、供水压力，运行参数记录及历史故障信息存储周期不小于1年</w:t>
      </w:r>
    </w:p>
    <w:p>
      <w:pPr>
        <w:numPr>
          <w:ilvl w:val="0"/>
          <w:numId w:val="10"/>
        </w:numPr>
        <w:spacing w:line="360" w:lineRule="auto"/>
        <w:ind w:left="0" w:firstLine="420" w:firstLineChars="200"/>
        <w:rPr>
          <w:rFonts w:ascii="宋体" w:hAnsi="宋体" w:cs="宋体"/>
          <w:szCs w:val="21"/>
        </w:rPr>
      </w:pPr>
      <w:r>
        <w:rPr>
          <w:rFonts w:hint="eastAsia" w:ascii="宋体" w:hAnsi="宋体" w:cs="宋体"/>
          <w:szCs w:val="21"/>
        </w:rPr>
        <w:t>所有室外配线必须采用304不锈钢包塑软管护套。配接必须O型冷压端子（特殊场合可采用U型冷压端子）压严、压实。</w:t>
      </w:r>
    </w:p>
    <w:p>
      <w:pPr>
        <w:numPr>
          <w:ilvl w:val="0"/>
          <w:numId w:val="10"/>
        </w:numPr>
        <w:spacing w:line="360" w:lineRule="auto"/>
        <w:ind w:left="0" w:firstLine="420" w:firstLineChars="200"/>
        <w:rPr>
          <w:rFonts w:ascii="宋体" w:hAnsi="宋体" w:cs="宋体"/>
          <w:szCs w:val="21"/>
        </w:rPr>
      </w:pPr>
      <w:r>
        <w:rPr>
          <w:rFonts w:hint="eastAsia" w:ascii="宋体" w:hAnsi="宋体" w:cs="宋体"/>
          <w:szCs w:val="21"/>
        </w:rPr>
        <w:t>弱电、通讯线缆必须采用RVVSP屏蔽双绞线缆，避免试验场所内大功率设备运行对系统的干扰。</w:t>
      </w:r>
    </w:p>
    <w:p>
      <w:pPr>
        <w:numPr>
          <w:ilvl w:val="0"/>
          <w:numId w:val="10"/>
        </w:numPr>
        <w:spacing w:line="360" w:lineRule="auto"/>
        <w:ind w:left="0" w:firstLine="420" w:firstLineChars="200"/>
        <w:rPr>
          <w:rFonts w:ascii="宋体" w:hAnsi="宋体" w:cs="宋体"/>
          <w:szCs w:val="21"/>
        </w:rPr>
      </w:pPr>
      <w:r>
        <w:rPr>
          <w:rFonts w:hint="eastAsia" w:ascii="宋体" w:hAnsi="宋体" w:cs="宋体"/>
          <w:szCs w:val="21"/>
        </w:rPr>
        <w:t>各电机（包括风机喷淋泵、水泵等）必须可独立控制运行、停止。并实现运行自动切换及故障自动切换。</w:t>
      </w:r>
    </w:p>
    <w:p>
      <w:pPr>
        <w:numPr>
          <w:ilvl w:val="0"/>
          <w:numId w:val="10"/>
        </w:numPr>
        <w:spacing w:line="360" w:lineRule="auto"/>
        <w:ind w:left="0" w:firstLine="420" w:firstLineChars="200"/>
        <w:rPr>
          <w:rFonts w:ascii="宋体" w:hAnsi="宋体" w:cs="宋体"/>
          <w:szCs w:val="21"/>
        </w:rPr>
      </w:pPr>
      <w:r>
        <w:rPr>
          <w:rFonts w:hint="eastAsia" w:ascii="宋体" w:hAnsi="宋体" w:cs="宋体"/>
          <w:szCs w:val="21"/>
        </w:rPr>
        <w:t>各水泵逻辑分级控制，有避免电网冲击。</w:t>
      </w:r>
    </w:p>
    <w:p>
      <w:pPr>
        <w:numPr>
          <w:ilvl w:val="0"/>
          <w:numId w:val="10"/>
        </w:numPr>
        <w:spacing w:line="360" w:lineRule="auto"/>
        <w:ind w:left="0" w:firstLine="420" w:firstLineChars="200"/>
        <w:rPr>
          <w:rFonts w:ascii="宋体" w:hAnsi="宋体" w:cs="宋体"/>
          <w:szCs w:val="21"/>
        </w:rPr>
      </w:pPr>
      <w:r>
        <w:rPr>
          <w:rFonts w:hint="eastAsia" w:ascii="宋体" w:hAnsi="宋体" w:cs="宋体"/>
          <w:szCs w:val="21"/>
        </w:rPr>
        <w:t>为避免测试过程因供水泵组故障而中断，泵组必须主备配置，且必须实现自动切换，（即其中一组工作故障时，另外一组泵自动上载切换。同时输出远程报警信号）。</w:t>
      </w:r>
    </w:p>
    <w:p>
      <w:pPr>
        <w:numPr>
          <w:ilvl w:val="0"/>
          <w:numId w:val="10"/>
        </w:numPr>
        <w:spacing w:line="360" w:lineRule="auto"/>
        <w:ind w:left="0" w:firstLine="420" w:firstLineChars="200"/>
        <w:rPr>
          <w:rFonts w:ascii="宋体" w:hAnsi="宋体" w:cs="宋体"/>
          <w:szCs w:val="21"/>
        </w:rPr>
      </w:pPr>
      <w:r>
        <w:rPr>
          <w:rFonts w:hint="eastAsia" w:ascii="宋体" w:hAnsi="宋体" w:cs="宋体"/>
          <w:szCs w:val="21"/>
        </w:rPr>
        <w:t>系统必须配置性能可靠稳定的变频模块，实现系统按需供给，最大化节约能源。</w:t>
      </w:r>
    </w:p>
    <w:p>
      <w:pPr>
        <w:numPr>
          <w:ilvl w:val="0"/>
          <w:numId w:val="10"/>
        </w:numPr>
        <w:spacing w:line="360" w:lineRule="auto"/>
        <w:ind w:left="0" w:firstLine="420" w:firstLineChars="200"/>
        <w:rPr>
          <w:rFonts w:ascii="宋体" w:hAnsi="宋体" w:cs="宋体"/>
          <w:szCs w:val="21"/>
        </w:rPr>
      </w:pPr>
      <w:r>
        <w:rPr>
          <w:rFonts w:hint="eastAsia" w:ascii="宋体" w:hAnsi="宋体" w:cs="宋体"/>
          <w:szCs w:val="21"/>
        </w:rPr>
        <w:t>自动控制要求：</w:t>
      </w:r>
    </w:p>
    <w:p>
      <w:pPr>
        <w:numPr>
          <w:ilvl w:val="1"/>
          <w:numId w:val="10"/>
        </w:numPr>
        <w:spacing w:line="360" w:lineRule="auto"/>
        <w:ind w:left="0" w:firstLine="420" w:firstLineChars="200"/>
        <w:rPr>
          <w:rFonts w:ascii="宋体" w:hAnsi="宋体" w:cs="宋体"/>
          <w:szCs w:val="21"/>
        </w:rPr>
      </w:pPr>
      <w:r>
        <w:rPr>
          <w:rFonts w:hint="eastAsia" w:ascii="宋体" w:hAnsi="宋体" w:cs="宋体"/>
          <w:szCs w:val="21"/>
        </w:rPr>
        <w:t>冷却风机、喷淋泵根据温度自动启停：根据出水温度，控制喷淋水及风机系统的启停，当温度低于22℃时喷淋及风机停机，当温度高于24℃时启动喷淋和部分风机，高于26℃时启动所有风机，反之反向操作；</w:t>
      </w:r>
    </w:p>
    <w:p>
      <w:pPr>
        <w:numPr>
          <w:ilvl w:val="1"/>
          <w:numId w:val="10"/>
        </w:numPr>
        <w:spacing w:line="360" w:lineRule="auto"/>
        <w:ind w:left="0" w:firstLine="420" w:firstLineChars="200"/>
        <w:rPr>
          <w:rFonts w:ascii="宋体" w:hAnsi="宋体" w:cs="宋体"/>
          <w:szCs w:val="21"/>
        </w:rPr>
      </w:pPr>
      <w:r>
        <w:rPr>
          <w:rFonts w:hint="eastAsia" w:ascii="宋体" w:hAnsi="宋体" w:cs="宋体"/>
          <w:szCs w:val="21"/>
        </w:rPr>
        <w:t>配置管道加热装置，监控出水口温度，当温度低于5℃时启动加热，当温度高于5℃时停止加热，当系统温度低于1℃时与水泵联动无法启动系统，确保系统安全；</w:t>
      </w:r>
    </w:p>
    <w:p>
      <w:pPr>
        <w:numPr>
          <w:ilvl w:val="1"/>
          <w:numId w:val="10"/>
        </w:numPr>
        <w:spacing w:line="360" w:lineRule="auto"/>
        <w:ind w:left="0" w:firstLine="420" w:firstLineChars="200"/>
        <w:rPr>
          <w:rFonts w:ascii="宋体" w:hAnsi="宋体" w:cs="宋体"/>
          <w:szCs w:val="21"/>
        </w:rPr>
      </w:pPr>
      <w:r>
        <w:rPr>
          <w:rFonts w:hint="eastAsia" w:ascii="宋体" w:hAnsi="宋体" w:cs="宋体"/>
          <w:szCs w:val="21"/>
        </w:rPr>
        <w:t>根据现场实际工况和操作便利性配置控制柜，动力线缆与控制线缆由中标人负责；</w:t>
      </w:r>
    </w:p>
    <w:p>
      <w:pPr>
        <w:numPr>
          <w:ilvl w:val="1"/>
          <w:numId w:val="10"/>
        </w:numPr>
        <w:spacing w:line="360" w:lineRule="auto"/>
        <w:ind w:left="0" w:firstLine="420" w:firstLineChars="200"/>
        <w:rPr>
          <w:rFonts w:ascii="宋体" w:hAnsi="宋体" w:cs="宋体"/>
          <w:szCs w:val="21"/>
        </w:rPr>
      </w:pPr>
      <w:r>
        <w:rPr>
          <w:rFonts w:hint="eastAsia" w:ascii="宋体" w:hAnsi="宋体" w:cs="宋体"/>
          <w:szCs w:val="21"/>
        </w:rPr>
        <w:t>控制系统应采用PLC集中控制，可实时在线监控控制；</w:t>
      </w:r>
    </w:p>
    <w:p>
      <w:pPr>
        <w:numPr>
          <w:ilvl w:val="1"/>
          <w:numId w:val="10"/>
        </w:numPr>
        <w:spacing w:line="360" w:lineRule="auto"/>
        <w:ind w:left="0" w:firstLine="420" w:firstLineChars="200"/>
        <w:rPr>
          <w:rFonts w:ascii="宋体" w:hAnsi="宋体" w:cs="宋体"/>
          <w:szCs w:val="21"/>
        </w:rPr>
      </w:pPr>
      <w:r>
        <w:rPr>
          <w:rFonts w:hint="eastAsia" w:ascii="宋体" w:hAnsi="宋体" w:cs="宋体"/>
          <w:szCs w:val="21"/>
        </w:rPr>
        <w:t>兼容自动恒压供水系统，可手动选择保养，进行停机切换，设备进出水口应具备自动阀门（自动阀门可手动开闭，用于保养维修时与主水管管路断开）；</w:t>
      </w:r>
    </w:p>
    <w:p>
      <w:pPr>
        <w:numPr>
          <w:ilvl w:val="1"/>
          <w:numId w:val="10"/>
        </w:numPr>
        <w:spacing w:line="360" w:lineRule="auto"/>
        <w:ind w:left="0" w:firstLine="420" w:firstLineChars="200"/>
        <w:rPr>
          <w:rFonts w:ascii="宋体" w:hAnsi="宋体" w:cs="宋体"/>
          <w:szCs w:val="21"/>
        </w:rPr>
      </w:pPr>
      <w:r>
        <w:rPr>
          <w:rFonts w:hint="eastAsia" w:ascii="宋体" w:hAnsi="宋体" w:cs="宋体"/>
          <w:szCs w:val="21"/>
        </w:rPr>
        <w:t>设备配置独立电能表，用于监控设备用电功耗；</w:t>
      </w:r>
    </w:p>
    <w:p>
      <w:pPr>
        <w:numPr>
          <w:ilvl w:val="1"/>
          <w:numId w:val="10"/>
        </w:numPr>
        <w:spacing w:line="360" w:lineRule="auto"/>
        <w:ind w:left="0" w:firstLine="420" w:firstLineChars="200"/>
        <w:rPr>
          <w:rFonts w:ascii="宋体" w:hAnsi="宋体" w:cs="宋体"/>
          <w:szCs w:val="21"/>
        </w:rPr>
      </w:pPr>
      <w:r>
        <w:rPr>
          <w:rFonts w:hint="eastAsia" w:ascii="宋体" w:hAnsi="宋体" w:cs="宋体"/>
          <w:szCs w:val="21"/>
        </w:rPr>
        <w:t>设备配置数字压力检测系统，用于监控系统内的压力压降。</w:t>
      </w:r>
    </w:p>
    <w:p>
      <w:pPr>
        <w:spacing w:line="360" w:lineRule="auto"/>
        <w:ind w:firstLine="420" w:firstLineChars="200"/>
        <w:rPr>
          <w:rFonts w:ascii="宋体" w:hAnsi="宋体" w:cs="宋体"/>
          <w:szCs w:val="21"/>
        </w:rPr>
      </w:pPr>
    </w:p>
    <w:p>
      <w:pPr>
        <w:spacing w:line="360" w:lineRule="auto"/>
        <w:ind w:firstLine="422" w:firstLineChars="200"/>
        <w:rPr>
          <w:rFonts w:ascii="宋体" w:hAnsi="宋体" w:cs="宋体"/>
          <w:b/>
          <w:szCs w:val="21"/>
        </w:rPr>
      </w:pPr>
      <w:r>
        <w:rPr>
          <w:rFonts w:hint="eastAsia" w:ascii="宋体" w:hAnsi="宋体" w:cs="宋体"/>
          <w:b/>
          <w:szCs w:val="21"/>
        </w:rPr>
        <w:t>4.2.7环境与安全保护装置</w:t>
      </w:r>
    </w:p>
    <w:p>
      <w:pPr>
        <w:numPr>
          <w:ilvl w:val="0"/>
          <w:numId w:val="11"/>
        </w:numPr>
        <w:spacing w:line="360" w:lineRule="auto"/>
        <w:ind w:left="0" w:firstLine="420" w:firstLineChars="200"/>
        <w:rPr>
          <w:rFonts w:ascii="宋体" w:hAnsi="宋体" w:cs="宋体"/>
          <w:szCs w:val="21"/>
        </w:rPr>
      </w:pPr>
      <w:r>
        <w:rPr>
          <w:rFonts w:hint="eastAsia" w:ascii="宋体" w:hAnsi="宋体" w:cs="宋体"/>
          <w:szCs w:val="21"/>
        </w:rPr>
        <w:t>电源保护：系统必须设置缺相、逆相、低电压等电源类保护装置。并提供操控界面以明确信息。</w:t>
      </w:r>
    </w:p>
    <w:p>
      <w:pPr>
        <w:numPr>
          <w:ilvl w:val="0"/>
          <w:numId w:val="11"/>
        </w:numPr>
        <w:spacing w:line="360" w:lineRule="auto"/>
        <w:ind w:left="0" w:firstLine="420" w:firstLineChars="200"/>
        <w:rPr>
          <w:rFonts w:ascii="宋体" w:hAnsi="宋体" w:cs="宋体"/>
          <w:szCs w:val="21"/>
        </w:rPr>
      </w:pPr>
      <w:r>
        <w:rPr>
          <w:rFonts w:hint="eastAsia" w:ascii="宋体" w:hAnsi="宋体" w:cs="宋体"/>
          <w:szCs w:val="21"/>
        </w:rPr>
        <w:t>断水及低液位保护：当内循环及喷淋系统缺水到某设定值时，系统提供操控界面断水、缺水报警信号。</w:t>
      </w:r>
    </w:p>
    <w:p>
      <w:pPr>
        <w:numPr>
          <w:ilvl w:val="0"/>
          <w:numId w:val="11"/>
        </w:numPr>
        <w:spacing w:line="360" w:lineRule="auto"/>
        <w:ind w:left="0" w:firstLine="420" w:firstLineChars="200"/>
        <w:rPr>
          <w:rFonts w:ascii="宋体" w:hAnsi="宋体" w:cs="宋体"/>
          <w:szCs w:val="21"/>
        </w:rPr>
      </w:pPr>
      <w:r>
        <w:rPr>
          <w:rFonts w:hint="eastAsia" w:ascii="宋体" w:hAnsi="宋体" w:cs="宋体"/>
          <w:szCs w:val="21"/>
        </w:rPr>
        <w:t>过载保护：当电机机械故障或超负荷运行时，系统输出过载报警信号。</w:t>
      </w:r>
    </w:p>
    <w:p>
      <w:pPr>
        <w:numPr>
          <w:ilvl w:val="0"/>
          <w:numId w:val="11"/>
        </w:numPr>
        <w:spacing w:line="360" w:lineRule="auto"/>
        <w:ind w:left="0" w:firstLine="420" w:firstLineChars="200"/>
        <w:rPr>
          <w:rFonts w:ascii="宋体" w:hAnsi="宋体" w:cs="宋体"/>
          <w:szCs w:val="21"/>
        </w:rPr>
      </w:pPr>
      <w:r>
        <w:rPr>
          <w:rFonts w:hint="eastAsia" w:ascii="宋体" w:hAnsi="宋体" w:cs="宋体"/>
          <w:szCs w:val="21"/>
        </w:rPr>
        <w:t>水压超高、超低保护：系统出水压力高于或低于某压力值时，系统提示水压报警。</w:t>
      </w:r>
    </w:p>
    <w:p>
      <w:pPr>
        <w:numPr>
          <w:ilvl w:val="0"/>
          <w:numId w:val="11"/>
        </w:numPr>
        <w:spacing w:line="360" w:lineRule="auto"/>
        <w:ind w:left="0" w:firstLine="420" w:firstLineChars="200"/>
        <w:rPr>
          <w:rFonts w:ascii="宋体" w:hAnsi="宋体" w:cs="宋体"/>
          <w:szCs w:val="21"/>
        </w:rPr>
      </w:pPr>
      <w:r>
        <w:rPr>
          <w:rFonts w:hint="eastAsia" w:ascii="宋体" w:hAnsi="宋体" w:cs="宋体"/>
          <w:szCs w:val="21"/>
        </w:rPr>
        <w:t>水温超高、超低保护：系统出水温度高于或低于某温度值时，系统提示水温报警。</w:t>
      </w:r>
    </w:p>
    <w:p>
      <w:pPr>
        <w:numPr>
          <w:ilvl w:val="0"/>
          <w:numId w:val="11"/>
        </w:numPr>
        <w:spacing w:line="360" w:lineRule="auto"/>
        <w:ind w:left="0" w:firstLine="420" w:firstLineChars="200"/>
        <w:rPr>
          <w:rFonts w:ascii="宋体" w:hAnsi="宋体" w:cs="宋体"/>
          <w:szCs w:val="21"/>
        </w:rPr>
      </w:pPr>
      <w:r>
        <w:rPr>
          <w:rFonts w:hint="eastAsia" w:ascii="宋体" w:hAnsi="宋体" w:cs="宋体"/>
          <w:szCs w:val="21"/>
        </w:rPr>
        <w:t>循环水质报警：水质仪表监测到超过系统设定上限某一周期时，系统输出水质报警。</w:t>
      </w:r>
    </w:p>
    <w:p>
      <w:pPr>
        <w:numPr>
          <w:ilvl w:val="0"/>
          <w:numId w:val="11"/>
        </w:numPr>
        <w:spacing w:line="360" w:lineRule="auto"/>
        <w:ind w:left="0" w:firstLine="420" w:firstLineChars="200"/>
        <w:rPr>
          <w:rFonts w:ascii="宋体" w:hAnsi="宋体" w:cs="宋体"/>
          <w:szCs w:val="21"/>
        </w:rPr>
      </w:pPr>
      <w:r>
        <w:rPr>
          <w:rFonts w:hint="eastAsia" w:ascii="宋体" w:hAnsi="宋体" w:cs="宋体"/>
          <w:szCs w:val="21"/>
        </w:rPr>
        <w:t>操作安全保护：系统具备本地、远程控制功能，室内远控必须为24V以下安全电压操作。</w:t>
      </w:r>
    </w:p>
    <w:p>
      <w:pPr>
        <w:spacing w:line="360" w:lineRule="auto"/>
        <w:ind w:firstLine="420" w:firstLineChars="200"/>
        <w:rPr>
          <w:rFonts w:ascii="宋体" w:hAnsi="宋体" w:cs="宋体"/>
          <w:szCs w:val="21"/>
        </w:rPr>
      </w:pPr>
    </w:p>
    <w:p>
      <w:pPr>
        <w:spacing w:line="360" w:lineRule="auto"/>
        <w:ind w:firstLine="422" w:firstLineChars="200"/>
        <w:rPr>
          <w:rFonts w:ascii="宋体" w:hAnsi="宋体" w:cs="宋体"/>
          <w:szCs w:val="21"/>
        </w:rPr>
      </w:pPr>
      <w:r>
        <w:rPr>
          <w:rFonts w:hint="eastAsia" w:ascii="宋体" w:hAnsi="宋体" w:cs="宋体"/>
          <w:b/>
          <w:bCs/>
          <w:szCs w:val="21"/>
        </w:rPr>
        <w:t>4.2.8 连接管及阀要求</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室内外主管道，横平竖直，支架间距符合相关规范要求，具体布局现场勘查，并提供详细管路布置图。</w:t>
      </w:r>
    </w:p>
    <w:p>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所有管道为热镀锌材质，室外管道必须铝板护套，具体布局现场勘查，满足涉及设备用水（壁厚≥3.5mm）要求；并预留与后续水塔管路连通的接口。</w:t>
      </w:r>
    </w:p>
    <w:p>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管路与设备接口必须使用软连接，以防设备共振的破坏。</w:t>
      </w:r>
    </w:p>
    <w:p>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 xml:space="preserve">设备进出口必须设置阀门、过滤器、温度计、压力表、避震软接头。为避免水质污染，阀门阀件采用304不锈钢或黄铜材质（铜体、铜杆、铜芯）。 </w:t>
      </w:r>
    </w:p>
    <w:p>
      <w:pPr>
        <w:spacing w:line="360" w:lineRule="auto"/>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系统为闭式循环，运行状态下，必须确保循环水与空气不相接触和系统安全。</w:t>
      </w:r>
    </w:p>
    <w:p>
      <w:pPr>
        <w:spacing w:line="360" w:lineRule="auto"/>
        <w:ind w:firstLine="420" w:firstLineChars="200"/>
        <w:rPr>
          <w:rFonts w:ascii="宋体" w:hAnsi="宋体" w:cs="宋体"/>
          <w:szCs w:val="21"/>
        </w:rPr>
      </w:pPr>
      <w:r>
        <w:rPr>
          <w:rFonts w:hint="eastAsia" w:ascii="宋体" w:hAnsi="宋体" w:cs="宋体"/>
          <w:szCs w:val="21"/>
        </w:rPr>
        <w:t>6） 整个管道系统，应配置必要的排空管道和阀。</w:t>
      </w:r>
    </w:p>
    <w:p>
      <w:pPr>
        <w:spacing w:line="360" w:lineRule="auto"/>
        <w:ind w:firstLine="422" w:firstLineChars="200"/>
        <w:rPr>
          <w:rFonts w:ascii="宋体" w:hAnsi="宋体" w:cs="宋体"/>
          <w:b/>
          <w:szCs w:val="21"/>
        </w:rPr>
      </w:pPr>
    </w:p>
    <w:p>
      <w:pPr>
        <w:spacing w:line="360" w:lineRule="auto"/>
        <w:ind w:firstLine="422" w:firstLineChars="200"/>
        <w:rPr>
          <w:rFonts w:ascii="宋体" w:hAnsi="宋体" w:cs="宋体"/>
          <w:b/>
          <w:szCs w:val="21"/>
        </w:rPr>
      </w:pPr>
      <w:r>
        <w:rPr>
          <w:rFonts w:hint="eastAsia" w:ascii="宋体" w:hAnsi="宋体" w:cs="宋体"/>
          <w:b/>
          <w:szCs w:val="21"/>
        </w:rPr>
        <w:t>4.2.9 其它要求</w:t>
      </w:r>
    </w:p>
    <w:p>
      <w:pPr>
        <w:numPr>
          <w:ilvl w:val="0"/>
          <w:numId w:val="0"/>
        </w:numPr>
        <w:spacing w:line="360" w:lineRule="auto"/>
        <w:ind w:leftChars="0" w:firstLine="420" w:firstLineChars="200"/>
        <w:rPr>
          <w:rFonts w:ascii="宋体" w:hAnsi="宋体" w:cs="宋体"/>
          <w:szCs w:val="21"/>
        </w:rPr>
      </w:pPr>
      <w:r>
        <w:rPr>
          <w:rFonts w:hint="eastAsia" w:ascii="宋体" w:hAnsi="宋体" w:cs="宋体"/>
          <w:szCs w:val="21"/>
          <w:lang w:val="en-US" w:eastAsia="zh-CN"/>
        </w:rPr>
        <w:t xml:space="preserve">1） </w:t>
      </w:r>
      <w:r>
        <w:rPr>
          <w:rFonts w:hint="eastAsia" w:ascii="宋体" w:hAnsi="宋体" w:cs="宋体"/>
          <w:szCs w:val="21"/>
        </w:rPr>
        <w:t>★设备放置场地要求：冷却塔全套250m³两套，占地≤8000*9400mm，含水箱及循环水泵组，满足现场使用要求。详细见下图：</w:t>
      </w:r>
    </w:p>
    <w:p>
      <w:pPr>
        <w:pStyle w:val="2"/>
        <w:rPr>
          <w:rFonts w:hint="eastAsia" w:ascii="宋体" w:hAnsi="宋体" w:cs="宋体"/>
          <w:szCs w:val="21"/>
          <w:rPrChange w:id="0" w:author="user" w:date="2024-04-07T19:47:00Z">
            <w:rPr>
              <w:rFonts w:ascii="宋体" w:hAnsi="宋体" w:cs="宋体"/>
              <w:szCs w:val="21"/>
            </w:rPr>
          </w:rPrChange>
        </w:rPr>
      </w:pPr>
      <w:r>
        <w:rPr>
          <w14:ligatures w14:val="standardContextual"/>
        </w:rPr>
        <w:drawing>
          <wp:anchor distT="0" distB="0" distL="114300" distR="114300" simplePos="0" relativeHeight="251659264" behindDoc="0" locked="0" layoutInCell="1" allowOverlap="1">
            <wp:simplePos x="0" y="0"/>
            <wp:positionH relativeFrom="column">
              <wp:posOffset>1093470</wp:posOffset>
            </wp:positionH>
            <wp:positionV relativeFrom="paragraph">
              <wp:posOffset>438150</wp:posOffset>
            </wp:positionV>
            <wp:extent cx="4646295" cy="5016500"/>
            <wp:effectExtent l="0" t="0" r="1905" b="0"/>
            <wp:wrapTopAndBottom/>
            <wp:docPr id="17340167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016730" name="图片 1"/>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646428" cy="5016196"/>
                    </a:xfrm>
                    <a:prstGeom prst="rect">
                      <a:avLst/>
                    </a:prstGeom>
                  </pic:spPr>
                </pic:pic>
              </a:graphicData>
            </a:graphic>
          </wp:anchor>
        </w:drawing>
      </w:r>
    </w:p>
    <w:p>
      <w:pPr>
        <w:numPr>
          <w:ilvl w:val="0"/>
          <w:numId w:val="12"/>
        </w:numPr>
        <w:spacing w:line="360" w:lineRule="auto"/>
        <w:ind w:leftChars="200"/>
        <w:rPr>
          <w:rFonts w:ascii="宋体" w:hAnsi="宋体" w:cs="宋体"/>
          <w:szCs w:val="21"/>
        </w:rPr>
      </w:pPr>
      <w:r>
        <w:rPr>
          <w:rFonts w:hint="eastAsia" w:ascii="宋体" w:hAnsi="宋体" w:cs="宋体"/>
          <w:szCs w:val="21"/>
        </w:rPr>
        <w:t xml:space="preserve">投标方必须提供图纸（包括基础、塔体、泵阀组、连接管线），应提供与现场相匹配的场地布置图以及管道走向分布图，以便直观详尽表述系统方案及系统相关配置情况。 </w:t>
      </w:r>
    </w:p>
    <w:p>
      <w:pPr>
        <w:numPr>
          <w:ilvl w:val="0"/>
          <w:numId w:val="12"/>
        </w:numPr>
        <w:spacing w:line="360" w:lineRule="auto"/>
        <w:ind w:left="420" w:leftChars="200" w:firstLine="0" w:firstLineChars="0"/>
        <w:rPr>
          <w:rFonts w:ascii="宋体" w:hAnsi="宋体" w:cs="宋体"/>
          <w:szCs w:val="21"/>
        </w:rPr>
      </w:pPr>
      <w:r>
        <w:rPr>
          <w:rFonts w:hint="eastAsia" w:ascii="宋体" w:hAnsi="宋体" w:cs="宋体"/>
          <w:szCs w:val="21"/>
        </w:rPr>
        <w:t>所有设备均应正确设计和制造，在提供的工况下能满足安全和持续运行的要求。所有设备零部件应采用先进、可靠的加工制造技术。招标方不接受带有试制性质的部件。易于磨损、腐蚀、老化或需要调整、检查和更换的零部件应能方便地拆卸、更换和修理。</w:t>
      </w:r>
    </w:p>
    <w:p>
      <w:pPr>
        <w:numPr>
          <w:ilvl w:val="0"/>
          <w:numId w:val="12"/>
        </w:numPr>
        <w:spacing w:line="360" w:lineRule="auto"/>
        <w:ind w:left="420" w:leftChars="200" w:firstLine="0" w:firstLineChars="0"/>
        <w:rPr>
          <w:rFonts w:ascii="宋体" w:hAnsi="宋体" w:cs="宋体"/>
          <w:szCs w:val="21"/>
        </w:rPr>
      </w:pPr>
      <w:r>
        <w:rPr>
          <w:rFonts w:hint="eastAsia" w:ascii="宋体" w:hAnsi="宋体" w:cs="宋体"/>
          <w:szCs w:val="21"/>
        </w:rPr>
        <w:t>投标方应考虑供电、启动及运行情况，选用合理可靠的调整方式，满足工况变化要求。该系统应在以下动能供应条件下正常工作，电源电压： 380V、 50Hz或220V、 50Hz。</w:t>
      </w:r>
    </w:p>
    <w:p>
      <w:pPr>
        <w:numPr>
          <w:ilvl w:val="0"/>
          <w:numId w:val="12"/>
        </w:numPr>
        <w:spacing w:line="360" w:lineRule="auto"/>
        <w:ind w:left="420" w:leftChars="200" w:firstLine="0" w:firstLineChars="0"/>
        <w:rPr>
          <w:rFonts w:ascii="宋体" w:hAnsi="宋体" w:cs="宋体"/>
          <w:szCs w:val="21"/>
        </w:rPr>
      </w:pPr>
      <w:r>
        <w:rPr>
          <w:rFonts w:hint="eastAsia" w:ascii="宋体" w:hAnsi="宋体" w:cs="宋体"/>
          <w:szCs w:val="21"/>
        </w:rPr>
        <w:t>招标方水源地至设备的供水管路施工由投标方施工。</w:t>
      </w:r>
    </w:p>
    <w:p>
      <w:pPr>
        <w:numPr>
          <w:ilvl w:val="0"/>
          <w:numId w:val="12"/>
        </w:numPr>
        <w:spacing w:line="360" w:lineRule="auto"/>
        <w:ind w:left="420" w:leftChars="200" w:firstLine="0" w:firstLineChars="0"/>
        <w:rPr>
          <w:rFonts w:ascii="宋体" w:hAnsi="宋体" w:cs="宋体"/>
          <w:szCs w:val="21"/>
        </w:rPr>
      </w:pPr>
      <w:r>
        <w:rPr>
          <w:rFonts w:hint="eastAsia" w:ascii="宋体" w:hAnsi="宋体" w:cs="宋体"/>
          <w:szCs w:val="21"/>
        </w:rPr>
        <w:t>招标方配电间至设备的供电线路施工由投标方施工。</w:t>
      </w:r>
    </w:p>
    <w:p>
      <w:pPr>
        <w:ind w:left="420" w:leftChars="200"/>
      </w:pPr>
      <w:r>
        <w:br w:type="textWrapping"/>
      </w:r>
      <w:r>
        <w:rPr>
          <w:rFonts w:hint="eastAsia" w:ascii="宋体" w:hAnsi="宋体" w:cs="宋体"/>
          <w:b/>
          <w:szCs w:val="21"/>
        </w:rPr>
        <w:t>五、质保期：</w:t>
      </w:r>
      <w:r>
        <w:rPr>
          <w:rFonts w:hint="eastAsia" w:ascii="宋体" w:hAnsi="宋体" w:cs="宋体"/>
          <w:szCs w:val="21"/>
        </w:rPr>
        <w:t>闭式冷却水塔及配套管道质保期1年。</w:t>
      </w:r>
    </w:p>
    <w:p/>
    <w:p>
      <w:pPr>
        <w:spacing w:line="360" w:lineRule="auto"/>
      </w:pPr>
      <w:r>
        <w:rPr>
          <w:rFonts w:hint="eastAsia"/>
        </w:rPr>
        <w:t xml:space="preserve">   </w:t>
      </w:r>
      <w:r>
        <w:rPr>
          <w:rFonts w:hint="eastAsia"/>
          <w:b/>
          <w:bCs/>
        </w:rPr>
        <w:t xml:space="preserve"> 六、付款方式：</w:t>
      </w:r>
      <w:r>
        <w:rPr>
          <w:rFonts w:hint="eastAsia"/>
        </w:rPr>
        <w:t>在采购合同签订生效后，采购人自合同生效之日起十个工作日内支付30%合同金额；经采购人验收合格，供应商向采购人提供全部合同金额发票（含13%增值税）后60日历天内付剩余70%合同金额，如供应商未能按时提供符合规定的发票，采购人可延长相应付款期限，直至供应商提供符合规定的发票。</w:t>
      </w:r>
    </w:p>
    <w:p>
      <w:pPr>
        <w:rPr>
          <w:rFonts w:ascii="宋体" w:hAnsi="宋体" w:cs="宋体"/>
          <w:szCs w:val="21"/>
        </w:rPr>
      </w:pPr>
      <w:bookmarkStart w:id="370" w:name="_Toc11085"/>
      <w:bookmarkStart w:id="371" w:name="_Toc10810"/>
      <w:bookmarkStart w:id="372" w:name="_Toc2516"/>
    </w:p>
    <w:p>
      <w:pPr>
        <w:jc w:val="left"/>
        <w:rPr>
          <w:rFonts w:ascii="黑体" w:eastAsia="黑体"/>
          <w:b/>
          <w:sz w:val="28"/>
          <w:szCs w:val="28"/>
        </w:rPr>
      </w:pPr>
      <w:r>
        <w:rPr>
          <w:rFonts w:hint="eastAsia" w:ascii="黑体" w:eastAsia="黑体"/>
          <w:b/>
          <w:sz w:val="28"/>
          <w:szCs w:val="28"/>
        </w:rPr>
        <w:br w:type="page"/>
      </w:r>
    </w:p>
    <w:p>
      <w:pPr>
        <w:spacing w:line="440" w:lineRule="exact"/>
        <w:jc w:val="center"/>
        <w:outlineLvl w:val="0"/>
        <w:rPr>
          <w:rFonts w:ascii="黑体" w:eastAsia="黑体"/>
          <w:b/>
          <w:sz w:val="28"/>
          <w:szCs w:val="28"/>
        </w:rPr>
      </w:pPr>
      <w:bookmarkStart w:id="373" w:name="_Toc15210"/>
      <w:r>
        <w:rPr>
          <w:rFonts w:hint="eastAsia" w:ascii="黑体" w:eastAsia="黑体"/>
          <w:b/>
          <w:sz w:val="28"/>
          <w:szCs w:val="28"/>
        </w:rPr>
        <w:t>第五章 合同条款的主要内容</w:t>
      </w:r>
      <w:bookmarkEnd w:id="370"/>
      <w:bookmarkEnd w:id="371"/>
      <w:bookmarkEnd w:id="372"/>
      <w:bookmarkEnd w:id="373"/>
    </w:p>
    <w:p>
      <w:pPr>
        <w:jc w:val="center"/>
        <w:rPr>
          <w:rFonts w:ascii="宋体" w:hAnsi="宋体" w:cs="宋体"/>
          <w:sz w:val="18"/>
          <w:szCs w:val="18"/>
        </w:rPr>
      </w:pPr>
      <w:r>
        <w:rPr>
          <w:rFonts w:hint="eastAsia"/>
          <w:b/>
          <w:sz w:val="24"/>
          <w:szCs w:val="16"/>
        </w:rPr>
        <w:t>（最终以采购人审核通过的版本为准）</w:t>
      </w:r>
    </w:p>
    <w:p>
      <w:pPr>
        <w:spacing w:line="360" w:lineRule="auto"/>
        <w:ind w:left="1470" w:leftChars="200" w:hanging="1050" w:hangingChars="500"/>
        <w:rPr>
          <w:rFonts w:ascii="宋体" w:hAnsi="宋体"/>
          <w:szCs w:val="21"/>
        </w:rPr>
      </w:pPr>
      <w:r>
        <w:rPr>
          <w:rFonts w:hint="eastAsia" w:ascii="宋体" w:hAnsi="宋体"/>
          <w:szCs w:val="21"/>
        </w:rPr>
        <w:t>项目名称：</w:t>
      </w:r>
      <w:r>
        <w:rPr>
          <w:rFonts w:hint="eastAsia" w:ascii="Microsoft New Tai Lue" w:hAnsi="Microsoft New Tai Lue" w:cs="Microsoft New Tai Lue"/>
          <w:bCs/>
          <w:szCs w:val="21"/>
          <w:u w:val="single"/>
        </w:rPr>
        <w:t>闭式冷却水塔及管路采购及相关服务项目</w:t>
      </w:r>
    </w:p>
    <w:p>
      <w:pPr>
        <w:spacing w:line="360" w:lineRule="auto"/>
        <w:ind w:firstLine="420" w:firstLineChars="200"/>
        <w:jc w:val="left"/>
        <w:rPr>
          <w:rFonts w:ascii="宋体" w:hAnsi="宋体"/>
          <w:szCs w:val="21"/>
          <w:u w:val="single"/>
        </w:rPr>
      </w:pP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420" w:firstLineChars="200"/>
        <w:jc w:val="left"/>
        <w:rPr>
          <w:rFonts w:ascii="宋体" w:hAnsi="宋体"/>
          <w:szCs w:val="21"/>
          <w:u w:val="single"/>
        </w:rPr>
      </w:pPr>
      <w:r>
        <w:rPr>
          <w:rFonts w:hint="eastAsia" w:ascii="宋体" w:hAnsi="宋体"/>
          <w:szCs w:val="21"/>
        </w:rPr>
        <w:t>甲方（买方）：</w:t>
      </w:r>
      <w:r>
        <w:rPr>
          <w:rFonts w:hint="eastAsia" w:ascii="宋体" w:hAnsi="宋体"/>
          <w:szCs w:val="21"/>
          <w:u w:val="single"/>
        </w:rPr>
        <w:t>江苏省电子信息产品质量监督检验研究院（江苏省信息安全测评中心）</w:t>
      </w:r>
    </w:p>
    <w:p>
      <w:pPr>
        <w:spacing w:line="360" w:lineRule="auto"/>
        <w:ind w:firstLine="420" w:firstLineChars="200"/>
        <w:jc w:val="left"/>
        <w:rPr>
          <w:rFonts w:ascii="宋体" w:hAnsi="宋体"/>
          <w:szCs w:val="21"/>
          <w:u w:val="single"/>
        </w:rPr>
      </w:pPr>
      <w:r>
        <w:rPr>
          <w:rFonts w:hint="eastAsia" w:ascii="宋体" w:hAnsi="宋体"/>
          <w:szCs w:val="21"/>
        </w:rPr>
        <w:t>乙方（卖方）：</w:t>
      </w:r>
      <w:r>
        <w:rPr>
          <w:rFonts w:hint="eastAsia" w:ascii="宋体" w:hAnsi="宋体"/>
          <w:szCs w:val="21"/>
          <w:u w:val="single"/>
        </w:rPr>
        <w:t xml:space="preserve">                         </w:t>
      </w:r>
    </w:p>
    <w:p>
      <w:pPr>
        <w:spacing w:line="360" w:lineRule="auto"/>
        <w:ind w:firstLine="420" w:firstLineChars="200"/>
        <w:jc w:val="left"/>
        <w:rPr>
          <w:rFonts w:ascii="宋体" w:hAnsi="宋体" w:cs="宋体"/>
          <w:szCs w:val="21"/>
        </w:rPr>
      </w:pPr>
      <w:r>
        <w:rPr>
          <w:rFonts w:hint="eastAsia" w:ascii="宋体" w:hAnsi="宋体"/>
          <w:szCs w:val="21"/>
        </w:rPr>
        <w:t>见证方：</w:t>
      </w:r>
      <w:r>
        <w:rPr>
          <w:rFonts w:ascii="宋体" w:hAnsi="宋体" w:cs="宋体"/>
          <w:szCs w:val="21"/>
        </w:rPr>
        <w:t xml:space="preserve"> </w:t>
      </w:r>
    </w:p>
    <w:p>
      <w:pPr>
        <w:pStyle w:val="17"/>
        <w:snapToGrid w:val="0"/>
        <w:spacing w:before="120" w:after="120" w:line="360" w:lineRule="auto"/>
        <w:ind w:firstLine="422" w:firstLineChars="200"/>
        <w:rPr>
          <w:rFonts w:hAnsi="宋体" w:cs="宋体"/>
          <w:b/>
          <w:bCs/>
        </w:rPr>
      </w:pPr>
      <w:r>
        <w:rPr>
          <w:rFonts w:hint="eastAsia" w:hAnsi="宋体" w:cs="宋体"/>
          <w:b/>
          <w:bCs/>
        </w:rPr>
        <w:t>1、合同标的</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380"/>
        <w:gridCol w:w="850"/>
        <w:gridCol w:w="709"/>
        <w:gridCol w:w="709"/>
        <w:gridCol w:w="992"/>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0" w:type="dxa"/>
            <w:vAlign w:val="center"/>
          </w:tcPr>
          <w:p>
            <w:pPr>
              <w:widowControl/>
              <w:snapToGrid w:val="0"/>
              <w:spacing w:before="19"/>
              <w:jc w:val="center"/>
              <w:rPr>
                <w:rFonts w:ascii="宋体" w:hAnsi="宋体" w:cs="宋体"/>
                <w:szCs w:val="21"/>
              </w:rPr>
            </w:pPr>
            <w:r>
              <w:rPr>
                <w:rFonts w:hint="eastAsia" w:ascii="宋体" w:hAnsi="宋体" w:cs="宋体"/>
                <w:szCs w:val="21"/>
              </w:rPr>
              <w:t>序号</w:t>
            </w:r>
          </w:p>
        </w:tc>
        <w:tc>
          <w:tcPr>
            <w:tcW w:w="1125" w:type="dxa"/>
            <w:gridSpan w:val="2"/>
            <w:vAlign w:val="center"/>
          </w:tcPr>
          <w:p>
            <w:pPr>
              <w:widowControl/>
              <w:snapToGrid w:val="0"/>
              <w:spacing w:before="19"/>
              <w:jc w:val="center"/>
              <w:rPr>
                <w:rFonts w:ascii="宋体" w:hAnsi="宋体" w:cs="宋体"/>
                <w:szCs w:val="21"/>
              </w:rPr>
            </w:pPr>
            <w:r>
              <w:rPr>
                <w:rFonts w:hint="eastAsia" w:ascii="宋体" w:hAnsi="宋体" w:cs="宋体"/>
                <w:szCs w:val="21"/>
              </w:rPr>
              <w:t>采购名称</w:t>
            </w:r>
          </w:p>
        </w:tc>
        <w:tc>
          <w:tcPr>
            <w:tcW w:w="1380" w:type="dxa"/>
            <w:vAlign w:val="center"/>
          </w:tcPr>
          <w:p>
            <w:pPr>
              <w:widowControl/>
              <w:snapToGrid w:val="0"/>
              <w:spacing w:before="19"/>
              <w:jc w:val="center"/>
              <w:rPr>
                <w:rFonts w:ascii="宋体" w:hAnsi="宋体" w:cs="宋体"/>
                <w:szCs w:val="21"/>
              </w:rPr>
            </w:pPr>
            <w:r>
              <w:rPr>
                <w:rFonts w:hint="eastAsia" w:ascii="宋体" w:hAnsi="宋体" w:cs="宋体"/>
                <w:szCs w:val="21"/>
              </w:rPr>
              <w:t>规格型号</w:t>
            </w:r>
          </w:p>
        </w:tc>
        <w:tc>
          <w:tcPr>
            <w:tcW w:w="850" w:type="dxa"/>
            <w:vAlign w:val="center"/>
          </w:tcPr>
          <w:p>
            <w:pPr>
              <w:widowControl/>
              <w:snapToGrid w:val="0"/>
              <w:spacing w:before="19"/>
              <w:jc w:val="center"/>
              <w:rPr>
                <w:rFonts w:ascii="宋体" w:hAnsi="宋体" w:cs="宋体"/>
                <w:szCs w:val="21"/>
              </w:rPr>
            </w:pPr>
            <w:r>
              <w:rPr>
                <w:rFonts w:hint="eastAsia" w:ascii="宋体" w:hAnsi="宋体" w:cs="宋体"/>
                <w:szCs w:val="21"/>
              </w:rPr>
              <w:t>数量</w:t>
            </w:r>
          </w:p>
        </w:tc>
        <w:tc>
          <w:tcPr>
            <w:tcW w:w="709" w:type="dxa"/>
            <w:vAlign w:val="center"/>
          </w:tcPr>
          <w:p>
            <w:pPr>
              <w:widowControl/>
              <w:snapToGrid w:val="0"/>
              <w:spacing w:before="19"/>
              <w:jc w:val="center"/>
              <w:rPr>
                <w:rFonts w:ascii="宋体" w:hAnsi="宋体" w:cs="宋体"/>
                <w:szCs w:val="21"/>
              </w:rPr>
            </w:pPr>
            <w:r>
              <w:rPr>
                <w:rFonts w:hint="eastAsia" w:ascii="宋体" w:hAnsi="宋体" w:cs="宋体"/>
                <w:szCs w:val="21"/>
              </w:rPr>
              <w:t>单价</w:t>
            </w:r>
          </w:p>
        </w:tc>
        <w:tc>
          <w:tcPr>
            <w:tcW w:w="709" w:type="dxa"/>
            <w:tcBorders>
              <w:bottom w:val="single" w:color="auto" w:sz="4" w:space="0"/>
            </w:tcBorders>
            <w:vAlign w:val="center"/>
          </w:tcPr>
          <w:p>
            <w:pPr>
              <w:widowControl/>
              <w:snapToGrid w:val="0"/>
              <w:spacing w:before="19"/>
              <w:jc w:val="center"/>
              <w:rPr>
                <w:rFonts w:ascii="宋体" w:hAnsi="宋体" w:cs="宋体"/>
                <w:szCs w:val="21"/>
              </w:rPr>
            </w:pPr>
            <w:r>
              <w:rPr>
                <w:rFonts w:hint="eastAsia" w:ascii="宋体" w:hAnsi="宋体" w:cs="宋体"/>
                <w:szCs w:val="21"/>
              </w:rPr>
              <w:t>总价</w:t>
            </w:r>
          </w:p>
        </w:tc>
        <w:tc>
          <w:tcPr>
            <w:tcW w:w="992" w:type="dxa"/>
            <w:vAlign w:val="center"/>
          </w:tcPr>
          <w:p>
            <w:pPr>
              <w:widowControl/>
              <w:snapToGrid w:val="0"/>
              <w:spacing w:before="19"/>
              <w:jc w:val="center"/>
              <w:rPr>
                <w:rFonts w:ascii="宋体" w:hAnsi="宋体" w:cs="宋体"/>
                <w:szCs w:val="21"/>
              </w:rPr>
            </w:pPr>
            <w:r>
              <w:rPr>
                <w:rFonts w:hint="eastAsia" w:ascii="宋体" w:hAnsi="宋体" w:cs="宋体"/>
                <w:szCs w:val="21"/>
              </w:rPr>
              <w:t>免费</w:t>
            </w:r>
          </w:p>
          <w:p>
            <w:pPr>
              <w:widowControl/>
              <w:snapToGrid w:val="0"/>
              <w:spacing w:before="19"/>
              <w:jc w:val="center"/>
              <w:rPr>
                <w:rFonts w:ascii="宋体" w:hAnsi="宋体" w:cs="宋体"/>
                <w:szCs w:val="21"/>
              </w:rPr>
            </w:pPr>
            <w:r>
              <w:rPr>
                <w:rFonts w:hint="eastAsia" w:ascii="宋体" w:hAnsi="宋体" w:cs="宋体"/>
                <w:szCs w:val="21"/>
              </w:rPr>
              <w:t>质保期</w:t>
            </w:r>
          </w:p>
        </w:tc>
        <w:tc>
          <w:tcPr>
            <w:tcW w:w="2422" w:type="dxa"/>
            <w:vAlign w:val="center"/>
          </w:tcPr>
          <w:p>
            <w:pPr>
              <w:widowControl/>
              <w:snapToGrid w:val="0"/>
              <w:spacing w:before="19"/>
              <w:jc w:val="center"/>
              <w:rPr>
                <w:rFonts w:ascii="宋体" w:hAnsi="宋体" w:cs="宋体"/>
                <w:szCs w:val="21"/>
              </w:rPr>
            </w:pPr>
            <w:r>
              <w:rPr>
                <w:rFonts w:hint="eastAsia" w:ascii="宋体" w:hAnsi="宋体" w:cs="宋体"/>
                <w:szCs w:val="21"/>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Align w:val="center"/>
          </w:tcPr>
          <w:p>
            <w:pPr>
              <w:widowControl/>
              <w:snapToGrid w:val="0"/>
              <w:spacing w:before="19"/>
              <w:jc w:val="center"/>
              <w:rPr>
                <w:rFonts w:ascii="宋体" w:hAnsi="宋体" w:cs="宋体"/>
                <w:szCs w:val="21"/>
              </w:rPr>
            </w:pPr>
            <w:r>
              <w:rPr>
                <w:rFonts w:hint="eastAsia" w:ascii="宋体" w:hAnsi="宋体" w:cs="宋体"/>
                <w:szCs w:val="21"/>
              </w:rPr>
              <w:t>1</w:t>
            </w:r>
          </w:p>
        </w:tc>
        <w:tc>
          <w:tcPr>
            <w:tcW w:w="1125" w:type="dxa"/>
            <w:gridSpan w:val="2"/>
            <w:vAlign w:val="center"/>
          </w:tcPr>
          <w:p>
            <w:pPr>
              <w:widowControl/>
              <w:snapToGrid w:val="0"/>
              <w:spacing w:before="19"/>
              <w:rPr>
                <w:rFonts w:ascii="宋体" w:hAnsi="宋体" w:cs="宋体"/>
                <w:szCs w:val="21"/>
              </w:rPr>
            </w:pPr>
            <w:r>
              <w:rPr>
                <w:rFonts w:hint="eastAsia" w:ascii="宋体" w:hAnsi="宋体" w:cs="宋体"/>
                <w:szCs w:val="21"/>
              </w:rPr>
              <w:t xml:space="preserve">  </w:t>
            </w:r>
          </w:p>
        </w:tc>
        <w:tc>
          <w:tcPr>
            <w:tcW w:w="1380" w:type="dxa"/>
            <w:vAlign w:val="center"/>
          </w:tcPr>
          <w:p>
            <w:pPr>
              <w:widowControl/>
              <w:snapToGrid w:val="0"/>
              <w:spacing w:before="19"/>
              <w:jc w:val="center"/>
              <w:rPr>
                <w:rFonts w:ascii="宋体" w:hAnsi="宋体" w:cs="宋体"/>
                <w:szCs w:val="21"/>
              </w:rPr>
            </w:pPr>
            <w:r>
              <w:rPr>
                <w:rFonts w:hint="eastAsia" w:ascii="宋体" w:hAnsi="宋体" w:cs="宋体"/>
                <w:szCs w:val="21"/>
              </w:rPr>
              <w:t>详见</w:t>
            </w:r>
          </w:p>
          <w:p>
            <w:pPr>
              <w:widowControl/>
              <w:snapToGrid w:val="0"/>
              <w:spacing w:before="19"/>
              <w:jc w:val="center"/>
              <w:rPr>
                <w:rFonts w:ascii="宋体" w:hAnsi="宋体" w:cs="宋体"/>
                <w:szCs w:val="21"/>
              </w:rPr>
            </w:pPr>
            <w:r>
              <w:rPr>
                <w:rFonts w:hint="eastAsia" w:ascii="宋体" w:hAnsi="宋体" w:cs="宋体"/>
                <w:szCs w:val="21"/>
              </w:rPr>
              <w:t>招标文件</w:t>
            </w:r>
          </w:p>
        </w:tc>
        <w:tc>
          <w:tcPr>
            <w:tcW w:w="850" w:type="dxa"/>
            <w:vAlign w:val="center"/>
          </w:tcPr>
          <w:p>
            <w:pPr>
              <w:widowControl/>
              <w:snapToGrid w:val="0"/>
              <w:spacing w:before="19"/>
              <w:jc w:val="center"/>
              <w:rPr>
                <w:rFonts w:ascii="宋体" w:hAnsi="宋体" w:cs="宋体"/>
                <w:b/>
                <w:szCs w:val="21"/>
              </w:rPr>
            </w:pPr>
          </w:p>
        </w:tc>
        <w:tc>
          <w:tcPr>
            <w:tcW w:w="709" w:type="dxa"/>
            <w:shd w:val="clear" w:color="FFFFFF" w:themeColor="background1" w:fill="auto"/>
            <w:vAlign w:val="center"/>
          </w:tcPr>
          <w:p>
            <w:pPr>
              <w:widowControl/>
              <w:snapToGrid w:val="0"/>
              <w:spacing w:before="19"/>
              <w:jc w:val="center"/>
              <w:rPr>
                <w:rFonts w:ascii="宋体" w:hAnsi="宋体" w:cs="宋体"/>
                <w:b/>
                <w:szCs w:val="21"/>
              </w:rPr>
            </w:pPr>
          </w:p>
        </w:tc>
        <w:tc>
          <w:tcPr>
            <w:tcW w:w="709" w:type="dxa"/>
            <w:tcBorders>
              <w:bottom w:val="single" w:color="auto" w:sz="4" w:space="0"/>
            </w:tcBorders>
            <w:shd w:val="clear" w:color="FFFFFF" w:themeColor="background1" w:fill="auto"/>
            <w:vAlign w:val="center"/>
          </w:tcPr>
          <w:p>
            <w:pPr>
              <w:widowControl/>
              <w:snapToGrid w:val="0"/>
              <w:spacing w:before="19"/>
              <w:jc w:val="center"/>
              <w:rPr>
                <w:rFonts w:ascii="宋体" w:hAnsi="宋体" w:cs="宋体"/>
                <w:b/>
                <w:szCs w:val="21"/>
              </w:rPr>
            </w:pPr>
          </w:p>
        </w:tc>
        <w:tc>
          <w:tcPr>
            <w:tcW w:w="990" w:type="dxa"/>
            <w:shd w:val="clear" w:color="FFFFFF" w:themeColor="background1" w:fill="auto"/>
            <w:vAlign w:val="center"/>
          </w:tcPr>
          <w:p>
            <w:pPr>
              <w:widowControl/>
              <w:snapToGrid w:val="0"/>
              <w:spacing w:before="19"/>
              <w:jc w:val="center"/>
              <w:rPr>
                <w:rFonts w:ascii="宋体" w:hAnsi="宋体" w:cs="宋体"/>
                <w:b/>
                <w:szCs w:val="21"/>
              </w:rPr>
            </w:pPr>
          </w:p>
        </w:tc>
        <w:tc>
          <w:tcPr>
            <w:tcW w:w="2424" w:type="dxa"/>
            <w:vAlign w:val="center"/>
          </w:tcPr>
          <w:p>
            <w:pPr>
              <w:widowControl/>
              <w:snapToGrid w:val="0"/>
              <w:spacing w:before="19"/>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Align w:val="center"/>
          </w:tcPr>
          <w:p>
            <w:pPr>
              <w:widowControl/>
              <w:snapToGrid w:val="0"/>
              <w:spacing w:before="19"/>
              <w:jc w:val="center"/>
              <w:rPr>
                <w:rFonts w:ascii="宋体" w:hAnsi="宋体" w:cs="宋体"/>
                <w:szCs w:val="21"/>
              </w:rPr>
            </w:pPr>
            <w:r>
              <w:rPr>
                <w:rFonts w:hint="eastAsia" w:ascii="宋体" w:hAnsi="宋体" w:cs="宋体"/>
                <w:szCs w:val="21"/>
              </w:rPr>
              <w:t>2</w:t>
            </w:r>
          </w:p>
        </w:tc>
        <w:tc>
          <w:tcPr>
            <w:tcW w:w="1125" w:type="dxa"/>
            <w:gridSpan w:val="2"/>
            <w:vAlign w:val="center"/>
          </w:tcPr>
          <w:p>
            <w:pPr>
              <w:widowControl/>
              <w:snapToGrid w:val="0"/>
              <w:spacing w:before="19"/>
              <w:rPr>
                <w:rFonts w:ascii="宋体" w:hAnsi="宋体" w:cs="宋体"/>
                <w:szCs w:val="21"/>
              </w:rPr>
            </w:pPr>
          </w:p>
        </w:tc>
        <w:tc>
          <w:tcPr>
            <w:tcW w:w="1380" w:type="dxa"/>
            <w:vAlign w:val="center"/>
          </w:tcPr>
          <w:p>
            <w:pPr>
              <w:widowControl/>
              <w:snapToGrid w:val="0"/>
              <w:spacing w:before="19"/>
              <w:jc w:val="center"/>
              <w:rPr>
                <w:rFonts w:ascii="宋体" w:hAnsi="宋体" w:cs="宋体"/>
                <w:szCs w:val="21"/>
              </w:rPr>
            </w:pPr>
          </w:p>
        </w:tc>
        <w:tc>
          <w:tcPr>
            <w:tcW w:w="850" w:type="dxa"/>
            <w:vAlign w:val="center"/>
          </w:tcPr>
          <w:p>
            <w:pPr>
              <w:widowControl/>
              <w:snapToGrid w:val="0"/>
              <w:spacing w:before="19"/>
              <w:jc w:val="center"/>
              <w:rPr>
                <w:rFonts w:ascii="宋体" w:hAnsi="宋体" w:cs="宋体"/>
                <w:b/>
                <w:szCs w:val="21"/>
              </w:rPr>
            </w:pPr>
          </w:p>
        </w:tc>
        <w:tc>
          <w:tcPr>
            <w:tcW w:w="709" w:type="dxa"/>
            <w:shd w:val="clear" w:color="FFFFFF" w:themeColor="background1" w:fill="auto"/>
            <w:vAlign w:val="center"/>
          </w:tcPr>
          <w:p>
            <w:pPr>
              <w:widowControl/>
              <w:snapToGrid w:val="0"/>
              <w:spacing w:before="19"/>
              <w:jc w:val="center"/>
              <w:rPr>
                <w:rFonts w:ascii="宋体" w:hAnsi="宋体" w:cs="宋体"/>
                <w:b/>
                <w:szCs w:val="21"/>
              </w:rPr>
            </w:pPr>
          </w:p>
        </w:tc>
        <w:tc>
          <w:tcPr>
            <w:tcW w:w="709" w:type="dxa"/>
            <w:tcBorders>
              <w:bottom w:val="single" w:color="auto" w:sz="4" w:space="0"/>
            </w:tcBorders>
            <w:shd w:val="clear" w:color="FFFFFF" w:themeColor="background1" w:fill="auto"/>
            <w:vAlign w:val="center"/>
          </w:tcPr>
          <w:p>
            <w:pPr>
              <w:widowControl/>
              <w:snapToGrid w:val="0"/>
              <w:spacing w:before="19"/>
              <w:jc w:val="center"/>
              <w:rPr>
                <w:rFonts w:ascii="宋体" w:hAnsi="宋体" w:cs="宋体"/>
                <w:b/>
                <w:szCs w:val="21"/>
              </w:rPr>
            </w:pPr>
          </w:p>
        </w:tc>
        <w:tc>
          <w:tcPr>
            <w:tcW w:w="990" w:type="dxa"/>
            <w:shd w:val="clear" w:color="FFFFFF" w:themeColor="background1" w:fill="auto"/>
            <w:vAlign w:val="center"/>
          </w:tcPr>
          <w:p>
            <w:pPr>
              <w:widowControl/>
              <w:snapToGrid w:val="0"/>
              <w:spacing w:before="19"/>
              <w:jc w:val="center"/>
              <w:rPr>
                <w:rFonts w:ascii="宋体" w:hAnsi="宋体" w:cs="宋体"/>
                <w:b/>
                <w:szCs w:val="21"/>
              </w:rPr>
            </w:pPr>
          </w:p>
        </w:tc>
        <w:tc>
          <w:tcPr>
            <w:tcW w:w="2424" w:type="dxa"/>
            <w:vAlign w:val="center"/>
          </w:tcPr>
          <w:p>
            <w:pPr>
              <w:widowControl/>
              <w:snapToGrid w:val="0"/>
              <w:spacing w:before="19"/>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Align w:val="center"/>
          </w:tcPr>
          <w:p>
            <w:pPr>
              <w:widowControl/>
              <w:snapToGrid w:val="0"/>
              <w:spacing w:before="19"/>
              <w:jc w:val="center"/>
              <w:rPr>
                <w:rFonts w:ascii="宋体" w:hAnsi="宋体" w:cs="宋体"/>
                <w:szCs w:val="21"/>
              </w:rPr>
            </w:pPr>
            <w:r>
              <w:rPr>
                <w:rFonts w:hint="eastAsia" w:ascii="宋体" w:hAnsi="宋体" w:cs="宋体"/>
                <w:szCs w:val="21"/>
              </w:rPr>
              <w:t>3</w:t>
            </w:r>
          </w:p>
        </w:tc>
        <w:tc>
          <w:tcPr>
            <w:tcW w:w="1125" w:type="dxa"/>
            <w:gridSpan w:val="2"/>
            <w:vAlign w:val="center"/>
          </w:tcPr>
          <w:p>
            <w:pPr>
              <w:widowControl/>
              <w:snapToGrid w:val="0"/>
              <w:spacing w:before="19"/>
              <w:rPr>
                <w:rFonts w:ascii="宋体" w:hAnsi="宋体" w:cs="宋体"/>
                <w:szCs w:val="21"/>
              </w:rPr>
            </w:pPr>
          </w:p>
        </w:tc>
        <w:tc>
          <w:tcPr>
            <w:tcW w:w="1380" w:type="dxa"/>
            <w:vAlign w:val="center"/>
          </w:tcPr>
          <w:p>
            <w:pPr>
              <w:widowControl/>
              <w:snapToGrid w:val="0"/>
              <w:spacing w:before="19"/>
              <w:jc w:val="center"/>
              <w:rPr>
                <w:rFonts w:ascii="宋体" w:hAnsi="宋体" w:cs="宋体"/>
                <w:szCs w:val="21"/>
              </w:rPr>
            </w:pPr>
          </w:p>
        </w:tc>
        <w:tc>
          <w:tcPr>
            <w:tcW w:w="850" w:type="dxa"/>
            <w:vAlign w:val="center"/>
          </w:tcPr>
          <w:p>
            <w:pPr>
              <w:widowControl/>
              <w:snapToGrid w:val="0"/>
              <w:spacing w:before="19"/>
              <w:jc w:val="center"/>
              <w:rPr>
                <w:rFonts w:ascii="宋体" w:hAnsi="宋体" w:cs="宋体"/>
                <w:b/>
                <w:szCs w:val="21"/>
              </w:rPr>
            </w:pPr>
          </w:p>
        </w:tc>
        <w:tc>
          <w:tcPr>
            <w:tcW w:w="709" w:type="dxa"/>
            <w:shd w:val="clear" w:color="FFFFFF" w:themeColor="background1" w:fill="auto"/>
            <w:vAlign w:val="center"/>
          </w:tcPr>
          <w:p>
            <w:pPr>
              <w:widowControl/>
              <w:snapToGrid w:val="0"/>
              <w:spacing w:before="19"/>
              <w:jc w:val="center"/>
              <w:rPr>
                <w:rFonts w:ascii="宋体" w:hAnsi="宋体" w:cs="宋体"/>
                <w:b/>
                <w:szCs w:val="21"/>
              </w:rPr>
            </w:pPr>
          </w:p>
        </w:tc>
        <w:tc>
          <w:tcPr>
            <w:tcW w:w="709" w:type="dxa"/>
            <w:tcBorders>
              <w:bottom w:val="single" w:color="auto" w:sz="4" w:space="0"/>
            </w:tcBorders>
            <w:shd w:val="clear" w:color="FFFFFF" w:themeColor="background1" w:fill="auto"/>
            <w:vAlign w:val="center"/>
          </w:tcPr>
          <w:p>
            <w:pPr>
              <w:widowControl/>
              <w:snapToGrid w:val="0"/>
              <w:spacing w:before="19"/>
              <w:jc w:val="center"/>
              <w:rPr>
                <w:rFonts w:ascii="宋体" w:hAnsi="宋体" w:cs="宋体"/>
                <w:b/>
                <w:szCs w:val="21"/>
              </w:rPr>
            </w:pPr>
          </w:p>
        </w:tc>
        <w:tc>
          <w:tcPr>
            <w:tcW w:w="990" w:type="dxa"/>
            <w:shd w:val="clear" w:color="FFFFFF" w:themeColor="background1" w:fill="auto"/>
            <w:vAlign w:val="center"/>
          </w:tcPr>
          <w:p>
            <w:pPr>
              <w:widowControl/>
              <w:snapToGrid w:val="0"/>
              <w:spacing w:before="19"/>
              <w:jc w:val="center"/>
              <w:rPr>
                <w:rFonts w:ascii="宋体" w:hAnsi="宋体" w:cs="宋体"/>
                <w:b/>
                <w:szCs w:val="21"/>
              </w:rPr>
            </w:pPr>
          </w:p>
        </w:tc>
        <w:tc>
          <w:tcPr>
            <w:tcW w:w="2424" w:type="dxa"/>
            <w:vAlign w:val="center"/>
          </w:tcPr>
          <w:p>
            <w:pPr>
              <w:widowControl/>
              <w:snapToGrid w:val="0"/>
              <w:spacing w:before="19"/>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Align w:val="center"/>
          </w:tcPr>
          <w:p>
            <w:pPr>
              <w:widowControl/>
              <w:snapToGrid w:val="0"/>
              <w:spacing w:before="19"/>
              <w:jc w:val="center"/>
              <w:rPr>
                <w:rFonts w:ascii="宋体" w:hAnsi="宋体" w:cs="宋体"/>
                <w:szCs w:val="21"/>
              </w:rPr>
            </w:pPr>
            <w:r>
              <w:rPr>
                <w:rFonts w:hint="eastAsia" w:ascii="宋体" w:hAnsi="宋体" w:cs="宋体"/>
                <w:szCs w:val="21"/>
              </w:rPr>
              <w:t>…</w:t>
            </w:r>
          </w:p>
        </w:tc>
        <w:tc>
          <w:tcPr>
            <w:tcW w:w="1125" w:type="dxa"/>
            <w:gridSpan w:val="2"/>
            <w:vAlign w:val="center"/>
          </w:tcPr>
          <w:p>
            <w:pPr>
              <w:widowControl/>
              <w:snapToGrid w:val="0"/>
              <w:spacing w:before="19"/>
              <w:rPr>
                <w:rFonts w:ascii="宋体" w:hAnsi="宋体" w:cs="宋体"/>
                <w:szCs w:val="21"/>
              </w:rPr>
            </w:pPr>
          </w:p>
        </w:tc>
        <w:tc>
          <w:tcPr>
            <w:tcW w:w="1380" w:type="dxa"/>
            <w:vAlign w:val="center"/>
          </w:tcPr>
          <w:p>
            <w:pPr>
              <w:widowControl/>
              <w:snapToGrid w:val="0"/>
              <w:spacing w:before="19"/>
              <w:jc w:val="center"/>
              <w:rPr>
                <w:rFonts w:ascii="宋体" w:hAnsi="宋体" w:cs="宋体"/>
                <w:szCs w:val="21"/>
              </w:rPr>
            </w:pPr>
          </w:p>
        </w:tc>
        <w:tc>
          <w:tcPr>
            <w:tcW w:w="850" w:type="dxa"/>
            <w:vAlign w:val="center"/>
          </w:tcPr>
          <w:p>
            <w:pPr>
              <w:widowControl/>
              <w:snapToGrid w:val="0"/>
              <w:spacing w:before="19"/>
              <w:jc w:val="center"/>
              <w:rPr>
                <w:rFonts w:ascii="宋体" w:hAnsi="宋体" w:cs="宋体"/>
                <w:b/>
                <w:szCs w:val="21"/>
              </w:rPr>
            </w:pPr>
          </w:p>
        </w:tc>
        <w:tc>
          <w:tcPr>
            <w:tcW w:w="709" w:type="dxa"/>
            <w:shd w:val="clear" w:color="FFFFFF" w:themeColor="background1" w:fill="auto"/>
            <w:vAlign w:val="center"/>
          </w:tcPr>
          <w:p>
            <w:pPr>
              <w:widowControl/>
              <w:snapToGrid w:val="0"/>
              <w:spacing w:before="19"/>
              <w:jc w:val="center"/>
              <w:rPr>
                <w:rFonts w:ascii="宋体" w:hAnsi="宋体" w:cs="宋体"/>
                <w:b/>
                <w:szCs w:val="21"/>
              </w:rPr>
            </w:pPr>
          </w:p>
        </w:tc>
        <w:tc>
          <w:tcPr>
            <w:tcW w:w="709" w:type="dxa"/>
            <w:shd w:val="clear" w:color="FFFFFF" w:themeColor="background1" w:fill="auto"/>
            <w:vAlign w:val="center"/>
          </w:tcPr>
          <w:p>
            <w:pPr>
              <w:widowControl/>
              <w:snapToGrid w:val="0"/>
              <w:spacing w:before="19"/>
              <w:jc w:val="center"/>
              <w:rPr>
                <w:rFonts w:ascii="宋体" w:hAnsi="宋体" w:cs="宋体"/>
                <w:b/>
                <w:szCs w:val="21"/>
              </w:rPr>
            </w:pPr>
          </w:p>
        </w:tc>
        <w:tc>
          <w:tcPr>
            <w:tcW w:w="990" w:type="dxa"/>
            <w:shd w:val="clear" w:color="FFFFFF" w:themeColor="background1" w:fill="auto"/>
            <w:vAlign w:val="center"/>
          </w:tcPr>
          <w:p>
            <w:pPr>
              <w:widowControl/>
              <w:snapToGrid w:val="0"/>
              <w:spacing w:before="19"/>
              <w:jc w:val="center"/>
              <w:rPr>
                <w:rFonts w:ascii="宋体" w:hAnsi="宋体" w:cs="宋体"/>
                <w:b/>
                <w:szCs w:val="21"/>
              </w:rPr>
            </w:pPr>
          </w:p>
        </w:tc>
        <w:tc>
          <w:tcPr>
            <w:tcW w:w="2424" w:type="dxa"/>
            <w:vAlign w:val="center"/>
          </w:tcPr>
          <w:p>
            <w:pPr>
              <w:widowControl/>
              <w:snapToGrid w:val="0"/>
              <w:spacing w:before="19"/>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17" w:type="dxa"/>
            <w:gridSpan w:val="9"/>
            <w:vAlign w:val="center"/>
          </w:tcPr>
          <w:p>
            <w:pPr>
              <w:widowControl/>
              <w:snapToGrid w:val="0"/>
              <w:spacing w:before="19"/>
              <w:rPr>
                <w:rFonts w:ascii="宋体" w:hAnsi="宋体" w:cs="宋体"/>
                <w:szCs w:val="21"/>
              </w:rPr>
            </w:pPr>
            <w:r>
              <w:rPr>
                <w:rFonts w:hint="eastAsia" w:ascii="宋体" w:hAnsi="宋体" w:cs="宋体"/>
                <w:szCs w:val="21"/>
              </w:rPr>
              <w:t>合同总金额：人民币（大写）                   万元整。</w:t>
            </w:r>
          </w:p>
          <w:p>
            <w:pPr>
              <w:widowControl/>
              <w:snapToGrid w:val="0"/>
              <w:spacing w:before="19"/>
              <w:rPr>
                <w:rFonts w:ascii="宋体" w:hAnsi="宋体" w:cs="宋体"/>
                <w:szCs w:val="21"/>
              </w:rPr>
            </w:pPr>
            <w:r>
              <w:rPr>
                <w:rFonts w:hint="eastAsia" w:ascii="宋体" w:hAnsi="宋体" w:cs="宋体"/>
                <w:szCs w:val="21"/>
              </w:rPr>
              <w:t xml:space="preserve">                      ￥：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5" w:type="dxa"/>
            <w:gridSpan w:val="2"/>
            <w:vAlign w:val="center"/>
          </w:tcPr>
          <w:p>
            <w:pPr>
              <w:widowControl/>
              <w:snapToGrid w:val="0"/>
              <w:spacing w:before="19"/>
              <w:rPr>
                <w:rFonts w:ascii="宋体" w:hAnsi="宋体" w:cs="宋体"/>
                <w:szCs w:val="21"/>
              </w:rPr>
            </w:pPr>
            <w:r>
              <w:rPr>
                <w:rFonts w:hint="eastAsia" w:ascii="宋体" w:hAnsi="宋体" w:cs="宋体"/>
                <w:szCs w:val="21"/>
              </w:rPr>
              <w:t>甲方</w:t>
            </w:r>
          </w:p>
        </w:tc>
        <w:tc>
          <w:tcPr>
            <w:tcW w:w="7602" w:type="dxa"/>
            <w:gridSpan w:val="7"/>
            <w:vAlign w:val="center"/>
          </w:tcPr>
          <w:p>
            <w:pPr>
              <w:widowControl/>
              <w:snapToGrid w:val="0"/>
              <w:spacing w:before="19"/>
              <w:rPr>
                <w:rFonts w:ascii="宋体" w:hAnsi="宋体" w:cs="宋体"/>
                <w:szCs w:val="21"/>
              </w:rPr>
            </w:pPr>
            <w:r>
              <w:rPr>
                <w:rFonts w:hint="eastAsia" w:ascii="宋体" w:hAnsi="宋体" w:cs="宋体"/>
                <w:szCs w:val="21"/>
              </w:rPr>
              <w:t xml:space="preserve">联系人： </w:t>
            </w:r>
          </w:p>
          <w:p>
            <w:pPr>
              <w:widowControl/>
              <w:snapToGrid w:val="0"/>
              <w:spacing w:before="19"/>
              <w:rPr>
                <w:rFonts w:ascii="宋体" w:hAnsi="宋体" w:cs="宋体"/>
                <w:szCs w:val="21"/>
              </w:rPr>
            </w:pPr>
            <w:r>
              <w:rPr>
                <w:rFonts w:hint="eastAsia" w:ascii="宋体" w:hAnsi="宋体" w:cs="宋体"/>
                <w:szCs w:val="21"/>
              </w:rPr>
              <w:t xml:space="preserve">固定电话：       移动电话：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5" w:type="dxa"/>
            <w:gridSpan w:val="2"/>
            <w:vAlign w:val="center"/>
          </w:tcPr>
          <w:p>
            <w:pPr>
              <w:widowControl/>
              <w:snapToGrid w:val="0"/>
              <w:spacing w:before="19"/>
              <w:rPr>
                <w:rFonts w:ascii="宋体" w:hAnsi="宋体" w:cs="宋体"/>
                <w:szCs w:val="21"/>
              </w:rPr>
            </w:pPr>
            <w:r>
              <w:rPr>
                <w:rFonts w:hint="eastAsia" w:ascii="宋体" w:hAnsi="宋体" w:cs="宋体"/>
                <w:szCs w:val="21"/>
              </w:rPr>
              <w:t>乙方</w:t>
            </w:r>
          </w:p>
        </w:tc>
        <w:tc>
          <w:tcPr>
            <w:tcW w:w="7602" w:type="dxa"/>
            <w:gridSpan w:val="7"/>
            <w:vAlign w:val="center"/>
          </w:tcPr>
          <w:p>
            <w:pPr>
              <w:widowControl/>
              <w:snapToGrid w:val="0"/>
              <w:spacing w:before="19"/>
              <w:rPr>
                <w:rFonts w:ascii="宋体" w:hAnsi="宋体" w:cs="宋体"/>
                <w:szCs w:val="21"/>
              </w:rPr>
            </w:pPr>
            <w:r>
              <w:rPr>
                <w:rFonts w:hint="eastAsia" w:ascii="宋体" w:hAnsi="宋体" w:cs="宋体"/>
                <w:szCs w:val="21"/>
              </w:rPr>
              <w:t xml:space="preserve">联系人：  </w:t>
            </w:r>
          </w:p>
          <w:p>
            <w:pPr>
              <w:widowControl/>
              <w:snapToGrid w:val="0"/>
              <w:spacing w:before="19"/>
              <w:rPr>
                <w:rFonts w:ascii="宋体" w:hAnsi="宋体" w:cs="宋体"/>
                <w:szCs w:val="21"/>
              </w:rPr>
            </w:pPr>
            <w:r>
              <w:rPr>
                <w:rFonts w:hint="eastAsia" w:ascii="宋体" w:hAnsi="宋体" w:cs="宋体"/>
                <w:szCs w:val="21"/>
              </w:rPr>
              <w:t xml:space="preserve">固定电话：       移动电话： </w:t>
            </w:r>
          </w:p>
        </w:tc>
      </w:tr>
    </w:tbl>
    <w:p>
      <w:pPr>
        <w:spacing w:line="360" w:lineRule="auto"/>
        <w:ind w:firstLine="420" w:firstLineChars="200"/>
        <w:jc w:val="left"/>
        <w:rPr>
          <w:rFonts w:ascii="宋体" w:hAnsi="宋体" w:cs="宋体"/>
          <w:szCs w:val="21"/>
        </w:rPr>
      </w:pPr>
      <w:r>
        <w:rPr>
          <w:rFonts w:hint="eastAsia" w:ascii="宋体" w:hAnsi="宋体" w:cs="宋体"/>
          <w:szCs w:val="21"/>
        </w:rPr>
        <w:t>具体内容等要求详见招标文件及投标文件。</w:t>
      </w:r>
    </w:p>
    <w:p>
      <w:pPr>
        <w:pStyle w:val="17"/>
        <w:snapToGrid w:val="0"/>
        <w:spacing w:before="120" w:after="120" w:line="360" w:lineRule="auto"/>
        <w:ind w:firstLine="422" w:firstLineChars="200"/>
        <w:rPr>
          <w:rFonts w:hAnsi="宋体"/>
          <w:b/>
          <w:bCs/>
        </w:rPr>
      </w:pPr>
      <w:r>
        <w:rPr>
          <w:rFonts w:hint="eastAsia" w:hAnsi="宋体"/>
          <w:b/>
          <w:bCs/>
        </w:rPr>
        <w:t>2、合同总金额</w:t>
      </w:r>
    </w:p>
    <w:p>
      <w:pPr>
        <w:spacing w:line="360" w:lineRule="auto"/>
        <w:ind w:firstLine="420" w:firstLineChars="200"/>
        <w:jc w:val="left"/>
        <w:rPr>
          <w:rFonts w:ascii="宋体" w:hAnsi="宋体"/>
          <w:szCs w:val="21"/>
        </w:rPr>
      </w:pPr>
      <w:r>
        <w:rPr>
          <w:rFonts w:hint="eastAsia" w:ascii="宋体" w:hAnsi="宋体"/>
          <w:szCs w:val="21"/>
        </w:rPr>
        <w:t>2.1 本合同金额为（大写）：____________圆人民币（¥</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jc w:val="left"/>
        <w:rPr>
          <w:rFonts w:ascii="宋体" w:hAnsi="宋体"/>
          <w:szCs w:val="21"/>
        </w:rPr>
      </w:pPr>
      <w:r>
        <w:rPr>
          <w:rFonts w:hint="eastAsia" w:ascii="宋体" w:hAnsi="宋体"/>
          <w:szCs w:val="21"/>
        </w:rPr>
        <w:t>2.2 本合同总金额包括乙方提供的货物/服务及其他有关的为完成本项目发生的所有费用，公开招标文件中另有规定的除外。</w:t>
      </w:r>
    </w:p>
    <w:p>
      <w:pPr>
        <w:spacing w:line="360" w:lineRule="auto"/>
        <w:ind w:firstLine="420" w:firstLineChars="200"/>
        <w:jc w:val="left"/>
        <w:rPr>
          <w:rFonts w:ascii="宋体" w:hAnsi="宋体"/>
          <w:szCs w:val="21"/>
        </w:rPr>
      </w:pPr>
      <w:r>
        <w:rPr>
          <w:rFonts w:hint="eastAsia" w:ascii="宋体" w:hAnsi="宋体"/>
          <w:szCs w:val="21"/>
        </w:rPr>
        <w:t>2.3 在公开招标文件未列明，而乙方认为履行本合同必需的费用也包含在合同总金额中。</w:t>
      </w:r>
    </w:p>
    <w:p>
      <w:pPr>
        <w:spacing w:line="360" w:lineRule="auto"/>
        <w:ind w:firstLine="420" w:firstLineChars="200"/>
        <w:jc w:val="left"/>
        <w:rPr>
          <w:rFonts w:ascii="宋体" w:hAnsi="宋体"/>
          <w:szCs w:val="21"/>
        </w:rPr>
      </w:pPr>
      <w:r>
        <w:rPr>
          <w:rFonts w:hint="eastAsia" w:ascii="宋体" w:hAnsi="宋体"/>
          <w:szCs w:val="21"/>
        </w:rPr>
        <w:t>2.4 本合同总金额还包含乙方提供的伴随服务/售后服务费用。</w:t>
      </w:r>
    </w:p>
    <w:p>
      <w:pPr>
        <w:spacing w:line="360" w:lineRule="auto"/>
        <w:ind w:firstLine="420" w:firstLineChars="200"/>
        <w:jc w:val="left"/>
        <w:rPr>
          <w:rFonts w:ascii="宋体" w:hAnsi="宋体"/>
          <w:szCs w:val="21"/>
        </w:rPr>
      </w:pPr>
      <w:r>
        <w:rPr>
          <w:rFonts w:hint="eastAsia" w:ascii="宋体" w:hAnsi="宋体"/>
          <w:szCs w:val="21"/>
        </w:rPr>
        <w:t>2.5 本合同签订后：甲方需追加与合同标的相同的服务，在不改变合同其他条款的前提下，可以与乙方协商签订补充合同，但所有补充合同的增加的金额不超过原合同金额的10%；甲方若由于各种客观原因，必须对采购项目所牵涉的服务进行适当的减少时，在与乙方协商一致后，可以按照公开招标采购时的价格水平做相应的调减，并据此签订补充合同；除上述情况外，本合同执行期间合同总金额不变。</w:t>
      </w:r>
    </w:p>
    <w:p>
      <w:pPr>
        <w:pStyle w:val="17"/>
        <w:snapToGrid w:val="0"/>
        <w:spacing w:before="120" w:after="120" w:line="360" w:lineRule="auto"/>
        <w:ind w:firstLine="422" w:firstLineChars="200"/>
        <w:rPr>
          <w:rFonts w:hAnsi="宋体"/>
          <w:b/>
          <w:bCs/>
        </w:rPr>
      </w:pPr>
      <w:r>
        <w:rPr>
          <w:rFonts w:hint="eastAsia" w:hAnsi="宋体"/>
          <w:b/>
          <w:bCs/>
        </w:rPr>
        <w:t>3、组成本合同的有关文件</w:t>
      </w:r>
    </w:p>
    <w:p>
      <w:pPr>
        <w:spacing w:line="360" w:lineRule="auto"/>
        <w:ind w:firstLine="420" w:firstLineChars="200"/>
        <w:jc w:val="left"/>
        <w:rPr>
          <w:rFonts w:ascii="宋体" w:hAnsi="宋体"/>
          <w:szCs w:val="21"/>
        </w:rPr>
      </w:pPr>
      <w:r>
        <w:rPr>
          <w:rFonts w:hint="eastAsia" w:ascii="宋体" w:hAnsi="宋体"/>
          <w:szCs w:val="21"/>
        </w:rPr>
        <w:t>3.1 乙方应按公开招标文件规定的时间向甲方提供服务的有关技术资料。</w:t>
      </w:r>
    </w:p>
    <w:p>
      <w:pPr>
        <w:spacing w:line="360" w:lineRule="auto"/>
        <w:ind w:firstLine="420" w:firstLineChars="200"/>
        <w:jc w:val="left"/>
        <w:rPr>
          <w:rFonts w:ascii="宋体" w:hAnsi="宋体"/>
          <w:szCs w:val="21"/>
        </w:rPr>
      </w:pPr>
      <w:r>
        <w:rPr>
          <w:rFonts w:hint="eastAsia" w:ascii="宋体" w:hAnsi="宋体"/>
          <w:szCs w:val="21"/>
        </w:rPr>
        <w:t>3.2 没有甲方事先书面同意，乙方不得将由甲方提供的有关合同或任何合同条文或资料提供给任何其他人。即使向履行本合同有关的人员提供，也应注意保密并限于履行合同的必需范围。</w:t>
      </w:r>
    </w:p>
    <w:p>
      <w:pPr>
        <w:spacing w:line="360" w:lineRule="auto"/>
        <w:ind w:firstLine="420" w:firstLineChars="200"/>
        <w:jc w:val="left"/>
        <w:rPr>
          <w:rFonts w:ascii="宋体" w:hAnsi="宋体"/>
          <w:szCs w:val="21"/>
        </w:rPr>
      </w:pPr>
      <w:r>
        <w:rPr>
          <w:rFonts w:hint="eastAsia" w:ascii="宋体" w:hAnsi="宋体"/>
          <w:szCs w:val="21"/>
        </w:rPr>
        <w:t>3.3 关于本项目政府采购的公开招标文件、投标文件以及与本次采购活动方式相适应的文件及有关附件是本合同不可分割的组成部分，这些文件包括但不限于：</w:t>
      </w:r>
    </w:p>
    <w:p>
      <w:pPr>
        <w:spacing w:line="360" w:lineRule="auto"/>
        <w:ind w:firstLine="420" w:firstLineChars="200"/>
        <w:jc w:val="left"/>
        <w:rPr>
          <w:rFonts w:ascii="宋体" w:hAnsi="宋体"/>
          <w:szCs w:val="21"/>
        </w:rPr>
      </w:pPr>
      <w:r>
        <w:rPr>
          <w:rFonts w:hint="eastAsia" w:ascii="宋体" w:hAnsi="宋体"/>
          <w:szCs w:val="21"/>
        </w:rPr>
        <w:t xml:space="preserve">   （1）投标文件；                   （2）报价文件；</w:t>
      </w:r>
    </w:p>
    <w:p>
      <w:pPr>
        <w:spacing w:line="360" w:lineRule="auto"/>
        <w:ind w:firstLine="420" w:firstLineChars="200"/>
        <w:jc w:val="left"/>
        <w:rPr>
          <w:rFonts w:ascii="宋体" w:hAnsi="宋体"/>
          <w:szCs w:val="21"/>
        </w:rPr>
      </w:pPr>
      <w:r>
        <w:rPr>
          <w:rFonts w:hint="eastAsia" w:ascii="宋体" w:hAnsi="宋体"/>
          <w:szCs w:val="21"/>
        </w:rPr>
        <w:t xml:space="preserve">   （3）项目组人员表；               （4）技术参数、商务条款响应及偏离表；</w:t>
      </w:r>
    </w:p>
    <w:p>
      <w:pPr>
        <w:spacing w:line="360" w:lineRule="auto"/>
        <w:ind w:firstLine="420" w:firstLineChars="200"/>
        <w:jc w:val="left"/>
        <w:rPr>
          <w:rFonts w:ascii="宋体" w:hAnsi="宋体"/>
          <w:szCs w:val="21"/>
        </w:rPr>
      </w:pPr>
      <w:r>
        <w:rPr>
          <w:rFonts w:hint="eastAsia" w:ascii="宋体" w:hAnsi="宋体"/>
          <w:szCs w:val="21"/>
        </w:rPr>
        <w:t xml:space="preserve">   （5）服务承诺；                   （6）成交通知书；</w:t>
      </w:r>
    </w:p>
    <w:p>
      <w:pPr>
        <w:spacing w:line="360" w:lineRule="auto"/>
        <w:ind w:firstLine="420" w:firstLineChars="200"/>
        <w:jc w:val="left"/>
        <w:rPr>
          <w:rFonts w:ascii="宋体" w:hAnsi="宋体"/>
          <w:szCs w:val="21"/>
        </w:rPr>
      </w:pPr>
      <w:r>
        <w:rPr>
          <w:rFonts w:hint="eastAsia" w:ascii="宋体" w:hAnsi="宋体"/>
          <w:szCs w:val="21"/>
        </w:rPr>
        <w:t xml:space="preserve">   （7）甲乙双方补充协议；           （8）...</w:t>
      </w:r>
    </w:p>
    <w:p>
      <w:pPr>
        <w:pStyle w:val="17"/>
        <w:snapToGrid w:val="0"/>
        <w:spacing w:before="120" w:after="120" w:line="360" w:lineRule="auto"/>
        <w:ind w:firstLine="422" w:firstLineChars="200"/>
        <w:rPr>
          <w:rFonts w:hAnsi="宋体"/>
          <w:b/>
          <w:bCs/>
        </w:rPr>
      </w:pPr>
      <w:r>
        <w:rPr>
          <w:rFonts w:hint="eastAsia" w:hAnsi="宋体"/>
          <w:b/>
          <w:bCs/>
        </w:rPr>
        <w:t>4、知识产权</w:t>
      </w:r>
    </w:p>
    <w:p>
      <w:pPr>
        <w:spacing w:line="360" w:lineRule="auto"/>
        <w:ind w:firstLine="420" w:firstLineChars="200"/>
        <w:jc w:val="left"/>
        <w:rPr>
          <w:rFonts w:ascii="宋体" w:hAnsi="宋体"/>
          <w:szCs w:val="21"/>
        </w:rPr>
      </w:pPr>
      <w:r>
        <w:rPr>
          <w:rFonts w:hint="eastAsia" w:ascii="宋体" w:hAnsi="宋体"/>
          <w:szCs w:val="21"/>
        </w:rPr>
        <w:t>乙方保证甲方在使用、接受本合同服务或其任何一部分时，不受第三方提出侵犯其专利权、版权、商标权和工业设计权等知识产权的起诉。一旦出现侵权，由乙方负全部责任。</w:t>
      </w:r>
    </w:p>
    <w:p>
      <w:pPr>
        <w:pStyle w:val="17"/>
        <w:snapToGrid w:val="0"/>
        <w:spacing w:before="120" w:after="120" w:line="360" w:lineRule="auto"/>
        <w:ind w:firstLine="422" w:firstLineChars="200"/>
        <w:rPr>
          <w:rFonts w:hAnsi="宋体"/>
          <w:b/>
          <w:bCs/>
        </w:rPr>
      </w:pPr>
      <w:r>
        <w:rPr>
          <w:rFonts w:hint="eastAsia" w:hAnsi="宋体"/>
          <w:b/>
          <w:bCs/>
        </w:rPr>
        <w:t>5、产权担保</w:t>
      </w:r>
    </w:p>
    <w:p>
      <w:pPr>
        <w:autoSpaceDE w:val="0"/>
        <w:autoSpaceDN w:val="0"/>
        <w:spacing w:line="360" w:lineRule="auto"/>
        <w:ind w:firstLine="420" w:firstLineChars="200"/>
        <w:rPr>
          <w:rFonts w:ascii="宋体" w:hAnsi="宋体"/>
          <w:szCs w:val="21"/>
        </w:rPr>
      </w:pPr>
      <w:r>
        <w:rPr>
          <w:rFonts w:hint="eastAsia" w:ascii="宋体" w:hAnsi="宋体" w:cs="宋体"/>
          <w:szCs w:val="21"/>
        </w:rPr>
        <w:t>乙方保证所交付的服务和服务所涉及的物品所有权无任何抵押、查封等权利瑕疵。</w:t>
      </w:r>
    </w:p>
    <w:p>
      <w:pPr>
        <w:snapToGrid w:val="0"/>
        <w:spacing w:before="120" w:after="120" w:line="360" w:lineRule="auto"/>
        <w:ind w:left="315" w:leftChars="150" w:firstLine="105" w:firstLineChars="50"/>
        <w:rPr>
          <w:rFonts w:ascii="宋体" w:hAnsi="宋体"/>
          <w:b/>
          <w:bCs/>
          <w:szCs w:val="21"/>
        </w:rPr>
      </w:pPr>
      <w:r>
        <w:rPr>
          <w:rFonts w:hint="eastAsia" w:ascii="宋体" w:hAnsi="宋体"/>
          <w:b/>
          <w:bCs/>
          <w:szCs w:val="21"/>
        </w:rPr>
        <w:t>6、履约保证金</w:t>
      </w:r>
    </w:p>
    <w:p>
      <w:pPr>
        <w:pStyle w:val="17"/>
        <w:widowControl/>
        <w:snapToGrid w:val="0"/>
        <w:spacing w:before="120" w:after="120" w:line="360" w:lineRule="auto"/>
        <w:ind w:firstLine="420" w:firstLineChars="200"/>
        <w:rPr>
          <w:rFonts w:hAnsi="宋体"/>
        </w:rPr>
      </w:pPr>
      <w:r>
        <w:rPr>
          <w:rFonts w:hint="eastAsia" w:hAnsi="宋体"/>
        </w:rPr>
        <w:t>6.1</w:t>
      </w:r>
      <w:r>
        <w:rPr>
          <w:rFonts w:hAnsi="宋体"/>
        </w:rPr>
        <w:t>收取履约保证金的，应当在采购合同中约定履约保证金退还的方式、时间、条件和不予退还的情形，明确逾期退还履约保证金的违约责任。</w:t>
      </w:r>
      <w:r>
        <w:rPr>
          <w:rStyle w:val="44"/>
          <w:rFonts w:hint="eastAsia" w:ascii="Times New Roman" w:hAnsi="Times New Roman"/>
        </w:rPr>
        <w:t>（本项目不收履约保证金）</w:t>
      </w:r>
    </w:p>
    <w:p>
      <w:pPr>
        <w:snapToGrid w:val="0"/>
        <w:spacing w:before="120" w:after="120" w:line="360" w:lineRule="auto"/>
        <w:ind w:firstLine="420" w:firstLineChars="200"/>
        <w:rPr>
          <w:rFonts w:ascii="宋体" w:hAnsi="宋体"/>
          <w:kern w:val="0"/>
          <w:szCs w:val="21"/>
        </w:rPr>
      </w:pPr>
      <w:r>
        <w:rPr>
          <w:rFonts w:hint="eastAsia" w:ascii="宋体" w:hAnsi="宋体"/>
          <w:kern w:val="0"/>
          <w:szCs w:val="21"/>
        </w:rPr>
        <w:t>6.2履约保证金用以约束乙方在合同履行中的行为，以及弥补合同履行中由于乙方自身行为可能给甲方带来的各种损失；若保证金额不足以弥补乙方违约造成甲方损失的，甲方可继续向乙方主张索赔。</w:t>
      </w:r>
    </w:p>
    <w:p>
      <w:pPr>
        <w:snapToGrid w:val="0"/>
        <w:spacing w:before="120" w:after="120" w:line="360" w:lineRule="auto"/>
        <w:ind w:firstLine="420" w:firstLineChars="200"/>
        <w:rPr>
          <w:rFonts w:ascii="宋体" w:hAnsi="宋体"/>
          <w:kern w:val="0"/>
          <w:szCs w:val="21"/>
        </w:rPr>
      </w:pPr>
      <w:r>
        <w:rPr>
          <w:rFonts w:ascii="宋体" w:hAnsi="宋体"/>
          <w:kern w:val="0"/>
          <w:szCs w:val="21"/>
        </w:rPr>
        <w:t>6.3 履约保证金扣除甲方应得的补偿后的余额，在本合同履行结束后由甲方无息退还。</w:t>
      </w:r>
    </w:p>
    <w:p>
      <w:pPr>
        <w:pStyle w:val="17"/>
        <w:snapToGrid w:val="0"/>
        <w:spacing w:before="120" w:after="120" w:line="360" w:lineRule="auto"/>
        <w:ind w:firstLine="422" w:firstLineChars="200"/>
        <w:rPr>
          <w:rFonts w:hAnsi="宋体"/>
          <w:b/>
          <w:bCs/>
        </w:rPr>
      </w:pPr>
      <w:r>
        <w:rPr>
          <w:rFonts w:hint="eastAsia" w:hAnsi="宋体"/>
          <w:b/>
          <w:bCs/>
        </w:rPr>
        <w:t>7、转包或分包</w:t>
      </w:r>
    </w:p>
    <w:p>
      <w:pPr>
        <w:spacing w:line="360" w:lineRule="auto"/>
        <w:ind w:firstLine="420" w:firstLineChars="200"/>
        <w:jc w:val="left"/>
        <w:rPr>
          <w:rFonts w:ascii="宋体" w:hAnsi="宋体"/>
          <w:szCs w:val="21"/>
        </w:rPr>
      </w:pPr>
      <w:r>
        <w:rPr>
          <w:rFonts w:ascii="宋体" w:hAnsi="宋体"/>
          <w:szCs w:val="21"/>
        </w:rPr>
        <w:t>7</w:t>
      </w:r>
      <w:r>
        <w:rPr>
          <w:rFonts w:hint="eastAsia" w:ascii="宋体" w:hAnsi="宋体"/>
          <w:szCs w:val="21"/>
        </w:rPr>
        <w:t>.1 本合同禁止转包，本合同范围的服务，应由乙方直接提供的，不得转让他人提供。</w:t>
      </w:r>
    </w:p>
    <w:p>
      <w:pPr>
        <w:spacing w:line="360" w:lineRule="auto"/>
        <w:ind w:firstLine="420" w:firstLineChars="200"/>
        <w:jc w:val="left"/>
        <w:rPr>
          <w:rFonts w:ascii="宋体" w:hAnsi="宋体"/>
          <w:szCs w:val="21"/>
        </w:rPr>
      </w:pPr>
      <w:r>
        <w:rPr>
          <w:rFonts w:ascii="宋体" w:hAnsi="宋体"/>
          <w:szCs w:val="21"/>
        </w:rPr>
        <w:t>7</w:t>
      </w:r>
      <w:r>
        <w:rPr>
          <w:rFonts w:hint="eastAsia" w:ascii="宋体" w:hAnsi="宋体"/>
          <w:szCs w:val="21"/>
        </w:rPr>
        <w:t>.2 经甲方同意，乙方可以依法采取分包方式履行合同，但是分包方式履行的，乙方应就采购项目向甲方负全责。</w:t>
      </w:r>
    </w:p>
    <w:p>
      <w:pPr>
        <w:autoSpaceDE w:val="0"/>
        <w:autoSpaceDN w:val="0"/>
        <w:spacing w:line="360" w:lineRule="auto"/>
        <w:ind w:firstLine="420" w:firstLineChars="200"/>
        <w:rPr>
          <w:rFonts w:ascii="宋体" w:hAnsi="宋体"/>
          <w:szCs w:val="21"/>
        </w:rPr>
      </w:pPr>
      <w:r>
        <w:rPr>
          <w:rFonts w:ascii="宋体" w:hAnsi="宋体"/>
          <w:szCs w:val="21"/>
        </w:rPr>
        <w:t>7.3 如有转让和未经甲方同意的分包行为，甲方有权给予终止合同。</w:t>
      </w:r>
    </w:p>
    <w:p>
      <w:pPr>
        <w:pStyle w:val="17"/>
        <w:snapToGrid w:val="0"/>
        <w:spacing w:before="120" w:after="120" w:line="360" w:lineRule="auto"/>
        <w:ind w:firstLine="422" w:firstLineChars="200"/>
        <w:rPr>
          <w:rFonts w:hAnsi="宋体"/>
          <w:b/>
          <w:bCs/>
        </w:rPr>
      </w:pPr>
      <w:r>
        <w:rPr>
          <w:rFonts w:hint="eastAsia" w:hAnsi="宋体"/>
          <w:b/>
          <w:bCs/>
        </w:rPr>
        <w:t>8、维保期</w:t>
      </w:r>
    </w:p>
    <w:p>
      <w:pPr>
        <w:spacing w:line="360" w:lineRule="auto"/>
        <w:ind w:firstLine="420" w:firstLineChars="200"/>
        <w:jc w:val="left"/>
        <w:rPr>
          <w:rFonts w:ascii="宋体" w:hAnsi="宋体"/>
          <w:szCs w:val="21"/>
        </w:rPr>
      </w:pPr>
      <w:r>
        <w:rPr>
          <w:rFonts w:hint="eastAsia" w:ascii="宋体" w:hAnsi="宋体"/>
          <w:szCs w:val="21"/>
        </w:rPr>
        <w:t xml:space="preserve">7.1 免费维保期 </w:t>
      </w:r>
      <w:r>
        <w:rPr>
          <w:rFonts w:hint="eastAsia" w:ascii="宋体" w:hAnsi="宋体"/>
          <w:szCs w:val="21"/>
          <w:u w:val="single"/>
        </w:rPr>
        <w:t xml:space="preserve">     </w:t>
      </w:r>
      <w:r>
        <w:rPr>
          <w:rFonts w:hint="eastAsia" w:ascii="宋体" w:hAnsi="宋体"/>
          <w:szCs w:val="21"/>
        </w:rPr>
        <w:t>年。（自验收合格之日起计）</w:t>
      </w:r>
    </w:p>
    <w:p>
      <w:pPr>
        <w:pStyle w:val="17"/>
        <w:snapToGrid w:val="0"/>
        <w:spacing w:before="120" w:after="120" w:line="360" w:lineRule="auto"/>
        <w:ind w:firstLine="422" w:firstLineChars="200"/>
        <w:rPr>
          <w:rFonts w:hAnsi="宋体"/>
          <w:b/>
          <w:bCs/>
        </w:rPr>
      </w:pPr>
      <w:r>
        <w:rPr>
          <w:rFonts w:hint="eastAsia" w:hAnsi="宋体"/>
          <w:b/>
          <w:bCs/>
        </w:rPr>
        <w:t>9、交付期、交付方式及交付地点</w:t>
      </w:r>
    </w:p>
    <w:p>
      <w:pPr>
        <w:spacing w:line="360" w:lineRule="auto"/>
        <w:ind w:firstLine="420" w:firstLineChars="200"/>
        <w:jc w:val="left"/>
        <w:rPr>
          <w:rFonts w:ascii="宋体" w:hAnsi="宋体"/>
          <w:szCs w:val="21"/>
        </w:rPr>
      </w:pPr>
      <w:r>
        <w:rPr>
          <w:rFonts w:ascii="宋体" w:hAnsi="宋体"/>
          <w:szCs w:val="21"/>
        </w:rPr>
        <w:t>9</w:t>
      </w:r>
      <w:r>
        <w:rPr>
          <w:rFonts w:hint="eastAsia" w:ascii="宋体" w:hAnsi="宋体"/>
          <w:szCs w:val="21"/>
        </w:rPr>
        <w:t>.1 交付期：_________</w:t>
      </w:r>
    </w:p>
    <w:p>
      <w:pPr>
        <w:spacing w:line="360" w:lineRule="auto"/>
        <w:ind w:firstLine="420" w:firstLineChars="200"/>
        <w:jc w:val="left"/>
        <w:rPr>
          <w:rFonts w:ascii="宋体" w:hAnsi="宋体"/>
          <w:szCs w:val="21"/>
        </w:rPr>
      </w:pPr>
      <w:r>
        <w:rPr>
          <w:rFonts w:ascii="宋体" w:hAnsi="宋体"/>
          <w:szCs w:val="21"/>
        </w:rPr>
        <w:t>9</w:t>
      </w:r>
      <w:r>
        <w:rPr>
          <w:rFonts w:hint="eastAsia" w:ascii="宋体" w:hAnsi="宋体"/>
          <w:szCs w:val="21"/>
        </w:rPr>
        <w:t>.2 交付方式：_________</w:t>
      </w:r>
    </w:p>
    <w:p>
      <w:pPr>
        <w:spacing w:line="360" w:lineRule="auto"/>
        <w:ind w:firstLine="420" w:firstLineChars="200"/>
        <w:jc w:val="left"/>
        <w:rPr>
          <w:rFonts w:ascii="宋体" w:hAnsi="宋体"/>
          <w:szCs w:val="21"/>
        </w:rPr>
      </w:pPr>
      <w:r>
        <w:rPr>
          <w:rFonts w:ascii="宋体" w:hAnsi="宋体"/>
          <w:szCs w:val="21"/>
        </w:rPr>
        <w:t>9</w:t>
      </w:r>
      <w:r>
        <w:rPr>
          <w:rFonts w:hint="eastAsia" w:ascii="宋体" w:hAnsi="宋体"/>
          <w:szCs w:val="21"/>
        </w:rPr>
        <w:t>.3 交付地点：_________</w:t>
      </w:r>
    </w:p>
    <w:p>
      <w:pPr>
        <w:pStyle w:val="17"/>
        <w:snapToGrid w:val="0"/>
        <w:spacing w:before="120" w:after="120" w:line="360" w:lineRule="auto"/>
        <w:ind w:firstLine="422" w:firstLineChars="200"/>
        <w:rPr>
          <w:rFonts w:hAnsi="宋体"/>
          <w:b/>
          <w:bCs/>
        </w:rPr>
      </w:pPr>
      <w:r>
        <w:rPr>
          <w:rFonts w:hint="eastAsia" w:hAnsi="宋体"/>
          <w:b/>
          <w:bCs/>
        </w:rPr>
        <w:t>1</w:t>
      </w:r>
      <w:r>
        <w:rPr>
          <w:rFonts w:hAnsi="宋体"/>
          <w:b/>
          <w:bCs/>
        </w:rPr>
        <w:t>0</w:t>
      </w:r>
      <w:r>
        <w:rPr>
          <w:rFonts w:hint="eastAsia" w:hAnsi="宋体"/>
          <w:b/>
          <w:bCs/>
        </w:rPr>
        <w:t>、货款支付</w:t>
      </w:r>
    </w:p>
    <w:p>
      <w:pPr>
        <w:spacing w:line="360" w:lineRule="auto"/>
        <w:ind w:firstLine="420" w:firstLineChars="200"/>
        <w:jc w:val="left"/>
        <w:rPr>
          <w:rFonts w:ascii="宋体" w:hAnsi="宋体"/>
          <w:szCs w:val="21"/>
        </w:rPr>
      </w:pPr>
      <w:r>
        <w:rPr>
          <w:rFonts w:ascii="宋体" w:hAnsi="宋体"/>
          <w:szCs w:val="21"/>
        </w:rPr>
        <w:t>10</w:t>
      </w:r>
      <w:r>
        <w:rPr>
          <w:rFonts w:hint="eastAsia" w:ascii="宋体" w:hAnsi="宋体"/>
          <w:szCs w:val="21"/>
        </w:rPr>
        <w:t xml:space="preserve">.1 本合同项下所有款项均以人民币支付。 </w:t>
      </w:r>
    </w:p>
    <w:p>
      <w:pPr>
        <w:spacing w:line="360" w:lineRule="auto"/>
        <w:ind w:firstLine="420" w:firstLineChars="200"/>
        <w:jc w:val="left"/>
        <w:rPr>
          <w:rFonts w:ascii="宋体" w:hAnsi="宋体"/>
          <w:szCs w:val="21"/>
        </w:rPr>
      </w:pPr>
      <w:r>
        <w:rPr>
          <w:rFonts w:ascii="宋体" w:hAnsi="宋体"/>
          <w:szCs w:val="21"/>
        </w:rPr>
        <w:t>10</w:t>
      </w:r>
      <w:r>
        <w:rPr>
          <w:rFonts w:hint="eastAsia" w:ascii="宋体" w:hAnsi="宋体"/>
          <w:szCs w:val="21"/>
        </w:rPr>
        <w:t>.2 本合同项下的采购资金由甲方支付，付款前乙方向甲方开具发票。</w:t>
      </w:r>
    </w:p>
    <w:p>
      <w:pPr>
        <w:snapToGrid w:val="0"/>
        <w:spacing w:before="120" w:after="120" w:line="360" w:lineRule="auto"/>
        <w:ind w:firstLine="420" w:firstLineChars="200"/>
        <w:rPr>
          <w:rFonts w:ascii="宋体" w:hAnsi="宋体" w:cs="宋体"/>
          <w:szCs w:val="21"/>
        </w:rPr>
      </w:pPr>
      <w:r>
        <w:rPr>
          <w:rFonts w:hint="eastAsia" w:ascii="宋体" w:hAnsi="宋体" w:cs="宋体"/>
          <w:szCs w:val="21"/>
        </w:rPr>
        <w:t>10.3 甲方付款方式：</w:t>
      </w:r>
    </w:p>
    <w:p>
      <w:pPr>
        <w:adjustRightInd w:val="0"/>
        <w:snapToGrid w:val="0"/>
        <w:spacing w:line="360" w:lineRule="auto"/>
        <w:ind w:firstLine="420" w:firstLineChars="200"/>
        <w:rPr>
          <w:rFonts w:ascii="宋体" w:hAnsi="宋体" w:cs="宋体"/>
          <w:szCs w:val="21"/>
        </w:rPr>
      </w:pPr>
      <w:r>
        <w:rPr>
          <w:rFonts w:hint="eastAsia" w:ascii="宋体" w:hAnsi="宋体" w:cs="宋体"/>
          <w:szCs w:val="21"/>
          <w:u w:val="single"/>
        </w:rPr>
        <w:t>在采购合同签订生效后，甲方自本合同生效之日起十个工作日内支付30%（￥   人民币    ）合同金额；经甲方验收合格，乙方向甲方提供全部合同金额发票（含13%增值税）后60日历天内付剩余70%（￥     人民币       ）合同金额，如乙方未能按时提供符合规定的发票，甲方可延长相应付款期限，直至乙方提供符合规定的发票。</w:t>
      </w:r>
    </w:p>
    <w:p>
      <w:pPr>
        <w:adjustRightInd w:val="0"/>
        <w:snapToGrid w:val="0"/>
        <w:spacing w:line="360" w:lineRule="auto"/>
        <w:ind w:firstLine="420" w:firstLineChars="200"/>
      </w:pPr>
      <w:r>
        <w:rPr>
          <w:rFonts w:ascii="宋体" w:hAnsi="宋体" w:cs="宋体"/>
          <w:szCs w:val="21"/>
        </w:rPr>
        <w:t>10</w:t>
      </w:r>
      <w:r>
        <w:rPr>
          <w:rFonts w:hint="eastAsia" w:ascii="宋体" w:hAnsi="宋体" w:cs="宋体"/>
          <w:szCs w:val="21"/>
        </w:rPr>
        <w:t>.4合同履行期限：    天。</w:t>
      </w:r>
      <w:r>
        <w:rPr>
          <w:rFonts w:hint="eastAsia"/>
        </w:rPr>
        <w:t>自合同签订之日起至202</w:t>
      </w:r>
      <w:r>
        <w:t xml:space="preserve"> </w:t>
      </w:r>
      <w:r>
        <w:rPr>
          <w:rFonts w:hint="eastAsia"/>
        </w:rPr>
        <w:t xml:space="preserve">年 </w:t>
      </w:r>
      <w:r>
        <w:t xml:space="preserve"> </w:t>
      </w:r>
      <w:r>
        <w:rPr>
          <w:rFonts w:hint="eastAsia"/>
        </w:rPr>
        <w:t xml:space="preserve">月 </w:t>
      </w:r>
      <w:r>
        <w:t xml:space="preserve"> </w:t>
      </w:r>
      <w:r>
        <w:rPr>
          <w:rFonts w:hint="eastAsia"/>
        </w:rPr>
        <w:t>日</w:t>
      </w:r>
      <w:r>
        <w:rPr>
          <w:rFonts w:hint="eastAsia" w:ascii="宋体" w:hAnsi="宋体" w:cs="宋体"/>
          <w:szCs w:val="21"/>
        </w:rPr>
        <w:t>。</w:t>
      </w:r>
    </w:p>
    <w:p>
      <w:pPr>
        <w:pStyle w:val="17"/>
        <w:snapToGrid w:val="0"/>
        <w:spacing w:before="120" w:after="120" w:line="360" w:lineRule="auto"/>
        <w:ind w:firstLine="422" w:firstLineChars="200"/>
        <w:rPr>
          <w:rFonts w:hAnsi="宋体"/>
          <w:b/>
          <w:bCs/>
        </w:rPr>
      </w:pPr>
      <w:r>
        <w:rPr>
          <w:rFonts w:hint="eastAsia" w:hAnsi="宋体"/>
          <w:b/>
          <w:bCs/>
        </w:rPr>
        <w:t>1</w:t>
      </w:r>
      <w:r>
        <w:rPr>
          <w:rFonts w:hAnsi="宋体"/>
          <w:b/>
          <w:bCs/>
        </w:rPr>
        <w:t>1</w:t>
      </w:r>
      <w:r>
        <w:rPr>
          <w:rFonts w:hint="eastAsia" w:hAnsi="宋体"/>
          <w:b/>
          <w:bCs/>
        </w:rPr>
        <w:t>、税费</w:t>
      </w:r>
    </w:p>
    <w:p>
      <w:pPr>
        <w:spacing w:line="360" w:lineRule="auto"/>
        <w:ind w:firstLine="420" w:firstLineChars="200"/>
        <w:jc w:val="left"/>
        <w:rPr>
          <w:rFonts w:ascii="宋体" w:hAnsi="宋体"/>
          <w:szCs w:val="21"/>
        </w:rPr>
      </w:pPr>
      <w:r>
        <w:rPr>
          <w:rFonts w:hint="eastAsia" w:ascii="宋体" w:hAnsi="宋体"/>
          <w:szCs w:val="21"/>
        </w:rPr>
        <w:t>本合同执行中相关的一切税费均由乙方负担。</w:t>
      </w:r>
    </w:p>
    <w:p>
      <w:pPr>
        <w:pStyle w:val="17"/>
        <w:snapToGrid w:val="0"/>
        <w:spacing w:before="120" w:after="120" w:line="360" w:lineRule="auto"/>
        <w:ind w:firstLine="422" w:firstLineChars="200"/>
        <w:rPr>
          <w:rFonts w:hAnsi="宋体"/>
          <w:b/>
          <w:bCs/>
        </w:rPr>
      </w:pPr>
      <w:r>
        <w:rPr>
          <w:rFonts w:hint="eastAsia" w:hAnsi="宋体"/>
          <w:b/>
          <w:bCs/>
        </w:rPr>
        <w:t>1</w:t>
      </w:r>
      <w:r>
        <w:rPr>
          <w:rFonts w:hAnsi="宋体"/>
          <w:b/>
          <w:bCs/>
        </w:rPr>
        <w:t>2</w:t>
      </w:r>
      <w:r>
        <w:rPr>
          <w:rFonts w:hint="eastAsia" w:hAnsi="宋体"/>
          <w:b/>
          <w:bCs/>
        </w:rPr>
        <w:t>、质量保证及售后服务</w:t>
      </w:r>
    </w:p>
    <w:p>
      <w:pPr>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 乙方应按公开招标文件规定及投标文件承诺的技术性能、技术要求、质量标准向甲方提供服务；若无特殊说明，则按国家有关部门最新颁布的标准及规范为准。</w:t>
      </w:r>
    </w:p>
    <w:p>
      <w:pPr>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 乙方应保证其提供的服务是全面和规范的，并完全符合公开招标文件及投标文件。如因乙方提供的服务有瑕疵造成甲方损失的，所需费用由乙方承担。</w:t>
      </w:r>
    </w:p>
    <w:p>
      <w:pPr>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 如在使用过程中发生质量问题，乙方在接到甲方通知后在_________小时内到达甲方现场。</w:t>
      </w:r>
    </w:p>
    <w:p>
      <w:pPr>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.4 免费维保期内，乙方应对所提供服务出现的质量及安全问题负责处理解决并承担一切费用。</w:t>
      </w:r>
    </w:p>
    <w:p>
      <w:pPr>
        <w:pStyle w:val="17"/>
        <w:snapToGrid w:val="0"/>
        <w:spacing w:before="120" w:after="120" w:line="360" w:lineRule="auto"/>
        <w:ind w:firstLine="422" w:firstLineChars="200"/>
        <w:rPr>
          <w:rFonts w:hAnsi="宋体"/>
          <w:b/>
          <w:bCs/>
        </w:rPr>
      </w:pPr>
      <w:r>
        <w:rPr>
          <w:rFonts w:hint="eastAsia" w:hAnsi="宋体"/>
          <w:b/>
          <w:bCs/>
        </w:rPr>
        <w:t>1</w:t>
      </w:r>
      <w:r>
        <w:rPr>
          <w:rFonts w:hAnsi="宋体"/>
          <w:b/>
          <w:bCs/>
        </w:rPr>
        <w:t>3</w:t>
      </w:r>
      <w:r>
        <w:rPr>
          <w:rFonts w:hint="eastAsia" w:hAnsi="宋体"/>
          <w:b/>
          <w:bCs/>
        </w:rPr>
        <w:t>、交付和验收</w:t>
      </w:r>
    </w:p>
    <w:p>
      <w:pPr>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.1 乙方应当在合同签订后</w:t>
      </w:r>
      <w:r>
        <w:rPr>
          <w:rFonts w:hint="eastAsia" w:ascii="宋体" w:hAnsi="宋体"/>
          <w:szCs w:val="21"/>
          <w:u w:val="single"/>
        </w:rPr>
        <w:t xml:space="preserve">     </w:t>
      </w:r>
      <w:r>
        <w:rPr>
          <w:rFonts w:hint="eastAsia" w:ascii="宋体" w:hAnsi="宋体"/>
          <w:szCs w:val="21"/>
        </w:rPr>
        <w:t>天内完成服务事项，公开招标文件有约定的，从其约定。</w:t>
      </w:r>
    </w:p>
    <w:p>
      <w:pPr>
        <w:spacing w:line="360" w:lineRule="auto"/>
        <w:ind w:firstLine="420" w:firstLineChars="200"/>
        <w:jc w:val="left"/>
        <w:rPr>
          <w:rFonts w:ascii="宋体" w:hAnsi="宋体"/>
          <w:szCs w:val="21"/>
        </w:rPr>
      </w:pPr>
      <w:r>
        <w:rPr>
          <w:rFonts w:hint="eastAsia" w:ascii="宋体" w:hAnsi="宋体"/>
          <w:szCs w:val="21"/>
        </w:rPr>
        <w:t>在交付前，乙方应作出全面检查和对验收文件进行整理，并列出清单，作为甲方初验收和使用的技术条件依据，检验的结果交甲方。</w:t>
      </w:r>
    </w:p>
    <w:p>
      <w:pPr>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.2 验收标准：按乙方投标文件的承诺，并不低于国家相关标准。</w:t>
      </w:r>
    </w:p>
    <w:p>
      <w:pPr>
        <w:spacing w:line="360" w:lineRule="auto"/>
        <w:ind w:firstLine="420" w:firstLineChars="200"/>
        <w:rPr>
          <w:rFonts w:ascii="宋体" w:hAnsi="宋体"/>
          <w:szCs w:val="21"/>
        </w:rPr>
      </w:pPr>
      <w:r>
        <w:rPr>
          <w:rFonts w:hint="eastAsia" w:ascii="宋体" w:hAnsi="宋体"/>
          <w:szCs w:val="21"/>
        </w:rPr>
        <w:t>对于乙方要交付的服务，甲乙双方须在</w:t>
      </w:r>
      <w:r>
        <w:rPr>
          <w:rFonts w:hint="eastAsia" w:ascii="宋体" w:hAnsi="宋体"/>
          <w:szCs w:val="21"/>
          <w:u w:val="single"/>
        </w:rPr>
        <w:t xml:space="preserve">    </w:t>
      </w:r>
      <w:r>
        <w:rPr>
          <w:rFonts w:hint="eastAsia" w:ascii="宋体" w:hAnsi="宋体"/>
          <w:szCs w:val="21"/>
        </w:rPr>
        <w:t>工作日内初验收，甲方对乙方提交的服务依据公开招标文件上的技术要求和国家有关质量标准进行现场初步验收，外观、说明书、包装符合公开招标文件技术要求的，给予签收，初步验收不合格的不予签收。</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.3 乙方按照公开招标文件要求负责安装并培训甲方的使用操作人员，乙方在甲方使用前进行调试，调试直到符合技术要求的甲方才做最终验收。</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.4 对技术复杂的服务内容，甲方可请国家认可的专业检测机构参与初步验收及最终验收，并由其出具质量检测报告。验收时乙方必须在现场，验收完毕后作出验收结果报告；</w:t>
      </w:r>
    </w:p>
    <w:p>
      <w:pPr>
        <w:spacing w:line="360" w:lineRule="auto"/>
        <w:ind w:firstLine="420" w:firstLineChars="200"/>
        <w:rPr>
          <w:rFonts w:ascii="宋体" w:hAnsi="宋体"/>
          <w:szCs w:val="21"/>
        </w:rPr>
      </w:pPr>
      <w:r>
        <w:rPr>
          <w:rFonts w:hint="eastAsia" w:ascii="宋体" w:hAnsi="宋体"/>
          <w:szCs w:val="21"/>
        </w:rPr>
        <w:t>13.5甲方收货后，通知乙方工程师到现场进行清点。甲方根据相应验收标准对货物进行检查验收以后，如果另行发现质量、技术等问题的，乙方应按照甲方的要求及时采取补足、更换或退货等处理措施，并承担由此发生的一切损失和费用，并需经采购方指定或确认的第三方检测机构校准合格（产生校准费用由乙方支付），其技术指标必须符合相关国际和国家标准。乙方应负责在项目验收时将系统的全部有关文件，包括但不限于产品说明书、原厂家安装手册、安装/验收报告、竣工文档、配置文档等汇集装订成册交付给甲方。</w:t>
      </w:r>
    </w:p>
    <w:p>
      <w:pPr>
        <w:spacing w:line="360" w:lineRule="auto"/>
        <w:ind w:firstLine="420" w:firstLineChars="200"/>
        <w:rPr>
          <w:rFonts w:ascii="宋体" w:hAnsi="宋体"/>
          <w:szCs w:val="21"/>
          <w:u w:val="single"/>
        </w:rPr>
      </w:pPr>
      <w:r>
        <w:rPr>
          <w:rFonts w:hint="eastAsia" w:ascii="宋体" w:hAnsi="宋体"/>
          <w:szCs w:val="21"/>
        </w:rPr>
        <w:t>1</w:t>
      </w:r>
      <w:r>
        <w:rPr>
          <w:rFonts w:ascii="宋体" w:hAnsi="宋体"/>
          <w:szCs w:val="21"/>
        </w:rPr>
        <w:t>3</w:t>
      </w:r>
      <w:r>
        <w:rPr>
          <w:rFonts w:hint="eastAsia" w:ascii="宋体" w:hAnsi="宋体"/>
          <w:szCs w:val="21"/>
        </w:rPr>
        <w:t>.5 甲乙双方关于调试和验收的其他约定：</w:t>
      </w:r>
      <w:r>
        <w:rPr>
          <w:rFonts w:hint="eastAsia" w:ascii="宋体" w:hAnsi="宋体"/>
          <w:szCs w:val="21"/>
          <w:u w:val="single"/>
        </w:rPr>
        <w:t xml:space="preserve">                           </w:t>
      </w:r>
      <w:r>
        <w:rPr>
          <w:rFonts w:hint="eastAsia" w:ascii="宋体" w:hAnsi="宋体"/>
          <w:szCs w:val="21"/>
        </w:rPr>
        <w:t>。</w:t>
      </w:r>
    </w:p>
    <w:p>
      <w:pPr>
        <w:pStyle w:val="17"/>
        <w:snapToGrid w:val="0"/>
        <w:spacing w:before="120" w:after="120" w:line="360" w:lineRule="auto"/>
        <w:ind w:firstLine="422" w:firstLineChars="200"/>
        <w:rPr>
          <w:rFonts w:hAnsi="宋体"/>
          <w:b/>
          <w:bCs/>
        </w:rPr>
      </w:pPr>
      <w:r>
        <w:rPr>
          <w:rFonts w:hint="eastAsia" w:hAnsi="宋体"/>
          <w:b/>
          <w:bCs/>
        </w:rPr>
        <w:t>1</w:t>
      </w:r>
      <w:r>
        <w:rPr>
          <w:rFonts w:hAnsi="宋体"/>
          <w:b/>
          <w:bCs/>
        </w:rPr>
        <w:t>4</w:t>
      </w:r>
      <w:r>
        <w:rPr>
          <w:rFonts w:hint="eastAsia" w:hAnsi="宋体"/>
          <w:b/>
          <w:bCs/>
        </w:rPr>
        <w:t>、服务包装、发运及运输</w:t>
      </w:r>
    </w:p>
    <w:p>
      <w:pPr>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.1 乙方应对其提供的服务所涉及物品在发运前对其进行满足运输距离、防潮、防震、防锈和防破损装卸等要求包装，以保证安全运达甲方指定地点。</w:t>
      </w:r>
    </w:p>
    <w:p>
      <w:pPr>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.2 乙方交付时，使用说明书、检验证明书、随配附件和工具以及清单一并附于内。</w:t>
      </w:r>
    </w:p>
    <w:p>
      <w:pPr>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.3 乙方在提供的服务所涉及物品在货物发运手续办理完毕后24小时内或货到甲方48小时前通知甲方，以准备甲方接货。根据甲方通知的时间和指定的地点，乙方负责安排送货、装卸、清点、堆放，设备初验收合格前的保管工作由乙方负责，费用乙方承担。</w:t>
      </w:r>
    </w:p>
    <w:p>
      <w:pPr>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.4 服务在交付甲方前发生的风险均由乙方负责。</w:t>
      </w:r>
    </w:p>
    <w:p>
      <w:pPr>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.5 服务在规定的交付期限内由乙方送达甲方指定的地点。</w:t>
      </w:r>
    </w:p>
    <w:p>
      <w:pPr>
        <w:pStyle w:val="17"/>
        <w:snapToGrid w:val="0"/>
        <w:spacing w:before="120" w:after="120" w:line="360" w:lineRule="auto"/>
        <w:ind w:firstLine="422" w:firstLineChars="200"/>
        <w:rPr>
          <w:rFonts w:hAnsi="宋体"/>
          <w:b/>
          <w:bCs/>
        </w:rPr>
      </w:pPr>
      <w:r>
        <w:rPr>
          <w:rFonts w:hint="eastAsia" w:hAnsi="宋体"/>
          <w:b/>
          <w:bCs/>
        </w:rPr>
        <w:t>1</w:t>
      </w:r>
      <w:r>
        <w:rPr>
          <w:rFonts w:hAnsi="宋体"/>
          <w:b/>
          <w:bCs/>
        </w:rPr>
        <w:t>5</w:t>
      </w:r>
      <w:r>
        <w:rPr>
          <w:rFonts w:hint="eastAsia" w:hAnsi="宋体"/>
          <w:b/>
          <w:bCs/>
        </w:rPr>
        <w:t>、违约责任</w:t>
      </w:r>
    </w:p>
    <w:p>
      <w:pPr>
        <w:spacing w:line="360" w:lineRule="auto"/>
        <w:ind w:firstLine="420" w:firstLineChars="200"/>
        <w:jc w:val="left"/>
        <w:rPr>
          <w:rFonts w:ascii="宋体" w:hAnsi="宋体"/>
          <w:szCs w:val="21"/>
        </w:rPr>
      </w:pPr>
      <w:r>
        <w:rPr>
          <w:rFonts w:hint="eastAsia" w:ascii="宋体" w:hAnsi="宋体"/>
          <w:szCs w:val="21"/>
        </w:rPr>
        <w:t>15.1 乙方违约，如果乙方没有按照合同规定提供服务，甲方应从货款中扣除相应误期赔偿费，且仍保有采取合同项下的其他补救方法的权利，赔偿费按每周赔偿迟交货物的交货价或延期服务的服务费用的千分之三计收，直至乙方交货或提供服务为止。但误期赔偿费的最高限额不超过合同价的百分之十（10%）。一周按七天计算，不足七天按一周计算。一旦达到误期赔偿的最高限额，甲方有权终止本合同并追究乙方的违约责任即支付合同总金额30%的违约金，并承担全部损失。</w:t>
      </w:r>
    </w:p>
    <w:p>
      <w:pPr>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.2 乙方因逾期交付服务项目或因其他违约行为，导致甲方解除合同的，乙方应向甲方支付合同总值5%的违约金，如造成甲方损失超过违约金的，超出部分由乙方继续承担赔偿责任。</w:t>
      </w:r>
    </w:p>
    <w:p>
      <w:pPr>
        <w:spacing w:line="360" w:lineRule="auto"/>
        <w:ind w:firstLine="420" w:firstLineChars="200"/>
        <w:jc w:val="left"/>
        <w:rPr>
          <w:rFonts w:hAnsi="宋体" w:cs="宋体"/>
        </w:rPr>
      </w:pPr>
      <w:r>
        <w:rPr>
          <w:rFonts w:hint="eastAsia" w:ascii="宋体" w:hAnsi="宋体"/>
          <w:szCs w:val="21"/>
        </w:rPr>
        <w:t>1</w:t>
      </w:r>
      <w:r>
        <w:rPr>
          <w:rFonts w:ascii="宋体" w:hAnsi="宋体"/>
          <w:szCs w:val="21"/>
        </w:rPr>
        <w:t>5</w:t>
      </w:r>
      <w:r>
        <w:rPr>
          <w:rFonts w:hint="eastAsia" w:ascii="宋体" w:hAnsi="宋体"/>
          <w:szCs w:val="21"/>
        </w:rPr>
        <w:t>.3 乙方所交的服务项目全部或部分品种、型号、规格、技术参数、质量不符合合同规定及公开招标文件规定标准的，乙方更换服务但逾期交付的（甲方拒绝接受的除外），按乙方逾</w:t>
      </w:r>
      <w:r>
        <w:rPr>
          <w:rFonts w:hint="eastAsia" w:hAnsi="宋体" w:cs="宋体"/>
        </w:rPr>
        <w:t>期交付处理；乙方拒绝更换的，甲方可选择解除本合同或本合同的一部分，并可追究乙方的其他违约责任。</w:t>
      </w:r>
    </w:p>
    <w:p>
      <w:pPr>
        <w:pStyle w:val="17"/>
        <w:snapToGrid w:val="0"/>
        <w:spacing w:before="120" w:after="120" w:line="360" w:lineRule="auto"/>
        <w:ind w:firstLine="420" w:firstLineChars="200"/>
        <w:rPr>
          <w:rFonts w:hAnsi="宋体"/>
        </w:rPr>
      </w:pPr>
      <w:r>
        <w:rPr>
          <w:rFonts w:hint="eastAsia" w:hAnsi="宋体" w:cs="宋体"/>
        </w:rPr>
        <w:t>1</w:t>
      </w:r>
      <w:r>
        <w:rPr>
          <w:rFonts w:hAnsi="宋体" w:cs="宋体"/>
        </w:rPr>
        <w:t>5</w:t>
      </w:r>
      <w:r>
        <w:rPr>
          <w:rFonts w:hint="eastAsia" w:hAnsi="宋体"/>
        </w:rPr>
        <w:t>.4 合同生效后，发现乙方投标属虚假承诺，或经权威部门监测提供的服务不能满足公开招标文件要求，造成合同无法继续履行的，向甲方支付不少于合同总价</w:t>
      </w:r>
      <w:r>
        <w:rPr>
          <w:rFonts w:hint="eastAsia" w:hAnsi="宋体"/>
          <w:u w:val="single"/>
        </w:rPr>
        <w:t xml:space="preserve">   </w:t>
      </w:r>
      <w:r>
        <w:rPr>
          <w:rFonts w:hint="eastAsia" w:hAnsi="宋体"/>
        </w:rPr>
        <w:t>%赔偿金。</w:t>
      </w:r>
    </w:p>
    <w:p>
      <w:pPr>
        <w:pStyle w:val="17"/>
        <w:snapToGrid w:val="0"/>
        <w:spacing w:before="120" w:after="120" w:line="360" w:lineRule="auto"/>
        <w:ind w:firstLine="422" w:firstLineChars="200"/>
        <w:rPr>
          <w:rFonts w:hAnsi="宋体"/>
          <w:b/>
          <w:bCs/>
        </w:rPr>
      </w:pPr>
      <w:r>
        <w:rPr>
          <w:rFonts w:hint="eastAsia" w:hAnsi="宋体"/>
          <w:b/>
          <w:bCs/>
        </w:rPr>
        <w:t>1</w:t>
      </w:r>
      <w:r>
        <w:rPr>
          <w:rFonts w:hAnsi="宋体"/>
          <w:b/>
          <w:bCs/>
        </w:rPr>
        <w:t>6</w:t>
      </w:r>
      <w:r>
        <w:rPr>
          <w:rFonts w:hint="eastAsia" w:hAnsi="宋体"/>
          <w:b/>
          <w:bCs/>
        </w:rPr>
        <w:t>、不可抗力事件处理</w:t>
      </w:r>
    </w:p>
    <w:p>
      <w:pPr>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pPr>
        <w:spacing w:line="360" w:lineRule="auto"/>
        <w:ind w:firstLine="420" w:firstLineChars="200"/>
        <w:jc w:val="left"/>
        <w:rPr>
          <w:rFonts w:hAnsi="宋体"/>
        </w:rPr>
      </w:pPr>
      <w:r>
        <w:rPr>
          <w:rFonts w:hint="eastAsia" w:ascii="宋体" w:hAnsi="宋体"/>
          <w:szCs w:val="21"/>
        </w:rPr>
        <w:t>1</w:t>
      </w:r>
      <w:r>
        <w:rPr>
          <w:rFonts w:ascii="宋体" w:hAnsi="宋体"/>
          <w:szCs w:val="21"/>
        </w:rPr>
        <w:t>6</w:t>
      </w:r>
      <w:r>
        <w:rPr>
          <w:rFonts w:hint="eastAsia" w:ascii="宋体" w:hAnsi="宋体"/>
          <w:szCs w:val="21"/>
        </w:rPr>
        <w:t>.2 不可抗力事件发生后，应立即通知对方，并寄送有关权威机构出具的证明。除甲方书面另行要求外，乙方应尽实际可能继续履行合同义务，以及寻求采取合理的方案履行不受不可抗力影响的其他事项。若不可抗力事件延续</w:t>
      </w:r>
      <w:r>
        <w:rPr>
          <w:rFonts w:hint="eastAsia" w:hAnsi="宋体"/>
        </w:rPr>
        <w:t>120天以上，双方应通过友好协商，确定是否继续履行合同。</w:t>
      </w:r>
    </w:p>
    <w:p>
      <w:pPr>
        <w:pStyle w:val="17"/>
        <w:snapToGrid w:val="0"/>
        <w:spacing w:before="120" w:after="120" w:line="360" w:lineRule="auto"/>
        <w:ind w:firstLine="422" w:firstLineChars="200"/>
        <w:rPr>
          <w:rFonts w:hAnsi="宋体"/>
          <w:b/>
          <w:bCs/>
        </w:rPr>
      </w:pPr>
      <w:r>
        <w:rPr>
          <w:rFonts w:hint="eastAsia" w:hAnsi="宋体"/>
          <w:b/>
          <w:bCs/>
        </w:rPr>
        <w:t>1</w:t>
      </w:r>
      <w:r>
        <w:rPr>
          <w:rFonts w:hAnsi="宋体"/>
          <w:b/>
          <w:bCs/>
        </w:rPr>
        <w:t>7</w:t>
      </w:r>
      <w:r>
        <w:rPr>
          <w:rFonts w:hint="eastAsia" w:hAnsi="宋体"/>
          <w:b/>
          <w:bCs/>
        </w:rPr>
        <w:t>、争议解决</w:t>
      </w:r>
    </w:p>
    <w:p>
      <w:pPr>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7</w:t>
      </w:r>
      <w:r>
        <w:rPr>
          <w:rFonts w:hint="eastAsia" w:ascii="宋体" w:hAnsi="宋体"/>
          <w:szCs w:val="21"/>
        </w:rPr>
        <w:t>.1 因服务的品质质量问题发生争议的，可在国家认可的质量检测机构对服务内容质量进行鉴定。服务符合标准的，鉴定费由甲方承担；服务项目不符合质量标准的，鉴定费由乙方承担。</w:t>
      </w:r>
    </w:p>
    <w:p>
      <w:pPr>
        <w:spacing w:line="360" w:lineRule="auto"/>
        <w:ind w:firstLine="420" w:firstLineChars="200"/>
        <w:jc w:val="left"/>
        <w:rPr>
          <w:rFonts w:hAnsi="宋体"/>
        </w:rPr>
      </w:pPr>
      <w:r>
        <w:rPr>
          <w:rFonts w:hint="eastAsia" w:ascii="宋体" w:hAnsi="宋体"/>
          <w:szCs w:val="21"/>
        </w:rPr>
        <w:t>1</w:t>
      </w:r>
      <w:r>
        <w:rPr>
          <w:rFonts w:ascii="宋体" w:hAnsi="宋体"/>
          <w:szCs w:val="21"/>
        </w:rPr>
        <w:t>7</w:t>
      </w:r>
      <w:r>
        <w:rPr>
          <w:rFonts w:hint="eastAsia" w:ascii="宋体" w:hAnsi="宋体"/>
          <w:szCs w:val="21"/>
        </w:rPr>
        <w:t>.2 因履行本合同引起的或与本合同有关的争议，甲、乙双方应首先通过友好协商解决；如果协商不能解决争议，甲乙双方同意采取下列两种方式的第</w:t>
      </w:r>
      <w:r>
        <w:rPr>
          <w:rFonts w:hint="eastAsia" w:hAnsi="宋体"/>
          <w:u w:val="single"/>
        </w:rPr>
        <w:t>（  ）</w:t>
      </w:r>
      <w:r>
        <w:rPr>
          <w:rFonts w:hint="eastAsia" w:hAnsi="宋体"/>
        </w:rPr>
        <w:t>种方式解决争议：</w:t>
      </w:r>
    </w:p>
    <w:p>
      <w:pPr>
        <w:spacing w:line="360" w:lineRule="auto"/>
        <w:ind w:firstLine="420" w:firstLineChars="200"/>
        <w:jc w:val="left"/>
        <w:rPr>
          <w:rFonts w:ascii="宋体" w:hAnsi="宋体"/>
          <w:szCs w:val="21"/>
        </w:rPr>
      </w:pPr>
      <w:r>
        <w:rPr>
          <w:rFonts w:hint="eastAsia" w:ascii="宋体" w:hAnsi="宋体"/>
          <w:szCs w:val="21"/>
        </w:rPr>
        <w:t>（1）向甲方所在地有管辖权的人民法院提起诉讼，适用中华人民共和国法律；</w:t>
      </w:r>
    </w:p>
    <w:p>
      <w:pPr>
        <w:spacing w:line="360" w:lineRule="auto"/>
        <w:ind w:firstLine="420" w:firstLineChars="200"/>
        <w:jc w:val="left"/>
        <w:rPr>
          <w:rFonts w:ascii="宋体" w:hAnsi="宋体"/>
          <w:szCs w:val="21"/>
        </w:rPr>
      </w:pPr>
      <w:r>
        <w:rPr>
          <w:rFonts w:hint="eastAsia" w:ascii="宋体" w:hAnsi="宋体"/>
          <w:szCs w:val="21"/>
        </w:rPr>
        <w:t>（2）向无锡市仲裁委员会按其仲裁规则申请仲裁。</w:t>
      </w:r>
    </w:p>
    <w:p>
      <w:pPr>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7</w:t>
      </w:r>
      <w:r>
        <w:rPr>
          <w:rFonts w:hint="eastAsia" w:ascii="宋体" w:hAnsi="宋体"/>
          <w:szCs w:val="21"/>
        </w:rPr>
        <w:t>.3 若甲乙双方任何一方都没有选择解除合同的，为避免扩大损失，在诉讼或仲裁期间，双方应继续履行。</w:t>
      </w:r>
    </w:p>
    <w:p>
      <w:pPr>
        <w:pStyle w:val="17"/>
        <w:snapToGrid w:val="0"/>
        <w:spacing w:before="120" w:after="120" w:line="360" w:lineRule="auto"/>
        <w:ind w:firstLine="422" w:firstLineChars="200"/>
        <w:rPr>
          <w:rFonts w:hAnsi="宋体"/>
          <w:b/>
          <w:bCs/>
        </w:rPr>
      </w:pPr>
      <w:r>
        <w:rPr>
          <w:rFonts w:hint="eastAsia" w:hAnsi="宋体"/>
          <w:b/>
          <w:bCs/>
        </w:rPr>
        <w:t>1</w:t>
      </w:r>
      <w:r>
        <w:rPr>
          <w:rFonts w:hAnsi="宋体"/>
          <w:b/>
          <w:bCs/>
        </w:rPr>
        <w:t>8</w:t>
      </w:r>
      <w:r>
        <w:rPr>
          <w:rFonts w:hint="eastAsia" w:hAnsi="宋体"/>
          <w:b/>
          <w:bCs/>
        </w:rPr>
        <w:t>、合同其它</w:t>
      </w:r>
    </w:p>
    <w:p>
      <w:pPr>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8</w:t>
      </w:r>
      <w:r>
        <w:rPr>
          <w:rFonts w:hint="eastAsia" w:ascii="宋体" w:hAnsi="宋体"/>
          <w:szCs w:val="21"/>
        </w:rPr>
        <w:t>.1 乙方应诚实信用，严格按照公开招标文件要求和投标承诺履行合同，不向甲方进行商业贿赂或者提供不正当利益。</w:t>
      </w:r>
    </w:p>
    <w:p>
      <w:pPr>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8</w:t>
      </w:r>
      <w:r>
        <w:rPr>
          <w:rFonts w:hint="eastAsia" w:ascii="宋体" w:hAnsi="宋体"/>
          <w:szCs w:val="21"/>
        </w:rPr>
        <w:t xml:space="preserve">.2 </w:t>
      </w:r>
    </w:p>
    <w:p>
      <w:pPr>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8</w:t>
      </w:r>
      <w:r>
        <w:rPr>
          <w:rFonts w:hint="eastAsia" w:ascii="宋体" w:hAnsi="宋体"/>
          <w:szCs w:val="21"/>
        </w:rPr>
        <w:t>.3 本合同未尽事宜，遵照《民法典》有关条文执行。</w:t>
      </w:r>
    </w:p>
    <w:p>
      <w:pPr>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8</w:t>
      </w:r>
      <w:r>
        <w:rPr>
          <w:rFonts w:hint="eastAsia" w:ascii="宋体" w:hAnsi="宋体"/>
          <w:szCs w:val="21"/>
        </w:rPr>
        <w:t>.4 本合同一式三份，中文书写。甲乙双方各执一份，另外一份由甲方报主管部门备案。</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r>
        <w:rPr>
          <w:rFonts w:hint="eastAsia" w:ascii="宋体" w:hAnsi="宋体"/>
          <w:szCs w:val="21"/>
        </w:rPr>
        <w:t xml:space="preserve">甲方：                                         乙方： </w:t>
      </w:r>
    </w:p>
    <w:p>
      <w:pPr>
        <w:spacing w:line="360" w:lineRule="auto"/>
        <w:ind w:firstLine="420" w:firstLineChars="200"/>
        <w:jc w:val="left"/>
        <w:rPr>
          <w:rFonts w:ascii="宋体" w:hAnsi="宋体"/>
          <w:szCs w:val="21"/>
        </w:rPr>
      </w:pPr>
      <w:r>
        <w:rPr>
          <w:rFonts w:hint="eastAsia" w:ascii="宋体" w:hAnsi="宋体"/>
          <w:szCs w:val="21"/>
        </w:rPr>
        <w:t>地址：</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 xml:space="preserve">                           地址： </w:t>
      </w:r>
    </w:p>
    <w:p>
      <w:pPr>
        <w:spacing w:line="360" w:lineRule="auto"/>
        <w:ind w:firstLine="420" w:firstLineChars="200"/>
        <w:jc w:val="left"/>
        <w:rPr>
          <w:rFonts w:ascii="宋体" w:hAnsi="宋体"/>
          <w:szCs w:val="21"/>
        </w:rPr>
      </w:pPr>
      <w:r>
        <w:rPr>
          <w:rFonts w:hint="eastAsia" w:ascii="宋体" w:hAnsi="宋体"/>
          <w:szCs w:val="21"/>
        </w:rPr>
        <w:t>法定代表人或授权代表：                         法定代表人或授权代表：</w:t>
      </w:r>
    </w:p>
    <w:p>
      <w:pPr>
        <w:spacing w:line="360" w:lineRule="auto"/>
        <w:ind w:firstLine="420" w:firstLineChars="200"/>
        <w:jc w:val="left"/>
        <w:rPr>
          <w:rFonts w:ascii="宋体" w:hAnsi="宋体"/>
          <w:szCs w:val="21"/>
        </w:rPr>
      </w:pPr>
      <w:r>
        <w:rPr>
          <w:rFonts w:hint="eastAsia" w:ascii="宋体" w:hAnsi="宋体"/>
          <w:szCs w:val="21"/>
        </w:rPr>
        <w:t>联系电话：                                     联系电话：</w:t>
      </w:r>
    </w:p>
    <w:p>
      <w:pPr>
        <w:spacing w:line="360" w:lineRule="auto"/>
        <w:ind w:firstLine="420" w:firstLineChars="200"/>
        <w:jc w:val="left"/>
        <w:rPr>
          <w:rFonts w:ascii="宋体" w:hAnsi="宋体"/>
          <w:szCs w:val="21"/>
        </w:rPr>
      </w:pPr>
      <w:r>
        <w:rPr>
          <w:rFonts w:hint="eastAsia" w:ascii="宋体" w:hAnsi="宋体"/>
          <w:szCs w:val="21"/>
        </w:rPr>
        <w:t>日期：      年    月    日                     日期：      年    月    日</w:t>
      </w:r>
    </w:p>
    <w:p>
      <w:pPr>
        <w:spacing w:line="360" w:lineRule="auto"/>
        <w:ind w:firstLine="420" w:firstLineChars="200"/>
        <w:jc w:val="left"/>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见证方：</w:t>
      </w:r>
      <w:r>
        <w:rPr>
          <w:rFonts w:ascii="宋体" w:hAnsi="宋体"/>
          <w:szCs w:val="21"/>
        </w:rPr>
        <w:t xml:space="preserve"> </w:t>
      </w:r>
    </w:p>
    <w:p>
      <w:pPr>
        <w:spacing w:line="360" w:lineRule="auto"/>
        <w:ind w:firstLine="420" w:firstLineChars="200"/>
        <w:jc w:val="left"/>
        <w:rPr>
          <w:rFonts w:ascii="宋体" w:hAnsi="宋体" w:cs="宋体"/>
          <w:bCs/>
          <w:szCs w:val="21"/>
        </w:rPr>
      </w:pPr>
      <w:r>
        <w:rPr>
          <w:rFonts w:hint="eastAsia" w:ascii="宋体" w:hAnsi="宋体"/>
          <w:szCs w:val="21"/>
        </w:rPr>
        <w:t>日期：     年   月   日</w:t>
      </w:r>
    </w:p>
    <w:p>
      <w:pPr>
        <w:spacing w:line="440" w:lineRule="exact"/>
        <w:ind w:firstLine="540"/>
        <w:rPr>
          <w:rFonts w:ascii="宋体" w:hAnsi="宋体" w:cs="宋体"/>
          <w:b/>
          <w:bCs/>
          <w:szCs w:val="21"/>
        </w:rPr>
      </w:pPr>
    </w:p>
    <w:p>
      <w:pPr>
        <w:spacing w:line="440" w:lineRule="exact"/>
        <w:rPr>
          <w:rFonts w:ascii="宋体" w:hAnsi="宋体" w:cs="宋体"/>
          <w:b/>
          <w:bCs/>
          <w:szCs w:val="21"/>
        </w:rPr>
      </w:pPr>
    </w:p>
    <w:p>
      <w:pPr>
        <w:spacing w:line="440" w:lineRule="exact"/>
        <w:rPr>
          <w:rFonts w:ascii="宋体" w:hAnsi="宋体" w:cs="宋体"/>
          <w:b/>
          <w:bCs/>
          <w:szCs w:val="21"/>
        </w:rPr>
      </w:pPr>
    </w:p>
    <w:p>
      <w:pPr>
        <w:spacing w:line="440" w:lineRule="exact"/>
        <w:rPr>
          <w:rFonts w:eastAsia="华文新魏"/>
          <w:b/>
          <w:bCs/>
          <w:sz w:val="84"/>
        </w:rPr>
      </w:pPr>
    </w:p>
    <w:p>
      <w:pPr>
        <w:spacing w:line="440" w:lineRule="exact"/>
        <w:ind w:firstLine="841" w:firstLineChars="100"/>
        <w:jc w:val="center"/>
        <w:rPr>
          <w:rFonts w:eastAsia="华文新魏"/>
          <w:b/>
          <w:bCs/>
          <w:sz w:val="84"/>
        </w:rPr>
      </w:pPr>
    </w:p>
    <w:p>
      <w:pPr>
        <w:spacing w:line="440" w:lineRule="exact"/>
        <w:rPr>
          <w:rFonts w:eastAsia="华文新魏"/>
          <w:b/>
          <w:bCs/>
          <w:sz w:val="84"/>
        </w:rPr>
      </w:pPr>
    </w:p>
    <w:p>
      <w:pPr>
        <w:spacing w:line="440" w:lineRule="exact"/>
        <w:jc w:val="center"/>
        <w:outlineLvl w:val="0"/>
        <w:rPr>
          <w:rFonts w:ascii="黑体" w:eastAsia="黑体"/>
          <w:b/>
          <w:sz w:val="28"/>
          <w:szCs w:val="28"/>
        </w:rPr>
        <w:sectPr>
          <w:pgSz w:w="11906" w:h="16838"/>
          <w:pgMar w:top="1134" w:right="1134" w:bottom="1134" w:left="1134" w:header="851" w:footer="992" w:gutter="0"/>
          <w:cols w:space="720" w:num="1"/>
          <w:titlePg/>
          <w:docGrid w:type="lines" w:linePitch="312" w:charSpace="0"/>
        </w:sectPr>
      </w:pPr>
    </w:p>
    <w:p>
      <w:pPr>
        <w:spacing w:line="440" w:lineRule="exact"/>
        <w:jc w:val="center"/>
        <w:outlineLvl w:val="0"/>
        <w:rPr>
          <w:rFonts w:ascii="黑体" w:eastAsia="黑体"/>
          <w:b/>
          <w:sz w:val="28"/>
          <w:szCs w:val="28"/>
        </w:rPr>
      </w:pPr>
      <w:bookmarkStart w:id="374" w:name="_Toc3833"/>
      <w:bookmarkStart w:id="375" w:name="_Toc19"/>
      <w:bookmarkStart w:id="376" w:name="_Toc8391"/>
      <w:bookmarkStart w:id="377" w:name="_Toc26078"/>
      <w:bookmarkStart w:id="378" w:name="_Toc23539"/>
      <w:bookmarkStart w:id="379" w:name="_Toc32603"/>
      <w:bookmarkStart w:id="380" w:name="_Toc11219"/>
      <w:r>
        <w:rPr>
          <w:rFonts w:hint="eastAsia" w:ascii="黑体" w:eastAsia="黑体"/>
          <w:b/>
          <w:sz w:val="28"/>
          <w:szCs w:val="28"/>
        </w:rPr>
        <w:t>第六章 投标文件格式及附件</w:t>
      </w:r>
      <w:bookmarkEnd w:id="374"/>
      <w:bookmarkEnd w:id="375"/>
      <w:bookmarkEnd w:id="376"/>
      <w:bookmarkEnd w:id="377"/>
      <w:bookmarkEnd w:id="378"/>
      <w:bookmarkEnd w:id="379"/>
      <w:bookmarkEnd w:id="380"/>
    </w:p>
    <w:p>
      <w:pPr>
        <w:spacing w:line="440" w:lineRule="exact"/>
        <w:jc w:val="center"/>
        <w:rPr>
          <w:rFonts w:eastAsia="黑体"/>
          <w:b/>
          <w:sz w:val="32"/>
        </w:rPr>
      </w:pPr>
    </w:p>
    <w:p>
      <w:pPr>
        <w:spacing w:line="440" w:lineRule="exact"/>
        <w:jc w:val="center"/>
        <w:rPr>
          <w:rFonts w:eastAsia="黑体"/>
          <w:b/>
          <w:sz w:val="32"/>
        </w:rPr>
      </w:pPr>
      <w:r>
        <w:rPr>
          <w:rFonts w:hint="eastAsia" w:eastAsia="黑体"/>
          <w:b/>
          <w:sz w:val="32"/>
        </w:rPr>
        <w:t>目录</w:t>
      </w:r>
    </w:p>
    <w:p>
      <w:pPr>
        <w:spacing w:line="440" w:lineRule="exact"/>
        <w:jc w:val="center"/>
        <w:rPr>
          <w:b/>
          <w:sz w:val="28"/>
        </w:rPr>
      </w:pPr>
    </w:p>
    <w:p>
      <w:pPr>
        <w:spacing w:line="440" w:lineRule="exact"/>
        <w:rPr>
          <w:rFonts w:ascii="宋体" w:hAnsi="宋体" w:cs="宋体"/>
          <w:sz w:val="24"/>
        </w:rPr>
      </w:pPr>
      <w:r>
        <w:rPr>
          <w:rFonts w:hint="eastAsia" w:ascii="宋体" w:hAnsi="宋体" w:cs="宋体"/>
          <w:sz w:val="24"/>
        </w:rPr>
        <w:t>格式一：投标函</w:t>
      </w:r>
    </w:p>
    <w:p>
      <w:pPr>
        <w:spacing w:line="440" w:lineRule="exact"/>
        <w:rPr>
          <w:rFonts w:ascii="宋体" w:hAnsi="宋体" w:cs="宋体"/>
          <w:sz w:val="24"/>
        </w:rPr>
      </w:pPr>
      <w:r>
        <w:rPr>
          <w:rFonts w:hint="eastAsia" w:ascii="宋体" w:hAnsi="宋体" w:cs="宋体"/>
          <w:sz w:val="24"/>
        </w:rPr>
        <w:t>格式二：投标一览表</w:t>
      </w:r>
    </w:p>
    <w:p>
      <w:pPr>
        <w:spacing w:line="440" w:lineRule="exact"/>
        <w:rPr>
          <w:rFonts w:ascii="宋体" w:hAnsi="宋体" w:cs="宋体"/>
          <w:sz w:val="24"/>
        </w:rPr>
      </w:pPr>
      <w:r>
        <w:rPr>
          <w:rFonts w:hint="eastAsia" w:ascii="宋体" w:hAnsi="宋体" w:cs="宋体"/>
          <w:sz w:val="24"/>
        </w:rPr>
        <w:t>附件1. 投标分项报价表</w:t>
      </w:r>
    </w:p>
    <w:p>
      <w:pPr>
        <w:spacing w:line="440" w:lineRule="exact"/>
        <w:rPr>
          <w:rFonts w:ascii="宋体" w:hAnsi="宋体" w:cs="宋体"/>
          <w:sz w:val="24"/>
        </w:rPr>
      </w:pPr>
      <w:r>
        <w:rPr>
          <w:rFonts w:hint="eastAsia" w:ascii="宋体" w:hAnsi="宋体" w:cs="宋体"/>
          <w:sz w:val="24"/>
        </w:rPr>
        <w:t xml:space="preserve">附件2.投标项目核心产品及主要产品一览表格式           </w:t>
      </w:r>
    </w:p>
    <w:p>
      <w:pPr>
        <w:spacing w:line="440" w:lineRule="exact"/>
        <w:rPr>
          <w:rFonts w:ascii="宋体" w:hAnsi="宋体" w:cs="宋体"/>
          <w:sz w:val="24"/>
        </w:rPr>
      </w:pPr>
      <w:r>
        <w:rPr>
          <w:rFonts w:hint="eastAsia" w:ascii="宋体" w:hAnsi="宋体" w:cs="宋体"/>
          <w:sz w:val="24"/>
        </w:rPr>
        <w:t>附件3.商务条款偏离表</w:t>
      </w:r>
    </w:p>
    <w:p>
      <w:pPr>
        <w:spacing w:line="440" w:lineRule="exact"/>
        <w:rPr>
          <w:rFonts w:ascii="宋体" w:hAnsi="宋体" w:cs="宋体"/>
          <w:sz w:val="24"/>
        </w:rPr>
      </w:pPr>
      <w:r>
        <w:rPr>
          <w:rFonts w:hint="eastAsia" w:ascii="宋体" w:hAnsi="宋体" w:cs="宋体"/>
          <w:sz w:val="24"/>
        </w:rPr>
        <w:t>附件4. 技术参数偏离表</w:t>
      </w:r>
    </w:p>
    <w:p>
      <w:pPr>
        <w:spacing w:line="440" w:lineRule="exact"/>
        <w:rPr>
          <w:rFonts w:ascii="宋体" w:hAnsi="宋体" w:cs="宋体"/>
          <w:sz w:val="24"/>
        </w:rPr>
      </w:pPr>
      <w:r>
        <w:rPr>
          <w:rFonts w:hint="eastAsia" w:ascii="宋体" w:hAnsi="宋体" w:cs="宋体"/>
          <w:sz w:val="24"/>
        </w:rPr>
        <w:t>附件5. 投标产品配置清单及技术说明</w:t>
      </w:r>
    </w:p>
    <w:p>
      <w:pPr>
        <w:spacing w:line="440" w:lineRule="exact"/>
        <w:rPr>
          <w:rFonts w:ascii="宋体" w:hAnsi="宋体" w:cs="宋体"/>
          <w:sz w:val="24"/>
        </w:rPr>
      </w:pPr>
      <w:r>
        <w:rPr>
          <w:rFonts w:hint="eastAsia" w:ascii="宋体" w:hAnsi="宋体" w:cs="宋体"/>
          <w:sz w:val="24"/>
        </w:rPr>
        <w:t>附件6. 公开招标设备质保期内的随机备品备件明细表</w:t>
      </w:r>
    </w:p>
    <w:p>
      <w:pPr>
        <w:spacing w:line="440" w:lineRule="exact"/>
        <w:ind w:left="1080" w:hanging="1080"/>
        <w:rPr>
          <w:rFonts w:ascii="宋体" w:hAnsi="宋体" w:cs="宋体"/>
          <w:sz w:val="24"/>
        </w:rPr>
      </w:pPr>
      <w:r>
        <w:rPr>
          <w:rFonts w:hint="eastAsia" w:ascii="宋体" w:hAnsi="宋体" w:cs="宋体"/>
          <w:sz w:val="24"/>
        </w:rPr>
        <w:t>附件7. 随机提供的文件、资料、图纸等（文件资料名称、份数）</w:t>
      </w:r>
    </w:p>
    <w:p>
      <w:pPr>
        <w:spacing w:line="440" w:lineRule="exact"/>
        <w:rPr>
          <w:rFonts w:ascii="宋体" w:hAnsi="宋体" w:cs="宋体"/>
          <w:sz w:val="24"/>
        </w:rPr>
      </w:pPr>
      <w:r>
        <w:rPr>
          <w:rFonts w:hint="eastAsia" w:ascii="宋体" w:hAnsi="宋体" w:cs="宋体"/>
          <w:sz w:val="24"/>
        </w:rPr>
        <w:t>附件8. 培训计划及方案（人数、时间、内容、地点）</w:t>
      </w:r>
    </w:p>
    <w:p>
      <w:pPr>
        <w:spacing w:line="440" w:lineRule="exact"/>
        <w:rPr>
          <w:rFonts w:ascii="宋体" w:hAnsi="宋体" w:cs="宋体"/>
          <w:sz w:val="24"/>
        </w:rPr>
      </w:pPr>
      <w:r>
        <w:rPr>
          <w:rFonts w:hint="eastAsia" w:ascii="宋体" w:hAnsi="宋体" w:cs="宋体"/>
          <w:sz w:val="24"/>
        </w:rPr>
        <w:t>附件9. 供货及安装日期和质量保证期及售后服务承诺</w:t>
      </w:r>
    </w:p>
    <w:p>
      <w:pPr>
        <w:spacing w:line="440" w:lineRule="exact"/>
        <w:rPr>
          <w:rFonts w:ascii="宋体" w:hAnsi="宋体" w:cs="宋体"/>
          <w:sz w:val="24"/>
        </w:rPr>
      </w:pPr>
      <w:r>
        <w:rPr>
          <w:rFonts w:hint="eastAsia" w:ascii="宋体" w:hAnsi="宋体" w:cs="宋体"/>
          <w:sz w:val="24"/>
        </w:rPr>
        <w:t>附件10.《中小企业声明函》</w:t>
      </w:r>
    </w:p>
    <w:p>
      <w:pPr>
        <w:autoSpaceDE w:val="0"/>
        <w:autoSpaceDN w:val="0"/>
        <w:spacing w:line="440" w:lineRule="exact"/>
        <w:ind w:right="-5"/>
        <w:textAlignment w:val="bottom"/>
        <w:rPr>
          <w:rFonts w:ascii="宋体" w:hAnsi="宋体" w:cs="宋体"/>
          <w:sz w:val="24"/>
          <w:lang w:val="zh-CN"/>
        </w:rPr>
      </w:pPr>
      <w:r>
        <w:rPr>
          <w:rFonts w:hint="eastAsia" w:ascii="宋体" w:hAnsi="宋体" w:cs="宋体"/>
          <w:sz w:val="24"/>
          <w:lang w:val="zh-CN"/>
        </w:rPr>
        <w:t>附件</w:t>
      </w:r>
      <w:r>
        <w:rPr>
          <w:rFonts w:hint="eastAsia" w:ascii="宋体" w:hAnsi="宋体" w:cs="宋体"/>
          <w:sz w:val="24"/>
        </w:rPr>
        <w:t>11</w:t>
      </w:r>
      <w:r>
        <w:rPr>
          <w:rFonts w:hint="eastAsia" w:ascii="宋体" w:hAnsi="宋体" w:cs="宋体"/>
          <w:sz w:val="24"/>
          <w:lang w:val="zh-CN"/>
        </w:rPr>
        <w:t>. 投标保证金转（汇、存）底单复印件（</w:t>
      </w:r>
      <w:r>
        <w:rPr>
          <w:rFonts w:hint="eastAsia" w:ascii="宋体" w:hAnsi="宋体" w:cs="宋体"/>
          <w:sz w:val="24"/>
        </w:rPr>
        <w:t>如有</w:t>
      </w:r>
      <w:r>
        <w:rPr>
          <w:rFonts w:hint="eastAsia" w:ascii="宋体" w:hAnsi="宋体" w:cs="宋体"/>
          <w:sz w:val="24"/>
          <w:lang w:val="zh-CN"/>
        </w:rPr>
        <w:t>）</w:t>
      </w:r>
    </w:p>
    <w:p>
      <w:pPr>
        <w:spacing w:line="440" w:lineRule="exact"/>
        <w:rPr>
          <w:rFonts w:ascii="宋体" w:hAnsi="宋体" w:cs="宋体"/>
          <w:sz w:val="24"/>
        </w:rPr>
      </w:pPr>
      <w:r>
        <w:rPr>
          <w:rFonts w:hint="eastAsia" w:ascii="宋体" w:hAnsi="宋体" w:cs="宋体"/>
          <w:sz w:val="24"/>
          <w:lang w:val="zh-CN"/>
        </w:rPr>
        <w:t>附件</w:t>
      </w:r>
      <w:r>
        <w:rPr>
          <w:rFonts w:hint="eastAsia" w:ascii="宋体" w:hAnsi="宋体" w:cs="宋体"/>
          <w:sz w:val="24"/>
        </w:rPr>
        <w:t xml:space="preserve">12. </w:t>
      </w:r>
      <w:r>
        <w:rPr>
          <w:rFonts w:hint="eastAsia" w:ascii="宋体" w:hAnsi="宋体" w:cs="宋体"/>
          <w:sz w:val="24"/>
          <w:lang w:val="zh-CN"/>
        </w:rPr>
        <w:t>投标保证金转账退还信息函（</w:t>
      </w:r>
      <w:r>
        <w:rPr>
          <w:rFonts w:hint="eastAsia" w:ascii="宋体" w:hAnsi="宋体" w:cs="宋体"/>
          <w:sz w:val="24"/>
        </w:rPr>
        <w:t>如有）</w:t>
      </w:r>
    </w:p>
    <w:p>
      <w:pPr>
        <w:spacing w:line="440" w:lineRule="exact"/>
        <w:rPr>
          <w:rFonts w:ascii="宋体" w:hAnsi="宋体" w:cs="宋体"/>
          <w:sz w:val="24"/>
        </w:rPr>
      </w:pPr>
      <w:r>
        <w:rPr>
          <w:rFonts w:hint="eastAsia" w:ascii="宋体" w:hAnsi="宋体" w:cs="宋体"/>
          <w:sz w:val="24"/>
        </w:rPr>
        <w:t>附件13.其他</w:t>
      </w: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sz w:val="24"/>
        </w:rPr>
        <w:sectPr>
          <w:footerReference r:id="rId10" w:type="first"/>
          <w:footerReference r:id="rId9" w:type="default"/>
          <w:pgSz w:w="11906" w:h="16838"/>
          <w:pgMar w:top="1134" w:right="1134" w:bottom="1134" w:left="1134" w:header="851" w:footer="992" w:gutter="0"/>
          <w:cols w:space="720" w:num="1"/>
          <w:titlePg/>
          <w:docGrid w:type="lines" w:linePitch="312" w:charSpace="0"/>
        </w:sectPr>
      </w:pPr>
    </w:p>
    <w:p>
      <w:pPr>
        <w:spacing w:line="440" w:lineRule="exact"/>
        <w:rPr>
          <w:rFonts w:ascii="宋体" w:hAnsi="宋体" w:cs="宋体"/>
          <w:sz w:val="24"/>
        </w:rPr>
      </w:pPr>
      <w:r>
        <w:rPr>
          <w:rFonts w:hint="eastAsia" w:ascii="宋体" w:hAnsi="宋体" w:cs="宋体"/>
          <w:sz w:val="24"/>
        </w:rPr>
        <w:t>格式一    投标函格式</w:t>
      </w:r>
    </w:p>
    <w:p>
      <w:pPr>
        <w:spacing w:line="440" w:lineRule="exact"/>
        <w:rPr>
          <w:rFonts w:ascii="宋体" w:hAnsi="宋体" w:cs="宋体"/>
          <w:sz w:val="44"/>
        </w:rPr>
      </w:pPr>
    </w:p>
    <w:p>
      <w:pPr>
        <w:spacing w:line="440" w:lineRule="exact"/>
        <w:jc w:val="center"/>
        <w:rPr>
          <w:rFonts w:ascii="宋体" w:hAnsi="宋体" w:cs="宋体"/>
          <w:sz w:val="44"/>
        </w:rPr>
      </w:pPr>
      <w:r>
        <w:rPr>
          <w:rFonts w:hint="eastAsia" w:ascii="宋体" w:hAnsi="宋体" w:cs="宋体"/>
          <w:sz w:val="44"/>
        </w:rPr>
        <w:t>投标函</w:t>
      </w:r>
    </w:p>
    <w:p>
      <w:pPr>
        <w:spacing w:line="440" w:lineRule="exact"/>
        <w:rPr>
          <w:rFonts w:ascii="宋体" w:hAnsi="宋体" w:cs="宋体"/>
          <w:sz w:val="24"/>
        </w:rPr>
      </w:pPr>
      <w:r>
        <w:rPr>
          <w:rFonts w:hint="eastAsia" w:ascii="宋体" w:hAnsi="宋体" w:cs="宋体"/>
          <w:sz w:val="24"/>
        </w:rPr>
        <w:t>致：苏美达国际技术贸易有限公司</w:t>
      </w:r>
    </w:p>
    <w:p>
      <w:pPr>
        <w:spacing w:line="440" w:lineRule="exact"/>
        <w:jc w:val="left"/>
        <w:rPr>
          <w:rFonts w:ascii="宋体" w:hAnsi="宋体" w:cs="宋体"/>
          <w:sz w:val="24"/>
        </w:rPr>
      </w:pPr>
      <w:r>
        <w:rPr>
          <w:rFonts w:hint="eastAsia" w:ascii="宋体" w:hAnsi="宋体" w:cs="宋体"/>
          <w:sz w:val="24"/>
        </w:rPr>
        <w:t xml:space="preserve"> 对贵单位招标文件，编号0664-2460SUMEC069D，我方经仔细研究，现决定参加本次投标。据此函，签字人兹宣布声明和承诺如下：</w:t>
      </w:r>
    </w:p>
    <w:p>
      <w:pPr>
        <w:spacing w:line="440" w:lineRule="exact"/>
        <w:rPr>
          <w:rFonts w:ascii="宋体" w:hAnsi="宋体" w:cs="宋体"/>
          <w:sz w:val="24"/>
        </w:rPr>
      </w:pPr>
      <w:r>
        <w:rPr>
          <w:rFonts w:hint="eastAsia" w:ascii="宋体" w:hAnsi="宋体" w:cs="宋体"/>
          <w:sz w:val="24"/>
        </w:rPr>
        <w:t xml:space="preserve">    1．我方愿意遵照招标文件规定的各项要求，向采购人提供招标所需产品及服务。</w:t>
      </w:r>
    </w:p>
    <w:p>
      <w:pPr>
        <w:spacing w:line="440" w:lineRule="exact"/>
        <w:rPr>
          <w:rFonts w:ascii="宋体" w:hAnsi="宋体" w:cs="宋体"/>
          <w:sz w:val="24"/>
        </w:rPr>
      </w:pPr>
      <w:r>
        <w:rPr>
          <w:rFonts w:hint="eastAsia" w:ascii="宋体" w:hAnsi="宋体" w:cs="宋体"/>
          <w:sz w:val="24"/>
        </w:rPr>
        <w:t xml:space="preserve">    2．我方已详细审核全部招标文件及有效补充文件，我方放弃对招标文件任何误解的权利。提交投标文件后，不再对招标文件本身提出质疑。</w:t>
      </w:r>
    </w:p>
    <w:p>
      <w:pPr>
        <w:spacing w:line="440" w:lineRule="exact"/>
        <w:rPr>
          <w:rFonts w:ascii="宋体" w:hAnsi="宋体" w:cs="宋体"/>
          <w:sz w:val="24"/>
        </w:rPr>
      </w:pPr>
      <w:r>
        <w:rPr>
          <w:rFonts w:hint="eastAsia" w:ascii="宋体" w:hAnsi="宋体" w:cs="宋体"/>
          <w:sz w:val="24"/>
        </w:rPr>
        <w:t xml:space="preserve">    3．我方同意从规定的开标日期起遵循本投标文件，并在规定的投标有效期期满之前均具有约束力。</w:t>
      </w:r>
    </w:p>
    <w:p>
      <w:pPr>
        <w:spacing w:line="440" w:lineRule="exact"/>
        <w:rPr>
          <w:rFonts w:ascii="宋体" w:hAnsi="宋体" w:cs="宋体"/>
          <w:sz w:val="24"/>
        </w:rPr>
      </w:pPr>
      <w:r>
        <w:rPr>
          <w:rFonts w:hint="eastAsia" w:ascii="宋体" w:hAnsi="宋体" w:cs="宋体"/>
          <w:sz w:val="24"/>
        </w:rPr>
        <w:t xml:space="preserve">    4．我方愿意向招标代理机构提供任何与本次公开招标有关的其他资料，并保证已提供和将要提供的文件是真实的、准确的。</w:t>
      </w:r>
    </w:p>
    <w:p>
      <w:pPr>
        <w:spacing w:line="440" w:lineRule="exact"/>
        <w:rPr>
          <w:rFonts w:ascii="宋体" w:hAnsi="宋体" w:cs="宋体"/>
          <w:sz w:val="24"/>
        </w:rPr>
      </w:pPr>
      <w:r>
        <w:rPr>
          <w:rFonts w:hint="eastAsia" w:ascii="宋体" w:hAnsi="宋体" w:cs="宋体"/>
          <w:sz w:val="24"/>
        </w:rPr>
        <w:t xml:space="preserve">    5．我方愿意履行自己在投标文件中的全部承诺和责任。并遵守招标文件中对投标人的所有规定。</w:t>
      </w:r>
    </w:p>
    <w:p>
      <w:pPr>
        <w:spacing w:line="440" w:lineRule="exact"/>
        <w:rPr>
          <w:rFonts w:ascii="宋体" w:hAnsi="宋体" w:cs="宋体"/>
          <w:sz w:val="24"/>
        </w:rPr>
      </w:pPr>
      <w:r>
        <w:rPr>
          <w:rFonts w:hint="eastAsia" w:ascii="宋体" w:hAnsi="宋体" w:cs="宋体"/>
          <w:sz w:val="24"/>
        </w:rPr>
        <w:t xml:space="preserve">    6．一旦我方中标，本次招标文件和本投标文件（含承诺书）将作为采购合同的附件。我方将根据招标文件的规定严格履行合同，在采购人要求的时间内将产品运至指定地点，经验收合格直至交付买方使用。</w:t>
      </w:r>
    </w:p>
    <w:p>
      <w:pPr>
        <w:spacing w:line="440" w:lineRule="exact"/>
        <w:rPr>
          <w:rFonts w:ascii="宋体" w:hAnsi="宋体" w:cs="宋体"/>
          <w:sz w:val="24"/>
        </w:rPr>
      </w:pPr>
      <w:r>
        <w:rPr>
          <w:rFonts w:hint="eastAsia" w:ascii="宋体" w:hAnsi="宋体" w:cs="宋体"/>
          <w:sz w:val="24"/>
        </w:rPr>
        <w:t xml:space="preserve">    7．其它说明：</w:t>
      </w:r>
    </w:p>
    <w:p>
      <w:pPr>
        <w:spacing w:line="440" w:lineRule="exact"/>
        <w:rPr>
          <w:rFonts w:ascii="宋体" w:hAnsi="宋体" w:cs="宋体"/>
          <w:sz w:val="24"/>
        </w:rPr>
      </w:pPr>
      <w:r>
        <w:rPr>
          <w:rFonts w:hint="eastAsia" w:ascii="宋体" w:hAnsi="宋体" w:cs="宋体"/>
          <w:sz w:val="24"/>
        </w:rPr>
        <w:t>投标人全称：                               （盖章）</w:t>
      </w:r>
    </w:p>
    <w:p>
      <w:pPr>
        <w:spacing w:line="440" w:lineRule="exact"/>
        <w:rPr>
          <w:rFonts w:ascii="宋体" w:hAnsi="宋体" w:cs="宋体"/>
          <w:sz w:val="24"/>
        </w:rPr>
      </w:pPr>
      <w:r>
        <w:rPr>
          <w:rFonts w:hint="eastAsia" w:ascii="宋体" w:hAnsi="宋体" w:cs="宋体"/>
          <w:sz w:val="24"/>
        </w:rPr>
        <w:t>授权代表签字或盖章：</w:t>
      </w:r>
    </w:p>
    <w:p>
      <w:pPr>
        <w:spacing w:line="440" w:lineRule="exact"/>
        <w:rPr>
          <w:rFonts w:ascii="宋体" w:hAnsi="宋体" w:cs="宋体"/>
          <w:sz w:val="24"/>
        </w:rPr>
      </w:pPr>
      <w:r>
        <w:rPr>
          <w:rFonts w:hint="eastAsia" w:ascii="宋体" w:hAnsi="宋体" w:cs="宋体"/>
          <w:sz w:val="24"/>
        </w:rPr>
        <w:t>职务：</w:t>
      </w:r>
    </w:p>
    <w:p>
      <w:pPr>
        <w:spacing w:line="440" w:lineRule="exact"/>
        <w:rPr>
          <w:rFonts w:ascii="宋体" w:hAnsi="宋体" w:cs="宋体"/>
          <w:sz w:val="24"/>
        </w:rPr>
      </w:pPr>
      <w:r>
        <w:rPr>
          <w:rFonts w:hint="eastAsia" w:ascii="宋体" w:hAnsi="宋体" w:cs="宋体"/>
          <w:sz w:val="24"/>
        </w:rPr>
        <w:t>日期：</w:t>
      </w:r>
    </w:p>
    <w:p>
      <w:pPr>
        <w:spacing w:line="440" w:lineRule="exact"/>
        <w:rPr>
          <w:rFonts w:ascii="宋体" w:hAnsi="宋体" w:cs="宋体"/>
          <w:sz w:val="24"/>
        </w:rPr>
      </w:pPr>
      <w:r>
        <w:rPr>
          <w:rFonts w:hint="eastAsia" w:ascii="宋体" w:hAnsi="宋体" w:cs="宋体"/>
          <w:sz w:val="24"/>
        </w:rPr>
        <w:t>地址：                                      邮编：</w:t>
      </w:r>
    </w:p>
    <w:p>
      <w:pPr>
        <w:spacing w:line="440" w:lineRule="exact"/>
        <w:rPr>
          <w:rFonts w:ascii="宋体" w:hAnsi="宋体" w:cs="宋体"/>
          <w:sz w:val="24"/>
        </w:rPr>
      </w:pPr>
      <w:r>
        <w:rPr>
          <w:rFonts w:hint="eastAsia" w:ascii="宋体" w:hAnsi="宋体" w:cs="宋体"/>
          <w:sz w:val="24"/>
        </w:rPr>
        <w:t xml:space="preserve">电话：                                      传真： </w:t>
      </w:r>
    </w:p>
    <w:p>
      <w:pPr>
        <w:spacing w:line="440" w:lineRule="exact"/>
        <w:rPr>
          <w:rFonts w:ascii="宋体" w:hAnsi="宋体" w:cs="宋体"/>
          <w:sz w:val="24"/>
        </w:rPr>
      </w:pPr>
    </w:p>
    <w:p>
      <w:pPr>
        <w:spacing w:line="440" w:lineRule="exact"/>
        <w:rPr>
          <w:rFonts w:ascii="宋体" w:hAnsi="宋体" w:cs="宋体"/>
          <w:sz w:val="24"/>
        </w:rPr>
        <w:sectPr>
          <w:footerReference r:id="rId12" w:type="first"/>
          <w:footerReference r:id="rId11" w:type="default"/>
          <w:pgSz w:w="11906" w:h="16838"/>
          <w:pgMar w:top="1134" w:right="1134" w:bottom="1134" w:left="1134" w:header="851" w:footer="992" w:gutter="0"/>
          <w:cols w:space="720" w:num="1"/>
          <w:titlePg/>
          <w:docGrid w:type="lines" w:linePitch="312" w:charSpace="0"/>
        </w:sectPr>
      </w:pPr>
    </w:p>
    <w:p>
      <w:pPr>
        <w:spacing w:line="440" w:lineRule="exact"/>
        <w:rPr>
          <w:rFonts w:ascii="宋体" w:hAnsi="宋体" w:cs="宋体"/>
          <w:sz w:val="24"/>
        </w:rPr>
      </w:pPr>
      <w:r>
        <w:rPr>
          <w:rFonts w:hint="eastAsia" w:ascii="宋体" w:hAnsi="宋体" w:cs="宋体"/>
          <w:sz w:val="24"/>
        </w:rPr>
        <w:t>格式二：投标一览表</w:t>
      </w:r>
    </w:p>
    <w:p>
      <w:pPr>
        <w:spacing w:line="440" w:lineRule="exact"/>
        <w:jc w:val="center"/>
        <w:rPr>
          <w:rFonts w:ascii="宋体" w:hAnsi="宋体" w:cs="宋体"/>
          <w:b/>
          <w:sz w:val="28"/>
        </w:rPr>
      </w:pPr>
      <w:r>
        <w:rPr>
          <w:rFonts w:hint="eastAsia" w:ascii="宋体" w:hAnsi="宋体" w:cs="宋体"/>
          <w:b/>
          <w:sz w:val="28"/>
        </w:rPr>
        <w:t>投标一览表</w:t>
      </w:r>
    </w:p>
    <w:p>
      <w:pPr>
        <w:spacing w:line="440" w:lineRule="exact"/>
        <w:rPr>
          <w:rFonts w:ascii="宋体" w:hAnsi="宋体" w:cs="宋体"/>
        </w:rPr>
      </w:pPr>
    </w:p>
    <w:p>
      <w:pPr>
        <w:spacing w:line="440" w:lineRule="exact"/>
        <w:rPr>
          <w:rFonts w:ascii="宋体" w:hAnsi="宋体" w:cs="宋体"/>
          <w:sz w:val="24"/>
          <w:u w:val="single"/>
        </w:rPr>
      </w:pPr>
      <w:r>
        <w:rPr>
          <w:rFonts w:hint="eastAsia" w:ascii="宋体" w:hAnsi="宋体" w:cs="宋体"/>
          <w:sz w:val="24"/>
        </w:rPr>
        <w:t xml:space="preserve"> 投标人名称：</w:t>
      </w:r>
      <w:r>
        <w:rPr>
          <w:rFonts w:hint="eastAsia" w:ascii="宋体" w:hAnsi="宋体" w:cs="宋体"/>
          <w:sz w:val="24"/>
          <w:u w:val="single"/>
        </w:rPr>
        <w:t xml:space="preserve">                   （盖章）</w:t>
      </w:r>
      <w:r>
        <w:rPr>
          <w:rFonts w:hint="eastAsia" w:ascii="宋体" w:hAnsi="宋体" w:cs="宋体"/>
          <w:sz w:val="24"/>
        </w:rPr>
        <w:t xml:space="preserve"> 国别：招标编号：</w:t>
      </w:r>
    </w:p>
    <w:p>
      <w:pPr>
        <w:spacing w:line="440" w:lineRule="exact"/>
        <w:rPr>
          <w:rFonts w:ascii="宋体" w:hAnsi="宋体" w:cs="宋体"/>
          <w:sz w:val="24"/>
          <w:u w:val="single"/>
        </w:rPr>
      </w:pPr>
    </w:p>
    <w:tbl>
      <w:tblPr>
        <w:tblStyle w:val="37"/>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65"/>
        <w:gridCol w:w="904"/>
        <w:gridCol w:w="678"/>
        <w:gridCol w:w="1018"/>
        <w:gridCol w:w="792"/>
        <w:gridCol w:w="1471"/>
        <w:gridCol w:w="792"/>
        <w:gridCol w:w="904"/>
        <w:gridCol w:w="1018"/>
        <w:gridCol w:w="904"/>
        <w:gridCol w:w="8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287"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r>
              <w:rPr>
                <w:rFonts w:hint="eastAsia" w:ascii="宋体" w:hAnsi="宋体" w:cs="宋体"/>
                <w:szCs w:val="21"/>
              </w:rPr>
              <w:t>序号</w:t>
            </w:r>
          </w:p>
        </w:tc>
        <w:tc>
          <w:tcPr>
            <w:tcW w:w="459"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r>
              <w:rPr>
                <w:rFonts w:hint="eastAsia" w:ascii="宋体" w:hAnsi="宋体" w:cs="宋体"/>
                <w:szCs w:val="21"/>
              </w:rPr>
              <w:t>包号/</w:t>
            </w:r>
          </w:p>
          <w:p>
            <w:pPr>
              <w:spacing w:line="440" w:lineRule="exact"/>
              <w:jc w:val="center"/>
              <w:rPr>
                <w:rFonts w:ascii="宋体" w:hAnsi="宋体" w:cs="宋体"/>
                <w:szCs w:val="21"/>
              </w:rPr>
            </w:pPr>
            <w:r>
              <w:rPr>
                <w:rFonts w:hint="eastAsia" w:ascii="宋体" w:hAnsi="宋体" w:cs="宋体"/>
                <w:szCs w:val="21"/>
              </w:rPr>
              <w:t>品目号</w:t>
            </w:r>
          </w:p>
        </w:tc>
        <w:tc>
          <w:tcPr>
            <w:tcW w:w="344"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r>
              <w:rPr>
                <w:rFonts w:hint="eastAsia" w:ascii="宋体" w:hAnsi="宋体" w:cs="宋体"/>
                <w:szCs w:val="21"/>
              </w:rPr>
              <w:t>产品</w:t>
            </w:r>
          </w:p>
          <w:p>
            <w:pPr>
              <w:spacing w:line="440" w:lineRule="exact"/>
              <w:jc w:val="center"/>
              <w:rPr>
                <w:rFonts w:ascii="宋体" w:hAnsi="宋体" w:cs="宋体"/>
                <w:szCs w:val="21"/>
              </w:rPr>
            </w:pPr>
            <w:r>
              <w:rPr>
                <w:rFonts w:hint="eastAsia" w:ascii="宋体" w:hAnsi="宋体" w:cs="宋体"/>
                <w:szCs w:val="21"/>
              </w:rPr>
              <w:t>名称</w:t>
            </w:r>
          </w:p>
        </w:tc>
        <w:tc>
          <w:tcPr>
            <w:tcW w:w="517" w:type="pct"/>
            <w:tcBorders>
              <w:top w:val="single" w:color="auto" w:sz="4" w:space="0"/>
              <w:left w:val="single" w:color="auto" w:sz="4" w:space="0"/>
              <w:bottom w:val="single" w:color="auto" w:sz="4" w:space="0"/>
              <w:right w:val="single" w:color="auto" w:sz="4" w:space="0"/>
            </w:tcBorders>
          </w:tcPr>
          <w:p>
            <w:pPr>
              <w:pStyle w:val="23"/>
              <w:pBdr>
                <w:bottom w:val="none" w:color="auto" w:sz="0" w:space="0"/>
              </w:pBdr>
              <w:tabs>
                <w:tab w:val="left" w:pos="420"/>
              </w:tabs>
              <w:snapToGrid/>
              <w:spacing w:line="440" w:lineRule="exact"/>
              <w:rPr>
                <w:rFonts w:ascii="宋体" w:hAnsi="宋体" w:cs="宋体"/>
                <w:sz w:val="21"/>
                <w:szCs w:val="21"/>
              </w:rPr>
            </w:pPr>
            <w:r>
              <w:rPr>
                <w:rFonts w:hint="eastAsia" w:ascii="宋体" w:hAnsi="宋体" w:cs="宋体"/>
                <w:sz w:val="21"/>
                <w:szCs w:val="21"/>
              </w:rPr>
              <w:t>型号和</w:t>
            </w:r>
          </w:p>
          <w:p>
            <w:pPr>
              <w:pStyle w:val="23"/>
              <w:pBdr>
                <w:bottom w:val="none" w:color="auto" w:sz="0" w:space="0"/>
              </w:pBdr>
              <w:tabs>
                <w:tab w:val="left" w:pos="420"/>
              </w:tabs>
              <w:snapToGrid/>
              <w:spacing w:line="440" w:lineRule="exact"/>
              <w:rPr>
                <w:rFonts w:ascii="宋体" w:hAnsi="宋体" w:cs="宋体"/>
                <w:sz w:val="21"/>
                <w:szCs w:val="21"/>
              </w:rPr>
            </w:pPr>
            <w:r>
              <w:rPr>
                <w:rFonts w:hint="eastAsia" w:ascii="宋体" w:hAnsi="宋体" w:cs="宋体"/>
                <w:sz w:val="21"/>
                <w:szCs w:val="21"/>
              </w:rPr>
              <w:t>规格</w:t>
            </w:r>
          </w:p>
        </w:tc>
        <w:tc>
          <w:tcPr>
            <w:tcW w:w="402"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r>
              <w:rPr>
                <w:rFonts w:hint="eastAsia" w:ascii="宋体" w:hAnsi="宋体" w:cs="宋体"/>
                <w:szCs w:val="21"/>
              </w:rPr>
              <w:t>数量</w:t>
            </w:r>
          </w:p>
        </w:tc>
        <w:tc>
          <w:tcPr>
            <w:tcW w:w="747"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r>
              <w:rPr>
                <w:rFonts w:hint="eastAsia" w:ascii="宋体" w:hAnsi="宋体" w:cs="宋体"/>
                <w:szCs w:val="21"/>
              </w:rPr>
              <w:t>制造商名称</w:t>
            </w:r>
          </w:p>
          <w:p>
            <w:pPr>
              <w:spacing w:line="440" w:lineRule="exact"/>
              <w:jc w:val="center"/>
              <w:rPr>
                <w:rFonts w:ascii="宋体" w:hAnsi="宋体" w:cs="宋体"/>
                <w:szCs w:val="21"/>
              </w:rPr>
            </w:pPr>
            <w:r>
              <w:rPr>
                <w:rFonts w:hint="eastAsia" w:ascii="宋体" w:hAnsi="宋体" w:cs="宋体"/>
                <w:szCs w:val="21"/>
              </w:rPr>
              <w:t>和国籍</w:t>
            </w:r>
          </w:p>
        </w:tc>
        <w:tc>
          <w:tcPr>
            <w:tcW w:w="402"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r>
              <w:rPr>
                <w:rFonts w:hint="eastAsia" w:ascii="宋体" w:hAnsi="宋体" w:cs="宋体"/>
                <w:szCs w:val="21"/>
              </w:rPr>
              <w:t>投标</w:t>
            </w:r>
          </w:p>
          <w:p>
            <w:pPr>
              <w:spacing w:line="440" w:lineRule="exact"/>
              <w:jc w:val="center"/>
              <w:rPr>
                <w:rFonts w:ascii="宋体" w:hAnsi="宋体" w:cs="宋体"/>
                <w:szCs w:val="21"/>
              </w:rPr>
            </w:pPr>
            <w:r>
              <w:rPr>
                <w:rFonts w:hint="eastAsia" w:ascii="宋体" w:hAnsi="宋体" w:cs="宋体"/>
                <w:szCs w:val="21"/>
              </w:rPr>
              <w:t>货币</w:t>
            </w:r>
          </w:p>
        </w:tc>
        <w:tc>
          <w:tcPr>
            <w:tcW w:w="459"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r>
              <w:rPr>
                <w:rFonts w:hint="eastAsia" w:ascii="宋体" w:hAnsi="宋体" w:cs="宋体"/>
                <w:szCs w:val="21"/>
              </w:rPr>
              <w:t>投标</w:t>
            </w:r>
          </w:p>
          <w:p>
            <w:pPr>
              <w:spacing w:line="440" w:lineRule="exact"/>
              <w:jc w:val="center"/>
              <w:rPr>
                <w:rFonts w:ascii="宋体" w:hAnsi="宋体" w:cs="宋体"/>
                <w:szCs w:val="21"/>
              </w:rPr>
            </w:pPr>
            <w:r>
              <w:rPr>
                <w:rFonts w:hint="eastAsia" w:ascii="宋体" w:hAnsi="宋体" w:cs="宋体"/>
                <w:szCs w:val="21"/>
              </w:rPr>
              <w:t>总价</w:t>
            </w:r>
          </w:p>
        </w:tc>
        <w:tc>
          <w:tcPr>
            <w:tcW w:w="517"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r>
              <w:rPr>
                <w:rFonts w:hint="eastAsia" w:ascii="宋体" w:hAnsi="宋体" w:cs="宋体"/>
                <w:szCs w:val="21"/>
              </w:rPr>
              <w:t>投标</w:t>
            </w:r>
          </w:p>
          <w:p>
            <w:pPr>
              <w:spacing w:line="440" w:lineRule="exact"/>
              <w:jc w:val="center"/>
              <w:rPr>
                <w:rFonts w:ascii="宋体" w:hAnsi="宋体" w:cs="宋体"/>
                <w:szCs w:val="21"/>
              </w:rPr>
            </w:pPr>
            <w:r>
              <w:rPr>
                <w:rFonts w:hint="eastAsia" w:ascii="宋体" w:hAnsi="宋体" w:cs="宋体"/>
                <w:szCs w:val="21"/>
              </w:rPr>
              <w:t>保证金</w:t>
            </w:r>
          </w:p>
        </w:tc>
        <w:tc>
          <w:tcPr>
            <w:tcW w:w="459"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r>
              <w:rPr>
                <w:rFonts w:hint="eastAsia" w:ascii="宋体" w:hAnsi="宋体" w:cs="宋体"/>
                <w:szCs w:val="21"/>
              </w:rPr>
              <w:t>交货期</w:t>
            </w:r>
          </w:p>
        </w:tc>
        <w:tc>
          <w:tcPr>
            <w:tcW w:w="402"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7"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459"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344"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517"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402"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402"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459"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517"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r>
              <w:rPr>
                <w:rFonts w:hint="eastAsia" w:ascii="宋体" w:hAnsi="宋体" w:cs="宋体"/>
                <w:szCs w:val="21"/>
              </w:rPr>
              <w:t>/</w:t>
            </w:r>
          </w:p>
        </w:tc>
        <w:tc>
          <w:tcPr>
            <w:tcW w:w="459"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402"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7"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459"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344"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517"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402"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402"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459"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517"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r>
              <w:rPr>
                <w:rFonts w:hint="eastAsia" w:ascii="宋体" w:hAnsi="宋体" w:cs="宋体"/>
                <w:szCs w:val="21"/>
              </w:rPr>
              <w:t>/</w:t>
            </w:r>
          </w:p>
        </w:tc>
        <w:tc>
          <w:tcPr>
            <w:tcW w:w="459"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402"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7"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459"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344"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517"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402"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402"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459"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517"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r>
              <w:rPr>
                <w:rFonts w:hint="eastAsia" w:ascii="宋体" w:hAnsi="宋体" w:cs="宋体"/>
                <w:szCs w:val="21"/>
              </w:rPr>
              <w:t>/</w:t>
            </w:r>
          </w:p>
        </w:tc>
        <w:tc>
          <w:tcPr>
            <w:tcW w:w="459"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402"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7"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459"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344"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517"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402"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402"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459"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517"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r>
              <w:rPr>
                <w:rFonts w:hint="eastAsia" w:ascii="宋体" w:hAnsi="宋体" w:cs="宋体"/>
                <w:szCs w:val="21"/>
              </w:rPr>
              <w:t>/</w:t>
            </w:r>
          </w:p>
        </w:tc>
        <w:tc>
          <w:tcPr>
            <w:tcW w:w="459"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402"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11"/>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r>
              <w:rPr>
                <w:rFonts w:hint="eastAsia" w:ascii="宋体" w:hAnsi="宋体" w:cs="宋体"/>
                <w:szCs w:val="21"/>
              </w:rPr>
              <w:t>投标总价合计：</w:t>
            </w:r>
          </w:p>
        </w:tc>
      </w:tr>
    </w:tbl>
    <w:p>
      <w:pPr>
        <w:spacing w:line="440" w:lineRule="exact"/>
        <w:rPr>
          <w:rFonts w:ascii="宋体" w:hAnsi="宋体" w:cs="宋体"/>
          <w:szCs w:val="21"/>
        </w:rPr>
      </w:pPr>
      <w:r>
        <w:rPr>
          <w:rFonts w:hint="eastAsia" w:ascii="宋体" w:hAnsi="宋体" w:cs="宋体"/>
          <w:szCs w:val="21"/>
        </w:rPr>
        <w:t>注：此表应按“投标人须知”的规定密封标记并密封单独提交，单独密封提交的《投标一览表》仅供唱标时使用。</w:t>
      </w:r>
    </w:p>
    <w:p>
      <w:pPr>
        <w:spacing w:line="440" w:lineRule="exact"/>
        <w:rPr>
          <w:rFonts w:ascii="宋体" w:hAnsi="宋体" w:cs="宋体"/>
          <w:szCs w:val="21"/>
        </w:rPr>
      </w:pPr>
    </w:p>
    <w:p>
      <w:pPr>
        <w:spacing w:line="440" w:lineRule="exact"/>
        <w:rPr>
          <w:rFonts w:ascii="宋体" w:hAnsi="宋体" w:cs="宋体"/>
          <w:sz w:val="18"/>
        </w:rPr>
      </w:pPr>
      <w:r>
        <w:rPr>
          <w:rFonts w:hint="eastAsia" w:ascii="宋体" w:hAnsi="宋体" w:cs="宋体"/>
          <w:szCs w:val="21"/>
        </w:rPr>
        <w:t>投标人授权代表签字：</w:t>
      </w:r>
    </w:p>
    <w:p>
      <w:pPr>
        <w:spacing w:line="440" w:lineRule="exact"/>
        <w:rPr>
          <w:rFonts w:ascii="宋体" w:hAnsi="宋体" w:cs="宋体"/>
          <w:b/>
        </w:rPr>
      </w:pPr>
    </w:p>
    <w:p>
      <w:pPr>
        <w:spacing w:line="440" w:lineRule="exact"/>
        <w:rPr>
          <w:rFonts w:ascii="宋体" w:hAnsi="宋体" w:cs="宋体"/>
          <w:b/>
        </w:rPr>
      </w:pPr>
    </w:p>
    <w:p>
      <w:pPr>
        <w:spacing w:line="440" w:lineRule="exact"/>
        <w:jc w:val="center"/>
        <w:rPr>
          <w:rFonts w:ascii="宋体" w:hAnsi="宋体" w:cs="宋体"/>
          <w:b/>
        </w:rPr>
      </w:pPr>
    </w:p>
    <w:p>
      <w:pPr>
        <w:spacing w:line="440" w:lineRule="exact"/>
        <w:jc w:val="center"/>
        <w:rPr>
          <w:rFonts w:ascii="宋体" w:hAnsi="宋体" w:cs="宋体"/>
          <w:b/>
        </w:rPr>
      </w:pPr>
    </w:p>
    <w:p>
      <w:pPr>
        <w:spacing w:line="440" w:lineRule="exact"/>
        <w:jc w:val="center"/>
        <w:rPr>
          <w:rFonts w:ascii="宋体" w:hAnsi="宋体" w:cs="宋体"/>
          <w:b/>
        </w:rPr>
      </w:pPr>
    </w:p>
    <w:p>
      <w:pPr>
        <w:spacing w:line="440" w:lineRule="exact"/>
        <w:jc w:val="center"/>
        <w:rPr>
          <w:rFonts w:ascii="宋体" w:hAnsi="宋体" w:cs="宋体"/>
          <w:b/>
        </w:rPr>
      </w:pPr>
    </w:p>
    <w:p>
      <w:pPr>
        <w:spacing w:line="440" w:lineRule="exact"/>
        <w:jc w:val="center"/>
        <w:rPr>
          <w:rFonts w:ascii="宋体" w:hAnsi="宋体" w:cs="宋体"/>
          <w:b/>
        </w:rPr>
      </w:pPr>
    </w:p>
    <w:p>
      <w:pPr>
        <w:spacing w:line="440" w:lineRule="exact"/>
        <w:jc w:val="center"/>
        <w:rPr>
          <w:rFonts w:ascii="宋体" w:hAnsi="宋体" w:cs="宋体"/>
          <w:b/>
        </w:rPr>
      </w:pPr>
    </w:p>
    <w:p>
      <w:pPr>
        <w:spacing w:line="440" w:lineRule="exact"/>
        <w:jc w:val="center"/>
        <w:rPr>
          <w:rFonts w:ascii="宋体" w:hAnsi="宋体" w:cs="宋体"/>
          <w:b/>
        </w:rPr>
      </w:pPr>
    </w:p>
    <w:p>
      <w:pPr>
        <w:spacing w:line="440" w:lineRule="exact"/>
        <w:jc w:val="center"/>
        <w:rPr>
          <w:rFonts w:ascii="宋体" w:hAnsi="宋体" w:cs="宋体"/>
          <w:b/>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sectPr>
          <w:pgSz w:w="11906" w:h="16838"/>
          <w:pgMar w:top="1134" w:right="1134" w:bottom="1134" w:left="1134" w:header="851" w:footer="992" w:gutter="0"/>
          <w:cols w:space="720" w:num="1"/>
          <w:titlePg/>
          <w:docGrid w:type="lines" w:linePitch="312" w:charSpace="0"/>
        </w:sectPr>
      </w:pPr>
    </w:p>
    <w:p>
      <w:pPr>
        <w:spacing w:line="440" w:lineRule="exact"/>
        <w:rPr>
          <w:rFonts w:ascii="宋体" w:hAnsi="宋体" w:cs="宋体"/>
          <w:sz w:val="24"/>
        </w:rPr>
      </w:pPr>
      <w:r>
        <w:rPr>
          <w:rFonts w:hint="eastAsia" w:ascii="宋体" w:hAnsi="宋体" w:cs="宋体"/>
          <w:sz w:val="24"/>
        </w:rPr>
        <w:t>附件1.投标分项报价表</w:t>
      </w:r>
    </w:p>
    <w:p>
      <w:pPr>
        <w:spacing w:line="440" w:lineRule="exact"/>
        <w:jc w:val="center"/>
        <w:rPr>
          <w:rFonts w:ascii="宋体" w:hAnsi="宋体" w:cs="宋体"/>
          <w:i/>
        </w:rPr>
      </w:pPr>
      <w:r>
        <w:rPr>
          <w:rFonts w:hint="eastAsia" w:ascii="宋体" w:hAnsi="宋体" w:cs="宋体"/>
          <w:b/>
          <w:sz w:val="28"/>
        </w:rPr>
        <w:t>投标分项报价表</w:t>
      </w:r>
    </w:p>
    <w:p>
      <w:pPr>
        <w:spacing w:line="440" w:lineRule="exact"/>
        <w:rPr>
          <w:rFonts w:ascii="宋体" w:hAnsi="宋体" w:cs="宋体"/>
          <w:u w:val="single"/>
        </w:rPr>
      </w:pPr>
      <w:r>
        <w:rPr>
          <w:rFonts w:hint="eastAsia" w:ascii="宋体" w:hAnsi="宋体" w:cs="宋体"/>
        </w:rPr>
        <w:t xml:space="preserve">  投标人名称：招标编号： 包号：</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8"/>
        <w:gridCol w:w="1146"/>
        <w:gridCol w:w="1436"/>
        <w:gridCol w:w="1260"/>
        <w:gridCol w:w="2415"/>
        <w:gridCol w:w="17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18"/>
              </w:rPr>
            </w:pPr>
            <w:r>
              <w:rPr>
                <w:rFonts w:hint="eastAsia" w:ascii="宋体" w:hAnsi="宋体" w:cs="宋体"/>
                <w:sz w:val="18"/>
              </w:rPr>
              <w:t>序号</w:t>
            </w:r>
          </w:p>
        </w:tc>
        <w:tc>
          <w:tcPr>
            <w:tcW w:w="11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18"/>
              </w:rPr>
            </w:pPr>
            <w:r>
              <w:rPr>
                <w:rFonts w:hint="eastAsia" w:ascii="宋体" w:hAnsi="宋体" w:cs="宋体"/>
                <w:sz w:val="18"/>
              </w:rPr>
              <w:t>名 称</w:t>
            </w:r>
          </w:p>
        </w:tc>
        <w:tc>
          <w:tcPr>
            <w:tcW w:w="14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18"/>
              </w:rPr>
            </w:pPr>
            <w:r>
              <w:rPr>
                <w:rFonts w:hint="eastAsia" w:ascii="宋体" w:hAnsi="宋体" w:cs="宋体"/>
                <w:sz w:val="18"/>
              </w:rPr>
              <w:t>型号</w:t>
            </w:r>
          </w:p>
          <w:p>
            <w:pPr>
              <w:spacing w:line="440" w:lineRule="exact"/>
              <w:jc w:val="center"/>
              <w:rPr>
                <w:rFonts w:ascii="宋体" w:hAnsi="宋体" w:cs="宋体"/>
                <w:sz w:val="18"/>
              </w:rPr>
            </w:pPr>
            <w:r>
              <w:rPr>
                <w:rFonts w:hint="eastAsia" w:ascii="宋体" w:hAnsi="宋体" w:cs="宋体"/>
                <w:sz w:val="18"/>
              </w:rPr>
              <w:t>规格</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18"/>
              </w:rPr>
            </w:pPr>
            <w:r>
              <w:rPr>
                <w:rFonts w:hint="eastAsia" w:ascii="宋体" w:hAnsi="宋体" w:cs="宋体"/>
                <w:sz w:val="18"/>
              </w:rPr>
              <w:t>数量</w:t>
            </w:r>
          </w:p>
        </w:tc>
        <w:tc>
          <w:tcPr>
            <w:tcW w:w="241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 w:val="18"/>
              </w:rPr>
            </w:pPr>
            <w:r>
              <w:rPr>
                <w:rFonts w:hint="eastAsia" w:ascii="宋体" w:hAnsi="宋体" w:cs="宋体"/>
                <w:sz w:val="18"/>
              </w:rPr>
              <w:t>原产地和</w:t>
            </w:r>
          </w:p>
          <w:p>
            <w:pPr>
              <w:spacing w:line="440" w:lineRule="exact"/>
              <w:jc w:val="center"/>
              <w:rPr>
                <w:rFonts w:ascii="宋体" w:hAnsi="宋体" w:cs="宋体"/>
                <w:sz w:val="18"/>
              </w:rPr>
            </w:pPr>
            <w:r>
              <w:rPr>
                <w:rFonts w:hint="eastAsia" w:ascii="宋体" w:hAnsi="宋体" w:cs="宋体"/>
                <w:sz w:val="18"/>
              </w:rPr>
              <w:t>制造商名称</w:t>
            </w:r>
          </w:p>
        </w:tc>
        <w:tc>
          <w:tcPr>
            <w:tcW w:w="17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18"/>
              </w:rPr>
            </w:pPr>
            <w:r>
              <w:rPr>
                <w:rFonts w:hint="eastAsia" w:ascii="宋体" w:hAnsi="宋体" w:cs="宋体"/>
                <w:sz w:val="18"/>
              </w:rPr>
              <w:t>单项金额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 w:val="18"/>
              </w:rPr>
            </w:pPr>
            <w:r>
              <w:rPr>
                <w:rFonts w:hint="eastAsia" w:ascii="宋体" w:hAnsi="宋体" w:cs="宋体"/>
                <w:sz w:val="18"/>
              </w:rPr>
              <w:t>1</w:t>
            </w:r>
          </w:p>
        </w:tc>
        <w:tc>
          <w:tcPr>
            <w:tcW w:w="114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c>
          <w:tcPr>
            <w:tcW w:w="143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c>
          <w:tcPr>
            <w:tcW w:w="126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c>
          <w:tcPr>
            <w:tcW w:w="2415"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c>
          <w:tcPr>
            <w:tcW w:w="1785"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 w:val="18"/>
              </w:rPr>
            </w:pPr>
            <w:r>
              <w:rPr>
                <w:rFonts w:hint="eastAsia" w:ascii="宋体" w:hAnsi="宋体" w:cs="宋体"/>
                <w:sz w:val="18"/>
              </w:rPr>
              <w:t>2</w:t>
            </w:r>
          </w:p>
        </w:tc>
        <w:tc>
          <w:tcPr>
            <w:tcW w:w="114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c>
          <w:tcPr>
            <w:tcW w:w="143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c>
          <w:tcPr>
            <w:tcW w:w="126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c>
          <w:tcPr>
            <w:tcW w:w="2415"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c>
          <w:tcPr>
            <w:tcW w:w="1785"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 w:val="18"/>
              </w:rPr>
            </w:pPr>
            <w:r>
              <w:rPr>
                <w:rFonts w:hint="eastAsia" w:ascii="宋体" w:hAnsi="宋体" w:cs="宋体"/>
                <w:sz w:val="18"/>
              </w:rPr>
              <w:t>3</w:t>
            </w:r>
          </w:p>
        </w:tc>
        <w:tc>
          <w:tcPr>
            <w:tcW w:w="1146" w:type="dxa"/>
            <w:tcBorders>
              <w:top w:val="single" w:color="auto" w:sz="4" w:space="0"/>
              <w:left w:val="single" w:color="auto" w:sz="4" w:space="0"/>
              <w:bottom w:val="single" w:color="auto" w:sz="4" w:space="0"/>
              <w:right w:val="single" w:color="auto" w:sz="4" w:space="0"/>
            </w:tcBorders>
          </w:tcPr>
          <w:p>
            <w:pPr>
              <w:spacing w:line="440" w:lineRule="exact"/>
              <w:ind w:left="-827" w:firstLine="827"/>
              <w:rPr>
                <w:rFonts w:ascii="宋体" w:hAnsi="宋体" w:cs="宋体"/>
                <w:sz w:val="18"/>
              </w:rPr>
            </w:pPr>
          </w:p>
        </w:tc>
        <w:tc>
          <w:tcPr>
            <w:tcW w:w="143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c>
          <w:tcPr>
            <w:tcW w:w="126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c>
          <w:tcPr>
            <w:tcW w:w="2415"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c>
          <w:tcPr>
            <w:tcW w:w="1785"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 w:val="18"/>
              </w:rPr>
            </w:pPr>
            <w:r>
              <w:rPr>
                <w:rFonts w:hint="eastAsia" w:ascii="宋体" w:hAnsi="宋体" w:cs="宋体"/>
                <w:sz w:val="18"/>
              </w:rPr>
              <w:t>4</w:t>
            </w:r>
          </w:p>
        </w:tc>
        <w:tc>
          <w:tcPr>
            <w:tcW w:w="114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c>
          <w:tcPr>
            <w:tcW w:w="143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c>
          <w:tcPr>
            <w:tcW w:w="126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c>
          <w:tcPr>
            <w:tcW w:w="2415"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c>
          <w:tcPr>
            <w:tcW w:w="1785"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 w:val="18"/>
              </w:rPr>
            </w:pPr>
            <w:r>
              <w:rPr>
                <w:rFonts w:hint="eastAsia" w:ascii="宋体" w:hAnsi="宋体" w:cs="宋体"/>
                <w:sz w:val="18"/>
              </w:rPr>
              <w:t>5</w:t>
            </w:r>
          </w:p>
        </w:tc>
        <w:tc>
          <w:tcPr>
            <w:tcW w:w="114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c>
          <w:tcPr>
            <w:tcW w:w="143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c>
          <w:tcPr>
            <w:tcW w:w="126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c>
          <w:tcPr>
            <w:tcW w:w="2415"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c>
          <w:tcPr>
            <w:tcW w:w="1785"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 w:val="18"/>
              </w:rPr>
            </w:pPr>
            <w:r>
              <w:rPr>
                <w:rFonts w:hint="eastAsia" w:ascii="宋体" w:hAnsi="宋体" w:cs="宋体"/>
                <w:sz w:val="18"/>
              </w:rPr>
              <w:t>6</w:t>
            </w:r>
          </w:p>
        </w:tc>
        <w:tc>
          <w:tcPr>
            <w:tcW w:w="114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c>
          <w:tcPr>
            <w:tcW w:w="143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c>
          <w:tcPr>
            <w:tcW w:w="126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c>
          <w:tcPr>
            <w:tcW w:w="2415"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18"/>
              </w:rPr>
            </w:pPr>
          </w:p>
        </w:tc>
        <w:tc>
          <w:tcPr>
            <w:tcW w:w="1785"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10" w:type="dxa"/>
            <w:gridSpan w:val="6"/>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r>
              <w:rPr>
                <w:rFonts w:hint="eastAsia" w:ascii="宋体" w:hAnsi="宋体" w:cs="宋体"/>
              </w:rPr>
              <w:t>总计：</w:t>
            </w:r>
          </w:p>
        </w:tc>
      </w:tr>
    </w:tbl>
    <w:p>
      <w:pPr>
        <w:spacing w:line="440" w:lineRule="exact"/>
        <w:rPr>
          <w:rFonts w:ascii="宋体" w:hAnsi="宋体" w:cs="宋体"/>
          <w:u w:val="single"/>
        </w:rPr>
      </w:pPr>
      <w:r>
        <w:rPr>
          <w:rFonts w:hint="eastAsia" w:ascii="宋体" w:hAnsi="宋体" w:cs="宋体"/>
        </w:rPr>
        <w:t>投标人授权代表签字</w:t>
      </w:r>
    </w:p>
    <w:p>
      <w:pPr>
        <w:spacing w:line="440" w:lineRule="exact"/>
        <w:rPr>
          <w:rFonts w:ascii="宋体" w:hAnsi="宋体" w:cs="宋体"/>
        </w:rPr>
      </w:pPr>
      <w:r>
        <w:rPr>
          <w:rFonts w:hint="eastAsia" w:ascii="宋体" w:hAnsi="宋体" w:cs="宋体"/>
        </w:rPr>
        <w:t>注：1、如果按单项金额计算的结果与总价不一致，以单项金额为准修正总价。</w:t>
      </w:r>
    </w:p>
    <w:p>
      <w:pPr>
        <w:spacing w:line="440" w:lineRule="exact"/>
        <w:rPr>
          <w:rFonts w:ascii="宋体" w:hAnsi="宋体" w:cs="宋体"/>
          <w:b/>
        </w:rPr>
      </w:pPr>
      <w:r>
        <w:rPr>
          <w:rFonts w:hint="eastAsia" w:ascii="宋体" w:hAnsi="宋体" w:cs="宋体"/>
        </w:rPr>
        <w:t xml:space="preserve">    2、如果不提供详细分项报价将视为没有实质性响应招标文件。</w:t>
      </w:r>
    </w:p>
    <w:p>
      <w:pPr>
        <w:spacing w:line="440" w:lineRule="exact"/>
        <w:jc w:val="center"/>
        <w:rPr>
          <w:rFonts w:ascii="宋体" w:hAnsi="宋体" w:cs="宋体"/>
          <w:b/>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附件2.投标项目核心产品及主要产品一览表格式</w:t>
      </w:r>
    </w:p>
    <w:p>
      <w:pPr>
        <w:spacing w:line="440" w:lineRule="exact"/>
        <w:rPr>
          <w:rFonts w:ascii="宋体" w:hAnsi="宋体" w:cs="宋体"/>
          <w:sz w:val="24"/>
        </w:rPr>
      </w:pPr>
    </w:p>
    <w:p>
      <w:pPr>
        <w:autoSpaceDE w:val="0"/>
        <w:autoSpaceDN w:val="0"/>
        <w:adjustRightInd w:val="0"/>
        <w:jc w:val="center"/>
        <w:rPr>
          <w:rFonts w:ascii="宋体" w:hAnsi="宋体"/>
          <w:sz w:val="36"/>
          <w:szCs w:val="36"/>
        </w:rPr>
      </w:pPr>
      <w:r>
        <w:rPr>
          <w:rFonts w:hint="eastAsia" w:ascii="宋体" w:hAnsi="宋体"/>
          <w:sz w:val="36"/>
          <w:szCs w:val="36"/>
        </w:rPr>
        <w:t>投标项目核心产品及主要产品一览表</w:t>
      </w:r>
    </w:p>
    <w:tbl>
      <w:tblPr>
        <w:tblStyle w:val="37"/>
        <w:tblpPr w:leftFromText="180" w:rightFromText="180" w:vertAnchor="text" w:horzAnchor="margin" w:tblpY="133"/>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486"/>
        <w:gridCol w:w="1626"/>
        <w:gridCol w:w="728"/>
        <w:gridCol w:w="716"/>
        <w:gridCol w:w="1247"/>
        <w:gridCol w:w="1635"/>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45" w:type="dxa"/>
            <w:gridSpan w:val="4"/>
            <w:tcBorders>
              <w:top w:val="nil"/>
              <w:left w:val="nil"/>
              <w:bottom w:val="single" w:color="auto" w:sz="4" w:space="0"/>
              <w:right w:val="nil"/>
            </w:tcBorders>
            <w:vAlign w:val="center"/>
          </w:tcPr>
          <w:p>
            <w:pPr>
              <w:widowControl/>
              <w:adjustRightInd w:val="0"/>
              <w:rPr>
                <w:rFonts w:ascii="宋体" w:hAnsi="宋体"/>
                <w:kern w:val="0"/>
                <w:szCs w:val="21"/>
                <w:lang w:val="zh-CN"/>
              </w:rPr>
            </w:pPr>
            <w:r>
              <w:rPr>
                <w:rFonts w:hint="eastAsia" w:ascii="宋体" w:hAnsi="宋体"/>
                <w:szCs w:val="21"/>
                <w:lang w:val="zh-CN"/>
              </w:rPr>
              <w:t>项目名称：</w:t>
            </w:r>
          </w:p>
        </w:tc>
        <w:tc>
          <w:tcPr>
            <w:tcW w:w="3598" w:type="dxa"/>
            <w:gridSpan w:val="3"/>
            <w:tcBorders>
              <w:top w:val="nil"/>
              <w:left w:val="nil"/>
              <w:right w:val="nil"/>
            </w:tcBorders>
            <w:vAlign w:val="center"/>
          </w:tcPr>
          <w:p>
            <w:pPr>
              <w:widowControl/>
              <w:adjustRightInd w:val="0"/>
              <w:rPr>
                <w:rFonts w:ascii="宋体" w:hAnsi="宋体"/>
                <w:kern w:val="0"/>
                <w:szCs w:val="21"/>
                <w:lang w:val="zh-CN"/>
              </w:rPr>
            </w:pPr>
            <w:r>
              <w:rPr>
                <w:rFonts w:hint="eastAsia" w:ascii="宋体" w:hAnsi="宋体"/>
                <w:kern w:val="0"/>
                <w:szCs w:val="21"/>
                <w:lang w:val="zh-CN"/>
              </w:rPr>
              <w:t>项目编号：</w:t>
            </w:r>
            <w:r>
              <w:rPr>
                <w:rFonts w:hint="eastAsia" w:ascii="宋体" w:hAnsi="宋体"/>
                <w:b/>
                <w:szCs w:val="21"/>
                <w:u w:val="single"/>
                <w:lang w:val="zh-CN"/>
              </w:rPr>
              <w:t xml:space="preserve">                     </w:t>
            </w:r>
          </w:p>
        </w:tc>
        <w:tc>
          <w:tcPr>
            <w:tcW w:w="2036" w:type="dxa"/>
            <w:tcBorders>
              <w:top w:val="nil"/>
              <w:left w:val="nil"/>
              <w:right w:val="nil"/>
            </w:tcBorders>
            <w:vAlign w:val="center"/>
          </w:tcPr>
          <w:p>
            <w:pPr>
              <w:widowControl/>
              <w:adjustRightInd w:val="0"/>
              <w:rPr>
                <w:rFonts w:ascii="宋体" w:hAnsi="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kern w:val="0"/>
                <w:szCs w:val="21"/>
                <w:lang w:val="zh-CN"/>
              </w:rPr>
            </w:pPr>
            <w:r>
              <w:rPr>
                <w:rFonts w:hint="eastAsia" w:ascii="宋体" w:hAnsi="宋体"/>
                <w:kern w:val="0"/>
                <w:szCs w:val="21"/>
                <w:lang w:val="zh-CN"/>
              </w:rPr>
              <w:t>序号</w:t>
            </w:r>
          </w:p>
        </w:tc>
        <w:tc>
          <w:tcPr>
            <w:tcW w:w="1486" w:type="dxa"/>
            <w:tcBorders>
              <w:top w:val="single" w:color="auto" w:sz="4" w:space="0"/>
              <w:left w:val="single" w:color="auto" w:sz="4" w:space="0"/>
              <w:right w:val="single" w:color="auto" w:sz="4" w:space="0"/>
            </w:tcBorders>
            <w:vAlign w:val="center"/>
          </w:tcPr>
          <w:p>
            <w:pPr>
              <w:widowControl/>
              <w:adjustRightInd w:val="0"/>
              <w:jc w:val="center"/>
              <w:rPr>
                <w:rFonts w:ascii="宋体" w:hAnsi="宋体"/>
                <w:kern w:val="0"/>
                <w:szCs w:val="21"/>
                <w:lang w:val="zh-CN"/>
              </w:rPr>
            </w:pPr>
            <w:r>
              <w:rPr>
                <w:rFonts w:hint="eastAsia" w:ascii="宋体" w:hAnsi="宋体"/>
                <w:kern w:val="0"/>
                <w:szCs w:val="21"/>
                <w:lang w:val="zh-CN"/>
              </w:rPr>
              <w:t>名称</w:t>
            </w:r>
          </w:p>
        </w:tc>
        <w:tc>
          <w:tcPr>
            <w:tcW w:w="1626" w:type="dxa"/>
            <w:tcBorders>
              <w:top w:val="single" w:color="auto" w:sz="4" w:space="0"/>
              <w:left w:val="single" w:color="auto" w:sz="4" w:space="0"/>
              <w:right w:val="single" w:color="auto" w:sz="4" w:space="0"/>
            </w:tcBorders>
            <w:vAlign w:val="center"/>
          </w:tcPr>
          <w:p>
            <w:pPr>
              <w:widowControl/>
              <w:adjustRightInd w:val="0"/>
              <w:jc w:val="center"/>
              <w:rPr>
                <w:rFonts w:ascii="宋体" w:hAnsi="宋体"/>
                <w:kern w:val="0"/>
                <w:szCs w:val="21"/>
                <w:lang w:val="zh-CN"/>
              </w:rPr>
            </w:pPr>
            <w:r>
              <w:rPr>
                <w:rFonts w:hint="eastAsia" w:ascii="宋体" w:hAnsi="宋体"/>
                <w:kern w:val="0"/>
                <w:szCs w:val="21"/>
                <w:lang w:val="zh-CN"/>
              </w:rPr>
              <w:t>品牌、规格或型号</w:t>
            </w:r>
          </w:p>
        </w:tc>
        <w:tc>
          <w:tcPr>
            <w:tcW w:w="728" w:type="dxa"/>
            <w:tcBorders>
              <w:top w:val="single" w:color="auto" w:sz="4" w:space="0"/>
              <w:left w:val="single" w:color="auto" w:sz="4" w:space="0"/>
              <w:right w:val="single" w:color="auto" w:sz="4" w:space="0"/>
            </w:tcBorders>
            <w:vAlign w:val="center"/>
          </w:tcPr>
          <w:p>
            <w:pPr>
              <w:widowControl/>
              <w:adjustRightInd w:val="0"/>
              <w:jc w:val="center"/>
              <w:rPr>
                <w:rFonts w:ascii="宋体" w:hAnsi="宋体"/>
                <w:kern w:val="0"/>
                <w:szCs w:val="21"/>
                <w:lang w:val="zh-CN"/>
              </w:rPr>
            </w:pPr>
            <w:r>
              <w:rPr>
                <w:rFonts w:hint="eastAsia" w:ascii="宋体" w:hAnsi="宋体"/>
                <w:kern w:val="0"/>
                <w:szCs w:val="21"/>
              </w:rPr>
              <w:t>数量</w:t>
            </w:r>
          </w:p>
        </w:tc>
        <w:tc>
          <w:tcPr>
            <w:tcW w:w="716" w:type="dxa"/>
            <w:tcBorders>
              <w:top w:val="single" w:color="auto" w:sz="4" w:space="0"/>
              <w:left w:val="single" w:color="auto" w:sz="4" w:space="0"/>
              <w:right w:val="single" w:color="auto" w:sz="4" w:space="0"/>
            </w:tcBorders>
            <w:vAlign w:val="center"/>
          </w:tcPr>
          <w:p>
            <w:pPr>
              <w:widowControl/>
              <w:adjustRightInd w:val="0"/>
              <w:jc w:val="center"/>
              <w:rPr>
                <w:rFonts w:ascii="宋体" w:hAnsi="宋体"/>
                <w:kern w:val="0"/>
                <w:szCs w:val="21"/>
              </w:rPr>
            </w:pPr>
            <w:r>
              <w:rPr>
                <w:rFonts w:hint="eastAsia" w:ascii="宋体" w:hAnsi="宋体"/>
                <w:kern w:val="0"/>
                <w:szCs w:val="21"/>
              </w:rPr>
              <w:t>币种</w:t>
            </w:r>
          </w:p>
        </w:tc>
        <w:tc>
          <w:tcPr>
            <w:tcW w:w="1247" w:type="dxa"/>
            <w:tcBorders>
              <w:top w:val="single" w:color="auto" w:sz="4" w:space="0"/>
              <w:left w:val="single" w:color="auto" w:sz="4" w:space="0"/>
              <w:right w:val="single" w:color="auto" w:sz="4" w:space="0"/>
            </w:tcBorders>
            <w:vAlign w:val="center"/>
          </w:tcPr>
          <w:p>
            <w:pPr>
              <w:widowControl/>
              <w:adjustRightInd w:val="0"/>
              <w:jc w:val="center"/>
              <w:rPr>
                <w:rFonts w:ascii="宋体" w:hAnsi="宋体"/>
                <w:kern w:val="0"/>
                <w:szCs w:val="21"/>
                <w:lang w:val="zh-CN"/>
              </w:rPr>
            </w:pPr>
            <w:r>
              <w:rPr>
                <w:rFonts w:hint="eastAsia" w:ascii="宋体" w:hAnsi="宋体"/>
                <w:kern w:val="0"/>
                <w:szCs w:val="21"/>
              </w:rPr>
              <w:t>单价</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kern w:val="0"/>
                <w:szCs w:val="21"/>
                <w:lang w:val="zh-CN"/>
              </w:rPr>
            </w:pPr>
            <w:r>
              <w:rPr>
                <w:rFonts w:hint="eastAsia" w:ascii="宋体" w:hAnsi="宋体"/>
                <w:kern w:val="0"/>
                <w:szCs w:val="21"/>
                <w:lang w:val="zh-CN"/>
              </w:rPr>
              <w:t>总价（元）</w:t>
            </w:r>
          </w:p>
        </w:tc>
        <w:tc>
          <w:tcPr>
            <w:tcW w:w="203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kern w:val="0"/>
                <w:szCs w:val="21"/>
                <w:lang w:val="zh-CN"/>
              </w:rPr>
            </w:pPr>
            <w:r>
              <w:rPr>
                <w:rFonts w:hint="eastAsia" w:ascii="宋体" w:hAnsi="宋体"/>
                <w:kern w:val="0"/>
                <w:szCs w:val="21"/>
                <w:lang w:val="zh-CN"/>
              </w:rPr>
              <w:t>质保年限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5" w:type="dxa"/>
            <w:tcBorders>
              <w:top w:val="single" w:color="auto" w:sz="4" w:space="0"/>
              <w:left w:val="single" w:color="auto" w:sz="4" w:space="0"/>
              <w:bottom w:val="single" w:color="auto" w:sz="4" w:space="0"/>
              <w:right w:val="single" w:color="auto" w:sz="4" w:space="0"/>
            </w:tcBorders>
          </w:tcPr>
          <w:p>
            <w:pPr>
              <w:widowControl/>
              <w:adjustRightInd w:val="0"/>
              <w:jc w:val="center"/>
              <w:rPr>
                <w:rFonts w:ascii="宋体" w:hAnsi="宋体"/>
                <w:kern w:val="0"/>
                <w:szCs w:val="21"/>
                <w:lang w:val="zh-CN"/>
              </w:rPr>
            </w:pPr>
            <w:r>
              <w:rPr>
                <w:rFonts w:hint="eastAsia" w:ascii="宋体" w:hAnsi="宋体"/>
                <w:kern w:val="0"/>
                <w:szCs w:val="21"/>
                <w:lang w:val="zh-CN"/>
              </w:rPr>
              <w:t>1</w:t>
            </w:r>
          </w:p>
        </w:tc>
        <w:tc>
          <w:tcPr>
            <w:tcW w:w="1486" w:type="dxa"/>
            <w:tcBorders>
              <w:left w:val="single" w:color="auto" w:sz="4" w:space="0"/>
              <w:right w:val="single" w:color="auto" w:sz="4" w:space="0"/>
            </w:tcBorders>
          </w:tcPr>
          <w:p>
            <w:pPr>
              <w:widowControl/>
              <w:adjustRightInd w:val="0"/>
              <w:jc w:val="left"/>
              <w:rPr>
                <w:rFonts w:ascii="宋体" w:hAnsi="宋体"/>
                <w:kern w:val="0"/>
                <w:szCs w:val="21"/>
                <w:lang w:val="zh-CN"/>
              </w:rPr>
            </w:pPr>
          </w:p>
        </w:tc>
        <w:tc>
          <w:tcPr>
            <w:tcW w:w="1626" w:type="dxa"/>
            <w:tcBorders>
              <w:left w:val="single" w:color="auto" w:sz="4" w:space="0"/>
              <w:right w:val="single" w:color="auto" w:sz="4" w:space="0"/>
            </w:tcBorders>
          </w:tcPr>
          <w:p>
            <w:pPr>
              <w:widowControl/>
              <w:adjustRightInd w:val="0"/>
              <w:jc w:val="left"/>
              <w:rPr>
                <w:rFonts w:ascii="宋体" w:hAnsi="宋体"/>
                <w:kern w:val="0"/>
                <w:szCs w:val="21"/>
                <w:lang w:val="zh-CN"/>
              </w:rPr>
            </w:pPr>
          </w:p>
        </w:tc>
        <w:tc>
          <w:tcPr>
            <w:tcW w:w="728" w:type="dxa"/>
            <w:tcBorders>
              <w:left w:val="single" w:color="auto" w:sz="4" w:space="0"/>
              <w:right w:val="single" w:color="auto" w:sz="4" w:space="0"/>
            </w:tcBorders>
          </w:tcPr>
          <w:p>
            <w:pPr>
              <w:widowControl/>
              <w:adjustRightInd w:val="0"/>
              <w:jc w:val="left"/>
              <w:rPr>
                <w:rFonts w:ascii="宋体" w:hAnsi="宋体"/>
                <w:kern w:val="0"/>
                <w:szCs w:val="21"/>
                <w:lang w:val="zh-CN"/>
              </w:rPr>
            </w:pPr>
          </w:p>
        </w:tc>
        <w:tc>
          <w:tcPr>
            <w:tcW w:w="716" w:type="dxa"/>
            <w:tcBorders>
              <w:left w:val="single" w:color="auto" w:sz="4" w:space="0"/>
              <w:right w:val="single" w:color="auto" w:sz="4" w:space="0"/>
            </w:tcBorders>
          </w:tcPr>
          <w:p>
            <w:pPr>
              <w:widowControl/>
              <w:adjustRightInd w:val="0"/>
              <w:jc w:val="left"/>
              <w:rPr>
                <w:rFonts w:ascii="宋体" w:hAnsi="宋体"/>
                <w:kern w:val="0"/>
                <w:szCs w:val="21"/>
                <w:lang w:val="zh-CN"/>
              </w:rPr>
            </w:pPr>
          </w:p>
        </w:tc>
        <w:tc>
          <w:tcPr>
            <w:tcW w:w="1247" w:type="dxa"/>
            <w:tcBorders>
              <w:left w:val="single" w:color="auto" w:sz="4" w:space="0"/>
              <w:right w:val="single" w:color="auto" w:sz="4" w:space="0"/>
            </w:tcBorders>
          </w:tcPr>
          <w:p>
            <w:pPr>
              <w:widowControl/>
              <w:adjustRightInd w:val="0"/>
              <w:jc w:val="left"/>
              <w:rPr>
                <w:rFonts w:ascii="宋体" w:hAnsi="宋体"/>
                <w:kern w:val="0"/>
                <w:szCs w:val="21"/>
                <w:lang w:val="zh-CN"/>
              </w:rPr>
            </w:pPr>
          </w:p>
        </w:tc>
        <w:tc>
          <w:tcPr>
            <w:tcW w:w="163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kern w:val="0"/>
                <w:szCs w:val="21"/>
                <w:lang w:val="zh-CN"/>
              </w:rPr>
            </w:pPr>
          </w:p>
        </w:tc>
        <w:tc>
          <w:tcPr>
            <w:tcW w:w="2036"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5" w:type="dxa"/>
            <w:tcBorders>
              <w:top w:val="single" w:color="auto" w:sz="4" w:space="0"/>
              <w:left w:val="single" w:color="auto" w:sz="4" w:space="0"/>
              <w:bottom w:val="single" w:color="auto" w:sz="4" w:space="0"/>
              <w:right w:val="single" w:color="auto" w:sz="4" w:space="0"/>
            </w:tcBorders>
          </w:tcPr>
          <w:p>
            <w:pPr>
              <w:widowControl/>
              <w:adjustRightInd w:val="0"/>
              <w:jc w:val="center"/>
              <w:rPr>
                <w:rFonts w:ascii="宋体" w:hAnsi="宋体"/>
                <w:kern w:val="0"/>
                <w:szCs w:val="21"/>
              </w:rPr>
            </w:pPr>
            <w:r>
              <w:rPr>
                <w:rFonts w:hint="eastAsia" w:ascii="宋体" w:hAnsi="宋体"/>
                <w:kern w:val="0"/>
                <w:szCs w:val="21"/>
              </w:rPr>
              <w:t>2</w:t>
            </w:r>
          </w:p>
        </w:tc>
        <w:tc>
          <w:tcPr>
            <w:tcW w:w="1486" w:type="dxa"/>
            <w:tcBorders>
              <w:left w:val="single" w:color="auto" w:sz="4" w:space="0"/>
              <w:right w:val="single" w:color="auto" w:sz="4" w:space="0"/>
            </w:tcBorders>
          </w:tcPr>
          <w:p>
            <w:pPr>
              <w:widowControl/>
              <w:adjustRightInd w:val="0"/>
              <w:jc w:val="left"/>
              <w:rPr>
                <w:rFonts w:ascii="宋体" w:hAnsi="宋体"/>
                <w:kern w:val="0"/>
                <w:szCs w:val="21"/>
                <w:lang w:val="zh-CN"/>
              </w:rPr>
            </w:pPr>
          </w:p>
        </w:tc>
        <w:tc>
          <w:tcPr>
            <w:tcW w:w="1626" w:type="dxa"/>
            <w:tcBorders>
              <w:left w:val="single" w:color="auto" w:sz="4" w:space="0"/>
              <w:right w:val="single" w:color="auto" w:sz="4" w:space="0"/>
            </w:tcBorders>
          </w:tcPr>
          <w:p>
            <w:pPr>
              <w:widowControl/>
              <w:adjustRightInd w:val="0"/>
              <w:jc w:val="left"/>
              <w:rPr>
                <w:rFonts w:ascii="宋体" w:hAnsi="宋体"/>
                <w:kern w:val="0"/>
                <w:szCs w:val="21"/>
                <w:lang w:val="zh-CN"/>
              </w:rPr>
            </w:pPr>
          </w:p>
        </w:tc>
        <w:tc>
          <w:tcPr>
            <w:tcW w:w="728" w:type="dxa"/>
            <w:tcBorders>
              <w:left w:val="single" w:color="auto" w:sz="4" w:space="0"/>
              <w:right w:val="single" w:color="auto" w:sz="4" w:space="0"/>
            </w:tcBorders>
          </w:tcPr>
          <w:p>
            <w:pPr>
              <w:widowControl/>
              <w:adjustRightInd w:val="0"/>
              <w:jc w:val="left"/>
              <w:rPr>
                <w:rFonts w:ascii="宋体" w:hAnsi="宋体"/>
                <w:kern w:val="0"/>
                <w:szCs w:val="21"/>
                <w:lang w:val="zh-CN"/>
              </w:rPr>
            </w:pPr>
          </w:p>
        </w:tc>
        <w:tc>
          <w:tcPr>
            <w:tcW w:w="716" w:type="dxa"/>
            <w:tcBorders>
              <w:left w:val="single" w:color="auto" w:sz="4" w:space="0"/>
              <w:right w:val="single" w:color="auto" w:sz="4" w:space="0"/>
            </w:tcBorders>
          </w:tcPr>
          <w:p>
            <w:pPr>
              <w:widowControl/>
              <w:adjustRightInd w:val="0"/>
              <w:jc w:val="left"/>
              <w:rPr>
                <w:rFonts w:ascii="宋体" w:hAnsi="宋体"/>
                <w:kern w:val="0"/>
                <w:szCs w:val="21"/>
                <w:lang w:val="zh-CN"/>
              </w:rPr>
            </w:pPr>
          </w:p>
        </w:tc>
        <w:tc>
          <w:tcPr>
            <w:tcW w:w="1247" w:type="dxa"/>
            <w:tcBorders>
              <w:left w:val="single" w:color="auto" w:sz="4" w:space="0"/>
              <w:right w:val="single" w:color="auto" w:sz="4" w:space="0"/>
            </w:tcBorders>
          </w:tcPr>
          <w:p>
            <w:pPr>
              <w:widowControl/>
              <w:adjustRightInd w:val="0"/>
              <w:jc w:val="left"/>
              <w:rPr>
                <w:rFonts w:ascii="宋体" w:hAnsi="宋体"/>
                <w:kern w:val="0"/>
                <w:szCs w:val="21"/>
                <w:lang w:val="zh-CN"/>
              </w:rPr>
            </w:pPr>
          </w:p>
        </w:tc>
        <w:tc>
          <w:tcPr>
            <w:tcW w:w="163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kern w:val="0"/>
                <w:szCs w:val="21"/>
                <w:lang w:val="zh-CN"/>
              </w:rPr>
            </w:pPr>
          </w:p>
        </w:tc>
        <w:tc>
          <w:tcPr>
            <w:tcW w:w="2036"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5" w:type="dxa"/>
            <w:tcBorders>
              <w:top w:val="single" w:color="auto" w:sz="4" w:space="0"/>
              <w:left w:val="single" w:color="auto" w:sz="4" w:space="0"/>
              <w:bottom w:val="single" w:color="auto" w:sz="4" w:space="0"/>
              <w:right w:val="single" w:color="auto" w:sz="4" w:space="0"/>
            </w:tcBorders>
          </w:tcPr>
          <w:p>
            <w:pPr>
              <w:widowControl/>
              <w:adjustRightInd w:val="0"/>
              <w:jc w:val="center"/>
              <w:rPr>
                <w:rFonts w:ascii="宋体" w:hAnsi="宋体"/>
                <w:kern w:val="0"/>
                <w:szCs w:val="21"/>
                <w:lang w:val="zh-CN"/>
              </w:rPr>
            </w:pPr>
          </w:p>
        </w:tc>
        <w:tc>
          <w:tcPr>
            <w:tcW w:w="1486" w:type="dxa"/>
            <w:tcBorders>
              <w:left w:val="single" w:color="auto" w:sz="4" w:space="0"/>
              <w:right w:val="single" w:color="auto" w:sz="4" w:space="0"/>
            </w:tcBorders>
          </w:tcPr>
          <w:p>
            <w:pPr>
              <w:widowControl/>
              <w:adjustRightInd w:val="0"/>
              <w:jc w:val="left"/>
              <w:rPr>
                <w:rFonts w:ascii="宋体" w:hAnsi="宋体"/>
                <w:kern w:val="0"/>
                <w:szCs w:val="21"/>
                <w:lang w:val="zh-CN"/>
              </w:rPr>
            </w:pPr>
          </w:p>
        </w:tc>
        <w:tc>
          <w:tcPr>
            <w:tcW w:w="1626" w:type="dxa"/>
            <w:tcBorders>
              <w:left w:val="single" w:color="auto" w:sz="4" w:space="0"/>
              <w:right w:val="single" w:color="auto" w:sz="4" w:space="0"/>
            </w:tcBorders>
          </w:tcPr>
          <w:p>
            <w:pPr>
              <w:widowControl/>
              <w:adjustRightInd w:val="0"/>
              <w:jc w:val="left"/>
              <w:rPr>
                <w:rFonts w:ascii="宋体" w:hAnsi="宋体"/>
                <w:kern w:val="0"/>
                <w:szCs w:val="21"/>
                <w:lang w:val="zh-CN"/>
              </w:rPr>
            </w:pPr>
          </w:p>
        </w:tc>
        <w:tc>
          <w:tcPr>
            <w:tcW w:w="728" w:type="dxa"/>
            <w:tcBorders>
              <w:left w:val="single" w:color="auto" w:sz="4" w:space="0"/>
              <w:right w:val="single" w:color="auto" w:sz="4" w:space="0"/>
            </w:tcBorders>
          </w:tcPr>
          <w:p>
            <w:pPr>
              <w:widowControl/>
              <w:adjustRightInd w:val="0"/>
              <w:jc w:val="left"/>
              <w:rPr>
                <w:rFonts w:ascii="宋体" w:hAnsi="宋体"/>
                <w:kern w:val="0"/>
                <w:szCs w:val="21"/>
                <w:lang w:val="zh-CN"/>
              </w:rPr>
            </w:pPr>
          </w:p>
        </w:tc>
        <w:tc>
          <w:tcPr>
            <w:tcW w:w="716" w:type="dxa"/>
            <w:tcBorders>
              <w:left w:val="single" w:color="auto" w:sz="4" w:space="0"/>
              <w:right w:val="single" w:color="auto" w:sz="4" w:space="0"/>
            </w:tcBorders>
          </w:tcPr>
          <w:p>
            <w:pPr>
              <w:widowControl/>
              <w:adjustRightInd w:val="0"/>
              <w:jc w:val="left"/>
              <w:rPr>
                <w:rFonts w:ascii="宋体" w:hAnsi="宋体"/>
                <w:kern w:val="0"/>
                <w:szCs w:val="21"/>
                <w:lang w:val="zh-CN"/>
              </w:rPr>
            </w:pPr>
          </w:p>
        </w:tc>
        <w:tc>
          <w:tcPr>
            <w:tcW w:w="1247" w:type="dxa"/>
            <w:tcBorders>
              <w:left w:val="single" w:color="auto" w:sz="4" w:space="0"/>
              <w:right w:val="single" w:color="auto" w:sz="4" w:space="0"/>
            </w:tcBorders>
          </w:tcPr>
          <w:p>
            <w:pPr>
              <w:widowControl/>
              <w:adjustRightInd w:val="0"/>
              <w:jc w:val="left"/>
              <w:rPr>
                <w:rFonts w:ascii="宋体" w:hAnsi="宋体"/>
                <w:kern w:val="0"/>
                <w:szCs w:val="21"/>
                <w:lang w:val="zh-CN"/>
              </w:rPr>
            </w:pPr>
          </w:p>
        </w:tc>
        <w:tc>
          <w:tcPr>
            <w:tcW w:w="163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kern w:val="0"/>
                <w:szCs w:val="21"/>
                <w:lang w:val="zh-CN"/>
              </w:rPr>
            </w:pPr>
          </w:p>
        </w:tc>
        <w:tc>
          <w:tcPr>
            <w:tcW w:w="2036"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kern w:val="0"/>
                <w:szCs w:val="21"/>
                <w:lang w:val="zh-CN"/>
              </w:rPr>
            </w:pPr>
          </w:p>
        </w:tc>
      </w:tr>
    </w:tbl>
    <w:p>
      <w:pPr>
        <w:widowControl/>
        <w:adjustRightInd w:val="0"/>
        <w:jc w:val="left"/>
        <w:rPr>
          <w:rFonts w:ascii="宋体" w:hAnsi="宋体"/>
          <w:kern w:val="0"/>
          <w:szCs w:val="21"/>
          <w:lang w:val="zh-CN"/>
        </w:rPr>
      </w:pPr>
      <w:r>
        <w:rPr>
          <w:rFonts w:hint="eastAsia" w:ascii="宋体" w:hAnsi="宋体"/>
          <w:kern w:val="0"/>
          <w:szCs w:val="21"/>
          <w:lang w:val="zh-CN"/>
        </w:rPr>
        <w:t>供应商名称:</w:t>
      </w:r>
      <w:r>
        <w:rPr>
          <w:rFonts w:hint="eastAsia" w:ascii="宋体" w:hAnsi="宋体"/>
          <w:kern w:val="0"/>
          <w:szCs w:val="21"/>
          <w:u w:val="single"/>
          <w:lang w:val="zh-CN"/>
        </w:rPr>
        <w:t xml:space="preserve">                                                  </w:t>
      </w:r>
      <w:r>
        <w:rPr>
          <w:rFonts w:hint="eastAsia" w:ascii="宋体" w:hAnsi="宋体"/>
          <w:kern w:val="0"/>
          <w:szCs w:val="21"/>
          <w:lang w:val="zh-CN"/>
        </w:rPr>
        <w:t>（公章）</w:t>
      </w:r>
    </w:p>
    <w:p>
      <w:pPr>
        <w:widowControl/>
        <w:snapToGrid w:val="0"/>
        <w:jc w:val="left"/>
        <w:rPr>
          <w:rFonts w:ascii="宋体" w:hAnsi="宋体"/>
          <w:b/>
          <w:kern w:val="0"/>
          <w:szCs w:val="21"/>
          <w:lang w:val="zh-CN"/>
        </w:rPr>
      </w:pPr>
    </w:p>
    <w:p>
      <w:pPr>
        <w:widowControl/>
        <w:snapToGrid w:val="0"/>
        <w:jc w:val="left"/>
        <w:rPr>
          <w:rFonts w:ascii="宋体" w:hAnsi="宋体"/>
          <w:b/>
          <w:kern w:val="0"/>
          <w:szCs w:val="21"/>
          <w:lang w:val="zh-CN"/>
        </w:rPr>
      </w:pPr>
      <w:r>
        <w:rPr>
          <w:rFonts w:hint="eastAsia" w:ascii="宋体" w:hAnsi="宋体"/>
          <w:b/>
          <w:kern w:val="0"/>
          <w:szCs w:val="21"/>
          <w:lang w:val="zh-CN"/>
        </w:rPr>
        <w:t>投标人根据投标品牌填写，不得擅自更改核心设备。</w:t>
      </w: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rPr>
          <w:rFonts w:ascii="宋体" w:hAnsi="宋体" w:cs="宋体"/>
          <w:sz w:val="24"/>
        </w:rPr>
      </w:pPr>
      <w:r>
        <w:rPr>
          <w:rFonts w:hint="eastAsia" w:ascii="宋体" w:hAnsi="宋体" w:cs="宋体"/>
          <w:sz w:val="24"/>
        </w:rPr>
        <w:br w:type="page"/>
      </w:r>
    </w:p>
    <w:p>
      <w:pPr>
        <w:spacing w:line="440" w:lineRule="exact"/>
        <w:rPr>
          <w:rFonts w:ascii="宋体" w:hAnsi="宋体" w:cs="宋体"/>
          <w:sz w:val="24"/>
        </w:rPr>
      </w:pPr>
      <w:r>
        <w:rPr>
          <w:rFonts w:hint="eastAsia" w:ascii="宋体" w:hAnsi="宋体" w:cs="宋体"/>
          <w:sz w:val="24"/>
        </w:rPr>
        <w:t>附件3：商务条款偏离表（招标文件与投标文件的偏离）</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z w:val="24"/>
              </w:rPr>
            </w:pPr>
            <w:r>
              <w:rPr>
                <w:rFonts w:hint="eastAsia" w:ascii="宋体" w:hAnsi="宋体" w:cs="宋体"/>
                <w:sz w:val="24"/>
              </w:rPr>
              <w:t>项目</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z w:val="24"/>
              </w:rPr>
            </w:pPr>
            <w:r>
              <w:rPr>
                <w:rFonts w:hint="eastAsia" w:ascii="宋体" w:hAnsi="宋体" w:cs="宋体"/>
                <w:sz w:val="24"/>
              </w:rPr>
              <w:t>招标文件要求</w:t>
            </w: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z w:val="24"/>
              </w:rPr>
            </w:pPr>
            <w:r>
              <w:rPr>
                <w:rFonts w:hint="eastAsia" w:ascii="宋体" w:hAnsi="宋体" w:cs="宋体"/>
                <w:sz w:val="24"/>
              </w:rPr>
              <w:t>是否响应</w:t>
            </w:r>
          </w:p>
        </w:tc>
        <w:tc>
          <w:tcPr>
            <w:tcW w:w="3020"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z w:val="24"/>
              </w:rPr>
            </w:pPr>
            <w:r>
              <w:rPr>
                <w:rFonts w:hint="eastAsia" w:ascii="宋体" w:hAnsi="宋体" w:cs="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z w:val="24"/>
              </w:rPr>
            </w:pPr>
            <w:r>
              <w:rPr>
                <w:rFonts w:hint="eastAsia" w:ascii="宋体" w:hAnsi="宋体" w:cs="宋体"/>
                <w:sz w:val="24"/>
              </w:rPr>
              <w:t>质保期</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z w:val="24"/>
              </w:rPr>
            </w:pPr>
            <w:r>
              <w:rPr>
                <w:rFonts w:hint="eastAsia" w:ascii="宋体" w:hAnsi="宋体" w:cs="宋体"/>
                <w:sz w:val="24"/>
              </w:rPr>
              <w:t>售后技术服务要求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z w:val="24"/>
              </w:rPr>
            </w:pPr>
            <w:r>
              <w:rPr>
                <w:rFonts w:hint="eastAsia" w:ascii="宋体" w:hAnsi="宋体" w:cs="宋体"/>
                <w:sz w:val="24"/>
              </w:rPr>
              <w:t>交货期</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ind w:left="43"/>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ind w:left="43"/>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z w:val="24"/>
              </w:rPr>
            </w:pPr>
            <w:r>
              <w:rPr>
                <w:rFonts w:hint="eastAsia" w:ascii="宋体" w:hAnsi="宋体" w:cs="宋体"/>
                <w:sz w:val="24"/>
              </w:rPr>
              <w:t>交货方式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z w:val="24"/>
              </w:rPr>
            </w:pPr>
          </w:p>
          <w:p>
            <w:pPr>
              <w:snapToGrid w:val="0"/>
              <w:spacing w:before="156" w:beforeLines="50" w:line="44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ind w:left="43"/>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ind w:left="43"/>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z w:val="24"/>
              </w:rPr>
            </w:pPr>
            <w:r>
              <w:rPr>
                <w:rFonts w:hint="eastAsia" w:ascii="宋体" w:hAnsi="宋体" w:cs="宋体"/>
                <w:sz w:val="24"/>
              </w:rPr>
              <w:t>交货地点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z w:val="24"/>
              </w:rPr>
            </w:pPr>
          </w:p>
          <w:p>
            <w:pPr>
              <w:snapToGrid w:val="0"/>
              <w:spacing w:before="156" w:beforeLines="50" w:line="44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ind w:left="43"/>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ind w:left="43"/>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z w:val="24"/>
              </w:rPr>
            </w:pPr>
            <w:r>
              <w:rPr>
                <w:rFonts w:hint="eastAsia" w:ascii="宋体" w:hAnsi="宋体" w:cs="宋体"/>
                <w:sz w:val="24"/>
              </w:rPr>
              <w:t>付款方式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trike/>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z w:val="24"/>
              </w:rPr>
            </w:pPr>
            <w:r>
              <w:rPr>
                <w:rFonts w:hint="eastAsia" w:ascii="宋体" w:hAnsi="宋体" w:cs="宋体"/>
                <w:sz w:val="24"/>
              </w:rPr>
              <w:t>其他</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z w:val="24"/>
              </w:rPr>
            </w:pPr>
          </w:p>
          <w:p>
            <w:pPr>
              <w:snapToGrid w:val="0"/>
              <w:spacing w:before="156" w:beforeLines="50" w:line="44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56" w:beforeLines="50" w:line="440" w:lineRule="exact"/>
              <w:rPr>
                <w:rFonts w:ascii="宋体" w:hAnsi="宋体" w:cs="宋体"/>
                <w:sz w:val="24"/>
              </w:rPr>
            </w:pPr>
          </w:p>
        </w:tc>
      </w:tr>
    </w:tbl>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注：1、请逐条应答，若无应答则视为全部响应。</w:t>
      </w:r>
    </w:p>
    <w:p>
      <w:pPr>
        <w:spacing w:line="440" w:lineRule="exact"/>
        <w:ind w:firstLine="480" w:firstLineChars="200"/>
        <w:rPr>
          <w:rFonts w:ascii="宋体" w:hAnsi="宋体" w:cs="宋体"/>
          <w:sz w:val="24"/>
        </w:rPr>
      </w:pPr>
      <w:r>
        <w:rPr>
          <w:rFonts w:hint="eastAsia" w:ascii="宋体" w:hAnsi="宋体" w:cs="宋体"/>
          <w:sz w:val="24"/>
        </w:rPr>
        <w:t>2、“说明”栏请注明“响应/正偏离/负偏离”。</w:t>
      </w:r>
    </w:p>
    <w:p>
      <w:pPr>
        <w:spacing w:line="440" w:lineRule="exact"/>
        <w:ind w:firstLine="5494"/>
        <w:rPr>
          <w:rFonts w:ascii="宋体" w:hAnsi="宋体" w:cs="宋体"/>
          <w:sz w:val="24"/>
        </w:rPr>
      </w:pPr>
    </w:p>
    <w:p>
      <w:pPr>
        <w:spacing w:line="440" w:lineRule="exact"/>
        <w:rPr>
          <w:rFonts w:ascii="宋体" w:hAnsi="宋体" w:cs="宋体"/>
          <w:sz w:val="24"/>
        </w:rPr>
      </w:pPr>
    </w:p>
    <w:p>
      <w:pPr>
        <w:spacing w:line="440" w:lineRule="exact"/>
        <w:ind w:firstLine="5494"/>
        <w:rPr>
          <w:rFonts w:ascii="宋体" w:hAnsi="宋体" w:cs="宋体"/>
          <w:sz w:val="24"/>
        </w:rPr>
      </w:pPr>
      <w:r>
        <w:rPr>
          <w:rFonts w:hint="eastAsia" w:ascii="宋体" w:hAnsi="宋体" w:cs="宋体"/>
          <w:sz w:val="24"/>
        </w:rPr>
        <w:t>投标人授权代表（签字）</w:t>
      </w:r>
    </w:p>
    <w:p>
      <w:pPr>
        <w:spacing w:line="440" w:lineRule="exact"/>
        <w:rPr>
          <w:rFonts w:ascii="宋体" w:hAnsi="宋体" w:cs="宋体"/>
          <w:sz w:val="24"/>
        </w:rPr>
      </w:pPr>
      <w:r>
        <w:rPr>
          <w:rFonts w:hint="eastAsia" w:ascii="宋体" w:hAnsi="宋体" w:cs="宋体"/>
          <w:sz w:val="24"/>
        </w:rPr>
        <w:t xml:space="preserve">                                              日期：</w:t>
      </w:r>
    </w:p>
    <w:p>
      <w:pPr>
        <w:spacing w:line="440" w:lineRule="exact"/>
        <w:ind w:right="-334"/>
        <w:rPr>
          <w:rFonts w:ascii="宋体" w:hAnsi="宋体" w:cs="宋体"/>
          <w:sz w:val="24"/>
        </w:rPr>
      </w:pPr>
    </w:p>
    <w:p>
      <w:pPr>
        <w:spacing w:line="440" w:lineRule="exact"/>
        <w:ind w:right="-334"/>
        <w:rPr>
          <w:rFonts w:ascii="宋体" w:hAnsi="宋体" w:cs="宋体"/>
          <w:sz w:val="24"/>
        </w:rPr>
      </w:pPr>
    </w:p>
    <w:p>
      <w:pPr>
        <w:spacing w:line="440" w:lineRule="exact"/>
        <w:ind w:right="-334"/>
        <w:rPr>
          <w:rFonts w:ascii="宋体" w:hAnsi="宋体" w:cs="宋体"/>
          <w:sz w:val="24"/>
        </w:rPr>
      </w:pPr>
    </w:p>
    <w:p>
      <w:pPr>
        <w:spacing w:line="440" w:lineRule="exact"/>
        <w:ind w:right="-334"/>
        <w:rPr>
          <w:rFonts w:ascii="宋体" w:hAnsi="宋体" w:cs="宋体"/>
          <w:sz w:val="24"/>
        </w:rPr>
        <w:sectPr>
          <w:pgSz w:w="11906" w:h="16838"/>
          <w:pgMar w:top="1134" w:right="1134" w:bottom="1134" w:left="1134" w:header="851" w:footer="992" w:gutter="0"/>
          <w:cols w:space="720" w:num="1"/>
          <w:titlePg/>
          <w:docGrid w:type="lines" w:linePitch="312" w:charSpace="0"/>
        </w:sectPr>
      </w:pPr>
    </w:p>
    <w:p>
      <w:pPr>
        <w:spacing w:line="440" w:lineRule="exact"/>
        <w:ind w:right="-334"/>
        <w:rPr>
          <w:rFonts w:ascii="宋体" w:hAnsi="宋体" w:cs="宋体"/>
          <w:sz w:val="24"/>
        </w:rPr>
      </w:pPr>
      <w:r>
        <w:rPr>
          <w:rFonts w:hint="eastAsia" w:ascii="宋体" w:hAnsi="宋体" w:cs="宋体"/>
          <w:sz w:val="24"/>
        </w:rPr>
        <w:t>附件4：技术参数偏离表（招标文件与投标文件的偏离）</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8"/>
        <w:gridCol w:w="1273"/>
        <w:gridCol w:w="2070"/>
        <w:gridCol w:w="2070"/>
        <w:gridCol w:w="20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758" w:type="dxa"/>
            <w:vMerge w:val="restart"/>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 w:val="24"/>
              </w:rPr>
            </w:pPr>
            <w:r>
              <w:rPr>
                <w:rFonts w:hint="eastAsia" w:ascii="宋体" w:hAnsi="宋体" w:cs="宋体"/>
                <w:sz w:val="24"/>
              </w:rPr>
              <w:t>序号</w:t>
            </w:r>
          </w:p>
        </w:tc>
        <w:tc>
          <w:tcPr>
            <w:tcW w:w="3343"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 w:val="24"/>
              </w:rPr>
            </w:pPr>
            <w:r>
              <w:rPr>
                <w:rFonts w:hint="eastAsia" w:ascii="宋体" w:hAnsi="宋体" w:cs="宋体"/>
                <w:sz w:val="24"/>
              </w:rPr>
              <w:t>招标文件</w:t>
            </w:r>
          </w:p>
        </w:tc>
        <w:tc>
          <w:tcPr>
            <w:tcW w:w="207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 w:val="24"/>
              </w:rPr>
            </w:pPr>
            <w:r>
              <w:rPr>
                <w:rFonts w:hint="eastAsia" w:ascii="宋体" w:hAnsi="宋体" w:cs="宋体"/>
                <w:sz w:val="24"/>
              </w:rPr>
              <w:t>投标文件</w:t>
            </w:r>
          </w:p>
        </w:tc>
        <w:tc>
          <w:tcPr>
            <w:tcW w:w="2070" w:type="dxa"/>
            <w:vMerge w:val="restart"/>
            <w:tcBorders>
              <w:top w:val="single" w:color="auto" w:sz="4" w:space="0"/>
              <w:left w:val="single" w:color="auto" w:sz="4" w:space="0"/>
              <w:right w:val="single" w:color="auto" w:sz="4" w:space="0"/>
            </w:tcBorders>
          </w:tcPr>
          <w:p>
            <w:pPr>
              <w:spacing w:line="440" w:lineRule="exact"/>
              <w:jc w:val="center"/>
              <w:rPr>
                <w:rFonts w:ascii="宋体" w:hAnsi="宋体" w:cs="宋体"/>
                <w:sz w:val="24"/>
              </w:rPr>
            </w:pPr>
          </w:p>
          <w:p>
            <w:pPr>
              <w:spacing w:line="440" w:lineRule="exact"/>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 w:hRule="atLeast"/>
          <w:jc w:val="center"/>
        </w:trPr>
        <w:tc>
          <w:tcPr>
            <w:tcW w:w="7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sz w:val="24"/>
              </w:rPr>
            </w:pPr>
          </w:p>
        </w:tc>
        <w:tc>
          <w:tcPr>
            <w:tcW w:w="127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 w:val="24"/>
              </w:rPr>
            </w:pPr>
            <w:r>
              <w:rPr>
                <w:rFonts w:hint="eastAsia" w:ascii="宋体" w:hAnsi="宋体" w:cs="宋体"/>
                <w:sz w:val="24"/>
              </w:rPr>
              <w:t>条目号</w:t>
            </w:r>
          </w:p>
        </w:tc>
        <w:tc>
          <w:tcPr>
            <w:tcW w:w="207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 w:val="24"/>
              </w:rPr>
            </w:pPr>
            <w:r>
              <w:rPr>
                <w:rFonts w:hint="eastAsia" w:ascii="宋体" w:hAnsi="宋体" w:cs="宋体"/>
                <w:sz w:val="24"/>
              </w:rPr>
              <w:t>技术参数</w:t>
            </w:r>
          </w:p>
        </w:tc>
        <w:tc>
          <w:tcPr>
            <w:tcW w:w="207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 w:val="24"/>
              </w:rPr>
            </w:pPr>
            <w:r>
              <w:rPr>
                <w:rFonts w:hint="eastAsia" w:ascii="宋体" w:hAnsi="宋体" w:cs="宋体"/>
                <w:sz w:val="24"/>
              </w:rPr>
              <w:t>响应具体情况</w:t>
            </w:r>
          </w:p>
        </w:tc>
        <w:tc>
          <w:tcPr>
            <w:tcW w:w="2070" w:type="dxa"/>
            <w:vMerge w:val="continue"/>
            <w:tcBorders>
              <w:left w:val="single" w:color="auto" w:sz="4" w:space="0"/>
              <w:bottom w:val="single" w:color="auto" w:sz="4" w:space="0"/>
              <w:right w:val="single" w:color="auto" w:sz="4" w:space="0"/>
            </w:tcBorders>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1273"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1273"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1273"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1273"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1273"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1273"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1273"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1273"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1273"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1273"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1273"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1273"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1273"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1273"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1273"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 w:val="24"/>
              </w:rPr>
            </w:pPr>
          </w:p>
        </w:tc>
      </w:tr>
    </w:tbl>
    <w:p>
      <w:pPr>
        <w:spacing w:line="440" w:lineRule="exact"/>
        <w:rPr>
          <w:rFonts w:ascii="宋体" w:hAnsi="宋体" w:cs="宋体"/>
          <w:sz w:val="24"/>
        </w:rPr>
      </w:pPr>
      <w:r>
        <w:rPr>
          <w:rFonts w:hint="eastAsia" w:ascii="宋体" w:hAnsi="宋体" w:cs="宋体"/>
          <w:sz w:val="24"/>
        </w:rPr>
        <w:t>注：1、请逐条应答，若无应答则视为偏离。</w:t>
      </w:r>
    </w:p>
    <w:p>
      <w:pPr>
        <w:spacing w:line="440" w:lineRule="exact"/>
        <w:rPr>
          <w:rFonts w:ascii="宋体" w:hAnsi="宋体" w:cs="宋体"/>
          <w:sz w:val="24"/>
        </w:rPr>
      </w:pPr>
      <w:r>
        <w:rPr>
          <w:rFonts w:hint="eastAsia" w:ascii="宋体" w:hAnsi="宋体" w:cs="宋体"/>
          <w:sz w:val="24"/>
        </w:rPr>
        <w:t xml:space="preserve">    2、投标文件“响应具体情况",指所投产品的技术应答情况。</w:t>
      </w:r>
    </w:p>
    <w:p>
      <w:pPr>
        <w:spacing w:line="440" w:lineRule="exact"/>
        <w:ind w:firstLine="480" w:firstLineChars="200"/>
        <w:rPr>
          <w:rFonts w:ascii="宋体" w:hAnsi="宋体" w:cs="宋体"/>
          <w:sz w:val="24"/>
        </w:rPr>
      </w:pPr>
      <w:r>
        <w:rPr>
          <w:rFonts w:hint="eastAsia" w:ascii="宋体" w:hAnsi="宋体" w:cs="宋体"/>
          <w:sz w:val="24"/>
        </w:rPr>
        <w:t>2、“说明”栏请注明“响应/正偏离/负偏离”，并且标注针对重要技术参数响应的证明文件在投标文件中的页码及具体位置。</w:t>
      </w:r>
    </w:p>
    <w:p>
      <w:pPr>
        <w:spacing w:line="440" w:lineRule="exact"/>
        <w:rPr>
          <w:rFonts w:ascii="宋体" w:hAnsi="宋体" w:cs="宋体"/>
          <w:sz w:val="24"/>
        </w:rPr>
      </w:pPr>
    </w:p>
    <w:p>
      <w:pPr>
        <w:spacing w:line="440" w:lineRule="exact"/>
        <w:rPr>
          <w:rFonts w:ascii="宋体" w:hAnsi="宋体" w:cs="宋体"/>
          <w:sz w:val="24"/>
        </w:rPr>
      </w:pPr>
    </w:p>
    <w:p>
      <w:pPr>
        <w:spacing w:line="440" w:lineRule="exact"/>
        <w:ind w:firstLine="5494"/>
        <w:rPr>
          <w:rFonts w:ascii="宋体" w:hAnsi="宋体" w:cs="宋体"/>
          <w:sz w:val="24"/>
        </w:rPr>
      </w:pPr>
      <w:r>
        <w:rPr>
          <w:rFonts w:hint="eastAsia" w:ascii="宋体" w:hAnsi="宋体" w:cs="宋体"/>
          <w:sz w:val="24"/>
        </w:rPr>
        <w:t>投标人授权代表（签字）</w:t>
      </w:r>
    </w:p>
    <w:p>
      <w:pPr>
        <w:spacing w:line="440" w:lineRule="exact"/>
        <w:rPr>
          <w:rFonts w:ascii="宋体" w:hAnsi="宋体" w:cs="宋体"/>
          <w:sz w:val="24"/>
        </w:rPr>
      </w:pPr>
      <w:r>
        <w:rPr>
          <w:rFonts w:hint="eastAsia" w:ascii="宋体" w:hAnsi="宋体" w:cs="宋体"/>
          <w:sz w:val="24"/>
        </w:rPr>
        <w:t xml:space="preserve">                                              日期：</w:t>
      </w: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sectPr>
          <w:pgSz w:w="11906" w:h="16838"/>
          <w:pgMar w:top="1134" w:right="1134" w:bottom="1134" w:left="1134" w:header="851" w:footer="992" w:gutter="0"/>
          <w:cols w:space="720" w:num="1"/>
          <w:titlePg/>
          <w:docGrid w:type="lines" w:linePitch="312" w:charSpace="0"/>
        </w:sectPr>
      </w:pPr>
    </w:p>
    <w:p>
      <w:pPr>
        <w:spacing w:line="440" w:lineRule="exact"/>
        <w:rPr>
          <w:rFonts w:ascii="宋体" w:hAnsi="宋体" w:cs="宋体"/>
          <w:sz w:val="24"/>
        </w:rPr>
      </w:pPr>
      <w:r>
        <w:rPr>
          <w:rFonts w:hint="eastAsia" w:ascii="宋体" w:hAnsi="宋体" w:cs="宋体"/>
          <w:sz w:val="24"/>
        </w:rPr>
        <w:t>附件5：投标产品配置清单及技术说明</w:t>
      </w: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sz w:val="24"/>
        </w:rPr>
      </w:pPr>
      <w:r>
        <w:rPr>
          <w:rFonts w:hint="eastAsia" w:ascii="宋体" w:hAnsi="宋体" w:cs="宋体"/>
          <w:sz w:val="24"/>
        </w:rPr>
        <w:t xml:space="preserve">投标人授权代表（签字） </w:t>
      </w:r>
    </w:p>
    <w:p>
      <w:pPr>
        <w:autoSpaceDE w:val="0"/>
        <w:autoSpaceDN w:val="0"/>
        <w:spacing w:line="440" w:lineRule="exact"/>
        <w:ind w:right="-5"/>
        <w:textAlignment w:val="bottom"/>
        <w:rPr>
          <w:rFonts w:ascii="宋体" w:hAnsi="宋体" w:cs="宋体"/>
          <w:b/>
        </w:rPr>
      </w:pPr>
      <w:r>
        <w:rPr>
          <w:rFonts w:hint="eastAsia" w:ascii="宋体" w:hAnsi="宋体" w:cs="宋体"/>
          <w:sz w:val="24"/>
        </w:rPr>
        <w:t xml:space="preserve">                                   日期：    </w:t>
      </w: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sectPr>
          <w:pgSz w:w="11906" w:h="16838"/>
          <w:pgMar w:top="1134" w:right="1134" w:bottom="1134" w:left="1134" w:header="851" w:footer="992" w:gutter="0"/>
          <w:cols w:space="720" w:num="1"/>
          <w:titlePg/>
          <w:docGrid w:type="lines" w:linePitch="312" w:charSpace="0"/>
        </w:sectPr>
      </w:pPr>
    </w:p>
    <w:p>
      <w:pPr>
        <w:spacing w:line="440" w:lineRule="exact"/>
        <w:rPr>
          <w:rFonts w:ascii="宋体" w:hAnsi="宋体" w:cs="宋体"/>
          <w:sz w:val="24"/>
        </w:rPr>
      </w:pPr>
      <w:r>
        <w:rPr>
          <w:rFonts w:hint="eastAsia" w:ascii="宋体" w:hAnsi="宋体" w:cs="宋体"/>
          <w:sz w:val="24"/>
        </w:rPr>
        <w:t>附件6：公开招标设备质保期内的随机备品备件明细表</w:t>
      </w:r>
    </w:p>
    <w:p>
      <w:pPr>
        <w:widowControl/>
        <w:jc w:val="left"/>
        <w:rPr>
          <w:rFonts w:ascii="宋体" w:hAnsi="宋体" w:cs="宋体"/>
          <w:sz w:val="24"/>
        </w:rPr>
      </w:pPr>
      <w:r>
        <w:rPr>
          <w:rFonts w:hint="eastAsia" w:ascii="宋体" w:hAnsi="宋体" w:cs="宋体"/>
          <w:sz w:val="24"/>
        </w:rPr>
        <w:br w:type="page"/>
      </w:r>
    </w:p>
    <w:p>
      <w:pPr>
        <w:spacing w:line="440" w:lineRule="exact"/>
        <w:rPr>
          <w:rFonts w:ascii="宋体" w:hAnsi="宋体" w:cs="宋体"/>
          <w:sz w:val="24"/>
        </w:rPr>
      </w:pPr>
      <w:r>
        <w:rPr>
          <w:rFonts w:hint="eastAsia" w:ascii="宋体" w:hAnsi="宋体" w:cs="宋体"/>
          <w:sz w:val="24"/>
        </w:rPr>
        <w:t>附件7. 随机提供的文件、资料、图纸等（文件资料名称、份数）</w:t>
      </w:r>
    </w:p>
    <w:p>
      <w:pPr>
        <w:spacing w:line="440" w:lineRule="exact"/>
        <w:jc w:val="center"/>
        <w:rPr>
          <w:rFonts w:ascii="宋体" w:hAnsi="宋体" w:cs="宋体"/>
          <w:sz w:val="24"/>
        </w:rPr>
      </w:pPr>
    </w:p>
    <w:p>
      <w:pPr>
        <w:spacing w:line="440" w:lineRule="exact"/>
        <w:ind w:left="199" w:firstLine="5224"/>
        <w:rPr>
          <w:rFonts w:ascii="宋体" w:hAnsi="宋体" w:cs="宋体"/>
          <w:b/>
        </w:rPr>
      </w:pPr>
    </w:p>
    <w:p>
      <w:pPr>
        <w:autoSpaceDE w:val="0"/>
        <w:autoSpaceDN w:val="0"/>
        <w:spacing w:line="440" w:lineRule="exact"/>
        <w:ind w:left="5100" w:right="-5" w:firstLine="425"/>
        <w:textAlignment w:val="bottom"/>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spacing w:line="440" w:lineRule="exact"/>
        <w:ind w:left="5100" w:firstLine="425"/>
        <w:rPr>
          <w:rFonts w:ascii="宋体" w:hAnsi="宋体" w:cs="宋体"/>
          <w:sz w:val="24"/>
        </w:rPr>
      </w:pPr>
      <w:r>
        <w:rPr>
          <w:rFonts w:hint="eastAsia" w:ascii="宋体" w:hAnsi="宋体" w:cs="宋体"/>
          <w:sz w:val="24"/>
        </w:rPr>
        <w:t>投标人授权代表（签字）</w:t>
      </w:r>
    </w:p>
    <w:p>
      <w:pPr>
        <w:spacing w:line="440" w:lineRule="exact"/>
        <w:rPr>
          <w:rFonts w:ascii="宋体" w:hAnsi="宋体" w:cs="宋体"/>
          <w:b/>
        </w:rPr>
      </w:pP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日期：  </w:t>
      </w: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autoSpaceDE w:val="0"/>
        <w:autoSpaceDN w:val="0"/>
        <w:spacing w:line="440" w:lineRule="exact"/>
        <w:ind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sectPr>
          <w:pgSz w:w="11906" w:h="16838"/>
          <w:pgMar w:top="1134" w:right="1134" w:bottom="1134" w:left="1134" w:header="851" w:footer="992" w:gutter="0"/>
          <w:cols w:space="720" w:num="1"/>
          <w:titlePg/>
          <w:docGrid w:type="lines" w:linePitch="312" w:charSpace="0"/>
        </w:sectPr>
      </w:pPr>
    </w:p>
    <w:p>
      <w:pPr>
        <w:autoSpaceDE w:val="0"/>
        <w:autoSpaceDN w:val="0"/>
        <w:spacing w:line="440" w:lineRule="exact"/>
        <w:ind w:right="-5"/>
        <w:textAlignment w:val="bottom"/>
        <w:rPr>
          <w:rFonts w:ascii="宋体" w:hAnsi="宋体" w:cs="宋体"/>
          <w:b/>
        </w:rPr>
      </w:pPr>
      <w:r>
        <w:rPr>
          <w:rFonts w:hint="eastAsia" w:ascii="宋体" w:hAnsi="宋体" w:cs="宋体"/>
          <w:sz w:val="24"/>
        </w:rPr>
        <w:t>附件8：培训计划及方案（人数、时间、内容、地点）</w:t>
      </w:r>
    </w:p>
    <w:p>
      <w:pPr>
        <w:spacing w:line="440" w:lineRule="exact"/>
        <w:rPr>
          <w:rFonts w:ascii="宋体" w:hAnsi="宋体" w:cs="宋体"/>
          <w:b/>
        </w:rPr>
      </w:pPr>
    </w:p>
    <w:p>
      <w:pPr>
        <w:spacing w:line="440" w:lineRule="exact"/>
        <w:ind w:left="5100" w:firstLine="425"/>
        <w:rPr>
          <w:rFonts w:ascii="宋体" w:hAnsi="宋体" w:cs="宋体"/>
          <w:sz w:val="24"/>
        </w:rPr>
      </w:pPr>
    </w:p>
    <w:p>
      <w:pPr>
        <w:spacing w:line="440" w:lineRule="exact"/>
        <w:ind w:left="5100" w:firstLine="425"/>
        <w:rPr>
          <w:rFonts w:ascii="宋体" w:hAnsi="宋体" w:cs="宋体"/>
          <w:sz w:val="24"/>
        </w:rPr>
      </w:pPr>
    </w:p>
    <w:p>
      <w:pPr>
        <w:spacing w:line="440" w:lineRule="exact"/>
        <w:ind w:left="5100" w:firstLine="425"/>
        <w:rPr>
          <w:rFonts w:ascii="宋体" w:hAnsi="宋体" w:cs="宋体"/>
          <w:sz w:val="24"/>
        </w:rPr>
      </w:pPr>
    </w:p>
    <w:p>
      <w:pPr>
        <w:spacing w:line="440" w:lineRule="exact"/>
        <w:ind w:left="5100" w:firstLine="425"/>
        <w:rPr>
          <w:rFonts w:ascii="宋体" w:hAnsi="宋体" w:cs="宋体"/>
          <w:sz w:val="24"/>
        </w:rPr>
      </w:pPr>
    </w:p>
    <w:p>
      <w:pPr>
        <w:spacing w:line="440" w:lineRule="exact"/>
        <w:ind w:left="5100" w:firstLine="425"/>
        <w:rPr>
          <w:rFonts w:ascii="宋体" w:hAnsi="宋体" w:cs="宋体"/>
          <w:sz w:val="24"/>
        </w:rPr>
      </w:pPr>
    </w:p>
    <w:p>
      <w:pPr>
        <w:spacing w:line="440" w:lineRule="exact"/>
        <w:ind w:left="5100" w:firstLine="425"/>
        <w:rPr>
          <w:rFonts w:ascii="宋体" w:hAnsi="宋体" w:cs="宋体"/>
          <w:sz w:val="24"/>
        </w:rPr>
      </w:pPr>
      <w:r>
        <w:rPr>
          <w:rFonts w:hint="eastAsia" w:ascii="宋体" w:hAnsi="宋体" w:cs="宋体"/>
          <w:sz w:val="24"/>
        </w:rPr>
        <w:t>投标人授权代表（签字）</w:t>
      </w:r>
    </w:p>
    <w:p>
      <w:pPr>
        <w:spacing w:line="440" w:lineRule="exact"/>
        <w:ind w:left="5100" w:firstLine="425"/>
        <w:rPr>
          <w:rFonts w:ascii="宋体" w:hAnsi="宋体" w:cs="宋体"/>
          <w:sz w:val="24"/>
        </w:rPr>
      </w:pPr>
      <w:r>
        <w:rPr>
          <w:rFonts w:hint="eastAsia" w:ascii="宋体" w:hAnsi="宋体" w:cs="宋体"/>
          <w:sz w:val="24"/>
        </w:rPr>
        <w:t xml:space="preserve">日期：  </w:t>
      </w:r>
    </w:p>
    <w:p>
      <w:pPr>
        <w:autoSpaceDE w:val="0"/>
        <w:autoSpaceDN w:val="0"/>
        <w:spacing w:line="440" w:lineRule="exact"/>
        <w:ind w:right="-5"/>
        <w:textAlignment w:val="bottom"/>
        <w:rPr>
          <w:rFonts w:ascii="宋体" w:hAnsi="宋体" w:cs="宋体"/>
          <w:b/>
        </w:rPr>
      </w:pPr>
      <w:r>
        <w:rPr>
          <w:rFonts w:hint="eastAsia" w:ascii="宋体" w:hAnsi="宋体" w:cs="宋体"/>
          <w:sz w:val="24"/>
        </w:rPr>
        <w:tab/>
      </w:r>
      <w:r>
        <w:rPr>
          <w:rFonts w:hint="eastAsia" w:ascii="宋体" w:hAnsi="宋体" w:cs="宋体"/>
          <w:sz w:val="24"/>
        </w:rPr>
        <w:tab/>
      </w: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autoSpaceDE w:val="0"/>
        <w:autoSpaceDN w:val="0"/>
        <w:spacing w:line="440" w:lineRule="exact"/>
        <w:ind w:right="-5"/>
        <w:textAlignment w:val="bottom"/>
        <w:rPr>
          <w:rFonts w:ascii="宋体" w:hAnsi="宋体" w:cs="宋体"/>
          <w:b/>
        </w:rPr>
      </w:pPr>
    </w:p>
    <w:p>
      <w:pPr>
        <w:spacing w:line="440" w:lineRule="exact"/>
        <w:rPr>
          <w:rFonts w:ascii="宋体" w:hAnsi="宋体" w:cs="宋体"/>
          <w:sz w:val="24"/>
        </w:rPr>
        <w:sectPr>
          <w:pgSz w:w="11906" w:h="16838"/>
          <w:pgMar w:top="1134" w:right="1134" w:bottom="1134" w:left="1134" w:header="851" w:footer="992" w:gutter="0"/>
          <w:cols w:space="720" w:num="1"/>
          <w:titlePg/>
          <w:docGrid w:type="lines" w:linePitch="312" w:charSpace="0"/>
        </w:sectPr>
      </w:pPr>
    </w:p>
    <w:p>
      <w:pPr>
        <w:spacing w:line="440" w:lineRule="exact"/>
        <w:rPr>
          <w:rFonts w:ascii="宋体" w:hAnsi="宋体" w:cs="宋体"/>
          <w:sz w:val="24"/>
        </w:rPr>
      </w:pPr>
      <w:r>
        <w:rPr>
          <w:rFonts w:hint="eastAsia" w:ascii="宋体" w:hAnsi="宋体" w:cs="宋体"/>
          <w:sz w:val="24"/>
        </w:rPr>
        <w:t>附件9 .供货及安装日期和质量保证期及售后服务承诺</w:t>
      </w: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ind w:firstLine="5494"/>
        <w:rPr>
          <w:rFonts w:ascii="宋体" w:hAnsi="宋体" w:cs="宋体"/>
          <w:sz w:val="24"/>
        </w:rPr>
      </w:pPr>
      <w:r>
        <w:rPr>
          <w:rFonts w:hint="eastAsia" w:ascii="宋体" w:hAnsi="宋体" w:cs="宋体"/>
          <w:sz w:val="24"/>
        </w:rPr>
        <w:t>投标人授权代表（签字）：</w:t>
      </w:r>
    </w:p>
    <w:p>
      <w:pPr>
        <w:spacing w:line="440" w:lineRule="exact"/>
        <w:ind w:firstLine="5494"/>
        <w:rPr>
          <w:rFonts w:ascii="宋体" w:hAnsi="宋体" w:cs="宋体"/>
          <w:sz w:val="24"/>
        </w:rPr>
      </w:pPr>
      <w:r>
        <w:rPr>
          <w:rFonts w:hint="eastAsia" w:ascii="宋体" w:hAnsi="宋体" w:cs="宋体"/>
          <w:sz w:val="24"/>
        </w:rPr>
        <w:t>日期：</w:t>
      </w:r>
    </w:p>
    <w:p>
      <w:pPr>
        <w:spacing w:line="440" w:lineRule="exact"/>
        <w:ind w:firstLine="5494"/>
        <w:rPr>
          <w:rFonts w:ascii="宋体" w:hAnsi="宋体" w:cs="宋体"/>
          <w:sz w:val="24"/>
        </w:rPr>
      </w:pPr>
    </w:p>
    <w:p>
      <w:pPr>
        <w:spacing w:line="440" w:lineRule="exact"/>
        <w:ind w:firstLine="5494"/>
        <w:rPr>
          <w:rFonts w:ascii="宋体" w:hAnsi="宋体" w:cs="宋体"/>
          <w:sz w:val="24"/>
        </w:rPr>
      </w:pPr>
    </w:p>
    <w:p>
      <w:pPr>
        <w:spacing w:line="440" w:lineRule="exact"/>
        <w:ind w:firstLine="5494"/>
        <w:rPr>
          <w:rFonts w:ascii="宋体" w:hAnsi="宋体" w:cs="宋体"/>
          <w:sz w:val="24"/>
        </w:rPr>
      </w:pPr>
    </w:p>
    <w:p>
      <w:pPr>
        <w:spacing w:line="440" w:lineRule="exact"/>
        <w:ind w:firstLine="5494"/>
        <w:rPr>
          <w:rFonts w:ascii="宋体" w:hAnsi="宋体" w:cs="宋体"/>
          <w:sz w:val="24"/>
        </w:rPr>
      </w:pPr>
    </w:p>
    <w:p>
      <w:pPr>
        <w:spacing w:line="440" w:lineRule="exact"/>
        <w:ind w:firstLine="5494"/>
        <w:rPr>
          <w:rFonts w:ascii="宋体" w:hAnsi="宋体" w:cs="宋体"/>
          <w:sz w:val="24"/>
        </w:rPr>
      </w:pPr>
    </w:p>
    <w:p>
      <w:pPr>
        <w:spacing w:line="440" w:lineRule="exact"/>
        <w:ind w:firstLine="5494"/>
        <w:rPr>
          <w:rFonts w:ascii="宋体" w:hAnsi="宋体" w:cs="宋体"/>
          <w:sz w:val="24"/>
        </w:rPr>
      </w:pPr>
    </w:p>
    <w:p>
      <w:pPr>
        <w:spacing w:line="440" w:lineRule="exact"/>
        <w:ind w:firstLine="5494"/>
        <w:rPr>
          <w:rFonts w:ascii="宋体" w:hAnsi="宋体" w:cs="宋体"/>
          <w:sz w:val="24"/>
        </w:rPr>
      </w:pPr>
    </w:p>
    <w:p>
      <w:pPr>
        <w:spacing w:line="440" w:lineRule="exact"/>
        <w:ind w:firstLine="5494"/>
        <w:rPr>
          <w:rFonts w:ascii="宋体" w:hAnsi="宋体" w:cs="宋体"/>
          <w:sz w:val="24"/>
        </w:rPr>
      </w:pPr>
    </w:p>
    <w:p>
      <w:pPr>
        <w:spacing w:line="440" w:lineRule="exact"/>
        <w:ind w:firstLine="5494"/>
        <w:rPr>
          <w:rFonts w:ascii="宋体" w:hAnsi="宋体" w:cs="宋体"/>
          <w:sz w:val="24"/>
        </w:rPr>
      </w:pPr>
    </w:p>
    <w:p>
      <w:pPr>
        <w:spacing w:line="440" w:lineRule="exact"/>
        <w:ind w:firstLine="5494"/>
        <w:rPr>
          <w:rFonts w:ascii="宋体" w:hAnsi="宋体" w:cs="宋体"/>
          <w:sz w:val="24"/>
        </w:rPr>
      </w:pPr>
    </w:p>
    <w:p>
      <w:pPr>
        <w:spacing w:line="440" w:lineRule="exact"/>
        <w:ind w:firstLine="5494"/>
        <w:rPr>
          <w:rFonts w:ascii="宋体" w:hAnsi="宋体" w:cs="宋体"/>
          <w:sz w:val="24"/>
        </w:rPr>
      </w:pPr>
    </w:p>
    <w:p>
      <w:pPr>
        <w:spacing w:line="440" w:lineRule="exact"/>
        <w:ind w:firstLine="5494"/>
        <w:rPr>
          <w:rFonts w:ascii="宋体" w:hAnsi="宋体" w:cs="宋体"/>
          <w:sz w:val="24"/>
        </w:rPr>
      </w:pPr>
    </w:p>
    <w:p>
      <w:pPr>
        <w:spacing w:line="440" w:lineRule="exact"/>
        <w:ind w:firstLine="5494"/>
        <w:rPr>
          <w:rFonts w:ascii="宋体" w:hAnsi="宋体" w:cs="宋体"/>
          <w:sz w:val="24"/>
        </w:rPr>
      </w:pPr>
    </w:p>
    <w:p>
      <w:pPr>
        <w:spacing w:line="440" w:lineRule="exact"/>
        <w:ind w:firstLine="5494"/>
        <w:rPr>
          <w:rFonts w:ascii="宋体" w:hAnsi="宋体" w:cs="宋体"/>
          <w:sz w:val="24"/>
        </w:rPr>
      </w:pPr>
    </w:p>
    <w:p>
      <w:pPr>
        <w:spacing w:line="440" w:lineRule="exact"/>
        <w:ind w:firstLine="5494"/>
        <w:rPr>
          <w:rFonts w:ascii="宋体" w:hAnsi="宋体" w:cs="宋体"/>
          <w:sz w:val="24"/>
        </w:rPr>
      </w:pPr>
    </w:p>
    <w:p>
      <w:pPr>
        <w:spacing w:line="440" w:lineRule="exact"/>
        <w:ind w:firstLine="5494"/>
        <w:rPr>
          <w:rFonts w:ascii="宋体" w:hAnsi="宋体" w:cs="宋体"/>
          <w:sz w:val="24"/>
        </w:rPr>
      </w:pPr>
    </w:p>
    <w:p>
      <w:pPr>
        <w:spacing w:line="440" w:lineRule="exact"/>
        <w:ind w:firstLine="5494"/>
        <w:rPr>
          <w:rFonts w:ascii="宋体" w:hAnsi="宋体" w:cs="宋体"/>
          <w:sz w:val="24"/>
        </w:rPr>
      </w:pPr>
    </w:p>
    <w:p>
      <w:pPr>
        <w:spacing w:line="440" w:lineRule="exact"/>
        <w:ind w:firstLine="5494"/>
        <w:rPr>
          <w:rFonts w:ascii="宋体" w:hAnsi="宋体" w:cs="宋体"/>
          <w:sz w:val="24"/>
        </w:rPr>
      </w:pPr>
    </w:p>
    <w:p>
      <w:pPr>
        <w:spacing w:line="440" w:lineRule="exact"/>
        <w:ind w:firstLine="5494"/>
        <w:rPr>
          <w:rFonts w:ascii="宋体" w:hAnsi="宋体" w:cs="宋体"/>
          <w:sz w:val="24"/>
        </w:rPr>
      </w:pPr>
    </w:p>
    <w:p>
      <w:pPr>
        <w:spacing w:line="440" w:lineRule="exact"/>
        <w:rPr>
          <w:rFonts w:ascii="宋体" w:hAnsi="宋体" w:cs="宋体"/>
          <w:sz w:val="24"/>
        </w:rPr>
        <w:sectPr>
          <w:pgSz w:w="11906" w:h="16838"/>
          <w:pgMar w:top="1134" w:right="1134" w:bottom="1134" w:left="1134" w:header="851" w:footer="992" w:gutter="0"/>
          <w:cols w:space="720" w:num="1"/>
          <w:titlePg/>
          <w:docGrid w:type="lines" w:linePitch="312" w:charSpace="0"/>
        </w:sectPr>
      </w:pPr>
    </w:p>
    <w:p>
      <w:pPr>
        <w:spacing w:line="440" w:lineRule="exact"/>
        <w:rPr>
          <w:rFonts w:ascii="宋体" w:hAnsi="宋体" w:cs="宋体"/>
          <w:sz w:val="24"/>
        </w:rPr>
      </w:pPr>
      <w:r>
        <w:rPr>
          <w:rFonts w:hint="eastAsia" w:ascii="宋体" w:hAnsi="宋体" w:cs="宋体"/>
          <w:sz w:val="24"/>
        </w:rPr>
        <w:t>附件10. 《中小企业声明函》</w:t>
      </w:r>
    </w:p>
    <w:p>
      <w:pPr>
        <w:spacing w:line="360" w:lineRule="auto"/>
        <w:jc w:val="center"/>
        <w:rPr>
          <w:rFonts w:ascii="宋体" w:hAnsi="宋体" w:cs="宋体"/>
          <w:b/>
          <w:bCs/>
          <w:sz w:val="24"/>
          <w:szCs w:val="24"/>
        </w:rPr>
      </w:pPr>
      <w:r>
        <w:rPr>
          <w:rFonts w:hint="eastAsia" w:ascii="宋体" w:hAnsi="宋体" w:cs="宋体"/>
          <w:b/>
          <w:bCs/>
          <w:sz w:val="24"/>
          <w:szCs w:val="24"/>
        </w:rPr>
        <w:t>中小企业声明函（货物）</w:t>
      </w:r>
    </w:p>
    <w:p>
      <w:pPr>
        <w:spacing w:line="360" w:lineRule="auto"/>
        <w:jc w:val="center"/>
        <w:rPr>
          <w:rFonts w:ascii="宋体" w:hAnsi="宋体" w:cs="宋体"/>
          <w:b/>
          <w:bCs/>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i/>
          <w:iCs/>
          <w:sz w:val="24"/>
          <w:szCs w:val="24"/>
          <w:u w:val="single"/>
        </w:rPr>
        <w:t>（单位名称）</w:t>
      </w:r>
      <w:r>
        <w:rPr>
          <w:rFonts w:hint="eastAsia" w:ascii="宋体" w:hAnsi="宋体" w:cs="宋体"/>
          <w:sz w:val="24"/>
          <w:szCs w:val="24"/>
        </w:rPr>
        <w:t>的</w:t>
      </w:r>
      <w:r>
        <w:rPr>
          <w:rFonts w:hint="eastAsia" w:ascii="宋体" w:hAnsi="宋体" w:cs="宋体"/>
          <w:i/>
          <w:iCs/>
          <w:sz w:val="24"/>
          <w:szCs w:val="24"/>
          <w:u w:val="single"/>
        </w:rPr>
        <w:t>（项目名称）</w:t>
      </w:r>
      <w:r>
        <w:rPr>
          <w:rFonts w:hint="eastAsia" w:ascii="宋体" w:hAnsi="宋体" w:cs="宋体"/>
          <w:sz w:val="24"/>
          <w:szCs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i/>
          <w:iCs/>
          <w:sz w:val="24"/>
          <w:szCs w:val="24"/>
          <w:u w:val="single"/>
        </w:rPr>
        <w:t>（标的名称）</w:t>
      </w:r>
      <w:r>
        <w:rPr>
          <w:rFonts w:hint="eastAsia" w:ascii="宋体" w:hAnsi="宋体" w:cs="宋体"/>
          <w:sz w:val="24"/>
          <w:szCs w:val="24"/>
        </w:rPr>
        <w:t>，属于</w:t>
      </w:r>
      <w:r>
        <w:rPr>
          <w:rFonts w:hint="eastAsia" w:ascii="宋体" w:hAnsi="宋体" w:cs="宋体"/>
          <w:i/>
          <w:iCs/>
          <w:sz w:val="24"/>
          <w:szCs w:val="24"/>
          <w:u w:val="single"/>
        </w:rPr>
        <w:t>（采购文件中明确的所属行业）行业</w:t>
      </w:r>
      <w:r>
        <w:rPr>
          <w:rFonts w:hint="eastAsia" w:ascii="宋体" w:hAnsi="宋体" w:cs="宋体"/>
          <w:sz w:val="24"/>
          <w:szCs w:val="24"/>
        </w:rPr>
        <w:t>；制造商为</w:t>
      </w:r>
      <w:r>
        <w:rPr>
          <w:rFonts w:hint="eastAsia" w:ascii="宋体" w:hAnsi="宋体" w:cs="宋体"/>
          <w:i/>
          <w:iCs/>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i/>
          <w:iCs/>
          <w:sz w:val="24"/>
          <w:szCs w:val="24"/>
          <w:u w:val="single"/>
        </w:rPr>
        <w:t>（中型企业、小型企业、微型企业）</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i/>
          <w:iCs/>
          <w:sz w:val="24"/>
          <w:szCs w:val="24"/>
          <w:u w:val="single"/>
        </w:rPr>
        <w:t>（标的名称）</w:t>
      </w:r>
      <w:r>
        <w:rPr>
          <w:rFonts w:hint="eastAsia" w:ascii="宋体" w:hAnsi="宋体" w:cs="宋体"/>
          <w:sz w:val="24"/>
          <w:szCs w:val="24"/>
        </w:rPr>
        <w:t xml:space="preserve"> ，属于</w:t>
      </w:r>
      <w:r>
        <w:rPr>
          <w:rFonts w:hint="eastAsia" w:ascii="宋体" w:hAnsi="宋体" w:cs="宋体"/>
          <w:i/>
          <w:iCs/>
          <w:sz w:val="24"/>
          <w:szCs w:val="24"/>
          <w:u w:val="single"/>
        </w:rPr>
        <w:t>（采购文件中明确的所属行业）行业</w:t>
      </w:r>
      <w:r>
        <w:rPr>
          <w:rFonts w:hint="eastAsia" w:ascii="宋体" w:hAnsi="宋体" w:cs="宋体"/>
          <w:sz w:val="24"/>
          <w:szCs w:val="24"/>
        </w:rPr>
        <w:t>；制造商为</w:t>
      </w:r>
      <w:r>
        <w:rPr>
          <w:rFonts w:hint="eastAsia" w:ascii="宋体" w:hAnsi="宋体" w:cs="宋体"/>
          <w:i/>
          <w:iCs/>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i/>
          <w:iCs/>
          <w:sz w:val="24"/>
          <w:szCs w:val="24"/>
          <w:u w:val="single"/>
        </w:rPr>
        <w:t>(中型企业、小型企业、微型企业）</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 ...</w:t>
      </w:r>
    </w:p>
    <w:p>
      <w:pPr>
        <w:spacing w:line="360" w:lineRule="auto"/>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本企业对上述声明内容的真实性负责。如有虚假，将依法承担响应责任。</w:t>
      </w:r>
    </w:p>
    <w:p>
      <w:pPr>
        <w:wordWrap w:val="0"/>
        <w:spacing w:line="360" w:lineRule="auto"/>
        <w:ind w:firstLine="4413" w:firstLineChars="1839"/>
        <w:jc w:val="center"/>
        <w:rPr>
          <w:rFonts w:ascii="宋体" w:hAnsi="宋体" w:cs="宋体"/>
          <w:sz w:val="24"/>
          <w:szCs w:val="24"/>
        </w:rPr>
      </w:pPr>
      <w:r>
        <w:rPr>
          <w:rFonts w:hint="eastAsia" w:ascii="宋体" w:hAnsi="宋体" w:cs="宋体"/>
          <w:sz w:val="24"/>
          <w:szCs w:val="24"/>
        </w:rPr>
        <w:t xml:space="preserve">企业名称（盖章）：      </w:t>
      </w:r>
    </w:p>
    <w:p>
      <w:pPr>
        <w:wordWrap w:val="0"/>
        <w:spacing w:line="360" w:lineRule="auto"/>
        <w:jc w:val="center"/>
        <w:rPr>
          <w:rFonts w:ascii="宋体" w:hAnsi="宋体" w:cs="宋体"/>
          <w:sz w:val="24"/>
          <w:szCs w:val="24"/>
        </w:rPr>
      </w:pPr>
      <w:r>
        <w:rPr>
          <w:rFonts w:hint="eastAsia" w:ascii="宋体" w:hAnsi="宋体" w:cs="宋体"/>
          <w:sz w:val="24"/>
          <w:szCs w:val="24"/>
        </w:rPr>
        <w:t xml:space="preserve">                           日 期：      </w:t>
      </w:r>
    </w:p>
    <w:p>
      <w:pPr>
        <w:wordWrap w:val="0"/>
        <w:spacing w:line="360" w:lineRule="auto"/>
        <w:rPr>
          <w:rFonts w:ascii="宋体" w:hAnsi="宋体" w:cs="宋体"/>
          <w:sz w:val="28"/>
          <w:szCs w:val="28"/>
        </w:rPr>
      </w:pPr>
    </w:p>
    <w:p>
      <w:pPr>
        <w:autoSpaceDE w:val="0"/>
        <w:autoSpaceDN w:val="0"/>
        <w:spacing w:line="440" w:lineRule="exact"/>
        <w:ind w:right="-5"/>
        <w:textAlignment w:val="bottom"/>
        <w:rPr>
          <w:rFonts w:ascii="宋体" w:hAnsi="宋体" w:cs="宋体"/>
          <w:b/>
          <w:sz w:val="24"/>
          <w:szCs w:val="24"/>
        </w:rPr>
      </w:pPr>
    </w:p>
    <w:p>
      <w:pPr>
        <w:autoSpaceDE w:val="0"/>
        <w:autoSpaceDN w:val="0"/>
        <w:spacing w:line="440" w:lineRule="exact"/>
        <w:ind w:right="-5"/>
        <w:textAlignment w:val="bottom"/>
        <w:rPr>
          <w:rFonts w:ascii="宋体" w:hAnsi="宋体" w:cs="宋体"/>
          <w:b/>
          <w:sz w:val="24"/>
          <w:szCs w:val="24"/>
        </w:rPr>
        <w:sectPr>
          <w:pgSz w:w="11906" w:h="16838"/>
          <w:pgMar w:top="1134" w:right="1134" w:bottom="1134" w:left="1134" w:header="851" w:footer="992" w:gutter="0"/>
          <w:cols w:space="720" w:num="1"/>
          <w:titlePg/>
          <w:docGrid w:type="lines" w:linePitch="312" w:charSpace="0"/>
        </w:sectPr>
      </w:pPr>
    </w:p>
    <w:p>
      <w:pPr>
        <w:autoSpaceDE w:val="0"/>
        <w:autoSpaceDN w:val="0"/>
        <w:spacing w:line="440" w:lineRule="exact"/>
        <w:ind w:right="-5"/>
        <w:textAlignment w:val="bottom"/>
        <w:rPr>
          <w:rFonts w:ascii="宋体" w:hAnsi="宋体" w:cs="宋体"/>
          <w:b/>
          <w:sz w:val="24"/>
          <w:lang w:val="zh-CN"/>
        </w:rPr>
      </w:pPr>
      <w:r>
        <w:rPr>
          <w:rFonts w:hint="eastAsia" w:ascii="宋体" w:hAnsi="宋体" w:cs="宋体"/>
          <w:b/>
          <w:sz w:val="24"/>
          <w:lang w:val="zh-CN"/>
        </w:rPr>
        <w:t>附件</w:t>
      </w:r>
      <w:r>
        <w:rPr>
          <w:rFonts w:hint="eastAsia" w:ascii="宋体" w:hAnsi="宋体" w:cs="宋体"/>
          <w:b/>
          <w:sz w:val="24"/>
        </w:rPr>
        <w:t>11</w:t>
      </w:r>
      <w:r>
        <w:rPr>
          <w:rFonts w:hint="eastAsia" w:ascii="宋体" w:hAnsi="宋体" w:cs="宋体"/>
          <w:b/>
          <w:sz w:val="24"/>
          <w:lang w:val="zh-CN"/>
        </w:rPr>
        <w:t>、投标保证金转（汇、存）底单复印件（</w:t>
      </w:r>
      <w:r>
        <w:rPr>
          <w:rFonts w:hint="eastAsia" w:ascii="宋体" w:hAnsi="宋体" w:cs="宋体"/>
          <w:b/>
          <w:sz w:val="24"/>
        </w:rPr>
        <w:t>如有</w:t>
      </w:r>
      <w:r>
        <w:rPr>
          <w:rFonts w:hint="eastAsia" w:ascii="宋体" w:hAnsi="宋体" w:cs="宋体"/>
          <w:b/>
          <w:sz w:val="24"/>
          <w:lang w:val="zh-CN"/>
        </w:rPr>
        <w:t>）</w:t>
      </w:r>
    </w:p>
    <w:p>
      <w:pPr>
        <w:autoSpaceDE w:val="0"/>
        <w:autoSpaceDN w:val="0"/>
        <w:spacing w:line="440" w:lineRule="exact"/>
        <w:ind w:right="-5"/>
        <w:textAlignment w:val="bottom"/>
        <w:rPr>
          <w:rFonts w:ascii="宋体" w:hAnsi="宋体" w:cs="宋体"/>
          <w:b/>
          <w:sz w:val="24"/>
          <w:lang w:val="zh-CN"/>
        </w:rPr>
      </w:pPr>
    </w:p>
    <w:p>
      <w:pPr>
        <w:spacing w:line="440" w:lineRule="exact"/>
        <w:rPr>
          <w:rFonts w:ascii="宋体" w:hAnsi="宋体" w:cs="宋体"/>
          <w:b/>
          <w:sz w:val="24"/>
          <w:lang w:val="zh-CN"/>
        </w:rPr>
      </w:pPr>
      <w:r>
        <w:rPr>
          <w:rFonts w:hint="eastAsia" w:ascii="宋体" w:hAnsi="宋体" w:cs="宋体"/>
          <w:b/>
          <w:sz w:val="24"/>
          <w:lang w:val="zh-CN"/>
        </w:rPr>
        <w:t>附件</w:t>
      </w:r>
      <w:r>
        <w:rPr>
          <w:rFonts w:hint="eastAsia" w:ascii="宋体" w:hAnsi="宋体" w:cs="宋体"/>
          <w:b/>
          <w:sz w:val="24"/>
        </w:rPr>
        <w:t>12</w:t>
      </w:r>
      <w:r>
        <w:rPr>
          <w:rFonts w:hint="eastAsia" w:ascii="宋体" w:hAnsi="宋体" w:cs="宋体"/>
          <w:b/>
          <w:sz w:val="24"/>
          <w:lang w:val="zh-CN"/>
        </w:rPr>
        <w:t>、投标保证金转账退还信息函（</w:t>
      </w:r>
      <w:r>
        <w:rPr>
          <w:rFonts w:hint="eastAsia" w:ascii="宋体" w:hAnsi="宋体" w:cs="宋体"/>
          <w:b/>
          <w:sz w:val="24"/>
        </w:rPr>
        <w:t>如有</w:t>
      </w:r>
      <w:r>
        <w:rPr>
          <w:rFonts w:hint="eastAsia" w:ascii="宋体" w:hAnsi="宋体" w:cs="宋体"/>
          <w:b/>
          <w:sz w:val="24"/>
          <w:lang w:val="zh-CN"/>
        </w:rPr>
        <w:t>）</w:t>
      </w:r>
    </w:p>
    <w:p>
      <w:pPr>
        <w:spacing w:line="440" w:lineRule="exact"/>
        <w:ind w:firstLine="480" w:firstLineChars="200"/>
        <w:rPr>
          <w:rFonts w:ascii="宋体" w:hAnsi="宋体" w:cs="宋体"/>
          <w:sz w:val="24"/>
        </w:rPr>
      </w:pPr>
      <w:r>
        <w:rPr>
          <w:rFonts w:hint="eastAsia" w:ascii="宋体" w:hAnsi="宋体" w:cs="宋体"/>
          <w:sz w:val="24"/>
        </w:rPr>
        <w:t>（说明：本格式适用于以本票、汇票或电汇形式递交的投标保证金的退还。</w:t>
      </w:r>
      <w:r>
        <w:rPr>
          <w:rFonts w:hint="eastAsia" w:ascii="宋体" w:hAnsi="宋体" w:cs="宋体"/>
          <w:b/>
          <w:sz w:val="24"/>
        </w:rPr>
        <w:t>本“附件12、投标保证金转账退还信息函”，请随同投标保证金一起密封、递交</w:t>
      </w:r>
      <w:r>
        <w:rPr>
          <w:rFonts w:hint="eastAsia" w:ascii="宋体" w:hAnsi="宋体" w:cs="宋体"/>
          <w:sz w:val="24"/>
        </w:rPr>
        <w:t>。）</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苏美达国际技术贸易有限公司：</w:t>
      </w:r>
    </w:p>
    <w:p>
      <w:pPr>
        <w:spacing w:line="440" w:lineRule="exact"/>
        <w:ind w:firstLine="480" w:firstLineChars="200"/>
        <w:rPr>
          <w:rFonts w:ascii="宋体" w:hAnsi="宋体" w:cs="宋体"/>
          <w:sz w:val="24"/>
        </w:rPr>
      </w:pPr>
      <w:r>
        <w:rPr>
          <w:rFonts w:hint="eastAsia" w:ascii="宋体" w:hAnsi="宋体" w:cs="宋体"/>
          <w:sz w:val="24"/>
        </w:rPr>
        <w:t>我公司参加贵单位代理的</w:t>
      </w:r>
      <w:r>
        <w:rPr>
          <w:rFonts w:hint="eastAsia" w:ascii="宋体" w:hAnsi="宋体" w:cs="宋体"/>
          <w:sz w:val="24"/>
          <w:u w:val="single"/>
        </w:rPr>
        <w:t xml:space="preserve">       等</w:t>
      </w:r>
      <w:r>
        <w:rPr>
          <w:rFonts w:hint="eastAsia" w:ascii="宋体" w:hAnsi="宋体" w:cs="宋体"/>
          <w:sz w:val="24"/>
        </w:rPr>
        <w:t>招标（招标编号：</w:t>
      </w:r>
      <w:r>
        <w:rPr>
          <w:rFonts w:hint="eastAsia" w:ascii="宋体" w:hAnsi="宋体" w:cs="宋体"/>
          <w:kern w:val="0"/>
          <w:szCs w:val="21"/>
        </w:rPr>
        <w:t>0664-2460SUMEC069D</w:t>
      </w:r>
      <w:r>
        <w:rPr>
          <w:rFonts w:hint="eastAsia" w:ascii="宋体" w:hAnsi="宋体" w:cs="宋体"/>
          <w:sz w:val="24"/>
        </w:rPr>
        <w:t>）的投标，投标保证金请退还至：</w:t>
      </w:r>
    </w:p>
    <w:p>
      <w:pPr>
        <w:spacing w:line="440" w:lineRule="exact"/>
        <w:ind w:firstLine="480" w:firstLineChars="200"/>
        <w:rPr>
          <w:rFonts w:ascii="宋体" w:hAnsi="宋体" w:cs="宋体"/>
          <w:sz w:val="24"/>
        </w:rPr>
      </w:pPr>
      <w:r>
        <w:rPr>
          <w:rFonts w:hint="eastAsia" w:ascii="宋体" w:hAnsi="宋体" w:cs="宋体"/>
          <w:sz w:val="24"/>
        </w:rPr>
        <w:t>投标人（收款人）名称：</w:t>
      </w:r>
    </w:p>
    <w:p>
      <w:pPr>
        <w:spacing w:line="440" w:lineRule="exact"/>
        <w:ind w:firstLine="480" w:firstLineChars="200"/>
        <w:rPr>
          <w:rFonts w:ascii="宋体" w:hAnsi="宋体" w:cs="宋体"/>
          <w:sz w:val="24"/>
        </w:rPr>
      </w:pPr>
      <w:r>
        <w:rPr>
          <w:rFonts w:hint="eastAsia" w:ascii="宋体" w:hAnsi="宋体" w:cs="宋体"/>
          <w:sz w:val="24"/>
        </w:rPr>
        <w:t>开户银行：</w:t>
      </w:r>
    </w:p>
    <w:p>
      <w:pPr>
        <w:spacing w:line="440" w:lineRule="exact"/>
        <w:ind w:firstLine="480" w:firstLineChars="200"/>
        <w:rPr>
          <w:rFonts w:ascii="宋体" w:hAnsi="宋体" w:cs="宋体"/>
          <w:sz w:val="24"/>
        </w:rPr>
      </w:pPr>
      <w:r>
        <w:rPr>
          <w:rFonts w:hint="eastAsia" w:ascii="宋体" w:hAnsi="宋体" w:cs="宋体"/>
          <w:sz w:val="24"/>
        </w:rPr>
        <w:t>银行帐号：</w:t>
      </w:r>
    </w:p>
    <w:p>
      <w:pPr>
        <w:spacing w:line="440" w:lineRule="exact"/>
        <w:ind w:firstLine="480" w:firstLineChars="200"/>
        <w:rPr>
          <w:rFonts w:ascii="宋体" w:hAnsi="宋体" w:cs="宋体"/>
          <w:sz w:val="24"/>
        </w:rPr>
      </w:pPr>
      <w:r>
        <w:rPr>
          <w:rFonts w:hint="eastAsia" w:ascii="宋体" w:hAnsi="宋体" w:cs="宋体"/>
          <w:sz w:val="24"/>
        </w:rPr>
        <w:t>汇入地点：省（市、区）市（县）</w:t>
      </w:r>
    </w:p>
    <w:p>
      <w:pPr>
        <w:spacing w:line="440" w:lineRule="exact"/>
        <w:ind w:firstLine="480" w:firstLineChars="200"/>
        <w:rPr>
          <w:rFonts w:ascii="宋体" w:hAnsi="宋体" w:cs="宋体"/>
          <w:sz w:val="24"/>
        </w:rPr>
      </w:pPr>
      <w:r>
        <w:rPr>
          <w:rFonts w:hint="eastAsia" w:ascii="宋体" w:hAnsi="宋体" w:cs="宋体"/>
          <w:sz w:val="24"/>
        </w:rPr>
        <w:t>联系人：</w:t>
      </w:r>
    </w:p>
    <w:p>
      <w:pPr>
        <w:spacing w:line="440" w:lineRule="exact"/>
        <w:ind w:firstLine="480" w:firstLineChars="200"/>
        <w:rPr>
          <w:rFonts w:ascii="宋体" w:hAnsi="宋体" w:cs="宋体"/>
          <w:sz w:val="24"/>
        </w:rPr>
      </w:pPr>
      <w:r>
        <w:rPr>
          <w:rFonts w:hint="eastAsia" w:ascii="宋体" w:hAnsi="宋体" w:cs="宋体"/>
          <w:sz w:val="24"/>
        </w:rPr>
        <w:t>联系电话：</w:t>
      </w:r>
    </w:p>
    <w:p>
      <w:pPr>
        <w:spacing w:line="440" w:lineRule="exact"/>
        <w:ind w:firstLine="480" w:firstLineChars="200"/>
        <w:rPr>
          <w:rFonts w:ascii="宋体" w:hAnsi="宋体" w:cs="宋体"/>
          <w:sz w:val="24"/>
        </w:rPr>
      </w:pPr>
      <w:r>
        <w:rPr>
          <w:rFonts w:hint="eastAsia" w:ascii="宋体" w:hAnsi="宋体" w:cs="宋体"/>
          <w:sz w:val="24"/>
        </w:rPr>
        <w:t>传真：</w:t>
      </w:r>
    </w:p>
    <w:p>
      <w:pPr>
        <w:spacing w:line="440" w:lineRule="exact"/>
        <w:ind w:firstLine="480" w:firstLineChars="200"/>
        <w:rPr>
          <w:rFonts w:ascii="宋体" w:hAnsi="宋体" w:cs="宋体"/>
          <w:sz w:val="24"/>
        </w:rPr>
      </w:pPr>
      <w:r>
        <w:rPr>
          <w:rFonts w:hint="eastAsia" w:ascii="宋体" w:hAnsi="宋体" w:cs="宋体"/>
          <w:sz w:val="24"/>
        </w:rPr>
        <w:t>特此函告。</w:t>
      </w:r>
    </w:p>
    <w:p>
      <w:pPr>
        <w:spacing w:line="440" w:lineRule="exact"/>
        <w:ind w:firstLine="480" w:firstLineChars="200"/>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                                      投标人（公章）：</w:t>
      </w:r>
    </w:p>
    <w:p>
      <w:pPr>
        <w:spacing w:line="440" w:lineRule="exact"/>
        <w:rPr>
          <w:rFonts w:ascii="宋体" w:hAnsi="宋体" w:cs="宋体"/>
          <w:sz w:val="24"/>
        </w:rPr>
      </w:pPr>
      <w:r>
        <w:rPr>
          <w:rFonts w:hint="eastAsia" w:ascii="宋体" w:hAnsi="宋体" w:cs="宋体"/>
          <w:sz w:val="24"/>
        </w:rPr>
        <w:t xml:space="preserve">                                        年  月  日</w:t>
      </w:r>
    </w:p>
    <w:p>
      <w:pPr>
        <w:autoSpaceDE w:val="0"/>
        <w:autoSpaceDN w:val="0"/>
        <w:spacing w:line="440" w:lineRule="exact"/>
        <w:ind w:right="-5"/>
        <w:textAlignment w:val="bottom"/>
        <w:rPr>
          <w:rFonts w:ascii="宋体" w:hAnsi="宋体" w:cs="宋体"/>
          <w:b/>
          <w:sz w:val="24"/>
          <w:szCs w:val="24"/>
        </w:rPr>
      </w:pPr>
    </w:p>
    <w:p>
      <w:pPr>
        <w:autoSpaceDE w:val="0"/>
        <w:autoSpaceDN w:val="0"/>
        <w:spacing w:line="440" w:lineRule="exact"/>
        <w:ind w:right="-5"/>
        <w:textAlignment w:val="bottom"/>
        <w:rPr>
          <w:rFonts w:ascii="宋体" w:hAnsi="宋体" w:cs="宋体"/>
          <w:b/>
          <w:sz w:val="24"/>
          <w:szCs w:val="24"/>
        </w:rPr>
      </w:pPr>
    </w:p>
    <w:p>
      <w:pPr>
        <w:autoSpaceDE w:val="0"/>
        <w:autoSpaceDN w:val="0"/>
        <w:spacing w:line="440" w:lineRule="exact"/>
        <w:ind w:right="-5"/>
        <w:textAlignment w:val="bottom"/>
        <w:rPr>
          <w:rFonts w:ascii="宋体" w:hAnsi="宋体" w:cs="宋体"/>
          <w:b/>
          <w:sz w:val="36"/>
        </w:rPr>
      </w:pPr>
      <w:r>
        <w:rPr>
          <w:rFonts w:hint="eastAsia" w:ascii="宋体" w:hAnsi="宋体" w:cs="宋体"/>
          <w:b/>
          <w:sz w:val="24"/>
          <w:szCs w:val="24"/>
        </w:rPr>
        <w:br w:type="page"/>
      </w:r>
      <w:r>
        <w:rPr>
          <w:rFonts w:hint="eastAsia" w:ascii="宋体" w:hAnsi="宋体" w:cs="宋体"/>
          <w:b/>
          <w:sz w:val="36"/>
        </w:rPr>
        <w:t xml:space="preserve"> 资格证明文件</w:t>
      </w:r>
    </w:p>
    <w:p>
      <w:pPr>
        <w:spacing w:line="440" w:lineRule="exact"/>
        <w:jc w:val="center"/>
        <w:rPr>
          <w:rFonts w:ascii="宋体" w:hAnsi="宋体" w:cs="宋体"/>
          <w:sz w:val="28"/>
        </w:rPr>
      </w:pPr>
    </w:p>
    <w:p>
      <w:pPr>
        <w:spacing w:line="440" w:lineRule="exact"/>
        <w:jc w:val="center"/>
        <w:rPr>
          <w:rFonts w:ascii="宋体" w:hAnsi="宋体" w:cs="宋体"/>
          <w:sz w:val="28"/>
        </w:rPr>
      </w:pPr>
      <w:r>
        <w:rPr>
          <w:rFonts w:hint="eastAsia" w:ascii="宋体" w:hAnsi="宋体" w:cs="宋体"/>
          <w:sz w:val="28"/>
        </w:rPr>
        <w:t>目   录</w:t>
      </w:r>
    </w:p>
    <w:p>
      <w:pPr>
        <w:spacing w:line="440" w:lineRule="exact"/>
        <w:rPr>
          <w:rFonts w:ascii="宋体" w:hAnsi="宋体" w:cs="宋体"/>
          <w:sz w:val="24"/>
        </w:rPr>
      </w:pPr>
      <w:r>
        <w:rPr>
          <w:rFonts w:hint="eastAsia" w:ascii="宋体" w:hAnsi="宋体" w:cs="宋体"/>
          <w:sz w:val="24"/>
        </w:rPr>
        <w:t>格式一  具有独立承担民事责任的能力，提供法人或其他组织的营业执照等证明文件，复印件加盖公章。</w:t>
      </w:r>
    </w:p>
    <w:p>
      <w:pPr>
        <w:spacing w:line="440" w:lineRule="exact"/>
        <w:rPr>
          <w:rFonts w:ascii="宋体" w:hAnsi="宋体" w:cs="宋体"/>
          <w:sz w:val="24"/>
        </w:rPr>
      </w:pPr>
      <w:r>
        <w:rPr>
          <w:rFonts w:hint="eastAsia" w:ascii="宋体" w:hAnsi="宋体" w:cs="宋体"/>
          <w:sz w:val="24"/>
        </w:rPr>
        <w:t>格式二   法人代表授权书（原件）及法定代表人、授权代表身份证复印件（如果是法定代表人直接参与投标的可以不提供授权书）。</w:t>
      </w:r>
    </w:p>
    <w:p>
      <w:pPr>
        <w:pStyle w:val="32"/>
        <w:spacing w:before="0" w:beforeAutospacing="0" w:after="0" w:afterAutospacing="0" w:line="440" w:lineRule="exact"/>
        <w:textAlignment w:val="baseline"/>
        <w:rPr>
          <w:rFonts w:ascii="宋体" w:hAnsi="宋体" w:eastAsia="宋体" w:cs="宋体"/>
          <w:color w:val="auto"/>
          <w:kern w:val="2"/>
          <w:szCs w:val="20"/>
        </w:rPr>
      </w:pPr>
      <w:r>
        <w:rPr>
          <w:rFonts w:hint="eastAsia" w:ascii="宋体" w:hAnsi="宋体" w:eastAsia="宋体" w:cs="宋体"/>
          <w:color w:val="auto"/>
          <w:kern w:val="2"/>
          <w:szCs w:val="20"/>
        </w:rPr>
        <w:t>格式三   供应商必须是所投产品的制造商或代理商，若投标人不是投标产品制造商的，投标人必须具有下列授权文件之一（本条只适用于进口产品）：</w:t>
      </w:r>
    </w:p>
    <w:p>
      <w:pPr>
        <w:pStyle w:val="32"/>
        <w:spacing w:before="0" w:beforeAutospacing="0" w:after="0" w:afterAutospacing="0" w:line="440" w:lineRule="exact"/>
        <w:ind w:firstLine="120" w:firstLineChars="50"/>
        <w:textAlignment w:val="baseline"/>
        <w:rPr>
          <w:rFonts w:ascii="宋体" w:hAnsi="宋体" w:eastAsia="宋体" w:cs="宋体"/>
          <w:color w:val="auto"/>
          <w:kern w:val="2"/>
          <w:szCs w:val="20"/>
        </w:rPr>
      </w:pPr>
      <w:r>
        <w:rPr>
          <w:rFonts w:hint="eastAsia" w:ascii="宋体" w:hAnsi="宋体" w:eastAsia="宋体" w:cs="宋体"/>
          <w:color w:val="auto"/>
          <w:kern w:val="2"/>
          <w:szCs w:val="20"/>
        </w:rPr>
        <w:t>a.供应商必须提供制造商出具的授权函正本；</w:t>
      </w:r>
    </w:p>
    <w:p>
      <w:pPr>
        <w:pStyle w:val="32"/>
        <w:spacing w:before="0" w:beforeAutospacing="0" w:after="0" w:afterAutospacing="0" w:line="440" w:lineRule="exact"/>
        <w:textAlignment w:val="baseline"/>
        <w:rPr>
          <w:rFonts w:ascii="宋体" w:hAnsi="宋体" w:eastAsia="宋体" w:cs="宋体"/>
          <w:color w:val="auto"/>
          <w:kern w:val="2"/>
          <w:szCs w:val="20"/>
        </w:rPr>
      </w:pPr>
      <w:r>
        <w:rPr>
          <w:rFonts w:hint="eastAsia" w:ascii="宋体" w:hAnsi="宋体" w:eastAsia="宋体" w:cs="宋体"/>
          <w:color w:val="auto"/>
          <w:kern w:val="2"/>
          <w:szCs w:val="20"/>
        </w:rPr>
        <w:t xml:space="preserve"> b.制造商的国内全资子公司出具的授权函正本；</w:t>
      </w:r>
    </w:p>
    <w:p>
      <w:pPr>
        <w:pStyle w:val="32"/>
        <w:spacing w:before="0" w:beforeAutospacing="0" w:after="0" w:afterAutospacing="0" w:line="440" w:lineRule="exact"/>
        <w:textAlignment w:val="baseline"/>
        <w:rPr>
          <w:rFonts w:ascii="宋体" w:hAnsi="宋体" w:eastAsia="宋体" w:cs="宋体"/>
          <w:color w:val="auto"/>
          <w:kern w:val="2"/>
          <w:szCs w:val="20"/>
        </w:rPr>
      </w:pPr>
      <w:r>
        <w:rPr>
          <w:rFonts w:hint="eastAsia" w:ascii="宋体" w:hAnsi="宋体" w:eastAsia="宋体" w:cs="宋体"/>
          <w:color w:val="auto"/>
          <w:kern w:val="2"/>
          <w:szCs w:val="20"/>
        </w:rPr>
        <w:t xml:space="preserve"> c.制造商对授权的区域代理商出具的授权函复印件及该区域代理商出具的授权函正本；</w:t>
      </w:r>
    </w:p>
    <w:p>
      <w:pPr>
        <w:pStyle w:val="32"/>
        <w:spacing w:before="0" w:beforeAutospacing="0" w:after="0" w:afterAutospacing="0" w:line="440" w:lineRule="exact"/>
        <w:textAlignment w:val="baseline"/>
        <w:rPr>
          <w:rFonts w:ascii="宋体" w:hAnsi="宋体" w:eastAsia="宋体" w:cs="宋体"/>
          <w:color w:val="auto"/>
          <w:kern w:val="2"/>
          <w:szCs w:val="20"/>
        </w:rPr>
      </w:pPr>
      <w:r>
        <w:rPr>
          <w:rFonts w:hint="eastAsia" w:ascii="宋体" w:hAnsi="宋体" w:eastAsia="宋体" w:cs="宋体"/>
          <w:color w:val="auto"/>
          <w:kern w:val="2"/>
          <w:szCs w:val="20"/>
        </w:rPr>
        <w:t xml:space="preserve"> d.投标人取得的产品代理证书复印件(正本备查)。</w:t>
      </w:r>
    </w:p>
    <w:p>
      <w:pPr>
        <w:spacing w:line="440" w:lineRule="exact"/>
        <w:rPr>
          <w:rFonts w:ascii="宋体" w:hAnsi="宋体" w:cs="宋体"/>
          <w:sz w:val="24"/>
        </w:rPr>
      </w:pPr>
      <w:r>
        <w:rPr>
          <w:rFonts w:hint="eastAsia" w:ascii="宋体" w:hAnsi="宋体" w:cs="宋体"/>
          <w:sz w:val="24"/>
        </w:rPr>
        <w:t>格式四   具有良好的商业信誉和健全的财务会计制度，提供距开标时间半年内任意一月份的财务状况报告（至少包括资产负债表和利润表）（法人或者其他组织成立未满三个月的可以不提供），或其银行出具的资信证书（复印件）（开标前半年内），或其上一年度经审计的财务报告复印件加盖公章。</w:t>
      </w:r>
    </w:p>
    <w:p>
      <w:pPr>
        <w:spacing w:line="440" w:lineRule="exact"/>
        <w:rPr>
          <w:rFonts w:ascii="宋体" w:hAnsi="宋体" w:cs="宋体"/>
          <w:sz w:val="24"/>
        </w:rPr>
      </w:pPr>
      <w:r>
        <w:rPr>
          <w:rFonts w:hint="eastAsia" w:ascii="宋体" w:hAnsi="宋体" w:cs="宋体"/>
          <w:sz w:val="24"/>
        </w:rPr>
        <w:t>格式五   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pacing w:line="440" w:lineRule="exact"/>
        <w:rPr>
          <w:rFonts w:ascii="宋体" w:hAnsi="宋体" w:cs="宋体"/>
          <w:sz w:val="24"/>
        </w:rPr>
      </w:pPr>
      <w:r>
        <w:rPr>
          <w:rFonts w:hint="eastAsia" w:ascii="宋体" w:hAnsi="宋体" w:cs="宋体"/>
          <w:sz w:val="24"/>
        </w:rPr>
        <w:t>格式六   有依法缴纳税收的良好记录，提供距开标时间半年内任意一月份的纳税凭据复印件加盖公章（依法免税的应提供相应文件说明）。</w:t>
      </w:r>
    </w:p>
    <w:p>
      <w:pPr>
        <w:spacing w:line="440" w:lineRule="exact"/>
        <w:rPr>
          <w:rFonts w:ascii="宋体" w:hAnsi="宋体" w:cs="宋体"/>
          <w:sz w:val="24"/>
        </w:rPr>
      </w:pPr>
      <w:r>
        <w:rPr>
          <w:rFonts w:hint="eastAsia" w:ascii="宋体" w:hAnsi="宋体" w:cs="宋体"/>
          <w:sz w:val="24"/>
        </w:rPr>
        <w:t>格式七   有依法缴纳社会保障资金的良好记录，提供距开标时间半年内任意一月份的依法缴纳社会保障资金的凭据复印件加盖公章</w:t>
      </w:r>
    </w:p>
    <w:p>
      <w:pPr>
        <w:spacing w:line="440" w:lineRule="exact"/>
        <w:rPr>
          <w:rFonts w:ascii="宋体" w:hAnsi="宋体" w:cs="宋体"/>
          <w:sz w:val="24"/>
        </w:rPr>
      </w:pPr>
      <w:r>
        <w:rPr>
          <w:rFonts w:hint="eastAsia" w:ascii="宋体" w:hAnsi="宋体" w:cs="宋体"/>
          <w:sz w:val="24"/>
        </w:rPr>
        <w:t>格式八 投标人认为其需要提供的其他资格证明文件。</w:t>
      </w:r>
    </w:p>
    <w:p>
      <w:pPr>
        <w:spacing w:line="440" w:lineRule="exact"/>
        <w:rPr>
          <w:rFonts w:ascii="宋体" w:hAnsi="宋体" w:cs="宋体"/>
          <w:b/>
        </w:rPr>
      </w:pPr>
    </w:p>
    <w:p>
      <w:pPr>
        <w:spacing w:line="440" w:lineRule="exact"/>
        <w:rPr>
          <w:rFonts w:ascii="宋体" w:hAnsi="宋体" w:cs="宋体"/>
          <w:b/>
        </w:rPr>
      </w:pPr>
      <w:r>
        <w:rPr>
          <w:rFonts w:hint="eastAsia" w:ascii="宋体" w:hAnsi="宋体" w:cs="宋体"/>
          <w:sz w:val="24"/>
        </w:rPr>
        <w:t>备注：对本章所有的投标文件格式，投标单位可根据自身情况进行补充和修改，但补充和修改不得造成与本格式内容有实质性的违背。</w:t>
      </w:r>
    </w:p>
    <w:p>
      <w:pPr>
        <w:spacing w:line="440" w:lineRule="exact"/>
        <w:rPr>
          <w:rFonts w:ascii="宋体" w:hAnsi="宋体" w:cs="宋体"/>
          <w:sz w:val="24"/>
          <w:szCs w:val="24"/>
        </w:rPr>
        <w:sectPr>
          <w:pgSz w:w="11906" w:h="16838"/>
          <w:pgMar w:top="1134" w:right="1134" w:bottom="1134" w:left="1134" w:header="851" w:footer="992" w:gutter="0"/>
          <w:cols w:space="720" w:num="1"/>
          <w:titlePg/>
          <w:docGrid w:type="lines" w:linePitch="312" w:charSpace="0"/>
        </w:sectPr>
      </w:pPr>
    </w:p>
    <w:p>
      <w:pPr>
        <w:spacing w:line="440" w:lineRule="exact"/>
        <w:rPr>
          <w:rFonts w:ascii="宋体" w:hAnsi="宋体" w:cs="宋体"/>
          <w:sz w:val="24"/>
          <w:szCs w:val="24"/>
        </w:rPr>
      </w:pPr>
      <w:r>
        <w:rPr>
          <w:rFonts w:hint="eastAsia" w:ascii="宋体" w:hAnsi="宋体" w:cs="宋体"/>
          <w:sz w:val="24"/>
          <w:szCs w:val="24"/>
        </w:rPr>
        <w:t>格式一 具有独立承担民事责任的能力，提供法人或其他组织的营业执照等证明文件，复印件加盖公章</w:t>
      </w: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ind w:firstLine="5494"/>
        <w:rPr>
          <w:rFonts w:ascii="宋体" w:hAnsi="宋体" w:cs="宋体"/>
          <w:sz w:val="24"/>
        </w:rPr>
      </w:pPr>
      <w:r>
        <w:rPr>
          <w:rFonts w:hint="eastAsia" w:ascii="宋体" w:hAnsi="宋体" w:cs="宋体"/>
          <w:sz w:val="24"/>
        </w:rPr>
        <w:t>投标人授权代表（签字）：</w:t>
      </w:r>
    </w:p>
    <w:p>
      <w:pPr>
        <w:spacing w:line="440" w:lineRule="exact"/>
        <w:ind w:firstLine="5494"/>
        <w:rPr>
          <w:rFonts w:ascii="宋体" w:hAnsi="宋体" w:cs="宋体"/>
          <w:sz w:val="24"/>
        </w:rPr>
      </w:pPr>
      <w:r>
        <w:rPr>
          <w:rFonts w:hint="eastAsia" w:ascii="宋体" w:hAnsi="宋体" w:cs="宋体"/>
          <w:sz w:val="24"/>
        </w:rPr>
        <w:t>日期：</w:t>
      </w:r>
    </w:p>
    <w:p>
      <w:pPr>
        <w:autoSpaceDE w:val="0"/>
        <w:autoSpaceDN w:val="0"/>
        <w:spacing w:line="440" w:lineRule="exact"/>
        <w:ind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sectPr>
          <w:pgSz w:w="11906" w:h="16838"/>
          <w:pgMar w:top="1134" w:right="1134" w:bottom="1134" w:left="1134" w:header="851" w:footer="992" w:gutter="0"/>
          <w:cols w:space="720" w:num="1"/>
          <w:titlePg/>
          <w:docGrid w:type="lines" w:linePitch="312" w:charSpace="0"/>
        </w:sectPr>
      </w:pPr>
    </w:p>
    <w:p>
      <w:pPr>
        <w:autoSpaceDE w:val="0"/>
        <w:autoSpaceDN w:val="0"/>
        <w:spacing w:line="440" w:lineRule="exact"/>
        <w:ind w:right="-5"/>
        <w:textAlignment w:val="bottom"/>
        <w:rPr>
          <w:rFonts w:ascii="宋体" w:hAnsi="宋体" w:cs="宋体"/>
          <w:b/>
        </w:rPr>
      </w:pPr>
      <w:r>
        <w:rPr>
          <w:rFonts w:hint="eastAsia" w:ascii="宋体" w:hAnsi="宋体" w:cs="宋体"/>
          <w:sz w:val="24"/>
        </w:rPr>
        <w:t>格式二</w:t>
      </w:r>
    </w:p>
    <w:p>
      <w:pPr>
        <w:spacing w:line="440" w:lineRule="exact"/>
        <w:rPr>
          <w:rFonts w:ascii="宋体" w:hAnsi="宋体" w:cs="宋体"/>
          <w:b/>
        </w:rPr>
      </w:pPr>
    </w:p>
    <w:p>
      <w:pPr>
        <w:autoSpaceDE w:val="0"/>
        <w:autoSpaceDN w:val="0"/>
        <w:spacing w:line="440" w:lineRule="exact"/>
        <w:ind w:right="-5"/>
        <w:jc w:val="center"/>
        <w:textAlignment w:val="bottom"/>
        <w:rPr>
          <w:rFonts w:ascii="宋体" w:hAnsi="宋体" w:cs="宋体"/>
          <w:b/>
        </w:rPr>
      </w:pPr>
      <w:r>
        <w:rPr>
          <w:rFonts w:hint="eastAsia" w:ascii="宋体" w:hAnsi="宋体" w:cs="宋体"/>
          <w:sz w:val="24"/>
        </w:rPr>
        <w:t>法人代表授权书</w:t>
      </w:r>
    </w:p>
    <w:p>
      <w:pPr>
        <w:spacing w:line="440" w:lineRule="exact"/>
        <w:rPr>
          <w:rFonts w:ascii="宋体" w:hAnsi="宋体" w:cs="宋体"/>
          <w:b/>
        </w:rPr>
      </w:pPr>
    </w:p>
    <w:p>
      <w:pPr>
        <w:spacing w:line="440" w:lineRule="exact"/>
        <w:rPr>
          <w:rFonts w:ascii="宋体" w:hAnsi="宋体" w:cs="宋体"/>
          <w:b/>
          <w:u w:val="single"/>
        </w:rPr>
      </w:pPr>
      <w:r>
        <w:rPr>
          <w:rFonts w:hint="eastAsia" w:ascii="宋体" w:hAnsi="宋体" w:cs="宋体"/>
          <w:sz w:val="24"/>
        </w:rPr>
        <w:t>本授权委托书声明：我（姓名）系 （单位名称）的法定代表人，现授权委托   （单位名称） （姓名）为我的授权委托人，以 （单位名称）的名义参加 （招标代理机构名称）的  项目的投标活动。授权委托人签署的一切文件和处理与之有关的一切事务，我均予以承认。</w:t>
      </w:r>
    </w:p>
    <w:p>
      <w:pPr>
        <w:spacing w:line="440" w:lineRule="exact"/>
        <w:rPr>
          <w:rFonts w:ascii="宋体" w:hAnsi="宋体" w:cs="宋体"/>
          <w:b/>
        </w:rPr>
      </w:pPr>
      <w:r>
        <w:rPr>
          <w:rFonts w:hint="eastAsia" w:ascii="宋体" w:hAnsi="宋体" w:cs="宋体"/>
          <w:sz w:val="24"/>
        </w:rPr>
        <w:t xml:space="preserve"> 授权委托人无权再委权，特此委托。</w:t>
      </w:r>
    </w:p>
    <w:p>
      <w:pPr>
        <w:spacing w:line="440" w:lineRule="exact"/>
        <w:rPr>
          <w:rFonts w:ascii="宋体" w:hAnsi="宋体" w:cs="宋体"/>
          <w:b/>
        </w:rPr>
      </w:pPr>
    </w:p>
    <w:p>
      <w:pPr>
        <w:spacing w:line="440" w:lineRule="exact"/>
        <w:rPr>
          <w:rFonts w:ascii="宋体" w:hAnsi="宋体" w:cs="宋体"/>
          <w:b/>
          <w:u w:val="single"/>
        </w:rPr>
      </w:pPr>
      <w:r>
        <w:rPr>
          <w:rFonts w:hint="eastAsia" w:ascii="宋体" w:hAnsi="宋体" w:cs="宋体"/>
          <w:sz w:val="24"/>
        </w:rPr>
        <w:t xml:space="preserve">授权委托人（签字）：  性别：年龄： </w:t>
      </w:r>
    </w:p>
    <w:p>
      <w:pPr>
        <w:spacing w:line="440" w:lineRule="exact"/>
        <w:rPr>
          <w:rFonts w:ascii="宋体" w:hAnsi="宋体" w:cs="宋体"/>
          <w:b/>
          <w:u w:val="single"/>
        </w:rPr>
      </w:pPr>
      <w:r>
        <w:rPr>
          <w:rFonts w:hint="eastAsia" w:ascii="宋体" w:hAnsi="宋体" w:cs="宋体"/>
          <w:sz w:val="24"/>
        </w:rPr>
        <w:t xml:space="preserve">单位（盖章）：部门：职务： </w:t>
      </w:r>
    </w:p>
    <w:p>
      <w:pPr>
        <w:spacing w:line="440" w:lineRule="exact"/>
        <w:rPr>
          <w:rFonts w:ascii="宋体" w:hAnsi="宋体" w:cs="宋体"/>
          <w:b/>
        </w:rPr>
      </w:pPr>
    </w:p>
    <w:p>
      <w:pPr>
        <w:spacing w:line="440" w:lineRule="exact"/>
        <w:rPr>
          <w:rFonts w:ascii="宋体" w:hAnsi="宋体" w:cs="宋体"/>
          <w:b/>
        </w:rPr>
      </w:pPr>
    </w:p>
    <w:p>
      <w:pPr>
        <w:spacing w:line="440" w:lineRule="exact"/>
        <w:ind w:hanging="344"/>
        <w:jc w:val="center"/>
        <w:rPr>
          <w:rFonts w:ascii="宋体" w:hAnsi="宋体" w:cs="宋体"/>
          <w:b/>
          <w:u w:val="single"/>
        </w:rPr>
      </w:pPr>
      <w:r>
        <w:rPr>
          <w:rFonts w:hint="eastAsia" w:ascii="宋体" w:hAnsi="宋体" w:cs="宋体"/>
          <w:sz w:val="24"/>
        </w:rPr>
        <w:t>法定代表人（签字或盖章）：</w:t>
      </w:r>
    </w:p>
    <w:p>
      <w:pPr>
        <w:spacing w:line="440" w:lineRule="exact"/>
        <w:ind w:left="1275" w:firstLine="1795"/>
        <w:rPr>
          <w:rFonts w:ascii="宋体" w:hAnsi="宋体" w:cs="宋体"/>
          <w:b/>
        </w:rPr>
      </w:pPr>
      <w:r>
        <w:rPr>
          <w:rFonts w:hint="eastAsia" w:ascii="宋体" w:hAnsi="宋体" w:cs="宋体"/>
          <w:sz w:val="24"/>
        </w:rPr>
        <w:t xml:space="preserve">   日期：     年   月   日</w:t>
      </w: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r>
        <w:rPr>
          <w:rFonts w:hint="eastAsia" w:ascii="宋体" w:hAnsi="宋体" w:cs="宋体"/>
          <w:sz w:val="24"/>
          <w:szCs w:val="24"/>
        </w:rPr>
        <w:t>附：法定代表人、投标人授权代表的身份证复印件</w:t>
      </w: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pPr>
    </w:p>
    <w:p>
      <w:pPr>
        <w:spacing w:after="120" w:line="440" w:lineRule="exact"/>
        <w:rPr>
          <w:rFonts w:ascii="宋体" w:hAnsi="宋体" w:cs="宋体"/>
          <w:sz w:val="24"/>
        </w:rPr>
        <w:sectPr>
          <w:pgSz w:w="11906" w:h="16838"/>
          <w:pgMar w:top="1134" w:right="1134" w:bottom="1134" w:left="1134" w:header="851" w:footer="992" w:gutter="0"/>
          <w:cols w:space="720" w:num="1"/>
          <w:titlePg/>
          <w:docGrid w:type="lines" w:linePitch="312" w:charSpace="0"/>
        </w:sectPr>
      </w:pPr>
    </w:p>
    <w:p>
      <w:pPr>
        <w:spacing w:after="120" w:line="440" w:lineRule="exact"/>
        <w:rPr>
          <w:rFonts w:ascii="宋体" w:hAnsi="宋体" w:cs="宋体"/>
          <w:b/>
        </w:rPr>
      </w:pPr>
      <w:r>
        <w:rPr>
          <w:rFonts w:hint="eastAsia" w:ascii="宋体" w:hAnsi="宋体" w:cs="宋体"/>
          <w:sz w:val="24"/>
        </w:rPr>
        <w:t>格式三</w:t>
      </w:r>
    </w:p>
    <w:p>
      <w:pPr>
        <w:spacing w:line="440" w:lineRule="exact"/>
        <w:jc w:val="center"/>
        <w:rPr>
          <w:rFonts w:ascii="宋体" w:hAnsi="宋体" w:cs="宋体"/>
          <w:b/>
        </w:rPr>
      </w:pPr>
      <w:r>
        <w:rPr>
          <w:rFonts w:hint="eastAsia" w:ascii="宋体" w:hAnsi="宋体" w:cs="宋体"/>
          <w:sz w:val="24"/>
        </w:rPr>
        <w:t>制造商授权书</w:t>
      </w:r>
    </w:p>
    <w:p>
      <w:pPr>
        <w:spacing w:line="440" w:lineRule="exact"/>
        <w:rPr>
          <w:rFonts w:ascii="宋体" w:hAnsi="宋体" w:cs="宋体"/>
          <w:b/>
        </w:rPr>
      </w:pPr>
      <w:r>
        <w:rPr>
          <w:rFonts w:hint="eastAsia" w:ascii="宋体" w:hAnsi="宋体" w:cs="宋体"/>
          <w:sz w:val="24"/>
        </w:rPr>
        <w:t>致：（招标代理机构）</w:t>
      </w:r>
    </w:p>
    <w:p>
      <w:pPr>
        <w:spacing w:line="440" w:lineRule="exact"/>
        <w:rPr>
          <w:rFonts w:ascii="宋体" w:hAnsi="宋体" w:cs="宋体"/>
          <w:sz w:val="24"/>
        </w:rPr>
      </w:pPr>
      <w:r>
        <w:rPr>
          <w:rFonts w:hint="eastAsia" w:ascii="宋体" w:hAnsi="宋体" w:cs="宋体"/>
          <w:sz w:val="24"/>
        </w:rPr>
        <w:t>我们（制造商名称）是按（国家名称）法律成立的一家制造商，主要营业地点设在（制造商地址）。兹指派按（国家名称）的法律正式成立的，主要营业地点设在（贸易公司地址）的（贸易公司名称）作为我方真正的和合法的代理人进行下列有效的活动：</w:t>
      </w:r>
    </w:p>
    <w:p>
      <w:pPr>
        <w:spacing w:line="440" w:lineRule="exact"/>
        <w:ind w:firstLine="480" w:firstLineChars="200"/>
        <w:rPr>
          <w:rFonts w:ascii="宋体" w:hAnsi="宋体" w:cs="宋体"/>
          <w:sz w:val="24"/>
        </w:rPr>
      </w:pPr>
      <w:r>
        <w:rPr>
          <w:rFonts w:hint="eastAsia" w:ascii="宋体" w:hAnsi="宋体" w:cs="宋体"/>
          <w:sz w:val="24"/>
        </w:rPr>
        <w:t>代表我方在中华人民共和国办理贵方第号公开招标要求提供的由我方制造的产品的有关事宜，并对我方具有约束力。</w:t>
      </w:r>
    </w:p>
    <w:p>
      <w:pPr>
        <w:spacing w:line="440" w:lineRule="exact"/>
        <w:rPr>
          <w:rFonts w:ascii="宋体" w:hAnsi="宋体" w:cs="宋体"/>
          <w:sz w:val="24"/>
        </w:rPr>
      </w:pPr>
      <w:r>
        <w:rPr>
          <w:rFonts w:hint="eastAsia" w:ascii="宋体" w:hAnsi="宋体" w:cs="宋体"/>
          <w:sz w:val="24"/>
        </w:rPr>
        <w:t>作为制造商，我方保证以公开投标合作者来约束自己，并对该公开投标共同和分别承担投标文件中所规定的义务。</w:t>
      </w:r>
    </w:p>
    <w:p>
      <w:pPr>
        <w:spacing w:line="440" w:lineRule="exact"/>
        <w:ind w:firstLine="480" w:firstLineChars="200"/>
        <w:rPr>
          <w:rFonts w:ascii="宋体" w:hAnsi="宋体" w:cs="宋体"/>
          <w:sz w:val="24"/>
        </w:rPr>
      </w:pPr>
      <w:r>
        <w:rPr>
          <w:rFonts w:hint="eastAsia" w:ascii="宋体" w:hAnsi="宋体" w:cs="宋体"/>
          <w:sz w:val="24"/>
        </w:rPr>
        <w:t>我方兹授予（贸易公司名称）全权办理和履行上述我方为完成上述各点所必须的事宜，具有替换或撤消的全权。兹确认（贸易公司名称）或其正式授权代表依此合法地办理一切事宜。</w:t>
      </w:r>
    </w:p>
    <w:p>
      <w:pPr>
        <w:spacing w:line="440" w:lineRule="exact"/>
        <w:ind w:firstLine="480"/>
        <w:rPr>
          <w:rFonts w:ascii="宋体" w:hAnsi="宋体" w:cs="宋体"/>
          <w:sz w:val="24"/>
        </w:rPr>
      </w:pPr>
      <w:r>
        <w:rPr>
          <w:rFonts w:hint="eastAsia" w:ascii="宋体" w:hAnsi="宋体" w:cs="宋体"/>
          <w:sz w:val="24"/>
        </w:rPr>
        <w:t>我方于  年  月  日签署本文件，（贸易公司名称）于  年  月  日接受此件，以此为证。</w:t>
      </w:r>
    </w:p>
    <w:p>
      <w:pPr>
        <w:spacing w:line="440" w:lineRule="exact"/>
        <w:ind w:firstLine="480"/>
        <w:rPr>
          <w:rFonts w:ascii="宋体" w:hAnsi="宋体" w:cs="宋体"/>
          <w:sz w:val="24"/>
        </w:rPr>
      </w:pPr>
    </w:p>
    <w:p>
      <w:pPr>
        <w:spacing w:line="440" w:lineRule="exact"/>
        <w:rPr>
          <w:rFonts w:ascii="宋体" w:hAnsi="宋体" w:cs="宋体"/>
          <w:b/>
        </w:rPr>
      </w:pPr>
      <w:r>
        <w:rPr>
          <w:rFonts w:hint="eastAsia" w:ascii="宋体" w:hAnsi="宋体" w:cs="宋体"/>
          <w:sz w:val="24"/>
        </w:rPr>
        <w:t>制造商名称</w:t>
      </w:r>
      <w:r>
        <w:rPr>
          <w:rFonts w:hint="eastAsia" w:ascii="宋体" w:hAnsi="宋体" w:cs="宋体"/>
          <w:b/>
          <w:u w:val="single"/>
        </w:rPr>
        <w:t>（盖章）</w:t>
      </w:r>
    </w:p>
    <w:p>
      <w:pPr>
        <w:spacing w:line="440" w:lineRule="exact"/>
        <w:rPr>
          <w:rFonts w:ascii="宋体" w:hAnsi="宋体" w:cs="宋体"/>
          <w:b/>
        </w:rPr>
      </w:pPr>
      <w:r>
        <w:rPr>
          <w:rFonts w:hint="eastAsia" w:ascii="宋体" w:hAnsi="宋体" w:cs="宋体"/>
          <w:sz w:val="24"/>
        </w:rPr>
        <w:t xml:space="preserve">签字人姓名 </w:t>
      </w:r>
    </w:p>
    <w:p>
      <w:pPr>
        <w:autoSpaceDE w:val="0"/>
        <w:autoSpaceDN w:val="0"/>
        <w:spacing w:line="440" w:lineRule="exact"/>
        <w:ind w:left="-2" w:right="-5"/>
        <w:textAlignment w:val="bottom"/>
        <w:rPr>
          <w:rFonts w:ascii="宋体" w:hAnsi="宋体" w:cs="宋体"/>
          <w:sz w:val="24"/>
        </w:rPr>
      </w:pPr>
      <w:r>
        <w:rPr>
          <w:rFonts w:hint="eastAsia" w:ascii="宋体" w:hAnsi="宋体" w:cs="宋体"/>
          <w:sz w:val="24"/>
        </w:rPr>
        <w:t xml:space="preserve">签字人签名  </w:t>
      </w: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pPr>
    </w:p>
    <w:p>
      <w:pPr>
        <w:spacing w:line="440" w:lineRule="exact"/>
        <w:rPr>
          <w:rFonts w:ascii="宋体" w:hAnsi="宋体" w:cs="宋体"/>
          <w:sz w:val="24"/>
          <w:szCs w:val="24"/>
        </w:rPr>
        <w:sectPr>
          <w:pgSz w:w="11906" w:h="16838"/>
          <w:pgMar w:top="1134" w:right="1134" w:bottom="1134" w:left="1134" w:header="851" w:footer="992" w:gutter="0"/>
          <w:cols w:space="720" w:num="1"/>
          <w:titlePg/>
          <w:docGrid w:type="lines" w:linePitch="312" w:charSpace="0"/>
        </w:sectPr>
      </w:pPr>
    </w:p>
    <w:p>
      <w:pPr>
        <w:spacing w:line="440" w:lineRule="exact"/>
        <w:rPr>
          <w:rFonts w:ascii="宋体" w:hAnsi="宋体" w:cs="宋体"/>
          <w:sz w:val="24"/>
          <w:szCs w:val="24"/>
        </w:rPr>
      </w:pPr>
      <w:r>
        <w:rPr>
          <w:rFonts w:hint="eastAsia" w:ascii="宋体" w:hAnsi="宋体" w:cs="宋体"/>
          <w:sz w:val="24"/>
          <w:szCs w:val="24"/>
        </w:rPr>
        <w:t xml:space="preserve">格式四 </w:t>
      </w:r>
      <w:r>
        <w:rPr>
          <w:rFonts w:hint="eastAsia" w:ascii="宋体" w:hAnsi="宋体" w:cs="宋体"/>
          <w:sz w:val="24"/>
        </w:rPr>
        <w:t>具有良好的商业信誉和健全的财务会计制度，提供距开标时间半年内任意一月份的财务状况报告（至少包括资产负债表和利润表）（法人或者其他组织成立未满三个月的可以不提供），或其银行出具的资信证书（复印件）（开标前半年内），或其上一年度经审计的财务报告复印件加盖公章</w:t>
      </w: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spacing w:line="440" w:lineRule="exact"/>
        <w:ind w:firstLine="5494"/>
        <w:rPr>
          <w:rFonts w:ascii="宋体" w:hAnsi="宋体" w:cs="宋体"/>
          <w:sz w:val="24"/>
        </w:rPr>
      </w:pPr>
      <w:r>
        <w:rPr>
          <w:rFonts w:hint="eastAsia" w:ascii="宋体" w:hAnsi="宋体" w:cs="宋体"/>
          <w:sz w:val="24"/>
        </w:rPr>
        <w:t>投标人授权代表（签字）：</w:t>
      </w:r>
    </w:p>
    <w:p>
      <w:pPr>
        <w:spacing w:line="440" w:lineRule="exact"/>
        <w:ind w:firstLine="5494"/>
        <w:rPr>
          <w:rFonts w:ascii="宋体" w:hAnsi="宋体" w:cs="宋体"/>
          <w:sz w:val="24"/>
        </w:rPr>
      </w:pPr>
      <w:r>
        <w:rPr>
          <w:rFonts w:hint="eastAsia" w:ascii="宋体" w:hAnsi="宋体" w:cs="宋体"/>
          <w:sz w:val="24"/>
        </w:rPr>
        <w:t>日期：</w:t>
      </w: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left="-2"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pPr>
    </w:p>
    <w:p>
      <w:pPr>
        <w:autoSpaceDE w:val="0"/>
        <w:autoSpaceDN w:val="0"/>
        <w:spacing w:line="440" w:lineRule="exact"/>
        <w:ind w:right="-5"/>
        <w:textAlignment w:val="bottom"/>
        <w:rPr>
          <w:rFonts w:ascii="宋体" w:hAnsi="宋体" w:cs="宋体"/>
          <w:sz w:val="24"/>
        </w:rPr>
      </w:pPr>
    </w:p>
    <w:p>
      <w:pPr>
        <w:autoSpaceDE w:val="0"/>
        <w:autoSpaceDN w:val="0"/>
        <w:adjustRightInd w:val="0"/>
        <w:spacing w:line="440" w:lineRule="exact"/>
        <w:jc w:val="left"/>
        <w:rPr>
          <w:rFonts w:ascii="宋体" w:hAnsi="宋体" w:cs="宋体"/>
          <w:sz w:val="24"/>
          <w:szCs w:val="24"/>
        </w:rPr>
        <w:sectPr>
          <w:pgSz w:w="11906" w:h="16838"/>
          <w:pgMar w:top="1134" w:right="1134" w:bottom="1134" w:left="1134" w:header="851" w:footer="992" w:gutter="0"/>
          <w:cols w:space="720" w:num="1"/>
          <w:titlePg/>
          <w:docGrid w:type="lines" w:linePitch="312" w:charSpace="0"/>
        </w:sectPr>
      </w:pPr>
    </w:p>
    <w:p>
      <w:pPr>
        <w:spacing w:line="440" w:lineRule="exact"/>
        <w:jc w:val="center"/>
        <w:rPr>
          <w:rFonts w:ascii="宋体" w:hAnsi="宋体" w:cs="宋体"/>
          <w:sz w:val="24"/>
        </w:rPr>
      </w:pPr>
    </w:p>
    <w:p>
      <w:pPr>
        <w:spacing w:line="440" w:lineRule="exact"/>
        <w:jc w:val="left"/>
        <w:rPr>
          <w:rFonts w:ascii="宋体" w:hAnsi="宋体" w:cs="宋体"/>
          <w:sz w:val="24"/>
        </w:rPr>
      </w:pPr>
      <w:r>
        <w:rPr>
          <w:rFonts w:hint="eastAsia" w:ascii="宋体" w:hAnsi="宋体" w:cs="宋体"/>
          <w:sz w:val="24"/>
        </w:rPr>
        <w:t>格式五  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pacing w:before="120" w:line="440" w:lineRule="exact"/>
        <w:ind w:left="4830"/>
        <w:rPr>
          <w:rFonts w:ascii="宋体" w:hAnsi="宋体" w:cs="宋体"/>
          <w:b/>
          <w:u w:val="single"/>
        </w:rPr>
      </w:pPr>
      <w:r>
        <w:rPr>
          <w:rFonts w:hint="eastAsia" w:ascii="宋体" w:hAnsi="宋体" w:cs="宋体"/>
          <w:sz w:val="24"/>
        </w:rPr>
        <w:t>投标人：（盖章）</w:t>
      </w:r>
    </w:p>
    <w:p>
      <w:pPr>
        <w:spacing w:line="440" w:lineRule="exact"/>
        <w:ind w:left="4830"/>
        <w:rPr>
          <w:rFonts w:ascii="宋体" w:hAnsi="宋体" w:cs="宋体"/>
          <w:b/>
          <w:u w:val="single"/>
        </w:rPr>
      </w:pPr>
      <w:r>
        <w:rPr>
          <w:rFonts w:hint="eastAsia" w:ascii="宋体" w:hAnsi="宋体" w:cs="宋体"/>
          <w:sz w:val="24"/>
        </w:rPr>
        <w:t>投标人授权代表：（签字）</w:t>
      </w:r>
    </w:p>
    <w:p>
      <w:pPr>
        <w:widowControl/>
        <w:spacing w:line="440" w:lineRule="exact"/>
        <w:jc w:val="left"/>
        <w:rPr>
          <w:rFonts w:ascii="宋体" w:hAnsi="宋体" w:cs="宋体"/>
          <w:kern w:val="0"/>
          <w:sz w:val="24"/>
          <w:szCs w:val="24"/>
        </w:rPr>
      </w:pPr>
      <w:r>
        <w:rPr>
          <w:rFonts w:hint="eastAsia" w:ascii="宋体" w:hAnsi="宋体" w:cs="宋体"/>
          <w:kern w:val="0"/>
          <w:sz w:val="24"/>
          <w:szCs w:val="24"/>
        </w:rPr>
        <w:br w:type="textWrapping"/>
      </w:r>
    </w:p>
    <w:p>
      <w:pPr>
        <w:spacing w:after="120" w:line="440" w:lineRule="exact"/>
        <w:ind w:left="4830"/>
        <w:rPr>
          <w:rFonts w:ascii="宋体" w:hAnsi="宋体" w:cs="宋体"/>
          <w:b/>
          <w:u w:val="single"/>
        </w:rPr>
      </w:pPr>
    </w:p>
    <w:p>
      <w:pPr>
        <w:spacing w:after="120" w:line="440" w:lineRule="exact"/>
        <w:ind w:left="4830"/>
        <w:rPr>
          <w:rFonts w:ascii="宋体" w:hAnsi="宋体" w:cs="宋体"/>
          <w:b/>
          <w:u w:val="single"/>
        </w:rPr>
      </w:pPr>
    </w:p>
    <w:p>
      <w:pPr>
        <w:spacing w:after="120" w:line="440" w:lineRule="exact"/>
        <w:ind w:left="4830"/>
        <w:rPr>
          <w:rFonts w:ascii="宋体" w:hAnsi="宋体" w:cs="宋体"/>
          <w:b/>
          <w:u w:val="single"/>
        </w:rPr>
      </w:pPr>
    </w:p>
    <w:p>
      <w:pPr>
        <w:spacing w:after="120" w:line="440" w:lineRule="exact"/>
        <w:ind w:left="4830"/>
        <w:rPr>
          <w:rFonts w:ascii="宋体" w:hAnsi="宋体" w:cs="宋体"/>
          <w:b/>
          <w:u w:val="single"/>
        </w:rPr>
      </w:pPr>
    </w:p>
    <w:p>
      <w:pPr>
        <w:spacing w:after="120" w:line="440" w:lineRule="exact"/>
        <w:ind w:left="4830"/>
        <w:rPr>
          <w:rFonts w:ascii="宋体" w:hAnsi="宋体" w:cs="宋体"/>
          <w:b/>
          <w:u w:val="single"/>
        </w:rPr>
      </w:pPr>
    </w:p>
    <w:p>
      <w:pPr>
        <w:spacing w:after="120" w:line="440" w:lineRule="exact"/>
        <w:ind w:left="4830"/>
        <w:rPr>
          <w:rFonts w:ascii="宋体" w:hAnsi="宋体" w:cs="宋体"/>
          <w:b/>
          <w:u w:val="single"/>
        </w:rPr>
      </w:pPr>
    </w:p>
    <w:p>
      <w:pPr>
        <w:spacing w:after="120" w:line="440" w:lineRule="exact"/>
        <w:ind w:left="4830"/>
        <w:rPr>
          <w:rFonts w:ascii="宋体" w:hAnsi="宋体" w:cs="宋体"/>
          <w:b/>
          <w:u w:val="single"/>
        </w:rPr>
      </w:pPr>
    </w:p>
    <w:p>
      <w:pPr>
        <w:spacing w:after="120" w:line="440" w:lineRule="exact"/>
        <w:ind w:left="4830"/>
        <w:rPr>
          <w:rFonts w:ascii="宋体" w:hAnsi="宋体" w:cs="宋体"/>
          <w:b/>
          <w:u w:val="single"/>
        </w:rPr>
      </w:pPr>
    </w:p>
    <w:p>
      <w:pPr>
        <w:spacing w:after="120" w:line="440" w:lineRule="exact"/>
        <w:ind w:left="4830"/>
        <w:rPr>
          <w:rFonts w:ascii="宋体" w:hAnsi="宋体" w:cs="宋体"/>
          <w:b/>
          <w:u w:val="single"/>
        </w:rPr>
      </w:pPr>
    </w:p>
    <w:p>
      <w:pPr>
        <w:spacing w:after="120" w:line="440" w:lineRule="exact"/>
        <w:ind w:left="4830"/>
        <w:rPr>
          <w:rFonts w:ascii="宋体" w:hAnsi="宋体" w:cs="宋体"/>
          <w:b/>
          <w:u w:val="single"/>
        </w:rPr>
      </w:pPr>
    </w:p>
    <w:p>
      <w:pPr>
        <w:spacing w:after="120" w:line="440" w:lineRule="exact"/>
        <w:ind w:left="4830"/>
        <w:rPr>
          <w:rFonts w:ascii="宋体" w:hAnsi="宋体" w:cs="宋体"/>
          <w:b/>
          <w:u w:val="single"/>
        </w:rPr>
      </w:pPr>
    </w:p>
    <w:p>
      <w:pPr>
        <w:spacing w:after="120" w:line="440" w:lineRule="exact"/>
        <w:ind w:left="4830"/>
        <w:rPr>
          <w:rFonts w:ascii="宋体" w:hAnsi="宋体" w:cs="宋体"/>
          <w:b/>
          <w:u w:val="single"/>
        </w:rPr>
      </w:pPr>
    </w:p>
    <w:p>
      <w:pPr>
        <w:spacing w:line="440" w:lineRule="exact"/>
        <w:rPr>
          <w:rFonts w:ascii="宋体" w:hAnsi="宋体" w:cs="宋体"/>
          <w:sz w:val="24"/>
        </w:rPr>
        <w:sectPr>
          <w:pgSz w:w="11906" w:h="16838"/>
          <w:pgMar w:top="1134" w:right="1134" w:bottom="1134" w:left="1134" w:header="851" w:footer="992" w:gutter="0"/>
          <w:cols w:space="720" w:num="1"/>
          <w:titlePg/>
          <w:docGrid w:type="lines" w:linePitch="312" w:charSpace="0"/>
        </w:sectPr>
      </w:pPr>
    </w:p>
    <w:p>
      <w:pPr>
        <w:spacing w:line="440" w:lineRule="exact"/>
        <w:rPr>
          <w:rFonts w:ascii="宋体" w:hAnsi="宋体" w:cs="宋体"/>
          <w:b/>
        </w:rPr>
      </w:pPr>
      <w:r>
        <w:rPr>
          <w:rFonts w:hint="eastAsia" w:ascii="宋体" w:hAnsi="宋体" w:cs="宋体"/>
          <w:sz w:val="24"/>
        </w:rPr>
        <w:t>格式六  有依法缴纳税收的良好记录，提供距开标时间半年内任意一月份的纳税凭据复印件加盖公章（依法免税的应提供相应文件说明）。</w:t>
      </w:r>
    </w:p>
    <w:p>
      <w:pPr>
        <w:spacing w:after="120" w:line="440" w:lineRule="exact"/>
        <w:ind w:left="4830"/>
        <w:rPr>
          <w:rFonts w:ascii="宋体" w:hAnsi="宋体" w:cs="宋体"/>
          <w:b/>
          <w:u w:val="single"/>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ind w:firstLine="5494"/>
        <w:rPr>
          <w:rFonts w:ascii="宋体" w:hAnsi="宋体" w:cs="宋体"/>
          <w:sz w:val="24"/>
        </w:rPr>
      </w:pPr>
      <w:r>
        <w:rPr>
          <w:rFonts w:hint="eastAsia" w:ascii="宋体" w:hAnsi="宋体" w:cs="宋体"/>
          <w:sz w:val="24"/>
        </w:rPr>
        <w:t>投标人授权代表（签字）：</w:t>
      </w:r>
    </w:p>
    <w:p>
      <w:pPr>
        <w:spacing w:line="440" w:lineRule="exact"/>
        <w:ind w:firstLine="5494"/>
        <w:rPr>
          <w:rFonts w:ascii="宋体" w:hAnsi="宋体" w:cs="宋体"/>
          <w:sz w:val="24"/>
        </w:rPr>
      </w:pPr>
      <w:r>
        <w:rPr>
          <w:rFonts w:hint="eastAsia" w:ascii="宋体" w:hAnsi="宋体" w:cs="宋体"/>
          <w:sz w:val="24"/>
        </w:rPr>
        <w:t>日期：</w:t>
      </w: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sectPr>
          <w:pgSz w:w="11906" w:h="16838"/>
          <w:pgMar w:top="1134" w:right="1134" w:bottom="1134" w:left="1134" w:header="851" w:footer="992" w:gutter="0"/>
          <w:cols w:space="720" w:num="1"/>
          <w:titlePg/>
          <w:docGrid w:type="lines" w:linePitch="312" w:charSpace="0"/>
        </w:sectPr>
      </w:pPr>
    </w:p>
    <w:p>
      <w:pPr>
        <w:spacing w:line="440" w:lineRule="exact"/>
        <w:rPr>
          <w:rFonts w:ascii="宋体" w:hAnsi="宋体" w:cs="宋体"/>
          <w:sz w:val="24"/>
          <w:szCs w:val="24"/>
        </w:rPr>
      </w:pPr>
      <w:r>
        <w:rPr>
          <w:rFonts w:hint="eastAsia" w:ascii="宋体" w:hAnsi="宋体" w:cs="宋体"/>
          <w:sz w:val="24"/>
          <w:szCs w:val="24"/>
        </w:rPr>
        <w:t>格式七   有依法缴纳社会保障资金的良好记录，提供距开标时间半年内任意一月份的依法缴纳社会保障资金的凭据复印件加盖公章</w:t>
      </w:r>
    </w:p>
    <w:p>
      <w:pPr>
        <w:spacing w:line="440" w:lineRule="exact"/>
        <w:rPr>
          <w:rFonts w:ascii="宋体" w:hAnsi="宋体" w:cs="宋体"/>
          <w:sz w:val="24"/>
          <w:szCs w:val="24"/>
        </w:rPr>
      </w:pPr>
    </w:p>
    <w:p>
      <w:pPr>
        <w:spacing w:line="440" w:lineRule="exact"/>
        <w:ind w:firstLine="5494"/>
        <w:rPr>
          <w:rFonts w:ascii="宋体" w:hAnsi="宋体" w:cs="宋体"/>
          <w:sz w:val="24"/>
          <w:szCs w:val="24"/>
        </w:rPr>
      </w:pPr>
      <w:r>
        <w:rPr>
          <w:rFonts w:hint="eastAsia" w:ascii="宋体" w:hAnsi="宋体" w:cs="宋体"/>
          <w:sz w:val="24"/>
          <w:szCs w:val="24"/>
        </w:rPr>
        <w:t>投标人授权代表（签字）：</w:t>
      </w:r>
    </w:p>
    <w:p>
      <w:pPr>
        <w:spacing w:line="440" w:lineRule="exact"/>
        <w:ind w:firstLine="5494"/>
        <w:rPr>
          <w:rFonts w:ascii="宋体" w:hAnsi="宋体" w:cs="宋体"/>
          <w:sz w:val="24"/>
          <w:szCs w:val="24"/>
        </w:rPr>
      </w:pPr>
      <w:r>
        <w:rPr>
          <w:rFonts w:hint="eastAsia" w:ascii="宋体" w:hAnsi="宋体" w:cs="宋体"/>
          <w:sz w:val="24"/>
          <w:szCs w:val="24"/>
        </w:rPr>
        <w:t>日期：</w:t>
      </w:r>
    </w:p>
    <w:p>
      <w:pPr>
        <w:spacing w:line="440" w:lineRule="exact"/>
        <w:rPr>
          <w:rFonts w:ascii="宋体" w:hAnsi="宋体" w:cs="宋体"/>
          <w:sz w:val="24"/>
          <w:szCs w:val="24"/>
        </w:rPr>
      </w:pPr>
    </w:p>
    <w:p>
      <w:pPr>
        <w:spacing w:line="440" w:lineRule="exact"/>
        <w:rPr>
          <w:rFonts w:ascii="宋体" w:hAnsi="宋体" w:cs="宋体"/>
          <w:sz w:val="24"/>
          <w:szCs w:val="24"/>
        </w:rPr>
      </w:pPr>
      <w:r>
        <w:rPr>
          <w:rFonts w:hint="eastAsia" w:ascii="宋体" w:hAnsi="宋体" w:cs="宋体"/>
          <w:sz w:val="24"/>
          <w:szCs w:val="24"/>
        </w:rPr>
        <w:t>格式八  投标人认为其需要提供的其他资格证明文件。</w:t>
      </w:r>
    </w:p>
    <w:p>
      <w:pPr>
        <w:spacing w:line="440" w:lineRule="exact"/>
        <w:rPr>
          <w:rFonts w:ascii="宋体" w:hAnsi="宋体" w:cs="宋体"/>
          <w:b/>
        </w:rPr>
      </w:pPr>
    </w:p>
    <w:p>
      <w:pPr>
        <w:spacing w:line="440" w:lineRule="exact"/>
        <w:rPr>
          <w:rFonts w:ascii="宋体" w:hAnsi="宋体" w:cs="宋体"/>
          <w:b/>
        </w:rPr>
      </w:pPr>
    </w:p>
    <w:p>
      <w:pPr>
        <w:spacing w:line="440" w:lineRule="exact"/>
        <w:ind w:firstLine="5494"/>
        <w:rPr>
          <w:rFonts w:ascii="宋体" w:hAnsi="宋体" w:cs="宋体"/>
          <w:sz w:val="24"/>
        </w:rPr>
      </w:pPr>
      <w:r>
        <w:rPr>
          <w:rFonts w:hint="eastAsia" w:ascii="宋体" w:hAnsi="宋体" w:cs="宋体"/>
          <w:sz w:val="24"/>
        </w:rPr>
        <w:t>投标人授权代表（签字）：</w:t>
      </w:r>
    </w:p>
    <w:p>
      <w:pPr>
        <w:spacing w:line="440" w:lineRule="exact"/>
        <w:ind w:firstLine="5494"/>
        <w:rPr>
          <w:rFonts w:ascii="宋体" w:hAnsi="宋体" w:cs="宋体"/>
          <w:sz w:val="24"/>
        </w:rPr>
      </w:pPr>
      <w:r>
        <w:rPr>
          <w:rFonts w:hint="eastAsia" w:ascii="宋体" w:hAnsi="宋体" w:cs="宋体"/>
          <w:sz w:val="24"/>
        </w:rPr>
        <w:t>日期：</w:t>
      </w:r>
    </w:p>
    <w:p>
      <w:pPr>
        <w:spacing w:line="440" w:lineRule="exact"/>
        <w:jc w:val="left"/>
      </w:pPr>
    </w:p>
    <w:p/>
    <w:sectPr>
      <w:footerReference r:id="rId14" w:type="first"/>
      <w:footerReference r:id="rId13" w:type="default"/>
      <w:pgSz w:w="11906" w:h="16838"/>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Formata">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Microsoft New Tai Lue">
    <w:panose1 w:val="020B0502040204020203"/>
    <w:charset w:val="00"/>
    <w:family w:val="swiss"/>
    <w:pitch w:val="default"/>
    <w:sig w:usb0="00000003" w:usb1="00000000" w:usb2="8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1"/>
      </w:rPr>
    </w:pPr>
  </w:p>
  <w:p>
    <w:pPr>
      <w:pStyle w:val="22"/>
      <w:framePr w:wrap="around" w:vAnchor="text" w:hAnchor="page" w:x="6104" w:y="52"/>
      <w:rPr>
        <w:rStyle w:val="41"/>
      </w:rPr>
    </w:pPr>
  </w:p>
  <w:p>
    <w:pPr>
      <w:pStyle w:val="22"/>
      <w:jc w:val="center"/>
      <w:rPr>
        <w:kern w:val="0"/>
        <w:sz w:val="24"/>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1"/>
      </w:rPr>
    </w:pPr>
  </w:p>
  <w:p>
    <w:pPr>
      <w:pStyle w:val="22"/>
      <w:framePr w:wrap="around" w:vAnchor="text" w:hAnchor="page" w:x="6104" w:y="52"/>
      <w:rPr>
        <w:rStyle w:val="41"/>
      </w:rPr>
    </w:pPr>
  </w:p>
  <w:p>
    <w:pPr>
      <w:pStyle w:val="22"/>
      <w:jc w:val="center"/>
      <w:rPr>
        <w:kern w:val="0"/>
        <w:sz w:val="24"/>
        <w:szCs w:val="21"/>
      </w:rPr>
    </w:pPr>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2"/>
                            <w:jc w:val="center"/>
                          </w:pPr>
                          <w:r>
                            <w:rPr>
                              <w:rFonts w:hint="eastAsia"/>
                            </w:rPr>
                            <w:t xml:space="preserve">第 </w:t>
                          </w:r>
                          <w:r>
                            <w:fldChar w:fldCharType="begin"/>
                          </w:r>
                          <w:r>
                            <w:instrText xml:space="preserve"> PAGE  \* MERGEFORMAT </w:instrText>
                          </w:r>
                          <w:r>
                            <w:fldChar w:fldCharType="separate"/>
                          </w:r>
                          <w:r>
                            <w:t>46</w:t>
                          </w:r>
                          <w:r>
                            <w:fldChar w:fldCharType="end"/>
                          </w:r>
                          <w:r>
                            <w:rPr>
                              <w:rFonts w:hint="eastAsia"/>
                            </w:rPr>
                            <w:t xml:space="preserve"> 页 共 43 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UeUCU9UBAACmAwAADgAAAAAAAAABACAA&#10;AAAiAQAAZHJzL2Uyb0RvYy54bWxQSwUGAAAAAAYABgBZAQAAaQUAAAAA&#10;">
              <v:fill on="f" focussize="0,0"/>
              <v:stroke on="f" weight="1.25pt"/>
              <v:imagedata o:title=""/>
              <o:lock v:ext="edit" aspectratio="f"/>
              <v:textbox inset="0mm,0mm,0mm,0mm" style="mso-fit-shape-to-text:t;">
                <w:txbxContent>
                  <w:p>
                    <w:pPr>
                      <w:pStyle w:val="22"/>
                      <w:jc w:val="center"/>
                    </w:pPr>
                    <w:r>
                      <w:rPr>
                        <w:rFonts w:hint="eastAsia"/>
                      </w:rPr>
                      <w:t xml:space="preserve">第 </w:t>
                    </w:r>
                    <w:r>
                      <w:fldChar w:fldCharType="begin"/>
                    </w:r>
                    <w:r>
                      <w:instrText xml:space="preserve"> PAGE  \* MERGEFORMAT </w:instrText>
                    </w:r>
                    <w:r>
                      <w:fldChar w:fldCharType="separate"/>
                    </w:r>
                    <w:r>
                      <w:t>46</w:t>
                    </w:r>
                    <w:r>
                      <w:fldChar w:fldCharType="end"/>
                    </w:r>
                    <w:r>
                      <w:rPr>
                        <w:rFonts w:hint="eastAsia"/>
                      </w:rPr>
                      <w:t xml:space="preserve"> 页 共 43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53</w:t>
    </w:r>
    <w:r>
      <w:rPr>
        <w:lang w:val="zh-CN"/>
      </w:rPr>
      <w:fldChar w:fldCharType="end"/>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1SNf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hkMvcD/ztMeI4ecrUYYSdGuPzZZ7TqqX9+NfPVY+/&#10;1/Y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BS1SNfTAQAApgMAAA4AAAAAAAAAAQAgAAAA&#10;IgEAAGRycy9lMm9Eb2MueG1sUEsFBgAAAAAGAAYAWQEAAGcFAAAAAA==&#10;">
              <v:fill on="f" focussize="0,0"/>
              <v:stroke on="f" weight="1.2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jc w:val="center"/>
      <w:rPr>
        <w:kern w:val="0"/>
        <w:sz w:val="24"/>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32</w:t>
    </w:r>
    <w:r>
      <w:rPr>
        <w:lang w:val="zh-CN"/>
      </w:rPr>
      <w:fldChar w:fldCharType="end"/>
    </w:r>
  </w:p>
  <w:p>
    <w:pPr>
      <w:pStyle w:val="22"/>
      <w:jc w:val="center"/>
      <w:rPr>
        <w:kern w:val="0"/>
        <w:sz w:val="24"/>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19</w:t>
    </w:r>
    <w:r>
      <w:rPr>
        <w:lang w:val="zh-CN"/>
      </w:rPr>
      <w:fldChar w:fldCharType="end"/>
    </w:r>
  </w:p>
  <w:p>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41"/>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w:t>
                          </w:r>
                          <w:r>
                            <w:rPr>
                              <w:sz w:val="18"/>
                            </w:rPr>
                            <w:fldChar w:fldCharType="begin"/>
                          </w:r>
                          <w:r>
                            <w:rPr>
                              <w:sz w:val="18"/>
                            </w:rPr>
                            <w:instrText xml:space="preserve"> NUMPAGES  \* MERGEFORMAT </w:instrText>
                          </w:r>
                          <w:r>
                            <w:rPr>
                              <w:sz w:val="18"/>
                            </w:rPr>
                            <w:fldChar w:fldCharType="separate"/>
                          </w:r>
                          <w:r>
                            <w:rPr>
                              <w:sz w:val="18"/>
                            </w:rPr>
                            <w:t>54</w:t>
                          </w:r>
                          <w:r>
                            <w:rPr>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TTp/81AEAAKYDAAAOAAAAAAAAAAEAIAAA&#10;ACIBAABkcnMvZTJvRG9jLnhtbFBLBQYAAAAABgAGAFkBAABoBQAAAAA=&#10;">
              <v:fill on="f" focussize="0,0"/>
              <v:stroke on="f" weight="1.2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w:t>
                    </w:r>
                    <w:r>
                      <w:rPr>
                        <w:sz w:val="18"/>
                      </w:rPr>
                      <w:fldChar w:fldCharType="begin"/>
                    </w:r>
                    <w:r>
                      <w:rPr>
                        <w:sz w:val="18"/>
                      </w:rPr>
                      <w:instrText xml:space="preserve"> NUMPAGES  \* MERGEFORMAT </w:instrText>
                    </w:r>
                    <w:r>
                      <w:rPr>
                        <w:sz w:val="18"/>
                      </w:rPr>
                      <w:fldChar w:fldCharType="separate"/>
                    </w:r>
                    <w:r>
                      <w:rPr>
                        <w:sz w:val="18"/>
                      </w:rPr>
                      <w:t>54</w:t>
                    </w:r>
                    <w:r>
                      <w:rPr>
                        <w:sz w:val="18"/>
                      </w:rPr>
                      <w:fldChar w:fldCharType="end"/>
                    </w:r>
                    <w:r>
                      <w:rPr>
                        <w:rFonts w:hint="eastAsia"/>
                        <w:sz w:val="18"/>
                      </w:rPr>
                      <w:t xml:space="preserve"> 页</w:t>
                    </w:r>
                  </w:p>
                </w:txbxContent>
              </v:textbox>
            </v:shape>
          </w:pict>
        </mc:Fallback>
      </mc:AlternateContent>
    </w:r>
  </w:p>
  <w:p>
    <w:pPr>
      <w:pStyle w:val="22"/>
      <w:framePr w:wrap="around" w:vAnchor="text" w:hAnchor="page" w:x="6104" w:y="52"/>
      <w:rPr>
        <w:rStyle w:val="41"/>
      </w:rPr>
    </w:pPr>
  </w:p>
  <w:p>
    <w:pPr>
      <w:pStyle w:val="22"/>
      <w:jc w:val="center"/>
      <w:rPr>
        <w:kern w:val="0"/>
        <w:sz w:val="24"/>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33</w:t>
    </w:r>
    <w:r>
      <w:rPr>
        <w:lang w:val="zh-CN"/>
      </w:rPr>
      <w:fldChar w:fldCharType="end"/>
    </w:r>
  </w:p>
  <w:p>
    <w:pPr>
      <w:pStyle w:val="2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1"/>
      </w:rPr>
    </w:pPr>
  </w:p>
  <w:p>
    <w:pPr>
      <w:pStyle w:val="22"/>
      <w:framePr w:wrap="around" w:vAnchor="text" w:hAnchor="page" w:x="6104" w:y="52"/>
      <w:rPr>
        <w:rStyle w:val="41"/>
      </w:rPr>
    </w:pPr>
  </w:p>
  <w:p>
    <w:pPr>
      <w:pStyle w:val="22"/>
      <w:jc w:val="center"/>
      <w:rPr>
        <w:kern w:val="0"/>
        <w:sz w:val="24"/>
        <w:szCs w:val="21"/>
      </w:rPr>
    </w:pPr>
    <w:r>
      <w:rPr>
        <w:sz w:val="2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2"/>
                            <w:jc w:val="center"/>
                          </w:pPr>
                          <w:r>
                            <w:rPr>
                              <w:rFonts w:hint="eastAsia"/>
                            </w:rPr>
                            <w:t xml:space="preserve">第 </w:t>
                          </w:r>
                          <w:r>
                            <w:fldChar w:fldCharType="begin"/>
                          </w:r>
                          <w:r>
                            <w:instrText xml:space="preserve"> PAGE  \* MERGEFORMAT </w:instrText>
                          </w:r>
                          <w:r>
                            <w:fldChar w:fldCharType="separate"/>
                          </w:r>
                          <w:r>
                            <w:t>46</w:t>
                          </w:r>
                          <w:r>
                            <w:fldChar w:fldCharType="end"/>
                          </w:r>
                          <w:r>
                            <w:rPr>
                              <w:rFonts w:hint="eastAsia"/>
                            </w:rPr>
                            <w:t xml:space="preserve"> 页 共 43 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oaYJL0wAAAAUBAAAPAAAAAAAAAAEA&#10;IAAAACIAAABkcnMvZG93bnJldi54bWxQSwECFAAUAAAACACHTuJAiL9RL9sBAAC0AwAADgAAAAAA&#10;AAABACAAAAAiAQAAZHJzL2Uyb0RvYy54bWxQSwUGAAAAAAYABgBZAQAAbwUAAAAA&#10;">
              <v:fill on="f" focussize="0,0"/>
              <v:stroke on="f" weight="1.25pt"/>
              <v:imagedata o:title=""/>
              <o:lock v:ext="edit" aspectratio="f"/>
              <v:textbox inset="0mm,0mm,0mm,0mm" style="mso-fit-shape-to-text:t;">
                <w:txbxContent>
                  <w:p>
                    <w:pPr>
                      <w:pStyle w:val="22"/>
                      <w:jc w:val="center"/>
                    </w:pPr>
                    <w:r>
                      <w:rPr>
                        <w:rFonts w:hint="eastAsia"/>
                      </w:rPr>
                      <w:t xml:space="preserve">第 </w:t>
                    </w:r>
                    <w:r>
                      <w:fldChar w:fldCharType="begin"/>
                    </w:r>
                    <w:r>
                      <w:instrText xml:space="preserve"> PAGE  \* MERGEFORMAT </w:instrText>
                    </w:r>
                    <w:r>
                      <w:fldChar w:fldCharType="separate"/>
                    </w:r>
                    <w:r>
                      <w:t>46</w:t>
                    </w:r>
                    <w:r>
                      <w:fldChar w:fldCharType="end"/>
                    </w:r>
                    <w:r>
                      <w:rPr>
                        <w:rFonts w:hint="eastAsia"/>
                      </w:rPr>
                      <w:t xml:space="preserve"> 页 共 43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35</w:t>
    </w:r>
    <w:r>
      <w:rPr>
        <w:lang w:val="zh-CN"/>
      </w:rP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rPr>
        <w:sz w:val="21"/>
      </w:rPr>
    </w:pPr>
    <w:r>
      <w:rPr>
        <w:rFonts w:hint="eastAsia"/>
      </w:rPr>
      <w:t>苏美达国际技术贸易有限公司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AEC71"/>
    <w:multiLevelType w:val="singleLevel"/>
    <w:tmpl w:val="9ADAEC71"/>
    <w:lvl w:ilvl="0" w:tentative="0">
      <w:start w:val="2"/>
      <w:numFmt w:val="decimal"/>
      <w:suff w:val="space"/>
      <w:lvlText w:val="%1）"/>
      <w:lvlJc w:val="left"/>
    </w:lvl>
  </w:abstractNum>
  <w:abstractNum w:abstractNumId="1">
    <w:nsid w:val="00000004"/>
    <w:multiLevelType w:val="multilevel"/>
    <w:tmpl w:val="00000004"/>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6"/>
    <w:multiLevelType w:val="multilevel"/>
    <w:tmpl w:val="00000006"/>
    <w:lvl w:ilvl="0" w:tentative="0">
      <w:start w:val="1"/>
      <w:numFmt w:val="japaneseCounting"/>
      <w:lvlText w:val="%1、"/>
      <w:lvlJc w:val="left"/>
      <w:pPr>
        <w:ind w:left="510" w:hanging="51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8"/>
    <w:multiLevelType w:val="multilevel"/>
    <w:tmpl w:val="000000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A"/>
    <w:multiLevelType w:val="multilevel"/>
    <w:tmpl w:val="0000000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C"/>
    <w:multiLevelType w:val="multilevel"/>
    <w:tmpl w:val="0000000C"/>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5"/>
    <w:multiLevelType w:val="multilevel"/>
    <w:tmpl w:val="00000015"/>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8"/>
    <w:multiLevelType w:val="multilevel"/>
    <w:tmpl w:val="000000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1B36166"/>
    <w:multiLevelType w:val="multilevel"/>
    <w:tmpl w:val="01B36166"/>
    <w:lvl w:ilvl="0" w:tentative="0">
      <w:start w:val="4"/>
      <w:numFmt w:val="decimal"/>
      <w:lvlText w:val="%1"/>
      <w:lvlJc w:val="left"/>
      <w:pPr>
        <w:ind w:left="560" w:hanging="560"/>
      </w:pPr>
      <w:rPr>
        <w:rFonts w:hint="default"/>
      </w:rPr>
    </w:lvl>
    <w:lvl w:ilvl="1" w:tentative="0">
      <w:start w:val="2"/>
      <w:numFmt w:val="decimal"/>
      <w:lvlText w:val="%1.%2"/>
      <w:lvlJc w:val="left"/>
      <w:pPr>
        <w:ind w:left="560" w:hanging="56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04957C99"/>
    <w:multiLevelType w:val="singleLevel"/>
    <w:tmpl w:val="04957C99"/>
    <w:lvl w:ilvl="0" w:tentative="0">
      <w:start w:val="1"/>
      <w:numFmt w:val="decimal"/>
      <w:lvlText w:val="（%1）"/>
      <w:lvlJc w:val="left"/>
      <w:pPr>
        <w:tabs>
          <w:tab w:val="left" w:pos="600"/>
        </w:tabs>
        <w:ind w:left="600" w:hanging="600"/>
      </w:pPr>
      <w:rPr>
        <w:rFonts w:hint="eastAsia"/>
      </w:rPr>
    </w:lvl>
  </w:abstractNum>
  <w:abstractNum w:abstractNumId="10">
    <w:nsid w:val="11741744"/>
    <w:multiLevelType w:val="singleLevel"/>
    <w:tmpl w:val="11741744"/>
    <w:lvl w:ilvl="0" w:tentative="0">
      <w:start w:val="4"/>
      <w:numFmt w:val="chineseCounting"/>
      <w:suff w:val="space"/>
      <w:lvlText w:val="第%1章"/>
      <w:lvlJc w:val="left"/>
      <w:rPr>
        <w:rFonts w:hint="eastAsia"/>
      </w:rPr>
    </w:lvl>
  </w:abstractNum>
  <w:abstractNum w:abstractNumId="11">
    <w:nsid w:val="29A00DC9"/>
    <w:multiLevelType w:val="singleLevel"/>
    <w:tmpl w:val="29A00DC9"/>
    <w:lvl w:ilvl="0" w:tentative="0">
      <w:start w:val="1"/>
      <w:numFmt w:val="decimal"/>
      <w:suff w:val="nothing"/>
      <w:lvlText w:val="%1、"/>
      <w:lvlJc w:val="left"/>
      <w:rPr>
        <w:rFonts w:cs="Times New Roman"/>
      </w:rPr>
    </w:lvl>
  </w:abstractNum>
  <w:num w:numId="1">
    <w:abstractNumId w:val="9"/>
  </w:num>
  <w:num w:numId="2">
    <w:abstractNumId w:val="11"/>
  </w:num>
  <w:num w:numId="3">
    <w:abstractNumId w:val="10"/>
  </w:num>
  <w:num w:numId="4">
    <w:abstractNumId w:val="2"/>
  </w:num>
  <w:num w:numId="5">
    <w:abstractNumId w:val="8"/>
  </w:num>
  <w:num w:numId="6">
    <w:abstractNumId w:val="6"/>
  </w:num>
  <w:num w:numId="7">
    <w:abstractNumId w:val="4"/>
  </w:num>
  <w:num w:numId="8">
    <w:abstractNumId w:val="5"/>
  </w:num>
  <w:num w:numId="9">
    <w:abstractNumId w:val="3"/>
  </w:num>
  <w:num w:numId="10">
    <w:abstractNumId w:val="1"/>
  </w:num>
  <w:num w:numId="11">
    <w:abstractNumId w:val="7"/>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5"/>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5MmY0MzU5ZjljMmRjNTBlZmU2NjA0YzcwODBmZTUifQ=="/>
  </w:docVars>
  <w:rsids>
    <w:rsidRoot w:val="00172A27"/>
    <w:rsid w:val="00001484"/>
    <w:rsid w:val="00001B18"/>
    <w:rsid w:val="00001CF2"/>
    <w:rsid w:val="00014006"/>
    <w:rsid w:val="0001433D"/>
    <w:rsid w:val="00015F57"/>
    <w:rsid w:val="00017B97"/>
    <w:rsid w:val="00022BDC"/>
    <w:rsid w:val="00023811"/>
    <w:rsid w:val="000357F8"/>
    <w:rsid w:val="00037BB8"/>
    <w:rsid w:val="00037C6A"/>
    <w:rsid w:val="0004146D"/>
    <w:rsid w:val="00043B48"/>
    <w:rsid w:val="00051115"/>
    <w:rsid w:val="000562AD"/>
    <w:rsid w:val="00056C3C"/>
    <w:rsid w:val="00060335"/>
    <w:rsid w:val="00062406"/>
    <w:rsid w:val="00065D59"/>
    <w:rsid w:val="00067E78"/>
    <w:rsid w:val="00081AB2"/>
    <w:rsid w:val="00092AE4"/>
    <w:rsid w:val="000953CE"/>
    <w:rsid w:val="000A02E0"/>
    <w:rsid w:val="000B1D3A"/>
    <w:rsid w:val="000B4BFA"/>
    <w:rsid w:val="000C1281"/>
    <w:rsid w:val="000C727B"/>
    <w:rsid w:val="000D158F"/>
    <w:rsid w:val="000D1765"/>
    <w:rsid w:val="000D613F"/>
    <w:rsid w:val="000E31EF"/>
    <w:rsid w:val="000E370C"/>
    <w:rsid w:val="000E7498"/>
    <w:rsid w:val="000F1BCC"/>
    <w:rsid w:val="000F2CFC"/>
    <w:rsid w:val="000F378A"/>
    <w:rsid w:val="000F5979"/>
    <w:rsid w:val="000F6C9F"/>
    <w:rsid w:val="00100BC0"/>
    <w:rsid w:val="00103CC1"/>
    <w:rsid w:val="00106785"/>
    <w:rsid w:val="00120C0C"/>
    <w:rsid w:val="0012180D"/>
    <w:rsid w:val="00127559"/>
    <w:rsid w:val="00136E40"/>
    <w:rsid w:val="001373F1"/>
    <w:rsid w:val="00146352"/>
    <w:rsid w:val="0014726D"/>
    <w:rsid w:val="001505AC"/>
    <w:rsid w:val="00150BFE"/>
    <w:rsid w:val="00153B94"/>
    <w:rsid w:val="00153E71"/>
    <w:rsid w:val="00172A27"/>
    <w:rsid w:val="00180F10"/>
    <w:rsid w:val="00181FB1"/>
    <w:rsid w:val="0018307B"/>
    <w:rsid w:val="00186762"/>
    <w:rsid w:val="0019468F"/>
    <w:rsid w:val="0019790D"/>
    <w:rsid w:val="001A0354"/>
    <w:rsid w:val="001A0415"/>
    <w:rsid w:val="001A07F7"/>
    <w:rsid w:val="001A0D61"/>
    <w:rsid w:val="001A6122"/>
    <w:rsid w:val="001B5969"/>
    <w:rsid w:val="001C1160"/>
    <w:rsid w:val="001D25F8"/>
    <w:rsid w:val="001D530E"/>
    <w:rsid w:val="001E05E8"/>
    <w:rsid w:val="001E06EB"/>
    <w:rsid w:val="001E5CA9"/>
    <w:rsid w:val="001F22C0"/>
    <w:rsid w:val="001F4085"/>
    <w:rsid w:val="001F4254"/>
    <w:rsid w:val="002039DF"/>
    <w:rsid w:val="002047A1"/>
    <w:rsid w:val="00204B7D"/>
    <w:rsid w:val="002111D5"/>
    <w:rsid w:val="00212268"/>
    <w:rsid w:val="00222A75"/>
    <w:rsid w:val="00230F51"/>
    <w:rsid w:val="00231D7A"/>
    <w:rsid w:val="00233C15"/>
    <w:rsid w:val="00237357"/>
    <w:rsid w:val="00252084"/>
    <w:rsid w:val="00252832"/>
    <w:rsid w:val="00253065"/>
    <w:rsid w:val="00275A6E"/>
    <w:rsid w:val="00283BA4"/>
    <w:rsid w:val="00291348"/>
    <w:rsid w:val="00293FCC"/>
    <w:rsid w:val="002C0772"/>
    <w:rsid w:val="002C0E66"/>
    <w:rsid w:val="002C5375"/>
    <w:rsid w:val="002C5975"/>
    <w:rsid w:val="002C6F76"/>
    <w:rsid w:val="002D5760"/>
    <w:rsid w:val="002E04BC"/>
    <w:rsid w:val="002E2D95"/>
    <w:rsid w:val="002E5725"/>
    <w:rsid w:val="002E5B43"/>
    <w:rsid w:val="002E5F65"/>
    <w:rsid w:val="002E6410"/>
    <w:rsid w:val="002F3DC4"/>
    <w:rsid w:val="002F6460"/>
    <w:rsid w:val="003022D7"/>
    <w:rsid w:val="00307427"/>
    <w:rsid w:val="003228DD"/>
    <w:rsid w:val="00323E49"/>
    <w:rsid w:val="00323F2F"/>
    <w:rsid w:val="00331313"/>
    <w:rsid w:val="00340615"/>
    <w:rsid w:val="00340C69"/>
    <w:rsid w:val="00344F6A"/>
    <w:rsid w:val="003532F9"/>
    <w:rsid w:val="003611AC"/>
    <w:rsid w:val="003661C7"/>
    <w:rsid w:val="00366A01"/>
    <w:rsid w:val="0037123A"/>
    <w:rsid w:val="00372EA3"/>
    <w:rsid w:val="0037447D"/>
    <w:rsid w:val="0037591C"/>
    <w:rsid w:val="00376190"/>
    <w:rsid w:val="003802E2"/>
    <w:rsid w:val="003816D4"/>
    <w:rsid w:val="0038735D"/>
    <w:rsid w:val="00392244"/>
    <w:rsid w:val="00392DBE"/>
    <w:rsid w:val="0039464E"/>
    <w:rsid w:val="0039523F"/>
    <w:rsid w:val="00395F82"/>
    <w:rsid w:val="003B1A3C"/>
    <w:rsid w:val="003B4355"/>
    <w:rsid w:val="003C0440"/>
    <w:rsid w:val="003C5C99"/>
    <w:rsid w:val="003C6077"/>
    <w:rsid w:val="003D168A"/>
    <w:rsid w:val="003D53D1"/>
    <w:rsid w:val="003E1BBD"/>
    <w:rsid w:val="003E38EA"/>
    <w:rsid w:val="003E7DB8"/>
    <w:rsid w:val="00406C88"/>
    <w:rsid w:val="00407AFC"/>
    <w:rsid w:val="0042221F"/>
    <w:rsid w:val="004239CC"/>
    <w:rsid w:val="00423F4C"/>
    <w:rsid w:val="00432A3B"/>
    <w:rsid w:val="00441407"/>
    <w:rsid w:val="00444359"/>
    <w:rsid w:val="00444E39"/>
    <w:rsid w:val="00454FA3"/>
    <w:rsid w:val="00462CE4"/>
    <w:rsid w:val="0047198D"/>
    <w:rsid w:val="00471CDF"/>
    <w:rsid w:val="00472512"/>
    <w:rsid w:val="00474021"/>
    <w:rsid w:val="00474630"/>
    <w:rsid w:val="0047603D"/>
    <w:rsid w:val="004868DB"/>
    <w:rsid w:val="00486BAB"/>
    <w:rsid w:val="004879B8"/>
    <w:rsid w:val="00490738"/>
    <w:rsid w:val="00491DC1"/>
    <w:rsid w:val="004A24F9"/>
    <w:rsid w:val="004A3495"/>
    <w:rsid w:val="004B3CBA"/>
    <w:rsid w:val="004B570B"/>
    <w:rsid w:val="004C7115"/>
    <w:rsid w:val="004D17E7"/>
    <w:rsid w:val="004E0380"/>
    <w:rsid w:val="004E0D01"/>
    <w:rsid w:val="004E236E"/>
    <w:rsid w:val="004E686C"/>
    <w:rsid w:val="004E70EC"/>
    <w:rsid w:val="004F7A99"/>
    <w:rsid w:val="004F7BCF"/>
    <w:rsid w:val="00505A83"/>
    <w:rsid w:val="0051274B"/>
    <w:rsid w:val="00512F60"/>
    <w:rsid w:val="00516087"/>
    <w:rsid w:val="00523D85"/>
    <w:rsid w:val="00530E8F"/>
    <w:rsid w:val="00533879"/>
    <w:rsid w:val="00536F53"/>
    <w:rsid w:val="00553869"/>
    <w:rsid w:val="005552AD"/>
    <w:rsid w:val="00557A9B"/>
    <w:rsid w:val="00560EDB"/>
    <w:rsid w:val="00564FC7"/>
    <w:rsid w:val="00570A04"/>
    <w:rsid w:val="00570A4C"/>
    <w:rsid w:val="00572E10"/>
    <w:rsid w:val="00573458"/>
    <w:rsid w:val="00573498"/>
    <w:rsid w:val="0057428F"/>
    <w:rsid w:val="00580A38"/>
    <w:rsid w:val="005A073F"/>
    <w:rsid w:val="005A279D"/>
    <w:rsid w:val="005A322A"/>
    <w:rsid w:val="005A3EB8"/>
    <w:rsid w:val="005A5A8C"/>
    <w:rsid w:val="005B0AB8"/>
    <w:rsid w:val="005B4D83"/>
    <w:rsid w:val="005B78A7"/>
    <w:rsid w:val="005C1018"/>
    <w:rsid w:val="005C1EB3"/>
    <w:rsid w:val="005D3224"/>
    <w:rsid w:val="005D4136"/>
    <w:rsid w:val="005E02F6"/>
    <w:rsid w:val="005E2CE8"/>
    <w:rsid w:val="005E5DF6"/>
    <w:rsid w:val="005E5F75"/>
    <w:rsid w:val="005F29AA"/>
    <w:rsid w:val="005F4301"/>
    <w:rsid w:val="005F67F5"/>
    <w:rsid w:val="005F74C5"/>
    <w:rsid w:val="00605740"/>
    <w:rsid w:val="006107B9"/>
    <w:rsid w:val="00612B3E"/>
    <w:rsid w:val="006176EE"/>
    <w:rsid w:val="00621946"/>
    <w:rsid w:val="00630EAF"/>
    <w:rsid w:val="00636321"/>
    <w:rsid w:val="00647359"/>
    <w:rsid w:val="00651049"/>
    <w:rsid w:val="00654448"/>
    <w:rsid w:val="00654A8B"/>
    <w:rsid w:val="00655321"/>
    <w:rsid w:val="006564E7"/>
    <w:rsid w:val="006601E5"/>
    <w:rsid w:val="00660690"/>
    <w:rsid w:val="0066139A"/>
    <w:rsid w:val="00665550"/>
    <w:rsid w:val="00673693"/>
    <w:rsid w:val="0067436C"/>
    <w:rsid w:val="00677569"/>
    <w:rsid w:val="00677D70"/>
    <w:rsid w:val="00680626"/>
    <w:rsid w:val="00685772"/>
    <w:rsid w:val="00692875"/>
    <w:rsid w:val="00694C7A"/>
    <w:rsid w:val="006A6686"/>
    <w:rsid w:val="006A7946"/>
    <w:rsid w:val="006B5FB9"/>
    <w:rsid w:val="006C4ACA"/>
    <w:rsid w:val="006C5705"/>
    <w:rsid w:val="006C6004"/>
    <w:rsid w:val="006D304A"/>
    <w:rsid w:val="006D6AE1"/>
    <w:rsid w:val="006E46EC"/>
    <w:rsid w:val="006E4FDD"/>
    <w:rsid w:val="006E532F"/>
    <w:rsid w:val="006E7A44"/>
    <w:rsid w:val="006F4B3E"/>
    <w:rsid w:val="00705B53"/>
    <w:rsid w:val="00706DE6"/>
    <w:rsid w:val="00707B9A"/>
    <w:rsid w:val="007154E2"/>
    <w:rsid w:val="00717EE8"/>
    <w:rsid w:val="00723104"/>
    <w:rsid w:val="00725FFF"/>
    <w:rsid w:val="0073390A"/>
    <w:rsid w:val="0073582B"/>
    <w:rsid w:val="007410A7"/>
    <w:rsid w:val="00746896"/>
    <w:rsid w:val="00746C48"/>
    <w:rsid w:val="0075356F"/>
    <w:rsid w:val="0076345F"/>
    <w:rsid w:val="00764114"/>
    <w:rsid w:val="00776566"/>
    <w:rsid w:val="007810BD"/>
    <w:rsid w:val="00781353"/>
    <w:rsid w:val="00782837"/>
    <w:rsid w:val="0078387C"/>
    <w:rsid w:val="00783E2F"/>
    <w:rsid w:val="007934A1"/>
    <w:rsid w:val="007A4B30"/>
    <w:rsid w:val="007B1550"/>
    <w:rsid w:val="007B5B7B"/>
    <w:rsid w:val="007C0246"/>
    <w:rsid w:val="007C1E53"/>
    <w:rsid w:val="007C2259"/>
    <w:rsid w:val="007C660A"/>
    <w:rsid w:val="007C7EAC"/>
    <w:rsid w:val="007D350D"/>
    <w:rsid w:val="007D616C"/>
    <w:rsid w:val="007D633F"/>
    <w:rsid w:val="007D7327"/>
    <w:rsid w:val="007E5F90"/>
    <w:rsid w:val="007F2356"/>
    <w:rsid w:val="007F2770"/>
    <w:rsid w:val="008004BE"/>
    <w:rsid w:val="0080760F"/>
    <w:rsid w:val="00817867"/>
    <w:rsid w:val="00823C91"/>
    <w:rsid w:val="00825302"/>
    <w:rsid w:val="008261DF"/>
    <w:rsid w:val="00834BE6"/>
    <w:rsid w:val="00836B85"/>
    <w:rsid w:val="008414B6"/>
    <w:rsid w:val="0084517B"/>
    <w:rsid w:val="00847DE1"/>
    <w:rsid w:val="00847E22"/>
    <w:rsid w:val="008516CE"/>
    <w:rsid w:val="0085463E"/>
    <w:rsid w:val="00854FCF"/>
    <w:rsid w:val="008563CD"/>
    <w:rsid w:val="00860E7F"/>
    <w:rsid w:val="008631C4"/>
    <w:rsid w:val="00863A3F"/>
    <w:rsid w:val="0086671D"/>
    <w:rsid w:val="00870057"/>
    <w:rsid w:val="00882260"/>
    <w:rsid w:val="0088495B"/>
    <w:rsid w:val="00891013"/>
    <w:rsid w:val="008932B2"/>
    <w:rsid w:val="00896123"/>
    <w:rsid w:val="008A05C2"/>
    <w:rsid w:val="008B3598"/>
    <w:rsid w:val="008E1700"/>
    <w:rsid w:val="008E3D14"/>
    <w:rsid w:val="008E531C"/>
    <w:rsid w:val="008E6228"/>
    <w:rsid w:val="008E7A3F"/>
    <w:rsid w:val="008F17AA"/>
    <w:rsid w:val="008F2BAD"/>
    <w:rsid w:val="008F2D0C"/>
    <w:rsid w:val="008F37F3"/>
    <w:rsid w:val="008F5511"/>
    <w:rsid w:val="008F6A10"/>
    <w:rsid w:val="009009B9"/>
    <w:rsid w:val="00920C13"/>
    <w:rsid w:val="00921108"/>
    <w:rsid w:val="00931011"/>
    <w:rsid w:val="00931A98"/>
    <w:rsid w:val="00942373"/>
    <w:rsid w:val="009502D9"/>
    <w:rsid w:val="00950AEE"/>
    <w:rsid w:val="009566C5"/>
    <w:rsid w:val="009636CD"/>
    <w:rsid w:val="00965083"/>
    <w:rsid w:val="00966716"/>
    <w:rsid w:val="0097285C"/>
    <w:rsid w:val="00973DE4"/>
    <w:rsid w:val="009803E8"/>
    <w:rsid w:val="00980AE2"/>
    <w:rsid w:val="00994518"/>
    <w:rsid w:val="00997C58"/>
    <w:rsid w:val="009A1F37"/>
    <w:rsid w:val="009A5917"/>
    <w:rsid w:val="009B1BC0"/>
    <w:rsid w:val="009B6F56"/>
    <w:rsid w:val="009C6EE4"/>
    <w:rsid w:val="009E32A5"/>
    <w:rsid w:val="009E77C4"/>
    <w:rsid w:val="009F170B"/>
    <w:rsid w:val="009F1AB9"/>
    <w:rsid w:val="009F5E9F"/>
    <w:rsid w:val="00A004D6"/>
    <w:rsid w:val="00A01D75"/>
    <w:rsid w:val="00A03B5C"/>
    <w:rsid w:val="00A07222"/>
    <w:rsid w:val="00A10CCC"/>
    <w:rsid w:val="00A2692A"/>
    <w:rsid w:val="00A26EDA"/>
    <w:rsid w:val="00A4793A"/>
    <w:rsid w:val="00A50BAE"/>
    <w:rsid w:val="00A54DDC"/>
    <w:rsid w:val="00A55377"/>
    <w:rsid w:val="00A56454"/>
    <w:rsid w:val="00A6026D"/>
    <w:rsid w:val="00A652AE"/>
    <w:rsid w:val="00A65EEC"/>
    <w:rsid w:val="00A72E84"/>
    <w:rsid w:val="00A773F0"/>
    <w:rsid w:val="00A77ED2"/>
    <w:rsid w:val="00A80988"/>
    <w:rsid w:val="00A928A6"/>
    <w:rsid w:val="00AA3E28"/>
    <w:rsid w:val="00AA4608"/>
    <w:rsid w:val="00AA5F01"/>
    <w:rsid w:val="00AB2C2B"/>
    <w:rsid w:val="00AB395D"/>
    <w:rsid w:val="00AC6CA1"/>
    <w:rsid w:val="00AD0CA8"/>
    <w:rsid w:val="00AD156E"/>
    <w:rsid w:val="00AE2A7B"/>
    <w:rsid w:val="00AF1FD6"/>
    <w:rsid w:val="00AF4D0F"/>
    <w:rsid w:val="00B02CEC"/>
    <w:rsid w:val="00B06432"/>
    <w:rsid w:val="00B12643"/>
    <w:rsid w:val="00B13B4A"/>
    <w:rsid w:val="00B13C0E"/>
    <w:rsid w:val="00B1707F"/>
    <w:rsid w:val="00B23898"/>
    <w:rsid w:val="00B24246"/>
    <w:rsid w:val="00B3230A"/>
    <w:rsid w:val="00B36E5A"/>
    <w:rsid w:val="00B371F4"/>
    <w:rsid w:val="00B4131C"/>
    <w:rsid w:val="00B425CA"/>
    <w:rsid w:val="00B43FBB"/>
    <w:rsid w:val="00B448CB"/>
    <w:rsid w:val="00B4610A"/>
    <w:rsid w:val="00B60939"/>
    <w:rsid w:val="00B615CA"/>
    <w:rsid w:val="00B64A00"/>
    <w:rsid w:val="00B66EFE"/>
    <w:rsid w:val="00B7470F"/>
    <w:rsid w:val="00B814E5"/>
    <w:rsid w:val="00B86F85"/>
    <w:rsid w:val="00B9025A"/>
    <w:rsid w:val="00B91D4F"/>
    <w:rsid w:val="00B92ADC"/>
    <w:rsid w:val="00B94ED3"/>
    <w:rsid w:val="00BA194B"/>
    <w:rsid w:val="00BA2560"/>
    <w:rsid w:val="00BA35E8"/>
    <w:rsid w:val="00BA5660"/>
    <w:rsid w:val="00BB1985"/>
    <w:rsid w:val="00BB553C"/>
    <w:rsid w:val="00BC5514"/>
    <w:rsid w:val="00BD23B1"/>
    <w:rsid w:val="00BF15B7"/>
    <w:rsid w:val="00C00319"/>
    <w:rsid w:val="00C03DC2"/>
    <w:rsid w:val="00C12A5C"/>
    <w:rsid w:val="00C20003"/>
    <w:rsid w:val="00C255AF"/>
    <w:rsid w:val="00C300C3"/>
    <w:rsid w:val="00C352A7"/>
    <w:rsid w:val="00C40604"/>
    <w:rsid w:val="00C50648"/>
    <w:rsid w:val="00C51DF2"/>
    <w:rsid w:val="00C56077"/>
    <w:rsid w:val="00C57843"/>
    <w:rsid w:val="00C63DC4"/>
    <w:rsid w:val="00C63E1A"/>
    <w:rsid w:val="00C732ED"/>
    <w:rsid w:val="00C7671C"/>
    <w:rsid w:val="00C821D2"/>
    <w:rsid w:val="00C83365"/>
    <w:rsid w:val="00C83DB4"/>
    <w:rsid w:val="00C85C96"/>
    <w:rsid w:val="00C963AB"/>
    <w:rsid w:val="00CA04A7"/>
    <w:rsid w:val="00CB2788"/>
    <w:rsid w:val="00CB4E40"/>
    <w:rsid w:val="00CB6F51"/>
    <w:rsid w:val="00CC03EB"/>
    <w:rsid w:val="00CC0BAC"/>
    <w:rsid w:val="00CC5431"/>
    <w:rsid w:val="00CD3BAC"/>
    <w:rsid w:val="00CF040F"/>
    <w:rsid w:val="00CF63F3"/>
    <w:rsid w:val="00D05064"/>
    <w:rsid w:val="00D05EEB"/>
    <w:rsid w:val="00D073B8"/>
    <w:rsid w:val="00D07CBD"/>
    <w:rsid w:val="00D10201"/>
    <w:rsid w:val="00D16489"/>
    <w:rsid w:val="00D21D5C"/>
    <w:rsid w:val="00D22C93"/>
    <w:rsid w:val="00D2467A"/>
    <w:rsid w:val="00D355F8"/>
    <w:rsid w:val="00D35BA9"/>
    <w:rsid w:val="00D44E32"/>
    <w:rsid w:val="00D45483"/>
    <w:rsid w:val="00D47176"/>
    <w:rsid w:val="00D5149A"/>
    <w:rsid w:val="00D55F46"/>
    <w:rsid w:val="00D56C0C"/>
    <w:rsid w:val="00D628D3"/>
    <w:rsid w:val="00D70B29"/>
    <w:rsid w:val="00D71D10"/>
    <w:rsid w:val="00D74C4D"/>
    <w:rsid w:val="00D74FB2"/>
    <w:rsid w:val="00D82AB0"/>
    <w:rsid w:val="00D83E63"/>
    <w:rsid w:val="00D841D3"/>
    <w:rsid w:val="00D910F9"/>
    <w:rsid w:val="00D936F7"/>
    <w:rsid w:val="00D96437"/>
    <w:rsid w:val="00DA0896"/>
    <w:rsid w:val="00DA2C48"/>
    <w:rsid w:val="00DB3B83"/>
    <w:rsid w:val="00DB4376"/>
    <w:rsid w:val="00DC25D9"/>
    <w:rsid w:val="00DC500D"/>
    <w:rsid w:val="00DC73EF"/>
    <w:rsid w:val="00DD75F8"/>
    <w:rsid w:val="00DE63BF"/>
    <w:rsid w:val="00DF0EA6"/>
    <w:rsid w:val="00DF2FA4"/>
    <w:rsid w:val="00DF3481"/>
    <w:rsid w:val="00DF7447"/>
    <w:rsid w:val="00E0025F"/>
    <w:rsid w:val="00E00F4D"/>
    <w:rsid w:val="00E063C6"/>
    <w:rsid w:val="00E1183F"/>
    <w:rsid w:val="00E12249"/>
    <w:rsid w:val="00E12627"/>
    <w:rsid w:val="00E15158"/>
    <w:rsid w:val="00E176F7"/>
    <w:rsid w:val="00E210CB"/>
    <w:rsid w:val="00E268A6"/>
    <w:rsid w:val="00E443F6"/>
    <w:rsid w:val="00E47920"/>
    <w:rsid w:val="00E51EE1"/>
    <w:rsid w:val="00E53D5B"/>
    <w:rsid w:val="00E57E10"/>
    <w:rsid w:val="00E62DDA"/>
    <w:rsid w:val="00E72B94"/>
    <w:rsid w:val="00E7370E"/>
    <w:rsid w:val="00E84F1B"/>
    <w:rsid w:val="00E95FD6"/>
    <w:rsid w:val="00E96F40"/>
    <w:rsid w:val="00EA5FCC"/>
    <w:rsid w:val="00EA71F1"/>
    <w:rsid w:val="00EA7F46"/>
    <w:rsid w:val="00EB17A7"/>
    <w:rsid w:val="00EB56FB"/>
    <w:rsid w:val="00EB7E7D"/>
    <w:rsid w:val="00EC28F6"/>
    <w:rsid w:val="00EC3508"/>
    <w:rsid w:val="00EC723F"/>
    <w:rsid w:val="00EC79E3"/>
    <w:rsid w:val="00ED066F"/>
    <w:rsid w:val="00EE150B"/>
    <w:rsid w:val="00EE50B7"/>
    <w:rsid w:val="00EF0E47"/>
    <w:rsid w:val="00F02877"/>
    <w:rsid w:val="00F03290"/>
    <w:rsid w:val="00F05CD9"/>
    <w:rsid w:val="00F071FC"/>
    <w:rsid w:val="00F11A25"/>
    <w:rsid w:val="00F12D22"/>
    <w:rsid w:val="00F17261"/>
    <w:rsid w:val="00F30B73"/>
    <w:rsid w:val="00F3144F"/>
    <w:rsid w:val="00F34CD7"/>
    <w:rsid w:val="00F404AC"/>
    <w:rsid w:val="00F405BE"/>
    <w:rsid w:val="00F478F0"/>
    <w:rsid w:val="00F5620D"/>
    <w:rsid w:val="00F624A9"/>
    <w:rsid w:val="00F62F89"/>
    <w:rsid w:val="00F64CE5"/>
    <w:rsid w:val="00F72769"/>
    <w:rsid w:val="00F7368E"/>
    <w:rsid w:val="00F748DB"/>
    <w:rsid w:val="00F75033"/>
    <w:rsid w:val="00F830BB"/>
    <w:rsid w:val="00F9313C"/>
    <w:rsid w:val="00F945C7"/>
    <w:rsid w:val="00F969C1"/>
    <w:rsid w:val="00FA2529"/>
    <w:rsid w:val="00FA2B86"/>
    <w:rsid w:val="00FA7BB6"/>
    <w:rsid w:val="00FB2A07"/>
    <w:rsid w:val="00FB3F07"/>
    <w:rsid w:val="00FC1842"/>
    <w:rsid w:val="00FC3CBB"/>
    <w:rsid w:val="00FD09AD"/>
    <w:rsid w:val="00FD189E"/>
    <w:rsid w:val="00FD5688"/>
    <w:rsid w:val="00FD7635"/>
    <w:rsid w:val="00FF22FD"/>
    <w:rsid w:val="00FF24E0"/>
    <w:rsid w:val="01807EBE"/>
    <w:rsid w:val="018A29D3"/>
    <w:rsid w:val="01964B3F"/>
    <w:rsid w:val="01AC4E63"/>
    <w:rsid w:val="01C46119"/>
    <w:rsid w:val="01C71997"/>
    <w:rsid w:val="01D17056"/>
    <w:rsid w:val="01E811AC"/>
    <w:rsid w:val="01F82835"/>
    <w:rsid w:val="028C360B"/>
    <w:rsid w:val="02B35CC5"/>
    <w:rsid w:val="02CA131B"/>
    <w:rsid w:val="02D866DB"/>
    <w:rsid w:val="03210DEB"/>
    <w:rsid w:val="03447457"/>
    <w:rsid w:val="03990B73"/>
    <w:rsid w:val="039A197F"/>
    <w:rsid w:val="03F32F19"/>
    <w:rsid w:val="04253FDA"/>
    <w:rsid w:val="04317186"/>
    <w:rsid w:val="044261C2"/>
    <w:rsid w:val="0493460E"/>
    <w:rsid w:val="04B5301F"/>
    <w:rsid w:val="04D059AE"/>
    <w:rsid w:val="04DC5ED1"/>
    <w:rsid w:val="05183BA4"/>
    <w:rsid w:val="05292583"/>
    <w:rsid w:val="05543808"/>
    <w:rsid w:val="05802F92"/>
    <w:rsid w:val="05950409"/>
    <w:rsid w:val="05D10D8D"/>
    <w:rsid w:val="05DB48B7"/>
    <w:rsid w:val="05E23B66"/>
    <w:rsid w:val="06104D90"/>
    <w:rsid w:val="062771C0"/>
    <w:rsid w:val="06744360"/>
    <w:rsid w:val="06AE2B7E"/>
    <w:rsid w:val="06AF0F8A"/>
    <w:rsid w:val="06CE1DB6"/>
    <w:rsid w:val="06F50469"/>
    <w:rsid w:val="07267E5D"/>
    <w:rsid w:val="0728596A"/>
    <w:rsid w:val="075449B1"/>
    <w:rsid w:val="0759428E"/>
    <w:rsid w:val="07612C2A"/>
    <w:rsid w:val="076C5FB8"/>
    <w:rsid w:val="07FA5671"/>
    <w:rsid w:val="081953CE"/>
    <w:rsid w:val="082038E6"/>
    <w:rsid w:val="088C2CEE"/>
    <w:rsid w:val="089213B1"/>
    <w:rsid w:val="08F1073A"/>
    <w:rsid w:val="08FF47BF"/>
    <w:rsid w:val="09341178"/>
    <w:rsid w:val="093C2103"/>
    <w:rsid w:val="09726AF6"/>
    <w:rsid w:val="098D5F59"/>
    <w:rsid w:val="099E2019"/>
    <w:rsid w:val="09AE3647"/>
    <w:rsid w:val="09B6716A"/>
    <w:rsid w:val="09C24C61"/>
    <w:rsid w:val="09D144D4"/>
    <w:rsid w:val="09F31262"/>
    <w:rsid w:val="0A06608C"/>
    <w:rsid w:val="0A075D0B"/>
    <w:rsid w:val="0A550002"/>
    <w:rsid w:val="0A75402B"/>
    <w:rsid w:val="0A870BFA"/>
    <w:rsid w:val="0A87343B"/>
    <w:rsid w:val="0AA45437"/>
    <w:rsid w:val="0AA531D1"/>
    <w:rsid w:val="0AC0235E"/>
    <w:rsid w:val="0AC148E2"/>
    <w:rsid w:val="0AEC4F01"/>
    <w:rsid w:val="0B0D6A05"/>
    <w:rsid w:val="0B7F3FC7"/>
    <w:rsid w:val="0BED48BE"/>
    <w:rsid w:val="0C5A75C4"/>
    <w:rsid w:val="0C811890"/>
    <w:rsid w:val="0C8935F3"/>
    <w:rsid w:val="0C8C3310"/>
    <w:rsid w:val="0CD56D9C"/>
    <w:rsid w:val="0CF934C9"/>
    <w:rsid w:val="0D3119B2"/>
    <w:rsid w:val="0D4127FD"/>
    <w:rsid w:val="0D7E55FB"/>
    <w:rsid w:val="0D903BE6"/>
    <w:rsid w:val="0DC17C63"/>
    <w:rsid w:val="0E100F06"/>
    <w:rsid w:val="0E2448E9"/>
    <w:rsid w:val="0E595635"/>
    <w:rsid w:val="0E772D33"/>
    <w:rsid w:val="0E833DCE"/>
    <w:rsid w:val="0E8553BF"/>
    <w:rsid w:val="0E8D69FB"/>
    <w:rsid w:val="0E941FF6"/>
    <w:rsid w:val="0ED85E8F"/>
    <w:rsid w:val="0EF453D0"/>
    <w:rsid w:val="0EFF16A6"/>
    <w:rsid w:val="0F1A3C19"/>
    <w:rsid w:val="0F331D22"/>
    <w:rsid w:val="0F421DA6"/>
    <w:rsid w:val="0F7160BA"/>
    <w:rsid w:val="0F786D63"/>
    <w:rsid w:val="0F8B77C7"/>
    <w:rsid w:val="0FCE44FB"/>
    <w:rsid w:val="10103C47"/>
    <w:rsid w:val="10350A7D"/>
    <w:rsid w:val="10587AE7"/>
    <w:rsid w:val="10757746"/>
    <w:rsid w:val="10D10E21"/>
    <w:rsid w:val="10DA7A3A"/>
    <w:rsid w:val="10DD7F3C"/>
    <w:rsid w:val="112453F4"/>
    <w:rsid w:val="11415F9C"/>
    <w:rsid w:val="1166286F"/>
    <w:rsid w:val="118714DF"/>
    <w:rsid w:val="11C54F7C"/>
    <w:rsid w:val="12027FD7"/>
    <w:rsid w:val="12131C3B"/>
    <w:rsid w:val="12154B93"/>
    <w:rsid w:val="124F5C2E"/>
    <w:rsid w:val="126032C6"/>
    <w:rsid w:val="1285676A"/>
    <w:rsid w:val="128B3401"/>
    <w:rsid w:val="12922A8B"/>
    <w:rsid w:val="12942106"/>
    <w:rsid w:val="12DB66FD"/>
    <w:rsid w:val="13313498"/>
    <w:rsid w:val="133C549C"/>
    <w:rsid w:val="13484826"/>
    <w:rsid w:val="135A3A74"/>
    <w:rsid w:val="139E33E8"/>
    <w:rsid w:val="140E57F5"/>
    <w:rsid w:val="141C6875"/>
    <w:rsid w:val="1433594E"/>
    <w:rsid w:val="148B7538"/>
    <w:rsid w:val="14CA62B3"/>
    <w:rsid w:val="14CB5B0D"/>
    <w:rsid w:val="14CE6D61"/>
    <w:rsid w:val="14DE1D5E"/>
    <w:rsid w:val="14FB408C"/>
    <w:rsid w:val="150F4E0E"/>
    <w:rsid w:val="15314652"/>
    <w:rsid w:val="155556F9"/>
    <w:rsid w:val="158C72E6"/>
    <w:rsid w:val="15FB544A"/>
    <w:rsid w:val="16294BEB"/>
    <w:rsid w:val="16356831"/>
    <w:rsid w:val="163D3AA5"/>
    <w:rsid w:val="164E574E"/>
    <w:rsid w:val="16556AC9"/>
    <w:rsid w:val="16807838"/>
    <w:rsid w:val="16810AFC"/>
    <w:rsid w:val="168177E8"/>
    <w:rsid w:val="168209A3"/>
    <w:rsid w:val="16A71708"/>
    <w:rsid w:val="16BF0C7B"/>
    <w:rsid w:val="16D06F19"/>
    <w:rsid w:val="16DD0A26"/>
    <w:rsid w:val="16E24019"/>
    <w:rsid w:val="16E8383B"/>
    <w:rsid w:val="17246706"/>
    <w:rsid w:val="173045B3"/>
    <w:rsid w:val="173858C7"/>
    <w:rsid w:val="173A70ED"/>
    <w:rsid w:val="17690B71"/>
    <w:rsid w:val="1772678E"/>
    <w:rsid w:val="179D1A5D"/>
    <w:rsid w:val="17AA23CB"/>
    <w:rsid w:val="17BA1AFE"/>
    <w:rsid w:val="17E20F24"/>
    <w:rsid w:val="180E0FB0"/>
    <w:rsid w:val="181C089E"/>
    <w:rsid w:val="182C2F80"/>
    <w:rsid w:val="18483196"/>
    <w:rsid w:val="18812CDC"/>
    <w:rsid w:val="1889564E"/>
    <w:rsid w:val="18A101DE"/>
    <w:rsid w:val="18A43279"/>
    <w:rsid w:val="18EF421A"/>
    <w:rsid w:val="195B5754"/>
    <w:rsid w:val="196A1926"/>
    <w:rsid w:val="197A419C"/>
    <w:rsid w:val="19E2482F"/>
    <w:rsid w:val="19E75211"/>
    <w:rsid w:val="1A4C5E6D"/>
    <w:rsid w:val="1AC812B9"/>
    <w:rsid w:val="1AF2398A"/>
    <w:rsid w:val="1B4D4500"/>
    <w:rsid w:val="1B58397A"/>
    <w:rsid w:val="1B8949E3"/>
    <w:rsid w:val="1B9E03E5"/>
    <w:rsid w:val="1BCB5188"/>
    <w:rsid w:val="1BE063BC"/>
    <w:rsid w:val="1BF26033"/>
    <w:rsid w:val="1BF9516A"/>
    <w:rsid w:val="1C08121F"/>
    <w:rsid w:val="1C0E1A98"/>
    <w:rsid w:val="1C1362D2"/>
    <w:rsid w:val="1C32593F"/>
    <w:rsid w:val="1C37242C"/>
    <w:rsid w:val="1C672639"/>
    <w:rsid w:val="1C9D692E"/>
    <w:rsid w:val="1CA6768D"/>
    <w:rsid w:val="1CC80EC6"/>
    <w:rsid w:val="1CFF6681"/>
    <w:rsid w:val="1D882867"/>
    <w:rsid w:val="1D8A22DE"/>
    <w:rsid w:val="1D936080"/>
    <w:rsid w:val="1DA22858"/>
    <w:rsid w:val="1DC122D9"/>
    <w:rsid w:val="1DDE75EB"/>
    <w:rsid w:val="1DF93765"/>
    <w:rsid w:val="1E425C26"/>
    <w:rsid w:val="1F056845"/>
    <w:rsid w:val="1F437C96"/>
    <w:rsid w:val="1F7C748B"/>
    <w:rsid w:val="1FBF3122"/>
    <w:rsid w:val="1FC1687D"/>
    <w:rsid w:val="1FD004F5"/>
    <w:rsid w:val="1FD33E4A"/>
    <w:rsid w:val="1FEF6BCD"/>
    <w:rsid w:val="201605FE"/>
    <w:rsid w:val="202C1C28"/>
    <w:rsid w:val="20AC2A81"/>
    <w:rsid w:val="21064BC7"/>
    <w:rsid w:val="213E514E"/>
    <w:rsid w:val="218117C2"/>
    <w:rsid w:val="21914653"/>
    <w:rsid w:val="21A82321"/>
    <w:rsid w:val="21E311CA"/>
    <w:rsid w:val="22435B5D"/>
    <w:rsid w:val="22445C88"/>
    <w:rsid w:val="225418B2"/>
    <w:rsid w:val="22682C67"/>
    <w:rsid w:val="22A53EBB"/>
    <w:rsid w:val="22C22232"/>
    <w:rsid w:val="22C32723"/>
    <w:rsid w:val="22E307CC"/>
    <w:rsid w:val="237A0EA4"/>
    <w:rsid w:val="23DE4110"/>
    <w:rsid w:val="23E40A13"/>
    <w:rsid w:val="23E45DF0"/>
    <w:rsid w:val="24262DDA"/>
    <w:rsid w:val="24425A33"/>
    <w:rsid w:val="244B43DB"/>
    <w:rsid w:val="244D6A01"/>
    <w:rsid w:val="24525D63"/>
    <w:rsid w:val="245C2951"/>
    <w:rsid w:val="24722707"/>
    <w:rsid w:val="247C6308"/>
    <w:rsid w:val="24A061A3"/>
    <w:rsid w:val="24F241D9"/>
    <w:rsid w:val="25071022"/>
    <w:rsid w:val="250E3F9A"/>
    <w:rsid w:val="256351BC"/>
    <w:rsid w:val="25A00076"/>
    <w:rsid w:val="25A00952"/>
    <w:rsid w:val="25AF6514"/>
    <w:rsid w:val="25BA46F2"/>
    <w:rsid w:val="25F5365E"/>
    <w:rsid w:val="2616690D"/>
    <w:rsid w:val="26215B91"/>
    <w:rsid w:val="26261822"/>
    <w:rsid w:val="263D1448"/>
    <w:rsid w:val="265706E3"/>
    <w:rsid w:val="265A544A"/>
    <w:rsid w:val="269C7383"/>
    <w:rsid w:val="26BE2D85"/>
    <w:rsid w:val="26C67BB0"/>
    <w:rsid w:val="26CA3EF0"/>
    <w:rsid w:val="26D32C40"/>
    <w:rsid w:val="270E1B44"/>
    <w:rsid w:val="270F0D3F"/>
    <w:rsid w:val="27796DC6"/>
    <w:rsid w:val="27F56781"/>
    <w:rsid w:val="282E47CA"/>
    <w:rsid w:val="287C321F"/>
    <w:rsid w:val="287C63C7"/>
    <w:rsid w:val="288051AE"/>
    <w:rsid w:val="28887BBF"/>
    <w:rsid w:val="28991DCC"/>
    <w:rsid w:val="28A46D52"/>
    <w:rsid w:val="28C14D9A"/>
    <w:rsid w:val="28E056E5"/>
    <w:rsid w:val="28F74D45"/>
    <w:rsid w:val="2942584B"/>
    <w:rsid w:val="298867C7"/>
    <w:rsid w:val="299E2D00"/>
    <w:rsid w:val="29E87FD7"/>
    <w:rsid w:val="2A0C4A0C"/>
    <w:rsid w:val="2A2049DE"/>
    <w:rsid w:val="2A2E22F1"/>
    <w:rsid w:val="2A30266F"/>
    <w:rsid w:val="2A3E550B"/>
    <w:rsid w:val="2A3F7FD7"/>
    <w:rsid w:val="2A4144C9"/>
    <w:rsid w:val="2A433A9F"/>
    <w:rsid w:val="2A664D9A"/>
    <w:rsid w:val="2AAF4215"/>
    <w:rsid w:val="2AC430B7"/>
    <w:rsid w:val="2B6F3580"/>
    <w:rsid w:val="2B815F5C"/>
    <w:rsid w:val="2B9E191F"/>
    <w:rsid w:val="2BB21468"/>
    <w:rsid w:val="2BF02CA4"/>
    <w:rsid w:val="2BF13B92"/>
    <w:rsid w:val="2C216675"/>
    <w:rsid w:val="2C372028"/>
    <w:rsid w:val="2C7E149B"/>
    <w:rsid w:val="2CB715DE"/>
    <w:rsid w:val="2CE12FCA"/>
    <w:rsid w:val="2CE455E0"/>
    <w:rsid w:val="2D266DEE"/>
    <w:rsid w:val="2D3A0D3D"/>
    <w:rsid w:val="2D834DF9"/>
    <w:rsid w:val="2D9D35E3"/>
    <w:rsid w:val="2DFD6054"/>
    <w:rsid w:val="2E137A5D"/>
    <w:rsid w:val="2E212363"/>
    <w:rsid w:val="2E22593D"/>
    <w:rsid w:val="2E4F0F14"/>
    <w:rsid w:val="2EAD6BAD"/>
    <w:rsid w:val="2EDC0C65"/>
    <w:rsid w:val="2EE11FDC"/>
    <w:rsid w:val="2EF266DA"/>
    <w:rsid w:val="2EFB7865"/>
    <w:rsid w:val="2F02092C"/>
    <w:rsid w:val="2F046A67"/>
    <w:rsid w:val="2F0F5A43"/>
    <w:rsid w:val="2F34284F"/>
    <w:rsid w:val="2F5F53F2"/>
    <w:rsid w:val="2FAE0FA5"/>
    <w:rsid w:val="2FE9188B"/>
    <w:rsid w:val="303D5AF1"/>
    <w:rsid w:val="306B4F17"/>
    <w:rsid w:val="30877FD8"/>
    <w:rsid w:val="30CE6CD3"/>
    <w:rsid w:val="30E03740"/>
    <w:rsid w:val="30E81B43"/>
    <w:rsid w:val="30FD0720"/>
    <w:rsid w:val="311E37B6"/>
    <w:rsid w:val="31805A17"/>
    <w:rsid w:val="31813D45"/>
    <w:rsid w:val="319223A0"/>
    <w:rsid w:val="31B50E55"/>
    <w:rsid w:val="31C0661C"/>
    <w:rsid w:val="31CD405C"/>
    <w:rsid w:val="31F42769"/>
    <w:rsid w:val="32421F33"/>
    <w:rsid w:val="32496611"/>
    <w:rsid w:val="32605AD9"/>
    <w:rsid w:val="32D042DE"/>
    <w:rsid w:val="32DB28D1"/>
    <w:rsid w:val="32E14A9C"/>
    <w:rsid w:val="335B655D"/>
    <w:rsid w:val="33C24777"/>
    <w:rsid w:val="33C420E3"/>
    <w:rsid w:val="33CC3D88"/>
    <w:rsid w:val="33D7599C"/>
    <w:rsid w:val="34550BAA"/>
    <w:rsid w:val="347465CD"/>
    <w:rsid w:val="347800F4"/>
    <w:rsid w:val="34D30708"/>
    <w:rsid w:val="34D8391D"/>
    <w:rsid w:val="34FC036F"/>
    <w:rsid w:val="3522139B"/>
    <w:rsid w:val="353D0C81"/>
    <w:rsid w:val="35523945"/>
    <w:rsid w:val="35907F99"/>
    <w:rsid w:val="35A773F9"/>
    <w:rsid w:val="35B174A5"/>
    <w:rsid w:val="35D71628"/>
    <w:rsid w:val="35FC30AA"/>
    <w:rsid w:val="36280003"/>
    <w:rsid w:val="366B65ED"/>
    <w:rsid w:val="36700F57"/>
    <w:rsid w:val="368556F9"/>
    <w:rsid w:val="368B3C8B"/>
    <w:rsid w:val="37054AD1"/>
    <w:rsid w:val="3728094B"/>
    <w:rsid w:val="37433FC5"/>
    <w:rsid w:val="37600DAA"/>
    <w:rsid w:val="37653A4E"/>
    <w:rsid w:val="37730B67"/>
    <w:rsid w:val="377C40A8"/>
    <w:rsid w:val="37954895"/>
    <w:rsid w:val="37AA1EC8"/>
    <w:rsid w:val="37C83693"/>
    <w:rsid w:val="37F54B45"/>
    <w:rsid w:val="38231A04"/>
    <w:rsid w:val="383324ED"/>
    <w:rsid w:val="383E029A"/>
    <w:rsid w:val="386A72E1"/>
    <w:rsid w:val="38974640"/>
    <w:rsid w:val="38AF0264"/>
    <w:rsid w:val="38B7551A"/>
    <w:rsid w:val="39083168"/>
    <w:rsid w:val="3910397D"/>
    <w:rsid w:val="391048E3"/>
    <w:rsid w:val="39353A12"/>
    <w:rsid w:val="393D4974"/>
    <w:rsid w:val="39511E74"/>
    <w:rsid w:val="39551D3F"/>
    <w:rsid w:val="39592938"/>
    <w:rsid w:val="39E31415"/>
    <w:rsid w:val="3A055CC4"/>
    <w:rsid w:val="3A327340"/>
    <w:rsid w:val="3A4A5267"/>
    <w:rsid w:val="3A573895"/>
    <w:rsid w:val="3A634F0F"/>
    <w:rsid w:val="3A6B63B9"/>
    <w:rsid w:val="3A6E7156"/>
    <w:rsid w:val="3A791A5E"/>
    <w:rsid w:val="3AA661B2"/>
    <w:rsid w:val="3AB74334"/>
    <w:rsid w:val="3ABD73E8"/>
    <w:rsid w:val="3AD06C20"/>
    <w:rsid w:val="3B163750"/>
    <w:rsid w:val="3B5D137F"/>
    <w:rsid w:val="3B5F4617"/>
    <w:rsid w:val="3B7905A1"/>
    <w:rsid w:val="3B985F13"/>
    <w:rsid w:val="3BA44457"/>
    <w:rsid w:val="3BA90120"/>
    <w:rsid w:val="3BBD01CF"/>
    <w:rsid w:val="3BC96A15"/>
    <w:rsid w:val="3BD44D1F"/>
    <w:rsid w:val="3BD66452"/>
    <w:rsid w:val="3BDA1AA9"/>
    <w:rsid w:val="3C0E199F"/>
    <w:rsid w:val="3C1075F2"/>
    <w:rsid w:val="3C3245BA"/>
    <w:rsid w:val="3C5005CA"/>
    <w:rsid w:val="3C5E0F0B"/>
    <w:rsid w:val="3C766664"/>
    <w:rsid w:val="3C7C2C98"/>
    <w:rsid w:val="3C983617"/>
    <w:rsid w:val="3CA760EC"/>
    <w:rsid w:val="3CE57178"/>
    <w:rsid w:val="3D264519"/>
    <w:rsid w:val="3D290EAC"/>
    <w:rsid w:val="3DAA4E09"/>
    <w:rsid w:val="3E032E65"/>
    <w:rsid w:val="3E312839"/>
    <w:rsid w:val="3EC33654"/>
    <w:rsid w:val="3F333152"/>
    <w:rsid w:val="3F5C7273"/>
    <w:rsid w:val="3FBB6AAE"/>
    <w:rsid w:val="3FCD4CB7"/>
    <w:rsid w:val="40140384"/>
    <w:rsid w:val="401C35B7"/>
    <w:rsid w:val="403C3B0A"/>
    <w:rsid w:val="405939A2"/>
    <w:rsid w:val="406805AA"/>
    <w:rsid w:val="40B8061A"/>
    <w:rsid w:val="40ED0233"/>
    <w:rsid w:val="40FA4F7A"/>
    <w:rsid w:val="40FC6F44"/>
    <w:rsid w:val="41325883"/>
    <w:rsid w:val="41607EBC"/>
    <w:rsid w:val="419633AA"/>
    <w:rsid w:val="41CA257F"/>
    <w:rsid w:val="41E2613A"/>
    <w:rsid w:val="41EF2605"/>
    <w:rsid w:val="41F35D1C"/>
    <w:rsid w:val="42460DEE"/>
    <w:rsid w:val="42896EBC"/>
    <w:rsid w:val="428D00BE"/>
    <w:rsid w:val="42CA1218"/>
    <w:rsid w:val="42EC395B"/>
    <w:rsid w:val="432479F9"/>
    <w:rsid w:val="436A07CC"/>
    <w:rsid w:val="43827BD5"/>
    <w:rsid w:val="438919E0"/>
    <w:rsid w:val="439722AB"/>
    <w:rsid w:val="43B26C43"/>
    <w:rsid w:val="440A08B0"/>
    <w:rsid w:val="44124A16"/>
    <w:rsid w:val="45261689"/>
    <w:rsid w:val="453D699B"/>
    <w:rsid w:val="45521829"/>
    <w:rsid w:val="45535CC4"/>
    <w:rsid w:val="45634F2D"/>
    <w:rsid w:val="45A5194E"/>
    <w:rsid w:val="45A65918"/>
    <w:rsid w:val="45A73923"/>
    <w:rsid w:val="45B95404"/>
    <w:rsid w:val="460743C1"/>
    <w:rsid w:val="46547713"/>
    <w:rsid w:val="46603AD2"/>
    <w:rsid w:val="46696E2A"/>
    <w:rsid w:val="469F3D6C"/>
    <w:rsid w:val="46E4581D"/>
    <w:rsid w:val="46EF2788"/>
    <w:rsid w:val="47085DBC"/>
    <w:rsid w:val="47220AC2"/>
    <w:rsid w:val="474451A1"/>
    <w:rsid w:val="47467DB7"/>
    <w:rsid w:val="4747139F"/>
    <w:rsid w:val="475450DC"/>
    <w:rsid w:val="47B42327"/>
    <w:rsid w:val="47C230FD"/>
    <w:rsid w:val="47D01EDF"/>
    <w:rsid w:val="47D923AD"/>
    <w:rsid w:val="47F02CED"/>
    <w:rsid w:val="48467E55"/>
    <w:rsid w:val="48490EB4"/>
    <w:rsid w:val="485E6ED7"/>
    <w:rsid w:val="488A0553"/>
    <w:rsid w:val="48BF3D66"/>
    <w:rsid w:val="48CA486C"/>
    <w:rsid w:val="49030B11"/>
    <w:rsid w:val="492C0B5C"/>
    <w:rsid w:val="494A71CD"/>
    <w:rsid w:val="495C2BE2"/>
    <w:rsid w:val="4963696C"/>
    <w:rsid w:val="49D822B4"/>
    <w:rsid w:val="4A58022B"/>
    <w:rsid w:val="4AC340C4"/>
    <w:rsid w:val="4B11032E"/>
    <w:rsid w:val="4B3F6383"/>
    <w:rsid w:val="4B69167A"/>
    <w:rsid w:val="4B7C2794"/>
    <w:rsid w:val="4BA018A0"/>
    <w:rsid w:val="4BB86625"/>
    <w:rsid w:val="4BB95CD8"/>
    <w:rsid w:val="4BE3142D"/>
    <w:rsid w:val="4BED22AB"/>
    <w:rsid w:val="4BED77A1"/>
    <w:rsid w:val="4C1533E2"/>
    <w:rsid w:val="4CC0351C"/>
    <w:rsid w:val="4D001C17"/>
    <w:rsid w:val="4D1F3A54"/>
    <w:rsid w:val="4D83536B"/>
    <w:rsid w:val="4DA93FB0"/>
    <w:rsid w:val="4DCE630F"/>
    <w:rsid w:val="4DF8057F"/>
    <w:rsid w:val="4E22744E"/>
    <w:rsid w:val="4E5B3FA1"/>
    <w:rsid w:val="4E714187"/>
    <w:rsid w:val="4EAF2828"/>
    <w:rsid w:val="4EE23691"/>
    <w:rsid w:val="4F28607A"/>
    <w:rsid w:val="4F564BB2"/>
    <w:rsid w:val="4F764366"/>
    <w:rsid w:val="4FB35514"/>
    <w:rsid w:val="4FB3554D"/>
    <w:rsid w:val="4FC21359"/>
    <w:rsid w:val="4FC724C7"/>
    <w:rsid w:val="500B145F"/>
    <w:rsid w:val="5011351F"/>
    <w:rsid w:val="504877C0"/>
    <w:rsid w:val="50747B72"/>
    <w:rsid w:val="50761340"/>
    <w:rsid w:val="50931E2D"/>
    <w:rsid w:val="51186119"/>
    <w:rsid w:val="51234079"/>
    <w:rsid w:val="51376EDE"/>
    <w:rsid w:val="51410B3C"/>
    <w:rsid w:val="514F07F2"/>
    <w:rsid w:val="5153670D"/>
    <w:rsid w:val="515661FD"/>
    <w:rsid w:val="51590E5F"/>
    <w:rsid w:val="51663C9A"/>
    <w:rsid w:val="516D2BCC"/>
    <w:rsid w:val="517174DB"/>
    <w:rsid w:val="51862F5A"/>
    <w:rsid w:val="51B353FD"/>
    <w:rsid w:val="51C2444F"/>
    <w:rsid w:val="51CB39BF"/>
    <w:rsid w:val="51F81ABD"/>
    <w:rsid w:val="520774F7"/>
    <w:rsid w:val="525425A8"/>
    <w:rsid w:val="529B1599"/>
    <w:rsid w:val="52A71C74"/>
    <w:rsid w:val="52DD7C56"/>
    <w:rsid w:val="52F04F38"/>
    <w:rsid w:val="532D3606"/>
    <w:rsid w:val="53406FE8"/>
    <w:rsid w:val="53514ECE"/>
    <w:rsid w:val="53CD779F"/>
    <w:rsid w:val="53E91955"/>
    <w:rsid w:val="54047F31"/>
    <w:rsid w:val="54237392"/>
    <w:rsid w:val="54444A33"/>
    <w:rsid w:val="54554E92"/>
    <w:rsid w:val="545C6276"/>
    <w:rsid w:val="54D77655"/>
    <w:rsid w:val="54DD66D1"/>
    <w:rsid w:val="55523DC1"/>
    <w:rsid w:val="55743067"/>
    <w:rsid w:val="557A6EC6"/>
    <w:rsid w:val="55801A9A"/>
    <w:rsid w:val="55C23AAB"/>
    <w:rsid w:val="562778E0"/>
    <w:rsid w:val="56507FC4"/>
    <w:rsid w:val="566969D2"/>
    <w:rsid w:val="56753318"/>
    <w:rsid w:val="56766D9F"/>
    <w:rsid w:val="567C4958"/>
    <w:rsid w:val="56DD4E59"/>
    <w:rsid w:val="56E67E55"/>
    <w:rsid w:val="570404A9"/>
    <w:rsid w:val="57272C07"/>
    <w:rsid w:val="57340E7C"/>
    <w:rsid w:val="57444F35"/>
    <w:rsid w:val="575D2094"/>
    <w:rsid w:val="577E200A"/>
    <w:rsid w:val="5797396F"/>
    <w:rsid w:val="579D6934"/>
    <w:rsid w:val="57CD3A8B"/>
    <w:rsid w:val="57DA7B88"/>
    <w:rsid w:val="57DE6F4C"/>
    <w:rsid w:val="5801342D"/>
    <w:rsid w:val="585D0ACF"/>
    <w:rsid w:val="58782EFD"/>
    <w:rsid w:val="58A23A41"/>
    <w:rsid w:val="58A3743D"/>
    <w:rsid w:val="58BA45A1"/>
    <w:rsid w:val="58DC2558"/>
    <w:rsid w:val="58E80569"/>
    <w:rsid w:val="58ED7447"/>
    <w:rsid w:val="591304B3"/>
    <w:rsid w:val="592F769B"/>
    <w:rsid w:val="593276E3"/>
    <w:rsid w:val="593D3E61"/>
    <w:rsid w:val="59617E35"/>
    <w:rsid w:val="597B0F94"/>
    <w:rsid w:val="597B2CA5"/>
    <w:rsid w:val="598900F2"/>
    <w:rsid w:val="59A40E2D"/>
    <w:rsid w:val="59B13DAE"/>
    <w:rsid w:val="5A026F22"/>
    <w:rsid w:val="5A14770F"/>
    <w:rsid w:val="5A8031F3"/>
    <w:rsid w:val="5AA91A93"/>
    <w:rsid w:val="5ADF7727"/>
    <w:rsid w:val="5AF97B5F"/>
    <w:rsid w:val="5B041744"/>
    <w:rsid w:val="5B1304A2"/>
    <w:rsid w:val="5B3A67AB"/>
    <w:rsid w:val="5BC56EA8"/>
    <w:rsid w:val="5BCA4A59"/>
    <w:rsid w:val="5BE42BD0"/>
    <w:rsid w:val="5C2C7466"/>
    <w:rsid w:val="5C3B1914"/>
    <w:rsid w:val="5C891B7C"/>
    <w:rsid w:val="5C9C18B0"/>
    <w:rsid w:val="5C9D6DFA"/>
    <w:rsid w:val="5CA249EC"/>
    <w:rsid w:val="5CAD579C"/>
    <w:rsid w:val="5CD768AA"/>
    <w:rsid w:val="5CF21B49"/>
    <w:rsid w:val="5CFA0384"/>
    <w:rsid w:val="5D016630"/>
    <w:rsid w:val="5D07484F"/>
    <w:rsid w:val="5D0C1038"/>
    <w:rsid w:val="5D542EEB"/>
    <w:rsid w:val="5D9B1C77"/>
    <w:rsid w:val="5DB004C1"/>
    <w:rsid w:val="5DB43E94"/>
    <w:rsid w:val="5DC24909"/>
    <w:rsid w:val="5DF04B2E"/>
    <w:rsid w:val="5E174F66"/>
    <w:rsid w:val="5E194C40"/>
    <w:rsid w:val="5E59732C"/>
    <w:rsid w:val="5EA1685C"/>
    <w:rsid w:val="5EAA77E0"/>
    <w:rsid w:val="5ECA2293"/>
    <w:rsid w:val="5EED4408"/>
    <w:rsid w:val="5EF77271"/>
    <w:rsid w:val="5EFA2553"/>
    <w:rsid w:val="5F2B1033"/>
    <w:rsid w:val="5F3B1C2E"/>
    <w:rsid w:val="5F44605F"/>
    <w:rsid w:val="5F4776FA"/>
    <w:rsid w:val="5F520854"/>
    <w:rsid w:val="5F553F98"/>
    <w:rsid w:val="5F6B6A19"/>
    <w:rsid w:val="5F724B4A"/>
    <w:rsid w:val="5F980471"/>
    <w:rsid w:val="5FC352FB"/>
    <w:rsid w:val="5FDC55CE"/>
    <w:rsid w:val="600332A4"/>
    <w:rsid w:val="6008725C"/>
    <w:rsid w:val="60244F2D"/>
    <w:rsid w:val="603A08F1"/>
    <w:rsid w:val="60465AB4"/>
    <w:rsid w:val="60546924"/>
    <w:rsid w:val="605D5671"/>
    <w:rsid w:val="60CA1D62"/>
    <w:rsid w:val="611F24B1"/>
    <w:rsid w:val="6154255F"/>
    <w:rsid w:val="615F75B5"/>
    <w:rsid w:val="61B60413"/>
    <w:rsid w:val="61EB2991"/>
    <w:rsid w:val="61FF0A8D"/>
    <w:rsid w:val="620D46B6"/>
    <w:rsid w:val="62870A35"/>
    <w:rsid w:val="6293684C"/>
    <w:rsid w:val="62F6339C"/>
    <w:rsid w:val="62FC5639"/>
    <w:rsid w:val="6331751F"/>
    <w:rsid w:val="63471B65"/>
    <w:rsid w:val="637F5A87"/>
    <w:rsid w:val="638504B3"/>
    <w:rsid w:val="64132BC6"/>
    <w:rsid w:val="643605BC"/>
    <w:rsid w:val="643623E1"/>
    <w:rsid w:val="64395C36"/>
    <w:rsid w:val="648A04B8"/>
    <w:rsid w:val="648A5A28"/>
    <w:rsid w:val="648D49FF"/>
    <w:rsid w:val="64BA17B9"/>
    <w:rsid w:val="64BA1C4E"/>
    <w:rsid w:val="64C63648"/>
    <w:rsid w:val="64F93617"/>
    <w:rsid w:val="653F727C"/>
    <w:rsid w:val="657C6754"/>
    <w:rsid w:val="65AD558B"/>
    <w:rsid w:val="65C31A10"/>
    <w:rsid w:val="65D774B5"/>
    <w:rsid w:val="65E86075"/>
    <w:rsid w:val="667016B7"/>
    <w:rsid w:val="668C5BC0"/>
    <w:rsid w:val="66D105F6"/>
    <w:rsid w:val="66D60352"/>
    <w:rsid w:val="67256946"/>
    <w:rsid w:val="67672ABA"/>
    <w:rsid w:val="676E2B9A"/>
    <w:rsid w:val="67CC2428"/>
    <w:rsid w:val="67FB1BAB"/>
    <w:rsid w:val="68603AF6"/>
    <w:rsid w:val="687848FC"/>
    <w:rsid w:val="68A415EC"/>
    <w:rsid w:val="68E1144C"/>
    <w:rsid w:val="68E3740C"/>
    <w:rsid w:val="68F77E6E"/>
    <w:rsid w:val="698C6030"/>
    <w:rsid w:val="69AD17C8"/>
    <w:rsid w:val="69B13A84"/>
    <w:rsid w:val="69C809C1"/>
    <w:rsid w:val="69CE67A3"/>
    <w:rsid w:val="6A2C6DAD"/>
    <w:rsid w:val="6A3D00DC"/>
    <w:rsid w:val="6A5C4D0E"/>
    <w:rsid w:val="6A773F2E"/>
    <w:rsid w:val="6A9E2C97"/>
    <w:rsid w:val="6AAA4E8C"/>
    <w:rsid w:val="6AAF150C"/>
    <w:rsid w:val="6AE104A7"/>
    <w:rsid w:val="6AE96EA8"/>
    <w:rsid w:val="6AFF7309"/>
    <w:rsid w:val="6B326250"/>
    <w:rsid w:val="6B57710E"/>
    <w:rsid w:val="6B5A2DEA"/>
    <w:rsid w:val="6B612FAF"/>
    <w:rsid w:val="6B6768BF"/>
    <w:rsid w:val="6B8425F1"/>
    <w:rsid w:val="6BE56CA9"/>
    <w:rsid w:val="6BF74BFB"/>
    <w:rsid w:val="6C017352"/>
    <w:rsid w:val="6C1D04AD"/>
    <w:rsid w:val="6C3A5D5B"/>
    <w:rsid w:val="6C4504B1"/>
    <w:rsid w:val="6C4B4FD2"/>
    <w:rsid w:val="6C5C50F2"/>
    <w:rsid w:val="6C6058BE"/>
    <w:rsid w:val="6C841A18"/>
    <w:rsid w:val="6C9D0B3F"/>
    <w:rsid w:val="6CF94578"/>
    <w:rsid w:val="6D271CDC"/>
    <w:rsid w:val="6D30218C"/>
    <w:rsid w:val="6D522BD5"/>
    <w:rsid w:val="6D597211"/>
    <w:rsid w:val="6D995368"/>
    <w:rsid w:val="6DAD4F9F"/>
    <w:rsid w:val="6E000787"/>
    <w:rsid w:val="6E0220D0"/>
    <w:rsid w:val="6E407BC1"/>
    <w:rsid w:val="6E4943C7"/>
    <w:rsid w:val="6E745AF8"/>
    <w:rsid w:val="6EB677C3"/>
    <w:rsid w:val="6EC340EA"/>
    <w:rsid w:val="6EE75201"/>
    <w:rsid w:val="6F194A5E"/>
    <w:rsid w:val="6F231731"/>
    <w:rsid w:val="6F25496E"/>
    <w:rsid w:val="6F5778B8"/>
    <w:rsid w:val="6F590EAC"/>
    <w:rsid w:val="6F7F6679"/>
    <w:rsid w:val="6FD20F59"/>
    <w:rsid w:val="6FD42CB7"/>
    <w:rsid w:val="704C2E90"/>
    <w:rsid w:val="705A7182"/>
    <w:rsid w:val="706E4EB9"/>
    <w:rsid w:val="70822713"/>
    <w:rsid w:val="708E6837"/>
    <w:rsid w:val="70A021A7"/>
    <w:rsid w:val="70B84F07"/>
    <w:rsid w:val="70BA2B7E"/>
    <w:rsid w:val="70C50F0F"/>
    <w:rsid w:val="70EB19C0"/>
    <w:rsid w:val="70F123CB"/>
    <w:rsid w:val="710E3CE5"/>
    <w:rsid w:val="71C50B09"/>
    <w:rsid w:val="71D575D5"/>
    <w:rsid w:val="72253AE4"/>
    <w:rsid w:val="72482E58"/>
    <w:rsid w:val="725D4114"/>
    <w:rsid w:val="72710C91"/>
    <w:rsid w:val="72944E24"/>
    <w:rsid w:val="731D534C"/>
    <w:rsid w:val="734806B4"/>
    <w:rsid w:val="73556B0B"/>
    <w:rsid w:val="73655FDF"/>
    <w:rsid w:val="73826CD1"/>
    <w:rsid w:val="73A8067C"/>
    <w:rsid w:val="73A8757A"/>
    <w:rsid w:val="73B33B60"/>
    <w:rsid w:val="74221951"/>
    <w:rsid w:val="74712205"/>
    <w:rsid w:val="749B7C85"/>
    <w:rsid w:val="749F17B3"/>
    <w:rsid w:val="74BD1F6B"/>
    <w:rsid w:val="74C73A5A"/>
    <w:rsid w:val="74CA0286"/>
    <w:rsid w:val="74EC4B62"/>
    <w:rsid w:val="75263707"/>
    <w:rsid w:val="75432F83"/>
    <w:rsid w:val="75687959"/>
    <w:rsid w:val="756D557C"/>
    <w:rsid w:val="757A7C49"/>
    <w:rsid w:val="758A0C99"/>
    <w:rsid w:val="758D3987"/>
    <w:rsid w:val="75EE4F94"/>
    <w:rsid w:val="760539A6"/>
    <w:rsid w:val="76734D57"/>
    <w:rsid w:val="76803352"/>
    <w:rsid w:val="76AA163F"/>
    <w:rsid w:val="76D826A5"/>
    <w:rsid w:val="772B2E92"/>
    <w:rsid w:val="77547EEF"/>
    <w:rsid w:val="775C409F"/>
    <w:rsid w:val="77F44210"/>
    <w:rsid w:val="77FC724F"/>
    <w:rsid w:val="783C6553"/>
    <w:rsid w:val="78650950"/>
    <w:rsid w:val="787A12BC"/>
    <w:rsid w:val="78926086"/>
    <w:rsid w:val="78B81148"/>
    <w:rsid w:val="78C733B9"/>
    <w:rsid w:val="78DD76AE"/>
    <w:rsid w:val="78E134B6"/>
    <w:rsid w:val="78EF0B61"/>
    <w:rsid w:val="78F35009"/>
    <w:rsid w:val="79045BBB"/>
    <w:rsid w:val="791A3DE0"/>
    <w:rsid w:val="79387ED5"/>
    <w:rsid w:val="793D3B77"/>
    <w:rsid w:val="79526303"/>
    <w:rsid w:val="798C57A5"/>
    <w:rsid w:val="79B90BB3"/>
    <w:rsid w:val="79BA7B7C"/>
    <w:rsid w:val="79D40631"/>
    <w:rsid w:val="79D61574"/>
    <w:rsid w:val="7A160B3B"/>
    <w:rsid w:val="7A1F4989"/>
    <w:rsid w:val="7A442634"/>
    <w:rsid w:val="7A4B1DC7"/>
    <w:rsid w:val="7AED2544"/>
    <w:rsid w:val="7B070BE4"/>
    <w:rsid w:val="7B0D7A9B"/>
    <w:rsid w:val="7B252618"/>
    <w:rsid w:val="7B2662BD"/>
    <w:rsid w:val="7B6359FE"/>
    <w:rsid w:val="7B7104A0"/>
    <w:rsid w:val="7BAA3C71"/>
    <w:rsid w:val="7BAF6702"/>
    <w:rsid w:val="7BFD546E"/>
    <w:rsid w:val="7C431BF7"/>
    <w:rsid w:val="7C437FAB"/>
    <w:rsid w:val="7C4405EC"/>
    <w:rsid w:val="7C6E40A4"/>
    <w:rsid w:val="7CB8724B"/>
    <w:rsid w:val="7CCF01D0"/>
    <w:rsid w:val="7D0C3A90"/>
    <w:rsid w:val="7D1144BC"/>
    <w:rsid w:val="7D150D8D"/>
    <w:rsid w:val="7D384885"/>
    <w:rsid w:val="7D4665F7"/>
    <w:rsid w:val="7D577B3F"/>
    <w:rsid w:val="7D74675F"/>
    <w:rsid w:val="7D8A34CA"/>
    <w:rsid w:val="7D8E26F7"/>
    <w:rsid w:val="7DD05E3D"/>
    <w:rsid w:val="7DDC1490"/>
    <w:rsid w:val="7E3261F4"/>
    <w:rsid w:val="7E3B11FA"/>
    <w:rsid w:val="7E3D24FA"/>
    <w:rsid w:val="7E617F84"/>
    <w:rsid w:val="7F1E0C95"/>
    <w:rsid w:val="7F242C23"/>
    <w:rsid w:val="7F475240"/>
    <w:rsid w:val="7F4E0530"/>
    <w:rsid w:val="7F9504EC"/>
    <w:rsid w:val="7F97412B"/>
    <w:rsid w:val="7F9E15F0"/>
    <w:rsid w:val="7FA0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autoRedefine/>
    <w:qFormat/>
    <w:uiPriority w:val="0"/>
    <w:pPr>
      <w:keepNext/>
      <w:spacing w:line="440" w:lineRule="exact"/>
      <w:jc w:val="center"/>
      <w:outlineLvl w:val="0"/>
    </w:pPr>
    <w:rPr>
      <w:rFonts w:ascii="宋体"/>
      <w:sz w:val="2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autoRedefine/>
    <w:qFormat/>
    <w:uiPriority w:val="0"/>
    <w:pPr>
      <w:keepNext/>
      <w:tabs>
        <w:tab w:val="left" w:pos="480"/>
      </w:tabs>
      <w:spacing w:line="400" w:lineRule="exact"/>
      <w:ind w:left="480" w:hanging="480"/>
      <w:jc w:val="center"/>
      <w:outlineLvl w:val="2"/>
    </w:pPr>
    <w:rPr>
      <w:rFonts w:ascii="仿宋_GB2312" w:eastAsia="仿宋_GB2312"/>
      <w:sz w:val="32"/>
    </w:rPr>
  </w:style>
  <w:style w:type="paragraph" w:styleId="6">
    <w:name w:val="heading 4"/>
    <w:basedOn w:val="1"/>
    <w:next w:val="1"/>
    <w:autoRedefine/>
    <w:qFormat/>
    <w:uiPriority w:val="0"/>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autoRedefine/>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b/>
      <w:sz w:val="24"/>
    </w:rPr>
  </w:style>
  <w:style w:type="paragraph" w:styleId="8">
    <w:name w:val="List 3"/>
    <w:basedOn w:val="1"/>
    <w:autoRedefine/>
    <w:qFormat/>
    <w:uiPriority w:val="0"/>
    <w:pPr>
      <w:ind w:left="100" w:leftChars="400" w:hanging="200" w:hangingChars="200"/>
      <w:contextualSpacing/>
    </w:pPr>
  </w:style>
  <w:style w:type="paragraph" w:styleId="9">
    <w:name w:val="toc 7"/>
    <w:basedOn w:val="1"/>
    <w:next w:val="1"/>
    <w:autoRedefine/>
    <w:qFormat/>
    <w:uiPriority w:val="0"/>
    <w:pPr>
      <w:ind w:left="2520" w:leftChars="1200"/>
    </w:pPr>
  </w:style>
  <w:style w:type="paragraph" w:styleId="10">
    <w:name w:val="annotation text"/>
    <w:basedOn w:val="1"/>
    <w:link w:val="48"/>
    <w:autoRedefine/>
    <w:qFormat/>
    <w:uiPriority w:val="0"/>
    <w:pPr>
      <w:jc w:val="left"/>
    </w:pPr>
    <w:rPr>
      <w:rFonts w:ascii="Times New Roman" w:hAnsi="Times New Roman"/>
    </w:rPr>
  </w:style>
  <w:style w:type="paragraph" w:styleId="11">
    <w:name w:val="Body Text"/>
    <w:basedOn w:val="1"/>
    <w:next w:val="1"/>
    <w:link w:val="47"/>
    <w:autoRedefine/>
    <w:qFormat/>
    <w:uiPriority w:val="0"/>
    <w:rPr>
      <w:rFonts w:ascii="宋体" w:hAnsi="Times New Roman"/>
      <w:sz w:val="28"/>
    </w:rPr>
  </w:style>
  <w:style w:type="paragraph" w:styleId="12">
    <w:name w:val="Body Text Indent"/>
    <w:basedOn w:val="1"/>
    <w:next w:val="13"/>
    <w:autoRedefine/>
    <w:qFormat/>
    <w:uiPriority w:val="0"/>
    <w:pPr>
      <w:spacing w:line="360" w:lineRule="auto"/>
      <w:ind w:firstLine="420"/>
    </w:pPr>
    <w:rPr>
      <w:rFonts w:ascii="宋体"/>
      <w:sz w:val="24"/>
    </w:rPr>
  </w:style>
  <w:style w:type="paragraph" w:styleId="13">
    <w:name w:val="envelope return"/>
    <w:basedOn w:val="1"/>
    <w:autoRedefine/>
    <w:qFormat/>
    <w:uiPriority w:val="99"/>
    <w:pPr>
      <w:snapToGrid w:val="0"/>
    </w:pPr>
    <w:rPr>
      <w:rFonts w:ascii="Arial" w:hAnsi="Arial"/>
    </w:rPr>
  </w:style>
  <w:style w:type="paragraph" w:styleId="14">
    <w:name w:val="List 2"/>
    <w:basedOn w:val="1"/>
    <w:autoRedefine/>
    <w:qFormat/>
    <w:uiPriority w:val="0"/>
    <w:pPr>
      <w:ind w:left="100" w:leftChars="200" w:hanging="200" w:hangingChars="200"/>
    </w:pPr>
  </w:style>
  <w:style w:type="paragraph" w:styleId="15">
    <w:name w:val="toc 5"/>
    <w:basedOn w:val="1"/>
    <w:next w:val="1"/>
    <w:autoRedefine/>
    <w:qFormat/>
    <w:uiPriority w:val="0"/>
    <w:pPr>
      <w:ind w:left="1680" w:leftChars="800"/>
    </w:pPr>
  </w:style>
  <w:style w:type="paragraph" w:styleId="16">
    <w:name w:val="toc 3"/>
    <w:basedOn w:val="1"/>
    <w:next w:val="1"/>
    <w:autoRedefine/>
    <w:qFormat/>
    <w:uiPriority w:val="0"/>
    <w:pPr>
      <w:ind w:left="840" w:leftChars="400"/>
    </w:pPr>
  </w:style>
  <w:style w:type="paragraph" w:styleId="17">
    <w:name w:val="Plain Text"/>
    <w:basedOn w:val="1"/>
    <w:link w:val="49"/>
    <w:autoRedefine/>
    <w:qFormat/>
    <w:uiPriority w:val="0"/>
    <w:rPr>
      <w:rFonts w:ascii="宋体" w:hAnsi="Courier New"/>
    </w:rPr>
  </w:style>
  <w:style w:type="paragraph" w:styleId="18">
    <w:name w:val="toc 8"/>
    <w:basedOn w:val="1"/>
    <w:next w:val="1"/>
    <w:autoRedefine/>
    <w:qFormat/>
    <w:uiPriority w:val="0"/>
    <w:pPr>
      <w:ind w:left="2940" w:leftChars="1400"/>
    </w:pPr>
  </w:style>
  <w:style w:type="paragraph" w:styleId="19">
    <w:name w:val="Date"/>
    <w:basedOn w:val="1"/>
    <w:next w:val="1"/>
    <w:autoRedefine/>
    <w:qFormat/>
    <w:uiPriority w:val="0"/>
    <w:rPr>
      <w:rFonts w:ascii="宋体"/>
    </w:rPr>
  </w:style>
  <w:style w:type="paragraph" w:styleId="20">
    <w:name w:val="Body Text Indent 2"/>
    <w:basedOn w:val="1"/>
    <w:autoRedefine/>
    <w:qFormat/>
    <w:uiPriority w:val="0"/>
    <w:pPr>
      <w:spacing w:line="420" w:lineRule="exact"/>
      <w:ind w:firstLine="525"/>
    </w:pPr>
    <w:rPr>
      <w:rFonts w:ascii="宋体"/>
    </w:rPr>
  </w:style>
  <w:style w:type="paragraph" w:styleId="21">
    <w:name w:val="Balloon Text"/>
    <w:basedOn w:val="1"/>
    <w:autoRedefine/>
    <w:semiHidden/>
    <w:qFormat/>
    <w:uiPriority w:val="0"/>
    <w:rPr>
      <w:sz w:val="18"/>
      <w:szCs w:val="18"/>
    </w:rPr>
  </w:style>
  <w:style w:type="paragraph" w:styleId="22">
    <w:name w:val="footer"/>
    <w:basedOn w:val="1"/>
    <w:link w:val="50"/>
    <w:autoRedefine/>
    <w:qFormat/>
    <w:uiPriority w:val="99"/>
    <w:pPr>
      <w:tabs>
        <w:tab w:val="center" w:pos="4153"/>
        <w:tab w:val="right" w:pos="8306"/>
      </w:tabs>
      <w:snapToGrid w:val="0"/>
      <w:jc w:val="left"/>
    </w:pPr>
    <w:rPr>
      <w:rFonts w:ascii="Times New Roman" w:hAnsi="Times New Roman"/>
      <w:sz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4">
    <w:name w:val="toc 1"/>
    <w:basedOn w:val="1"/>
    <w:next w:val="1"/>
    <w:autoRedefine/>
    <w:qFormat/>
    <w:uiPriority w:val="0"/>
  </w:style>
  <w:style w:type="paragraph" w:styleId="25">
    <w:name w:val="toc 4"/>
    <w:basedOn w:val="1"/>
    <w:next w:val="1"/>
    <w:autoRedefine/>
    <w:qFormat/>
    <w:uiPriority w:val="0"/>
    <w:pPr>
      <w:ind w:left="1260" w:leftChars="600"/>
    </w:pPr>
  </w:style>
  <w:style w:type="paragraph" w:styleId="26">
    <w:name w:val="toc 6"/>
    <w:basedOn w:val="1"/>
    <w:next w:val="1"/>
    <w:autoRedefine/>
    <w:qFormat/>
    <w:uiPriority w:val="0"/>
    <w:pPr>
      <w:ind w:left="2100" w:leftChars="1000"/>
    </w:pPr>
  </w:style>
  <w:style w:type="paragraph" w:styleId="27">
    <w:name w:val="Body Text Indent 3"/>
    <w:basedOn w:val="1"/>
    <w:autoRedefine/>
    <w:qFormat/>
    <w:uiPriority w:val="0"/>
    <w:pPr>
      <w:ind w:firstLine="841" w:firstLineChars="100"/>
    </w:pPr>
    <w:rPr>
      <w:rFonts w:eastAsia="华文新魏"/>
      <w:b/>
      <w:bCs/>
      <w:sz w:val="84"/>
    </w:rPr>
  </w:style>
  <w:style w:type="paragraph" w:styleId="28">
    <w:name w:val="toc 2"/>
    <w:basedOn w:val="1"/>
    <w:next w:val="1"/>
    <w:autoRedefine/>
    <w:qFormat/>
    <w:uiPriority w:val="0"/>
    <w:pPr>
      <w:ind w:left="420" w:leftChars="200"/>
    </w:pPr>
  </w:style>
  <w:style w:type="paragraph" w:styleId="29">
    <w:name w:val="toc 9"/>
    <w:basedOn w:val="1"/>
    <w:next w:val="1"/>
    <w:autoRedefine/>
    <w:qFormat/>
    <w:uiPriority w:val="0"/>
    <w:pPr>
      <w:ind w:left="3360" w:leftChars="1600"/>
    </w:pPr>
  </w:style>
  <w:style w:type="paragraph" w:styleId="30">
    <w:name w:val="Body Text 2"/>
    <w:basedOn w:val="1"/>
    <w:link w:val="76"/>
    <w:autoRedefine/>
    <w:unhideWhenUsed/>
    <w:qFormat/>
    <w:uiPriority w:val="99"/>
    <w:pPr>
      <w:spacing w:line="480" w:lineRule="auto"/>
    </w:pPr>
  </w:style>
  <w:style w:type="paragraph" w:styleId="3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2">
    <w:name w:val="Normal (Web)"/>
    <w:basedOn w:val="1"/>
    <w:autoRedefine/>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styleId="33">
    <w:name w:val="Title"/>
    <w:basedOn w:val="1"/>
    <w:link w:val="51"/>
    <w:autoRedefine/>
    <w:qFormat/>
    <w:uiPriority w:val="10"/>
    <w:pPr>
      <w:jc w:val="center"/>
    </w:pPr>
    <w:rPr>
      <w:sz w:val="30"/>
      <w:szCs w:val="24"/>
    </w:rPr>
  </w:style>
  <w:style w:type="paragraph" w:styleId="34">
    <w:name w:val="annotation subject"/>
    <w:basedOn w:val="10"/>
    <w:next w:val="10"/>
    <w:link w:val="52"/>
    <w:autoRedefine/>
    <w:qFormat/>
    <w:uiPriority w:val="0"/>
    <w:rPr>
      <w:b/>
      <w:bCs/>
    </w:rPr>
  </w:style>
  <w:style w:type="paragraph" w:styleId="35">
    <w:name w:val="Body Text First Indent"/>
    <w:basedOn w:val="11"/>
    <w:autoRedefine/>
    <w:qFormat/>
    <w:uiPriority w:val="0"/>
    <w:pPr>
      <w:spacing w:after="120"/>
      <w:ind w:firstLine="420" w:firstLineChars="100"/>
    </w:pPr>
    <w:rPr>
      <w:rFonts w:ascii="Times New Roman"/>
      <w:sz w:val="21"/>
      <w:szCs w:val="24"/>
    </w:rPr>
  </w:style>
  <w:style w:type="paragraph" w:styleId="36">
    <w:name w:val="Body Text First Indent 2"/>
    <w:basedOn w:val="12"/>
    <w:next w:val="1"/>
    <w:autoRedefine/>
    <w:qFormat/>
    <w:uiPriority w:val="0"/>
    <w:pPr>
      <w:ind w:firstLine="200" w:firstLineChars="200"/>
    </w:pPr>
    <w:rPr>
      <w:rFonts w:hAnsi="宋体" w:eastAsia="楷体_GB2312"/>
      <w:szCs w:val="32"/>
    </w:rPr>
  </w:style>
  <w:style w:type="table" w:styleId="38">
    <w:name w:val="Table Grid"/>
    <w:basedOn w:val="3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b/>
      <w:bCs/>
    </w:rPr>
  </w:style>
  <w:style w:type="character" w:styleId="41">
    <w:name w:val="page number"/>
    <w:basedOn w:val="39"/>
    <w:autoRedefine/>
    <w:qFormat/>
    <w:uiPriority w:val="0"/>
  </w:style>
  <w:style w:type="character" w:styleId="42">
    <w:name w:val="FollowedHyperlink"/>
    <w:autoRedefine/>
    <w:qFormat/>
    <w:uiPriority w:val="0"/>
    <w:rPr>
      <w:color w:val="800080"/>
      <w:u w:val="single"/>
    </w:rPr>
  </w:style>
  <w:style w:type="character" w:styleId="43">
    <w:name w:val="Hyperlink"/>
    <w:autoRedefine/>
    <w:qFormat/>
    <w:uiPriority w:val="0"/>
    <w:rPr>
      <w:color w:val="0000FF"/>
      <w:u w:val="single"/>
    </w:rPr>
  </w:style>
  <w:style w:type="character" w:styleId="44">
    <w:name w:val="annotation reference"/>
    <w:autoRedefine/>
    <w:qFormat/>
    <w:uiPriority w:val="0"/>
    <w:rPr>
      <w:sz w:val="21"/>
      <w:szCs w:val="21"/>
    </w:rPr>
  </w:style>
  <w:style w:type="paragraph" w:customStyle="1" w:styleId="45">
    <w:name w:val="Default"/>
    <w:autoRedefine/>
    <w:qFormat/>
    <w:uiPriority w:val="0"/>
    <w:pPr>
      <w:widowControl w:val="0"/>
      <w:autoSpaceDE w:val="0"/>
      <w:autoSpaceDN w:val="0"/>
      <w:adjustRightInd w:val="0"/>
    </w:pPr>
    <w:rPr>
      <w:rFonts w:ascii="Formata" w:hAnsi="Times New Roman" w:eastAsia="Formata" w:cs="Times New Roman"/>
      <w:color w:val="000000"/>
      <w:sz w:val="24"/>
      <w:szCs w:val="24"/>
      <w:lang w:val="en-US" w:eastAsia="zh-CN" w:bidi="ar-SA"/>
    </w:rPr>
  </w:style>
  <w:style w:type="paragraph" w:customStyle="1" w:styleId="46">
    <w:name w:val="首行缩进"/>
    <w:basedOn w:val="1"/>
    <w:autoRedefine/>
    <w:qFormat/>
    <w:uiPriority w:val="0"/>
    <w:pPr>
      <w:ind w:firstLine="480" w:firstLineChars="200"/>
    </w:pPr>
    <w:rPr>
      <w:lang w:val="zh-CN"/>
    </w:rPr>
  </w:style>
  <w:style w:type="character" w:customStyle="1" w:styleId="47">
    <w:name w:val="正文文本 字符"/>
    <w:link w:val="11"/>
    <w:autoRedefine/>
    <w:qFormat/>
    <w:uiPriority w:val="0"/>
    <w:rPr>
      <w:rFonts w:ascii="宋体" w:eastAsia="宋体"/>
      <w:kern w:val="2"/>
      <w:sz w:val="28"/>
      <w:lang w:val="en-US" w:eastAsia="zh-CN" w:bidi="ar-SA"/>
    </w:rPr>
  </w:style>
  <w:style w:type="character" w:customStyle="1" w:styleId="48">
    <w:name w:val="批注文字 字符"/>
    <w:link w:val="10"/>
    <w:autoRedefine/>
    <w:qFormat/>
    <w:uiPriority w:val="0"/>
    <w:rPr>
      <w:kern w:val="2"/>
      <w:sz w:val="21"/>
    </w:rPr>
  </w:style>
  <w:style w:type="character" w:customStyle="1" w:styleId="49">
    <w:name w:val="纯文本 字符"/>
    <w:link w:val="17"/>
    <w:autoRedefine/>
    <w:qFormat/>
    <w:uiPriority w:val="0"/>
    <w:rPr>
      <w:rFonts w:ascii="宋体" w:hAnsi="Courier New" w:eastAsia="宋体"/>
      <w:kern w:val="2"/>
      <w:sz w:val="21"/>
      <w:lang w:val="en-US" w:eastAsia="zh-CN" w:bidi="ar-SA"/>
    </w:rPr>
  </w:style>
  <w:style w:type="character" w:customStyle="1" w:styleId="50">
    <w:name w:val="页脚 字符"/>
    <w:link w:val="22"/>
    <w:autoRedefine/>
    <w:qFormat/>
    <w:uiPriority w:val="99"/>
    <w:rPr>
      <w:kern w:val="2"/>
      <w:sz w:val="18"/>
    </w:rPr>
  </w:style>
  <w:style w:type="character" w:customStyle="1" w:styleId="51">
    <w:name w:val="标题 字符"/>
    <w:basedOn w:val="39"/>
    <w:link w:val="33"/>
    <w:autoRedefine/>
    <w:qFormat/>
    <w:uiPriority w:val="10"/>
    <w:rPr>
      <w:kern w:val="2"/>
      <w:sz w:val="30"/>
      <w:szCs w:val="24"/>
    </w:rPr>
  </w:style>
  <w:style w:type="character" w:customStyle="1" w:styleId="52">
    <w:name w:val="批注主题 字符"/>
    <w:link w:val="34"/>
    <w:autoRedefine/>
    <w:qFormat/>
    <w:uiPriority w:val="0"/>
    <w:rPr>
      <w:b/>
      <w:bCs/>
      <w:kern w:val="2"/>
      <w:sz w:val="21"/>
    </w:rPr>
  </w:style>
  <w:style w:type="paragraph" w:styleId="53">
    <w:name w:val="List Paragraph"/>
    <w:basedOn w:val="1"/>
    <w:autoRedefine/>
    <w:qFormat/>
    <w:uiPriority w:val="34"/>
    <w:pPr>
      <w:ind w:firstLine="420" w:firstLineChars="200"/>
    </w:pPr>
    <w:rPr>
      <w:szCs w:val="22"/>
    </w:rPr>
  </w:style>
  <w:style w:type="character" w:customStyle="1" w:styleId="54">
    <w:name w:val="style21"/>
    <w:autoRedefine/>
    <w:qFormat/>
    <w:uiPriority w:val="0"/>
    <w:rPr>
      <w:sz w:val="18"/>
      <w:szCs w:val="18"/>
    </w:rPr>
  </w:style>
  <w:style w:type="character" w:customStyle="1" w:styleId="55">
    <w:name w:val="font01"/>
    <w:autoRedefine/>
    <w:qFormat/>
    <w:uiPriority w:val="0"/>
    <w:rPr>
      <w:rFonts w:hint="eastAsia" w:ascii="宋体" w:hAnsi="宋体" w:eastAsia="宋体" w:cs="宋体"/>
      <w:color w:val="000000"/>
      <w:sz w:val="22"/>
      <w:szCs w:val="22"/>
      <w:u w:val="none"/>
    </w:rPr>
  </w:style>
  <w:style w:type="character" w:customStyle="1" w:styleId="56">
    <w:name w:val="c lh15"/>
    <w:basedOn w:val="39"/>
    <w:autoRedefine/>
    <w:qFormat/>
    <w:uiPriority w:val="0"/>
  </w:style>
  <w:style w:type="character" w:customStyle="1" w:styleId="57">
    <w:name w:val="font11"/>
    <w:autoRedefine/>
    <w:qFormat/>
    <w:uiPriority w:val="0"/>
    <w:rPr>
      <w:rFonts w:hint="default" w:ascii="Arial" w:hAnsi="Arial" w:cs="Arial"/>
      <w:color w:val="000000"/>
      <w:sz w:val="22"/>
      <w:szCs w:val="22"/>
      <w:u w:val="none"/>
    </w:rPr>
  </w:style>
  <w:style w:type="character" w:customStyle="1" w:styleId="58">
    <w:name w:val="标准文本 Char"/>
    <w:link w:val="59"/>
    <w:autoRedefine/>
    <w:qFormat/>
    <w:uiPriority w:val="0"/>
    <w:rPr>
      <w:rFonts w:ascii="宋体" w:hAnsi="宋体" w:eastAsia="宋体" w:cs="宋体"/>
      <w:kern w:val="2"/>
      <w:sz w:val="21"/>
      <w:szCs w:val="21"/>
      <w:lang w:val="en-US" w:eastAsia="zh-CN" w:bidi="ar-SA"/>
    </w:rPr>
  </w:style>
  <w:style w:type="paragraph" w:customStyle="1" w:styleId="59">
    <w:name w:val="标准文本"/>
    <w:basedOn w:val="1"/>
    <w:link w:val="58"/>
    <w:autoRedefine/>
    <w:qFormat/>
    <w:uiPriority w:val="0"/>
    <w:pPr>
      <w:spacing w:line="300" w:lineRule="auto"/>
      <w:ind w:firstLine="420" w:firstLineChars="200"/>
    </w:pPr>
    <w:rPr>
      <w:rFonts w:ascii="宋体" w:hAnsi="宋体" w:cs="宋体"/>
      <w:szCs w:val="21"/>
    </w:rPr>
  </w:style>
  <w:style w:type="character" w:customStyle="1" w:styleId="60">
    <w:name w:val="font21"/>
    <w:autoRedefine/>
    <w:qFormat/>
    <w:uiPriority w:val="0"/>
    <w:rPr>
      <w:rFonts w:hint="default" w:ascii="Times New Roman" w:hAnsi="Times New Roman" w:cs="Times New Roman"/>
      <w:color w:val="000000"/>
      <w:sz w:val="20"/>
      <w:szCs w:val="20"/>
      <w:u w:val="none"/>
    </w:rPr>
  </w:style>
  <w:style w:type="paragraph" w:customStyle="1" w:styleId="61">
    <w:name w:val="列出段落1"/>
    <w:basedOn w:val="1"/>
    <w:autoRedefine/>
    <w:qFormat/>
    <w:uiPriority w:val="0"/>
    <w:pPr>
      <w:ind w:firstLine="420" w:firstLineChars="200"/>
    </w:pPr>
  </w:style>
  <w:style w:type="paragraph" w:customStyle="1" w:styleId="62">
    <w:name w:val="列出段落2"/>
    <w:basedOn w:val="1"/>
    <w:autoRedefine/>
    <w:unhideWhenUsed/>
    <w:qFormat/>
    <w:uiPriority w:val="99"/>
    <w:pPr>
      <w:ind w:firstLine="420" w:firstLineChars="200"/>
    </w:pPr>
    <w:rPr>
      <w:rFonts w:hint="eastAsia"/>
      <w:szCs w:val="22"/>
    </w:rPr>
  </w:style>
  <w:style w:type="paragraph" w:customStyle="1" w:styleId="63">
    <w:name w:val="彩色列表 - 强调文字颜色 11"/>
    <w:basedOn w:val="1"/>
    <w:autoRedefine/>
    <w:qFormat/>
    <w:uiPriority w:val="34"/>
    <w:pPr>
      <w:ind w:firstLine="420" w:firstLineChars="200"/>
    </w:pPr>
    <w:rPr>
      <w:szCs w:val="22"/>
    </w:rPr>
  </w:style>
  <w:style w:type="paragraph" w:customStyle="1" w:styleId="64">
    <w:name w:val="Char Char Char Char Char Char Char"/>
    <w:basedOn w:val="1"/>
    <w:autoRedefine/>
    <w:qFormat/>
    <w:uiPriority w:val="0"/>
    <w:pPr>
      <w:tabs>
        <w:tab w:val="left" w:pos="432"/>
      </w:tabs>
      <w:ind w:left="432" w:hanging="432"/>
      <w:jc w:val="center"/>
    </w:pPr>
    <w:rPr>
      <w:rFonts w:ascii="仿宋_GB2312" w:hAnsi="Tahoma" w:eastAsia="仿宋_GB2312"/>
      <w:sz w:val="24"/>
      <w:szCs w:val="24"/>
    </w:rPr>
  </w:style>
  <w:style w:type="paragraph" w:customStyle="1" w:styleId="65">
    <w:name w:val="样式 首行缩进:  2 字符"/>
    <w:basedOn w:val="1"/>
    <w:autoRedefine/>
    <w:qFormat/>
    <w:uiPriority w:val="0"/>
    <w:pPr>
      <w:spacing w:line="400" w:lineRule="exact"/>
      <w:ind w:firstLine="200" w:firstLineChars="200"/>
    </w:pPr>
    <w:rPr>
      <w:rFonts w:cs="宋体"/>
      <w:sz w:val="24"/>
      <w:szCs w:val="24"/>
    </w:rPr>
  </w:style>
  <w:style w:type="paragraph" w:customStyle="1" w:styleId="66">
    <w:name w:val="Char Char Char Char Char Char Char1"/>
    <w:basedOn w:val="1"/>
    <w:autoRedefine/>
    <w:semiHidden/>
    <w:qFormat/>
    <w:uiPriority w:val="0"/>
    <w:rPr>
      <w:rFonts w:ascii="Tahoma" w:hAnsi="Tahoma" w:cs="仿宋_GB2312"/>
      <w:sz w:val="24"/>
      <w:szCs w:val="28"/>
    </w:rPr>
  </w:style>
  <w:style w:type="paragraph" w:styleId="67">
    <w:name w:val="No Spacing"/>
    <w:basedOn w:val="1"/>
    <w:autoRedefine/>
    <w:qFormat/>
    <w:uiPriority w:val="1"/>
    <w:rPr>
      <w:rFonts w:ascii="Times New Roman" w:hAnsi="Times New Roman"/>
      <w:sz w:val="24"/>
      <w:szCs w:val="22"/>
    </w:rPr>
  </w:style>
  <w:style w:type="paragraph" w:customStyle="1" w:styleId="68">
    <w:name w:val="简单回函地址"/>
    <w:basedOn w:val="1"/>
    <w:autoRedefine/>
    <w:qFormat/>
    <w:uiPriority w:val="0"/>
    <w:rPr>
      <w:szCs w:val="24"/>
    </w:rPr>
  </w:style>
  <w:style w:type="paragraph" w:customStyle="1" w:styleId="69">
    <w:name w:val="_Style 2"/>
    <w:basedOn w:val="1"/>
    <w:autoRedefine/>
    <w:qFormat/>
    <w:uiPriority w:val="34"/>
    <w:pPr>
      <w:ind w:firstLine="420" w:firstLineChars="200"/>
    </w:pPr>
    <w:rPr>
      <w:szCs w:val="24"/>
    </w:rPr>
  </w:style>
  <w:style w:type="paragraph" w:customStyle="1" w:styleId="70">
    <w:name w:val="Char Char Char"/>
    <w:basedOn w:val="1"/>
    <w:autoRedefine/>
    <w:qFormat/>
    <w:uiPriority w:val="0"/>
    <w:pPr>
      <w:widowControl/>
      <w:spacing w:line="400" w:lineRule="exact"/>
      <w:jc w:val="center"/>
    </w:pPr>
    <w:rPr>
      <w:szCs w:val="24"/>
    </w:rPr>
  </w:style>
  <w:style w:type="paragraph" w:customStyle="1" w:styleId="71">
    <w:name w:val="列出段落11"/>
    <w:basedOn w:val="1"/>
    <w:autoRedefine/>
    <w:qFormat/>
    <w:uiPriority w:val="34"/>
    <w:pPr>
      <w:ind w:firstLine="420" w:firstLineChars="200"/>
    </w:pPr>
  </w:style>
  <w:style w:type="paragraph" w:customStyle="1" w:styleId="72">
    <w:name w:val="正文1"/>
    <w:autoRedefine/>
    <w:qFormat/>
    <w:uiPriority w:val="99"/>
    <w:pPr>
      <w:widowControl w:val="0"/>
      <w:jc w:val="both"/>
    </w:pPr>
    <w:rPr>
      <w:rFonts w:ascii="???" w:hAnsi="???" w:eastAsia="宋体" w:cs="???"/>
      <w:color w:val="000000"/>
      <w:lang w:val="en-US" w:eastAsia="zh-CN" w:bidi="ar-SA"/>
    </w:rPr>
  </w:style>
  <w:style w:type="paragraph" w:customStyle="1" w:styleId="73">
    <w:name w:val="p0"/>
    <w:basedOn w:val="1"/>
    <w:autoRedefine/>
    <w:qFormat/>
    <w:uiPriority w:val="0"/>
    <w:pPr>
      <w:spacing w:before="100" w:beforeAutospacing="1" w:after="100" w:afterAutospacing="1"/>
    </w:pPr>
    <w:rPr>
      <w:sz w:val="24"/>
      <w:szCs w:val="24"/>
    </w:rPr>
  </w:style>
  <w:style w:type="paragraph" w:customStyle="1" w:styleId="74">
    <w:name w:val="修订1"/>
    <w:autoRedefine/>
    <w:semiHidden/>
    <w:qFormat/>
    <w:uiPriority w:val="99"/>
    <w:rPr>
      <w:rFonts w:ascii="Calibri" w:hAnsi="Calibri" w:eastAsia="宋体" w:cs="Times New Roman"/>
      <w:kern w:val="2"/>
      <w:sz w:val="21"/>
      <w:lang w:val="en-US" w:eastAsia="zh-CN" w:bidi="ar-SA"/>
    </w:rPr>
  </w:style>
  <w:style w:type="paragraph" w:customStyle="1" w:styleId="75">
    <w:name w:val="无间隔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正文文本 2 字符"/>
    <w:basedOn w:val="39"/>
    <w:link w:val="30"/>
    <w:autoRedefine/>
    <w:qFormat/>
    <w:uiPriority w:val="99"/>
    <w:rPr>
      <w:rFonts w:ascii="Calibri" w:hAnsi="Calibri"/>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259237-C563-4123-9AE7-B9D1B1CD28D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54</Pages>
  <Words>5076</Words>
  <Characters>28938</Characters>
  <Lines>241</Lines>
  <Paragraphs>67</Paragraphs>
  <TotalTime>3</TotalTime>
  <ScaleCrop>false</ScaleCrop>
  <LinksUpToDate>false</LinksUpToDate>
  <CharactersWithSpaces>33947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2024-03-28T06:56:00Z</dcterms:created>
  <dc:creator>OPEY A.</dc:creator>
  <dc:description>Shankar's Birthday falls on 25th July.  Don't Forget to wish him</dc:description>
  <cp:keywords>Birthday</cp:keywords>
  <cp:lastModifiedBy>YoYo</cp:lastModifiedBy>
  <cp:lastPrinted>2023-08-07T08:10:00Z</cp:lastPrinted>
  <dcterms:modified xsi:type="dcterms:W3CDTF">2024-04-09T09:13:34Z</dcterms:modified>
  <dc:subject>Birthday</dc:subject>
  <dc:title>LOVE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7BB4EA1D7CD240FCA39CD90BD28739E7</vt:lpwstr>
  </property>
</Properties>
</file>